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xml" ContentType="application/vnd.openxmlformats-officedocument.themeOverrid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8183E" w14:textId="77777777" w:rsidR="003723C4" w:rsidRPr="008F5FE4" w:rsidRDefault="003723C4" w:rsidP="002217E5">
      <w:pPr>
        <w:jc w:val="right"/>
        <w:rPr>
          <w:rFonts w:eastAsia="Calibri" w:cs="Times New Roman"/>
          <w:sz w:val="26"/>
          <w:szCs w:val="26"/>
        </w:rPr>
      </w:pPr>
      <w:r w:rsidRPr="008F5FE4">
        <w:rPr>
          <w:rFonts w:eastAsia="Calibri" w:cs="Times New Roman"/>
          <w:sz w:val="26"/>
          <w:szCs w:val="26"/>
        </w:rPr>
        <w:t xml:space="preserve">Informatīvā ziņojuma par Imigrācijas likuma </w:t>
      </w:r>
    </w:p>
    <w:p w14:paraId="7116CE20" w14:textId="77777777" w:rsidR="003723C4" w:rsidRPr="008F5FE4" w:rsidRDefault="003723C4" w:rsidP="002217E5">
      <w:pPr>
        <w:jc w:val="right"/>
        <w:rPr>
          <w:rFonts w:eastAsia="Calibri" w:cs="Times New Roman"/>
          <w:sz w:val="26"/>
          <w:szCs w:val="26"/>
        </w:rPr>
      </w:pPr>
      <w:r w:rsidRPr="008F5FE4">
        <w:rPr>
          <w:rFonts w:eastAsia="Calibri" w:cs="Times New Roman"/>
          <w:sz w:val="26"/>
          <w:szCs w:val="26"/>
        </w:rPr>
        <w:t xml:space="preserve">23.panta pirmās daļas 3., 28., 29., 30. un 31.punktā </w:t>
      </w:r>
    </w:p>
    <w:p w14:paraId="12EE8608" w14:textId="77777777" w:rsidR="003723C4" w:rsidRPr="008F5FE4" w:rsidRDefault="003723C4" w:rsidP="002217E5">
      <w:pPr>
        <w:jc w:val="right"/>
        <w:rPr>
          <w:rFonts w:eastAsia="Calibri" w:cs="Times New Roman"/>
          <w:sz w:val="26"/>
          <w:szCs w:val="26"/>
        </w:rPr>
      </w:pPr>
      <w:r w:rsidRPr="008F5FE4">
        <w:rPr>
          <w:rFonts w:eastAsia="Calibri" w:cs="Times New Roman"/>
          <w:sz w:val="26"/>
          <w:szCs w:val="26"/>
        </w:rPr>
        <w:t>paredzēto noteikumu īstenošanas gaitu un rezultātiem</w:t>
      </w:r>
    </w:p>
    <w:p w14:paraId="6398A3AA" w14:textId="77777777" w:rsidR="003723C4" w:rsidRPr="008F5FE4" w:rsidRDefault="00F84A2D" w:rsidP="002217E5">
      <w:pPr>
        <w:jc w:val="right"/>
        <w:rPr>
          <w:sz w:val="26"/>
          <w:szCs w:val="26"/>
        </w:rPr>
      </w:pPr>
      <w:r w:rsidRPr="008F5FE4">
        <w:rPr>
          <w:sz w:val="26"/>
          <w:szCs w:val="26"/>
        </w:rPr>
        <w:t>3</w:t>
      </w:r>
      <w:r w:rsidR="003723C4" w:rsidRPr="008F5FE4">
        <w:rPr>
          <w:sz w:val="26"/>
          <w:szCs w:val="26"/>
        </w:rPr>
        <w:t>.pielikums</w:t>
      </w:r>
    </w:p>
    <w:p w14:paraId="71CBAAE3" w14:textId="77777777" w:rsidR="00A2102B" w:rsidRPr="008F5FE4" w:rsidRDefault="00A2102B" w:rsidP="002217E5"/>
    <w:p w14:paraId="2D67C984" w14:textId="77777777" w:rsidR="003723C4" w:rsidRPr="008F5FE4" w:rsidRDefault="003723C4" w:rsidP="002217E5"/>
    <w:p w14:paraId="01AA9AF5" w14:textId="77777777" w:rsidR="003723C4" w:rsidRPr="00130226" w:rsidRDefault="003723C4" w:rsidP="002217E5">
      <w:pPr>
        <w:pStyle w:val="Heading1"/>
        <w:spacing w:before="0" w:after="120" w:line="240" w:lineRule="auto"/>
        <w:jc w:val="center"/>
        <w:rPr>
          <w:rFonts w:ascii="Times New Roman" w:hAnsi="Times New Roman"/>
          <w:color w:val="auto"/>
        </w:rPr>
      </w:pPr>
      <w:r w:rsidRPr="00130226">
        <w:rPr>
          <w:rFonts w:ascii="Times New Roman" w:hAnsi="Times New Roman"/>
          <w:color w:val="auto"/>
        </w:rPr>
        <w:t>Finanšu investīcijas kredītiestādēs</w:t>
      </w:r>
      <w:r w:rsidR="003E6F54" w:rsidRPr="00130226">
        <w:rPr>
          <w:rFonts w:ascii="Times New Roman" w:hAnsi="Times New Roman"/>
          <w:color w:val="auto"/>
        </w:rPr>
        <w:t>,</w:t>
      </w:r>
      <w:r w:rsidRPr="00130226">
        <w:rPr>
          <w:rFonts w:ascii="Times New Roman" w:hAnsi="Times New Roman"/>
          <w:color w:val="auto"/>
        </w:rPr>
        <w:t xml:space="preserve"> kapitālsabiedrību pamatkapitālos</w:t>
      </w:r>
      <w:r w:rsidR="006A7095" w:rsidRPr="00130226">
        <w:rPr>
          <w:rFonts w:ascii="Times New Roman" w:hAnsi="Times New Roman"/>
          <w:color w:val="auto"/>
        </w:rPr>
        <w:t xml:space="preserve"> un izsniegtās</w:t>
      </w:r>
      <w:r w:rsidR="003E6F54" w:rsidRPr="00130226">
        <w:rPr>
          <w:rFonts w:ascii="Times New Roman" w:hAnsi="Times New Roman"/>
          <w:color w:val="auto"/>
        </w:rPr>
        <w:t xml:space="preserve"> TUA saskaņā ar Imigrācijas likuma 23.panta pirmās daļas 3.punktu</w:t>
      </w:r>
    </w:p>
    <w:p w14:paraId="09075FDB" w14:textId="77777777" w:rsidR="003723C4" w:rsidRPr="00130226" w:rsidRDefault="003723C4" w:rsidP="00C7004D">
      <w:pPr>
        <w:rPr>
          <w:sz w:val="26"/>
          <w:szCs w:val="26"/>
          <w:lang w:eastAsia="lv-LV"/>
        </w:rPr>
      </w:pPr>
    </w:p>
    <w:p w14:paraId="7AF50689" w14:textId="77777777" w:rsidR="003723C4" w:rsidRPr="00130226" w:rsidRDefault="003723C4" w:rsidP="00F56154">
      <w:pPr>
        <w:pStyle w:val="ListParagraph"/>
        <w:numPr>
          <w:ilvl w:val="0"/>
          <w:numId w:val="2"/>
        </w:numPr>
        <w:ind w:left="426" w:hanging="426"/>
        <w:rPr>
          <w:rFonts w:ascii="Times New Roman" w:hAnsi="Times New Roman"/>
          <w:b/>
          <w:sz w:val="26"/>
          <w:szCs w:val="26"/>
          <w:lang w:eastAsia="lv-LV"/>
        </w:rPr>
      </w:pPr>
      <w:r w:rsidRPr="00130226">
        <w:rPr>
          <w:rFonts w:ascii="Times New Roman" w:hAnsi="Times New Roman"/>
          <w:b/>
          <w:sz w:val="26"/>
          <w:szCs w:val="26"/>
          <w:lang w:eastAsia="lv-LV"/>
        </w:rPr>
        <w:t>Finanšu investīcijas kredītiestādēs</w:t>
      </w:r>
    </w:p>
    <w:p w14:paraId="2508AC86" w14:textId="77777777" w:rsidR="001A10A6" w:rsidRPr="00130226" w:rsidRDefault="003723C4" w:rsidP="00C7004D">
      <w:pPr>
        <w:spacing w:after="120"/>
        <w:ind w:firstLine="567"/>
        <w:jc w:val="both"/>
        <w:rPr>
          <w:sz w:val="26"/>
          <w:szCs w:val="26"/>
        </w:rPr>
      </w:pPr>
      <w:r w:rsidRPr="00130226">
        <w:rPr>
          <w:sz w:val="26"/>
          <w:szCs w:val="26"/>
        </w:rPr>
        <w:t xml:space="preserve">Imigrācijas likuma </w:t>
      </w:r>
      <w:r w:rsidRPr="004F0263">
        <w:rPr>
          <w:sz w:val="26"/>
          <w:szCs w:val="26"/>
          <w:u w:val="single"/>
        </w:rPr>
        <w:t>23.panta pirmās daļas 30.punkts</w:t>
      </w:r>
      <w:r w:rsidRPr="00130226">
        <w:rPr>
          <w:sz w:val="26"/>
          <w:szCs w:val="26"/>
        </w:rPr>
        <w:t xml:space="preserve"> paredz piešķirt TUA trešo valstu pilsoņiem, kuri ieguldījuši vismaz 280 tūkstošus </w:t>
      </w:r>
      <w:proofErr w:type="spellStart"/>
      <w:r w:rsidRPr="00130226">
        <w:rPr>
          <w:i/>
          <w:sz w:val="26"/>
          <w:szCs w:val="26"/>
        </w:rPr>
        <w:t>euro</w:t>
      </w:r>
      <w:proofErr w:type="spellEnd"/>
      <w:r w:rsidRPr="00130226">
        <w:rPr>
          <w:sz w:val="26"/>
          <w:szCs w:val="26"/>
        </w:rPr>
        <w:t xml:space="preserve"> Latvijas kredītiestādes pakārtotajās saistībās. </w:t>
      </w:r>
    </w:p>
    <w:p w14:paraId="0A2F90B1" w14:textId="77777777" w:rsidR="00D14D2F" w:rsidRPr="00D14D2F" w:rsidRDefault="003723C4" w:rsidP="00F12774">
      <w:pPr>
        <w:spacing w:after="120"/>
        <w:ind w:firstLine="567"/>
        <w:jc w:val="both"/>
        <w:rPr>
          <w:sz w:val="26"/>
          <w:szCs w:val="26"/>
        </w:rPr>
      </w:pPr>
      <w:r w:rsidRPr="00130226">
        <w:rPr>
          <w:sz w:val="26"/>
          <w:szCs w:val="26"/>
        </w:rPr>
        <w:t xml:space="preserve">No 2014.gada 1.septembra papildus šim ieguldījumam TUA pieprasītājiem </w:t>
      </w:r>
      <w:r w:rsidR="002217E5" w:rsidRPr="00130226">
        <w:rPr>
          <w:sz w:val="26"/>
          <w:szCs w:val="26"/>
        </w:rPr>
        <w:t xml:space="preserve">bija </w:t>
      </w:r>
      <w:r w:rsidRPr="00130226">
        <w:rPr>
          <w:sz w:val="26"/>
          <w:szCs w:val="26"/>
        </w:rPr>
        <w:t xml:space="preserve">jāveic maksājums valsts pamatbudžeta programmai “Ekonomikas attīstības programma” </w:t>
      </w:r>
      <w:r w:rsidRPr="00D14D2F">
        <w:rPr>
          <w:sz w:val="26"/>
          <w:szCs w:val="26"/>
        </w:rPr>
        <w:t xml:space="preserve">atvērtajā valsts pamatbudžeta izdevumu kontā </w:t>
      </w:r>
      <w:r w:rsidR="002217E5" w:rsidRPr="00D14D2F">
        <w:rPr>
          <w:sz w:val="26"/>
          <w:szCs w:val="26"/>
        </w:rPr>
        <w:t>25</w:t>
      </w:r>
      <w:r w:rsidRPr="00D14D2F">
        <w:rPr>
          <w:sz w:val="26"/>
          <w:szCs w:val="26"/>
        </w:rPr>
        <w:t xml:space="preserve"> 000 </w:t>
      </w:r>
      <w:proofErr w:type="spellStart"/>
      <w:r w:rsidRPr="00D14D2F">
        <w:rPr>
          <w:i/>
          <w:sz w:val="26"/>
          <w:szCs w:val="26"/>
        </w:rPr>
        <w:t>euro</w:t>
      </w:r>
      <w:proofErr w:type="spellEnd"/>
      <w:r w:rsidRPr="00D14D2F">
        <w:rPr>
          <w:sz w:val="26"/>
          <w:szCs w:val="26"/>
        </w:rPr>
        <w:t xml:space="preserve"> apmērā</w:t>
      </w:r>
      <w:r w:rsidR="002217E5" w:rsidRPr="00D14D2F">
        <w:rPr>
          <w:sz w:val="26"/>
          <w:szCs w:val="26"/>
        </w:rPr>
        <w:t xml:space="preserve">, bet no 2017.gada 2.marta šis maksājums palielināts līdz 38 000 </w:t>
      </w:r>
      <w:proofErr w:type="spellStart"/>
      <w:r w:rsidR="002217E5" w:rsidRPr="00D14D2F">
        <w:rPr>
          <w:i/>
          <w:sz w:val="26"/>
          <w:szCs w:val="26"/>
        </w:rPr>
        <w:t>euro</w:t>
      </w:r>
      <w:proofErr w:type="spellEnd"/>
      <w:r w:rsidRPr="00D14D2F">
        <w:rPr>
          <w:sz w:val="26"/>
          <w:szCs w:val="26"/>
        </w:rPr>
        <w:t xml:space="preserve">. </w:t>
      </w:r>
    </w:p>
    <w:p w14:paraId="28CF6CF6" w14:textId="77777777" w:rsidR="00D14D2F" w:rsidRPr="00D14D2F" w:rsidRDefault="00D14D2F" w:rsidP="00D14D2F">
      <w:pPr>
        <w:spacing w:after="60"/>
        <w:ind w:firstLine="567"/>
        <w:jc w:val="both"/>
        <w:rPr>
          <w:sz w:val="26"/>
          <w:szCs w:val="26"/>
        </w:rPr>
      </w:pPr>
      <w:r w:rsidRPr="00D14D2F">
        <w:rPr>
          <w:sz w:val="26"/>
          <w:szCs w:val="26"/>
        </w:rPr>
        <w:t>Kopumā investīcijām kredītiestādes pakārtotajās saistībās ir divas svarīgas priekšrocības:</w:t>
      </w:r>
    </w:p>
    <w:p w14:paraId="3893D8D5" w14:textId="77777777" w:rsidR="00D14D2F" w:rsidRPr="00D14D2F" w:rsidRDefault="00D14D2F" w:rsidP="00D14D2F">
      <w:pPr>
        <w:pStyle w:val="ListParagraph"/>
        <w:numPr>
          <w:ilvl w:val="0"/>
          <w:numId w:val="1"/>
        </w:numPr>
        <w:spacing w:after="60" w:line="240" w:lineRule="auto"/>
        <w:ind w:left="993" w:hanging="284"/>
        <w:contextualSpacing w:val="0"/>
        <w:jc w:val="both"/>
        <w:rPr>
          <w:rFonts w:ascii="Times New Roman" w:hAnsi="Times New Roman"/>
          <w:sz w:val="26"/>
          <w:szCs w:val="26"/>
        </w:rPr>
      </w:pPr>
      <w:r w:rsidRPr="00D14D2F">
        <w:rPr>
          <w:rFonts w:ascii="Times New Roman" w:hAnsi="Times New Roman"/>
          <w:sz w:val="26"/>
          <w:szCs w:val="26"/>
        </w:rPr>
        <w:t>ļoti ātrs un salīdzinoši vienkāršs variants TUA saņemšanai;</w:t>
      </w:r>
    </w:p>
    <w:p w14:paraId="1AF23773" w14:textId="77777777" w:rsidR="00D14D2F" w:rsidRPr="00D14D2F" w:rsidRDefault="00D14D2F" w:rsidP="00D14D2F">
      <w:pPr>
        <w:pStyle w:val="ListParagraph"/>
        <w:numPr>
          <w:ilvl w:val="0"/>
          <w:numId w:val="1"/>
        </w:numPr>
        <w:spacing w:after="120" w:line="240" w:lineRule="auto"/>
        <w:ind w:left="993" w:hanging="284"/>
        <w:contextualSpacing w:val="0"/>
        <w:jc w:val="both"/>
        <w:rPr>
          <w:rFonts w:ascii="Times New Roman" w:hAnsi="Times New Roman"/>
          <w:sz w:val="26"/>
          <w:szCs w:val="26"/>
        </w:rPr>
      </w:pPr>
      <w:r w:rsidRPr="00D14D2F">
        <w:rPr>
          <w:rFonts w:ascii="Times New Roman" w:hAnsi="Times New Roman"/>
          <w:sz w:val="26"/>
          <w:szCs w:val="26"/>
        </w:rPr>
        <w:t>procentu likmes – tas nozīmē, ka investors saņem regulāru un stabilu atdevi no saviem ieguldījumiem.</w:t>
      </w:r>
    </w:p>
    <w:p w14:paraId="290F8DB8" w14:textId="7F8C09EF" w:rsidR="00185BDB" w:rsidRPr="00F12774" w:rsidRDefault="00BE024D" w:rsidP="00BE024D">
      <w:pPr>
        <w:spacing w:after="120"/>
        <w:ind w:firstLine="567"/>
        <w:jc w:val="both"/>
        <w:rPr>
          <w:sz w:val="26"/>
          <w:szCs w:val="26"/>
        </w:rPr>
      </w:pPr>
      <w:r>
        <w:rPr>
          <w:sz w:val="26"/>
          <w:szCs w:val="26"/>
        </w:rPr>
        <w:t>S</w:t>
      </w:r>
      <w:r w:rsidR="00CD43F0">
        <w:rPr>
          <w:sz w:val="26"/>
          <w:szCs w:val="26"/>
        </w:rPr>
        <w:t xml:space="preserve">ākotnēji, no 2010. līdz 2014.gadam, </w:t>
      </w:r>
      <w:r w:rsidR="00D14D2F">
        <w:rPr>
          <w:sz w:val="26"/>
          <w:szCs w:val="26"/>
        </w:rPr>
        <w:t xml:space="preserve">ar šo TUA veidu piesaistītās investīcijas bija salīdzinoši apjomīgas. Tomēr </w:t>
      </w:r>
      <w:r w:rsidR="00145C91">
        <w:rPr>
          <w:sz w:val="26"/>
          <w:szCs w:val="26"/>
        </w:rPr>
        <w:t>pēc</w:t>
      </w:r>
      <w:r w:rsidR="00D14D2F">
        <w:rPr>
          <w:sz w:val="26"/>
          <w:szCs w:val="26"/>
        </w:rPr>
        <w:t xml:space="preserve"> 2014.gada </w:t>
      </w:r>
      <w:r w:rsidR="00D14D2F" w:rsidRPr="00130226">
        <w:rPr>
          <w:sz w:val="26"/>
          <w:szCs w:val="26"/>
        </w:rPr>
        <w:t>TUA pieprasītāju skaits</w:t>
      </w:r>
      <w:r w:rsidR="00D14D2F">
        <w:rPr>
          <w:sz w:val="26"/>
          <w:szCs w:val="26"/>
        </w:rPr>
        <w:t xml:space="preserve"> un investīciju apjoms</w:t>
      </w:r>
      <w:r w:rsidR="00D14D2F" w:rsidRPr="00130226">
        <w:rPr>
          <w:sz w:val="26"/>
          <w:szCs w:val="26"/>
        </w:rPr>
        <w:t xml:space="preserve"> </w:t>
      </w:r>
      <w:r w:rsidR="00145C91">
        <w:rPr>
          <w:sz w:val="26"/>
          <w:szCs w:val="26"/>
        </w:rPr>
        <w:t>ievērojami samazinājās</w:t>
      </w:r>
      <w:r w:rsidR="00D14D2F">
        <w:rPr>
          <w:sz w:val="26"/>
          <w:szCs w:val="26"/>
        </w:rPr>
        <w:t xml:space="preserve">. </w:t>
      </w:r>
      <w:r w:rsidR="00145C91">
        <w:rPr>
          <w:sz w:val="26"/>
          <w:szCs w:val="26"/>
        </w:rPr>
        <w:t xml:space="preserve">Tam iemesls bija </w:t>
      </w:r>
      <w:r w:rsidR="00DD5EC9">
        <w:rPr>
          <w:sz w:val="26"/>
          <w:szCs w:val="26"/>
        </w:rPr>
        <w:t>minētās</w:t>
      </w:r>
      <w:r w:rsidR="00D14D2F">
        <w:rPr>
          <w:sz w:val="26"/>
          <w:szCs w:val="26"/>
        </w:rPr>
        <w:t xml:space="preserve"> izmaiņas normatīvajā regulējumā, </w:t>
      </w:r>
      <w:r w:rsidR="00DD5EC9">
        <w:rPr>
          <w:sz w:val="26"/>
          <w:szCs w:val="26"/>
        </w:rPr>
        <w:t xml:space="preserve">nosakot, ka TUA saņēmējiem jāveic iemaksas valsts budžetā. </w:t>
      </w:r>
      <w:r w:rsidR="004F786D">
        <w:rPr>
          <w:sz w:val="26"/>
          <w:szCs w:val="26"/>
        </w:rPr>
        <w:t>Jāatzīmē, ka n</w:t>
      </w:r>
      <w:r w:rsidR="00AD4674">
        <w:rPr>
          <w:sz w:val="26"/>
          <w:szCs w:val="26"/>
        </w:rPr>
        <w:t xml:space="preserve">ozīmīga ietekme ir bijusi </w:t>
      </w:r>
      <w:r w:rsidR="004F786D">
        <w:rPr>
          <w:sz w:val="26"/>
          <w:szCs w:val="26"/>
        </w:rPr>
        <w:t xml:space="preserve">arī veiktajiem </w:t>
      </w:r>
      <w:r w:rsidR="009D3B91" w:rsidRPr="00145C91">
        <w:rPr>
          <w:sz w:val="26"/>
          <w:szCs w:val="26"/>
        </w:rPr>
        <w:t>pasākumi</w:t>
      </w:r>
      <w:r w:rsidR="00435DE5" w:rsidRPr="00145C91">
        <w:rPr>
          <w:sz w:val="26"/>
          <w:szCs w:val="26"/>
        </w:rPr>
        <w:t>em</w:t>
      </w:r>
      <w:r w:rsidR="004F786D">
        <w:rPr>
          <w:sz w:val="26"/>
          <w:szCs w:val="26"/>
        </w:rPr>
        <w:t xml:space="preserve"> saistībā ar</w:t>
      </w:r>
      <w:r w:rsidR="009D3B91" w:rsidRPr="00145C91">
        <w:rPr>
          <w:sz w:val="26"/>
          <w:szCs w:val="26"/>
        </w:rPr>
        <w:t xml:space="preserve"> finanšu sektor</w:t>
      </w:r>
      <w:r w:rsidR="00435DE5" w:rsidRPr="00145C91">
        <w:rPr>
          <w:sz w:val="26"/>
          <w:szCs w:val="26"/>
        </w:rPr>
        <w:t>a sakārtošan</w:t>
      </w:r>
      <w:r w:rsidR="004F786D">
        <w:rPr>
          <w:sz w:val="26"/>
          <w:szCs w:val="26"/>
        </w:rPr>
        <w:t>u</w:t>
      </w:r>
      <w:r w:rsidR="009D3B91" w:rsidRPr="00145C91">
        <w:rPr>
          <w:sz w:val="26"/>
          <w:szCs w:val="26"/>
        </w:rPr>
        <w:t xml:space="preserve">, </w:t>
      </w:r>
      <w:r w:rsidR="00435DE5" w:rsidRPr="00145C91">
        <w:rPr>
          <w:sz w:val="26"/>
          <w:szCs w:val="26"/>
        </w:rPr>
        <w:t>pastiprinot</w:t>
      </w:r>
      <w:r w:rsidR="009D3B91" w:rsidRPr="00145C91">
        <w:rPr>
          <w:sz w:val="26"/>
          <w:szCs w:val="26"/>
        </w:rPr>
        <w:t xml:space="preserve"> uzraudzību nerezidentu noguldījumiem Latvijas komercbankās</w:t>
      </w:r>
      <w:r w:rsidR="00F12774" w:rsidRPr="00145C91">
        <w:rPr>
          <w:sz w:val="26"/>
          <w:szCs w:val="26"/>
        </w:rPr>
        <w:t xml:space="preserve">, </w:t>
      </w:r>
      <w:r w:rsidR="00435DE5" w:rsidRPr="00145C91">
        <w:rPr>
          <w:sz w:val="26"/>
          <w:szCs w:val="26"/>
        </w:rPr>
        <w:t>kā rezultātā TUA pieteiku</w:t>
      </w:r>
      <w:r w:rsidR="00F12774" w:rsidRPr="00145C91">
        <w:rPr>
          <w:sz w:val="26"/>
          <w:szCs w:val="26"/>
        </w:rPr>
        <w:t>mi saistībā ar i</w:t>
      </w:r>
      <w:r w:rsidR="00435DE5" w:rsidRPr="00145C91">
        <w:rPr>
          <w:sz w:val="26"/>
          <w:szCs w:val="26"/>
        </w:rPr>
        <w:t>nvestīcijām kredītiestādes pakārtotajās saistībās</w:t>
      </w:r>
      <w:r w:rsidR="00F12774" w:rsidRPr="00145C91">
        <w:rPr>
          <w:sz w:val="26"/>
          <w:szCs w:val="26"/>
        </w:rPr>
        <w:t xml:space="preserve"> pārskata periodā ir apsīkuši.</w:t>
      </w:r>
      <w:r w:rsidR="00F12774">
        <w:rPr>
          <w:sz w:val="26"/>
          <w:szCs w:val="26"/>
        </w:rPr>
        <w:t xml:space="preserve"> J</w:t>
      </w:r>
      <w:r w:rsidR="002217E5" w:rsidRPr="00130226">
        <w:rPr>
          <w:sz w:val="26"/>
          <w:szCs w:val="26"/>
        </w:rPr>
        <w:t xml:space="preserve">a no 2010.gada līdz </w:t>
      </w:r>
      <w:r w:rsidR="003723C4" w:rsidRPr="00130226">
        <w:rPr>
          <w:sz w:val="26"/>
          <w:szCs w:val="26"/>
        </w:rPr>
        <w:t>2014.gada</w:t>
      </w:r>
      <w:r w:rsidR="002217E5" w:rsidRPr="00130226">
        <w:rPr>
          <w:sz w:val="26"/>
          <w:szCs w:val="26"/>
        </w:rPr>
        <w:t xml:space="preserve">m TUA pieteikumus iesniedza </w:t>
      </w:r>
      <w:r w:rsidR="003723C4" w:rsidRPr="00130226">
        <w:rPr>
          <w:sz w:val="26"/>
          <w:szCs w:val="26"/>
        </w:rPr>
        <w:t xml:space="preserve"> </w:t>
      </w:r>
      <w:r w:rsidR="002217E5" w:rsidRPr="00130226">
        <w:rPr>
          <w:sz w:val="26"/>
          <w:szCs w:val="26"/>
        </w:rPr>
        <w:t>1</w:t>
      </w:r>
      <w:r w:rsidR="007955CF">
        <w:rPr>
          <w:sz w:val="26"/>
          <w:szCs w:val="26"/>
        </w:rPr>
        <w:t xml:space="preserve"> </w:t>
      </w:r>
      <w:r w:rsidR="002217E5" w:rsidRPr="00130226">
        <w:rPr>
          <w:sz w:val="26"/>
          <w:szCs w:val="26"/>
        </w:rPr>
        <w:t>113 investori (vidēji 223 pieteikumi gadā), tad 2015.gad</w:t>
      </w:r>
      <w:r w:rsidR="00C7004D" w:rsidRPr="00130226">
        <w:rPr>
          <w:sz w:val="26"/>
          <w:szCs w:val="26"/>
        </w:rPr>
        <w:t xml:space="preserve">ā pieteikumus iesniedza 30 investori, </w:t>
      </w:r>
      <w:r w:rsidR="002217E5" w:rsidRPr="00130226">
        <w:rPr>
          <w:sz w:val="26"/>
          <w:szCs w:val="26"/>
        </w:rPr>
        <w:t xml:space="preserve"> </w:t>
      </w:r>
      <w:r w:rsidR="00C7004D" w:rsidRPr="00130226">
        <w:rPr>
          <w:sz w:val="26"/>
          <w:szCs w:val="26"/>
        </w:rPr>
        <w:t xml:space="preserve">2016.gadā – 13, </w:t>
      </w:r>
      <w:r w:rsidR="003723C4" w:rsidRPr="00130226">
        <w:rPr>
          <w:sz w:val="26"/>
          <w:szCs w:val="26"/>
        </w:rPr>
        <w:t>201</w:t>
      </w:r>
      <w:r w:rsidR="002217E5" w:rsidRPr="00130226">
        <w:rPr>
          <w:sz w:val="26"/>
          <w:szCs w:val="26"/>
        </w:rPr>
        <w:t>7</w:t>
      </w:r>
      <w:r w:rsidR="003723C4" w:rsidRPr="00130226">
        <w:rPr>
          <w:sz w:val="26"/>
          <w:szCs w:val="26"/>
        </w:rPr>
        <w:t>.gad</w:t>
      </w:r>
      <w:r w:rsidR="008056D1" w:rsidRPr="00130226">
        <w:rPr>
          <w:sz w:val="26"/>
          <w:szCs w:val="26"/>
        </w:rPr>
        <w:t>ā - 12, 2018.gad</w:t>
      </w:r>
      <w:r w:rsidR="00640699">
        <w:rPr>
          <w:sz w:val="26"/>
          <w:szCs w:val="26"/>
        </w:rPr>
        <w:t>ā –</w:t>
      </w:r>
      <w:r w:rsidR="004F786D">
        <w:rPr>
          <w:sz w:val="26"/>
          <w:szCs w:val="26"/>
        </w:rPr>
        <w:t xml:space="preserve"> tikai</w:t>
      </w:r>
      <w:r w:rsidR="00640699">
        <w:rPr>
          <w:sz w:val="26"/>
          <w:szCs w:val="26"/>
        </w:rPr>
        <w:t xml:space="preserve"> 2 investori</w:t>
      </w:r>
      <w:r w:rsidR="00640699" w:rsidRPr="00640699">
        <w:rPr>
          <w:sz w:val="26"/>
          <w:szCs w:val="26"/>
        </w:rPr>
        <w:t xml:space="preserve">, bet 2019.gada I pusgadā pieteikumi nav </w:t>
      </w:r>
      <w:r w:rsidR="00640699" w:rsidRPr="00F12774">
        <w:rPr>
          <w:sz w:val="26"/>
          <w:szCs w:val="26"/>
        </w:rPr>
        <w:t>saņemti.</w:t>
      </w:r>
    </w:p>
    <w:p w14:paraId="1CA9EA95" w14:textId="74BE50FB" w:rsidR="00F12774" w:rsidRDefault="00F12774" w:rsidP="00F12774">
      <w:pPr>
        <w:spacing w:after="120"/>
        <w:ind w:firstLine="567"/>
        <w:jc w:val="both"/>
        <w:rPr>
          <w:sz w:val="26"/>
          <w:szCs w:val="26"/>
        </w:rPr>
      </w:pPr>
      <w:r w:rsidRPr="00F12774">
        <w:rPr>
          <w:sz w:val="26"/>
          <w:szCs w:val="26"/>
        </w:rPr>
        <w:t xml:space="preserve">Attiecīgās Imigrācijas likuma normas ietvaros </w:t>
      </w:r>
      <w:r w:rsidR="004F786D">
        <w:rPr>
          <w:sz w:val="26"/>
          <w:szCs w:val="26"/>
        </w:rPr>
        <w:t xml:space="preserve">kopumā </w:t>
      </w:r>
      <w:r w:rsidRPr="00F12774">
        <w:rPr>
          <w:sz w:val="26"/>
          <w:szCs w:val="26"/>
        </w:rPr>
        <w:t>kopš 2010.gada 1.jūlija Latvijas kredītiestāžu pakārtotajās saistībās</w:t>
      </w:r>
      <w:r w:rsidR="004F786D">
        <w:rPr>
          <w:sz w:val="26"/>
          <w:szCs w:val="26"/>
        </w:rPr>
        <w:t xml:space="preserve"> </w:t>
      </w:r>
      <w:r w:rsidRPr="00F12774">
        <w:rPr>
          <w:sz w:val="26"/>
          <w:szCs w:val="26"/>
        </w:rPr>
        <w:t>veikti 49</w:t>
      </w:r>
      <w:r w:rsidR="004F786D">
        <w:rPr>
          <w:sz w:val="26"/>
          <w:szCs w:val="26"/>
        </w:rPr>
        <w:t>3</w:t>
      </w:r>
      <w:r w:rsidRPr="00F12774">
        <w:rPr>
          <w:sz w:val="26"/>
          <w:szCs w:val="26"/>
        </w:rPr>
        <w:t xml:space="preserve"> ieguldījumi 158 milj. </w:t>
      </w:r>
      <w:proofErr w:type="spellStart"/>
      <w:r w:rsidRPr="00F12774">
        <w:rPr>
          <w:i/>
          <w:sz w:val="26"/>
          <w:szCs w:val="26"/>
        </w:rPr>
        <w:t>euro</w:t>
      </w:r>
      <w:proofErr w:type="spellEnd"/>
      <w:r w:rsidRPr="00F12774">
        <w:rPr>
          <w:sz w:val="26"/>
          <w:szCs w:val="26"/>
        </w:rPr>
        <w:t xml:space="preserve"> apmērā, tajā skaitā tikai astoņi darījumi ir veikti par summu, kas pārsniedz 500 tūkst. </w:t>
      </w:r>
      <w:proofErr w:type="spellStart"/>
      <w:r w:rsidRPr="00F12774">
        <w:rPr>
          <w:i/>
          <w:sz w:val="26"/>
          <w:szCs w:val="26"/>
        </w:rPr>
        <w:t>euro</w:t>
      </w:r>
      <w:proofErr w:type="spellEnd"/>
      <w:r w:rsidRPr="00F12774">
        <w:rPr>
          <w:rStyle w:val="FootnoteReference"/>
          <w:i/>
          <w:sz w:val="26"/>
          <w:szCs w:val="26"/>
        </w:rPr>
        <w:footnoteReference w:id="1"/>
      </w:r>
      <w:r w:rsidRPr="00F12774">
        <w:rPr>
          <w:sz w:val="26"/>
          <w:szCs w:val="26"/>
        </w:rPr>
        <w:t xml:space="preserve">, un neviens no šiem darījums nav reģistrēts pārskata periodā. </w:t>
      </w:r>
      <w:bookmarkStart w:id="0" w:name="_Hlk24569148"/>
      <w:r w:rsidR="004F786D">
        <w:rPr>
          <w:sz w:val="26"/>
          <w:szCs w:val="26"/>
        </w:rPr>
        <w:t xml:space="preserve">Pārskata periodā veikts viens darījums 300 tūkst. </w:t>
      </w:r>
      <w:proofErr w:type="spellStart"/>
      <w:r w:rsidR="004F786D" w:rsidRPr="004F786D">
        <w:rPr>
          <w:i/>
          <w:sz w:val="26"/>
          <w:szCs w:val="26"/>
        </w:rPr>
        <w:t>euro</w:t>
      </w:r>
      <w:proofErr w:type="spellEnd"/>
      <w:r w:rsidR="004F786D">
        <w:rPr>
          <w:sz w:val="26"/>
          <w:szCs w:val="26"/>
        </w:rPr>
        <w:t xml:space="preserve"> apmērā.</w:t>
      </w:r>
    </w:p>
    <w:p w14:paraId="4435A871" w14:textId="77777777" w:rsidR="007C5433" w:rsidRDefault="007C5433" w:rsidP="00F12774">
      <w:pPr>
        <w:spacing w:after="120"/>
        <w:ind w:firstLine="567"/>
        <w:jc w:val="both"/>
        <w:rPr>
          <w:sz w:val="26"/>
          <w:szCs w:val="26"/>
        </w:rPr>
      </w:pPr>
    </w:p>
    <w:bookmarkEnd w:id="0"/>
    <w:p w14:paraId="197242BA" w14:textId="4FD0E315" w:rsidR="003723C4" w:rsidRPr="0008401E" w:rsidRDefault="00551318" w:rsidP="00C7004D">
      <w:pPr>
        <w:pStyle w:val="ListParagraph"/>
        <w:spacing w:after="120" w:line="240" w:lineRule="auto"/>
        <w:contextualSpacing w:val="0"/>
        <w:jc w:val="right"/>
        <w:rPr>
          <w:rFonts w:ascii="Times New Roman" w:hAnsi="Times New Roman"/>
          <w:sz w:val="26"/>
          <w:szCs w:val="26"/>
        </w:rPr>
      </w:pPr>
      <w:r w:rsidRPr="0008401E">
        <w:rPr>
          <w:rFonts w:ascii="Times New Roman" w:hAnsi="Times New Roman"/>
          <w:sz w:val="26"/>
          <w:szCs w:val="26"/>
        </w:rPr>
        <w:lastRenderedPageBreak/>
        <w:t>1</w:t>
      </w:r>
      <w:r w:rsidR="003723C4" w:rsidRPr="0008401E">
        <w:rPr>
          <w:rFonts w:ascii="Times New Roman" w:hAnsi="Times New Roman"/>
          <w:sz w:val="26"/>
          <w:szCs w:val="26"/>
        </w:rPr>
        <w:t>.attēls</w:t>
      </w:r>
    </w:p>
    <w:p w14:paraId="7B4C295F" w14:textId="33DC1F05" w:rsidR="00E11059" w:rsidRPr="0008401E" w:rsidRDefault="00E11059" w:rsidP="00E11059">
      <w:pPr>
        <w:pStyle w:val="ListParagraph"/>
        <w:spacing w:after="120" w:line="240" w:lineRule="auto"/>
        <w:ind w:left="0"/>
        <w:jc w:val="center"/>
        <w:rPr>
          <w:rFonts w:ascii="Times New Roman" w:hAnsi="Times New Roman"/>
          <w:b/>
          <w:sz w:val="24"/>
          <w:szCs w:val="24"/>
        </w:rPr>
      </w:pPr>
      <w:r w:rsidRPr="0008401E">
        <w:rPr>
          <w:rFonts w:ascii="Times New Roman" w:hAnsi="Times New Roman"/>
          <w:b/>
          <w:sz w:val="24"/>
          <w:szCs w:val="24"/>
        </w:rPr>
        <w:t>TUA saņēmēju – ieguldītāju kredītiestādes pakārtotajās saistībās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E11059" w:rsidRPr="00894018" w14:paraId="365BE53D" w14:textId="77777777" w:rsidTr="0069311E">
        <w:trPr>
          <w:jc w:val="center"/>
        </w:trPr>
        <w:tc>
          <w:tcPr>
            <w:tcW w:w="4530" w:type="dxa"/>
          </w:tcPr>
          <w:p w14:paraId="1DE9069B" w14:textId="6BB3B132" w:rsidR="00E11059" w:rsidRDefault="00E11059" w:rsidP="0008401E">
            <w:pPr>
              <w:jc w:val="center"/>
              <w:rPr>
                <w:rFonts w:ascii="Times New Roman" w:hAnsi="Times New Roman"/>
                <w:b/>
                <w:sz w:val="22"/>
                <w:szCs w:val="22"/>
              </w:rPr>
            </w:pPr>
            <w:r w:rsidRPr="001949D8">
              <w:rPr>
                <w:rFonts w:ascii="Times New Roman" w:hAnsi="Times New Roman"/>
                <w:b/>
                <w:sz w:val="22"/>
                <w:szCs w:val="22"/>
              </w:rPr>
              <w:t xml:space="preserve"> </w:t>
            </w:r>
            <w:r w:rsidR="009745A8">
              <w:rPr>
                <w:rFonts w:ascii="Times New Roman" w:hAnsi="Times New Roman"/>
                <w:b/>
                <w:sz w:val="22"/>
                <w:szCs w:val="22"/>
              </w:rPr>
              <w:t xml:space="preserve">skaits </w:t>
            </w:r>
            <w:r w:rsidRPr="001949D8">
              <w:rPr>
                <w:rFonts w:ascii="Times New Roman" w:hAnsi="Times New Roman"/>
                <w:b/>
                <w:sz w:val="22"/>
                <w:szCs w:val="22"/>
              </w:rPr>
              <w:t>sadalījum</w:t>
            </w:r>
            <w:r w:rsidR="009745A8">
              <w:rPr>
                <w:rFonts w:ascii="Times New Roman" w:hAnsi="Times New Roman"/>
                <w:b/>
                <w:sz w:val="22"/>
                <w:szCs w:val="22"/>
              </w:rPr>
              <w:t>ā</w:t>
            </w:r>
            <w:r w:rsidRPr="001949D8">
              <w:rPr>
                <w:rFonts w:ascii="Times New Roman" w:hAnsi="Times New Roman"/>
                <w:b/>
                <w:sz w:val="22"/>
                <w:szCs w:val="22"/>
              </w:rPr>
              <w:t xml:space="preserve"> pēc </w:t>
            </w:r>
            <w:r>
              <w:rPr>
                <w:rFonts w:ascii="Times New Roman" w:hAnsi="Times New Roman"/>
                <w:b/>
                <w:sz w:val="22"/>
                <w:szCs w:val="22"/>
              </w:rPr>
              <w:t>valstiskās piederības</w:t>
            </w:r>
          </w:p>
          <w:p w14:paraId="57689593" w14:textId="1DB98117" w:rsidR="0008401E" w:rsidRPr="001949D8" w:rsidRDefault="0008401E" w:rsidP="0069311E">
            <w:pPr>
              <w:spacing w:after="120"/>
              <w:jc w:val="center"/>
              <w:rPr>
                <w:rFonts w:ascii="Times New Roman" w:hAnsi="Times New Roman"/>
                <w:b/>
                <w:sz w:val="22"/>
                <w:szCs w:val="22"/>
              </w:rPr>
            </w:pPr>
            <w:r w:rsidRPr="0008401E">
              <w:rPr>
                <w:rFonts w:ascii="Times New Roman" w:hAnsi="Times New Roman"/>
                <w:b/>
                <w:sz w:val="22"/>
                <w:szCs w:val="22"/>
              </w:rPr>
              <w:t>(07.2010.-</w:t>
            </w:r>
            <w:r w:rsidR="00EA12AA">
              <w:rPr>
                <w:rFonts w:ascii="Times New Roman" w:hAnsi="Times New Roman"/>
                <w:b/>
                <w:sz w:val="22"/>
                <w:szCs w:val="22"/>
              </w:rPr>
              <w:t>06</w:t>
            </w:r>
            <w:r w:rsidRPr="0008401E">
              <w:rPr>
                <w:rFonts w:ascii="Times New Roman" w:hAnsi="Times New Roman"/>
                <w:b/>
                <w:sz w:val="22"/>
                <w:szCs w:val="22"/>
              </w:rPr>
              <w:t>.201</w:t>
            </w:r>
            <w:r w:rsidR="00EA12AA">
              <w:rPr>
                <w:rFonts w:ascii="Times New Roman" w:hAnsi="Times New Roman"/>
                <w:b/>
                <w:sz w:val="22"/>
                <w:szCs w:val="22"/>
              </w:rPr>
              <w:t>9</w:t>
            </w:r>
            <w:r w:rsidRPr="0008401E">
              <w:rPr>
                <w:rFonts w:ascii="Times New Roman" w:hAnsi="Times New Roman"/>
                <w:b/>
                <w:sz w:val="22"/>
                <w:szCs w:val="22"/>
              </w:rPr>
              <w:t>.)</w:t>
            </w:r>
          </w:p>
          <w:p w14:paraId="0FAF242E" w14:textId="77777777" w:rsidR="00E11059" w:rsidRPr="00894018" w:rsidRDefault="00E11059" w:rsidP="0069311E">
            <w:pPr>
              <w:spacing w:after="120"/>
              <w:jc w:val="center"/>
              <w:rPr>
                <w:rFonts w:ascii="Times New Roman" w:hAnsi="Times New Roman"/>
                <w:b/>
                <w:sz w:val="24"/>
                <w:szCs w:val="24"/>
              </w:rPr>
            </w:pPr>
            <w:r w:rsidRPr="00060836">
              <w:rPr>
                <w:rFonts w:eastAsiaTheme="minorEastAsia"/>
                <w:b/>
                <w:noProof/>
                <w:sz w:val="24"/>
                <w:szCs w:val="24"/>
              </w:rPr>
              <w:drawing>
                <wp:inline distT="0" distB="0" distL="0" distR="0" wp14:anchorId="7E76161F" wp14:editId="37F2F870">
                  <wp:extent cx="27432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757" w:type="dxa"/>
          </w:tcPr>
          <w:p w14:paraId="4D0BB135" w14:textId="61FAD990" w:rsidR="00E11059" w:rsidRDefault="00E11059" w:rsidP="0069311E">
            <w:pPr>
              <w:keepNext/>
              <w:spacing w:after="120"/>
              <w:jc w:val="center"/>
              <w:rPr>
                <w:rFonts w:ascii="Times New Roman" w:eastAsiaTheme="minorEastAsia" w:hAnsi="Times New Roman" w:cstheme="minorBidi"/>
                <w:b/>
                <w:sz w:val="22"/>
                <w:szCs w:val="22"/>
                <w:lang w:eastAsia="en-US"/>
              </w:rPr>
            </w:pPr>
            <w:r w:rsidRPr="00894018">
              <w:rPr>
                <w:rFonts w:ascii="Times New Roman" w:hAnsi="Times New Roman"/>
                <w:b/>
                <w:sz w:val="24"/>
                <w:szCs w:val="24"/>
              </w:rPr>
              <w:t xml:space="preserve"> </w:t>
            </w:r>
            <w:r>
              <w:rPr>
                <w:rFonts w:ascii="Times New Roman" w:hAnsi="Times New Roman"/>
                <w:b/>
                <w:sz w:val="24"/>
                <w:szCs w:val="24"/>
              </w:rPr>
              <w:t>v</w:t>
            </w:r>
            <w:r>
              <w:rPr>
                <w:rFonts w:ascii="Times New Roman" w:eastAsiaTheme="minorEastAsia" w:hAnsi="Times New Roman" w:cstheme="minorBidi"/>
                <w:b/>
                <w:sz w:val="22"/>
                <w:szCs w:val="22"/>
                <w:lang w:eastAsia="en-US"/>
              </w:rPr>
              <w:t>eikto ieguldījumu apjoms</w:t>
            </w:r>
            <w:r w:rsidR="0008401E">
              <w:rPr>
                <w:rFonts w:ascii="Times New Roman" w:eastAsiaTheme="minorEastAsia" w:hAnsi="Times New Roman" w:cstheme="minorBidi"/>
                <w:b/>
                <w:sz w:val="22"/>
                <w:szCs w:val="22"/>
                <w:lang w:eastAsia="en-US"/>
              </w:rPr>
              <w:t xml:space="preserve"> sadalījumā pa kredītiestādēm, milj. </w:t>
            </w:r>
            <w:proofErr w:type="spellStart"/>
            <w:r w:rsidR="0008401E" w:rsidRPr="0008401E">
              <w:rPr>
                <w:rFonts w:ascii="Times New Roman" w:eastAsiaTheme="minorEastAsia" w:hAnsi="Times New Roman" w:cstheme="minorBidi"/>
                <w:b/>
                <w:i/>
                <w:sz w:val="22"/>
                <w:szCs w:val="22"/>
                <w:lang w:eastAsia="en-US"/>
              </w:rPr>
              <w:t>euro</w:t>
            </w:r>
            <w:proofErr w:type="spellEnd"/>
            <w:r w:rsidR="0008401E">
              <w:rPr>
                <w:rFonts w:ascii="Times New Roman" w:eastAsiaTheme="minorEastAsia" w:hAnsi="Times New Roman" w:cstheme="minorBidi"/>
                <w:b/>
                <w:i/>
                <w:sz w:val="22"/>
                <w:szCs w:val="22"/>
                <w:lang w:eastAsia="en-US"/>
              </w:rPr>
              <w:t xml:space="preserve"> </w:t>
            </w:r>
            <w:r w:rsidR="0008401E" w:rsidRPr="0008401E">
              <w:rPr>
                <w:rFonts w:ascii="Times New Roman" w:eastAsiaTheme="minorEastAsia" w:hAnsi="Times New Roman" w:cstheme="minorBidi"/>
                <w:b/>
                <w:sz w:val="22"/>
                <w:szCs w:val="22"/>
                <w:lang w:eastAsia="en-US"/>
              </w:rPr>
              <w:t>(07.2010.-06.201</w:t>
            </w:r>
            <w:r w:rsidR="00EA12AA">
              <w:rPr>
                <w:rFonts w:ascii="Times New Roman" w:eastAsiaTheme="minorEastAsia" w:hAnsi="Times New Roman" w:cstheme="minorBidi"/>
                <w:b/>
                <w:sz w:val="22"/>
                <w:szCs w:val="22"/>
                <w:lang w:eastAsia="en-US"/>
              </w:rPr>
              <w:t>9</w:t>
            </w:r>
            <w:r w:rsidR="0008401E" w:rsidRPr="0008401E">
              <w:rPr>
                <w:rFonts w:ascii="Times New Roman" w:eastAsiaTheme="minorEastAsia" w:hAnsi="Times New Roman" w:cstheme="minorBidi"/>
                <w:b/>
                <w:sz w:val="22"/>
                <w:szCs w:val="22"/>
                <w:lang w:eastAsia="en-US"/>
              </w:rPr>
              <w:t>.)</w:t>
            </w:r>
          </w:p>
          <w:p w14:paraId="549A1672" w14:textId="291C6061" w:rsidR="00E11059" w:rsidRPr="00130226" w:rsidRDefault="00F248C1" w:rsidP="00130226">
            <w:pPr>
              <w:keepNext/>
              <w:spacing w:after="120"/>
              <w:jc w:val="center"/>
              <w:rPr>
                <w:rFonts w:ascii="Times New Roman" w:eastAsiaTheme="minorEastAsia" w:hAnsi="Times New Roman" w:cstheme="minorBidi"/>
                <w:b/>
                <w:sz w:val="22"/>
                <w:szCs w:val="22"/>
                <w:lang w:eastAsia="en-US"/>
              </w:rPr>
            </w:pPr>
            <w:r w:rsidRPr="00060836">
              <w:rPr>
                <w:rFonts w:eastAsiaTheme="minorEastAsia"/>
                <w:b/>
                <w:noProof/>
                <w:sz w:val="24"/>
                <w:szCs w:val="24"/>
              </w:rPr>
              <w:drawing>
                <wp:inline distT="0" distB="0" distL="0" distR="0" wp14:anchorId="307CE7E0" wp14:editId="6FA9BECE">
                  <wp:extent cx="268605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79512A2C" w14:textId="67BD29A3" w:rsidR="00BA4A7D" w:rsidRDefault="00BA4A7D" w:rsidP="00AD226E">
      <w:pPr>
        <w:ind w:firstLine="425"/>
        <w:jc w:val="both"/>
        <w:rPr>
          <w:i/>
          <w:sz w:val="22"/>
        </w:rPr>
      </w:pPr>
      <w:r w:rsidRPr="00894018">
        <w:rPr>
          <w:i/>
          <w:sz w:val="22"/>
        </w:rPr>
        <w:t xml:space="preserve">Avots: </w:t>
      </w:r>
      <w:r>
        <w:rPr>
          <w:i/>
          <w:sz w:val="22"/>
        </w:rPr>
        <w:t>PMLP dati</w:t>
      </w:r>
    </w:p>
    <w:p w14:paraId="0B3FEAAC" w14:textId="77777777" w:rsidR="00BA4A7D" w:rsidRDefault="00BA4A7D" w:rsidP="00AD226E">
      <w:pPr>
        <w:spacing w:after="120"/>
        <w:ind w:firstLine="425"/>
        <w:jc w:val="both"/>
        <w:rPr>
          <w:sz w:val="26"/>
          <w:szCs w:val="26"/>
          <w:highlight w:val="yellow"/>
        </w:rPr>
      </w:pPr>
    </w:p>
    <w:p w14:paraId="3EDCEBCD" w14:textId="4C46EDA6" w:rsidR="00AD226E" w:rsidRDefault="009B1721" w:rsidP="00226944">
      <w:pPr>
        <w:spacing w:after="120"/>
        <w:ind w:firstLine="425"/>
        <w:jc w:val="both"/>
        <w:rPr>
          <w:sz w:val="26"/>
          <w:szCs w:val="26"/>
        </w:rPr>
      </w:pPr>
      <w:r w:rsidRPr="00EA12AA">
        <w:rPr>
          <w:sz w:val="26"/>
          <w:szCs w:val="26"/>
        </w:rPr>
        <w:t>D</w:t>
      </w:r>
      <w:r w:rsidR="000A6BA8" w:rsidRPr="00EA12AA">
        <w:rPr>
          <w:sz w:val="26"/>
          <w:szCs w:val="26"/>
        </w:rPr>
        <w:t xml:space="preserve">aļa no </w:t>
      </w:r>
      <w:r w:rsidR="00434674">
        <w:rPr>
          <w:sz w:val="26"/>
          <w:szCs w:val="26"/>
        </w:rPr>
        <w:t>ārzemniekiem</w:t>
      </w:r>
      <w:r w:rsidR="000A6BA8" w:rsidRPr="00EA12AA">
        <w:rPr>
          <w:sz w:val="26"/>
          <w:szCs w:val="26"/>
        </w:rPr>
        <w:t xml:space="preserve">, kas </w:t>
      </w:r>
      <w:r w:rsidRPr="00EA12AA">
        <w:rPr>
          <w:sz w:val="26"/>
          <w:szCs w:val="26"/>
        </w:rPr>
        <w:t>pieprasījuši</w:t>
      </w:r>
      <w:r w:rsidR="00EA12AA" w:rsidRPr="00EA12AA">
        <w:rPr>
          <w:sz w:val="26"/>
          <w:szCs w:val="26"/>
        </w:rPr>
        <w:t xml:space="preserve"> un saņēmuši</w:t>
      </w:r>
      <w:r w:rsidR="00AD226E">
        <w:rPr>
          <w:sz w:val="26"/>
          <w:szCs w:val="26"/>
        </w:rPr>
        <w:t xml:space="preserve"> (tai skaitā atkārtoti)</w:t>
      </w:r>
      <w:r w:rsidR="000A6BA8" w:rsidRPr="00EA12AA">
        <w:rPr>
          <w:sz w:val="26"/>
          <w:szCs w:val="26"/>
        </w:rPr>
        <w:t xml:space="preserve"> </w:t>
      </w:r>
      <w:r w:rsidR="006A5B84" w:rsidRPr="00EA12AA">
        <w:rPr>
          <w:sz w:val="26"/>
          <w:szCs w:val="26"/>
        </w:rPr>
        <w:t xml:space="preserve">Latvijā </w:t>
      </w:r>
      <w:r w:rsidR="000A6BA8" w:rsidRPr="00EA12AA">
        <w:rPr>
          <w:sz w:val="26"/>
          <w:szCs w:val="26"/>
        </w:rPr>
        <w:t xml:space="preserve">TUA </w:t>
      </w:r>
      <w:r w:rsidRPr="00EA12AA">
        <w:rPr>
          <w:sz w:val="26"/>
          <w:szCs w:val="26"/>
        </w:rPr>
        <w:t xml:space="preserve">par ieguldījumiem kredītiestāžu pakārtotajās saistībās, </w:t>
      </w:r>
      <w:r w:rsidR="000A6BA8" w:rsidRPr="00EA12AA">
        <w:rPr>
          <w:sz w:val="26"/>
          <w:szCs w:val="26"/>
        </w:rPr>
        <w:t xml:space="preserve">ir iesaistījušies </w:t>
      </w:r>
      <w:r w:rsidRPr="00EA12AA">
        <w:rPr>
          <w:sz w:val="26"/>
          <w:szCs w:val="26"/>
        </w:rPr>
        <w:t xml:space="preserve">arī </w:t>
      </w:r>
      <w:r w:rsidR="006276BB" w:rsidRPr="00EA12AA">
        <w:rPr>
          <w:sz w:val="26"/>
          <w:szCs w:val="26"/>
        </w:rPr>
        <w:t xml:space="preserve">saimnieciskajā darbībā. </w:t>
      </w:r>
    </w:p>
    <w:p w14:paraId="1DC38998" w14:textId="77777777" w:rsidR="00AD226E" w:rsidRDefault="00AD226E" w:rsidP="00AD226E">
      <w:pPr>
        <w:ind w:firstLine="425"/>
        <w:jc w:val="both"/>
        <w:rPr>
          <w:sz w:val="26"/>
          <w:szCs w:val="26"/>
        </w:rPr>
      </w:pPr>
    </w:p>
    <w:p w14:paraId="1A9EEA3C" w14:textId="77777777" w:rsidR="000A6BA8" w:rsidRPr="00894018" w:rsidRDefault="000A6BA8" w:rsidP="000A6BA8">
      <w:pPr>
        <w:pStyle w:val="ListParagraph"/>
        <w:spacing w:after="120" w:line="240" w:lineRule="auto"/>
        <w:jc w:val="right"/>
        <w:rPr>
          <w:rFonts w:ascii="Times New Roman" w:hAnsi="Times New Roman"/>
          <w:sz w:val="26"/>
          <w:szCs w:val="26"/>
        </w:rPr>
      </w:pPr>
      <w:r w:rsidRPr="00894018">
        <w:rPr>
          <w:rFonts w:ascii="Times New Roman" w:hAnsi="Times New Roman"/>
          <w:sz w:val="26"/>
          <w:szCs w:val="26"/>
        </w:rPr>
        <w:t>2.attēls</w:t>
      </w:r>
    </w:p>
    <w:p w14:paraId="5D8CCE9F" w14:textId="36562FBA" w:rsidR="000A6BA8" w:rsidRPr="00894018" w:rsidRDefault="000A6BA8" w:rsidP="008C215F">
      <w:pPr>
        <w:spacing w:after="120"/>
        <w:ind w:firstLine="425"/>
        <w:jc w:val="center"/>
        <w:rPr>
          <w:b/>
          <w:sz w:val="24"/>
          <w:szCs w:val="24"/>
        </w:rPr>
      </w:pPr>
      <w:bookmarkStart w:id="1" w:name="_Hlk24531073"/>
      <w:r w:rsidRPr="00894018">
        <w:rPr>
          <w:b/>
          <w:sz w:val="24"/>
          <w:szCs w:val="24"/>
        </w:rPr>
        <w:t>Uz TUA</w:t>
      </w:r>
      <w:r w:rsidR="00AD2389" w:rsidRPr="00894018">
        <w:rPr>
          <w:b/>
          <w:sz w:val="24"/>
          <w:szCs w:val="24"/>
        </w:rPr>
        <w:t xml:space="preserve"> </w:t>
      </w:r>
      <w:r w:rsidR="00BD44AF">
        <w:rPr>
          <w:b/>
          <w:sz w:val="24"/>
          <w:szCs w:val="24"/>
        </w:rPr>
        <w:t>turētājiem</w:t>
      </w:r>
      <w:r w:rsidRPr="00894018">
        <w:rPr>
          <w:b/>
          <w:sz w:val="24"/>
          <w:szCs w:val="24"/>
        </w:rPr>
        <w:t xml:space="preserve"> – ieguldītājiem kredītiestāžu pakārtotajās saistībās</w:t>
      </w:r>
      <w:r w:rsidR="0035119D">
        <w:rPr>
          <w:b/>
          <w:sz w:val="24"/>
          <w:szCs w:val="24"/>
        </w:rPr>
        <w:t xml:space="preserve"> 201</w:t>
      </w:r>
      <w:r w:rsidR="001949D8">
        <w:rPr>
          <w:b/>
          <w:sz w:val="24"/>
          <w:szCs w:val="24"/>
        </w:rPr>
        <w:t>8</w:t>
      </w:r>
      <w:r w:rsidR="0035119D">
        <w:rPr>
          <w:b/>
          <w:sz w:val="24"/>
          <w:szCs w:val="24"/>
        </w:rPr>
        <w:t>.gadā</w:t>
      </w:r>
      <w:r w:rsidRPr="00894018">
        <w:rPr>
          <w:b/>
          <w:sz w:val="24"/>
          <w:szCs w:val="24"/>
        </w:rPr>
        <w:t xml:space="preserve"> attiecināmo</w:t>
      </w:r>
      <w:r w:rsidR="000D114C" w:rsidRPr="00894018">
        <w:rPr>
          <w:b/>
          <w:sz w:val="24"/>
          <w:szCs w:val="24"/>
        </w:rPr>
        <w:t xml:space="preserve"> uzņēmumu</w:t>
      </w:r>
      <w:r w:rsidRPr="00894018">
        <w:rPr>
          <w:b/>
          <w:sz w:val="24"/>
          <w:szCs w:val="24"/>
        </w:rPr>
        <w:t xml:space="preserve"> (pieder īpašumtiesību daļas)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95"/>
      </w:tblGrid>
      <w:tr w:rsidR="000A6BA8" w:rsidRPr="00894018" w14:paraId="2B6CA646" w14:textId="77777777" w:rsidTr="008C215F">
        <w:trPr>
          <w:jc w:val="center"/>
        </w:trPr>
        <w:tc>
          <w:tcPr>
            <w:tcW w:w="4530" w:type="dxa"/>
          </w:tcPr>
          <w:p w14:paraId="2FBE3A6D" w14:textId="6C3AD7C9" w:rsidR="001656A1" w:rsidRPr="001949D8" w:rsidRDefault="000A6BA8" w:rsidP="001656A1">
            <w:pPr>
              <w:spacing w:after="120"/>
              <w:jc w:val="center"/>
              <w:rPr>
                <w:rFonts w:ascii="Times New Roman" w:hAnsi="Times New Roman"/>
                <w:b/>
                <w:sz w:val="22"/>
                <w:szCs w:val="22"/>
              </w:rPr>
            </w:pPr>
            <w:r w:rsidRPr="001949D8">
              <w:rPr>
                <w:rFonts w:ascii="Times New Roman" w:hAnsi="Times New Roman"/>
                <w:b/>
                <w:sz w:val="22"/>
                <w:szCs w:val="22"/>
              </w:rPr>
              <w:t xml:space="preserve"> sadalījums pēc to dibināšanas gad</w:t>
            </w:r>
            <w:r w:rsidR="006F7B1C" w:rsidRPr="001949D8">
              <w:rPr>
                <w:rFonts w:ascii="Times New Roman" w:hAnsi="Times New Roman"/>
                <w:b/>
                <w:sz w:val="22"/>
                <w:szCs w:val="22"/>
              </w:rPr>
              <w:t>a</w:t>
            </w:r>
          </w:p>
          <w:p w14:paraId="0346F6EE" w14:textId="0D808405" w:rsidR="00AF2C21" w:rsidRPr="00894018" w:rsidRDefault="001949D8" w:rsidP="00226944">
            <w:pPr>
              <w:spacing w:after="120"/>
              <w:jc w:val="center"/>
              <w:rPr>
                <w:rFonts w:ascii="Times New Roman" w:hAnsi="Times New Roman"/>
                <w:b/>
                <w:sz w:val="24"/>
                <w:szCs w:val="24"/>
              </w:rPr>
            </w:pPr>
            <w:r w:rsidRPr="00060836">
              <w:rPr>
                <w:rFonts w:eastAsiaTheme="minorEastAsia"/>
                <w:b/>
                <w:noProof/>
                <w:sz w:val="24"/>
                <w:szCs w:val="24"/>
              </w:rPr>
              <w:drawing>
                <wp:inline distT="0" distB="0" distL="0" distR="0" wp14:anchorId="40664DEA" wp14:editId="18FE099F">
                  <wp:extent cx="2628900" cy="2562225"/>
                  <wp:effectExtent l="0" t="0" r="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757" w:type="dxa"/>
          </w:tcPr>
          <w:p w14:paraId="3B74E634" w14:textId="6E9A7BBB" w:rsidR="001949D8" w:rsidRPr="00555A18" w:rsidRDefault="000A6BA8" w:rsidP="001949D8">
            <w:pPr>
              <w:keepNext/>
              <w:spacing w:after="120"/>
              <w:jc w:val="center"/>
              <w:rPr>
                <w:rFonts w:ascii="Times New Roman" w:eastAsiaTheme="minorEastAsia" w:hAnsi="Times New Roman" w:cstheme="minorBidi"/>
                <w:b/>
                <w:sz w:val="22"/>
                <w:szCs w:val="22"/>
                <w:lang w:eastAsia="en-US"/>
              </w:rPr>
            </w:pPr>
            <w:r w:rsidRPr="00894018">
              <w:rPr>
                <w:rFonts w:ascii="Times New Roman" w:hAnsi="Times New Roman"/>
                <w:b/>
                <w:sz w:val="24"/>
                <w:szCs w:val="24"/>
              </w:rPr>
              <w:t xml:space="preserve"> </w:t>
            </w:r>
            <w:r w:rsidR="001949D8" w:rsidRPr="00555A18">
              <w:rPr>
                <w:rFonts w:ascii="Times New Roman" w:eastAsiaTheme="minorEastAsia" w:hAnsi="Times New Roman" w:cstheme="minorBidi"/>
                <w:b/>
                <w:sz w:val="22"/>
                <w:szCs w:val="22"/>
                <w:lang w:eastAsia="en-US"/>
              </w:rPr>
              <w:t>sadalījums pēc darbības jomas</w:t>
            </w:r>
          </w:p>
          <w:p w14:paraId="547BC620" w14:textId="165572C2" w:rsidR="006117A0" w:rsidRPr="00894018" w:rsidRDefault="001949D8" w:rsidP="001949D8">
            <w:pPr>
              <w:spacing w:after="120"/>
              <w:jc w:val="center"/>
              <w:rPr>
                <w:rFonts w:ascii="Times New Roman" w:hAnsi="Times New Roman"/>
                <w:b/>
                <w:sz w:val="24"/>
                <w:szCs w:val="24"/>
              </w:rPr>
            </w:pPr>
            <w:r w:rsidRPr="00060836">
              <w:rPr>
                <w:rFonts w:eastAsiaTheme="minorEastAsia"/>
                <w:b/>
                <w:noProof/>
                <w:sz w:val="24"/>
                <w:szCs w:val="24"/>
              </w:rPr>
              <w:drawing>
                <wp:inline distT="0" distB="0" distL="0" distR="0" wp14:anchorId="2C23CF74" wp14:editId="3C9FBEFA">
                  <wp:extent cx="2543175" cy="2562225"/>
                  <wp:effectExtent l="0" t="0" r="9525"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0233A473" w14:textId="41319AA6" w:rsidR="000A6BA8" w:rsidRPr="00A23B91" w:rsidRDefault="008B4150" w:rsidP="008C215F">
      <w:pPr>
        <w:spacing w:after="120"/>
        <w:ind w:firstLine="426"/>
        <w:jc w:val="both"/>
        <w:rPr>
          <w:i/>
          <w:sz w:val="22"/>
        </w:rPr>
      </w:pPr>
      <w:bookmarkStart w:id="2" w:name="_Hlk24530345"/>
      <w:bookmarkEnd w:id="1"/>
      <w:r w:rsidRPr="00894018">
        <w:rPr>
          <w:i/>
          <w:sz w:val="22"/>
        </w:rPr>
        <w:t xml:space="preserve">Avots: </w:t>
      </w:r>
      <w:r w:rsidR="00226944">
        <w:rPr>
          <w:i/>
          <w:sz w:val="22"/>
        </w:rPr>
        <w:t xml:space="preserve">SIA “CREFO </w:t>
      </w:r>
      <w:proofErr w:type="spellStart"/>
      <w:r w:rsidR="00226944">
        <w:rPr>
          <w:i/>
          <w:sz w:val="22"/>
        </w:rPr>
        <w:t>Rating</w:t>
      </w:r>
      <w:proofErr w:type="spellEnd"/>
      <w:r w:rsidR="00226944">
        <w:rPr>
          <w:i/>
          <w:sz w:val="22"/>
        </w:rPr>
        <w:t>” dati</w:t>
      </w:r>
    </w:p>
    <w:bookmarkEnd w:id="2"/>
    <w:p w14:paraId="66F91EBE" w14:textId="2D6D7B9C" w:rsidR="006F7B1C" w:rsidRDefault="006F7B1C" w:rsidP="008B4150">
      <w:pPr>
        <w:spacing w:after="120"/>
        <w:ind w:firstLine="426"/>
        <w:jc w:val="both"/>
        <w:rPr>
          <w:sz w:val="22"/>
        </w:rPr>
      </w:pPr>
    </w:p>
    <w:p w14:paraId="3B9D0A9B" w14:textId="18DA2FB8" w:rsidR="00AD226E" w:rsidRPr="00C20044" w:rsidRDefault="00AD226E" w:rsidP="00AD226E">
      <w:pPr>
        <w:spacing w:after="120"/>
        <w:ind w:firstLine="425"/>
        <w:jc w:val="both"/>
        <w:rPr>
          <w:sz w:val="26"/>
          <w:szCs w:val="26"/>
        </w:rPr>
      </w:pPr>
      <w:r w:rsidRPr="00C20044">
        <w:rPr>
          <w:sz w:val="26"/>
          <w:szCs w:val="26"/>
        </w:rPr>
        <w:lastRenderedPageBreak/>
        <w:t xml:space="preserve">Spēkā esošu TUA turētāji ieņem kādu amatu </w:t>
      </w:r>
      <w:r w:rsidR="00C20044" w:rsidRPr="00C20044">
        <w:rPr>
          <w:sz w:val="26"/>
          <w:szCs w:val="26"/>
        </w:rPr>
        <w:t>15</w:t>
      </w:r>
      <w:r w:rsidRPr="00C20044">
        <w:rPr>
          <w:sz w:val="26"/>
          <w:szCs w:val="26"/>
        </w:rPr>
        <w:t xml:space="preserve"> Latvijā reģistrētos uzņēmumos, un viņiem pieder īpašumtiesību daļas </w:t>
      </w:r>
      <w:r w:rsidR="00C20044" w:rsidRPr="00C20044">
        <w:rPr>
          <w:sz w:val="26"/>
          <w:szCs w:val="26"/>
        </w:rPr>
        <w:t>13</w:t>
      </w:r>
      <w:r w:rsidRPr="00C20044">
        <w:rPr>
          <w:sz w:val="26"/>
          <w:szCs w:val="26"/>
        </w:rPr>
        <w:t xml:space="preserve"> Latvijā reģistrētos uzņēmumos. </w:t>
      </w:r>
    </w:p>
    <w:p w14:paraId="5D750122" w14:textId="21C35642" w:rsidR="00AD226E" w:rsidRDefault="00AD226E" w:rsidP="000E65DC">
      <w:pPr>
        <w:spacing w:after="120"/>
        <w:ind w:firstLine="425"/>
        <w:jc w:val="both"/>
        <w:rPr>
          <w:sz w:val="26"/>
          <w:szCs w:val="26"/>
        </w:rPr>
      </w:pPr>
      <w:r w:rsidRPr="000E65DC">
        <w:rPr>
          <w:sz w:val="26"/>
          <w:szCs w:val="26"/>
        </w:rPr>
        <w:t xml:space="preserve">Atbilstoši VID sniegtajai informācijai, </w:t>
      </w:r>
      <w:r w:rsidR="00C20044" w:rsidRPr="000E65DC">
        <w:rPr>
          <w:sz w:val="26"/>
          <w:szCs w:val="26"/>
        </w:rPr>
        <w:t xml:space="preserve">uzņēmumi, kuros TUA saņēmējiem pieder daļas </w:t>
      </w:r>
      <w:r w:rsidRPr="000E65DC">
        <w:rPr>
          <w:sz w:val="26"/>
          <w:szCs w:val="26"/>
        </w:rPr>
        <w:t>iemaksājuši valsts budžetā nodokļus (atskaitot no valsts budžeta atmaksātos nodokļus) 201</w:t>
      </w:r>
      <w:r w:rsidR="000E65DC" w:rsidRPr="000E65DC">
        <w:rPr>
          <w:sz w:val="26"/>
          <w:szCs w:val="26"/>
        </w:rPr>
        <w:t>8</w:t>
      </w:r>
      <w:r w:rsidRPr="000E65DC">
        <w:rPr>
          <w:sz w:val="26"/>
          <w:szCs w:val="26"/>
        </w:rPr>
        <w:t>.gadā 0,</w:t>
      </w:r>
      <w:r w:rsidR="000E65DC" w:rsidRPr="000E65DC">
        <w:rPr>
          <w:sz w:val="26"/>
          <w:szCs w:val="26"/>
        </w:rPr>
        <w:t>4</w:t>
      </w:r>
      <w:r w:rsidRPr="000E65DC">
        <w:rPr>
          <w:sz w:val="26"/>
          <w:szCs w:val="26"/>
        </w:rPr>
        <w:t xml:space="preserve"> milj. </w:t>
      </w:r>
      <w:proofErr w:type="spellStart"/>
      <w:r w:rsidRPr="000E65DC">
        <w:rPr>
          <w:i/>
          <w:sz w:val="26"/>
          <w:szCs w:val="26"/>
        </w:rPr>
        <w:t>euro</w:t>
      </w:r>
      <w:proofErr w:type="spellEnd"/>
      <w:r w:rsidRPr="000E65DC">
        <w:rPr>
          <w:sz w:val="26"/>
          <w:szCs w:val="26"/>
        </w:rPr>
        <w:t xml:space="preserve"> apmērā, 201</w:t>
      </w:r>
      <w:r w:rsidR="000E65DC" w:rsidRPr="000E65DC">
        <w:rPr>
          <w:sz w:val="26"/>
          <w:szCs w:val="26"/>
        </w:rPr>
        <w:t>9</w:t>
      </w:r>
      <w:r w:rsidRPr="000E65DC">
        <w:rPr>
          <w:sz w:val="26"/>
          <w:szCs w:val="26"/>
        </w:rPr>
        <w:t xml:space="preserve">.gada I </w:t>
      </w:r>
      <w:r w:rsidRPr="00DD6512">
        <w:rPr>
          <w:sz w:val="26"/>
          <w:szCs w:val="26"/>
        </w:rPr>
        <w:t>pusgadā – 0,</w:t>
      </w:r>
      <w:r w:rsidR="000E65DC" w:rsidRPr="00DD6512">
        <w:rPr>
          <w:sz w:val="26"/>
          <w:szCs w:val="26"/>
        </w:rPr>
        <w:t>2</w:t>
      </w:r>
      <w:r w:rsidRPr="00DD6512">
        <w:rPr>
          <w:sz w:val="26"/>
          <w:szCs w:val="26"/>
        </w:rPr>
        <w:t xml:space="preserve"> milj. </w:t>
      </w:r>
      <w:proofErr w:type="spellStart"/>
      <w:r w:rsidRPr="00DD6512">
        <w:rPr>
          <w:i/>
          <w:sz w:val="26"/>
          <w:szCs w:val="26"/>
        </w:rPr>
        <w:t>euro</w:t>
      </w:r>
      <w:proofErr w:type="spellEnd"/>
      <w:r w:rsidRPr="00DD6512">
        <w:rPr>
          <w:sz w:val="26"/>
          <w:szCs w:val="26"/>
        </w:rPr>
        <w:t xml:space="preserve"> apmērā.</w:t>
      </w:r>
      <w:r w:rsidR="000E65DC" w:rsidRPr="00DD6512">
        <w:rPr>
          <w:sz w:val="26"/>
          <w:szCs w:val="26"/>
        </w:rPr>
        <w:t xml:space="preserve"> </w:t>
      </w:r>
      <w:r w:rsidRPr="00DD6512">
        <w:rPr>
          <w:sz w:val="26"/>
          <w:szCs w:val="26"/>
        </w:rPr>
        <w:t xml:space="preserve">Saskaņā ar </w:t>
      </w:r>
      <w:r w:rsidR="000E65DC" w:rsidRPr="00DD6512">
        <w:rPr>
          <w:sz w:val="26"/>
          <w:szCs w:val="26"/>
        </w:rPr>
        <w:t xml:space="preserve">SIA “CREFO </w:t>
      </w:r>
      <w:proofErr w:type="spellStart"/>
      <w:r w:rsidR="000E65DC" w:rsidRPr="00DD6512">
        <w:rPr>
          <w:sz w:val="26"/>
          <w:szCs w:val="26"/>
        </w:rPr>
        <w:t>Rating</w:t>
      </w:r>
      <w:proofErr w:type="spellEnd"/>
      <w:r w:rsidR="000E65DC" w:rsidRPr="00DD6512">
        <w:rPr>
          <w:sz w:val="26"/>
          <w:szCs w:val="26"/>
        </w:rPr>
        <w:t>”</w:t>
      </w:r>
      <w:r w:rsidRPr="00DD6512">
        <w:rPr>
          <w:sz w:val="26"/>
          <w:szCs w:val="26"/>
        </w:rPr>
        <w:t xml:space="preserve"> datiem, </w:t>
      </w:r>
      <w:r w:rsidR="000E65DC" w:rsidRPr="00DD6512">
        <w:rPr>
          <w:sz w:val="26"/>
          <w:szCs w:val="26"/>
        </w:rPr>
        <w:t>šo</w:t>
      </w:r>
      <w:r w:rsidRPr="00DD6512">
        <w:rPr>
          <w:sz w:val="26"/>
          <w:szCs w:val="26"/>
        </w:rPr>
        <w:t xml:space="preserve"> uzņēmumu</w:t>
      </w:r>
      <w:r w:rsidR="000E65DC" w:rsidRPr="00DD6512">
        <w:rPr>
          <w:sz w:val="26"/>
          <w:szCs w:val="26"/>
        </w:rPr>
        <w:t xml:space="preserve"> </w:t>
      </w:r>
      <w:r w:rsidRPr="00DD6512">
        <w:rPr>
          <w:sz w:val="26"/>
          <w:szCs w:val="26"/>
        </w:rPr>
        <w:t>apgrozījums 201</w:t>
      </w:r>
      <w:r w:rsidR="00DD6512" w:rsidRPr="00DD6512">
        <w:rPr>
          <w:sz w:val="26"/>
          <w:szCs w:val="26"/>
        </w:rPr>
        <w:t>8</w:t>
      </w:r>
      <w:r w:rsidRPr="00DD6512">
        <w:rPr>
          <w:sz w:val="26"/>
          <w:szCs w:val="26"/>
        </w:rPr>
        <w:t>.gadā sasniedza 2,</w:t>
      </w:r>
      <w:r w:rsidR="00DD6512" w:rsidRPr="00DD6512">
        <w:rPr>
          <w:sz w:val="26"/>
          <w:szCs w:val="26"/>
        </w:rPr>
        <w:t>5</w:t>
      </w:r>
      <w:r w:rsidRPr="00DD6512">
        <w:rPr>
          <w:sz w:val="26"/>
          <w:szCs w:val="26"/>
        </w:rPr>
        <w:t xml:space="preserve"> milj. </w:t>
      </w:r>
      <w:proofErr w:type="spellStart"/>
      <w:r w:rsidRPr="00DD6512">
        <w:rPr>
          <w:i/>
          <w:sz w:val="26"/>
          <w:szCs w:val="26"/>
        </w:rPr>
        <w:t>euro</w:t>
      </w:r>
      <w:proofErr w:type="spellEnd"/>
      <w:r w:rsidRPr="00DD6512">
        <w:rPr>
          <w:i/>
          <w:sz w:val="26"/>
          <w:szCs w:val="26"/>
        </w:rPr>
        <w:t>,</w:t>
      </w:r>
      <w:r w:rsidRPr="00DD6512">
        <w:rPr>
          <w:sz w:val="26"/>
          <w:szCs w:val="26"/>
        </w:rPr>
        <w:t xml:space="preserve"> un tajos tika nodarbināti </w:t>
      </w:r>
      <w:r w:rsidR="00DD6512" w:rsidRPr="00DD6512">
        <w:rPr>
          <w:sz w:val="26"/>
          <w:szCs w:val="26"/>
        </w:rPr>
        <w:t>55</w:t>
      </w:r>
      <w:r w:rsidRPr="00DD6512">
        <w:rPr>
          <w:sz w:val="26"/>
          <w:szCs w:val="26"/>
        </w:rPr>
        <w:t xml:space="preserve"> darbinieki. </w:t>
      </w:r>
      <w:r w:rsidRPr="00D90666">
        <w:rPr>
          <w:sz w:val="26"/>
          <w:szCs w:val="26"/>
        </w:rPr>
        <w:t>Lielākais apgrozījums bija uzņēmumiem, kuru darbība ir saistīta ar</w:t>
      </w:r>
      <w:r w:rsidR="003873E0" w:rsidRPr="00D90666">
        <w:rPr>
          <w:sz w:val="26"/>
          <w:szCs w:val="26"/>
        </w:rPr>
        <w:t xml:space="preserve"> automobiļu virsbūvju</w:t>
      </w:r>
      <w:r w:rsidR="00D90666" w:rsidRPr="00D90666">
        <w:rPr>
          <w:sz w:val="26"/>
          <w:szCs w:val="26"/>
        </w:rPr>
        <w:t xml:space="preserve">, </w:t>
      </w:r>
      <w:r w:rsidR="003873E0" w:rsidRPr="00D90666">
        <w:rPr>
          <w:sz w:val="26"/>
          <w:szCs w:val="26"/>
        </w:rPr>
        <w:t>piekabju un puspiekabju ražošan</w:t>
      </w:r>
      <w:r w:rsidR="00D90666" w:rsidRPr="00D90666">
        <w:rPr>
          <w:sz w:val="26"/>
          <w:szCs w:val="26"/>
        </w:rPr>
        <w:t xml:space="preserve">u </w:t>
      </w:r>
      <w:r w:rsidR="003873E0" w:rsidRPr="00D90666">
        <w:rPr>
          <w:sz w:val="26"/>
          <w:szCs w:val="26"/>
        </w:rPr>
        <w:t>un</w:t>
      </w:r>
      <w:r w:rsidRPr="00D90666">
        <w:rPr>
          <w:sz w:val="26"/>
          <w:szCs w:val="26"/>
        </w:rPr>
        <w:t xml:space="preserve"> transporta palīgdarbībām.</w:t>
      </w:r>
    </w:p>
    <w:p w14:paraId="5C2BEB3C" w14:textId="77777777" w:rsidR="00AD226E" w:rsidRPr="00D7533E" w:rsidRDefault="00AD226E" w:rsidP="00D7533E">
      <w:pPr>
        <w:spacing w:after="120"/>
        <w:ind w:firstLine="425"/>
        <w:jc w:val="both"/>
        <w:rPr>
          <w:sz w:val="26"/>
          <w:szCs w:val="26"/>
        </w:rPr>
      </w:pPr>
    </w:p>
    <w:p w14:paraId="03E74F66" w14:textId="0622D954" w:rsidR="00E20B9C" w:rsidRPr="008F5FE4" w:rsidRDefault="003723C4" w:rsidP="00F56154">
      <w:pPr>
        <w:pStyle w:val="Heading1"/>
        <w:numPr>
          <w:ilvl w:val="0"/>
          <w:numId w:val="2"/>
        </w:numPr>
        <w:spacing w:before="0" w:after="120" w:line="240" w:lineRule="auto"/>
        <w:ind w:left="284" w:hanging="284"/>
        <w:rPr>
          <w:rFonts w:ascii="Times New Roman" w:hAnsi="Times New Roman"/>
          <w:color w:val="auto"/>
          <w:sz w:val="26"/>
          <w:szCs w:val="26"/>
        </w:rPr>
      </w:pPr>
      <w:r w:rsidRPr="008F5FE4">
        <w:rPr>
          <w:rFonts w:ascii="Times New Roman" w:hAnsi="Times New Roman"/>
          <w:color w:val="auto"/>
          <w:sz w:val="26"/>
          <w:szCs w:val="26"/>
        </w:rPr>
        <w:t>Ieguldījumi kapitālsabiedrību pamatkapitālā</w:t>
      </w:r>
    </w:p>
    <w:p w14:paraId="5BDD9F92" w14:textId="66C258DD" w:rsidR="003723C4" w:rsidRPr="001E1E7A" w:rsidRDefault="003723C4" w:rsidP="00EE07E7">
      <w:pPr>
        <w:spacing w:after="120"/>
        <w:ind w:firstLine="567"/>
        <w:jc w:val="both"/>
        <w:rPr>
          <w:sz w:val="26"/>
          <w:szCs w:val="26"/>
        </w:rPr>
      </w:pPr>
      <w:r w:rsidRPr="001E1E7A">
        <w:rPr>
          <w:sz w:val="26"/>
          <w:szCs w:val="26"/>
        </w:rPr>
        <w:t xml:space="preserve">Salīdzinājumā ar Imigrācijas likuma normām par nekustamā īpašuma iegādi un ieguldījumiem kredītiestāžu pakārtotajās saistībās, ieguldījumus kapitālsabiedrību pamatkapitālā vai amatu ieņemšanu Latvijā reģistrētos uzņēmumos kā pamatojumu TUA saņemšanai sākotnēji izmantoja retāk, pieprasījumu skaitam palielinoties 2012.-2014.gadā, kad šis ieguldījumu veids pieteikumu skaita ziņā pārsniedza sākotnēji par ieguldījumiem pamatkapitālā biežāk izmantoto investīciju veidu – ieguldījumu kredītiestādes pakārtotajās saistībās. </w:t>
      </w:r>
      <w:r w:rsidR="001E1E7A" w:rsidRPr="001E1E7A">
        <w:rPr>
          <w:sz w:val="26"/>
          <w:szCs w:val="26"/>
        </w:rPr>
        <w:t xml:space="preserve">Šī tendence </w:t>
      </w:r>
      <w:r w:rsidR="00891D68">
        <w:rPr>
          <w:sz w:val="26"/>
          <w:szCs w:val="26"/>
        </w:rPr>
        <w:t xml:space="preserve">saglabājas </w:t>
      </w:r>
      <w:r w:rsidR="001E1E7A" w:rsidRPr="001E1E7A">
        <w:rPr>
          <w:sz w:val="26"/>
          <w:szCs w:val="26"/>
        </w:rPr>
        <w:t>arī pārskata periodā.</w:t>
      </w:r>
    </w:p>
    <w:p w14:paraId="081CB5AC" w14:textId="77777777" w:rsidR="00EA602E" w:rsidRDefault="003723C4" w:rsidP="00EA602E">
      <w:pPr>
        <w:spacing w:after="120"/>
        <w:ind w:firstLine="567"/>
        <w:jc w:val="both"/>
        <w:rPr>
          <w:sz w:val="26"/>
          <w:szCs w:val="26"/>
        </w:rPr>
      </w:pPr>
      <w:r w:rsidRPr="001E1E7A">
        <w:rPr>
          <w:sz w:val="26"/>
          <w:szCs w:val="26"/>
        </w:rPr>
        <w:t>No 2015.gada pieteikumu skaits ir samazinājies, tāpat kā citos ieguldījumu veidos – ja 2014.gada laikā tika saņemti 178 pieteikumi, tad 2015.gadā – 82, 2016.gad</w:t>
      </w:r>
      <w:r w:rsidR="001E1E7A" w:rsidRPr="001E1E7A">
        <w:rPr>
          <w:sz w:val="26"/>
          <w:szCs w:val="26"/>
        </w:rPr>
        <w:t xml:space="preserve">ā </w:t>
      </w:r>
      <w:r w:rsidR="00BE024D">
        <w:rPr>
          <w:sz w:val="26"/>
          <w:szCs w:val="26"/>
        </w:rPr>
        <w:t>–</w:t>
      </w:r>
      <w:r w:rsidR="001E1E7A" w:rsidRPr="001E1E7A">
        <w:rPr>
          <w:sz w:val="26"/>
          <w:szCs w:val="26"/>
        </w:rPr>
        <w:t xml:space="preserve"> 55</w:t>
      </w:r>
      <w:r w:rsidR="00BE024D">
        <w:rPr>
          <w:sz w:val="26"/>
          <w:szCs w:val="26"/>
        </w:rPr>
        <w:t xml:space="preserve"> un</w:t>
      </w:r>
      <w:r w:rsidR="001E1E7A" w:rsidRPr="001E1E7A">
        <w:rPr>
          <w:sz w:val="26"/>
          <w:szCs w:val="26"/>
        </w:rPr>
        <w:t xml:space="preserve"> 2017.gadā </w:t>
      </w:r>
      <w:r w:rsidR="00891D68">
        <w:rPr>
          <w:sz w:val="26"/>
          <w:szCs w:val="26"/>
        </w:rPr>
        <w:t>–</w:t>
      </w:r>
      <w:r w:rsidR="001E1E7A" w:rsidRPr="001E1E7A">
        <w:rPr>
          <w:sz w:val="26"/>
          <w:szCs w:val="26"/>
        </w:rPr>
        <w:t xml:space="preserve"> </w:t>
      </w:r>
      <w:r w:rsidR="00BE024D">
        <w:rPr>
          <w:sz w:val="26"/>
          <w:szCs w:val="26"/>
        </w:rPr>
        <w:t>40 pieteikumi</w:t>
      </w:r>
      <w:r w:rsidR="00891D68">
        <w:rPr>
          <w:sz w:val="26"/>
          <w:szCs w:val="26"/>
        </w:rPr>
        <w:t>.</w:t>
      </w:r>
      <w:r w:rsidR="001E1E7A" w:rsidRPr="001E1E7A">
        <w:rPr>
          <w:sz w:val="26"/>
          <w:szCs w:val="26"/>
        </w:rPr>
        <w:t xml:space="preserve"> </w:t>
      </w:r>
      <w:r w:rsidR="00860759" w:rsidRPr="001E1E7A">
        <w:rPr>
          <w:sz w:val="26"/>
          <w:szCs w:val="26"/>
        </w:rPr>
        <w:t>201</w:t>
      </w:r>
      <w:r w:rsidR="001E1E7A" w:rsidRPr="001E1E7A">
        <w:rPr>
          <w:sz w:val="26"/>
          <w:szCs w:val="26"/>
        </w:rPr>
        <w:t>8</w:t>
      </w:r>
      <w:r w:rsidR="00860759" w:rsidRPr="001E1E7A">
        <w:rPr>
          <w:sz w:val="26"/>
          <w:szCs w:val="26"/>
        </w:rPr>
        <w:t>.gad</w:t>
      </w:r>
      <w:r w:rsidR="00891D68">
        <w:rPr>
          <w:sz w:val="26"/>
          <w:szCs w:val="26"/>
        </w:rPr>
        <w:t>ā pieteikumu skaits dubultojās</w:t>
      </w:r>
      <w:r w:rsidR="00BE024D">
        <w:rPr>
          <w:sz w:val="26"/>
          <w:szCs w:val="26"/>
        </w:rPr>
        <w:t>,</w:t>
      </w:r>
      <w:r w:rsidR="00891D68">
        <w:rPr>
          <w:sz w:val="26"/>
          <w:szCs w:val="26"/>
        </w:rPr>
        <w:t xml:space="preserve"> salīdzinot ar 2017</w:t>
      </w:r>
      <w:r w:rsidR="00BE024D">
        <w:rPr>
          <w:sz w:val="26"/>
          <w:szCs w:val="26"/>
        </w:rPr>
        <w:t xml:space="preserve">.gadu, </w:t>
      </w:r>
      <w:r w:rsidR="00860759" w:rsidRPr="001E1E7A">
        <w:rPr>
          <w:sz w:val="26"/>
          <w:szCs w:val="26"/>
        </w:rPr>
        <w:t>–</w:t>
      </w:r>
      <w:r w:rsidRPr="001E1E7A">
        <w:rPr>
          <w:sz w:val="26"/>
          <w:szCs w:val="26"/>
        </w:rPr>
        <w:t xml:space="preserve"> </w:t>
      </w:r>
      <w:r w:rsidR="00BE024D">
        <w:rPr>
          <w:sz w:val="26"/>
          <w:szCs w:val="26"/>
        </w:rPr>
        <w:t>saņemti 83</w:t>
      </w:r>
      <w:r w:rsidR="001E1E7A" w:rsidRPr="001E1E7A">
        <w:rPr>
          <w:sz w:val="26"/>
          <w:szCs w:val="26"/>
        </w:rPr>
        <w:t xml:space="preserve"> pieteikumi</w:t>
      </w:r>
      <w:r w:rsidR="00BE024D">
        <w:rPr>
          <w:sz w:val="26"/>
          <w:szCs w:val="26"/>
        </w:rPr>
        <w:t>, bet 2019.gadā saņemts 31 pieteikums.</w:t>
      </w:r>
      <w:r w:rsidR="00EA602E">
        <w:rPr>
          <w:sz w:val="26"/>
          <w:szCs w:val="26"/>
        </w:rPr>
        <w:t xml:space="preserve"> </w:t>
      </w:r>
    </w:p>
    <w:p w14:paraId="51E44950" w14:textId="70DA7F32" w:rsidR="003723C4" w:rsidRPr="001E1E7A" w:rsidRDefault="003723C4" w:rsidP="00EA602E">
      <w:pPr>
        <w:spacing w:after="120"/>
        <w:ind w:firstLine="567"/>
        <w:jc w:val="both"/>
      </w:pPr>
      <w:r w:rsidRPr="001E1E7A">
        <w:rPr>
          <w:sz w:val="26"/>
          <w:szCs w:val="26"/>
        </w:rPr>
        <w:t xml:space="preserve">Imigrācijas likuma </w:t>
      </w:r>
      <w:r w:rsidRPr="004F0263">
        <w:rPr>
          <w:sz w:val="26"/>
          <w:szCs w:val="26"/>
          <w:u w:val="single"/>
        </w:rPr>
        <w:t>23.panta pirmās daļas 28.punkts</w:t>
      </w:r>
      <w:r w:rsidRPr="001E1E7A">
        <w:rPr>
          <w:sz w:val="26"/>
          <w:szCs w:val="26"/>
        </w:rPr>
        <w:t xml:space="preserve"> paredz, ka ārzemnieks ir tiesīgs pieprasīt TUA uz laiku, ja viņš veicis ieguldījumu esošas kapitālsabiedrības pamatkapitālā, to palielinot, vai veicis ieguldījumu jaundibinātas kapitālsabiedrības pamatkapitālā. Imigrācijas likums līdz 2016.gada 1.jūlijam paredzēja, ka ārzemnieks-trešās valsts pilsonis var pretendēt uz TUA, ja veicis ieguldījumu 35 tūkst. </w:t>
      </w:r>
      <w:proofErr w:type="spellStart"/>
      <w:r w:rsidRPr="001E1E7A">
        <w:rPr>
          <w:i/>
          <w:sz w:val="26"/>
          <w:szCs w:val="26"/>
        </w:rPr>
        <w:t>euro</w:t>
      </w:r>
      <w:proofErr w:type="spellEnd"/>
      <w:r w:rsidRPr="001E1E7A">
        <w:rPr>
          <w:sz w:val="26"/>
          <w:szCs w:val="26"/>
        </w:rPr>
        <w:t xml:space="preserve"> apmērā kapitālsabiedrībā, kura nodarbina ne vairāk kā 50 darbiniekus un kuras gada apgrozījums vai gada bilance nepārsniedz 10 milj. </w:t>
      </w:r>
      <w:proofErr w:type="spellStart"/>
      <w:r w:rsidRPr="001E1E7A">
        <w:rPr>
          <w:i/>
          <w:sz w:val="26"/>
          <w:szCs w:val="26"/>
        </w:rPr>
        <w:t>euro</w:t>
      </w:r>
      <w:proofErr w:type="spellEnd"/>
      <w:r w:rsidRPr="001E1E7A">
        <w:rPr>
          <w:sz w:val="26"/>
          <w:szCs w:val="26"/>
        </w:rPr>
        <w:t>. No 2014.gada 1.janvāra līdz 2016.gada 1.jūlijam spēkā bija Imigrācijas likuma regulējums, kas šāda veida ieguldījuma veikšanas gadījumā pieļāva TUA izsniegšanu ne vairāk kā trīs ārzemniekiem, tādējādi izslēdzot iespēju, ka praktiski neierobežots skaits ārzemnieku var saņemt uzturēšanās atļauju, veicot nelielu ieguldījumu uzņēmumā, kurš veic formālu nodokļu nomaksu 40 </w:t>
      </w:r>
      <w:r w:rsidR="00CE0030">
        <w:rPr>
          <w:sz w:val="26"/>
          <w:szCs w:val="26"/>
        </w:rPr>
        <w:t>tūkst.</w:t>
      </w:r>
      <w:r w:rsidRPr="001E1E7A">
        <w:rPr>
          <w:sz w:val="26"/>
          <w:szCs w:val="26"/>
        </w:rPr>
        <w:t xml:space="preserve"> </w:t>
      </w:r>
      <w:proofErr w:type="spellStart"/>
      <w:r w:rsidRPr="001E1E7A">
        <w:rPr>
          <w:i/>
          <w:sz w:val="26"/>
          <w:szCs w:val="26"/>
        </w:rPr>
        <w:t>euro</w:t>
      </w:r>
      <w:proofErr w:type="spellEnd"/>
      <w:r w:rsidRPr="001E1E7A">
        <w:rPr>
          <w:sz w:val="26"/>
          <w:szCs w:val="26"/>
        </w:rPr>
        <w:t xml:space="preserve"> apjomā gada laikā.</w:t>
      </w:r>
      <w:r w:rsidRPr="001E1E7A">
        <w:t xml:space="preserve"> </w:t>
      </w:r>
    </w:p>
    <w:p w14:paraId="3DDD5FA7" w14:textId="42886CF2" w:rsidR="003723C4" w:rsidRPr="001E1E7A" w:rsidRDefault="003723C4" w:rsidP="006E5081">
      <w:pPr>
        <w:pStyle w:val="tv213"/>
        <w:spacing w:before="0" w:beforeAutospacing="0" w:after="0" w:afterAutospacing="0"/>
        <w:ind w:firstLine="426"/>
        <w:jc w:val="both"/>
        <w:rPr>
          <w:sz w:val="26"/>
          <w:szCs w:val="26"/>
        </w:rPr>
      </w:pPr>
      <w:r w:rsidRPr="001E1E7A">
        <w:rPr>
          <w:sz w:val="26"/>
          <w:szCs w:val="26"/>
        </w:rPr>
        <w:t xml:space="preserve">Saskaņā ar grozījumiem Imigrācijas likumā, kuri stājās spēkā 2016.gada 1.jūlijā, ieguldījumu var veikt līdz pat 10 ārzemniekiem, bet tā minimālais apjoms ir palielināts līdz 50 </w:t>
      </w:r>
      <w:r w:rsidR="00CE0030">
        <w:rPr>
          <w:sz w:val="26"/>
          <w:szCs w:val="26"/>
        </w:rPr>
        <w:t>tūkst.</w:t>
      </w:r>
      <w:r w:rsidRPr="001E1E7A">
        <w:rPr>
          <w:sz w:val="26"/>
          <w:szCs w:val="26"/>
        </w:rPr>
        <w:t xml:space="preserve"> </w:t>
      </w:r>
      <w:proofErr w:type="spellStart"/>
      <w:r w:rsidRPr="001E1E7A">
        <w:rPr>
          <w:i/>
          <w:sz w:val="26"/>
          <w:szCs w:val="26"/>
        </w:rPr>
        <w:t>euro</w:t>
      </w:r>
      <w:proofErr w:type="spellEnd"/>
      <w:r w:rsidRPr="001E1E7A">
        <w:rPr>
          <w:sz w:val="26"/>
          <w:szCs w:val="26"/>
        </w:rPr>
        <w:t xml:space="preserve">, turklāt paredzēts arī maksājums Ekonomiskās attīstības fondā </w:t>
      </w:r>
      <w:r w:rsidR="00CE0030">
        <w:rPr>
          <w:sz w:val="26"/>
          <w:szCs w:val="26"/>
        </w:rPr>
        <w:br/>
      </w:r>
      <w:r w:rsidRPr="001E1E7A">
        <w:rPr>
          <w:sz w:val="26"/>
          <w:szCs w:val="26"/>
        </w:rPr>
        <w:t xml:space="preserve">10 </w:t>
      </w:r>
      <w:r w:rsidR="00CE0030">
        <w:rPr>
          <w:sz w:val="26"/>
          <w:szCs w:val="26"/>
        </w:rPr>
        <w:t>tūkst.</w:t>
      </w:r>
      <w:r w:rsidRPr="001E1E7A">
        <w:rPr>
          <w:sz w:val="26"/>
          <w:szCs w:val="26"/>
        </w:rPr>
        <w:t xml:space="preserve"> </w:t>
      </w:r>
      <w:proofErr w:type="spellStart"/>
      <w:r w:rsidRPr="001E1E7A">
        <w:rPr>
          <w:i/>
          <w:sz w:val="26"/>
          <w:szCs w:val="26"/>
        </w:rPr>
        <w:t>euro</w:t>
      </w:r>
      <w:proofErr w:type="spellEnd"/>
      <w:r w:rsidRPr="001E1E7A">
        <w:rPr>
          <w:i/>
          <w:sz w:val="26"/>
          <w:szCs w:val="26"/>
        </w:rPr>
        <w:t xml:space="preserve"> </w:t>
      </w:r>
      <w:r w:rsidRPr="001E1E7A">
        <w:rPr>
          <w:sz w:val="26"/>
          <w:szCs w:val="26"/>
        </w:rPr>
        <w:t>apmērā.</w:t>
      </w:r>
      <w:r w:rsidRPr="001E1E7A">
        <w:t xml:space="preserve"> </w:t>
      </w:r>
      <w:r w:rsidRPr="001E1E7A">
        <w:rPr>
          <w:sz w:val="26"/>
          <w:szCs w:val="26"/>
        </w:rPr>
        <w:t xml:space="preserve">Otra veida ieguldījums attiecas uz kapitālsabiedrībām, kuras nodarbina vairāk nekā 50 darbinieku un kuru gada apgrozījums vai gada bilance pārsniedz 10 milj. </w:t>
      </w:r>
      <w:proofErr w:type="spellStart"/>
      <w:r w:rsidRPr="001E1E7A">
        <w:rPr>
          <w:i/>
          <w:sz w:val="26"/>
          <w:szCs w:val="26"/>
        </w:rPr>
        <w:t>euro</w:t>
      </w:r>
      <w:proofErr w:type="spellEnd"/>
      <w:r w:rsidRPr="001E1E7A">
        <w:rPr>
          <w:sz w:val="26"/>
          <w:szCs w:val="26"/>
        </w:rPr>
        <w:t>. Šādā gadījumā ieguldījumam jābūt vismaz 150 </w:t>
      </w:r>
      <w:r w:rsidR="00CE0030">
        <w:rPr>
          <w:sz w:val="26"/>
          <w:szCs w:val="26"/>
        </w:rPr>
        <w:t>tūkst.</w:t>
      </w:r>
      <w:r w:rsidRPr="001E1E7A">
        <w:rPr>
          <w:sz w:val="26"/>
          <w:szCs w:val="26"/>
        </w:rPr>
        <w:t xml:space="preserve"> </w:t>
      </w:r>
      <w:proofErr w:type="spellStart"/>
      <w:r w:rsidRPr="001E1E7A">
        <w:rPr>
          <w:i/>
          <w:sz w:val="26"/>
          <w:szCs w:val="26"/>
        </w:rPr>
        <w:t>euro</w:t>
      </w:r>
      <w:proofErr w:type="spellEnd"/>
      <w:r w:rsidRPr="001E1E7A">
        <w:rPr>
          <w:sz w:val="26"/>
          <w:szCs w:val="26"/>
        </w:rPr>
        <w:t xml:space="preserve"> apmērā. Līdz 2016.gada 1.jūlijam šādām kapitālsabiedrībām netika noteikts minimālais valsts budžetā samaksājamo nodokļu apmērs, bet no 2016.gada 1.jūlija katrā pārskata gadā šādai kapitālsabiedrībai jāveic nodokļu maksājumi vismaz 100 </w:t>
      </w:r>
      <w:r w:rsidR="00CE0030">
        <w:rPr>
          <w:sz w:val="26"/>
          <w:szCs w:val="26"/>
        </w:rPr>
        <w:t>tūkst.</w:t>
      </w:r>
      <w:r w:rsidRPr="001E1E7A">
        <w:rPr>
          <w:sz w:val="26"/>
          <w:szCs w:val="26"/>
        </w:rPr>
        <w:t xml:space="preserve"> </w:t>
      </w:r>
      <w:proofErr w:type="spellStart"/>
      <w:r w:rsidRPr="001E1E7A">
        <w:rPr>
          <w:i/>
          <w:sz w:val="26"/>
          <w:szCs w:val="26"/>
        </w:rPr>
        <w:t>euro</w:t>
      </w:r>
      <w:proofErr w:type="spellEnd"/>
      <w:r w:rsidRPr="001E1E7A">
        <w:rPr>
          <w:i/>
          <w:sz w:val="26"/>
          <w:szCs w:val="26"/>
        </w:rPr>
        <w:t xml:space="preserve"> </w:t>
      </w:r>
      <w:r w:rsidRPr="001E1E7A">
        <w:rPr>
          <w:sz w:val="26"/>
          <w:szCs w:val="26"/>
        </w:rPr>
        <w:t xml:space="preserve">apmērā. </w:t>
      </w:r>
      <w:r w:rsidR="006E5081" w:rsidRPr="001E1E7A">
        <w:rPr>
          <w:sz w:val="26"/>
          <w:szCs w:val="26"/>
        </w:rPr>
        <w:lastRenderedPageBreak/>
        <w:t>Imigrācijas likums paredz</w:t>
      </w:r>
      <w:r w:rsidRPr="001E1E7A">
        <w:rPr>
          <w:sz w:val="26"/>
          <w:szCs w:val="26"/>
        </w:rPr>
        <w:t xml:space="preserve"> arī iespēju investēt tādā uzņēmumā, kurš nodokļu samaksas kritēriju izpilda, ņemot vērā arī meitas uzņēmumu saimnieciskās darbības rezultātus.</w:t>
      </w:r>
    </w:p>
    <w:p w14:paraId="7F572F4F" w14:textId="77777777" w:rsidR="002A7584" w:rsidRPr="001E1E7A" w:rsidRDefault="002A7584" w:rsidP="006E5081">
      <w:pPr>
        <w:pStyle w:val="tv213"/>
        <w:spacing w:before="0" w:beforeAutospacing="0" w:after="120" w:afterAutospacing="0"/>
        <w:ind w:firstLine="426"/>
        <w:jc w:val="right"/>
        <w:rPr>
          <w:sz w:val="26"/>
          <w:szCs w:val="26"/>
        </w:rPr>
      </w:pPr>
    </w:p>
    <w:p w14:paraId="720A25D5" w14:textId="77777777" w:rsidR="000A333D" w:rsidRPr="001E1E7A" w:rsidRDefault="000A333D" w:rsidP="00EA602E">
      <w:pPr>
        <w:pStyle w:val="tv213"/>
        <w:spacing w:before="0" w:beforeAutospacing="0" w:after="120" w:afterAutospacing="0"/>
        <w:jc w:val="center"/>
        <w:rPr>
          <w:b/>
          <w:sz w:val="26"/>
          <w:szCs w:val="26"/>
        </w:rPr>
      </w:pPr>
      <w:r w:rsidRPr="001E1E7A">
        <w:rPr>
          <w:b/>
        </w:rPr>
        <w:t>Ar TUA saistītie ieguldījumi kapitālsabiedrību pamatkapitālā</w:t>
      </w:r>
    </w:p>
    <w:p w14:paraId="39B5CFD6" w14:textId="77777777" w:rsidR="00B85ECE" w:rsidRDefault="00B85ECE" w:rsidP="00B85ECE">
      <w:pPr>
        <w:pStyle w:val="tv213"/>
        <w:spacing w:before="0" w:beforeAutospacing="0" w:after="120" w:afterAutospacing="0"/>
        <w:ind w:firstLine="567"/>
        <w:jc w:val="both"/>
        <w:rPr>
          <w:sz w:val="26"/>
          <w:szCs w:val="26"/>
        </w:rPr>
      </w:pPr>
      <w:r w:rsidRPr="00C6403E">
        <w:rPr>
          <w:sz w:val="26"/>
          <w:szCs w:val="26"/>
        </w:rPr>
        <w:t>Attiecīgās Imigrācijas likuma normas ietvaros kopš 2010.gada 1.jūlija kapitālsabiedrību pamatkapitālā veikti ieguldījumi 511 Latvijā reģistrētās kapitālsabiedrībās, sasniedzot tikai 6% no kopējiem ar investīciju programmu saistītajiem ieguldījumiem.</w:t>
      </w:r>
    </w:p>
    <w:p w14:paraId="0EF31811" w14:textId="09EFEB43" w:rsidR="00B85ECE" w:rsidRDefault="00B85ECE" w:rsidP="00B85ECE">
      <w:pPr>
        <w:pStyle w:val="tv213"/>
        <w:spacing w:before="0" w:beforeAutospacing="0" w:after="120" w:afterAutospacing="0"/>
        <w:ind w:firstLine="567"/>
        <w:jc w:val="both"/>
        <w:rPr>
          <w:sz w:val="26"/>
          <w:szCs w:val="26"/>
        </w:rPr>
      </w:pPr>
      <w:r>
        <w:rPr>
          <w:sz w:val="26"/>
          <w:szCs w:val="26"/>
        </w:rPr>
        <w:t>Saskaņā ar LURSOFT datiem, nerezidentu uzkrātās investīcijas Latvijā reģistrēto uzņēmumu pamatkapitālā laika periodā no 2010.gada līdz 2019.gada jūlijam pieauga par 41,5%. Ar TUA saistīto investīciju devums pieaugumā</w:t>
      </w:r>
      <w:r w:rsidR="009573D3">
        <w:rPr>
          <w:sz w:val="26"/>
          <w:szCs w:val="26"/>
        </w:rPr>
        <w:t xml:space="preserve"> bija neliels -</w:t>
      </w:r>
      <w:r>
        <w:rPr>
          <w:sz w:val="26"/>
          <w:szCs w:val="26"/>
        </w:rPr>
        <w:t xml:space="preserve"> </w:t>
      </w:r>
      <w:r w:rsidR="009573D3">
        <w:rPr>
          <w:sz w:val="26"/>
          <w:szCs w:val="26"/>
        </w:rPr>
        <w:t>aptuveni</w:t>
      </w:r>
      <w:r>
        <w:rPr>
          <w:sz w:val="26"/>
          <w:szCs w:val="26"/>
        </w:rPr>
        <w:t xml:space="preserve"> 2 procentpunkti. Tas liecina, ka kopumā TUA instruments nav noteicošs stimuls ārvalstu kapitāla piesaistei reālajā sektorā (instrumenta  ietekme ir vāja). Tomēr jāatzīmē, ka atsevišķu valstu, kā piemēram Krievijas, Vjetnamas, Pakistānas, investoriem, tas ir bijis noteicošais stimuls ieguldījumiem Latvijā reģistrētu uzņēmumu pamatkapitālā.</w:t>
      </w:r>
    </w:p>
    <w:p w14:paraId="68C6675E" w14:textId="5872A19E" w:rsidR="003723C4" w:rsidRDefault="003723C4" w:rsidP="00896644">
      <w:pPr>
        <w:pStyle w:val="tv213"/>
        <w:spacing w:before="0" w:beforeAutospacing="0" w:after="120" w:afterAutospacing="0"/>
        <w:ind w:firstLine="567"/>
        <w:jc w:val="both"/>
        <w:rPr>
          <w:sz w:val="26"/>
          <w:szCs w:val="26"/>
        </w:rPr>
      </w:pPr>
      <w:r w:rsidRPr="00FA7C7C">
        <w:rPr>
          <w:sz w:val="26"/>
          <w:szCs w:val="26"/>
        </w:rPr>
        <w:t xml:space="preserve">Ar TUA saistīto ieguldījumu kapitālsabiedrībās apjoms, tāpat kā pieteikumu skaits, pakāpeniski pieauga sākot no 2010.gada, augstāko līmeni sasniedzot 2013.gadā, kad investīciju apjoms bija 29,3 milj. </w:t>
      </w:r>
      <w:proofErr w:type="spellStart"/>
      <w:r w:rsidRPr="00FA7C7C">
        <w:rPr>
          <w:i/>
          <w:sz w:val="26"/>
          <w:szCs w:val="26"/>
        </w:rPr>
        <w:t>euro</w:t>
      </w:r>
      <w:proofErr w:type="spellEnd"/>
      <w:r w:rsidRPr="00FA7C7C">
        <w:rPr>
          <w:sz w:val="26"/>
          <w:szCs w:val="26"/>
        </w:rPr>
        <w:t xml:space="preserve">. Pēc grozījumiem Imigrācijas likumā, kas stājās spēkā 2014.gada 1.janvārī un noteica, ka turpmāk par šāda ieguldījuma veikšanu kapitālsabiedrību pamatkapitālā TUA var izsniegt ne </w:t>
      </w:r>
      <w:r w:rsidRPr="00EA602E">
        <w:rPr>
          <w:sz w:val="26"/>
          <w:szCs w:val="26"/>
        </w:rPr>
        <w:t xml:space="preserve">vairāk kā trīs ārzemniekiem, investīciju kopējais apjoms 2014.gadā samazinājās līdz 18,8 milj. </w:t>
      </w:r>
      <w:proofErr w:type="spellStart"/>
      <w:r w:rsidRPr="00EA602E">
        <w:rPr>
          <w:i/>
          <w:sz w:val="26"/>
          <w:szCs w:val="26"/>
        </w:rPr>
        <w:t>euro</w:t>
      </w:r>
      <w:proofErr w:type="spellEnd"/>
      <w:r w:rsidRPr="00EA602E">
        <w:rPr>
          <w:sz w:val="26"/>
          <w:szCs w:val="26"/>
        </w:rPr>
        <w:t xml:space="preserve">, 2015.gadā investīciju apjoms bija 7,4 milj. </w:t>
      </w:r>
      <w:proofErr w:type="spellStart"/>
      <w:r w:rsidRPr="00EA602E">
        <w:rPr>
          <w:i/>
          <w:sz w:val="26"/>
          <w:szCs w:val="26"/>
        </w:rPr>
        <w:t>euro</w:t>
      </w:r>
      <w:proofErr w:type="spellEnd"/>
      <w:r w:rsidR="00896644" w:rsidRPr="00EA602E">
        <w:rPr>
          <w:i/>
          <w:sz w:val="26"/>
          <w:szCs w:val="26"/>
        </w:rPr>
        <w:t xml:space="preserve"> </w:t>
      </w:r>
      <w:r w:rsidR="00896644" w:rsidRPr="00EA602E">
        <w:rPr>
          <w:sz w:val="26"/>
          <w:szCs w:val="26"/>
        </w:rPr>
        <w:t>un</w:t>
      </w:r>
      <w:r w:rsidRPr="00EA602E">
        <w:rPr>
          <w:i/>
          <w:sz w:val="26"/>
          <w:szCs w:val="26"/>
        </w:rPr>
        <w:t xml:space="preserve"> </w:t>
      </w:r>
      <w:r w:rsidRPr="00EA602E">
        <w:rPr>
          <w:sz w:val="26"/>
          <w:szCs w:val="26"/>
        </w:rPr>
        <w:t>2016.gad</w:t>
      </w:r>
      <w:r w:rsidR="00E47518" w:rsidRPr="00EA602E">
        <w:rPr>
          <w:sz w:val="26"/>
          <w:szCs w:val="26"/>
        </w:rPr>
        <w:t>ā</w:t>
      </w:r>
      <w:r w:rsidRPr="00EA602E">
        <w:rPr>
          <w:sz w:val="26"/>
          <w:szCs w:val="26"/>
        </w:rPr>
        <w:t xml:space="preserve"> </w:t>
      </w:r>
      <w:r w:rsidR="00E47518" w:rsidRPr="00EA602E">
        <w:rPr>
          <w:sz w:val="26"/>
          <w:szCs w:val="26"/>
        </w:rPr>
        <w:t>– 3,2 milj.</w:t>
      </w:r>
      <w:r w:rsidR="003F2225" w:rsidRPr="00EA602E">
        <w:rPr>
          <w:sz w:val="26"/>
          <w:szCs w:val="26"/>
        </w:rPr>
        <w:t xml:space="preserve"> </w:t>
      </w:r>
      <w:proofErr w:type="spellStart"/>
      <w:r w:rsidR="00E47518" w:rsidRPr="00EA602E">
        <w:rPr>
          <w:i/>
          <w:sz w:val="26"/>
          <w:szCs w:val="26"/>
        </w:rPr>
        <w:t>euro</w:t>
      </w:r>
      <w:proofErr w:type="spellEnd"/>
      <w:r w:rsidR="00896644" w:rsidRPr="00EA602E">
        <w:rPr>
          <w:sz w:val="26"/>
          <w:szCs w:val="26"/>
        </w:rPr>
        <w:t>.</w:t>
      </w:r>
      <w:r w:rsidR="00E47518" w:rsidRPr="00EA602E">
        <w:rPr>
          <w:sz w:val="26"/>
          <w:szCs w:val="26"/>
        </w:rPr>
        <w:t xml:space="preserve"> 2017.gad</w:t>
      </w:r>
      <w:r w:rsidR="00FA7C7C" w:rsidRPr="00EA602E">
        <w:rPr>
          <w:sz w:val="26"/>
          <w:szCs w:val="26"/>
        </w:rPr>
        <w:t xml:space="preserve">ā </w:t>
      </w:r>
      <w:r w:rsidR="00896644" w:rsidRPr="00EA602E">
        <w:rPr>
          <w:sz w:val="26"/>
          <w:szCs w:val="26"/>
        </w:rPr>
        <w:t xml:space="preserve">investīciju apjoms pieauga līdz </w:t>
      </w:r>
      <w:r w:rsidR="00FA7C7C" w:rsidRPr="00EA602E">
        <w:rPr>
          <w:sz w:val="26"/>
          <w:szCs w:val="26"/>
        </w:rPr>
        <w:t>5,5 milj.</w:t>
      </w:r>
      <w:r w:rsidR="00E17FB4" w:rsidRPr="00EA602E">
        <w:rPr>
          <w:sz w:val="26"/>
          <w:szCs w:val="26"/>
        </w:rPr>
        <w:t xml:space="preserve"> </w:t>
      </w:r>
      <w:proofErr w:type="spellStart"/>
      <w:r w:rsidR="00FA7C7C" w:rsidRPr="00EA602E">
        <w:rPr>
          <w:i/>
          <w:sz w:val="26"/>
          <w:szCs w:val="26"/>
        </w:rPr>
        <w:t>euro</w:t>
      </w:r>
      <w:proofErr w:type="spellEnd"/>
      <w:r w:rsidR="00896644" w:rsidRPr="00EA602E">
        <w:rPr>
          <w:sz w:val="26"/>
          <w:szCs w:val="26"/>
        </w:rPr>
        <w:t xml:space="preserve"> un turpināja pieaugt arī</w:t>
      </w:r>
      <w:r w:rsidR="00FA7C7C" w:rsidRPr="00EA602E">
        <w:rPr>
          <w:sz w:val="26"/>
          <w:szCs w:val="26"/>
        </w:rPr>
        <w:t xml:space="preserve"> 2018.gad</w:t>
      </w:r>
      <w:r w:rsidR="00E17FB4" w:rsidRPr="00EA602E">
        <w:rPr>
          <w:sz w:val="26"/>
          <w:szCs w:val="26"/>
        </w:rPr>
        <w:t>ā</w:t>
      </w:r>
      <w:r w:rsidR="00896644" w:rsidRPr="00EA602E">
        <w:rPr>
          <w:sz w:val="26"/>
          <w:szCs w:val="26"/>
        </w:rPr>
        <w:t xml:space="preserve"> sasniedzot</w:t>
      </w:r>
      <w:r w:rsidRPr="00EA602E">
        <w:rPr>
          <w:sz w:val="26"/>
          <w:szCs w:val="26"/>
        </w:rPr>
        <w:t xml:space="preserve"> </w:t>
      </w:r>
      <w:r w:rsidR="00E17FB4" w:rsidRPr="00EA602E">
        <w:rPr>
          <w:sz w:val="26"/>
          <w:szCs w:val="26"/>
        </w:rPr>
        <w:t>7</w:t>
      </w:r>
      <w:r w:rsidRPr="00EA602E">
        <w:rPr>
          <w:sz w:val="26"/>
          <w:szCs w:val="26"/>
        </w:rPr>
        <w:t>,</w:t>
      </w:r>
      <w:r w:rsidR="00E17FB4" w:rsidRPr="00EA602E">
        <w:rPr>
          <w:sz w:val="26"/>
          <w:szCs w:val="26"/>
        </w:rPr>
        <w:t>6</w:t>
      </w:r>
      <w:r w:rsidRPr="00EA602E">
        <w:rPr>
          <w:sz w:val="26"/>
          <w:szCs w:val="26"/>
        </w:rPr>
        <w:t xml:space="preserve"> milj. </w:t>
      </w:r>
      <w:proofErr w:type="spellStart"/>
      <w:r w:rsidRPr="00EA602E">
        <w:rPr>
          <w:i/>
          <w:sz w:val="26"/>
          <w:szCs w:val="26"/>
        </w:rPr>
        <w:t>euro</w:t>
      </w:r>
      <w:proofErr w:type="spellEnd"/>
      <w:r w:rsidRPr="00EA602E">
        <w:rPr>
          <w:i/>
          <w:sz w:val="26"/>
          <w:szCs w:val="26"/>
        </w:rPr>
        <w:t>.</w:t>
      </w:r>
      <w:r w:rsidR="00D8175F" w:rsidRPr="00EA602E">
        <w:rPr>
          <w:sz w:val="26"/>
          <w:szCs w:val="26"/>
        </w:rPr>
        <w:t xml:space="preserve"> </w:t>
      </w:r>
      <w:r w:rsidR="00896644" w:rsidRPr="00EA602E">
        <w:rPr>
          <w:sz w:val="26"/>
          <w:szCs w:val="26"/>
        </w:rPr>
        <w:t xml:space="preserve">Savukārt </w:t>
      </w:r>
      <w:r w:rsidR="00E17FB4" w:rsidRPr="00EA602E">
        <w:rPr>
          <w:sz w:val="26"/>
          <w:szCs w:val="26"/>
        </w:rPr>
        <w:t xml:space="preserve">2019.gada I pusgadā </w:t>
      </w:r>
      <w:r w:rsidR="00896644" w:rsidRPr="00EA602E">
        <w:rPr>
          <w:sz w:val="26"/>
          <w:szCs w:val="26"/>
        </w:rPr>
        <w:t xml:space="preserve">ieguldījumu apjoms bija </w:t>
      </w:r>
      <w:r w:rsidR="00896644" w:rsidRPr="00EA602E">
        <w:rPr>
          <w:sz w:val="26"/>
          <w:szCs w:val="26"/>
        </w:rPr>
        <w:br/>
        <w:t xml:space="preserve">1,5 milj. </w:t>
      </w:r>
      <w:proofErr w:type="spellStart"/>
      <w:r w:rsidR="00896644" w:rsidRPr="00EA602E">
        <w:rPr>
          <w:i/>
          <w:sz w:val="26"/>
          <w:szCs w:val="26"/>
        </w:rPr>
        <w:t>euro</w:t>
      </w:r>
      <w:proofErr w:type="spellEnd"/>
      <w:r w:rsidR="00896644" w:rsidRPr="00EA602E">
        <w:rPr>
          <w:sz w:val="26"/>
          <w:szCs w:val="26"/>
        </w:rPr>
        <w:t>, kas ir trīs reizes mazāk kā 2018.gada I pusgadā.</w:t>
      </w:r>
    </w:p>
    <w:p w14:paraId="0D76730B" w14:textId="77777777" w:rsidR="0002406E" w:rsidRPr="00CA02B9" w:rsidRDefault="0002406E" w:rsidP="0002406E">
      <w:pPr>
        <w:pStyle w:val="tv213"/>
        <w:spacing w:before="0" w:beforeAutospacing="0" w:after="120" w:afterAutospacing="0"/>
        <w:ind w:firstLine="567"/>
        <w:jc w:val="both"/>
        <w:rPr>
          <w:sz w:val="26"/>
          <w:szCs w:val="26"/>
        </w:rPr>
      </w:pPr>
      <w:r w:rsidRPr="00CA02B9">
        <w:rPr>
          <w:sz w:val="26"/>
          <w:szCs w:val="26"/>
        </w:rPr>
        <w:t>Ja salīdzina pieteikumu skaitu, kas saistīti ar ieguldījumiem mazajās un vidējās kapitālsabiedrībās un lielajās kapitālsabiedrībās, jāsecina, ka absolūti lielākajā vairumā gadījumu ieguldījumu apmērs ir mazāks par 150 </w:t>
      </w:r>
      <w:r>
        <w:rPr>
          <w:sz w:val="26"/>
          <w:szCs w:val="26"/>
        </w:rPr>
        <w:t xml:space="preserve">tūkst. </w:t>
      </w:r>
      <w:proofErr w:type="spellStart"/>
      <w:r w:rsidRPr="00CA02B9">
        <w:rPr>
          <w:i/>
          <w:sz w:val="26"/>
          <w:szCs w:val="26"/>
        </w:rPr>
        <w:t>euro</w:t>
      </w:r>
      <w:proofErr w:type="spellEnd"/>
      <w:r>
        <w:rPr>
          <w:sz w:val="26"/>
          <w:szCs w:val="26"/>
        </w:rPr>
        <w:t xml:space="preserve"> (2018.gadā – 95</w:t>
      </w:r>
      <w:r w:rsidRPr="00CA02B9">
        <w:rPr>
          <w:sz w:val="26"/>
          <w:szCs w:val="26"/>
        </w:rPr>
        <w:t xml:space="preserve">%, 2017.gadā – 93%, 2016.gadā – 95%, 2015.gadā – 95%, 2014.gadā – 87%). </w:t>
      </w:r>
      <w:r>
        <w:rPr>
          <w:sz w:val="26"/>
          <w:szCs w:val="26"/>
        </w:rPr>
        <w:t xml:space="preserve">2019.gada I pusgadā neviens ieguldījums nebija lielāks par 60 tūkst. </w:t>
      </w:r>
      <w:proofErr w:type="spellStart"/>
      <w:r w:rsidRPr="0069311E">
        <w:rPr>
          <w:i/>
          <w:sz w:val="26"/>
          <w:szCs w:val="26"/>
        </w:rPr>
        <w:t>euro</w:t>
      </w:r>
      <w:proofErr w:type="spellEnd"/>
      <w:r>
        <w:rPr>
          <w:sz w:val="26"/>
          <w:szCs w:val="26"/>
        </w:rPr>
        <w:t xml:space="preserve">. </w:t>
      </w:r>
      <w:r w:rsidRPr="00CA02B9">
        <w:rPr>
          <w:sz w:val="26"/>
          <w:szCs w:val="26"/>
        </w:rPr>
        <w:t xml:space="preserve">Vairumā gadījumu ieguldījuma apmērs ir vienāds vai tuvu likumā noteiktajam minimālajam ieguldījuma apmēram (skatīt </w:t>
      </w:r>
      <w:r>
        <w:rPr>
          <w:sz w:val="26"/>
          <w:szCs w:val="26"/>
        </w:rPr>
        <w:t>3</w:t>
      </w:r>
      <w:r w:rsidRPr="00CA02B9">
        <w:rPr>
          <w:sz w:val="26"/>
          <w:szCs w:val="26"/>
        </w:rPr>
        <w:t>.attēlu).</w:t>
      </w:r>
    </w:p>
    <w:p w14:paraId="0CF42FFB" w14:textId="77777777" w:rsidR="00B85ECE" w:rsidRPr="00B97891" w:rsidRDefault="00B85ECE" w:rsidP="00B85ECE">
      <w:pPr>
        <w:pStyle w:val="tv213"/>
        <w:spacing w:before="0" w:beforeAutospacing="0" w:after="120" w:afterAutospacing="0"/>
        <w:ind w:firstLine="567"/>
        <w:jc w:val="both"/>
        <w:rPr>
          <w:sz w:val="26"/>
          <w:szCs w:val="26"/>
        </w:rPr>
      </w:pPr>
      <w:r w:rsidRPr="00B97891">
        <w:rPr>
          <w:sz w:val="26"/>
          <w:szCs w:val="26"/>
        </w:rPr>
        <w:t>Kopumā</w:t>
      </w:r>
      <w:r>
        <w:rPr>
          <w:sz w:val="26"/>
          <w:szCs w:val="26"/>
        </w:rPr>
        <w:t xml:space="preserve"> pārskata periodā (no 2018</w:t>
      </w:r>
      <w:r w:rsidRPr="00B97891">
        <w:rPr>
          <w:sz w:val="26"/>
          <w:szCs w:val="26"/>
        </w:rPr>
        <w:t>.gada 1.jūlija</w:t>
      </w:r>
      <w:r>
        <w:rPr>
          <w:sz w:val="26"/>
          <w:szCs w:val="26"/>
        </w:rPr>
        <w:t xml:space="preserve"> līdz 2019.gada 30.jūnijam</w:t>
      </w:r>
      <w:r w:rsidRPr="00B97891">
        <w:rPr>
          <w:sz w:val="26"/>
          <w:szCs w:val="26"/>
        </w:rPr>
        <w:t>) investīcijas vienas un tās pašas kapitālsabiedrības pamatkapitālā vairumā gadījum</w:t>
      </w:r>
      <w:r>
        <w:rPr>
          <w:sz w:val="26"/>
          <w:szCs w:val="26"/>
        </w:rPr>
        <w:t>u veicis viens TUA pieteicējs, 4 gadījumos – 2 TUA pieteicēji, 4 gadījumos – 3 TUA pieteicēji, 2 gadījumos – 4 TUA pieteicēji, 2</w:t>
      </w:r>
      <w:r w:rsidRPr="00B97891">
        <w:rPr>
          <w:sz w:val="26"/>
          <w:szCs w:val="26"/>
        </w:rPr>
        <w:t xml:space="preserve"> g</w:t>
      </w:r>
      <w:r>
        <w:rPr>
          <w:sz w:val="26"/>
          <w:szCs w:val="26"/>
        </w:rPr>
        <w:t>adījumos – 5</w:t>
      </w:r>
      <w:r w:rsidRPr="00B97891">
        <w:rPr>
          <w:sz w:val="26"/>
          <w:szCs w:val="26"/>
        </w:rPr>
        <w:t xml:space="preserve"> TU</w:t>
      </w:r>
      <w:r>
        <w:rPr>
          <w:sz w:val="26"/>
          <w:szCs w:val="26"/>
        </w:rPr>
        <w:t>A pieteicēji, vienā gadījumā – 8</w:t>
      </w:r>
      <w:r w:rsidRPr="00B97891">
        <w:rPr>
          <w:sz w:val="26"/>
          <w:szCs w:val="26"/>
        </w:rPr>
        <w:t xml:space="preserve"> TUA pieteicēji, </w:t>
      </w:r>
      <w:r>
        <w:rPr>
          <w:sz w:val="26"/>
          <w:szCs w:val="26"/>
        </w:rPr>
        <w:t xml:space="preserve">2 gadījumos – 10 </w:t>
      </w:r>
      <w:r w:rsidRPr="00B97891">
        <w:rPr>
          <w:sz w:val="26"/>
          <w:szCs w:val="26"/>
        </w:rPr>
        <w:t xml:space="preserve">TUA pieteicēji. </w:t>
      </w:r>
      <w:r>
        <w:rPr>
          <w:sz w:val="26"/>
          <w:szCs w:val="26"/>
        </w:rPr>
        <w:t xml:space="preserve">Lielākais ieguldījuma apmērs, kuru šajā periodā veicis TUA pieteicējs, ir 213 tūkst. </w:t>
      </w:r>
      <w:proofErr w:type="spellStart"/>
      <w:r w:rsidRPr="00436F88">
        <w:rPr>
          <w:i/>
          <w:sz w:val="26"/>
          <w:szCs w:val="26"/>
        </w:rPr>
        <w:t>euro</w:t>
      </w:r>
      <w:proofErr w:type="spellEnd"/>
      <w:r w:rsidRPr="00436F88">
        <w:rPr>
          <w:i/>
          <w:sz w:val="26"/>
          <w:szCs w:val="26"/>
        </w:rPr>
        <w:t>.</w:t>
      </w:r>
    </w:p>
    <w:p w14:paraId="3862761C" w14:textId="77777777" w:rsidR="00BA5DD3" w:rsidRPr="00FA7C7C" w:rsidRDefault="00BA5DD3" w:rsidP="00BA5DD3">
      <w:pPr>
        <w:pStyle w:val="tv213"/>
        <w:spacing w:before="0" w:beforeAutospacing="0" w:after="0" w:afterAutospacing="0"/>
        <w:ind w:firstLine="567"/>
        <w:jc w:val="both"/>
        <w:rPr>
          <w:sz w:val="26"/>
          <w:szCs w:val="26"/>
        </w:rPr>
      </w:pPr>
    </w:p>
    <w:p w14:paraId="15E3282A" w14:textId="00456A2E" w:rsidR="003723C4" w:rsidRPr="009F2F45" w:rsidRDefault="009F2F45" w:rsidP="0055549D">
      <w:pPr>
        <w:keepNext/>
        <w:spacing w:after="120"/>
        <w:jc w:val="right"/>
        <w:rPr>
          <w:sz w:val="26"/>
          <w:szCs w:val="26"/>
        </w:rPr>
      </w:pPr>
      <w:r>
        <w:rPr>
          <w:sz w:val="26"/>
          <w:szCs w:val="26"/>
        </w:rPr>
        <w:lastRenderedPageBreak/>
        <w:t>3.</w:t>
      </w:r>
      <w:r w:rsidR="003723C4" w:rsidRPr="009F2F45">
        <w:rPr>
          <w:sz w:val="26"/>
          <w:szCs w:val="26"/>
        </w:rPr>
        <w:t>attēls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4835"/>
      </w:tblGrid>
      <w:tr w:rsidR="003723C4" w:rsidRPr="009F2F45" w14:paraId="7DB716B3" w14:textId="77777777" w:rsidTr="00E21CA1">
        <w:tc>
          <w:tcPr>
            <w:tcW w:w="9287" w:type="dxa"/>
            <w:gridSpan w:val="2"/>
          </w:tcPr>
          <w:p w14:paraId="46888084" w14:textId="77777777" w:rsidR="003723C4" w:rsidRPr="009F2F45" w:rsidRDefault="003723C4" w:rsidP="0055549D">
            <w:pPr>
              <w:keepNext/>
              <w:spacing w:after="120"/>
              <w:jc w:val="center"/>
              <w:rPr>
                <w:rFonts w:ascii="Times New Roman" w:hAnsi="Times New Roman"/>
                <w:b/>
                <w:sz w:val="24"/>
                <w:szCs w:val="24"/>
              </w:rPr>
            </w:pPr>
            <w:r w:rsidRPr="009F2F45">
              <w:rPr>
                <w:rFonts w:ascii="Times New Roman" w:hAnsi="Times New Roman"/>
                <w:b/>
                <w:sz w:val="24"/>
                <w:szCs w:val="24"/>
              </w:rPr>
              <w:t>TUA iesniedzēju – ieguldītāju kapitālsabiedrību pamatkapitālā</w:t>
            </w:r>
          </w:p>
        </w:tc>
      </w:tr>
      <w:tr w:rsidR="003723C4" w:rsidRPr="008A2ED5" w14:paraId="0028364F" w14:textId="77777777" w:rsidTr="00E21CA1">
        <w:tc>
          <w:tcPr>
            <w:tcW w:w="4129" w:type="dxa"/>
            <w:shd w:val="clear" w:color="auto" w:fill="auto"/>
          </w:tcPr>
          <w:p w14:paraId="73EECD8E" w14:textId="5A27EC48" w:rsidR="003723C4" w:rsidRPr="00CE0030" w:rsidRDefault="003723C4" w:rsidP="002D0234">
            <w:pPr>
              <w:keepNext/>
              <w:spacing w:after="120"/>
              <w:jc w:val="center"/>
              <w:rPr>
                <w:rFonts w:ascii="Times New Roman" w:hAnsi="Times New Roman"/>
                <w:b/>
                <w:sz w:val="22"/>
                <w:szCs w:val="22"/>
              </w:rPr>
            </w:pPr>
            <w:r w:rsidRPr="0069311E">
              <w:rPr>
                <w:rFonts w:ascii="Times New Roman" w:hAnsi="Times New Roman"/>
                <w:b/>
                <w:sz w:val="22"/>
                <w:szCs w:val="22"/>
              </w:rPr>
              <w:t>veikto ieguldījumu skaits sadalījumā pēc to apjoma</w:t>
            </w:r>
            <w:r w:rsidR="00A44602" w:rsidRPr="0069311E">
              <w:rPr>
                <w:rFonts w:ascii="Times New Roman" w:hAnsi="Times New Roman"/>
                <w:b/>
                <w:sz w:val="22"/>
                <w:szCs w:val="22"/>
              </w:rPr>
              <w:t xml:space="preserve">, </w:t>
            </w:r>
            <w:proofErr w:type="spellStart"/>
            <w:r w:rsidR="00A44602" w:rsidRPr="0069311E">
              <w:rPr>
                <w:rFonts w:ascii="Times New Roman" w:hAnsi="Times New Roman"/>
                <w:b/>
                <w:i/>
                <w:sz w:val="22"/>
                <w:szCs w:val="22"/>
              </w:rPr>
              <w:t>euro</w:t>
            </w:r>
            <w:proofErr w:type="spellEnd"/>
            <w:r w:rsidRPr="0069311E">
              <w:rPr>
                <w:rFonts w:ascii="Times New Roman" w:hAnsi="Times New Roman"/>
                <w:b/>
                <w:sz w:val="22"/>
                <w:szCs w:val="22"/>
              </w:rPr>
              <w:t xml:space="preserve"> (07.2010.-06.201</w:t>
            </w:r>
            <w:r w:rsidR="00CE0030" w:rsidRPr="0069311E">
              <w:rPr>
                <w:rFonts w:ascii="Times New Roman" w:hAnsi="Times New Roman"/>
                <w:b/>
                <w:sz w:val="22"/>
                <w:szCs w:val="22"/>
              </w:rPr>
              <w:t>9</w:t>
            </w:r>
            <w:r w:rsidRPr="0069311E">
              <w:rPr>
                <w:rFonts w:ascii="Times New Roman" w:hAnsi="Times New Roman"/>
                <w:b/>
                <w:sz w:val="22"/>
                <w:szCs w:val="22"/>
              </w:rPr>
              <w:t>.)</w:t>
            </w:r>
          </w:p>
          <w:p w14:paraId="2B50BC98" w14:textId="77777777" w:rsidR="003723C4" w:rsidRPr="009F2F45" w:rsidRDefault="003723C4" w:rsidP="002D0234">
            <w:pPr>
              <w:keepNext/>
              <w:spacing w:after="120"/>
              <w:rPr>
                <w:rFonts w:ascii="Times New Roman" w:hAnsi="Times New Roman"/>
                <w:i/>
                <w:sz w:val="26"/>
                <w:szCs w:val="26"/>
              </w:rPr>
            </w:pPr>
            <w:r w:rsidRPr="009F2F45">
              <w:rPr>
                <w:i/>
                <w:noProof/>
                <w:sz w:val="26"/>
                <w:szCs w:val="26"/>
              </w:rPr>
              <w:drawing>
                <wp:inline distT="0" distB="0" distL="0" distR="0" wp14:anchorId="23F2A972" wp14:editId="745EA362">
                  <wp:extent cx="25527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35FDE5F" w14:textId="5DB97703" w:rsidR="003723C4" w:rsidRPr="009F2F45" w:rsidRDefault="003723C4" w:rsidP="00A44602">
            <w:pPr>
              <w:keepNext/>
              <w:rPr>
                <w:rFonts w:ascii="Times New Roman" w:hAnsi="Times New Roman"/>
                <w:sz w:val="22"/>
                <w:szCs w:val="22"/>
              </w:rPr>
            </w:pPr>
            <w:r w:rsidRPr="009F2F45">
              <w:rPr>
                <w:rFonts w:ascii="Times New Roman" w:hAnsi="Times New Roman"/>
                <w:i/>
                <w:sz w:val="22"/>
                <w:szCs w:val="22"/>
              </w:rPr>
              <w:t>Avots: PMLP</w:t>
            </w:r>
            <w:r w:rsidR="00100471">
              <w:rPr>
                <w:rFonts w:ascii="Times New Roman" w:hAnsi="Times New Roman"/>
                <w:i/>
                <w:sz w:val="22"/>
                <w:szCs w:val="22"/>
              </w:rPr>
              <w:t xml:space="preserve"> dati</w:t>
            </w:r>
          </w:p>
        </w:tc>
        <w:tc>
          <w:tcPr>
            <w:tcW w:w="5158" w:type="dxa"/>
            <w:shd w:val="clear" w:color="auto" w:fill="auto"/>
          </w:tcPr>
          <w:p w14:paraId="1FE2C379" w14:textId="77777777" w:rsidR="003723C4" w:rsidRPr="00CE0030" w:rsidRDefault="003723C4" w:rsidP="002D0234">
            <w:pPr>
              <w:keepNext/>
              <w:jc w:val="center"/>
              <w:rPr>
                <w:rFonts w:ascii="Times New Roman" w:hAnsi="Times New Roman"/>
                <w:b/>
                <w:sz w:val="22"/>
                <w:szCs w:val="22"/>
              </w:rPr>
            </w:pPr>
            <w:r w:rsidRPr="00CE0030">
              <w:rPr>
                <w:rFonts w:ascii="Times New Roman" w:hAnsi="Times New Roman"/>
                <w:b/>
                <w:sz w:val="22"/>
                <w:szCs w:val="22"/>
              </w:rPr>
              <w:t xml:space="preserve">sadalījums pēc valstiskās piederības </w:t>
            </w:r>
          </w:p>
          <w:p w14:paraId="5971AE14" w14:textId="5532AA88" w:rsidR="003723C4" w:rsidRDefault="003723C4" w:rsidP="002D0234">
            <w:pPr>
              <w:keepNext/>
              <w:spacing w:after="120"/>
              <w:jc w:val="center"/>
              <w:rPr>
                <w:rFonts w:ascii="Times New Roman" w:hAnsi="Times New Roman"/>
                <w:b/>
                <w:sz w:val="22"/>
                <w:szCs w:val="22"/>
              </w:rPr>
            </w:pPr>
            <w:r w:rsidRPr="00CE0030">
              <w:rPr>
                <w:rFonts w:ascii="Times New Roman" w:hAnsi="Times New Roman"/>
                <w:b/>
                <w:sz w:val="22"/>
                <w:szCs w:val="22"/>
              </w:rPr>
              <w:t>(07.2010.-06.201</w:t>
            </w:r>
            <w:r w:rsidR="00CE0030">
              <w:rPr>
                <w:rFonts w:ascii="Times New Roman" w:hAnsi="Times New Roman"/>
                <w:b/>
                <w:sz w:val="22"/>
                <w:szCs w:val="22"/>
              </w:rPr>
              <w:t>9</w:t>
            </w:r>
            <w:r w:rsidRPr="00CE0030">
              <w:rPr>
                <w:rFonts w:ascii="Times New Roman" w:hAnsi="Times New Roman"/>
                <w:b/>
                <w:sz w:val="22"/>
                <w:szCs w:val="22"/>
              </w:rPr>
              <w:t>.)</w:t>
            </w:r>
          </w:p>
          <w:p w14:paraId="4840FC9F" w14:textId="046F333D" w:rsidR="003723C4" w:rsidRPr="00A44602" w:rsidRDefault="00C50FB4" w:rsidP="00A44602">
            <w:pPr>
              <w:keepNext/>
              <w:spacing w:after="120"/>
              <w:jc w:val="center"/>
              <w:rPr>
                <w:rFonts w:ascii="Times New Roman" w:hAnsi="Times New Roman"/>
                <w:b/>
                <w:sz w:val="22"/>
                <w:szCs w:val="22"/>
              </w:rPr>
            </w:pPr>
            <w:r w:rsidRPr="00060836">
              <w:rPr>
                <w:rFonts w:eastAsiaTheme="minorEastAsia"/>
                <w:b/>
                <w:noProof/>
                <w:sz w:val="24"/>
                <w:szCs w:val="24"/>
              </w:rPr>
              <w:drawing>
                <wp:inline distT="0" distB="0" distL="0" distR="0" wp14:anchorId="7C7C1C50" wp14:editId="36305F66">
                  <wp:extent cx="268605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6B8A21AB" w14:textId="77777777" w:rsidR="00A44602" w:rsidRDefault="00A44602" w:rsidP="00A44602">
      <w:pPr>
        <w:ind w:firstLine="567"/>
        <w:jc w:val="both"/>
        <w:rPr>
          <w:sz w:val="26"/>
          <w:szCs w:val="26"/>
        </w:rPr>
      </w:pPr>
    </w:p>
    <w:p w14:paraId="14512688" w14:textId="0E144B26" w:rsidR="00B85ECE" w:rsidRPr="00034ECE" w:rsidRDefault="00434674" w:rsidP="00B85ECE">
      <w:pPr>
        <w:spacing w:after="120"/>
        <w:ind w:firstLine="567"/>
        <w:jc w:val="both"/>
        <w:rPr>
          <w:sz w:val="26"/>
          <w:szCs w:val="26"/>
          <w:highlight w:val="yellow"/>
        </w:rPr>
      </w:pPr>
      <w:r>
        <w:rPr>
          <w:sz w:val="26"/>
          <w:szCs w:val="26"/>
        </w:rPr>
        <w:t>Ārzemniekiem</w:t>
      </w:r>
      <w:r w:rsidR="00B85ECE" w:rsidRPr="00237BED">
        <w:rPr>
          <w:sz w:val="26"/>
          <w:szCs w:val="26"/>
        </w:rPr>
        <w:t xml:space="preserve">, kuri veikuši ieguldījumu kapitālsabiedrībās un saņēmuši TUA (apstiprināti pieteikumi), kopumā pieder īpašumtiesību daļas </w:t>
      </w:r>
      <w:r w:rsidR="00B85ECE">
        <w:rPr>
          <w:sz w:val="26"/>
          <w:szCs w:val="26"/>
        </w:rPr>
        <w:t xml:space="preserve">82 </w:t>
      </w:r>
      <w:r w:rsidR="00B85ECE" w:rsidRPr="00237BED">
        <w:rPr>
          <w:sz w:val="26"/>
          <w:szCs w:val="26"/>
        </w:rPr>
        <w:t>Latvijā reģistrētos uzņēmumos</w:t>
      </w:r>
      <w:r w:rsidR="00B85ECE" w:rsidRPr="00276425">
        <w:rPr>
          <w:rStyle w:val="FootnoteReference"/>
          <w:sz w:val="26"/>
          <w:szCs w:val="26"/>
        </w:rPr>
        <w:footnoteReference w:id="2"/>
      </w:r>
      <w:r w:rsidR="00B85ECE" w:rsidRPr="00276425">
        <w:rPr>
          <w:sz w:val="26"/>
          <w:szCs w:val="26"/>
        </w:rPr>
        <w:t xml:space="preserve">. No šiem uzņēmumiem, saskaņā ar </w:t>
      </w:r>
      <w:r w:rsidR="00B85ECE">
        <w:rPr>
          <w:sz w:val="26"/>
          <w:szCs w:val="26"/>
        </w:rPr>
        <w:t xml:space="preserve">SIA “ CREFO </w:t>
      </w:r>
      <w:proofErr w:type="spellStart"/>
      <w:r w:rsidR="00B85ECE">
        <w:rPr>
          <w:sz w:val="26"/>
          <w:szCs w:val="26"/>
        </w:rPr>
        <w:t>Rating</w:t>
      </w:r>
      <w:proofErr w:type="spellEnd"/>
      <w:r w:rsidR="00B85ECE">
        <w:rPr>
          <w:sz w:val="26"/>
          <w:szCs w:val="26"/>
        </w:rPr>
        <w:t>”</w:t>
      </w:r>
      <w:r w:rsidR="00B85ECE" w:rsidRPr="00276425">
        <w:rPr>
          <w:sz w:val="26"/>
          <w:szCs w:val="26"/>
        </w:rPr>
        <w:t xml:space="preserve"> datiem, </w:t>
      </w:r>
      <w:r w:rsidR="00B85ECE">
        <w:rPr>
          <w:sz w:val="26"/>
          <w:szCs w:val="26"/>
        </w:rPr>
        <w:t>25 uzņēmumi 2018</w:t>
      </w:r>
      <w:r w:rsidR="00B85ECE" w:rsidRPr="00276425">
        <w:rPr>
          <w:sz w:val="26"/>
          <w:szCs w:val="26"/>
        </w:rPr>
        <w:t xml:space="preserve">.gadu ir noslēguši ar peļņu, bet </w:t>
      </w:r>
      <w:r w:rsidR="00B85ECE">
        <w:rPr>
          <w:sz w:val="26"/>
          <w:szCs w:val="26"/>
        </w:rPr>
        <w:t>44</w:t>
      </w:r>
      <w:r w:rsidR="00B85ECE" w:rsidRPr="00276425">
        <w:rPr>
          <w:sz w:val="26"/>
          <w:szCs w:val="26"/>
        </w:rPr>
        <w:t xml:space="preserve"> – ar zaudējumiem. Kop</w:t>
      </w:r>
      <w:r w:rsidR="00B85ECE">
        <w:rPr>
          <w:sz w:val="26"/>
          <w:szCs w:val="26"/>
        </w:rPr>
        <w:t>ējais uzņēmumu apgrozījums 2018.</w:t>
      </w:r>
      <w:r w:rsidR="00B85ECE" w:rsidRPr="00276425">
        <w:rPr>
          <w:sz w:val="26"/>
          <w:szCs w:val="26"/>
        </w:rPr>
        <w:t xml:space="preserve">gadā bija </w:t>
      </w:r>
      <w:r w:rsidR="00B85ECE">
        <w:rPr>
          <w:sz w:val="26"/>
          <w:szCs w:val="26"/>
        </w:rPr>
        <w:t>59,6</w:t>
      </w:r>
      <w:r w:rsidR="00B85ECE" w:rsidRPr="00276425">
        <w:rPr>
          <w:sz w:val="26"/>
          <w:szCs w:val="26"/>
        </w:rPr>
        <w:t xml:space="preserve"> milj. </w:t>
      </w:r>
      <w:proofErr w:type="spellStart"/>
      <w:r w:rsidR="00B85ECE" w:rsidRPr="00276425">
        <w:rPr>
          <w:i/>
          <w:iCs/>
          <w:sz w:val="26"/>
          <w:szCs w:val="26"/>
        </w:rPr>
        <w:t>euro</w:t>
      </w:r>
      <w:proofErr w:type="spellEnd"/>
      <w:r w:rsidR="00B85ECE" w:rsidRPr="00276425">
        <w:rPr>
          <w:i/>
          <w:iCs/>
          <w:sz w:val="26"/>
          <w:szCs w:val="26"/>
        </w:rPr>
        <w:t>,</w:t>
      </w:r>
      <w:r w:rsidR="00B85ECE" w:rsidRPr="00276425">
        <w:rPr>
          <w:sz w:val="26"/>
          <w:szCs w:val="26"/>
        </w:rPr>
        <w:t xml:space="preserve"> un tajos kopā nodarbināti tika </w:t>
      </w:r>
      <w:r w:rsidR="00B85ECE">
        <w:rPr>
          <w:sz w:val="26"/>
          <w:szCs w:val="26"/>
        </w:rPr>
        <w:t>vairāk kā 600</w:t>
      </w:r>
      <w:r w:rsidR="00B85ECE" w:rsidRPr="00276425">
        <w:rPr>
          <w:sz w:val="26"/>
          <w:szCs w:val="26"/>
        </w:rPr>
        <w:t xml:space="preserve"> darbinieki.</w:t>
      </w:r>
    </w:p>
    <w:p w14:paraId="1556AC83" w14:textId="48635AF1" w:rsidR="007546C1" w:rsidRPr="00F81D79" w:rsidRDefault="00A8291D" w:rsidP="007546C1">
      <w:pPr>
        <w:spacing w:after="120"/>
        <w:ind w:firstLine="567"/>
        <w:jc w:val="both"/>
        <w:rPr>
          <w:sz w:val="26"/>
          <w:szCs w:val="26"/>
        </w:rPr>
      </w:pPr>
      <w:r w:rsidRPr="00D7533E">
        <w:rPr>
          <w:sz w:val="26"/>
          <w:szCs w:val="26"/>
        </w:rPr>
        <w:t>No</w:t>
      </w:r>
      <w:r w:rsidR="007546C1" w:rsidRPr="00D7533E">
        <w:rPr>
          <w:sz w:val="26"/>
          <w:szCs w:val="26"/>
        </w:rPr>
        <w:t xml:space="preserve"> uzņēmumiem, kuros </w:t>
      </w:r>
      <w:r w:rsidR="00A70FDF" w:rsidRPr="00D7533E">
        <w:rPr>
          <w:sz w:val="26"/>
          <w:szCs w:val="26"/>
        </w:rPr>
        <w:t>2018</w:t>
      </w:r>
      <w:r w:rsidR="0041683C" w:rsidRPr="00D7533E">
        <w:rPr>
          <w:sz w:val="26"/>
          <w:szCs w:val="26"/>
        </w:rPr>
        <w:t xml:space="preserve">.gadā </w:t>
      </w:r>
      <w:r w:rsidR="007546C1" w:rsidRPr="00D7533E">
        <w:rPr>
          <w:sz w:val="26"/>
          <w:szCs w:val="26"/>
        </w:rPr>
        <w:t xml:space="preserve">TUA saņēmējiem pieder daļas, vairums darbojas pakalpojumu sfērā – </w:t>
      </w:r>
      <w:r w:rsidR="00F81D79" w:rsidRPr="00D7533E">
        <w:rPr>
          <w:sz w:val="26"/>
          <w:szCs w:val="26"/>
        </w:rPr>
        <w:t>operācijās ar nekustamo īpašumu</w:t>
      </w:r>
      <w:r w:rsidR="009856A7" w:rsidRPr="00D7533E">
        <w:rPr>
          <w:sz w:val="26"/>
          <w:szCs w:val="26"/>
        </w:rPr>
        <w:t xml:space="preserve"> (</w:t>
      </w:r>
      <w:r w:rsidR="00A70FDF" w:rsidRPr="00D7533E">
        <w:rPr>
          <w:sz w:val="26"/>
          <w:szCs w:val="26"/>
        </w:rPr>
        <w:t>32</w:t>
      </w:r>
      <w:r w:rsidR="009856A7" w:rsidRPr="00D7533E">
        <w:rPr>
          <w:sz w:val="26"/>
          <w:szCs w:val="26"/>
        </w:rPr>
        <w:t xml:space="preserve">% jeb </w:t>
      </w:r>
      <w:r w:rsidR="00A70FDF" w:rsidRPr="00D7533E">
        <w:rPr>
          <w:sz w:val="26"/>
          <w:szCs w:val="26"/>
        </w:rPr>
        <w:br/>
        <w:t>26</w:t>
      </w:r>
      <w:r w:rsidR="009856A7" w:rsidRPr="00D7533E">
        <w:rPr>
          <w:sz w:val="26"/>
          <w:szCs w:val="26"/>
        </w:rPr>
        <w:t xml:space="preserve"> uzņēmumi)</w:t>
      </w:r>
      <w:r w:rsidR="00A70FDF" w:rsidRPr="00D7533E">
        <w:rPr>
          <w:sz w:val="26"/>
          <w:szCs w:val="26"/>
        </w:rPr>
        <w:t>, izmitināšanā un ēdināšanā (11 uzņēmumi)</w:t>
      </w:r>
      <w:r w:rsidR="009856A7" w:rsidRPr="00D7533E">
        <w:rPr>
          <w:sz w:val="26"/>
          <w:szCs w:val="26"/>
        </w:rPr>
        <w:t xml:space="preserve"> </w:t>
      </w:r>
      <w:r w:rsidR="00F81D79" w:rsidRPr="00D7533E">
        <w:rPr>
          <w:sz w:val="26"/>
          <w:szCs w:val="26"/>
        </w:rPr>
        <w:t>un vairumtirdzniecībā</w:t>
      </w:r>
      <w:r w:rsidR="009856A7" w:rsidRPr="00D7533E">
        <w:rPr>
          <w:sz w:val="26"/>
          <w:szCs w:val="26"/>
        </w:rPr>
        <w:t xml:space="preserve"> (</w:t>
      </w:r>
      <w:r w:rsidR="00A70FDF" w:rsidRPr="00D7533E">
        <w:rPr>
          <w:sz w:val="26"/>
          <w:szCs w:val="26"/>
        </w:rPr>
        <w:t>10</w:t>
      </w:r>
      <w:r w:rsidR="009856A7" w:rsidRPr="00D7533E">
        <w:rPr>
          <w:sz w:val="26"/>
          <w:szCs w:val="26"/>
        </w:rPr>
        <w:t xml:space="preserve"> uzņēmumi)</w:t>
      </w:r>
      <w:r w:rsidR="00135E73" w:rsidRPr="00D7533E">
        <w:rPr>
          <w:sz w:val="26"/>
          <w:szCs w:val="26"/>
        </w:rPr>
        <w:t>. Ar apstrādes rūpniecību saistīti</w:t>
      </w:r>
      <w:r w:rsidR="007546C1" w:rsidRPr="00D7533E">
        <w:rPr>
          <w:sz w:val="26"/>
          <w:szCs w:val="26"/>
        </w:rPr>
        <w:t xml:space="preserve"> </w:t>
      </w:r>
      <w:r w:rsidR="00A70FDF" w:rsidRPr="00D7533E">
        <w:rPr>
          <w:sz w:val="26"/>
          <w:szCs w:val="26"/>
        </w:rPr>
        <w:t>8 uzņēmumi</w:t>
      </w:r>
      <w:r w:rsidR="00A70FDF">
        <w:rPr>
          <w:sz w:val="26"/>
          <w:szCs w:val="26"/>
        </w:rPr>
        <w:t>.</w:t>
      </w:r>
    </w:p>
    <w:p w14:paraId="791A5D2A" w14:textId="77777777" w:rsidR="00B85ECE" w:rsidRPr="001F0299" w:rsidRDefault="00B85ECE" w:rsidP="00B85ECE">
      <w:pPr>
        <w:spacing w:after="120"/>
        <w:ind w:firstLine="567"/>
        <w:jc w:val="both"/>
        <w:rPr>
          <w:sz w:val="26"/>
          <w:szCs w:val="26"/>
        </w:rPr>
      </w:pPr>
      <w:r>
        <w:rPr>
          <w:sz w:val="26"/>
          <w:szCs w:val="26"/>
        </w:rPr>
        <w:t>Pēc apgrozījuma 2018</w:t>
      </w:r>
      <w:r w:rsidRPr="001F0299">
        <w:rPr>
          <w:sz w:val="26"/>
          <w:szCs w:val="26"/>
        </w:rPr>
        <w:t xml:space="preserve">.gadā lielākie uzņēmumi darbojās tādās </w:t>
      </w:r>
      <w:proofErr w:type="spellStart"/>
      <w:r w:rsidRPr="001F0299">
        <w:rPr>
          <w:sz w:val="26"/>
          <w:szCs w:val="26"/>
        </w:rPr>
        <w:t>apakšnozarēs</w:t>
      </w:r>
      <w:proofErr w:type="spellEnd"/>
      <w:r w:rsidRPr="001F0299">
        <w:rPr>
          <w:sz w:val="26"/>
          <w:szCs w:val="26"/>
        </w:rPr>
        <w:t xml:space="preserve"> kā smaržu un kosmē</w:t>
      </w:r>
      <w:r>
        <w:rPr>
          <w:sz w:val="26"/>
          <w:szCs w:val="26"/>
        </w:rPr>
        <w:t>tis</w:t>
      </w:r>
      <w:r w:rsidRPr="001F0299">
        <w:rPr>
          <w:sz w:val="26"/>
          <w:szCs w:val="26"/>
        </w:rPr>
        <w:t>ko līdzekļu ražošana, transporta pal</w:t>
      </w:r>
      <w:r>
        <w:rPr>
          <w:sz w:val="26"/>
          <w:szCs w:val="26"/>
        </w:rPr>
        <w:t>īgdarbības, ķīmisko vielu vair</w:t>
      </w:r>
      <w:r w:rsidRPr="001F0299">
        <w:rPr>
          <w:sz w:val="26"/>
          <w:szCs w:val="26"/>
        </w:rPr>
        <w:t>umtirdzniecība</w:t>
      </w:r>
      <w:r>
        <w:rPr>
          <w:sz w:val="26"/>
          <w:szCs w:val="26"/>
        </w:rPr>
        <w:t>, kā arī telekomunikācijas pakalpojumi.</w:t>
      </w:r>
    </w:p>
    <w:p w14:paraId="3F1193DB" w14:textId="77777777" w:rsidR="00B85ECE" w:rsidRPr="0018262D" w:rsidRDefault="00B85ECE" w:rsidP="00B85ECE">
      <w:pPr>
        <w:spacing w:after="120"/>
        <w:ind w:firstLine="567"/>
        <w:jc w:val="both"/>
        <w:rPr>
          <w:sz w:val="26"/>
          <w:szCs w:val="26"/>
        </w:rPr>
      </w:pPr>
      <w:r w:rsidRPr="005576BA">
        <w:rPr>
          <w:sz w:val="26"/>
          <w:szCs w:val="26"/>
        </w:rPr>
        <w:t xml:space="preserve">Saskaņā ar VID datiem kopumā tie uzņēmumi, kuros ārzemniekiem, kuri kā TUA saņemšanas iemeslu ir norādījuši ieguldījumu kapitālsabiedrības pamatkapitālā, pieder </w:t>
      </w:r>
      <w:proofErr w:type="spellStart"/>
      <w:r w:rsidRPr="005576BA">
        <w:rPr>
          <w:sz w:val="26"/>
          <w:szCs w:val="26"/>
        </w:rPr>
        <w:t>īpašumdaļas</w:t>
      </w:r>
      <w:proofErr w:type="spellEnd"/>
      <w:r w:rsidRPr="005576BA">
        <w:rPr>
          <w:sz w:val="26"/>
          <w:szCs w:val="26"/>
        </w:rPr>
        <w:t xml:space="preserve"> ir </w:t>
      </w:r>
      <w:r w:rsidRPr="0018262D">
        <w:rPr>
          <w:sz w:val="26"/>
          <w:szCs w:val="26"/>
        </w:rPr>
        <w:t xml:space="preserve">iemaksājuši valsts budžetā nodokļus (atskaitot no valsts budžeta atmaksātos nodokļus) 2018.gadā </w:t>
      </w:r>
      <w:r>
        <w:rPr>
          <w:sz w:val="26"/>
          <w:szCs w:val="26"/>
        </w:rPr>
        <w:t>3,4</w:t>
      </w:r>
      <w:r w:rsidRPr="0018262D">
        <w:rPr>
          <w:sz w:val="26"/>
          <w:szCs w:val="26"/>
        </w:rPr>
        <w:t xml:space="preserve"> milj. </w:t>
      </w:r>
      <w:proofErr w:type="spellStart"/>
      <w:r w:rsidRPr="0018262D">
        <w:rPr>
          <w:i/>
          <w:sz w:val="26"/>
          <w:szCs w:val="26"/>
        </w:rPr>
        <w:t>euro</w:t>
      </w:r>
      <w:proofErr w:type="spellEnd"/>
      <w:r w:rsidRPr="0018262D">
        <w:rPr>
          <w:sz w:val="26"/>
          <w:szCs w:val="26"/>
        </w:rPr>
        <w:t xml:space="preserve"> apmērā, 2019.gada I pusgadā – </w:t>
      </w:r>
      <w:r>
        <w:rPr>
          <w:sz w:val="26"/>
          <w:szCs w:val="26"/>
        </w:rPr>
        <w:br/>
        <w:t>1,7</w:t>
      </w:r>
      <w:r w:rsidRPr="0018262D">
        <w:rPr>
          <w:sz w:val="26"/>
          <w:szCs w:val="26"/>
        </w:rPr>
        <w:t xml:space="preserve"> milj. </w:t>
      </w:r>
      <w:proofErr w:type="spellStart"/>
      <w:r w:rsidRPr="0018262D">
        <w:rPr>
          <w:i/>
          <w:sz w:val="26"/>
          <w:szCs w:val="26"/>
        </w:rPr>
        <w:t>euro</w:t>
      </w:r>
      <w:proofErr w:type="spellEnd"/>
      <w:r w:rsidRPr="0018262D">
        <w:rPr>
          <w:sz w:val="26"/>
          <w:szCs w:val="26"/>
        </w:rPr>
        <w:t xml:space="preserve"> apmērā.</w:t>
      </w:r>
    </w:p>
    <w:p w14:paraId="6A0B6240" w14:textId="5B63CE75" w:rsidR="00B85ECE" w:rsidRPr="00783938" w:rsidRDefault="00B85ECE" w:rsidP="00B85ECE">
      <w:pPr>
        <w:spacing w:after="120"/>
        <w:ind w:firstLine="567"/>
        <w:jc w:val="both"/>
        <w:rPr>
          <w:sz w:val="26"/>
          <w:szCs w:val="26"/>
        </w:rPr>
      </w:pPr>
      <w:r w:rsidRPr="0018262D">
        <w:rPr>
          <w:sz w:val="26"/>
          <w:szCs w:val="26"/>
        </w:rPr>
        <w:t xml:space="preserve">Bez tam šie </w:t>
      </w:r>
      <w:r w:rsidR="00434674">
        <w:rPr>
          <w:sz w:val="26"/>
          <w:szCs w:val="26"/>
        </w:rPr>
        <w:t>ārzemnieki</w:t>
      </w:r>
      <w:bookmarkStart w:id="3" w:name="_GoBack"/>
      <w:bookmarkEnd w:id="3"/>
      <w:r w:rsidRPr="0018262D">
        <w:rPr>
          <w:sz w:val="26"/>
          <w:szCs w:val="26"/>
        </w:rPr>
        <w:t>, kuri veikuši ieguldījumu kapitālsabiedrībās un saņēmuši TUA, ieņem kādu amatu 62 Latvijā reģistrētos uzņēmumos</w:t>
      </w:r>
      <w:r w:rsidRPr="0018262D">
        <w:rPr>
          <w:rStyle w:val="FootnoteReference"/>
          <w:sz w:val="26"/>
          <w:szCs w:val="26"/>
        </w:rPr>
        <w:footnoteReference w:id="3"/>
      </w:r>
      <w:r w:rsidRPr="0018262D">
        <w:rPr>
          <w:sz w:val="26"/>
          <w:szCs w:val="26"/>
        </w:rPr>
        <w:t>.</w:t>
      </w:r>
    </w:p>
    <w:p w14:paraId="16384D06" w14:textId="77777777" w:rsidR="00516D76" w:rsidRDefault="00516D76" w:rsidP="002A7584">
      <w:pPr>
        <w:ind w:firstLine="567"/>
        <w:jc w:val="right"/>
        <w:rPr>
          <w:sz w:val="26"/>
          <w:szCs w:val="26"/>
        </w:rPr>
      </w:pPr>
    </w:p>
    <w:p w14:paraId="1F1C16AD" w14:textId="60AADEF5" w:rsidR="00E21CA1" w:rsidRPr="005576BA" w:rsidRDefault="00035DCA" w:rsidP="005450B0">
      <w:pPr>
        <w:spacing w:after="120"/>
        <w:ind w:firstLine="567"/>
        <w:jc w:val="right"/>
        <w:rPr>
          <w:sz w:val="26"/>
          <w:szCs w:val="26"/>
        </w:rPr>
      </w:pPr>
      <w:bookmarkStart w:id="4" w:name="_Hlk24530533"/>
      <w:r>
        <w:rPr>
          <w:sz w:val="26"/>
          <w:szCs w:val="26"/>
        </w:rPr>
        <w:lastRenderedPageBreak/>
        <w:t>4</w:t>
      </w:r>
      <w:r w:rsidR="005450B0" w:rsidRPr="005576BA">
        <w:rPr>
          <w:sz w:val="26"/>
          <w:szCs w:val="26"/>
        </w:rPr>
        <w:t>.attēls</w:t>
      </w:r>
    </w:p>
    <w:p w14:paraId="03037C13" w14:textId="76B8B4D4" w:rsidR="008C4896" w:rsidRPr="005576BA" w:rsidRDefault="005450B0" w:rsidP="008C215F">
      <w:pPr>
        <w:spacing w:after="120"/>
        <w:jc w:val="center"/>
        <w:rPr>
          <w:b/>
          <w:sz w:val="24"/>
          <w:szCs w:val="24"/>
        </w:rPr>
      </w:pPr>
      <w:r w:rsidRPr="005576BA">
        <w:rPr>
          <w:b/>
          <w:sz w:val="24"/>
          <w:szCs w:val="24"/>
        </w:rPr>
        <w:t xml:space="preserve">Uz TUA </w:t>
      </w:r>
      <w:r w:rsidR="00933864">
        <w:rPr>
          <w:b/>
          <w:sz w:val="24"/>
          <w:szCs w:val="24"/>
        </w:rPr>
        <w:t>turētājiem</w:t>
      </w:r>
      <w:r w:rsidRPr="005576BA">
        <w:rPr>
          <w:b/>
          <w:sz w:val="24"/>
          <w:szCs w:val="24"/>
        </w:rPr>
        <w:t xml:space="preserve"> – ieguldītājiem kapitālsabiedrību pamatkapitālā</w:t>
      </w:r>
      <w:r w:rsidR="00C25FCA" w:rsidRPr="005576BA">
        <w:rPr>
          <w:b/>
          <w:sz w:val="24"/>
          <w:szCs w:val="24"/>
        </w:rPr>
        <w:t xml:space="preserve"> 201</w:t>
      </w:r>
      <w:r w:rsidR="008C215F">
        <w:rPr>
          <w:b/>
          <w:sz w:val="24"/>
          <w:szCs w:val="24"/>
        </w:rPr>
        <w:t>8</w:t>
      </w:r>
      <w:r w:rsidR="00C25FCA" w:rsidRPr="005576BA">
        <w:rPr>
          <w:b/>
          <w:sz w:val="24"/>
          <w:szCs w:val="24"/>
        </w:rPr>
        <w:t>.gadā</w:t>
      </w:r>
      <w:r w:rsidRPr="005576BA">
        <w:rPr>
          <w:sz w:val="24"/>
          <w:szCs w:val="24"/>
        </w:rPr>
        <w:t xml:space="preserve"> </w:t>
      </w:r>
      <w:r w:rsidRPr="005576BA">
        <w:rPr>
          <w:b/>
          <w:sz w:val="24"/>
          <w:szCs w:val="24"/>
        </w:rPr>
        <w:t>attiecināmo</w:t>
      </w:r>
      <w:r w:rsidR="00210CDF" w:rsidRPr="005576BA">
        <w:rPr>
          <w:b/>
          <w:sz w:val="24"/>
          <w:szCs w:val="24"/>
        </w:rPr>
        <w:t xml:space="preserve"> uzņēmumu</w:t>
      </w:r>
      <w:r w:rsidRPr="005576BA">
        <w:rPr>
          <w:b/>
          <w:sz w:val="24"/>
          <w:szCs w:val="24"/>
        </w:rPr>
        <w:t xml:space="preserve"> (pieder īpašumtiesību daļas)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4602"/>
      </w:tblGrid>
      <w:tr w:rsidR="008C4896" w:rsidRPr="00894018" w14:paraId="6A1ED57D" w14:textId="77777777" w:rsidTr="00EE2600">
        <w:tc>
          <w:tcPr>
            <w:tcW w:w="4496" w:type="dxa"/>
          </w:tcPr>
          <w:p w14:paraId="5472E743" w14:textId="59762621" w:rsidR="008C4896" w:rsidRDefault="008C4896" w:rsidP="00A53851">
            <w:pPr>
              <w:spacing w:after="120"/>
              <w:jc w:val="center"/>
              <w:rPr>
                <w:rFonts w:ascii="Times New Roman" w:hAnsi="Times New Roman"/>
                <w:b/>
                <w:sz w:val="22"/>
                <w:szCs w:val="22"/>
              </w:rPr>
            </w:pPr>
            <w:r w:rsidRPr="008C215F">
              <w:rPr>
                <w:rFonts w:ascii="Times New Roman" w:hAnsi="Times New Roman"/>
                <w:b/>
                <w:sz w:val="22"/>
                <w:szCs w:val="22"/>
              </w:rPr>
              <w:t>sadalījums pēc to dibināšanas gada</w:t>
            </w:r>
          </w:p>
          <w:p w14:paraId="571ED459" w14:textId="681D131F" w:rsidR="008C4896" w:rsidRPr="00BA4A7D" w:rsidRDefault="007964F0" w:rsidP="00BA4A7D">
            <w:pPr>
              <w:spacing w:after="120"/>
              <w:jc w:val="center"/>
              <w:rPr>
                <w:rFonts w:ascii="Times New Roman" w:hAnsi="Times New Roman"/>
                <w:b/>
                <w:sz w:val="22"/>
                <w:szCs w:val="22"/>
              </w:rPr>
            </w:pPr>
            <w:r w:rsidRPr="00060836">
              <w:rPr>
                <w:rFonts w:eastAsiaTheme="minorEastAsia"/>
                <w:b/>
                <w:noProof/>
                <w:sz w:val="24"/>
                <w:szCs w:val="24"/>
              </w:rPr>
              <w:drawing>
                <wp:inline distT="0" distB="0" distL="0" distR="0" wp14:anchorId="4F98507B" wp14:editId="6786D9F0">
                  <wp:extent cx="268605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791" w:type="dxa"/>
          </w:tcPr>
          <w:p w14:paraId="54C54075" w14:textId="44B42F84" w:rsidR="008C4896" w:rsidRDefault="008C4896" w:rsidP="00A53851">
            <w:pPr>
              <w:spacing w:after="120"/>
              <w:jc w:val="center"/>
              <w:rPr>
                <w:rFonts w:ascii="Times New Roman" w:hAnsi="Times New Roman"/>
                <w:b/>
                <w:sz w:val="22"/>
                <w:szCs w:val="22"/>
              </w:rPr>
            </w:pPr>
            <w:r w:rsidRPr="00894018">
              <w:rPr>
                <w:rFonts w:ascii="Times New Roman" w:hAnsi="Times New Roman"/>
                <w:b/>
                <w:sz w:val="24"/>
                <w:szCs w:val="24"/>
              </w:rPr>
              <w:t xml:space="preserve"> </w:t>
            </w:r>
            <w:r w:rsidRPr="008C215F">
              <w:rPr>
                <w:rFonts w:ascii="Times New Roman" w:hAnsi="Times New Roman"/>
                <w:b/>
                <w:sz w:val="22"/>
                <w:szCs w:val="22"/>
              </w:rPr>
              <w:t>sadalījums pēc darbības jomas</w:t>
            </w:r>
          </w:p>
          <w:p w14:paraId="2E46B873" w14:textId="14C86D7D" w:rsidR="008C4896" w:rsidRPr="00BA4A7D" w:rsidRDefault="001D45B8" w:rsidP="00BA4A7D">
            <w:pPr>
              <w:spacing w:after="120"/>
              <w:jc w:val="center"/>
              <w:rPr>
                <w:rFonts w:ascii="Times New Roman" w:hAnsi="Times New Roman"/>
                <w:b/>
                <w:sz w:val="22"/>
                <w:szCs w:val="22"/>
              </w:rPr>
            </w:pPr>
            <w:r w:rsidRPr="00060836">
              <w:rPr>
                <w:rFonts w:eastAsiaTheme="minorEastAsia"/>
                <w:b/>
                <w:noProof/>
                <w:sz w:val="24"/>
                <w:szCs w:val="24"/>
              </w:rPr>
              <w:drawing>
                <wp:inline distT="0" distB="0" distL="0" distR="0" wp14:anchorId="0FF0ADAF" wp14:editId="55B1CEEA">
                  <wp:extent cx="268605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2C5B9862" w14:textId="2B8E5E08" w:rsidR="008C4896" w:rsidRPr="00EE2600" w:rsidRDefault="00EE2600" w:rsidP="00EE2600">
      <w:pPr>
        <w:spacing w:after="120"/>
        <w:jc w:val="both"/>
        <w:rPr>
          <w:i/>
          <w:sz w:val="22"/>
        </w:rPr>
      </w:pPr>
      <w:r w:rsidRPr="00894018">
        <w:rPr>
          <w:i/>
          <w:sz w:val="22"/>
        </w:rPr>
        <w:t xml:space="preserve">Avots: </w:t>
      </w:r>
      <w:r w:rsidR="00BA4A7D">
        <w:rPr>
          <w:i/>
          <w:sz w:val="22"/>
        </w:rPr>
        <w:t xml:space="preserve">SIA “CREFO </w:t>
      </w:r>
      <w:proofErr w:type="spellStart"/>
      <w:r w:rsidR="00BA4A7D">
        <w:rPr>
          <w:i/>
          <w:sz w:val="22"/>
        </w:rPr>
        <w:t>Rating</w:t>
      </w:r>
      <w:proofErr w:type="spellEnd"/>
      <w:r w:rsidR="00BA4A7D">
        <w:rPr>
          <w:i/>
          <w:sz w:val="22"/>
        </w:rPr>
        <w:t>” dati</w:t>
      </w:r>
    </w:p>
    <w:bookmarkEnd w:id="4"/>
    <w:p w14:paraId="4498D9E7" w14:textId="77777777" w:rsidR="00F56154" w:rsidRPr="008A2ED5" w:rsidRDefault="00F56154" w:rsidP="007546C1">
      <w:pPr>
        <w:spacing w:after="120"/>
        <w:ind w:firstLine="567"/>
        <w:jc w:val="both"/>
        <w:rPr>
          <w:sz w:val="26"/>
          <w:szCs w:val="26"/>
        </w:rPr>
      </w:pPr>
    </w:p>
    <w:p w14:paraId="6D09ADE4" w14:textId="052FD612" w:rsidR="000A333D" w:rsidRPr="007C5433" w:rsidRDefault="000A333D" w:rsidP="00F56154">
      <w:pPr>
        <w:pStyle w:val="ListParagraph"/>
        <w:numPr>
          <w:ilvl w:val="0"/>
          <w:numId w:val="2"/>
        </w:numPr>
        <w:spacing w:line="240" w:lineRule="auto"/>
        <w:ind w:left="284" w:hanging="284"/>
        <w:contextualSpacing w:val="0"/>
        <w:rPr>
          <w:rFonts w:ascii="Times New Roman" w:eastAsia="SimSun" w:hAnsi="Times New Roman"/>
          <w:b/>
          <w:bCs/>
          <w:sz w:val="26"/>
          <w:szCs w:val="26"/>
          <w:lang w:eastAsia="lv-LV"/>
        </w:rPr>
      </w:pPr>
      <w:r w:rsidRPr="007C5433">
        <w:rPr>
          <w:rFonts w:ascii="Times New Roman" w:eastAsia="SimSun" w:hAnsi="Times New Roman"/>
          <w:b/>
          <w:bCs/>
          <w:sz w:val="26"/>
          <w:szCs w:val="26"/>
          <w:lang w:eastAsia="lv-LV"/>
        </w:rPr>
        <w:t>Piešķirtās TUA saskaņā ar Imigrācij</w:t>
      </w:r>
      <w:r w:rsidR="000E4CD0" w:rsidRPr="007C5433">
        <w:rPr>
          <w:rFonts w:ascii="Times New Roman" w:eastAsia="SimSun" w:hAnsi="Times New Roman"/>
          <w:b/>
          <w:bCs/>
          <w:sz w:val="26"/>
          <w:szCs w:val="26"/>
          <w:lang w:eastAsia="lv-LV"/>
        </w:rPr>
        <w:t xml:space="preserve">as likuma 23.panta pirmās daļas </w:t>
      </w:r>
      <w:r w:rsidRPr="007C5433">
        <w:rPr>
          <w:rFonts w:ascii="Times New Roman" w:eastAsia="SimSun" w:hAnsi="Times New Roman"/>
          <w:b/>
          <w:bCs/>
          <w:sz w:val="26"/>
          <w:szCs w:val="26"/>
          <w:lang w:eastAsia="lv-LV"/>
        </w:rPr>
        <w:t>3.punktu</w:t>
      </w:r>
    </w:p>
    <w:p w14:paraId="2760FD37" w14:textId="77777777" w:rsidR="003723C4" w:rsidRPr="008A2ED5" w:rsidRDefault="003723C4" w:rsidP="002D0234">
      <w:pPr>
        <w:spacing w:after="120"/>
        <w:ind w:firstLine="567"/>
        <w:jc w:val="both"/>
        <w:rPr>
          <w:sz w:val="26"/>
          <w:szCs w:val="26"/>
        </w:rPr>
      </w:pPr>
      <w:r w:rsidRPr="009F2F45">
        <w:rPr>
          <w:sz w:val="26"/>
          <w:szCs w:val="26"/>
        </w:rPr>
        <w:t xml:space="preserve">Imigrācijas likuma </w:t>
      </w:r>
      <w:r w:rsidRPr="00035A29">
        <w:rPr>
          <w:sz w:val="26"/>
          <w:szCs w:val="26"/>
          <w:u w:val="single"/>
        </w:rPr>
        <w:t>23.panta pirmās daļas 3.punktā</w:t>
      </w:r>
      <w:r w:rsidRPr="009F2F45">
        <w:rPr>
          <w:sz w:val="26"/>
          <w:szCs w:val="26"/>
        </w:rPr>
        <w:t xml:space="preserve"> noteikts, ka ārzemnieks var pieprasīt termiņuzturēšanās atļauju uz pilnvaru termiņu, bet ne ilgāk kā uz pieciem gadiem, ja viņš ir komercreģistrā reģistrēts valdes vai padomes loceklis, prokūrists, administrators, likvidators vai personālsabiedrības biedrs, kam ir tiesības pārstāvēt personālsabiedrību, vai persona, kura pilnvarota pārstāvēt komersantu (ārvalsts komersantu) darbībās, kas saistītas ar filiāli, ja komercsabiedrība vai ārzemju komersanta filiāle ir ierakstīta komercreģistrā ne mazāk kā vienu gadu pirms uzturēšanās atļaujas pieprasīšanas, tā veic aktīvu saimniecisku darbību un tās darbība dod ekonomisku labumu Latvijas Republikai. Attiecībā uz sabiedrības ar ierobežotu atbildību komercreģistrā reģistrētu amatpersonu šo nosacījumu piemēro, ja sabiedrības ar ierobežotu atbildību pamatkapitāls ir ne mazāks par 2 800 </w:t>
      </w:r>
      <w:proofErr w:type="spellStart"/>
      <w:r w:rsidRPr="009F2F45">
        <w:rPr>
          <w:i/>
          <w:sz w:val="26"/>
          <w:szCs w:val="26"/>
        </w:rPr>
        <w:t>euro</w:t>
      </w:r>
      <w:proofErr w:type="spellEnd"/>
      <w:r w:rsidRPr="009F2F45">
        <w:rPr>
          <w:sz w:val="26"/>
          <w:szCs w:val="26"/>
        </w:rPr>
        <w:t>.</w:t>
      </w:r>
      <w:r w:rsidRPr="008A2ED5">
        <w:rPr>
          <w:sz w:val="26"/>
          <w:szCs w:val="26"/>
        </w:rPr>
        <w:t xml:space="preserve"> </w:t>
      </w:r>
    </w:p>
    <w:p w14:paraId="4EDEE459" w14:textId="0BB8AA97" w:rsidR="003723C4" w:rsidRPr="008A2ED5" w:rsidRDefault="003723C4" w:rsidP="008D4C67">
      <w:pPr>
        <w:spacing w:after="120"/>
        <w:ind w:firstLine="567"/>
        <w:jc w:val="both"/>
        <w:rPr>
          <w:sz w:val="26"/>
          <w:szCs w:val="26"/>
        </w:rPr>
      </w:pPr>
      <w:r w:rsidRPr="008A2ED5">
        <w:rPr>
          <w:sz w:val="26"/>
          <w:szCs w:val="26"/>
        </w:rPr>
        <w:t>201</w:t>
      </w:r>
      <w:r w:rsidR="000F14E9">
        <w:rPr>
          <w:sz w:val="26"/>
          <w:szCs w:val="26"/>
        </w:rPr>
        <w:t>9</w:t>
      </w:r>
      <w:r w:rsidRPr="008A2ED5">
        <w:rPr>
          <w:sz w:val="26"/>
          <w:szCs w:val="26"/>
        </w:rPr>
        <w:t xml:space="preserve">.gada 1.jūlijā Latvijas Republikā </w:t>
      </w:r>
      <w:r w:rsidRPr="00F37D3F">
        <w:rPr>
          <w:sz w:val="26"/>
          <w:szCs w:val="26"/>
        </w:rPr>
        <w:t xml:space="preserve">uzturējās </w:t>
      </w:r>
      <w:r w:rsidR="0086725A" w:rsidRPr="00F37D3F">
        <w:rPr>
          <w:sz w:val="26"/>
          <w:szCs w:val="26"/>
        </w:rPr>
        <w:t xml:space="preserve">788 </w:t>
      </w:r>
      <w:r w:rsidRPr="00F37D3F">
        <w:rPr>
          <w:sz w:val="26"/>
          <w:szCs w:val="26"/>
        </w:rPr>
        <w:t>p</w:t>
      </w:r>
      <w:r w:rsidRPr="009F2F45">
        <w:rPr>
          <w:sz w:val="26"/>
          <w:szCs w:val="26"/>
        </w:rPr>
        <w:t xml:space="preserve">ersonas </w:t>
      </w:r>
      <w:r w:rsidRPr="008A2ED5">
        <w:rPr>
          <w:sz w:val="26"/>
          <w:szCs w:val="26"/>
        </w:rPr>
        <w:t xml:space="preserve">ar derīgām TUA, kas izsniegtas personām kā komercreģistrā reģistrētām amatpersonām. </w:t>
      </w:r>
    </w:p>
    <w:p w14:paraId="42B8EFEB" w14:textId="200F3955" w:rsidR="007B6786" w:rsidRDefault="007B6786" w:rsidP="008D4C67">
      <w:pPr>
        <w:spacing w:after="120"/>
        <w:ind w:firstLine="567"/>
        <w:jc w:val="both"/>
        <w:rPr>
          <w:color w:val="000000" w:themeColor="text1"/>
          <w:sz w:val="26"/>
          <w:szCs w:val="26"/>
        </w:rPr>
      </w:pPr>
      <w:r w:rsidRPr="000D7997">
        <w:rPr>
          <w:sz w:val="26"/>
          <w:szCs w:val="26"/>
        </w:rPr>
        <w:t>Saskaņā ar</w:t>
      </w:r>
      <w:r w:rsidR="000F14E9">
        <w:rPr>
          <w:sz w:val="26"/>
          <w:szCs w:val="26"/>
        </w:rPr>
        <w:t xml:space="preserve"> SIA</w:t>
      </w:r>
      <w:r w:rsidRPr="000D7997">
        <w:rPr>
          <w:sz w:val="26"/>
          <w:szCs w:val="26"/>
        </w:rPr>
        <w:t xml:space="preserve"> </w:t>
      </w:r>
      <w:r w:rsidR="000F14E9">
        <w:rPr>
          <w:sz w:val="26"/>
          <w:szCs w:val="26"/>
        </w:rPr>
        <w:t xml:space="preserve">“CREFO </w:t>
      </w:r>
      <w:proofErr w:type="spellStart"/>
      <w:r w:rsidR="000F14E9">
        <w:rPr>
          <w:sz w:val="26"/>
          <w:szCs w:val="26"/>
        </w:rPr>
        <w:t>Rating</w:t>
      </w:r>
      <w:proofErr w:type="spellEnd"/>
      <w:r w:rsidR="000F14E9">
        <w:rPr>
          <w:sz w:val="26"/>
          <w:szCs w:val="26"/>
        </w:rPr>
        <w:t>”</w:t>
      </w:r>
      <w:r w:rsidRPr="000D7997">
        <w:rPr>
          <w:sz w:val="26"/>
          <w:szCs w:val="26"/>
        </w:rPr>
        <w:t xml:space="preserve"> sniegto i</w:t>
      </w:r>
      <w:r w:rsidR="000F14E9">
        <w:rPr>
          <w:sz w:val="26"/>
          <w:szCs w:val="26"/>
        </w:rPr>
        <w:t>nformāciju minētā</w:t>
      </w:r>
      <w:r w:rsidR="00D34104">
        <w:rPr>
          <w:sz w:val="26"/>
          <w:szCs w:val="26"/>
        </w:rPr>
        <w:t>s personas 2018</w:t>
      </w:r>
      <w:r w:rsidRPr="000D7997">
        <w:rPr>
          <w:sz w:val="26"/>
          <w:szCs w:val="26"/>
        </w:rPr>
        <w:t xml:space="preserve">.gadā kopumā ieņēma kādu amatu </w:t>
      </w:r>
      <w:r w:rsidR="006D4D2E">
        <w:rPr>
          <w:color w:val="000000" w:themeColor="text1"/>
          <w:sz w:val="26"/>
          <w:szCs w:val="26"/>
        </w:rPr>
        <w:t>532</w:t>
      </w:r>
      <w:r w:rsidRPr="000D7997">
        <w:rPr>
          <w:color w:val="000000" w:themeColor="text1"/>
          <w:sz w:val="26"/>
          <w:szCs w:val="26"/>
        </w:rPr>
        <w:t xml:space="preserve"> Latvijā reģistrētos </w:t>
      </w:r>
      <w:r w:rsidRPr="00477823">
        <w:rPr>
          <w:color w:val="000000" w:themeColor="text1"/>
          <w:sz w:val="26"/>
          <w:szCs w:val="26"/>
        </w:rPr>
        <w:t>uzņēmumos</w:t>
      </w:r>
      <w:r w:rsidR="00B84452" w:rsidRPr="00477823">
        <w:rPr>
          <w:color w:val="000000" w:themeColor="text1"/>
          <w:sz w:val="26"/>
          <w:szCs w:val="26"/>
        </w:rPr>
        <w:t xml:space="preserve"> (</w:t>
      </w:r>
      <w:r w:rsidR="00F64A07" w:rsidRPr="00477823">
        <w:rPr>
          <w:color w:val="000000" w:themeColor="text1"/>
          <w:sz w:val="26"/>
          <w:szCs w:val="26"/>
        </w:rPr>
        <w:t xml:space="preserve">jāpiezīmē, ka </w:t>
      </w:r>
      <w:r w:rsidR="00477823" w:rsidRPr="00477823">
        <w:rPr>
          <w:color w:val="000000" w:themeColor="text1"/>
          <w:sz w:val="26"/>
          <w:szCs w:val="26"/>
        </w:rPr>
        <w:t>20</w:t>
      </w:r>
      <w:r w:rsidR="00F64A07" w:rsidRPr="00477823">
        <w:rPr>
          <w:color w:val="000000" w:themeColor="text1"/>
          <w:sz w:val="26"/>
          <w:szCs w:val="26"/>
        </w:rPr>
        <w:t>%</w:t>
      </w:r>
      <w:r w:rsidR="00477823">
        <w:rPr>
          <w:color w:val="000000" w:themeColor="text1"/>
          <w:sz w:val="26"/>
          <w:szCs w:val="26"/>
        </w:rPr>
        <w:t xml:space="preserve"> personu</w:t>
      </w:r>
      <w:r w:rsidR="00F64A07" w:rsidRPr="00477823">
        <w:rPr>
          <w:color w:val="000000" w:themeColor="text1"/>
          <w:sz w:val="26"/>
          <w:szCs w:val="26"/>
        </w:rPr>
        <w:t xml:space="preserve"> ieņēma amatus 2 un vairāk uzņēmumos)</w:t>
      </w:r>
      <w:r w:rsidRPr="00477823">
        <w:rPr>
          <w:color w:val="000000" w:themeColor="text1"/>
          <w:sz w:val="26"/>
          <w:szCs w:val="26"/>
        </w:rPr>
        <w:t xml:space="preserve">. </w:t>
      </w:r>
    </w:p>
    <w:p w14:paraId="2542EF87" w14:textId="58AAE54C" w:rsidR="00AC4875" w:rsidRDefault="006D4D2E" w:rsidP="00AC4875">
      <w:pPr>
        <w:ind w:firstLine="567"/>
        <w:jc w:val="both"/>
        <w:rPr>
          <w:color w:val="000000" w:themeColor="text1"/>
          <w:sz w:val="26"/>
          <w:szCs w:val="26"/>
        </w:rPr>
      </w:pPr>
      <w:r>
        <w:rPr>
          <w:color w:val="000000" w:themeColor="text1"/>
          <w:sz w:val="26"/>
          <w:szCs w:val="26"/>
        </w:rPr>
        <w:t>U</w:t>
      </w:r>
      <w:r w:rsidR="00AC4875" w:rsidRPr="000D7997">
        <w:rPr>
          <w:color w:val="000000" w:themeColor="text1"/>
          <w:sz w:val="26"/>
          <w:szCs w:val="26"/>
        </w:rPr>
        <w:t>zņēmumi (</w:t>
      </w:r>
      <w:r>
        <w:rPr>
          <w:color w:val="000000" w:themeColor="text1"/>
          <w:sz w:val="26"/>
          <w:szCs w:val="26"/>
        </w:rPr>
        <w:t>320</w:t>
      </w:r>
      <w:r w:rsidR="00AC4875" w:rsidRPr="000D7997">
        <w:rPr>
          <w:color w:val="000000" w:themeColor="text1"/>
          <w:sz w:val="26"/>
          <w:szCs w:val="26"/>
        </w:rPr>
        <w:t xml:space="preserve"> uzņēmumi saskaņā ar </w:t>
      </w:r>
      <w:r>
        <w:rPr>
          <w:sz w:val="26"/>
          <w:szCs w:val="26"/>
        </w:rPr>
        <w:t>SIA</w:t>
      </w:r>
      <w:r w:rsidRPr="000D7997">
        <w:rPr>
          <w:sz w:val="26"/>
          <w:szCs w:val="26"/>
        </w:rPr>
        <w:t xml:space="preserve"> </w:t>
      </w:r>
      <w:r>
        <w:rPr>
          <w:sz w:val="26"/>
          <w:szCs w:val="26"/>
        </w:rPr>
        <w:t xml:space="preserve">“CREFO </w:t>
      </w:r>
      <w:proofErr w:type="spellStart"/>
      <w:r>
        <w:rPr>
          <w:sz w:val="26"/>
          <w:szCs w:val="26"/>
        </w:rPr>
        <w:t>Rating</w:t>
      </w:r>
      <w:proofErr w:type="spellEnd"/>
      <w:r>
        <w:rPr>
          <w:sz w:val="26"/>
          <w:szCs w:val="26"/>
        </w:rPr>
        <w:t>”</w:t>
      </w:r>
      <w:r w:rsidRPr="000D7997">
        <w:rPr>
          <w:sz w:val="26"/>
          <w:szCs w:val="26"/>
        </w:rPr>
        <w:t xml:space="preserve"> </w:t>
      </w:r>
      <w:r w:rsidR="00AC4875" w:rsidRPr="000D7997">
        <w:rPr>
          <w:color w:val="000000" w:themeColor="text1"/>
          <w:sz w:val="26"/>
          <w:szCs w:val="26"/>
        </w:rPr>
        <w:t xml:space="preserve"> informāciju), kuros īpašumtiesību daļas pieder ārzemniekiem, kuri kā TUA saņemšanas iemeslu ir Imigrācijas likuma 23.panta pirmās daļas</w:t>
      </w:r>
      <w:r>
        <w:rPr>
          <w:color w:val="000000" w:themeColor="text1"/>
          <w:sz w:val="26"/>
          <w:szCs w:val="26"/>
        </w:rPr>
        <w:t xml:space="preserve"> 3.punktu, 2018</w:t>
      </w:r>
      <w:r w:rsidR="00AC4875" w:rsidRPr="000D7997">
        <w:rPr>
          <w:color w:val="000000" w:themeColor="text1"/>
          <w:sz w:val="26"/>
          <w:szCs w:val="26"/>
        </w:rPr>
        <w:t xml:space="preserve">.gadā iemaksājuši valsts budžetā nodokļus (atskaitot no valsts budžeta atmaksātos nodokļus) </w:t>
      </w:r>
      <w:r w:rsidR="007B1947">
        <w:rPr>
          <w:color w:val="000000" w:themeColor="text1"/>
          <w:sz w:val="26"/>
          <w:szCs w:val="26"/>
        </w:rPr>
        <w:t>19,8</w:t>
      </w:r>
      <w:r w:rsidR="00AC4875" w:rsidRPr="000D7997">
        <w:rPr>
          <w:color w:val="000000" w:themeColor="text1"/>
          <w:sz w:val="26"/>
          <w:szCs w:val="26"/>
        </w:rPr>
        <w:t xml:space="preserve"> milj. </w:t>
      </w:r>
      <w:proofErr w:type="spellStart"/>
      <w:r w:rsidR="00AC4875" w:rsidRPr="000D7997">
        <w:rPr>
          <w:i/>
          <w:color w:val="000000" w:themeColor="text1"/>
          <w:sz w:val="26"/>
          <w:szCs w:val="26"/>
        </w:rPr>
        <w:t>euro</w:t>
      </w:r>
      <w:proofErr w:type="spellEnd"/>
      <w:r w:rsidR="007B1947">
        <w:rPr>
          <w:color w:val="000000" w:themeColor="text1"/>
          <w:sz w:val="26"/>
          <w:szCs w:val="26"/>
        </w:rPr>
        <w:t xml:space="preserve"> </w:t>
      </w:r>
      <w:r w:rsidR="007B1947">
        <w:rPr>
          <w:color w:val="000000" w:themeColor="text1"/>
          <w:sz w:val="26"/>
          <w:szCs w:val="26"/>
        </w:rPr>
        <w:lastRenderedPageBreak/>
        <w:t>apmērā, bet 2019</w:t>
      </w:r>
      <w:r w:rsidR="00AC4875" w:rsidRPr="000D7997">
        <w:rPr>
          <w:color w:val="000000" w:themeColor="text1"/>
          <w:sz w:val="26"/>
          <w:szCs w:val="26"/>
        </w:rPr>
        <w:t xml:space="preserve">.gada I pusgadā </w:t>
      </w:r>
      <w:r w:rsidR="007B1947">
        <w:rPr>
          <w:color w:val="000000" w:themeColor="text1"/>
          <w:sz w:val="26"/>
          <w:szCs w:val="26"/>
        </w:rPr>
        <w:t>10,3</w:t>
      </w:r>
      <w:r w:rsidR="00AC4875" w:rsidRPr="000D7997">
        <w:rPr>
          <w:color w:val="000000" w:themeColor="text1"/>
          <w:sz w:val="26"/>
          <w:szCs w:val="26"/>
        </w:rPr>
        <w:t xml:space="preserve"> milj. </w:t>
      </w:r>
      <w:proofErr w:type="spellStart"/>
      <w:r w:rsidR="00AC4875" w:rsidRPr="000D7997">
        <w:rPr>
          <w:i/>
          <w:color w:val="000000" w:themeColor="text1"/>
          <w:sz w:val="26"/>
          <w:szCs w:val="26"/>
        </w:rPr>
        <w:t>euro</w:t>
      </w:r>
      <w:proofErr w:type="spellEnd"/>
      <w:r w:rsidR="00AC4875" w:rsidRPr="000D7997">
        <w:rPr>
          <w:color w:val="000000" w:themeColor="text1"/>
          <w:sz w:val="26"/>
          <w:szCs w:val="26"/>
        </w:rPr>
        <w:t xml:space="preserve"> apmērā</w:t>
      </w:r>
      <w:r w:rsidR="00AC4875" w:rsidRPr="000D7997">
        <w:rPr>
          <w:rStyle w:val="FootnoteReference"/>
          <w:color w:val="000000" w:themeColor="text1"/>
          <w:sz w:val="26"/>
          <w:szCs w:val="26"/>
        </w:rPr>
        <w:footnoteReference w:id="4"/>
      </w:r>
      <w:r w:rsidR="007B1947">
        <w:rPr>
          <w:color w:val="000000" w:themeColor="text1"/>
          <w:sz w:val="26"/>
          <w:szCs w:val="26"/>
        </w:rPr>
        <w:t>. 2018</w:t>
      </w:r>
      <w:r w:rsidR="00AC4875" w:rsidRPr="000D7997">
        <w:rPr>
          <w:color w:val="000000" w:themeColor="text1"/>
          <w:sz w:val="26"/>
          <w:szCs w:val="26"/>
        </w:rPr>
        <w:t xml:space="preserve">.gadā šo uzņēmumu kopējais apgrozījums bija </w:t>
      </w:r>
      <w:r w:rsidR="00984E9F">
        <w:rPr>
          <w:color w:val="000000" w:themeColor="text1"/>
          <w:sz w:val="26"/>
          <w:szCs w:val="26"/>
        </w:rPr>
        <w:t>318,1</w:t>
      </w:r>
      <w:r w:rsidR="00AC4875" w:rsidRPr="000D7997">
        <w:rPr>
          <w:color w:val="000000" w:themeColor="text1"/>
          <w:sz w:val="26"/>
          <w:szCs w:val="26"/>
        </w:rPr>
        <w:t xml:space="preserve"> milj. </w:t>
      </w:r>
      <w:proofErr w:type="spellStart"/>
      <w:r w:rsidR="00AC4875" w:rsidRPr="000D7997">
        <w:rPr>
          <w:i/>
          <w:color w:val="000000" w:themeColor="text1"/>
          <w:sz w:val="26"/>
          <w:szCs w:val="26"/>
        </w:rPr>
        <w:t>euro</w:t>
      </w:r>
      <w:proofErr w:type="spellEnd"/>
      <w:r w:rsidR="00AC4875" w:rsidRPr="000D7997">
        <w:rPr>
          <w:color w:val="000000" w:themeColor="text1"/>
          <w:sz w:val="26"/>
          <w:szCs w:val="26"/>
        </w:rPr>
        <w:t xml:space="preserve">, un tajos bija nodarbināti </w:t>
      </w:r>
      <w:r w:rsidR="007B1947">
        <w:rPr>
          <w:color w:val="000000" w:themeColor="text1"/>
          <w:sz w:val="26"/>
          <w:szCs w:val="26"/>
        </w:rPr>
        <w:t>2,5 tūkst.</w:t>
      </w:r>
      <w:r w:rsidR="00AC4875" w:rsidRPr="000D7997">
        <w:rPr>
          <w:color w:val="000000" w:themeColor="text1"/>
          <w:sz w:val="26"/>
          <w:szCs w:val="26"/>
        </w:rPr>
        <w:t xml:space="preserve"> </w:t>
      </w:r>
      <w:r w:rsidR="007B1947">
        <w:rPr>
          <w:color w:val="000000" w:themeColor="text1"/>
          <w:sz w:val="26"/>
          <w:szCs w:val="26"/>
        </w:rPr>
        <w:t>darbinieku</w:t>
      </w:r>
      <w:r w:rsidR="00AC4875" w:rsidRPr="000D7997">
        <w:rPr>
          <w:color w:val="000000" w:themeColor="text1"/>
          <w:sz w:val="26"/>
          <w:szCs w:val="26"/>
        </w:rPr>
        <w:t xml:space="preserve">. </w:t>
      </w:r>
    </w:p>
    <w:p w14:paraId="48B88088" w14:textId="77777777" w:rsidR="004E1A27" w:rsidRDefault="004E1A27" w:rsidP="00D7533E">
      <w:pPr>
        <w:ind w:firstLine="567"/>
        <w:jc w:val="right"/>
        <w:rPr>
          <w:sz w:val="24"/>
          <w:szCs w:val="24"/>
        </w:rPr>
      </w:pPr>
    </w:p>
    <w:p w14:paraId="264D47D2" w14:textId="37DFD448" w:rsidR="00BA4A7D" w:rsidRPr="002A7584" w:rsidRDefault="00BA4A7D" w:rsidP="00BA4A7D">
      <w:pPr>
        <w:spacing w:after="120"/>
        <w:ind w:firstLine="567"/>
        <w:jc w:val="right"/>
        <w:rPr>
          <w:sz w:val="24"/>
          <w:szCs w:val="24"/>
        </w:rPr>
      </w:pPr>
      <w:r w:rsidRPr="002A7584">
        <w:rPr>
          <w:sz w:val="24"/>
          <w:szCs w:val="24"/>
        </w:rPr>
        <w:t>5.attēls</w:t>
      </w:r>
    </w:p>
    <w:p w14:paraId="7DC8F8A3" w14:textId="0E52FF59" w:rsidR="00BA4A7D" w:rsidRPr="005576BA" w:rsidRDefault="00BA4A7D" w:rsidP="00BA4A7D">
      <w:pPr>
        <w:spacing w:after="120"/>
        <w:jc w:val="center"/>
        <w:rPr>
          <w:b/>
          <w:sz w:val="24"/>
          <w:szCs w:val="24"/>
        </w:rPr>
      </w:pPr>
      <w:r w:rsidRPr="005576BA">
        <w:rPr>
          <w:b/>
          <w:sz w:val="24"/>
          <w:szCs w:val="24"/>
        </w:rPr>
        <w:t xml:space="preserve">Uz TUA </w:t>
      </w:r>
      <w:r>
        <w:rPr>
          <w:b/>
          <w:sz w:val="24"/>
          <w:szCs w:val="24"/>
        </w:rPr>
        <w:t>turētājiem</w:t>
      </w:r>
      <w:r w:rsidRPr="005576BA">
        <w:rPr>
          <w:b/>
          <w:sz w:val="24"/>
          <w:szCs w:val="24"/>
        </w:rPr>
        <w:t xml:space="preserve"> – </w:t>
      </w:r>
      <w:r w:rsidR="002A7584" w:rsidRPr="002A7584">
        <w:rPr>
          <w:b/>
          <w:sz w:val="24"/>
          <w:szCs w:val="24"/>
        </w:rPr>
        <w:t>komercreģistrā reģistrētām amatpersonām</w:t>
      </w:r>
      <w:r w:rsidR="002A7584" w:rsidRPr="005576BA">
        <w:rPr>
          <w:b/>
          <w:sz w:val="24"/>
          <w:szCs w:val="24"/>
        </w:rPr>
        <w:t xml:space="preserve"> </w:t>
      </w:r>
      <w:r w:rsidRPr="005576BA">
        <w:rPr>
          <w:b/>
          <w:sz w:val="24"/>
          <w:szCs w:val="24"/>
        </w:rPr>
        <w:t>201</w:t>
      </w:r>
      <w:r>
        <w:rPr>
          <w:b/>
          <w:sz w:val="24"/>
          <w:szCs w:val="24"/>
        </w:rPr>
        <w:t>8</w:t>
      </w:r>
      <w:r w:rsidRPr="005576BA">
        <w:rPr>
          <w:b/>
          <w:sz w:val="24"/>
          <w:szCs w:val="24"/>
        </w:rPr>
        <w:t>.gadā</w:t>
      </w:r>
      <w:r w:rsidRPr="005576BA">
        <w:rPr>
          <w:sz w:val="24"/>
          <w:szCs w:val="24"/>
        </w:rPr>
        <w:t xml:space="preserve"> </w:t>
      </w:r>
      <w:r w:rsidRPr="005576BA">
        <w:rPr>
          <w:b/>
          <w:sz w:val="24"/>
          <w:szCs w:val="24"/>
        </w:rPr>
        <w:t>attiecināmo uzņēmumu (pieder īpašumtiesību daļas)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4602"/>
      </w:tblGrid>
      <w:tr w:rsidR="00BA4A7D" w:rsidRPr="00894018" w14:paraId="6E4FC7E1" w14:textId="77777777" w:rsidTr="0069311E">
        <w:tc>
          <w:tcPr>
            <w:tcW w:w="4496" w:type="dxa"/>
          </w:tcPr>
          <w:p w14:paraId="21F782A6" w14:textId="77777777" w:rsidR="00BA4A7D" w:rsidRDefault="00BA4A7D" w:rsidP="0069311E">
            <w:pPr>
              <w:spacing w:after="120"/>
              <w:jc w:val="center"/>
              <w:rPr>
                <w:rFonts w:ascii="Times New Roman" w:hAnsi="Times New Roman"/>
                <w:b/>
                <w:sz w:val="22"/>
                <w:szCs w:val="22"/>
              </w:rPr>
            </w:pPr>
            <w:r w:rsidRPr="008C215F">
              <w:rPr>
                <w:rFonts w:ascii="Times New Roman" w:hAnsi="Times New Roman"/>
                <w:b/>
                <w:sz w:val="22"/>
                <w:szCs w:val="22"/>
              </w:rPr>
              <w:t>sadalījums pēc to dibināšanas gada</w:t>
            </w:r>
          </w:p>
          <w:p w14:paraId="2F5BD07B" w14:textId="77777777" w:rsidR="00BA4A7D" w:rsidRPr="00BA4A7D" w:rsidRDefault="00BA4A7D" w:rsidP="0069311E">
            <w:pPr>
              <w:spacing w:after="120"/>
              <w:jc w:val="center"/>
              <w:rPr>
                <w:rFonts w:ascii="Times New Roman" w:hAnsi="Times New Roman"/>
                <w:b/>
                <w:sz w:val="22"/>
                <w:szCs w:val="22"/>
              </w:rPr>
            </w:pPr>
            <w:r w:rsidRPr="00060836">
              <w:rPr>
                <w:rFonts w:eastAsiaTheme="minorEastAsia"/>
                <w:b/>
                <w:noProof/>
                <w:sz w:val="24"/>
                <w:szCs w:val="24"/>
              </w:rPr>
              <w:drawing>
                <wp:inline distT="0" distB="0" distL="0" distR="0" wp14:anchorId="7E1BF689" wp14:editId="11CDEF6A">
                  <wp:extent cx="268605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791" w:type="dxa"/>
          </w:tcPr>
          <w:p w14:paraId="7059BEAB" w14:textId="77777777" w:rsidR="00BA4A7D" w:rsidRDefault="00BA4A7D" w:rsidP="0069311E">
            <w:pPr>
              <w:spacing w:after="120"/>
              <w:jc w:val="center"/>
              <w:rPr>
                <w:rFonts w:ascii="Times New Roman" w:hAnsi="Times New Roman"/>
                <w:b/>
                <w:sz w:val="22"/>
                <w:szCs w:val="22"/>
              </w:rPr>
            </w:pPr>
            <w:r w:rsidRPr="00894018">
              <w:rPr>
                <w:rFonts w:ascii="Times New Roman" w:hAnsi="Times New Roman"/>
                <w:b/>
                <w:sz w:val="24"/>
                <w:szCs w:val="24"/>
              </w:rPr>
              <w:t xml:space="preserve"> </w:t>
            </w:r>
            <w:r w:rsidRPr="008C215F">
              <w:rPr>
                <w:rFonts w:ascii="Times New Roman" w:hAnsi="Times New Roman"/>
                <w:b/>
                <w:sz w:val="22"/>
                <w:szCs w:val="22"/>
              </w:rPr>
              <w:t>sadalījums pēc darbības jomas</w:t>
            </w:r>
          </w:p>
          <w:p w14:paraId="3DF4AAF8" w14:textId="77777777" w:rsidR="00BA4A7D" w:rsidRPr="00BA4A7D" w:rsidRDefault="00BA4A7D" w:rsidP="0069311E">
            <w:pPr>
              <w:spacing w:after="120"/>
              <w:jc w:val="center"/>
              <w:rPr>
                <w:rFonts w:ascii="Times New Roman" w:hAnsi="Times New Roman"/>
                <w:b/>
                <w:sz w:val="22"/>
                <w:szCs w:val="22"/>
              </w:rPr>
            </w:pPr>
            <w:r w:rsidRPr="00060836">
              <w:rPr>
                <w:rFonts w:eastAsiaTheme="minorEastAsia"/>
                <w:b/>
                <w:noProof/>
                <w:sz w:val="24"/>
                <w:szCs w:val="24"/>
              </w:rPr>
              <w:drawing>
                <wp:inline distT="0" distB="0" distL="0" distR="0" wp14:anchorId="246682E9" wp14:editId="0BB8F07A">
                  <wp:extent cx="268605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05B3F023" w14:textId="77777777" w:rsidR="00BA4A7D" w:rsidRPr="00EE2600" w:rsidRDefault="00BA4A7D" w:rsidP="00450BC3">
      <w:pPr>
        <w:jc w:val="both"/>
        <w:rPr>
          <w:i/>
          <w:sz w:val="22"/>
        </w:rPr>
      </w:pPr>
      <w:r w:rsidRPr="00894018">
        <w:rPr>
          <w:i/>
          <w:sz w:val="22"/>
        </w:rPr>
        <w:t xml:space="preserve">Avots: </w:t>
      </w:r>
      <w:r>
        <w:rPr>
          <w:i/>
          <w:sz w:val="22"/>
        </w:rPr>
        <w:t xml:space="preserve">SIA “CREFO </w:t>
      </w:r>
      <w:proofErr w:type="spellStart"/>
      <w:r>
        <w:rPr>
          <w:i/>
          <w:sz w:val="22"/>
        </w:rPr>
        <w:t>Rating</w:t>
      </w:r>
      <w:proofErr w:type="spellEnd"/>
      <w:r>
        <w:rPr>
          <w:i/>
          <w:sz w:val="22"/>
        </w:rPr>
        <w:t>” dati</w:t>
      </w:r>
    </w:p>
    <w:p w14:paraId="1463D9FF" w14:textId="55AED870" w:rsidR="00BA4A7D" w:rsidRDefault="00BA4A7D" w:rsidP="00450BC3">
      <w:pPr>
        <w:ind w:firstLine="567"/>
        <w:jc w:val="both"/>
        <w:rPr>
          <w:color w:val="000000" w:themeColor="text1"/>
          <w:sz w:val="26"/>
          <w:szCs w:val="26"/>
        </w:rPr>
      </w:pPr>
    </w:p>
    <w:p w14:paraId="54A2D323" w14:textId="527AFD93" w:rsidR="00337D4F" w:rsidRDefault="00590095" w:rsidP="00337D4F">
      <w:pPr>
        <w:ind w:firstLine="567"/>
        <w:jc w:val="both"/>
        <w:rPr>
          <w:color w:val="000000" w:themeColor="text1"/>
          <w:sz w:val="26"/>
          <w:szCs w:val="26"/>
        </w:rPr>
      </w:pPr>
      <w:r w:rsidRPr="00C756A1">
        <w:rPr>
          <w:color w:val="000000" w:themeColor="text1"/>
          <w:sz w:val="26"/>
          <w:szCs w:val="26"/>
        </w:rPr>
        <w:t>N</w:t>
      </w:r>
      <w:r w:rsidR="00A5353F" w:rsidRPr="00C756A1">
        <w:rPr>
          <w:color w:val="000000" w:themeColor="text1"/>
          <w:sz w:val="26"/>
          <w:szCs w:val="26"/>
        </w:rPr>
        <w:t>o</w:t>
      </w:r>
      <w:r w:rsidR="004B082A" w:rsidRPr="00C756A1">
        <w:rPr>
          <w:color w:val="000000" w:themeColor="text1"/>
          <w:sz w:val="26"/>
          <w:szCs w:val="26"/>
        </w:rPr>
        <w:t xml:space="preserve"> </w:t>
      </w:r>
      <w:r w:rsidRPr="00C756A1">
        <w:rPr>
          <w:color w:val="000000" w:themeColor="text1"/>
          <w:sz w:val="26"/>
          <w:szCs w:val="26"/>
        </w:rPr>
        <w:t>uzņēmumiem, kuriem ir norādīts darbības veids</w:t>
      </w:r>
      <w:r w:rsidR="00613993" w:rsidRPr="00C756A1">
        <w:rPr>
          <w:color w:val="000000" w:themeColor="text1"/>
          <w:sz w:val="26"/>
          <w:szCs w:val="26"/>
        </w:rPr>
        <w:t xml:space="preserve"> (</w:t>
      </w:r>
      <w:r w:rsidR="007C5433" w:rsidRPr="00C756A1">
        <w:rPr>
          <w:color w:val="000000" w:themeColor="text1"/>
          <w:sz w:val="26"/>
          <w:szCs w:val="26"/>
        </w:rPr>
        <w:t>306</w:t>
      </w:r>
      <w:r w:rsidR="00A5353F" w:rsidRPr="00C756A1">
        <w:rPr>
          <w:color w:val="000000" w:themeColor="text1"/>
          <w:sz w:val="26"/>
          <w:szCs w:val="26"/>
        </w:rPr>
        <w:t xml:space="preserve"> uzņēmumi)</w:t>
      </w:r>
      <w:r w:rsidRPr="00C756A1">
        <w:rPr>
          <w:color w:val="000000" w:themeColor="text1"/>
          <w:sz w:val="26"/>
          <w:szCs w:val="26"/>
        </w:rPr>
        <w:t xml:space="preserve">, </w:t>
      </w:r>
      <w:r w:rsidR="00C756A1" w:rsidRPr="00C756A1">
        <w:rPr>
          <w:color w:val="000000" w:themeColor="text1"/>
          <w:sz w:val="26"/>
          <w:szCs w:val="26"/>
        </w:rPr>
        <w:t>28% jeb 84 uzņēmumu tā</w:t>
      </w:r>
      <w:r w:rsidR="00320DF0" w:rsidRPr="00C756A1">
        <w:rPr>
          <w:color w:val="000000" w:themeColor="text1"/>
          <w:sz w:val="26"/>
          <w:szCs w:val="26"/>
        </w:rPr>
        <w:t xml:space="preserve"> ir vairumtirdzniecība un mazumtirdzniecība</w:t>
      </w:r>
      <w:r w:rsidR="006324AA" w:rsidRPr="00C756A1">
        <w:rPr>
          <w:color w:val="000000" w:themeColor="text1"/>
          <w:sz w:val="26"/>
          <w:szCs w:val="26"/>
        </w:rPr>
        <w:t>, savukārt 1</w:t>
      </w:r>
      <w:r w:rsidR="00C756A1" w:rsidRPr="00C756A1">
        <w:rPr>
          <w:color w:val="000000" w:themeColor="text1"/>
          <w:sz w:val="26"/>
          <w:szCs w:val="26"/>
        </w:rPr>
        <w:t>6</w:t>
      </w:r>
      <w:r w:rsidR="006324AA" w:rsidRPr="00C756A1">
        <w:rPr>
          <w:color w:val="000000" w:themeColor="text1"/>
          <w:sz w:val="26"/>
          <w:szCs w:val="26"/>
        </w:rPr>
        <w:t>% uzņēmumu darbība ir sa</w:t>
      </w:r>
      <w:r w:rsidR="00C756A1" w:rsidRPr="00C756A1">
        <w:rPr>
          <w:color w:val="000000" w:themeColor="text1"/>
          <w:sz w:val="26"/>
          <w:szCs w:val="26"/>
        </w:rPr>
        <w:t>i</w:t>
      </w:r>
      <w:r w:rsidR="006324AA" w:rsidRPr="00C756A1">
        <w:rPr>
          <w:color w:val="000000" w:themeColor="text1"/>
          <w:sz w:val="26"/>
          <w:szCs w:val="26"/>
        </w:rPr>
        <w:t>st</w:t>
      </w:r>
      <w:r w:rsidR="00C756A1" w:rsidRPr="00C756A1">
        <w:rPr>
          <w:color w:val="000000" w:themeColor="text1"/>
          <w:sz w:val="26"/>
          <w:szCs w:val="26"/>
        </w:rPr>
        <w:t>īt</w:t>
      </w:r>
      <w:r w:rsidR="006324AA" w:rsidRPr="00C756A1">
        <w:rPr>
          <w:color w:val="000000" w:themeColor="text1"/>
          <w:sz w:val="26"/>
          <w:szCs w:val="26"/>
        </w:rPr>
        <w:t>a ar operācijām ar nekustamo īpašumu un tikpat uzņēmum</w:t>
      </w:r>
      <w:r w:rsidR="00C756A1">
        <w:rPr>
          <w:color w:val="000000" w:themeColor="text1"/>
          <w:sz w:val="26"/>
          <w:szCs w:val="26"/>
        </w:rPr>
        <w:t>u</w:t>
      </w:r>
      <w:r w:rsidR="006324AA" w:rsidRPr="00C756A1">
        <w:rPr>
          <w:color w:val="000000" w:themeColor="text1"/>
          <w:sz w:val="26"/>
          <w:szCs w:val="26"/>
        </w:rPr>
        <w:t xml:space="preserve"> – ar profesionālajiem, zinātniskajiem un tehniskajiem pakalpojumiem.</w:t>
      </w:r>
      <w:r w:rsidR="007F62A4" w:rsidRPr="00C756A1">
        <w:rPr>
          <w:color w:val="000000" w:themeColor="text1"/>
          <w:sz w:val="26"/>
          <w:szCs w:val="26"/>
        </w:rPr>
        <w:t xml:space="preserve"> 9% </w:t>
      </w:r>
      <w:r w:rsidR="00337D4F" w:rsidRPr="00C756A1">
        <w:rPr>
          <w:color w:val="000000" w:themeColor="text1"/>
          <w:sz w:val="26"/>
          <w:szCs w:val="26"/>
        </w:rPr>
        <w:t>(</w:t>
      </w:r>
      <w:r w:rsidR="00C756A1" w:rsidRPr="00C756A1">
        <w:rPr>
          <w:color w:val="000000" w:themeColor="text1"/>
          <w:sz w:val="26"/>
          <w:szCs w:val="26"/>
        </w:rPr>
        <w:t>28</w:t>
      </w:r>
      <w:r w:rsidR="00337D4F" w:rsidRPr="00C756A1">
        <w:rPr>
          <w:color w:val="000000" w:themeColor="text1"/>
          <w:sz w:val="26"/>
          <w:szCs w:val="26"/>
        </w:rPr>
        <w:t xml:space="preserve">) </w:t>
      </w:r>
      <w:r w:rsidR="007F62A4" w:rsidRPr="00C756A1">
        <w:rPr>
          <w:color w:val="000000" w:themeColor="text1"/>
          <w:sz w:val="26"/>
          <w:szCs w:val="26"/>
        </w:rPr>
        <w:t>uzņēmumu darbības v</w:t>
      </w:r>
      <w:r w:rsidR="00337D4F" w:rsidRPr="00C756A1">
        <w:rPr>
          <w:color w:val="000000" w:themeColor="text1"/>
          <w:sz w:val="26"/>
          <w:szCs w:val="26"/>
        </w:rPr>
        <w:t>eids ir apstrādes rūpniecība</w:t>
      </w:r>
      <w:r w:rsidR="00775812">
        <w:rPr>
          <w:color w:val="000000" w:themeColor="text1"/>
          <w:sz w:val="26"/>
          <w:szCs w:val="26"/>
        </w:rPr>
        <w:t xml:space="preserve"> (lielākie uzņēmumi darbojas poligrāfijas, pārtikas produktu ražošanas un </w:t>
      </w:r>
      <w:r w:rsidR="00775812" w:rsidRPr="00775812">
        <w:rPr>
          <w:color w:val="000000" w:themeColor="text1"/>
          <w:sz w:val="26"/>
          <w:szCs w:val="26"/>
        </w:rPr>
        <w:t>metālizstrādājumu ražošana</w:t>
      </w:r>
      <w:r w:rsidR="00775812">
        <w:rPr>
          <w:color w:val="000000" w:themeColor="text1"/>
          <w:sz w:val="26"/>
          <w:szCs w:val="26"/>
        </w:rPr>
        <w:t xml:space="preserve">s </w:t>
      </w:r>
      <w:proofErr w:type="spellStart"/>
      <w:r w:rsidR="00775812">
        <w:rPr>
          <w:color w:val="000000" w:themeColor="text1"/>
          <w:sz w:val="26"/>
          <w:szCs w:val="26"/>
        </w:rPr>
        <w:t>apakšnozarēs</w:t>
      </w:r>
      <w:proofErr w:type="spellEnd"/>
      <w:r w:rsidR="00775812">
        <w:rPr>
          <w:color w:val="000000" w:themeColor="text1"/>
          <w:sz w:val="26"/>
          <w:szCs w:val="26"/>
        </w:rPr>
        <w:t>)</w:t>
      </w:r>
      <w:r w:rsidR="00337D4F" w:rsidRPr="00C756A1">
        <w:rPr>
          <w:color w:val="000000" w:themeColor="text1"/>
          <w:sz w:val="26"/>
          <w:szCs w:val="26"/>
        </w:rPr>
        <w:t>.</w:t>
      </w:r>
      <w:r w:rsidR="007F62A4" w:rsidRPr="00C756A1">
        <w:rPr>
          <w:color w:val="000000" w:themeColor="text1"/>
          <w:sz w:val="26"/>
          <w:szCs w:val="26"/>
        </w:rPr>
        <w:t xml:space="preserve"> </w:t>
      </w:r>
      <w:r w:rsidR="00C756A1" w:rsidRPr="00C756A1">
        <w:rPr>
          <w:color w:val="000000" w:themeColor="text1"/>
          <w:sz w:val="26"/>
          <w:szCs w:val="26"/>
        </w:rPr>
        <w:t>Informācijas un komunikācijas pakalpojumus sniedz 6% uzņēmumu, bet izmitināšanas un ēdināšanas pakalpojumus - 5</w:t>
      </w:r>
      <w:r w:rsidR="007F62A4" w:rsidRPr="00C756A1">
        <w:rPr>
          <w:color w:val="000000" w:themeColor="text1"/>
          <w:sz w:val="26"/>
          <w:szCs w:val="26"/>
        </w:rPr>
        <w:t>% uzņēmumu</w:t>
      </w:r>
      <w:r w:rsidR="00C756A1" w:rsidRPr="00C756A1">
        <w:rPr>
          <w:color w:val="000000" w:themeColor="text1"/>
          <w:sz w:val="26"/>
          <w:szCs w:val="26"/>
        </w:rPr>
        <w:t>.</w:t>
      </w:r>
    </w:p>
    <w:p w14:paraId="1A38C7ED" w14:textId="77777777" w:rsidR="006A7095" w:rsidRDefault="006A7095" w:rsidP="007C5433">
      <w:pPr>
        <w:jc w:val="both"/>
        <w:rPr>
          <w:color w:val="000000" w:themeColor="text1"/>
          <w:sz w:val="26"/>
          <w:szCs w:val="26"/>
        </w:rPr>
      </w:pPr>
    </w:p>
    <w:p w14:paraId="0AB3D6D0" w14:textId="77777777" w:rsidR="00933864" w:rsidRDefault="00933864" w:rsidP="007C5433">
      <w:pPr>
        <w:jc w:val="both"/>
        <w:rPr>
          <w:color w:val="FF0000"/>
          <w:sz w:val="26"/>
          <w:szCs w:val="26"/>
        </w:rPr>
      </w:pPr>
    </w:p>
    <w:p w14:paraId="78406690" w14:textId="77777777" w:rsidR="00775812" w:rsidRPr="00E50E6F" w:rsidRDefault="00775812" w:rsidP="00775812">
      <w:pPr>
        <w:tabs>
          <w:tab w:val="left" w:pos="6431"/>
          <w:tab w:val="left" w:pos="6758"/>
        </w:tabs>
        <w:rPr>
          <w:sz w:val="26"/>
          <w:szCs w:val="26"/>
        </w:rPr>
      </w:pPr>
      <w:r w:rsidRPr="00E50E6F">
        <w:rPr>
          <w:sz w:val="26"/>
          <w:szCs w:val="26"/>
        </w:rPr>
        <w:t xml:space="preserve">Iekšlietu ministrs </w:t>
      </w:r>
      <w:r w:rsidRPr="00E50E6F">
        <w:rPr>
          <w:sz w:val="26"/>
          <w:szCs w:val="26"/>
        </w:rPr>
        <w:tab/>
      </w:r>
      <w:r>
        <w:rPr>
          <w:sz w:val="26"/>
          <w:szCs w:val="26"/>
        </w:rPr>
        <w:t xml:space="preserve">S. </w:t>
      </w:r>
      <w:proofErr w:type="spellStart"/>
      <w:r>
        <w:rPr>
          <w:sz w:val="26"/>
          <w:szCs w:val="26"/>
        </w:rPr>
        <w:t>Ģirģens</w:t>
      </w:r>
      <w:proofErr w:type="spellEnd"/>
    </w:p>
    <w:p w14:paraId="59ABA549" w14:textId="77777777" w:rsidR="00775812" w:rsidRPr="00E50E6F" w:rsidRDefault="00775812" w:rsidP="00775812">
      <w:pPr>
        <w:ind w:left="720" w:hanging="720"/>
        <w:rPr>
          <w:sz w:val="26"/>
          <w:szCs w:val="26"/>
        </w:rPr>
      </w:pPr>
    </w:p>
    <w:p w14:paraId="28F0CED7" w14:textId="77777777" w:rsidR="00775812" w:rsidRPr="00E50E6F" w:rsidRDefault="00775812" w:rsidP="00775812">
      <w:pPr>
        <w:ind w:left="720" w:hanging="720"/>
        <w:rPr>
          <w:sz w:val="26"/>
          <w:szCs w:val="26"/>
        </w:rPr>
      </w:pPr>
    </w:p>
    <w:p w14:paraId="393BE878" w14:textId="77777777" w:rsidR="00775812" w:rsidRPr="00E50E6F" w:rsidRDefault="00775812" w:rsidP="00775812">
      <w:pPr>
        <w:ind w:left="720" w:hanging="720"/>
        <w:rPr>
          <w:sz w:val="26"/>
          <w:szCs w:val="26"/>
        </w:rPr>
      </w:pPr>
      <w:r w:rsidRPr="00E50E6F">
        <w:rPr>
          <w:sz w:val="26"/>
          <w:szCs w:val="26"/>
        </w:rPr>
        <w:t>Vīza:</w:t>
      </w:r>
    </w:p>
    <w:p w14:paraId="4A521FAE" w14:textId="77777777" w:rsidR="00775812" w:rsidRPr="00E50E6F" w:rsidRDefault="00775812" w:rsidP="00775812">
      <w:pPr>
        <w:tabs>
          <w:tab w:val="left" w:pos="6431"/>
        </w:tabs>
        <w:ind w:left="720" w:hanging="720"/>
        <w:rPr>
          <w:sz w:val="26"/>
          <w:szCs w:val="26"/>
        </w:rPr>
      </w:pPr>
      <w:r w:rsidRPr="00E50E6F">
        <w:rPr>
          <w:sz w:val="26"/>
          <w:szCs w:val="26"/>
        </w:rPr>
        <w:t>Valsts sekretārs</w:t>
      </w:r>
      <w:r w:rsidRPr="00E50E6F">
        <w:rPr>
          <w:sz w:val="26"/>
          <w:szCs w:val="26"/>
        </w:rPr>
        <w:tab/>
        <w:t>D. Trofimovs</w:t>
      </w:r>
    </w:p>
    <w:p w14:paraId="4B96391E" w14:textId="7BFEDD2A" w:rsidR="00775812" w:rsidRDefault="00775812" w:rsidP="00775812">
      <w:pPr>
        <w:ind w:right="-328"/>
        <w:jc w:val="both"/>
        <w:rPr>
          <w:sz w:val="22"/>
        </w:rPr>
      </w:pPr>
    </w:p>
    <w:p w14:paraId="7B779222" w14:textId="352E288D" w:rsidR="00775812" w:rsidRDefault="00775812" w:rsidP="00775812">
      <w:pPr>
        <w:ind w:right="-328"/>
        <w:jc w:val="both"/>
        <w:rPr>
          <w:sz w:val="22"/>
        </w:rPr>
      </w:pPr>
    </w:p>
    <w:p w14:paraId="5D1A04BF" w14:textId="77777777" w:rsidR="00775812" w:rsidRPr="00E50E6F" w:rsidRDefault="00775812" w:rsidP="00775812">
      <w:pPr>
        <w:ind w:right="-328"/>
        <w:jc w:val="both"/>
        <w:rPr>
          <w:sz w:val="22"/>
        </w:rPr>
      </w:pPr>
    </w:p>
    <w:p w14:paraId="4A34ECDA" w14:textId="77777777" w:rsidR="00775812" w:rsidRPr="00E50E6F" w:rsidRDefault="00775812" w:rsidP="00775812">
      <w:pPr>
        <w:ind w:right="-328"/>
        <w:rPr>
          <w:sz w:val="22"/>
        </w:rPr>
      </w:pPr>
      <w:r w:rsidRPr="00E50E6F">
        <w:rPr>
          <w:sz w:val="22"/>
        </w:rPr>
        <w:t>I. Briede, 67219546</w:t>
      </w:r>
    </w:p>
    <w:p w14:paraId="6B6F3C63" w14:textId="77777777" w:rsidR="00775812" w:rsidRPr="007355EB" w:rsidRDefault="00434674" w:rsidP="00775812">
      <w:pPr>
        <w:ind w:right="-328"/>
      </w:pPr>
      <w:hyperlink r:id="rId18" w:history="1">
        <w:r w:rsidR="00775812" w:rsidRPr="00E50E6F">
          <w:rPr>
            <w:rStyle w:val="Hyperlink"/>
            <w:sz w:val="22"/>
          </w:rPr>
          <w:t>ilze.briede@pmlp.gov.lv</w:t>
        </w:r>
      </w:hyperlink>
      <w:r w:rsidR="00775812" w:rsidRPr="007355EB">
        <w:rPr>
          <w:sz w:val="22"/>
        </w:rPr>
        <w:t xml:space="preserve"> </w:t>
      </w:r>
    </w:p>
    <w:p w14:paraId="7BE0629F" w14:textId="77777777" w:rsidR="003723C4" w:rsidRDefault="003723C4" w:rsidP="00775812">
      <w:pPr>
        <w:tabs>
          <w:tab w:val="left" w:pos="6431"/>
          <w:tab w:val="left" w:pos="6758"/>
        </w:tabs>
      </w:pPr>
    </w:p>
    <w:sectPr w:rsidR="003723C4" w:rsidSect="000033AF">
      <w:headerReference w:type="default" r:id="rId19"/>
      <w:footerReference w:type="default" r:id="rId20"/>
      <w:footerReference w:type="first" r:id="rId2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395F4" w14:textId="77777777" w:rsidR="00F07D50" w:rsidRDefault="00F07D50" w:rsidP="003723C4">
      <w:r>
        <w:separator/>
      </w:r>
    </w:p>
  </w:endnote>
  <w:endnote w:type="continuationSeparator" w:id="0">
    <w:p w14:paraId="2AA7709D" w14:textId="77777777" w:rsidR="00F07D50" w:rsidRDefault="00F07D50" w:rsidP="0037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2BEBF" w14:textId="2D91692E" w:rsidR="007B1947" w:rsidRPr="00801226" w:rsidRDefault="007B1947" w:rsidP="00E20B9C">
    <w:pPr>
      <w:jc w:val="both"/>
      <w:rPr>
        <w:sz w:val="20"/>
        <w:szCs w:val="20"/>
      </w:rPr>
    </w:pPr>
    <w:r w:rsidRPr="00592CDD">
      <w:rPr>
        <w:sz w:val="20"/>
        <w:szCs w:val="20"/>
      </w:rPr>
      <w:t>IEMZinop3_</w:t>
    </w:r>
    <w:r w:rsidR="00592CDD">
      <w:rPr>
        <w:sz w:val="20"/>
        <w:szCs w:val="20"/>
      </w:rPr>
      <w:t>2</w:t>
    </w:r>
    <w:r w:rsidR="00434674">
      <w:rPr>
        <w:sz w:val="20"/>
        <w:szCs w:val="20"/>
      </w:rPr>
      <w:t>8</w:t>
    </w:r>
    <w:r w:rsidR="00592CDD">
      <w:rPr>
        <w:sz w:val="20"/>
        <w:szCs w:val="20"/>
      </w:rPr>
      <w:t>1119</w:t>
    </w:r>
    <w:r>
      <w:rPr>
        <w:sz w:val="20"/>
        <w:szCs w:val="20"/>
      </w:rPr>
      <w:t xml:space="preserve">; Informatīvā ziņojuma par </w:t>
    </w:r>
    <w:r w:rsidRPr="00282BC6">
      <w:rPr>
        <w:sz w:val="20"/>
        <w:szCs w:val="20"/>
      </w:rPr>
      <w:t>Imigrācijas likuma 23.panta pirmās daļas 3., 28., 29.</w:t>
    </w:r>
    <w:r>
      <w:rPr>
        <w:sz w:val="20"/>
        <w:szCs w:val="20"/>
      </w:rPr>
      <w:t>,</w:t>
    </w:r>
    <w:r w:rsidRPr="00282BC6">
      <w:rPr>
        <w:sz w:val="20"/>
        <w:szCs w:val="20"/>
      </w:rPr>
      <w:t xml:space="preserve"> 30.</w:t>
    </w:r>
    <w:r>
      <w:rPr>
        <w:sz w:val="20"/>
        <w:szCs w:val="20"/>
      </w:rPr>
      <w:t xml:space="preserve"> un 31.</w:t>
    </w:r>
    <w:r w:rsidRPr="00282BC6">
      <w:rPr>
        <w:sz w:val="20"/>
        <w:szCs w:val="20"/>
      </w:rPr>
      <w:t xml:space="preserve">punktā paredzēto noteikumu īstenošanas </w:t>
    </w:r>
    <w:r>
      <w:rPr>
        <w:sz w:val="20"/>
        <w:szCs w:val="20"/>
      </w:rPr>
      <w:t>gaitu un rezultātiem 3.pielikums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FF6AC" w14:textId="7F3A3181" w:rsidR="007B1947" w:rsidRPr="00801226" w:rsidRDefault="007B1947" w:rsidP="002D0234">
    <w:pPr>
      <w:jc w:val="both"/>
      <w:rPr>
        <w:sz w:val="20"/>
        <w:szCs w:val="20"/>
      </w:rPr>
    </w:pPr>
    <w:r w:rsidRPr="00592CDD">
      <w:rPr>
        <w:sz w:val="20"/>
        <w:szCs w:val="20"/>
      </w:rPr>
      <w:t>IEMZinop3_</w:t>
    </w:r>
    <w:r w:rsidR="00592CDD" w:rsidRPr="00592CDD">
      <w:rPr>
        <w:sz w:val="20"/>
        <w:szCs w:val="20"/>
      </w:rPr>
      <w:t>2</w:t>
    </w:r>
    <w:r w:rsidR="00434674">
      <w:rPr>
        <w:sz w:val="20"/>
        <w:szCs w:val="20"/>
      </w:rPr>
      <w:t>8</w:t>
    </w:r>
    <w:r w:rsidR="00592CDD" w:rsidRPr="00592CDD">
      <w:rPr>
        <w:sz w:val="20"/>
        <w:szCs w:val="20"/>
      </w:rPr>
      <w:t>1119</w:t>
    </w:r>
    <w:r w:rsidRPr="00592CDD">
      <w:rPr>
        <w:sz w:val="20"/>
        <w:szCs w:val="20"/>
      </w:rPr>
      <w:t>;</w:t>
    </w:r>
    <w:r>
      <w:rPr>
        <w:sz w:val="20"/>
        <w:szCs w:val="20"/>
      </w:rPr>
      <w:t xml:space="preserve"> Informatīvā ziņojuma par </w:t>
    </w:r>
    <w:r w:rsidRPr="00282BC6">
      <w:rPr>
        <w:sz w:val="20"/>
        <w:szCs w:val="20"/>
      </w:rPr>
      <w:t>Imigrācijas likuma 23.panta pirmās daļas 3., 28., 29.</w:t>
    </w:r>
    <w:r>
      <w:rPr>
        <w:sz w:val="20"/>
        <w:szCs w:val="20"/>
      </w:rPr>
      <w:t>,</w:t>
    </w:r>
    <w:r w:rsidRPr="00282BC6">
      <w:rPr>
        <w:sz w:val="20"/>
        <w:szCs w:val="20"/>
      </w:rPr>
      <w:t xml:space="preserve"> 30.</w:t>
    </w:r>
    <w:r>
      <w:rPr>
        <w:sz w:val="20"/>
        <w:szCs w:val="20"/>
      </w:rPr>
      <w:t xml:space="preserve"> un 31.</w:t>
    </w:r>
    <w:r w:rsidRPr="00282BC6">
      <w:rPr>
        <w:sz w:val="20"/>
        <w:szCs w:val="20"/>
      </w:rPr>
      <w:t xml:space="preserve">punktā paredzēto noteikumu īstenošanas </w:t>
    </w:r>
    <w:r>
      <w:rPr>
        <w:sz w:val="20"/>
        <w:szCs w:val="20"/>
      </w:rPr>
      <w:t>gaitu un rezultātiem 3.pielikums</w:t>
    </w:r>
  </w:p>
  <w:p w14:paraId="3D16D39D" w14:textId="77777777" w:rsidR="007B1947" w:rsidRDefault="007B1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B896F" w14:textId="77777777" w:rsidR="00F07D50" w:rsidRDefault="00F07D50" w:rsidP="003723C4">
      <w:r>
        <w:separator/>
      </w:r>
    </w:p>
  </w:footnote>
  <w:footnote w:type="continuationSeparator" w:id="0">
    <w:p w14:paraId="0DFD5FB2" w14:textId="77777777" w:rsidR="00F07D50" w:rsidRDefault="00F07D50" w:rsidP="003723C4">
      <w:r>
        <w:continuationSeparator/>
      </w:r>
    </w:p>
  </w:footnote>
  <w:footnote w:id="1">
    <w:p w14:paraId="3D9904A9" w14:textId="77777777" w:rsidR="007B1947" w:rsidRPr="005355FA" w:rsidRDefault="007B1947" w:rsidP="00F12774">
      <w:pPr>
        <w:pStyle w:val="FootnoteText"/>
        <w:rPr>
          <w:rFonts w:ascii="Times New Roman" w:hAnsi="Times New Roman"/>
        </w:rPr>
      </w:pPr>
      <w:r w:rsidRPr="005355FA">
        <w:rPr>
          <w:rStyle w:val="FootnoteReference"/>
          <w:rFonts w:ascii="Times New Roman" w:hAnsi="Times New Roman"/>
        </w:rPr>
        <w:footnoteRef/>
      </w:r>
      <w:r w:rsidRPr="005355FA">
        <w:rPr>
          <w:rFonts w:ascii="Times New Roman" w:hAnsi="Times New Roman"/>
        </w:rPr>
        <w:t xml:space="preserve"> PMLP dati</w:t>
      </w:r>
    </w:p>
  </w:footnote>
  <w:footnote w:id="2">
    <w:p w14:paraId="083FEAE7" w14:textId="77777777" w:rsidR="00B85ECE" w:rsidRPr="005355FA" w:rsidRDefault="00B85ECE" w:rsidP="00B85ECE">
      <w:pPr>
        <w:pStyle w:val="FootnoteText"/>
        <w:rPr>
          <w:rFonts w:ascii="Times New Roman" w:hAnsi="Times New Roman"/>
        </w:rPr>
      </w:pPr>
      <w:r w:rsidRPr="005355FA">
        <w:rPr>
          <w:rStyle w:val="FootnoteReference"/>
          <w:rFonts w:ascii="Times New Roman" w:hAnsi="Times New Roman"/>
        </w:rPr>
        <w:footnoteRef/>
      </w:r>
      <w:r w:rsidRPr="005355FA">
        <w:rPr>
          <w:rFonts w:ascii="Times New Roman" w:hAnsi="Times New Roman"/>
        </w:rPr>
        <w:t xml:space="preserve"> </w:t>
      </w:r>
      <w:r>
        <w:rPr>
          <w:rFonts w:ascii="Times New Roman" w:hAnsi="Times New Roman"/>
        </w:rPr>
        <w:t xml:space="preserve">SIA “CREFO </w:t>
      </w:r>
      <w:proofErr w:type="spellStart"/>
      <w:r>
        <w:rPr>
          <w:rFonts w:ascii="Times New Roman" w:hAnsi="Times New Roman"/>
        </w:rPr>
        <w:t>Rating</w:t>
      </w:r>
      <w:proofErr w:type="spellEnd"/>
      <w:r>
        <w:rPr>
          <w:rFonts w:ascii="Times New Roman" w:hAnsi="Times New Roman"/>
        </w:rPr>
        <w:t>”  dati par 2018.gadu.</w:t>
      </w:r>
    </w:p>
  </w:footnote>
  <w:footnote w:id="3">
    <w:p w14:paraId="51C524F0" w14:textId="77777777" w:rsidR="00B85ECE" w:rsidRDefault="00B85ECE" w:rsidP="00B85ECE">
      <w:pPr>
        <w:pStyle w:val="FootnoteText"/>
      </w:pPr>
      <w:r w:rsidRPr="007546C1">
        <w:rPr>
          <w:rFonts w:ascii="Times New Roman" w:hAnsi="Times New Roman"/>
          <w:vertAlign w:val="superscript"/>
        </w:rPr>
        <w:footnoteRef/>
      </w:r>
      <w:r w:rsidRPr="007546C1">
        <w:rPr>
          <w:rFonts w:ascii="Times New Roman" w:hAnsi="Times New Roman"/>
          <w:vertAlign w:val="superscript"/>
        </w:rPr>
        <w:t xml:space="preserve"> </w:t>
      </w:r>
      <w:r>
        <w:rPr>
          <w:rFonts w:ascii="Times New Roman" w:hAnsi="Times New Roman"/>
        </w:rPr>
        <w:t xml:space="preserve">SIA “CREFO </w:t>
      </w:r>
      <w:proofErr w:type="spellStart"/>
      <w:r>
        <w:rPr>
          <w:rFonts w:ascii="Times New Roman" w:hAnsi="Times New Roman"/>
        </w:rPr>
        <w:t>Rating</w:t>
      </w:r>
      <w:proofErr w:type="spellEnd"/>
      <w:r>
        <w:rPr>
          <w:rFonts w:ascii="Times New Roman" w:hAnsi="Times New Roman"/>
        </w:rPr>
        <w:t>” dati par 2018</w:t>
      </w:r>
      <w:r w:rsidRPr="007546C1">
        <w:rPr>
          <w:rFonts w:ascii="Times New Roman" w:hAnsi="Times New Roman"/>
        </w:rPr>
        <w:t>.gadu</w:t>
      </w:r>
      <w:r>
        <w:rPr>
          <w:rFonts w:ascii="Times New Roman" w:hAnsi="Times New Roman"/>
        </w:rPr>
        <w:t>.</w:t>
      </w:r>
    </w:p>
  </w:footnote>
  <w:footnote w:id="4">
    <w:p w14:paraId="13EBE530" w14:textId="77777777" w:rsidR="007B1947" w:rsidRPr="00AD6C95" w:rsidRDefault="007B1947" w:rsidP="00AC4875">
      <w:pPr>
        <w:pStyle w:val="FootnoteText"/>
        <w:rPr>
          <w:rFonts w:ascii="Times New Roman" w:hAnsi="Times New Roman"/>
        </w:rPr>
      </w:pPr>
      <w:r w:rsidRPr="00AD6C95">
        <w:rPr>
          <w:rStyle w:val="FootnoteReference"/>
          <w:rFonts w:ascii="Times New Roman" w:hAnsi="Times New Roman"/>
        </w:rPr>
        <w:footnoteRef/>
      </w:r>
      <w:r w:rsidRPr="00AD6C95">
        <w:rPr>
          <w:rFonts w:ascii="Times New Roman" w:hAnsi="Times New Roman"/>
        </w:rPr>
        <w:t xml:space="preserve"> </w:t>
      </w:r>
      <w:r w:rsidRPr="00AD6C95">
        <w:rPr>
          <w:rFonts w:ascii="Times New Roman" w:hAnsi="Times New Roman"/>
        </w:rPr>
        <w:t>VID dati.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24739"/>
      <w:docPartObj>
        <w:docPartGallery w:val="Page Numbers (Top of Page)"/>
        <w:docPartUnique/>
      </w:docPartObj>
    </w:sdtPr>
    <w:sdtEndPr/>
    <w:sdtContent>
      <w:p w14:paraId="2F201FEC" w14:textId="7B369F7F" w:rsidR="007B1947" w:rsidRDefault="007B1947">
        <w:pPr>
          <w:pStyle w:val="Header"/>
          <w:jc w:val="center"/>
        </w:pPr>
        <w:r>
          <w:fldChar w:fldCharType="begin"/>
        </w:r>
        <w:r>
          <w:instrText xml:space="preserve"> PAGE   \* MERGEFORMAT </w:instrText>
        </w:r>
        <w:r>
          <w:fldChar w:fldCharType="separate"/>
        </w:r>
        <w:r w:rsidR="00434674">
          <w:rPr>
            <w:noProof/>
          </w:rPr>
          <w:t>7</w:t>
        </w:r>
        <w:r>
          <w:rPr>
            <w:noProof/>
          </w:rPr>
          <w:fldChar w:fldCharType="end"/>
        </w:r>
      </w:p>
    </w:sdtContent>
  </w:sdt>
  <w:p w14:paraId="7E7563A4" w14:textId="77777777" w:rsidR="007B1947" w:rsidRDefault="007B1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02CB4"/>
    <w:multiLevelType w:val="hybridMultilevel"/>
    <w:tmpl w:val="17CEA3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BB85D6E"/>
    <w:multiLevelType w:val="hybridMultilevel"/>
    <w:tmpl w:val="38EAC1E2"/>
    <w:lvl w:ilvl="0" w:tplc="43884C7C">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C4"/>
    <w:rsid w:val="000025F0"/>
    <w:rsid w:val="000033AF"/>
    <w:rsid w:val="0000609C"/>
    <w:rsid w:val="00006FD1"/>
    <w:rsid w:val="00011733"/>
    <w:rsid w:val="0002406E"/>
    <w:rsid w:val="00025D73"/>
    <w:rsid w:val="00034ECE"/>
    <w:rsid w:val="00035A29"/>
    <w:rsid w:val="00035DCA"/>
    <w:rsid w:val="00036B21"/>
    <w:rsid w:val="00060D0C"/>
    <w:rsid w:val="00061BDF"/>
    <w:rsid w:val="000662AC"/>
    <w:rsid w:val="00074539"/>
    <w:rsid w:val="00074842"/>
    <w:rsid w:val="0008401E"/>
    <w:rsid w:val="00093EDD"/>
    <w:rsid w:val="000A2121"/>
    <w:rsid w:val="000A333D"/>
    <w:rsid w:val="000A6BA8"/>
    <w:rsid w:val="000B30A9"/>
    <w:rsid w:val="000C444A"/>
    <w:rsid w:val="000C71BA"/>
    <w:rsid w:val="000D114C"/>
    <w:rsid w:val="000D7997"/>
    <w:rsid w:val="000E1AD8"/>
    <w:rsid w:val="000E4CD0"/>
    <w:rsid w:val="000E65DC"/>
    <w:rsid w:val="000E73B1"/>
    <w:rsid w:val="000F14E9"/>
    <w:rsid w:val="000F435F"/>
    <w:rsid w:val="00100471"/>
    <w:rsid w:val="0010345E"/>
    <w:rsid w:val="00111E5F"/>
    <w:rsid w:val="001128B4"/>
    <w:rsid w:val="00121FBA"/>
    <w:rsid w:val="00130226"/>
    <w:rsid w:val="00135E73"/>
    <w:rsid w:val="00135FFF"/>
    <w:rsid w:val="001369DE"/>
    <w:rsid w:val="001417F2"/>
    <w:rsid w:val="00145C91"/>
    <w:rsid w:val="00150626"/>
    <w:rsid w:val="00161CF0"/>
    <w:rsid w:val="001656A1"/>
    <w:rsid w:val="0018262D"/>
    <w:rsid w:val="00185BDB"/>
    <w:rsid w:val="00187B96"/>
    <w:rsid w:val="001949D8"/>
    <w:rsid w:val="00194FAF"/>
    <w:rsid w:val="001965ED"/>
    <w:rsid w:val="00196F1C"/>
    <w:rsid w:val="001A10A6"/>
    <w:rsid w:val="001A743B"/>
    <w:rsid w:val="001C03C4"/>
    <w:rsid w:val="001C7D1B"/>
    <w:rsid w:val="001D45B8"/>
    <w:rsid w:val="001E0A52"/>
    <w:rsid w:val="001E1E7A"/>
    <w:rsid w:val="001E63C6"/>
    <w:rsid w:val="001F0299"/>
    <w:rsid w:val="001F38A2"/>
    <w:rsid w:val="00202ED4"/>
    <w:rsid w:val="002079A2"/>
    <w:rsid w:val="00210CDF"/>
    <w:rsid w:val="00217CE0"/>
    <w:rsid w:val="002217E5"/>
    <w:rsid w:val="00226944"/>
    <w:rsid w:val="0023107C"/>
    <w:rsid w:val="002353A1"/>
    <w:rsid w:val="00237BED"/>
    <w:rsid w:val="00237BF8"/>
    <w:rsid w:val="00242DAC"/>
    <w:rsid w:val="002709A1"/>
    <w:rsid w:val="00276425"/>
    <w:rsid w:val="002855F2"/>
    <w:rsid w:val="002907DB"/>
    <w:rsid w:val="002A09F4"/>
    <w:rsid w:val="002A5710"/>
    <w:rsid w:val="002A7584"/>
    <w:rsid w:val="002B520E"/>
    <w:rsid w:val="002B6BD0"/>
    <w:rsid w:val="002C0A4E"/>
    <w:rsid w:val="002C7C90"/>
    <w:rsid w:val="002D0234"/>
    <w:rsid w:val="002D7120"/>
    <w:rsid w:val="002E7F8A"/>
    <w:rsid w:val="00303D25"/>
    <w:rsid w:val="00304F0A"/>
    <w:rsid w:val="003071A8"/>
    <w:rsid w:val="00316CB5"/>
    <w:rsid w:val="0032076A"/>
    <w:rsid w:val="00320DF0"/>
    <w:rsid w:val="00323945"/>
    <w:rsid w:val="00326248"/>
    <w:rsid w:val="003365B4"/>
    <w:rsid w:val="00337D4F"/>
    <w:rsid w:val="003413EF"/>
    <w:rsid w:val="003477FF"/>
    <w:rsid w:val="0035119D"/>
    <w:rsid w:val="00351FD7"/>
    <w:rsid w:val="00352B8B"/>
    <w:rsid w:val="00354ED7"/>
    <w:rsid w:val="00364B62"/>
    <w:rsid w:val="00366AA5"/>
    <w:rsid w:val="003723C4"/>
    <w:rsid w:val="003751A4"/>
    <w:rsid w:val="00380402"/>
    <w:rsid w:val="00385CF5"/>
    <w:rsid w:val="003873E0"/>
    <w:rsid w:val="00394117"/>
    <w:rsid w:val="00395662"/>
    <w:rsid w:val="00397220"/>
    <w:rsid w:val="003B021F"/>
    <w:rsid w:val="003B0A12"/>
    <w:rsid w:val="003B3994"/>
    <w:rsid w:val="003B4885"/>
    <w:rsid w:val="003B72EF"/>
    <w:rsid w:val="003E0D3A"/>
    <w:rsid w:val="003E6F54"/>
    <w:rsid w:val="003E7140"/>
    <w:rsid w:val="003F2225"/>
    <w:rsid w:val="003F331E"/>
    <w:rsid w:val="00400856"/>
    <w:rsid w:val="004027CE"/>
    <w:rsid w:val="00403822"/>
    <w:rsid w:val="00403DF8"/>
    <w:rsid w:val="00405BB9"/>
    <w:rsid w:val="00410384"/>
    <w:rsid w:val="0041557F"/>
    <w:rsid w:val="0041683C"/>
    <w:rsid w:val="00416E86"/>
    <w:rsid w:val="0042015C"/>
    <w:rsid w:val="00430DD1"/>
    <w:rsid w:val="004328B4"/>
    <w:rsid w:val="00432A40"/>
    <w:rsid w:val="00434674"/>
    <w:rsid w:val="00435DE5"/>
    <w:rsid w:val="00436F88"/>
    <w:rsid w:val="00450BC3"/>
    <w:rsid w:val="004733F1"/>
    <w:rsid w:val="00477823"/>
    <w:rsid w:val="00480E86"/>
    <w:rsid w:val="00482F83"/>
    <w:rsid w:val="00484A79"/>
    <w:rsid w:val="00484D4A"/>
    <w:rsid w:val="004943B1"/>
    <w:rsid w:val="004B082A"/>
    <w:rsid w:val="004B39D3"/>
    <w:rsid w:val="004B72C8"/>
    <w:rsid w:val="004D0031"/>
    <w:rsid w:val="004D274B"/>
    <w:rsid w:val="004D49AD"/>
    <w:rsid w:val="004E1645"/>
    <w:rsid w:val="004E1817"/>
    <w:rsid w:val="004E1A27"/>
    <w:rsid w:val="004E6649"/>
    <w:rsid w:val="004F0263"/>
    <w:rsid w:val="004F3650"/>
    <w:rsid w:val="004F786D"/>
    <w:rsid w:val="0051211C"/>
    <w:rsid w:val="00516D76"/>
    <w:rsid w:val="005205C6"/>
    <w:rsid w:val="0052295D"/>
    <w:rsid w:val="00534F9C"/>
    <w:rsid w:val="005450B0"/>
    <w:rsid w:val="00550C78"/>
    <w:rsid w:val="00551318"/>
    <w:rsid w:val="0055355C"/>
    <w:rsid w:val="0055549D"/>
    <w:rsid w:val="005576BA"/>
    <w:rsid w:val="00576B6B"/>
    <w:rsid w:val="00580B95"/>
    <w:rsid w:val="0058528F"/>
    <w:rsid w:val="005857A0"/>
    <w:rsid w:val="00587F88"/>
    <w:rsid w:val="00590095"/>
    <w:rsid w:val="0059220B"/>
    <w:rsid w:val="00592CDD"/>
    <w:rsid w:val="00595FE1"/>
    <w:rsid w:val="005A188F"/>
    <w:rsid w:val="005A55C0"/>
    <w:rsid w:val="005B3D8D"/>
    <w:rsid w:val="005C48B0"/>
    <w:rsid w:val="005C4E9D"/>
    <w:rsid w:val="005D6AF1"/>
    <w:rsid w:val="005E7BF4"/>
    <w:rsid w:val="005F1BDA"/>
    <w:rsid w:val="005F7940"/>
    <w:rsid w:val="0060588F"/>
    <w:rsid w:val="006117A0"/>
    <w:rsid w:val="00613781"/>
    <w:rsid w:val="00613993"/>
    <w:rsid w:val="006276BB"/>
    <w:rsid w:val="006324AA"/>
    <w:rsid w:val="006333B6"/>
    <w:rsid w:val="00637B4A"/>
    <w:rsid w:val="00640699"/>
    <w:rsid w:val="006457B1"/>
    <w:rsid w:val="00651938"/>
    <w:rsid w:val="00670EC9"/>
    <w:rsid w:val="00671109"/>
    <w:rsid w:val="0067437A"/>
    <w:rsid w:val="00675F68"/>
    <w:rsid w:val="00683B48"/>
    <w:rsid w:val="0069311E"/>
    <w:rsid w:val="006975EE"/>
    <w:rsid w:val="006A5B84"/>
    <w:rsid w:val="006A5C6B"/>
    <w:rsid w:val="006A7095"/>
    <w:rsid w:val="006D0BEE"/>
    <w:rsid w:val="006D4D2E"/>
    <w:rsid w:val="006D5EA5"/>
    <w:rsid w:val="006E416F"/>
    <w:rsid w:val="006E5081"/>
    <w:rsid w:val="006F3229"/>
    <w:rsid w:val="006F7B1C"/>
    <w:rsid w:val="007124E1"/>
    <w:rsid w:val="007151CF"/>
    <w:rsid w:val="007546C1"/>
    <w:rsid w:val="00756497"/>
    <w:rsid w:val="00775812"/>
    <w:rsid w:val="00783938"/>
    <w:rsid w:val="007919E2"/>
    <w:rsid w:val="007955CF"/>
    <w:rsid w:val="007964F0"/>
    <w:rsid w:val="007B1947"/>
    <w:rsid w:val="007B6786"/>
    <w:rsid w:val="007C066F"/>
    <w:rsid w:val="007C18E4"/>
    <w:rsid w:val="007C5433"/>
    <w:rsid w:val="007D1990"/>
    <w:rsid w:val="007D3904"/>
    <w:rsid w:val="007D609B"/>
    <w:rsid w:val="007F159A"/>
    <w:rsid w:val="007F2BA1"/>
    <w:rsid w:val="007F302B"/>
    <w:rsid w:val="007F62A4"/>
    <w:rsid w:val="008056D1"/>
    <w:rsid w:val="00814147"/>
    <w:rsid w:val="00814B0F"/>
    <w:rsid w:val="00827EAB"/>
    <w:rsid w:val="00832888"/>
    <w:rsid w:val="00832AA9"/>
    <w:rsid w:val="00834051"/>
    <w:rsid w:val="00842D74"/>
    <w:rsid w:val="00853F37"/>
    <w:rsid w:val="00854D59"/>
    <w:rsid w:val="0086030C"/>
    <w:rsid w:val="00860759"/>
    <w:rsid w:val="00863A2B"/>
    <w:rsid w:val="0086725A"/>
    <w:rsid w:val="00867B9F"/>
    <w:rsid w:val="008713D0"/>
    <w:rsid w:val="00871B89"/>
    <w:rsid w:val="008778B8"/>
    <w:rsid w:val="0088364B"/>
    <w:rsid w:val="00891D68"/>
    <w:rsid w:val="00894018"/>
    <w:rsid w:val="00896644"/>
    <w:rsid w:val="00897B1D"/>
    <w:rsid w:val="008A2ED5"/>
    <w:rsid w:val="008B1122"/>
    <w:rsid w:val="008B30C0"/>
    <w:rsid w:val="008B4150"/>
    <w:rsid w:val="008C215F"/>
    <w:rsid w:val="008C4896"/>
    <w:rsid w:val="008C5C5D"/>
    <w:rsid w:val="008C6C50"/>
    <w:rsid w:val="008D4C67"/>
    <w:rsid w:val="008F26A1"/>
    <w:rsid w:val="008F5FE4"/>
    <w:rsid w:val="008F73C1"/>
    <w:rsid w:val="009024A2"/>
    <w:rsid w:val="00914539"/>
    <w:rsid w:val="00933494"/>
    <w:rsid w:val="00933864"/>
    <w:rsid w:val="0093525B"/>
    <w:rsid w:val="009573D3"/>
    <w:rsid w:val="00967B46"/>
    <w:rsid w:val="00970282"/>
    <w:rsid w:val="009735AE"/>
    <w:rsid w:val="009745A8"/>
    <w:rsid w:val="009805A5"/>
    <w:rsid w:val="00984E9F"/>
    <w:rsid w:val="00985132"/>
    <w:rsid w:val="009856A7"/>
    <w:rsid w:val="00985D6B"/>
    <w:rsid w:val="009B1721"/>
    <w:rsid w:val="009C3226"/>
    <w:rsid w:val="009D3B91"/>
    <w:rsid w:val="009F2F45"/>
    <w:rsid w:val="009F6C9D"/>
    <w:rsid w:val="009F7481"/>
    <w:rsid w:val="00A011EF"/>
    <w:rsid w:val="00A2102B"/>
    <w:rsid w:val="00A23B91"/>
    <w:rsid w:val="00A265A8"/>
    <w:rsid w:val="00A44602"/>
    <w:rsid w:val="00A4769D"/>
    <w:rsid w:val="00A5051D"/>
    <w:rsid w:val="00A5353F"/>
    <w:rsid w:val="00A53851"/>
    <w:rsid w:val="00A70FDF"/>
    <w:rsid w:val="00A75030"/>
    <w:rsid w:val="00A8291D"/>
    <w:rsid w:val="00A9674C"/>
    <w:rsid w:val="00AA4598"/>
    <w:rsid w:val="00AA5BCF"/>
    <w:rsid w:val="00AA776D"/>
    <w:rsid w:val="00AB5F4E"/>
    <w:rsid w:val="00AC0A59"/>
    <w:rsid w:val="00AC4875"/>
    <w:rsid w:val="00AD226E"/>
    <w:rsid w:val="00AD2389"/>
    <w:rsid w:val="00AD298B"/>
    <w:rsid w:val="00AD38C1"/>
    <w:rsid w:val="00AD4563"/>
    <w:rsid w:val="00AD4674"/>
    <w:rsid w:val="00AD6C95"/>
    <w:rsid w:val="00AF06E5"/>
    <w:rsid w:val="00AF2C21"/>
    <w:rsid w:val="00AF40A5"/>
    <w:rsid w:val="00AF6439"/>
    <w:rsid w:val="00B12E1F"/>
    <w:rsid w:val="00B13D20"/>
    <w:rsid w:val="00B2421A"/>
    <w:rsid w:val="00B34712"/>
    <w:rsid w:val="00B50840"/>
    <w:rsid w:val="00B60016"/>
    <w:rsid w:val="00B77690"/>
    <w:rsid w:val="00B84452"/>
    <w:rsid w:val="00B85ECE"/>
    <w:rsid w:val="00B933BA"/>
    <w:rsid w:val="00B97891"/>
    <w:rsid w:val="00BA3901"/>
    <w:rsid w:val="00BA4A7D"/>
    <w:rsid w:val="00BA556C"/>
    <w:rsid w:val="00BA5DD3"/>
    <w:rsid w:val="00BA7BAB"/>
    <w:rsid w:val="00BB58CE"/>
    <w:rsid w:val="00BB7B56"/>
    <w:rsid w:val="00BC70D5"/>
    <w:rsid w:val="00BD44AF"/>
    <w:rsid w:val="00BE024D"/>
    <w:rsid w:val="00BE4712"/>
    <w:rsid w:val="00BF5FD4"/>
    <w:rsid w:val="00C044DB"/>
    <w:rsid w:val="00C05999"/>
    <w:rsid w:val="00C05F99"/>
    <w:rsid w:val="00C078D3"/>
    <w:rsid w:val="00C125DF"/>
    <w:rsid w:val="00C20044"/>
    <w:rsid w:val="00C25FCA"/>
    <w:rsid w:val="00C441F3"/>
    <w:rsid w:val="00C50FB4"/>
    <w:rsid w:val="00C53AD9"/>
    <w:rsid w:val="00C61154"/>
    <w:rsid w:val="00C6403E"/>
    <w:rsid w:val="00C7004D"/>
    <w:rsid w:val="00C756A1"/>
    <w:rsid w:val="00C77F55"/>
    <w:rsid w:val="00C94EDD"/>
    <w:rsid w:val="00C95F16"/>
    <w:rsid w:val="00C96248"/>
    <w:rsid w:val="00CA02B9"/>
    <w:rsid w:val="00CB3C1E"/>
    <w:rsid w:val="00CC07B7"/>
    <w:rsid w:val="00CC5C8A"/>
    <w:rsid w:val="00CD43F0"/>
    <w:rsid w:val="00CD7787"/>
    <w:rsid w:val="00CE0030"/>
    <w:rsid w:val="00CE6D7D"/>
    <w:rsid w:val="00CE7BDD"/>
    <w:rsid w:val="00CF10D1"/>
    <w:rsid w:val="00CF4CF4"/>
    <w:rsid w:val="00D112E8"/>
    <w:rsid w:val="00D14D2F"/>
    <w:rsid w:val="00D319B6"/>
    <w:rsid w:val="00D34104"/>
    <w:rsid w:val="00D454F0"/>
    <w:rsid w:val="00D46F2F"/>
    <w:rsid w:val="00D5213E"/>
    <w:rsid w:val="00D71C63"/>
    <w:rsid w:val="00D7533E"/>
    <w:rsid w:val="00D76933"/>
    <w:rsid w:val="00D8175F"/>
    <w:rsid w:val="00D90666"/>
    <w:rsid w:val="00DC0A60"/>
    <w:rsid w:val="00DC4EA0"/>
    <w:rsid w:val="00DD5EC9"/>
    <w:rsid w:val="00DD6512"/>
    <w:rsid w:val="00DE50CD"/>
    <w:rsid w:val="00DF5F0E"/>
    <w:rsid w:val="00DF6112"/>
    <w:rsid w:val="00E02817"/>
    <w:rsid w:val="00E06C64"/>
    <w:rsid w:val="00E07FEA"/>
    <w:rsid w:val="00E11059"/>
    <w:rsid w:val="00E11B46"/>
    <w:rsid w:val="00E11E24"/>
    <w:rsid w:val="00E16322"/>
    <w:rsid w:val="00E17FB4"/>
    <w:rsid w:val="00E20B9C"/>
    <w:rsid w:val="00E21CA1"/>
    <w:rsid w:val="00E24FD4"/>
    <w:rsid w:val="00E31440"/>
    <w:rsid w:val="00E319A6"/>
    <w:rsid w:val="00E44109"/>
    <w:rsid w:val="00E446A7"/>
    <w:rsid w:val="00E47518"/>
    <w:rsid w:val="00E670CD"/>
    <w:rsid w:val="00E70861"/>
    <w:rsid w:val="00E72685"/>
    <w:rsid w:val="00E859D1"/>
    <w:rsid w:val="00E85B01"/>
    <w:rsid w:val="00EA12AA"/>
    <w:rsid w:val="00EA602E"/>
    <w:rsid w:val="00EB083B"/>
    <w:rsid w:val="00EB0E66"/>
    <w:rsid w:val="00EC1977"/>
    <w:rsid w:val="00EC1F0B"/>
    <w:rsid w:val="00ED6ACD"/>
    <w:rsid w:val="00EE07E7"/>
    <w:rsid w:val="00EE2600"/>
    <w:rsid w:val="00EE45AA"/>
    <w:rsid w:val="00EE71E4"/>
    <w:rsid w:val="00EF7E01"/>
    <w:rsid w:val="00F07D50"/>
    <w:rsid w:val="00F102CE"/>
    <w:rsid w:val="00F12774"/>
    <w:rsid w:val="00F248C1"/>
    <w:rsid w:val="00F33A84"/>
    <w:rsid w:val="00F37D3F"/>
    <w:rsid w:val="00F51892"/>
    <w:rsid w:val="00F51B7D"/>
    <w:rsid w:val="00F56154"/>
    <w:rsid w:val="00F64A07"/>
    <w:rsid w:val="00F728A2"/>
    <w:rsid w:val="00F81D79"/>
    <w:rsid w:val="00F84A2D"/>
    <w:rsid w:val="00F85528"/>
    <w:rsid w:val="00F909A6"/>
    <w:rsid w:val="00F937AC"/>
    <w:rsid w:val="00FA7C7C"/>
    <w:rsid w:val="00FB031C"/>
    <w:rsid w:val="00FB4274"/>
    <w:rsid w:val="00FB482F"/>
    <w:rsid w:val="00FC031D"/>
    <w:rsid w:val="00FC424B"/>
    <w:rsid w:val="00FC5F5F"/>
    <w:rsid w:val="00FD468F"/>
    <w:rsid w:val="00FE2837"/>
    <w:rsid w:val="00FE6E5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23FCAA"/>
  <w15:docId w15:val="{ADC505F7-516E-4BBD-AE56-2D07D2A8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3C4"/>
  </w:style>
  <w:style w:type="paragraph" w:styleId="Heading1">
    <w:name w:val="heading 1"/>
    <w:basedOn w:val="Normal"/>
    <w:next w:val="Normal"/>
    <w:link w:val="Heading1Char"/>
    <w:uiPriority w:val="99"/>
    <w:qFormat/>
    <w:rsid w:val="003723C4"/>
    <w:pPr>
      <w:keepNext/>
      <w:keepLines/>
      <w:spacing w:before="480" w:line="276" w:lineRule="auto"/>
      <w:outlineLvl w:val="0"/>
    </w:pPr>
    <w:rPr>
      <w:rFonts w:ascii="Cambria" w:eastAsia="SimSun" w:hAnsi="Cambria" w:cs="Times New Roman"/>
      <w:b/>
      <w:bCs/>
      <w:color w:val="365F91"/>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23C4"/>
    <w:rPr>
      <w:rFonts w:ascii="Cambria" w:eastAsia="SimSun" w:hAnsi="Cambria" w:cs="Times New Roman"/>
      <w:b/>
      <w:bCs/>
      <w:color w:val="365F91"/>
      <w:szCs w:val="28"/>
      <w:lang w:eastAsia="lv-LV"/>
    </w:rPr>
  </w:style>
  <w:style w:type="paragraph" w:styleId="ListParagraph">
    <w:name w:val="List Paragraph"/>
    <w:basedOn w:val="Normal"/>
    <w:link w:val="ListParagraphChar"/>
    <w:uiPriority w:val="34"/>
    <w:qFormat/>
    <w:rsid w:val="003723C4"/>
    <w:pPr>
      <w:spacing w:after="200" w:line="276" w:lineRule="auto"/>
      <w:ind w:left="720"/>
      <w:contextualSpacing/>
    </w:pPr>
    <w:rPr>
      <w:rFonts w:ascii="Calibri" w:eastAsia="Times New Roman" w:hAnsi="Calibri" w:cs="Times New Roman"/>
      <w:sz w:val="22"/>
      <w:szCs w:val="20"/>
    </w:rPr>
  </w:style>
  <w:style w:type="table" w:styleId="TableGrid">
    <w:name w:val="Table Grid"/>
    <w:basedOn w:val="TableNormal"/>
    <w:uiPriority w:val="39"/>
    <w:rsid w:val="003723C4"/>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n,single space,FOOTNOTES,Text poznámky pod ciarou 007 Char,Text poznámky pod ciarou 007,_Poznámka pod ciarou,Text poznámky pod čiarou 007 Char,Text poznįmky pod čiarou 007,_Poznįmka pod čiarou Char,Char Char Car,ft,o"/>
    <w:basedOn w:val="Normal"/>
    <w:link w:val="FootnoteTextChar"/>
    <w:uiPriority w:val="99"/>
    <w:rsid w:val="003723C4"/>
    <w:rPr>
      <w:rFonts w:ascii="Calibri" w:eastAsia="Calibri" w:hAnsi="Calibri" w:cs="Times New Roman"/>
      <w:sz w:val="20"/>
      <w:szCs w:val="20"/>
      <w:lang w:eastAsia="lv-LV"/>
    </w:rPr>
  </w:style>
  <w:style w:type="character" w:customStyle="1" w:styleId="FootnoteTextChar">
    <w:name w:val="Footnote Text Char"/>
    <w:aliases w:val="Footnote Char,Fußnote Char,fn Char,single space Char,FOOTNOTES Char,Text poznámky pod ciarou 007 Char Char,Text poznámky pod ciarou 007 Char1,_Poznámka pod ciarou Char,Text poznámky pod čiarou 007 Char Char,Char Char Car Char,ft Char"/>
    <w:basedOn w:val="DefaultParagraphFont"/>
    <w:link w:val="FootnoteText"/>
    <w:uiPriority w:val="99"/>
    <w:rsid w:val="003723C4"/>
    <w:rPr>
      <w:rFonts w:ascii="Calibri" w:eastAsia="Calibri" w:hAnsi="Calibri" w:cs="Times New Roman"/>
      <w:sz w:val="20"/>
      <w:szCs w:val="20"/>
      <w:lang w:eastAsia="lv-LV"/>
    </w:rPr>
  </w:style>
  <w:style w:type="character" w:styleId="FootnoteReference">
    <w:name w:val="footnote reference"/>
    <w:aliases w:val="Footnote Reference Number Char,Footnote symbol Char,Char Char Char Char Char Char,Char2 Char Char Char Char"/>
    <w:basedOn w:val="DefaultParagraphFont"/>
    <w:link w:val="FootnoteReferenceNumber"/>
    <w:uiPriority w:val="99"/>
    <w:rsid w:val="003723C4"/>
    <w:rPr>
      <w:rFonts w:cs="Times New Roman"/>
      <w:vertAlign w:val="superscript"/>
    </w:rPr>
  </w:style>
  <w:style w:type="character" w:customStyle="1" w:styleId="ListParagraphChar">
    <w:name w:val="List Paragraph Char"/>
    <w:link w:val="ListParagraph"/>
    <w:uiPriority w:val="34"/>
    <w:locked/>
    <w:rsid w:val="003723C4"/>
    <w:rPr>
      <w:rFonts w:ascii="Calibri" w:eastAsia="Times New Roman" w:hAnsi="Calibri" w:cs="Times New Roman"/>
      <w:sz w:val="22"/>
      <w:szCs w:val="20"/>
    </w:rPr>
  </w:style>
  <w:style w:type="paragraph" w:customStyle="1" w:styleId="FootnoteReferenceNumber">
    <w:name w:val="Footnote Reference Number"/>
    <w:aliases w:val="Footnote symbol,Char Char Char Char Char,Char2 Char Char"/>
    <w:basedOn w:val="Normal"/>
    <w:next w:val="Normal"/>
    <w:link w:val="FootnoteReference"/>
    <w:uiPriority w:val="99"/>
    <w:rsid w:val="003723C4"/>
    <w:pPr>
      <w:spacing w:after="160" w:line="240" w:lineRule="exact"/>
      <w:jc w:val="both"/>
      <w:textAlignment w:val="baseline"/>
    </w:pPr>
    <w:rPr>
      <w:rFonts w:cs="Times New Roman"/>
      <w:vertAlign w:val="superscript"/>
    </w:rPr>
  </w:style>
  <w:style w:type="character" w:styleId="CommentReference">
    <w:name w:val="annotation reference"/>
    <w:basedOn w:val="DefaultParagraphFont"/>
    <w:rsid w:val="003723C4"/>
    <w:rPr>
      <w:rFonts w:cs="Times New Roman"/>
      <w:sz w:val="16"/>
    </w:rPr>
  </w:style>
  <w:style w:type="paragraph" w:styleId="CommentText">
    <w:name w:val="annotation text"/>
    <w:basedOn w:val="Normal"/>
    <w:link w:val="CommentTextChar"/>
    <w:rsid w:val="003723C4"/>
    <w:pPr>
      <w:spacing w:after="200"/>
    </w:pPr>
    <w:rPr>
      <w:rFonts w:ascii="Calibri" w:eastAsia="Calibri" w:hAnsi="Calibri" w:cs="Times New Roman"/>
      <w:sz w:val="20"/>
      <w:szCs w:val="20"/>
      <w:lang w:eastAsia="lv-LV"/>
    </w:rPr>
  </w:style>
  <w:style w:type="character" w:customStyle="1" w:styleId="CommentTextChar">
    <w:name w:val="Comment Text Char"/>
    <w:basedOn w:val="DefaultParagraphFont"/>
    <w:link w:val="CommentText"/>
    <w:rsid w:val="003723C4"/>
    <w:rPr>
      <w:rFonts w:ascii="Calibri" w:eastAsia="Calibri" w:hAnsi="Calibri" w:cs="Times New Roman"/>
      <w:sz w:val="20"/>
      <w:szCs w:val="20"/>
      <w:lang w:eastAsia="lv-LV"/>
    </w:rPr>
  </w:style>
  <w:style w:type="paragraph" w:customStyle="1" w:styleId="tv213">
    <w:name w:val="tv213"/>
    <w:basedOn w:val="Normal"/>
    <w:rsid w:val="003723C4"/>
    <w:pPr>
      <w:spacing w:before="100" w:beforeAutospacing="1" w:after="100" w:afterAutospacing="1"/>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3723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3C4"/>
    <w:rPr>
      <w:rFonts w:ascii="Segoe UI" w:hAnsi="Segoe UI" w:cs="Segoe UI"/>
      <w:sz w:val="18"/>
      <w:szCs w:val="18"/>
    </w:rPr>
  </w:style>
  <w:style w:type="paragraph" w:styleId="Header">
    <w:name w:val="header"/>
    <w:basedOn w:val="Normal"/>
    <w:link w:val="HeaderChar"/>
    <w:uiPriority w:val="99"/>
    <w:unhideWhenUsed/>
    <w:rsid w:val="00E20B9C"/>
    <w:pPr>
      <w:tabs>
        <w:tab w:val="center" w:pos="4153"/>
        <w:tab w:val="right" w:pos="8306"/>
      </w:tabs>
    </w:pPr>
  </w:style>
  <w:style w:type="character" w:customStyle="1" w:styleId="HeaderChar">
    <w:name w:val="Header Char"/>
    <w:basedOn w:val="DefaultParagraphFont"/>
    <w:link w:val="Header"/>
    <w:uiPriority w:val="99"/>
    <w:rsid w:val="00E20B9C"/>
  </w:style>
  <w:style w:type="paragraph" w:styleId="Footer">
    <w:name w:val="footer"/>
    <w:basedOn w:val="Normal"/>
    <w:link w:val="FooterChar"/>
    <w:uiPriority w:val="99"/>
    <w:unhideWhenUsed/>
    <w:rsid w:val="00E20B9C"/>
    <w:pPr>
      <w:tabs>
        <w:tab w:val="center" w:pos="4153"/>
        <w:tab w:val="right" w:pos="8306"/>
      </w:tabs>
    </w:pPr>
  </w:style>
  <w:style w:type="character" w:customStyle="1" w:styleId="FooterChar">
    <w:name w:val="Footer Char"/>
    <w:basedOn w:val="DefaultParagraphFont"/>
    <w:link w:val="Footer"/>
    <w:uiPriority w:val="99"/>
    <w:rsid w:val="00E20B9C"/>
  </w:style>
  <w:style w:type="character" w:styleId="Hyperlink">
    <w:name w:val="Hyperlink"/>
    <w:rsid w:val="006A7095"/>
    <w:rPr>
      <w:color w:val="0000FF"/>
      <w:u w:val="single"/>
    </w:rPr>
  </w:style>
  <w:style w:type="paragraph" w:styleId="CommentSubject">
    <w:name w:val="annotation subject"/>
    <w:basedOn w:val="CommentText"/>
    <w:next w:val="CommentText"/>
    <w:link w:val="CommentSubjectChar"/>
    <w:uiPriority w:val="99"/>
    <w:semiHidden/>
    <w:unhideWhenUsed/>
    <w:rsid w:val="001128B4"/>
    <w:pPr>
      <w:spacing w:after="0"/>
    </w:pPr>
    <w:rPr>
      <w:rFonts w:ascii="Times New Roman" w:eastAsiaTheme="minorHAnsi" w:hAnsi="Times New Roman" w:cstheme="minorBidi"/>
      <w:b/>
      <w:bCs/>
      <w:lang w:eastAsia="en-US"/>
    </w:rPr>
  </w:style>
  <w:style w:type="character" w:customStyle="1" w:styleId="CommentSubjectChar">
    <w:name w:val="Comment Subject Char"/>
    <w:basedOn w:val="CommentTextChar"/>
    <w:link w:val="CommentSubject"/>
    <w:uiPriority w:val="99"/>
    <w:semiHidden/>
    <w:rsid w:val="001128B4"/>
    <w:rPr>
      <w:rFonts w:ascii="Calibri" w:eastAsia="Calibri" w:hAnsi="Calibri" w:cs="Times New Roman"/>
      <w:b/>
      <w:bCs/>
      <w:sz w:val="20"/>
      <w:szCs w:val="20"/>
      <w:lang w:eastAsia="lv-LV"/>
    </w:rPr>
  </w:style>
  <w:style w:type="paragraph" w:customStyle="1" w:styleId="Teksts1">
    <w:name w:val="Teksts1"/>
    <w:basedOn w:val="Normal"/>
    <w:rsid w:val="006975EE"/>
    <w:pPr>
      <w:spacing w:after="320"/>
      <w:jc w:val="both"/>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85854">
      <w:bodyDiv w:val="1"/>
      <w:marLeft w:val="0"/>
      <w:marRight w:val="0"/>
      <w:marTop w:val="0"/>
      <w:marBottom w:val="0"/>
      <w:divBdr>
        <w:top w:val="none" w:sz="0" w:space="0" w:color="auto"/>
        <w:left w:val="none" w:sz="0" w:space="0" w:color="auto"/>
        <w:bottom w:val="none" w:sz="0" w:space="0" w:color="auto"/>
        <w:right w:val="none" w:sz="0" w:space="0" w:color="auto"/>
      </w:divBdr>
    </w:div>
    <w:div w:id="1401556877">
      <w:bodyDiv w:val="1"/>
      <w:marLeft w:val="0"/>
      <w:marRight w:val="0"/>
      <w:marTop w:val="0"/>
      <w:marBottom w:val="0"/>
      <w:divBdr>
        <w:top w:val="none" w:sz="0" w:space="0" w:color="auto"/>
        <w:left w:val="none" w:sz="0" w:space="0" w:color="auto"/>
        <w:bottom w:val="none" w:sz="0" w:space="0" w:color="auto"/>
        <w:right w:val="none" w:sz="0" w:space="0" w:color="auto"/>
      </w:divBdr>
    </w:div>
    <w:div w:id="195231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mailto:ilze.briede@pmlp.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969670457859399"/>
          <c:y val="0.170610236220472"/>
          <c:w val="0.74482758620689704"/>
          <c:h val="0.75"/>
        </c:manualLayout>
      </c:layout>
      <c:pieChart>
        <c:varyColors val="1"/>
        <c:ser>
          <c:idx val="0"/>
          <c:order val="0"/>
          <c:tx>
            <c:strRef>
              <c:f>Sheet1!$B$1</c:f>
              <c:strCache>
                <c:ptCount val="1"/>
                <c:pt idx="0">
                  <c:v>skaits</c:v>
                </c:pt>
              </c:strCache>
            </c:strRef>
          </c:tx>
          <c:dPt>
            <c:idx val="0"/>
            <c:bubble3D val="0"/>
            <c:spPr>
              <a:solidFill>
                <a:srgbClr val="63A0D7"/>
              </a:solidFill>
              <a:ln w="19050">
                <a:solidFill>
                  <a:schemeClr val="lt1"/>
                </a:solidFill>
              </a:ln>
              <a:effectLst/>
            </c:spPr>
            <c:extLst xmlns:c16r2="http://schemas.microsoft.com/office/drawing/2015/06/chart">
              <c:ext xmlns:c16="http://schemas.microsoft.com/office/drawing/2014/chart" uri="{C3380CC4-5D6E-409C-BE32-E72D297353CC}">
                <c16:uniqueId val="{00000001-1434-4E9D-A919-83B457E87CA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434-4E9D-A919-83B457E87CA3}"/>
              </c:ext>
            </c:extLst>
          </c:dPt>
          <c:dPt>
            <c:idx val="2"/>
            <c:bubble3D val="0"/>
            <c:spPr>
              <a:solidFill>
                <a:srgbClr val="BCBCBC"/>
              </a:solidFill>
              <a:ln w="19050">
                <a:solidFill>
                  <a:schemeClr val="lt1"/>
                </a:solidFill>
              </a:ln>
              <a:effectLst/>
            </c:spPr>
            <c:extLst xmlns:c16r2="http://schemas.microsoft.com/office/drawing/2015/06/chart">
              <c:ext xmlns:c16="http://schemas.microsoft.com/office/drawing/2014/chart" uri="{C3380CC4-5D6E-409C-BE32-E72D297353CC}">
                <c16:uniqueId val="{00000005-1434-4E9D-A919-83B457E87CA3}"/>
              </c:ext>
            </c:extLst>
          </c:dPt>
          <c:dPt>
            <c:idx val="3"/>
            <c:bubble3D val="0"/>
            <c:spPr>
              <a:solidFill>
                <a:srgbClr val="EEB500"/>
              </a:solidFill>
              <a:ln w="19050">
                <a:solidFill>
                  <a:schemeClr val="lt1"/>
                </a:solidFill>
              </a:ln>
              <a:effectLst/>
            </c:spPr>
            <c:extLst xmlns:c16r2="http://schemas.microsoft.com/office/drawing/2015/06/chart">
              <c:ext xmlns:c16="http://schemas.microsoft.com/office/drawing/2014/chart" uri="{C3380CC4-5D6E-409C-BE32-E72D297353CC}">
                <c16:uniqueId val="{00000007-1434-4E9D-A919-83B457E87CA3}"/>
              </c:ext>
            </c:extLst>
          </c:dPt>
          <c:dPt>
            <c:idx val="4"/>
            <c:bubble3D val="0"/>
            <c:spPr>
              <a:solidFill>
                <a:srgbClr val="9A79DD"/>
              </a:solidFill>
              <a:ln w="19050">
                <a:solidFill>
                  <a:schemeClr val="lt1"/>
                </a:solidFill>
              </a:ln>
              <a:effectLst/>
            </c:spPr>
            <c:extLst xmlns:c16r2="http://schemas.microsoft.com/office/drawing/2015/06/chart">
              <c:ext xmlns:c16="http://schemas.microsoft.com/office/drawing/2014/chart" uri="{C3380CC4-5D6E-409C-BE32-E72D297353CC}">
                <c16:uniqueId val="{00000009-1434-4E9D-A919-83B457E87CA3}"/>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434-4E9D-A919-83B457E87CA3}"/>
              </c:ext>
            </c:extLst>
          </c:dPt>
          <c:dPt>
            <c:idx val="6"/>
            <c:bubble3D val="0"/>
            <c:spPr>
              <a:solidFill>
                <a:srgbClr val="9A79DD"/>
              </a:solidFill>
              <a:ln w="19050">
                <a:solidFill>
                  <a:schemeClr val="lt1"/>
                </a:solidFill>
              </a:ln>
              <a:effectLst/>
            </c:spPr>
            <c:extLst xmlns:c16r2="http://schemas.microsoft.com/office/drawing/2015/06/chart">
              <c:ext xmlns:c16="http://schemas.microsoft.com/office/drawing/2014/chart" uri="{C3380CC4-5D6E-409C-BE32-E72D297353CC}">
                <c16:uniqueId val="{0000000D-1434-4E9D-A919-83B457E87CA3}"/>
              </c:ext>
            </c:extLst>
          </c:dPt>
          <c:dPt>
            <c:idx val="7"/>
            <c:bubble3D val="0"/>
            <c:spPr>
              <a:solidFill>
                <a:srgbClr val="DA7460"/>
              </a:solidFill>
              <a:ln w="19050">
                <a:solidFill>
                  <a:schemeClr val="lt1"/>
                </a:solidFill>
              </a:ln>
              <a:effectLst/>
            </c:spPr>
            <c:extLst xmlns:c16r2="http://schemas.microsoft.com/office/drawing/2015/06/chart">
              <c:ext xmlns:c16="http://schemas.microsoft.com/office/drawing/2014/chart" uri="{C3380CC4-5D6E-409C-BE32-E72D297353CC}">
                <c16:uniqueId val="{0000000F-1434-4E9D-A919-83B457E87CA3}"/>
              </c:ext>
            </c:extLst>
          </c:dPt>
          <c:dPt>
            <c:idx val="8"/>
            <c:bubble3D val="0"/>
            <c:spPr>
              <a:solidFill>
                <a:srgbClr val="F5DA37"/>
              </a:solidFill>
              <a:ln w="19050">
                <a:solidFill>
                  <a:schemeClr val="lt1"/>
                </a:solidFill>
              </a:ln>
              <a:effectLst/>
            </c:spPr>
            <c:extLst xmlns:c16r2="http://schemas.microsoft.com/office/drawing/2015/06/chart">
              <c:ext xmlns:c16="http://schemas.microsoft.com/office/drawing/2014/chart" uri="{C3380CC4-5D6E-409C-BE32-E72D297353CC}">
                <c16:uniqueId val="{00000011-1434-4E9D-A919-83B457E87CA3}"/>
              </c:ext>
            </c:extLst>
          </c:dPt>
          <c:dPt>
            <c:idx val="9"/>
            <c:bubble3D val="0"/>
            <c:spPr>
              <a:solidFill>
                <a:schemeClr val="accent2">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434-4E9D-A919-83B457E87CA3}"/>
              </c:ext>
            </c:extLst>
          </c:dPt>
          <c:dLbls>
            <c:dLbl>
              <c:idx val="0"/>
              <c:layout>
                <c:manualLayout>
                  <c:x val="-0.18679698891805199"/>
                  <c:y val="-0.223878681831438"/>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1434-4E9D-A919-83B457E87CA3}"/>
                </c:ext>
                <c:ext xmlns:c15="http://schemas.microsoft.com/office/drawing/2012/chart" uri="{CE6537A1-D6FC-4f65-9D91-7224C49458BB}">
                  <c15:layout>
                    <c:manualLayout>
                      <c:w val="0.22869565217391305"/>
                      <c:h val="0.15026080847700729"/>
                    </c:manualLayout>
                  </c15:layout>
                </c:ext>
              </c:extLst>
            </c:dLbl>
            <c:dLbl>
              <c:idx val="1"/>
              <c:layout>
                <c:manualLayout>
                  <c:x val="0.19967811315252301"/>
                  <c:y val="1.41500801983085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1434-4E9D-A919-83B457E87CA3}"/>
                </c:ext>
                <c:ext xmlns:c15="http://schemas.microsoft.com/office/drawing/2012/chart" uri="{CE6537A1-D6FC-4f65-9D91-7224C49458BB}">
                  <c15:layout>
                    <c:manualLayout>
                      <c:w val="0.22559093156833657"/>
                      <c:h val="9.9074046970894433E-2"/>
                    </c:manualLayout>
                  </c15:layout>
                </c:ext>
              </c:extLst>
            </c:dLbl>
            <c:dLbl>
              <c:idx val="2"/>
              <c:layout>
                <c:manualLayout>
                  <c:x val="-8.6552201808107396E-3"/>
                  <c:y val="5.4930191017789398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1434-4E9D-A919-83B457E87CA3}"/>
                </c:ext>
                <c:ext xmlns:c15="http://schemas.microsoft.com/office/drawing/2012/chart" uri="{CE6537A1-D6FC-4f65-9D91-7224C49458BB}">
                  <c15:layout>
                    <c:manualLayout>
                      <c:w val="0.23102552398341511"/>
                      <c:h val="0.11654519021553533"/>
                    </c:manualLayout>
                  </c15:layout>
                </c:ext>
              </c:extLst>
            </c:dLbl>
            <c:dLbl>
              <c:idx val="3"/>
              <c:layout>
                <c:manualLayout>
                  <c:x val="-5.9983778069408002E-2"/>
                  <c:y val="-2.1905074365704399E-3"/>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1434-4E9D-A919-83B457E87CA3}"/>
                </c:ext>
                <c:ext xmlns:c15="http://schemas.microsoft.com/office/drawing/2012/chart" uri="{CE6537A1-D6FC-4f65-9D91-7224C49458BB}">
                  <c15:layout>
                    <c:manualLayout>
                      <c:w val="0.23713758606261173"/>
                      <c:h val="0.11737571836977627"/>
                    </c:manualLayout>
                  </c15:layout>
                </c:ext>
              </c:extLst>
            </c:dLbl>
            <c:dLbl>
              <c:idx val="4"/>
              <c:layout>
                <c:manualLayout>
                  <c:x val="2.7084141656205998E-2"/>
                  <c:y val="-4.9855301544556002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1434-4E9D-A919-83B457E87CA3}"/>
                </c:ext>
                <c:ext xmlns:c15="http://schemas.microsoft.com/office/drawing/2012/chart" uri="{CE6537A1-D6FC-4f65-9D91-7224C49458BB}">
                  <c15:layout>
                    <c:manualLayout>
                      <c:w val="0.32260869565217393"/>
                      <c:h val="7.0384138785625772E-2"/>
                    </c:manualLayout>
                  </c15:layout>
                </c:ext>
              </c:extLst>
            </c:dLbl>
            <c:dLbl>
              <c:idx val="5"/>
              <c:layout>
                <c:manualLayout>
                  <c:x val="6.9939518429761496E-2"/>
                  <c:y val="-2.5803744792123998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1434-4E9D-A919-83B457E87CA3}"/>
                </c:ext>
                <c:ext xmlns:c15="http://schemas.microsoft.com/office/drawing/2012/chart" uri="{CE6537A1-D6FC-4f65-9D91-7224C49458BB}">
                  <c15:layout>
                    <c:manualLayout>
                      <c:w val="0.17900376583361863"/>
                      <c:h val="6.0210949467747757E-2"/>
                    </c:manualLayout>
                  </c15:layout>
                </c:ext>
              </c:extLst>
            </c:dLbl>
            <c:dLbl>
              <c:idx val="6"/>
              <c:layout>
                <c:manualLayout>
                  <c:x val="7.2519685039370105E-2"/>
                  <c:y val="0.13333953047535699"/>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D-1434-4E9D-A919-83B457E87CA3}"/>
                </c:ext>
                <c:ext xmlns:c15="http://schemas.microsoft.com/office/drawing/2012/chart" uri="{CE6537A1-D6FC-4f65-9D91-7224C49458BB}">
                  <c15:layout>
                    <c:manualLayout>
                      <c:w val="0.1460911003145883"/>
                      <c:h val="0.10185185185185185"/>
                    </c:manualLayout>
                  </c15:layout>
                </c:ext>
              </c:extLst>
            </c:dLbl>
            <c:dLbl>
              <c:idx val="9"/>
              <c:layout>
                <c:manualLayout>
                  <c:x val="-3.7884067683029002E-2"/>
                  <c:y val="-2.00269757946923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3-1434-4E9D-A919-83B457E87CA3}"/>
                </c:ext>
                <c:ext xmlns:c15="http://schemas.microsoft.com/office/drawing/2012/chart" uri="{CE6537A1-D6FC-4f65-9D91-7224C49458BB}">
                  <c15:layout>
                    <c:manualLayout>
                      <c:w val="0.18482269503546098"/>
                      <c:h val="9.9074074074074078E-2"/>
                    </c:manualLayout>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Sheet1!$A$2:$A$7</c:f>
              <c:strCache>
                <c:ptCount val="6"/>
                <c:pt idx="0">
                  <c:v>Krievija</c:v>
                </c:pt>
                <c:pt idx="1">
                  <c:v>Ukraina</c:v>
                </c:pt>
                <c:pt idx="2">
                  <c:v>Kazahstāna</c:v>
                </c:pt>
                <c:pt idx="3">
                  <c:v>Uzbekistāna</c:v>
                </c:pt>
                <c:pt idx="4">
                  <c:v>Baltkrievija</c:v>
                </c:pt>
                <c:pt idx="5">
                  <c:v>Cita</c:v>
                </c:pt>
              </c:strCache>
            </c:strRef>
          </c:cat>
          <c:val>
            <c:numRef>
              <c:f>Sheet1!$B$2:$B$7</c:f>
              <c:numCache>
                <c:formatCode>General</c:formatCode>
                <c:ptCount val="6"/>
                <c:pt idx="0">
                  <c:v>290</c:v>
                </c:pt>
                <c:pt idx="1">
                  <c:v>94</c:v>
                </c:pt>
                <c:pt idx="2">
                  <c:v>37</c:v>
                </c:pt>
                <c:pt idx="3">
                  <c:v>30</c:v>
                </c:pt>
                <c:pt idx="4">
                  <c:v>18</c:v>
                </c:pt>
                <c:pt idx="5">
                  <c:v>24</c:v>
                </c:pt>
              </c:numCache>
            </c:numRef>
          </c:val>
          <c:extLst xmlns:c16r2="http://schemas.microsoft.com/office/drawing/2015/06/chart">
            <c:ext xmlns:c16="http://schemas.microsoft.com/office/drawing/2014/chart" uri="{C3380CC4-5D6E-409C-BE32-E72D297353CC}">
              <c16:uniqueId val="{00000014-1434-4E9D-A919-83B457E87CA3}"/>
            </c:ext>
          </c:extLst>
        </c:ser>
        <c:dLbls>
          <c:showLegendKey val="0"/>
          <c:showVal val="0"/>
          <c:showCatName val="0"/>
          <c:showSerName val="0"/>
          <c:showPercent val="0"/>
          <c:showBubbleSize val="0"/>
          <c:showLeaderLines val="1"/>
        </c:dLbls>
        <c:firstSliceAng val="24"/>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310344827586199E-2"/>
          <c:y val="0.113425925925926"/>
          <c:w val="0.74482758620689704"/>
          <c:h val="0.75"/>
        </c:manualLayout>
      </c:layout>
      <c:pieChart>
        <c:varyColors val="1"/>
        <c:ser>
          <c:idx val="0"/>
          <c:order val="0"/>
          <c:tx>
            <c:strRef>
              <c:f>Sheet1!$B$1</c:f>
              <c:strCache>
                <c:ptCount val="1"/>
                <c:pt idx="0">
                  <c:v>Īpatsvars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072-4CF2-97E8-9638FA4A444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072-4CF2-97E8-9638FA4A444F}"/>
              </c:ext>
            </c:extLst>
          </c:dPt>
          <c:dPt>
            <c:idx val="2"/>
            <c:bubble3D val="0"/>
            <c:spPr>
              <a:solidFill>
                <a:srgbClr val="BCBCBC"/>
              </a:solidFill>
              <a:ln w="19050">
                <a:solidFill>
                  <a:schemeClr val="lt1"/>
                </a:solidFill>
              </a:ln>
              <a:effectLst/>
            </c:spPr>
            <c:extLst xmlns:c16r2="http://schemas.microsoft.com/office/drawing/2015/06/chart">
              <c:ext xmlns:c16="http://schemas.microsoft.com/office/drawing/2014/chart" uri="{C3380CC4-5D6E-409C-BE32-E72D297353CC}">
                <c16:uniqueId val="{00000005-3072-4CF2-97E8-9638FA4A444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072-4CF2-97E8-9638FA4A444F}"/>
              </c:ext>
            </c:extLst>
          </c:dPt>
          <c:dPt>
            <c:idx val="4"/>
            <c:bubble3D val="0"/>
            <c:spPr>
              <a:solidFill>
                <a:srgbClr val="9A79DD"/>
              </a:solidFill>
              <a:ln w="19050">
                <a:solidFill>
                  <a:schemeClr val="lt1"/>
                </a:solidFill>
              </a:ln>
              <a:effectLst/>
            </c:spPr>
            <c:extLst xmlns:c16r2="http://schemas.microsoft.com/office/drawing/2015/06/chart">
              <c:ext xmlns:c16="http://schemas.microsoft.com/office/drawing/2014/chart" uri="{C3380CC4-5D6E-409C-BE32-E72D297353CC}">
                <c16:uniqueId val="{00000009-3072-4CF2-97E8-9638FA4A444F}"/>
              </c:ext>
            </c:extLst>
          </c:dPt>
          <c:dPt>
            <c:idx val="5"/>
            <c:bubble3D val="0"/>
            <c:spPr>
              <a:solidFill>
                <a:srgbClr val="255E91"/>
              </a:solidFill>
              <a:ln w="19050">
                <a:solidFill>
                  <a:schemeClr val="lt1"/>
                </a:solidFill>
              </a:ln>
              <a:effectLst/>
            </c:spPr>
            <c:extLst xmlns:c16r2="http://schemas.microsoft.com/office/drawing/2015/06/chart">
              <c:ext xmlns:c16="http://schemas.microsoft.com/office/drawing/2014/chart" uri="{C3380CC4-5D6E-409C-BE32-E72D297353CC}">
                <c16:uniqueId val="{0000000B-3072-4CF2-97E8-9638FA4A444F}"/>
              </c:ext>
            </c:extLst>
          </c:dPt>
          <c:dPt>
            <c:idx val="6"/>
            <c:bubble3D val="0"/>
            <c:spPr>
              <a:solidFill>
                <a:srgbClr val="70AD46"/>
              </a:solidFill>
              <a:ln w="19050">
                <a:solidFill>
                  <a:schemeClr val="lt1"/>
                </a:solidFill>
              </a:ln>
              <a:effectLst/>
            </c:spPr>
            <c:extLst xmlns:c16r2="http://schemas.microsoft.com/office/drawing/2015/06/chart">
              <c:ext xmlns:c16="http://schemas.microsoft.com/office/drawing/2014/chart" uri="{C3380CC4-5D6E-409C-BE32-E72D297353CC}">
                <c16:uniqueId val="{0000000D-3072-4CF2-97E8-9638FA4A444F}"/>
              </c:ext>
            </c:extLst>
          </c:dPt>
          <c:dPt>
            <c:idx val="7"/>
            <c:bubble3D val="0"/>
            <c:spPr>
              <a:solidFill>
                <a:srgbClr val="D9AF81"/>
              </a:solidFill>
              <a:ln w="19050">
                <a:solidFill>
                  <a:schemeClr val="lt1"/>
                </a:solidFill>
              </a:ln>
              <a:effectLst/>
            </c:spPr>
            <c:extLst xmlns:c16r2="http://schemas.microsoft.com/office/drawing/2015/06/chart">
              <c:ext xmlns:c16="http://schemas.microsoft.com/office/drawing/2014/chart" uri="{C3380CC4-5D6E-409C-BE32-E72D297353CC}">
                <c16:uniqueId val="{0000000F-3072-4CF2-97E8-9638FA4A444F}"/>
              </c:ext>
            </c:extLst>
          </c:dPt>
          <c:dLbls>
            <c:dLbl>
              <c:idx val="0"/>
              <c:layout>
                <c:manualLayout>
                  <c:x val="3.4483120644402197E-2"/>
                  <c:y val="1.7361111111111101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3072-4CF2-97E8-9638FA4A444F}"/>
                </c:ext>
                <c:ext xmlns:c15="http://schemas.microsoft.com/office/drawing/2012/chart" uri="{CE6537A1-D6FC-4f65-9D91-7224C49458BB}">
                  <c15:layout>
                    <c:manualLayout>
                      <c:w val="0.30804597701149428"/>
                      <c:h val="0.11921296296296297"/>
                    </c:manualLayout>
                  </c15:layout>
                </c:ext>
              </c:extLst>
            </c:dLbl>
            <c:dLbl>
              <c:idx val="1"/>
              <c:layout>
                <c:manualLayout>
                  <c:x val="0.100038555525387"/>
                  <c:y val="9.2423811606882497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3072-4CF2-97E8-9638FA4A444F}"/>
                </c:ext>
                <c:ext xmlns:c15="http://schemas.microsoft.com/office/drawing/2012/chart" uri="{CE6537A1-D6FC-4f65-9D91-7224C49458BB}">
                  <c15:layout>
                    <c:manualLayout>
                      <c:w val="0.22456330889673273"/>
                      <c:h val="9.9074074074074078E-2"/>
                    </c:manualLayout>
                  </c15:layout>
                </c:ext>
              </c:extLst>
            </c:dLbl>
            <c:dLbl>
              <c:idx val="2"/>
              <c:layout>
                <c:manualLayout>
                  <c:x val="-0.156843506263845"/>
                  <c:y val="6.4224263633712499E-3"/>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3072-4CF2-97E8-9638FA4A444F}"/>
                </c:ext>
                <c:ext xmlns:c15="http://schemas.microsoft.com/office/drawing/2012/chart" uri="{CE6537A1-D6FC-4f65-9D91-7224C49458BB}">
                  <c15:layout>
                    <c:manualLayout>
                      <c:w val="0.34367816091954023"/>
                      <c:h val="0.18402777777777779"/>
                    </c:manualLayout>
                  </c15:layout>
                </c:ext>
              </c:extLst>
            </c:dLbl>
            <c:dLbl>
              <c:idx val="3"/>
              <c:layout>
                <c:manualLayout>
                  <c:x val="1.72413793103448E-2"/>
                  <c:y val="-6.6752879848352306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3072-4CF2-97E8-9638FA4A444F}"/>
                </c:ext>
                <c:ext xmlns:c15="http://schemas.microsoft.com/office/drawing/2012/chart" uri="{CE6537A1-D6FC-4f65-9D91-7224C49458BB}">
                  <c15:layout>
                    <c:manualLayout>
                      <c:w val="0.24597701149425288"/>
                      <c:h val="0.17129629629629628"/>
                    </c:manualLayout>
                  </c15:layout>
                </c:ext>
              </c:extLst>
            </c:dLbl>
            <c:dLbl>
              <c:idx val="4"/>
              <c:layout>
                <c:manualLayout>
                  <c:x val="4.0887682143180303E-2"/>
                  <c:y val="8.5384951881014901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3072-4CF2-97E8-9638FA4A444F}"/>
                </c:ext>
                <c:ext xmlns:c15="http://schemas.microsoft.com/office/drawing/2012/chart" uri="{CE6537A1-D6FC-4f65-9D91-7224C49458BB}">
                  <c15:layout/>
                </c:ext>
              </c:extLst>
            </c:dLbl>
            <c:dLbl>
              <c:idx val="5"/>
              <c:layout>
                <c:manualLayout>
                  <c:x val="-0.26029186557109601"/>
                  <c:y val="5.1061169437153699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3072-4CF2-97E8-9638FA4A444F}"/>
                </c:ext>
                <c:ext xmlns:c15="http://schemas.microsoft.com/office/drawing/2012/chart" uri="{CE6537A1-D6FC-4f65-9D91-7224C49458BB}">
                  <c15:layout>
                    <c:manualLayout>
                      <c:w val="0.27366914242102713"/>
                      <c:h val="0.11342592592592593"/>
                    </c:manualLayout>
                  </c15:layout>
                </c:ext>
              </c:extLst>
            </c:dLbl>
            <c:dLbl>
              <c:idx val="6"/>
              <c:layout>
                <c:manualLayout>
                  <c:x val="9.6160533124848693E-2"/>
                  <c:y val="-0.222666046952464"/>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D-3072-4CF2-97E8-9638FA4A444F}"/>
                </c:ext>
                <c:ext xmlns:c15="http://schemas.microsoft.com/office/drawing/2012/chart" uri="{CE6537A1-D6FC-4f65-9D91-7224C49458BB}">
                  <c15:layout>
                    <c:manualLayout>
                      <c:w val="0.39195402298850573"/>
                      <c:h val="0.17129629629629628"/>
                    </c:manualLayout>
                  </c15:layout>
                </c:ext>
              </c:extLst>
            </c:dLbl>
            <c:dLbl>
              <c:idx val="7"/>
              <c:layout>
                <c:manualLayout>
                  <c:x val="0.10401872638260599"/>
                  <c:y val="0.23032407407407399"/>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F-3072-4CF2-97E8-9638FA4A444F}"/>
                </c:ext>
                <c:ext xmlns:c15="http://schemas.microsoft.com/office/drawing/2012/chart" uri="{CE6537A1-D6FC-4f65-9D91-7224C49458BB}">
                  <c15:layout>
                    <c:manualLayout>
                      <c:w val="0.37943262411347511"/>
                      <c:h val="0.21759259259259259"/>
                    </c:manualLayout>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Sheet1!$A$2:$A$9</c:f>
              <c:strCache>
                <c:ptCount val="8"/>
                <c:pt idx="0">
                  <c:v>Apstrādes rūpniecība</c:v>
                </c:pt>
                <c:pt idx="1">
                  <c:v>Būvniecība</c:v>
                </c:pt>
                <c:pt idx="2">
                  <c:v>Tirdzniecība, izmitināšana, ēdināšana</c:v>
                </c:pt>
                <c:pt idx="3">
                  <c:v>Transports un uzglabāšana</c:v>
                </c:pt>
                <c:pt idx="4">
                  <c:v>Cita</c:v>
                </c:pt>
                <c:pt idx="5">
                  <c:v>Nav norādīts</c:v>
                </c:pt>
                <c:pt idx="6">
                  <c:v>Operācijas ar nekustamo īpašumu</c:v>
                </c:pt>
                <c:pt idx="7">
                  <c:v>Citi komercpakalpojumi</c:v>
                </c:pt>
              </c:strCache>
            </c:strRef>
          </c:cat>
          <c:val>
            <c:numRef>
              <c:f>Sheet1!$B$2:$B$9</c:f>
              <c:numCache>
                <c:formatCode>0%</c:formatCode>
                <c:ptCount val="8"/>
                <c:pt idx="0">
                  <c:v>9.7560975609756101E-2</c:v>
                </c:pt>
                <c:pt idx="1">
                  <c:v>2.4390243902439001E-2</c:v>
                </c:pt>
                <c:pt idx="2">
                  <c:v>0.25609756097560998</c:v>
                </c:pt>
                <c:pt idx="3">
                  <c:v>3.65853658536585E-2</c:v>
                </c:pt>
                <c:pt idx="4">
                  <c:v>2.4390243902439001E-2</c:v>
                </c:pt>
                <c:pt idx="5">
                  <c:v>1.21951219512195E-2</c:v>
                </c:pt>
                <c:pt idx="6">
                  <c:v>0.31707317073170699</c:v>
                </c:pt>
                <c:pt idx="7">
                  <c:v>0.23170731707317099</c:v>
                </c:pt>
              </c:numCache>
            </c:numRef>
          </c:val>
          <c:extLst xmlns:c16r2="http://schemas.microsoft.com/office/drawing/2015/06/chart">
            <c:ext xmlns:c16="http://schemas.microsoft.com/office/drawing/2014/chart" uri="{C3380CC4-5D6E-409C-BE32-E72D297353CC}">
              <c16:uniqueId val="{00000010-3072-4CF2-97E8-9638FA4A444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582379330243295E-2"/>
          <c:y val="0.16840696996208801"/>
          <c:w val="0.74482758620689704"/>
          <c:h val="0.75"/>
        </c:manualLayout>
      </c:layout>
      <c:pieChart>
        <c:varyColors val="1"/>
        <c:ser>
          <c:idx val="0"/>
          <c:order val="0"/>
          <c:tx>
            <c:strRef>
              <c:f>Sheet1!$B$1</c:f>
              <c:strCache>
                <c:ptCount val="1"/>
                <c:pt idx="0">
                  <c:v>skaits</c:v>
                </c:pt>
              </c:strCache>
            </c:strRef>
          </c:tx>
          <c:dPt>
            <c:idx val="0"/>
            <c:bubble3D val="0"/>
            <c:spPr>
              <a:solidFill>
                <a:srgbClr val="F5DA37"/>
              </a:solidFill>
              <a:ln w="19050">
                <a:solidFill>
                  <a:schemeClr val="lt1"/>
                </a:solidFill>
              </a:ln>
              <a:effectLst/>
            </c:spPr>
            <c:extLst xmlns:c16r2="http://schemas.microsoft.com/office/drawing/2015/06/chart">
              <c:ext xmlns:c16="http://schemas.microsoft.com/office/drawing/2014/chart" uri="{C3380CC4-5D6E-409C-BE32-E72D297353CC}">
                <c16:uniqueId val="{00000001-C688-4D9B-BE80-6EBFB290A624}"/>
              </c:ext>
            </c:extLst>
          </c:dPt>
          <c:dPt>
            <c:idx val="1"/>
            <c:bubble3D val="0"/>
            <c:spPr>
              <a:solidFill>
                <a:srgbClr val="D9AF81"/>
              </a:solidFill>
              <a:ln w="19050">
                <a:solidFill>
                  <a:schemeClr val="lt1"/>
                </a:solidFill>
              </a:ln>
              <a:effectLst/>
            </c:spPr>
            <c:extLst xmlns:c16r2="http://schemas.microsoft.com/office/drawing/2015/06/chart">
              <c:ext xmlns:c16="http://schemas.microsoft.com/office/drawing/2014/chart" uri="{C3380CC4-5D6E-409C-BE32-E72D297353CC}">
                <c16:uniqueId val="{00000003-C688-4D9B-BE80-6EBFB290A624}"/>
              </c:ext>
            </c:extLst>
          </c:dPt>
          <c:dPt>
            <c:idx val="2"/>
            <c:bubble3D val="0"/>
            <c:spPr>
              <a:solidFill>
                <a:srgbClr val="BCBCBC"/>
              </a:solidFill>
              <a:ln w="19050">
                <a:solidFill>
                  <a:schemeClr val="lt1"/>
                </a:solidFill>
              </a:ln>
              <a:effectLst/>
            </c:spPr>
            <c:extLst xmlns:c16r2="http://schemas.microsoft.com/office/drawing/2015/06/chart">
              <c:ext xmlns:c16="http://schemas.microsoft.com/office/drawing/2014/chart" uri="{C3380CC4-5D6E-409C-BE32-E72D297353CC}">
                <c16:uniqueId val="{00000005-C688-4D9B-BE80-6EBFB290A624}"/>
              </c:ext>
            </c:extLst>
          </c:dPt>
          <c:dPt>
            <c:idx val="3"/>
            <c:bubble3D val="0"/>
            <c:spPr>
              <a:solidFill>
                <a:srgbClr val="DF9003"/>
              </a:solidFill>
              <a:ln w="19050">
                <a:solidFill>
                  <a:schemeClr val="lt1"/>
                </a:solidFill>
              </a:ln>
              <a:effectLst/>
            </c:spPr>
            <c:extLst xmlns:c16r2="http://schemas.microsoft.com/office/drawing/2015/06/chart">
              <c:ext xmlns:c16="http://schemas.microsoft.com/office/drawing/2014/chart" uri="{C3380CC4-5D6E-409C-BE32-E72D297353CC}">
                <c16:uniqueId val="{00000007-C688-4D9B-BE80-6EBFB290A624}"/>
              </c:ext>
            </c:extLst>
          </c:dPt>
          <c:dPt>
            <c:idx val="4"/>
            <c:bubble3D val="0"/>
            <c:spPr>
              <a:solidFill>
                <a:srgbClr val="609ED6"/>
              </a:solidFill>
              <a:ln w="19050">
                <a:solidFill>
                  <a:schemeClr val="lt1"/>
                </a:solidFill>
              </a:ln>
              <a:effectLst/>
            </c:spPr>
            <c:extLst xmlns:c16r2="http://schemas.microsoft.com/office/drawing/2015/06/chart">
              <c:ext xmlns:c16="http://schemas.microsoft.com/office/drawing/2014/chart" uri="{C3380CC4-5D6E-409C-BE32-E72D297353CC}">
                <c16:uniqueId val="{00000009-C688-4D9B-BE80-6EBFB290A624}"/>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C688-4D9B-BE80-6EBFB290A624}"/>
              </c:ext>
            </c:extLst>
          </c:dPt>
          <c:dPt>
            <c:idx val="6"/>
            <c:bubble3D val="0"/>
            <c:spPr>
              <a:solidFill>
                <a:srgbClr val="9A79DD"/>
              </a:solidFill>
              <a:ln w="19050">
                <a:solidFill>
                  <a:schemeClr val="lt1"/>
                </a:solidFill>
              </a:ln>
              <a:effectLst/>
            </c:spPr>
            <c:extLst xmlns:c16r2="http://schemas.microsoft.com/office/drawing/2015/06/chart">
              <c:ext xmlns:c16="http://schemas.microsoft.com/office/drawing/2014/chart" uri="{C3380CC4-5D6E-409C-BE32-E72D297353CC}">
                <c16:uniqueId val="{0000000D-C688-4D9B-BE80-6EBFB290A624}"/>
              </c:ext>
            </c:extLst>
          </c:dPt>
          <c:dPt>
            <c:idx val="7"/>
            <c:bubble3D val="0"/>
            <c:spPr>
              <a:solidFill>
                <a:srgbClr val="DE8270"/>
              </a:solidFill>
              <a:ln w="19050">
                <a:solidFill>
                  <a:schemeClr val="lt1"/>
                </a:solidFill>
              </a:ln>
              <a:effectLst/>
            </c:spPr>
            <c:extLst xmlns:c16r2="http://schemas.microsoft.com/office/drawing/2015/06/chart">
              <c:ext xmlns:c16="http://schemas.microsoft.com/office/drawing/2014/chart" uri="{C3380CC4-5D6E-409C-BE32-E72D297353CC}">
                <c16:uniqueId val="{0000000F-C688-4D9B-BE80-6EBFB290A624}"/>
              </c:ext>
            </c:extLst>
          </c:dPt>
          <c:dPt>
            <c:idx val="8"/>
            <c:bubble3D val="0"/>
            <c:spPr>
              <a:solidFill>
                <a:srgbClr val="3D6CC1"/>
              </a:solidFill>
              <a:ln w="19050">
                <a:solidFill>
                  <a:schemeClr val="lt1"/>
                </a:solidFill>
              </a:ln>
              <a:effectLst/>
            </c:spPr>
            <c:extLst xmlns:c16r2="http://schemas.microsoft.com/office/drawing/2015/06/chart">
              <c:ext xmlns:c16="http://schemas.microsoft.com/office/drawing/2014/chart" uri="{C3380CC4-5D6E-409C-BE32-E72D297353CC}">
                <c16:uniqueId val="{00000011-C688-4D9B-BE80-6EBFB290A624}"/>
              </c:ext>
            </c:extLst>
          </c:dPt>
          <c:dPt>
            <c:idx val="9"/>
            <c:bubble3D val="0"/>
            <c:spPr>
              <a:solidFill>
                <a:schemeClr val="accent2">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C688-4D9B-BE80-6EBFB290A624}"/>
              </c:ext>
            </c:extLst>
          </c:dPt>
          <c:dLbls>
            <c:dLbl>
              <c:idx val="0"/>
              <c:layout>
                <c:manualLayout>
                  <c:x val="1.4184397163120499E-2"/>
                  <c:y val="-0.209490740740741"/>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C688-4D9B-BE80-6EBFB290A624}"/>
                </c:ext>
                <c:ext xmlns:c15="http://schemas.microsoft.com/office/drawing/2012/chart" uri="{CE6537A1-D6FC-4f65-9D91-7224C49458BB}">
                  <c15:layout>
                    <c:manualLayout>
                      <c:w val="0.26076469164758659"/>
                      <c:h val="0.17476851851851852"/>
                    </c:manualLayout>
                  </c15:layout>
                </c:ext>
              </c:extLst>
            </c:dLbl>
            <c:dLbl>
              <c:idx val="1"/>
              <c:layout>
                <c:manualLayout>
                  <c:x val="0.10401891252955101"/>
                  <c:y val="0.128542395742199"/>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C688-4D9B-BE80-6EBFB290A624}"/>
                </c:ext>
                <c:ext xmlns:c15="http://schemas.microsoft.com/office/drawing/2012/chart" uri="{CE6537A1-D6FC-4f65-9D91-7224C49458BB}">
                  <c15:layout>
                    <c:manualLayout>
                      <c:w val="0.26238826529662518"/>
                      <c:h val="0.10833333333333331"/>
                    </c:manualLayout>
                  </c15:layout>
                </c:ext>
              </c:extLst>
            </c:dLbl>
            <c:dLbl>
              <c:idx val="2"/>
              <c:layout>
                <c:manualLayout>
                  <c:x val="-3.0580964613465898E-2"/>
                  <c:y val="3.1885389326334203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C688-4D9B-BE80-6EBFB290A624}"/>
                </c:ext>
                <c:ext xmlns:c15="http://schemas.microsoft.com/office/drawing/2012/chart" uri="{CE6537A1-D6FC-4f65-9D91-7224C49458BB}">
                  <c15:layout>
                    <c:manualLayout>
                      <c:w val="0.32476573407047521"/>
                      <c:h val="0.12384259259259259"/>
                    </c:manualLayout>
                  </c15:layout>
                </c:ext>
              </c:extLst>
            </c:dLbl>
            <c:dLbl>
              <c:idx val="3"/>
              <c:layout>
                <c:manualLayout>
                  <c:x val="-0.10638297872340401"/>
                  <c:y val="-5.1727544473607501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C688-4D9B-BE80-6EBFB290A624}"/>
                </c:ext>
                <c:ext xmlns:c15="http://schemas.microsoft.com/office/drawing/2012/chart" uri="{CE6537A1-D6FC-4f65-9D91-7224C49458BB}">
                  <c15:layout>
                    <c:manualLayout>
                      <c:w val="0.29798663464939223"/>
                      <c:h val="0.10185185185185185"/>
                    </c:manualLayout>
                  </c15:layout>
                </c:ext>
              </c:extLst>
            </c:dLbl>
            <c:dLbl>
              <c:idx val="4"/>
              <c:layout>
                <c:manualLayout>
                  <c:x val="-2.9969658048149798E-5"/>
                  <c:y val="-3.1737204724409503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C688-4D9B-BE80-6EBFB290A624}"/>
                </c:ext>
                <c:ext xmlns:c15="http://schemas.microsoft.com/office/drawing/2012/chart" uri="{CE6537A1-D6FC-4f65-9D91-7224C49458BB}">
                  <c15:layout>
                    <c:manualLayout>
                      <c:w val="0.28947971929040778"/>
                      <c:h val="0.14444444444444443"/>
                    </c:manualLayout>
                  </c15:layout>
                </c:ext>
              </c:extLst>
            </c:dLbl>
            <c:dLbl>
              <c:idx val="5"/>
              <c:layout>
                <c:manualLayout>
                  <c:x val="1.5957632955454999E-2"/>
                  <c:y val="9.7269612131816799E-3"/>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C688-4D9B-BE80-6EBFB290A624}"/>
                </c:ext>
                <c:ext xmlns:c15="http://schemas.microsoft.com/office/drawing/2012/chart" uri="{CE6537A1-D6FC-4f65-9D91-7224C49458BB}">
                  <c15:layout>
                    <c:manualLayout>
                      <c:w val="0.22520578544703188"/>
                      <c:h val="0.10416666666666667"/>
                    </c:manualLayout>
                  </c15:layout>
                </c:ext>
              </c:extLst>
            </c:dLbl>
            <c:dLbl>
              <c:idx val="6"/>
              <c:layout>
                <c:manualLayout>
                  <c:x val="-2.3642523407978299E-3"/>
                  <c:y val="3.1963764946048398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D-C688-4D9B-BE80-6EBFB290A624}"/>
                </c:ext>
                <c:ext xmlns:c15="http://schemas.microsoft.com/office/drawing/2012/chart" uri="{CE6537A1-D6FC-4f65-9D91-7224C49458BB}">
                  <c15:layout>
                    <c:manualLayout>
                      <c:w val="0.19810055657936371"/>
                      <c:h val="0.10648148148148148"/>
                    </c:manualLayout>
                  </c15:layout>
                </c:ext>
              </c:extLst>
            </c:dLbl>
            <c:dLbl>
              <c:idx val="7"/>
              <c:layout>
                <c:manualLayout>
                  <c:x val="-0.20832188529625301"/>
                  <c:y val="3.1145013123359499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F-C688-4D9B-BE80-6EBFB290A624}"/>
                </c:ext>
                <c:ext xmlns:c15="http://schemas.microsoft.com/office/drawing/2012/chart" uri="{CE6537A1-D6FC-4f65-9D91-7224C49458BB}">
                  <c15:layout/>
                </c:ext>
              </c:extLst>
            </c:dLbl>
            <c:dLbl>
              <c:idx val="8"/>
              <c:layout>
                <c:manualLayout>
                  <c:x val="-3.1752015040673098E-2"/>
                  <c:y val="-4.2069845435987199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1-C688-4D9B-BE80-6EBFB290A624}"/>
                </c:ext>
                <c:ext xmlns:c15="http://schemas.microsoft.com/office/drawing/2012/chart" uri="{CE6537A1-D6FC-4f65-9D91-7224C49458BB}"/>
              </c:extLst>
            </c:dLbl>
            <c:dLbl>
              <c:idx val="9"/>
              <c:layout>
                <c:manualLayout>
                  <c:x val="0.11814430111129701"/>
                  <c:y val="0.132750801983085"/>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3-C688-4D9B-BE80-6EBFB290A624}"/>
                </c:ext>
                <c:ext xmlns:c15="http://schemas.microsoft.com/office/drawing/2012/chart" uri="{CE6537A1-D6FC-4f65-9D91-7224C49458BB}">
                  <c15:layout>
                    <c:manualLayout>
                      <c:w val="0.18482269503546098"/>
                      <c:h val="9.9074074074074078E-2"/>
                    </c:manualLayout>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Sheet1!$A$2:$A$9</c:f>
              <c:strCache>
                <c:ptCount val="8"/>
                <c:pt idx="0">
                  <c:v>Rietumu Banka</c:v>
                </c:pt>
                <c:pt idx="1">
                  <c:v>ABLV Banka</c:v>
                </c:pt>
                <c:pt idx="2">
                  <c:v>Baltic International Bank</c:v>
                </c:pt>
                <c:pt idx="3">
                  <c:v>Norvik Banka / PNB Banka</c:v>
                </c:pt>
                <c:pt idx="4">
                  <c:v>Trasta komercbanka</c:v>
                </c:pt>
                <c:pt idx="5">
                  <c:v>PrivatBank</c:v>
                </c:pt>
                <c:pt idx="6">
                  <c:v>Baltikums Bank</c:v>
                </c:pt>
                <c:pt idx="7">
                  <c:v>Citas</c:v>
                </c:pt>
              </c:strCache>
            </c:strRef>
          </c:cat>
          <c:val>
            <c:numRef>
              <c:f>Sheet1!$B$2:$B$9</c:f>
              <c:numCache>
                <c:formatCode>General</c:formatCode>
                <c:ptCount val="8"/>
                <c:pt idx="0">
                  <c:v>79.900000000000006</c:v>
                </c:pt>
                <c:pt idx="1">
                  <c:v>26.2</c:v>
                </c:pt>
                <c:pt idx="2">
                  <c:v>11.8</c:v>
                </c:pt>
                <c:pt idx="3">
                  <c:v>10.5</c:v>
                </c:pt>
                <c:pt idx="4">
                  <c:v>7.4</c:v>
                </c:pt>
                <c:pt idx="5">
                  <c:v>7.2</c:v>
                </c:pt>
                <c:pt idx="6">
                  <c:v>5.0999999999999996</c:v>
                </c:pt>
                <c:pt idx="7">
                  <c:v>10</c:v>
                </c:pt>
              </c:numCache>
            </c:numRef>
          </c:val>
          <c:extLst xmlns:c16r2="http://schemas.microsoft.com/office/drawing/2015/06/chart">
            <c:ext xmlns:c16="http://schemas.microsoft.com/office/drawing/2014/chart" uri="{C3380CC4-5D6E-409C-BE32-E72D297353CC}">
              <c16:uniqueId val="{00000014-C688-4D9B-BE80-6EBFB290A624}"/>
            </c:ext>
          </c:extLst>
        </c:ser>
        <c:dLbls>
          <c:showLegendKey val="0"/>
          <c:showVal val="0"/>
          <c:showCatName val="0"/>
          <c:showSerName val="0"/>
          <c:showPercent val="0"/>
          <c:showBubbleSize val="0"/>
          <c:showLeaderLines val="1"/>
        </c:dLbls>
        <c:firstSliceAng val="89"/>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135570819605"/>
          <c:y val="0.123770778652668"/>
          <c:w val="0.74482758620689704"/>
          <c:h val="0.75"/>
        </c:manualLayout>
      </c:layout>
      <c:pieChart>
        <c:varyColors val="1"/>
        <c:ser>
          <c:idx val="0"/>
          <c:order val="0"/>
          <c:tx>
            <c:strRef>
              <c:f>Sheet1!$B$1</c:f>
              <c:strCache>
                <c:ptCount val="1"/>
                <c:pt idx="0">
                  <c:v>skaits</c:v>
                </c:pt>
              </c:strCache>
            </c:strRef>
          </c:tx>
          <c:dPt>
            <c:idx val="0"/>
            <c:bubble3D val="0"/>
            <c:spPr>
              <a:solidFill>
                <a:srgbClr val="3D6CC1"/>
              </a:solidFill>
              <a:ln w="19050">
                <a:solidFill>
                  <a:schemeClr val="lt1"/>
                </a:solidFill>
              </a:ln>
              <a:effectLst/>
            </c:spPr>
            <c:extLst xmlns:c16r2="http://schemas.microsoft.com/office/drawing/2015/06/chart">
              <c:ext xmlns:c16="http://schemas.microsoft.com/office/drawing/2014/chart" uri="{C3380CC4-5D6E-409C-BE32-E72D297353CC}">
                <c16:uniqueId val="{00000001-51F4-4180-A25C-6716F50DE51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1F4-4180-A25C-6716F50DE517}"/>
              </c:ext>
            </c:extLst>
          </c:dPt>
          <c:dPt>
            <c:idx val="2"/>
            <c:bubble3D val="0"/>
            <c:spPr>
              <a:solidFill>
                <a:srgbClr val="BCBCBC"/>
              </a:solidFill>
              <a:ln w="19050">
                <a:solidFill>
                  <a:schemeClr val="lt1"/>
                </a:solidFill>
              </a:ln>
              <a:effectLst/>
            </c:spPr>
            <c:extLst xmlns:c16r2="http://schemas.microsoft.com/office/drawing/2015/06/chart">
              <c:ext xmlns:c16="http://schemas.microsoft.com/office/drawing/2014/chart" uri="{C3380CC4-5D6E-409C-BE32-E72D297353CC}">
                <c16:uniqueId val="{00000005-51F4-4180-A25C-6716F50DE517}"/>
              </c:ext>
            </c:extLst>
          </c:dPt>
          <c:dPt>
            <c:idx val="3"/>
            <c:bubble3D val="0"/>
            <c:spPr>
              <a:solidFill>
                <a:srgbClr val="EEB500"/>
              </a:solidFill>
              <a:ln w="19050">
                <a:solidFill>
                  <a:schemeClr val="lt1"/>
                </a:solidFill>
              </a:ln>
              <a:effectLst/>
            </c:spPr>
            <c:extLst xmlns:c16r2="http://schemas.microsoft.com/office/drawing/2015/06/chart">
              <c:ext xmlns:c16="http://schemas.microsoft.com/office/drawing/2014/chart" uri="{C3380CC4-5D6E-409C-BE32-E72D297353CC}">
                <c16:uniqueId val="{00000007-51F4-4180-A25C-6716F50DE517}"/>
              </c:ext>
            </c:extLst>
          </c:dPt>
          <c:dPt>
            <c:idx val="4"/>
            <c:bubble3D val="0"/>
            <c:spPr>
              <a:solidFill>
                <a:srgbClr val="609ED6"/>
              </a:solidFill>
              <a:ln w="19050">
                <a:solidFill>
                  <a:schemeClr val="lt1"/>
                </a:solidFill>
              </a:ln>
              <a:effectLst/>
            </c:spPr>
            <c:extLst xmlns:c16r2="http://schemas.microsoft.com/office/drawing/2015/06/chart">
              <c:ext xmlns:c16="http://schemas.microsoft.com/office/drawing/2014/chart" uri="{C3380CC4-5D6E-409C-BE32-E72D297353CC}">
                <c16:uniqueId val="{00000009-51F4-4180-A25C-6716F50DE517}"/>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1F4-4180-A25C-6716F50DE517}"/>
              </c:ext>
            </c:extLst>
          </c:dPt>
          <c:dPt>
            <c:idx val="6"/>
            <c:bubble3D val="0"/>
            <c:spPr>
              <a:solidFill>
                <a:srgbClr val="9A79DD"/>
              </a:solidFill>
              <a:ln w="19050">
                <a:solidFill>
                  <a:schemeClr val="lt1"/>
                </a:solidFill>
              </a:ln>
              <a:effectLst/>
            </c:spPr>
            <c:extLst xmlns:c16r2="http://schemas.microsoft.com/office/drawing/2015/06/chart">
              <c:ext xmlns:c16="http://schemas.microsoft.com/office/drawing/2014/chart" uri="{C3380CC4-5D6E-409C-BE32-E72D297353CC}">
                <c16:uniqueId val="{0000000D-51F4-4180-A25C-6716F50DE517}"/>
              </c:ext>
            </c:extLst>
          </c:dPt>
          <c:dPt>
            <c:idx val="7"/>
            <c:bubble3D val="0"/>
            <c:spPr>
              <a:solidFill>
                <a:srgbClr val="DA7460"/>
              </a:solidFill>
              <a:ln w="19050">
                <a:solidFill>
                  <a:schemeClr val="lt1"/>
                </a:solidFill>
              </a:ln>
              <a:effectLst/>
            </c:spPr>
            <c:extLst xmlns:c16r2="http://schemas.microsoft.com/office/drawing/2015/06/chart">
              <c:ext xmlns:c16="http://schemas.microsoft.com/office/drawing/2014/chart" uri="{C3380CC4-5D6E-409C-BE32-E72D297353CC}">
                <c16:uniqueId val="{0000000F-51F4-4180-A25C-6716F50DE517}"/>
              </c:ext>
            </c:extLst>
          </c:dPt>
          <c:dPt>
            <c:idx val="8"/>
            <c:bubble3D val="0"/>
            <c:spPr>
              <a:solidFill>
                <a:srgbClr val="F5DA37"/>
              </a:solidFill>
              <a:ln w="19050">
                <a:solidFill>
                  <a:schemeClr val="lt1"/>
                </a:solidFill>
              </a:ln>
              <a:effectLst/>
            </c:spPr>
            <c:extLst xmlns:c16r2="http://schemas.microsoft.com/office/drawing/2015/06/chart">
              <c:ext xmlns:c16="http://schemas.microsoft.com/office/drawing/2014/chart" uri="{C3380CC4-5D6E-409C-BE32-E72D297353CC}">
                <c16:uniqueId val="{00000011-51F4-4180-A25C-6716F50DE517}"/>
              </c:ext>
            </c:extLst>
          </c:dPt>
          <c:dPt>
            <c:idx val="9"/>
            <c:bubble3D val="0"/>
            <c:spPr>
              <a:solidFill>
                <a:schemeClr val="accent2">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1F4-4180-A25C-6716F50DE517}"/>
              </c:ext>
            </c:extLst>
          </c:dPt>
          <c:dLbls>
            <c:dLbl>
              <c:idx val="0"/>
              <c:layout>
                <c:manualLayout>
                  <c:x val="-0.17633002396439601"/>
                  <c:y val="0.15723092234288599"/>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51F4-4180-A25C-6716F50DE517}"/>
                </c:ext>
                <c:ext xmlns:c15="http://schemas.microsoft.com/office/drawing/2012/chart" uri="{CE6537A1-D6FC-4f65-9D91-7224C49458BB}">
                  <c15:layout>
                    <c:manualLayout>
                      <c:w val="0.22869565217391305"/>
                      <c:h val="0.15026080847700729"/>
                    </c:manualLayout>
                  </c15:layout>
                </c:ext>
              </c:extLst>
            </c:dLbl>
            <c:dLbl>
              <c:idx val="1"/>
              <c:layout>
                <c:manualLayout>
                  <c:x val="-0.193853614042926"/>
                  <c:y val="2.7608996792067599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51F4-4180-A25C-6716F50DE517}"/>
                </c:ext>
                <c:ext xmlns:c15="http://schemas.microsoft.com/office/drawing/2012/chart" uri="{CE6537A1-D6FC-4f65-9D91-7224C49458BB}">
                  <c15:layout>
                    <c:manualLayout>
                      <c:w val="0.17728188231790173"/>
                      <c:h val="9.9074074074074078E-2"/>
                    </c:manualLayout>
                  </c15:layout>
                </c:ext>
              </c:extLst>
            </c:dLbl>
            <c:dLbl>
              <c:idx val="2"/>
              <c:layout>
                <c:manualLayout>
                  <c:x val="-0.189216879804918"/>
                  <c:y val="-0.15329979585885101"/>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51F4-4180-A25C-6716F50DE517}"/>
                </c:ext>
                <c:ext xmlns:c15="http://schemas.microsoft.com/office/drawing/2012/chart" uri="{CE6537A1-D6FC-4f65-9D91-7224C49458BB}">
                  <c15:layout>
                    <c:manualLayout>
                      <c:w val="0.19237802721468331"/>
                      <c:h val="8.6805555555555566E-2"/>
                    </c:manualLayout>
                  </c15:layout>
                </c:ext>
              </c:extLst>
            </c:dLbl>
            <c:dLbl>
              <c:idx val="3"/>
              <c:layout>
                <c:manualLayout>
                  <c:x val="0.10874704491725801"/>
                  <c:y val="-0.17091972878390199"/>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51F4-4180-A25C-6716F50DE517}"/>
                </c:ext>
                <c:ext xmlns:c15="http://schemas.microsoft.com/office/drawing/2012/chart" uri="{CE6537A1-D6FC-4f65-9D91-7224C49458BB}">
                  <c15:layout>
                    <c:manualLayout>
                      <c:w val="0.20815211928296198"/>
                      <c:h val="9.2592592592592587E-2"/>
                    </c:manualLayout>
                  </c15:layout>
                </c:ext>
              </c:extLst>
            </c:dLbl>
            <c:dLbl>
              <c:idx val="4"/>
              <c:layout>
                <c:manualLayout>
                  <c:x val="0.19858156028368801"/>
                  <c:y val="-3.4985418489355498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51F4-4180-A25C-6716F50DE517}"/>
                </c:ext>
                <c:ext xmlns:c15="http://schemas.microsoft.com/office/drawing/2012/chart" uri="{CE6537A1-D6FC-4f65-9D91-7224C49458BB}">
                  <c15:layout/>
                </c:ext>
              </c:extLst>
            </c:dLbl>
            <c:dLbl>
              <c:idx val="5"/>
              <c:layout>
                <c:manualLayout>
                  <c:x val="0.15931125630572801"/>
                  <c:y val="0.125373286672499"/>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51F4-4180-A25C-6716F50DE517}"/>
                </c:ext>
                <c:ext xmlns:c15="http://schemas.microsoft.com/office/drawing/2012/chart" uri="{CE6537A1-D6FC-4f65-9D91-7224C49458BB}">
                  <c15:layout>
                    <c:manualLayout>
                      <c:w val="0.18383462705459691"/>
                      <c:h val="9.4907407407407413E-2"/>
                    </c:manualLayout>
                  </c15:layout>
                </c:ext>
              </c:extLst>
            </c:dLbl>
            <c:dLbl>
              <c:idx val="6"/>
              <c:layout>
                <c:manualLayout>
                  <c:x val="7.2519685039370105E-2"/>
                  <c:y val="0.13333953047535699"/>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D-51F4-4180-A25C-6716F50DE517}"/>
                </c:ext>
                <c:ext xmlns:c15="http://schemas.microsoft.com/office/drawing/2012/chart" uri="{CE6537A1-D6FC-4f65-9D91-7224C49458BB}">
                  <c15:layout>
                    <c:manualLayout>
                      <c:w val="0.1460911003145883"/>
                      <c:h val="0.10185185185185185"/>
                    </c:manualLayout>
                  </c15:layout>
                </c:ext>
              </c:extLst>
            </c:dLbl>
            <c:dLbl>
              <c:idx val="9"/>
              <c:layout>
                <c:manualLayout>
                  <c:x val="-3.7884067683029002E-2"/>
                  <c:y val="-2.00269757946923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3-51F4-4180-A25C-6716F50DE517}"/>
                </c:ext>
                <c:ext xmlns:c15="http://schemas.microsoft.com/office/drawing/2012/chart" uri="{CE6537A1-D6FC-4f65-9D91-7224C49458BB}">
                  <c15:layout>
                    <c:manualLayout>
                      <c:w val="0.18482269503546098"/>
                      <c:h val="9.9074074074074078E-2"/>
                    </c:manualLayout>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2010 un vecāki</c:v>
                </c:pt>
                <c:pt idx="1">
                  <c:v>2013</c:v>
                </c:pt>
                <c:pt idx="2">
                  <c:v>2014</c:v>
                </c:pt>
                <c:pt idx="3">
                  <c:v>2015</c:v>
                </c:pt>
                <c:pt idx="4">
                  <c:v>2016</c:v>
                </c:pt>
                <c:pt idx="5">
                  <c:v>2017</c:v>
                </c:pt>
                <c:pt idx="6">
                  <c:v>2018</c:v>
                </c:pt>
              </c:strCache>
            </c:strRef>
          </c:cat>
          <c:val>
            <c:numRef>
              <c:f>Sheet1!$B$2:$B$8</c:f>
              <c:numCache>
                <c:formatCode>General</c:formatCode>
                <c:ptCount val="7"/>
                <c:pt idx="0">
                  <c:v>2</c:v>
                </c:pt>
                <c:pt idx="1">
                  <c:v>2</c:v>
                </c:pt>
                <c:pt idx="2">
                  <c:v>2</c:v>
                </c:pt>
                <c:pt idx="3">
                  <c:v>2</c:v>
                </c:pt>
                <c:pt idx="4">
                  <c:v>3</c:v>
                </c:pt>
                <c:pt idx="5">
                  <c:v>1</c:v>
                </c:pt>
                <c:pt idx="6">
                  <c:v>1</c:v>
                </c:pt>
              </c:numCache>
            </c:numRef>
          </c:val>
          <c:extLst xmlns:c16r2="http://schemas.microsoft.com/office/drawing/2015/06/chart">
            <c:ext xmlns:c16="http://schemas.microsoft.com/office/drawing/2014/chart" uri="{C3380CC4-5D6E-409C-BE32-E72D297353CC}">
              <c16:uniqueId val="{00000014-51F4-4180-A25C-6716F50DE51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863703207312"/>
          <c:y val="0.123770778652668"/>
          <c:w val="0.74482758620689704"/>
          <c:h val="0.75"/>
        </c:manualLayout>
      </c:layout>
      <c:pieChart>
        <c:varyColors val="1"/>
        <c:ser>
          <c:idx val="0"/>
          <c:order val="0"/>
          <c:tx>
            <c:strRef>
              <c:f>Sheet1!$B$1</c:f>
              <c:strCache>
                <c:ptCount val="1"/>
                <c:pt idx="0">
                  <c:v>Īpatsvars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6AA-4513-8938-1FD58EB0CDD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6AA-4513-8938-1FD58EB0CDDB}"/>
              </c:ext>
            </c:extLst>
          </c:dPt>
          <c:dPt>
            <c:idx val="2"/>
            <c:bubble3D val="0"/>
            <c:spPr>
              <a:solidFill>
                <a:srgbClr val="BCBCBC"/>
              </a:solidFill>
              <a:ln w="19050">
                <a:solidFill>
                  <a:schemeClr val="lt1"/>
                </a:solidFill>
              </a:ln>
              <a:effectLst/>
            </c:spPr>
            <c:extLst xmlns:c16r2="http://schemas.microsoft.com/office/drawing/2015/06/chart">
              <c:ext xmlns:c16="http://schemas.microsoft.com/office/drawing/2014/chart" uri="{C3380CC4-5D6E-409C-BE32-E72D297353CC}">
                <c16:uniqueId val="{00000005-76AA-4513-8938-1FD58EB0CDD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6AA-4513-8938-1FD58EB0CDDB}"/>
              </c:ext>
            </c:extLst>
          </c:dPt>
          <c:dPt>
            <c:idx val="4"/>
            <c:bubble3D val="0"/>
            <c:spPr>
              <a:solidFill>
                <a:srgbClr val="9A79DD"/>
              </a:solidFill>
              <a:ln w="19050">
                <a:solidFill>
                  <a:schemeClr val="lt1"/>
                </a:solidFill>
              </a:ln>
              <a:effectLst/>
            </c:spPr>
            <c:extLst xmlns:c16r2="http://schemas.microsoft.com/office/drawing/2015/06/chart">
              <c:ext xmlns:c16="http://schemas.microsoft.com/office/drawing/2014/chart" uri="{C3380CC4-5D6E-409C-BE32-E72D297353CC}">
                <c16:uniqueId val="{00000009-76AA-4513-8938-1FD58EB0CDDB}"/>
              </c:ext>
            </c:extLst>
          </c:dPt>
          <c:dPt>
            <c:idx val="5"/>
            <c:bubble3D val="0"/>
            <c:spPr>
              <a:solidFill>
                <a:srgbClr val="255E91"/>
              </a:solidFill>
              <a:ln w="19050">
                <a:solidFill>
                  <a:schemeClr val="lt1"/>
                </a:solidFill>
              </a:ln>
              <a:effectLst/>
            </c:spPr>
            <c:extLst xmlns:c16r2="http://schemas.microsoft.com/office/drawing/2015/06/chart">
              <c:ext xmlns:c16="http://schemas.microsoft.com/office/drawing/2014/chart" uri="{C3380CC4-5D6E-409C-BE32-E72D297353CC}">
                <c16:uniqueId val="{0000000B-76AA-4513-8938-1FD58EB0CDDB}"/>
              </c:ext>
            </c:extLst>
          </c:dPt>
          <c:dPt>
            <c:idx val="6"/>
            <c:bubble3D val="0"/>
            <c:spPr>
              <a:solidFill>
                <a:srgbClr val="70AD46"/>
              </a:solidFill>
              <a:ln w="19050">
                <a:solidFill>
                  <a:schemeClr val="lt1"/>
                </a:solidFill>
              </a:ln>
              <a:effectLst/>
            </c:spPr>
            <c:extLst xmlns:c16r2="http://schemas.microsoft.com/office/drawing/2015/06/chart">
              <c:ext xmlns:c16="http://schemas.microsoft.com/office/drawing/2014/chart" uri="{C3380CC4-5D6E-409C-BE32-E72D297353CC}">
                <c16:uniqueId val="{0000000D-76AA-4513-8938-1FD58EB0CDDB}"/>
              </c:ext>
            </c:extLst>
          </c:dPt>
          <c:dLbls>
            <c:dLbl>
              <c:idx val="0"/>
              <c:layout>
                <c:manualLayout>
                  <c:x val="8.6492619273654606E-2"/>
                  <c:y val="1.27314814814815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76AA-4513-8938-1FD58EB0CDDB}"/>
                </c:ext>
                <c:ext xmlns:c15="http://schemas.microsoft.com/office/drawing/2012/chart" uri="{CE6537A1-D6FC-4f65-9D91-7224C49458BB}">
                  <c15:layout>
                    <c:manualLayout>
                      <c:w val="0.30804597701149428"/>
                      <c:h val="0.11921296296296297"/>
                    </c:manualLayout>
                  </c15:layout>
                </c:ext>
              </c:extLst>
            </c:dLbl>
            <c:dLbl>
              <c:idx val="1"/>
              <c:layout>
                <c:manualLayout>
                  <c:x val="-0.14657210401891299"/>
                  <c:y val="9.7053623505395106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76AA-4513-8938-1FD58EB0CDDB}"/>
                </c:ext>
                <c:ext xmlns:c15="http://schemas.microsoft.com/office/drawing/2012/chart" uri="{CE6537A1-D6FC-4f65-9D91-7224C49458BB}">
                  <c15:layout>
                    <c:manualLayout>
                      <c:w val="0.2907578042106439"/>
                      <c:h val="0.18240740740740738"/>
                    </c:manualLayout>
                  </c15:layout>
                </c:ext>
              </c:extLst>
            </c:dLbl>
            <c:dLbl>
              <c:idx val="2"/>
              <c:layout>
                <c:manualLayout>
                  <c:x val="-0.188877879029166"/>
                  <c:y val="-0.20416805705978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76AA-4513-8938-1FD58EB0CDDB}"/>
                </c:ext>
                <c:ext xmlns:c15="http://schemas.microsoft.com/office/drawing/2012/chart" uri="{CE6537A1-D6FC-4f65-9D91-7224C49458BB}">
                  <c15:layout>
                    <c:manualLayout>
                      <c:w val="0.26802795717950983"/>
                      <c:h val="0.15924479700260513"/>
                    </c:manualLayout>
                  </c15:layout>
                </c:ext>
              </c:extLst>
            </c:dLbl>
            <c:dLbl>
              <c:idx val="3"/>
              <c:layout>
                <c:manualLayout>
                  <c:x val="0.15672120772137499"/>
                  <c:y val="-0.16628973461650601"/>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76AA-4513-8938-1FD58EB0CDDB}"/>
                </c:ext>
                <c:ext xmlns:c15="http://schemas.microsoft.com/office/drawing/2012/chart" uri="{CE6537A1-D6FC-4f65-9D91-7224C49458BB}">
                  <c15:layout>
                    <c:manualLayout>
                      <c:w val="0.33581169375104708"/>
                      <c:h val="0.19444444444444445"/>
                    </c:manualLayout>
                  </c15:layout>
                </c:ext>
              </c:extLst>
            </c:dLbl>
            <c:dLbl>
              <c:idx val="4"/>
              <c:layout>
                <c:manualLayout>
                  <c:x val="0.130722063997319"/>
                  <c:y val="0.103903470399533"/>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76AA-4513-8938-1FD58EB0CDDB}"/>
                </c:ext>
                <c:ext xmlns:c15="http://schemas.microsoft.com/office/drawing/2012/chart" uri="{CE6537A1-D6FC-4f65-9D91-7224C49458BB}">
                  <c15:layout>
                    <c:manualLayout>
                      <c:w val="0.34356955380577436"/>
                      <c:h val="0.20833333333333334"/>
                    </c:manualLayout>
                  </c15:layout>
                </c:ext>
              </c:extLst>
            </c:dLbl>
            <c:dLbl>
              <c:idx val="5"/>
              <c:layout>
                <c:manualLayout>
                  <c:x val="-0.26029186557109601"/>
                  <c:y val="5.1061169437153699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76AA-4513-8938-1FD58EB0CDDB}"/>
                </c:ext>
                <c:ext xmlns:c15="http://schemas.microsoft.com/office/drawing/2012/chart" uri="{CE6537A1-D6FC-4f65-9D91-7224C49458BB}">
                  <c15:layout>
                    <c:manualLayout>
                      <c:w val="0.27366914242102713"/>
                      <c:h val="0.11342592592592593"/>
                    </c:manualLayout>
                  </c15:layout>
                </c:ext>
              </c:extLst>
            </c:dLbl>
            <c:dLbl>
              <c:idx val="6"/>
              <c:layout>
                <c:manualLayout>
                  <c:x val="8.1976135961728203E-2"/>
                  <c:y val="-5.5999380285797602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D-76AA-4513-8938-1FD58EB0CDDB}"/>
                </c:ext>
                <c:ext xmlns:c15="http://schemas.microsoft.com/office/drawing/2012/chart" uri="{CE6537A1-D6FC-4f65-9D91-7224C49458BB}">
                  <c15:layout>
                    <c:manualLayout>
                      <c:w val="0.39195402298850573"/>
                      <c:h val="0.17129629629629628"/>
                    </c:manualLayout>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Apstrādes rūpniecība</c:v>
                </c:pt>
                <c:pt idx="1">
                  <c:v>Tirdzniecība, izmitināšana, ēdināšana</c:v>
                </c:pt>
                <c:pt idx="2">
                  <c:v>Transports un uzglabāšana</c:v>
                </c:pt>
                <c:pt idx="3">
                  <c:v>Finanšu un apdrošināšanas darbības</c:v>
                </c:pt>
                <c:pt idx="4">
                  <c:v>Operācijas ar nekustamo īpašumu</c:v>
                </c:pt>
              </c:strCache>
            </c:strRef>
          </c:cat>
          <c:val>
            <c:numRef>
              <c:f>Sheet1!$B$2:$B$6</c:f>
              <c:numCache>
                <c:formatCode>#,##0</c:formatCode>
                <c:ptCount val="5"/>
                <c:pt idx="0">
                  <c:v>1</c:v>
                </c:pt>
                <c:pt idx="1">
                  <c:v>3</c:v>
                </c:pt>
                <c:pt idx="2">
                  <c:v>2</c:v>
                </c:pt>
                <c:pt idx="3">
                  <c:v>2</c:v>
                </c:pt>
                <c:pt idx="4">
                  <c:v>5</c:v>
                </c:pt>
              </c:numCache>
            </c:numRef>
          </c:val>
          <c:extLst xmlns:c16r2="http://schemas.microsoft.com/office/drawing/2015/06/chart">
            <c:ext xmlns:c16="http://schemas.microsoft.com/office/drawing/2014/chart" uri="{C3380CC4-5D6E-409C-BE32-E72D297353CC}">
              <c16:uniqueId val="{0000000E-76AA-4513-8938-1FD58EB0CDDB}"/>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Sheet1!$A$2:$A$11</c:f>
              <c:strCache>
                <c:ptCount val="10"/>
                <c:pt idx="0">
                  <c:v>&lt;2mln</c:v>
                </c:pt>
                <c:pt idx="1">
                  <c:v>1-2 mln</c:v>
                </c:pt>
                <c:pt idx="2">
                  <c:v>500 tk-999 tk</c:v>
                </c:pt>
                <c:pt idx="3">
                  <c:v>250-499 tk</c:v>
                </c:pt>
                <c:pt idx="4">
                  <c:v>200-249 tk</c:v>
                </c:pt>
                <c:pt idx="5">
                  <c:v>150-199 tk</c:v>
                </c:pt>
                <c:pt idx="6">
                  <c:v>100 -149 tk</c:v>
                </c:pt>
                <c:pt idx="7">
                  <c:v>50 -99 tk</c:v>
                </c:pt>
                <c:pt idx="8">
                  <c:v>35 -49 tk</c:v>
                </c:pt>
                <c:pt idx="9">
                  <c:v>&gt;35 tk</c:v>
                </c:pt>
              </c:strCache>
            </c:strRef>
          </c:cat>
          <c:val>
            <c:numRef>
              <c:f>Sheet1!$B$2:$B$11</c:f>
              <c:numCache>
                <c:formatCode>General</c:formatCode>
                <c:ptCount val="10"/>
                <c:pt idx="0">
                  <c:v>5</c:v>
                </c:pt>
                <c:pt idx="1">
                  <c:v>0</c:v>
                </c:pt>
                <c:pt idx="2">
                  <c:v>2</c:v>
                </c:pt>
                <c:pt idx="3">
                  <c:v>11</c:v>
                </c:pt>
                <c:pt idx="4">
                  <c:v>13</c:v>
                </c:pt>
                <c:pt idx="5">
                  <c:v>41</c:v>
                </c:pt>
                <c:pt idx="6">
                  <c:v>228</c:v>
                </c:pt>
                <c:pt idx="7">
                  <c:v>166</c:v>
                </c:pt>
                <c:pt idx="8">
                  <c:v>464</c:v>
                </c:pt>
                <c:pt idx="9">
                  <c:v>1</c:v>
                </c:pt>
              </c:numCache>
            </c:numRef>
          </c:val>
          <c:extLst xmlns:c16r2="http://schemas.microsoft.com/office/drawing/2015/06/chart">
            <c:ext xmlns:c16="http://schemas.microsoft.com/office/drawing/2014/chart" uri="{C3380CC4-5D6E-409C-BE32-E72D297353CC}">
              <c16:uniqueId val="{00000000-8FEF-402F-92CC-1B01C01E716D}"/>
            </c:ext>
          </c:extLst>
        </c:ser>
        <c:dLbls>
          <c:showLegendKey val="0"/>
          <c:showVal val="0"/>
          <c:showCatName val="0"/>
          <c:showSerName val="0"/>
          <c:showPercent val="0"/>
          <c:showBubbleSize val="0"/>
        </c:dLbls>
        <c:gapWidth val="150"/>
        <c:axId val="486740176"/>
        <c:axId val="486740568"/>
      </c:barChart>
      <c:catAx>
        <c:axId val="486740176"/>
        <c:scaling>
          <c:orientation val="minMax"/>
        </c:scaling>
        <c:delete val="0"/>
        <c:axPos val="l"/>
        <c:numFmt formatCode="General" sourceLinked="0"/>
        <c:majorTickMark val="out"/>
        <c:minorTickMark val="none"/>
        <c:tickLblPos val="nextTo"/>
        <c:crossAx val="486740568"/>
        <c:crosses val="autoZero"/>
        <c:auto val="1"/>
        <c:lblAlgn val="ctr"/>
        <c:lblOffset val="100"/>
        <c:noMultiLvlLbl val="0"/>
      </c:catAx>
      <c:valAx>
        <c:axId val="486740568"/>
        <c:scaling>
          <c:orientation val="minMax"/>
        </c:scaling>
        <c:delete val="0"/>
        <c:axPos val="b"/>
        <c:majorGridlines/>
        <c:numFmt formatCode="General" sourceLinked="1"/>
        <c:majorTickMark val="out"/>
        <c:minorTickMark val="none"/>
        <c:tickLblPos val="nextTo"/>
        <c:crossAx val="486740176"/>
        <c:crosses val="autoZero"/>
        <c:crossBetween val="between"/>
      </c:valAx>
    </c:plotArea>
    <c:plotVisOnly val="1"/>
    <c:dispBlanksAs val="gap"/>
    <c:showDLblsOverMax val="0"/>
  </c:chart>
  <c:spPr>
    <a:ln>
      <a:solidFill>
        <a:srgbClr val="D9D9D9"/>
      </a:solidFill>
    </a:ln>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310511717950102E-2"/>
          <c:y val="0.18721274424030299"/>
          <c:w val="0.74482758620689704"/>
          <c:h val="0.75"/>
        </c:manualLayout>
      </c:layout>
      <c:pieChart>
        <c:varyColors val="1"/>
        <c:ser>
          <c:idx val="0"/>
          <c:order val="0"/>
          <c:tx>
            <c:strRef>
              <c:f>Sheet1!$B$1</c:f>
              <c:strCache>
                <c:ptCount val="1"/>
                <c:pt idx="0">
                  <c:v>%</c:v>
                </c:pt>
              </c:strCache>
            </c:strRef>
          </c:tx>
          <c:dPt>
            <c:idx val="0"/>
            <c:bubble3D val="0"/>
            <c:spPr>
              <a:solidFill>
                <a:srgbClr val="F5DA37"/>
              </a:solidFill>
              <a:ln w="19050">
                <a:solidFill>
                  <a:schemeClr val="lt1"/>
                </a:solidFill>
              </a:ln>
              <a:effectLst/>
            </c:spPr>
            <c:extLst xmlns:c16r2="http://schemas.microsoft.com/office/drawing/2015/06/chart">
              <c:ext xmlns:c16="http://schemas.microsoft.com/office/drawing/2014/chart" uri="{C3380CC4-5D6E-409C-BE32-E72D297353CC}">
                <c16:uniqueId val="{00000001-C49F-4E0B-81CB-700B7D35CFE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49F-4E0B-81CB-700B7D35CFEA}"/>
              </c:ext>
            </c:extLst>
          </c:dPt>
          <c:dPt>
            <c:idx val="2"/>
            <c:bubble3D val="0"/>
            <c:spPr>
              <a:solidFill>
                <a:srgbClr val="BCBCBC"/>
              </a:solidFill>
              <a:ln w="19050">
                <a:solidFill>
                  <a:schemeClr val="lt1"/>
                </a:solidFill>
              </a:ln>
              <a:effectLst/>
            </c:spPr>
            <c:extLst xmlns:c16r2="http://schemas.microsoft.com/office/drawing/2015/06/chart">
              <c:ext xmlns:c16="http://schemas.microsoft.com/office/drawing/2014/chart" uri="{C3380CC4-5D6E-409C-BE32-E72D297353CC}">
                <c16:uniqueId val="{00000005-C49F-4E0B-81CB-700B7D35CFEA}"/>
              </c:ext>
            </c:extLst>
          </c:dPt>
          <c:dPt>
            <c:idx val="3"/>
            <c:bubble3D val="0"/>
            <c:spPr>
              <a:solidFill>
                <a:srgbClr val="DF9003"/>
              </a:solidFill>
              <a:ln w="19050">
                <a:solidFill>
                  <a:schemeClr val="lt1"/>
                </a:solidFill>
              </a:ln>
              <a:effectLst/>
            </c:spPr>
            <c:extLst xmlns:c16r2="http://schemas.microsoft.com/office/drawing/2015/06/chart">
              <c:ext xmlns:c16="http://schemas.microsoft.com/office/drawing/2014/chart" uri="{C3380CC4-5D6E-409C-BE32-E72D297353CC}">
                <c16:uniqueId val="{00000007-C49F-4E0B-81CB-700B7D35CFEA}"/>
              </c:ext>
            </c:extLst>
          </c:dPt>
          <c:dPt>
            <c:idx val="4"/>
            <c:bubble3D val="0"/>
            <c:spPr>
              <a:solidFill>
                <a:srgbClr val="609ED6"/>
              </a:solidFill>
              <a:ln w="19050">
                <a:solidFill>
                  <a:schemeClr val="lt1"/>
                </a:solidFill>
              </a:ln>
              <a:effectLst/>
            </c:spPr>
            <c:extLst xmlns:c16r2="http://schemas.microsoft.com/office/drawing/2015/06/chart">
              <c:ext xmlns:c16="http://schemas.microsoft.com/office/drawing/2014/chart" uri="{C3380CC4-5D6E-409C-BE32-E72D297353CC}">
                <c16:uniqueId val="{00000009-C49F-4E0B-81CB-700B7D35CFEA}"/>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C49F-4E0B-81CB-700B7D35CFEA}"/>
              </c:ext>
            </c:extLst>
          </c:dPt>
          <c:dPt>
            <c:idx val="6"/>
            <c:bubble3D val="0"/>
            <c:spPr>
              <a:solidFill>
                <a:srgbClr val="9A79DD"/>
              </a:solidFill>
              <a:ln w="19050">
                <a:solidFill>
                  <a:schemeClr val="lt1"/>
                </a:solidFill>
              </a:ln>
              <a:effectLst/>
            </c:spPr>
            <c:extLst xmlns:c16r2="http://schemas.microsoft.com/office/drawing/2015/06/chart">
              <c:ext xmlns:c16="http://schemas.microsoft.com/office/drawing/2014/chart" uri="{C3380CC4-5D6E-409C-BE32-E72D297353CC}">
                <c16:uniqueId val="{0000000D-C49F-4E0B-81CB-700B7D35CFEA}"/>
              </c:ext>
            </c:extLst>
          </c:dPt>
          <c:dPt>
            <c:idx val="7"/>
            <c:bubble3D val="0"/>
            <c:spPr>
              <a:solidFill>
                <a:srgbClr val="DA7460"/>
              </a:solidFill>
              <a:ln w="19050">
                <a:solidFill>
                  <a:schemeClr val="lt1"/>
                </a:solidFill>
              </a:ln>
              <a:effectLst/>
            </c:spPr>
            <c:extLst xmlns:c16r2="http://schemas.microsoft.com/office/drawing/2015/06/chart">
              <c:ext xmlns:c16="http://schemas.microsoft.com/office/drawing/2014/chart" uri="{C3380CC4-5D6E-409C-BE32-E72D297353CC}">
                <c16:uniqueId val="{0000000F-C49F-4E0B-81CB-700B7D35CFEA}"/>
              </c:ext>
            </c:extLst>
          </c:dPt>
          <c:dPt>
            <c:idx val="8"/>
            <c:bubble3D val="0"/>
            <c:spPr>
              <a:solidFill>
                <a:srgbClr val="D9AF81"/>
              </a:solidFill>
              <a:ln w="19050">
                <a:solidFill>
                  <a:schemeClr val="lt1"/>
                </a:solidFill>
              </a:ln>
              <a:effectLst/>
            </c:spPr>
            <c:extLst xmlns:c16r2="http://schemas.microsoft.com/office/drawing/2015/06/chart">
              <c:ext xmlns:c16="http://schemas.microsoft.com/office/drawing/2014/chart" uri="{C3380CC4-5D6E-409C-BE32-E72D297353CC}">
                <c16:uniqueId val="{00000011-C49F-4E0B-81CB-700B7D35CFEA}"/>
              </c:ext>
            </c:extLst>
          </c:dPt>
          <c:dPt>
            <c:idx val="9"/>
            <c:bubble3D val="0"/>
            <c:spPr>
              <a:solidFill>
                <a:schemeClr val="accent2">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C49F-4E0B-81CB-700B7D35CFEA}"/>
              </c:ext>
            </c:extLst>
          </c:dPt>
          <c:dLbls>
            <c:dLbl>
              <c:idx val="0"/>
              <c:layout>
                <c:manualLayout>
                  <c:x val="-4.3531207535228399E-2"/>
                  <c:y val="-0.222222404491105"/>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C49F-4E0B-81CB-700B7D35CFEA}"/>
                </c:ext>
                <c:ext xmlns:c15="http://schemas.microsoft.com/office/drawing/2012/chart" uri="{CE6537A1-D6FC-4f65-9D91-7224C49458BB}">
                  <c15:layout>
                    <c:manualLayout>
                      <c:w val="0.21821150015822491"/>
                      <c:h val="0.12847222222222221"/>
                    </c:manualLayout>
                  </c15:layout>
                </c:ext>
              </c:extLst>
            </c:dLbl>
            <c:dLbl>
              <c:idx val="1"/>
              <c:layout>
                <c:manualLayout>
                  <c:x val="9.45628339010815E-2"/>
                  <c:y val="4.1497885680956498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C49F-4E0B-81CB-700B7D35CFEA}"/>
                </c:ext>
                <c:ext xmlns:c15="http://schemas.microsoft.com/office/drawing/2012/chart" uri="{CE6537A1-D6FC-4f65-9D91-7224C49458BB}">
                  <c15:layout>
                    <c:manualLayout>
                      <c:w val="0.17728188231790173"/>
                      <c:h val="9.9074074074074078E-2"/>
                    </c:manualLayout>
                  </c15:layout>
                </c:ext>
              </c:extLst>
            </c:dLbl>
            <c:dLbl>
              <c:idx val="2"/>
              <c:layout>
                <c:manualLayout>
                  <c:x val="0.14936356359710401"/>
                  <c:y val="0.133737241178186"/>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C49F-4E0B-81CB-700B7D35CFEA}"/>
                </c:ext>
                <c:ext xmlns:c15="http://schemas.microsoft.com/office/drawing/2012/chart" uri="{CE6537A1-D6FC-4f65-9D91-7224C49458BB}">
                  <c15:layout>
                    <c:manualLayout>
                      <c:w val="0.2112905567655107"/>
                      <c:h val="0.11458333333333333"/>
                    </c:manualLayout>
                  </c15:layout>
                </c:ext>
              </c:extLst>
            </c:dLbl>
            <c:dLbl>
              <c:idx val="3"/>
              <c:layout>
                <c:manualLayout>
                  <c:x val="-5.2009456264775399E-2"/>
                  <c:y val="3.7203630796150501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C49F-4E0B-81CB-700B7D35CFEA}"/>
                </c:ext>
                <c:ext xmlns:c15="http://schemas.microsoft.com/office/drawing/2012/chart" uri="{CE6537A1-D6FC-4f65-9D91-7224C49458BB}">
                  <c15:layout>
                    <c:manualLayout>
                      <c:w val="0.22706464883378941"/>
                      <c:h val="0.11574074074074074"/>
                    </c:manualLayout>
                  </c15:layout>
                </c:ext>
              </c:extLst>
            </c:dLbl>
            <c:dLbl>
              <c:idx val="4"/>
              <c:layout>
                <c:manualLayout>
                  <c:x val="-9.0673293497887303E-2"/>
                  <c:y val="-2.24606299212598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C49F-4E0B-81CB-700B7D35CFEA}"/>
                </c:ext>
                <c:ext xmlns:c15="http://schemas.microsoft.com/office/drawing/2012/chart" uri="{CE6537A1-D6FC-4f65-9D91-7224C49458BB}">
                  <c15:layout>
                    <c:manualLayout>
                      <c:w val="0.26111092496416671"/>
                      <c:h val="0.10740740740740738"/>
                    </c:manualLayout>
                  </c15:layout>
                </c:ext>
              </c:extLst>
            </c:dLbl>
            <c:dLbl>
              <c:idx val="5"/>
              <c:layout>
                <c:manualLayout>
                  <c:x val="-1.41840248692319E-2"/>
                  <c:y val="-6.6661563137941096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C49F-4E0B-81CB-700B7D35CFEA}"/>
                </c:ext>
                <c:ext xmlns:c15="http://schemas.microsoft.com/office/drawing/2012/chart" uri="{CE6537A1-D6FC-4f65-9D91-7224C49458BB}">
                  <c15:layout>
                    <c:manualLayout>
                      <c:w val="0.23584408331937232"/>
                      <c:h val="0.11805555555555555"/>
                    </c:manualLayout>
                  </c15:layout>
                </c:ext>
              </c:extLst>
            </c:dLbl>
            <c:dLbl>
              <c:idx val="6"/>
              <c:layout>
                <c:manualLayout>
                  <c:x val="7.6826939185793405E-2"/>
                  <c:y val="-7.3880869058034404E-3"/>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D-C49F-4E0B-81CB-700B7D35CFEA}"/>
                </c:ext>
                <c:ext xmlns:c15="http://schemas.microsoft.com/office/drawing/2012/chart" uri="{CE6537A1-D6FC-4f65-9D91-7224C49458BB}">
                  <c15:layout>
                    <c:manualLayout>
                      <c:w val="0.24489789840099774"/>
                      <c:h val="0.12037037037037036"/>
                    </c:manualLayout>
                  </c15:layout>
                </c:ext>
              </c:extLst>
            </c:dLbl>
            <c:dLbl>
              <c:idx val="7"/>
              <c:layout>
                <c:manualLayout>
                  <c:x val="4.9645390070921849E-2"/>
                  <c:y val="8.9837780694079897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F-C49F-4E0B-81CB-700B7D35CFEA}"/>
                </c:ext>
                <c:ext xmlns:c15="http://schemas.microsoft.com/office/drawing/2012/chart" uri="{CE6537A1-D6FC-4f65-9D91-7224C49458BB}">
                  <c15:spPr xmlns:c15="http://schemas.microsoft.com/office/drawing/2012/chart">
                    <a:prstGeom prst="rect">
                      <a:avLst/>
                    </a:prstGeom>
                  </c15:spPr>
                  <c15:layout>
                    <c:manualLayout>
                      <c:w val="0.22843990245900114"/>
                      <c:h val="9.9074074074074078E-2"/>
                    </c:manualLayout>
                  </c15:layout>
                </c:ext>
              </c:extLst>
            </c:dLbl>
            <c:dLbl>
              <c:idx val="8"/>
              <c:layout>
                <c:manualLayout>
                  <c:x val="-0.17744178254314"/>
                  <c:y val="8.5244969378827695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1-C49F-4E0B-81CB-700B7D35CFEA}"/>
                </c:ext>
                <c:ext xmlns:c15="http://schemas.microsoft.com/office/drawing/2012/chart" uri="{CE6537A1-D6FC-4f65-9D91-7224C49458BB}">
                  <c15:layout>
                    <c:manualLayout>
                      <c:w val="0.15236388004690901"/>
                      <c:h val="0.11666666666666667"/>
                    </c:manualLayout>
                  </c15:layout>
                </c:ext>
              </c:extLst>
            </c:dLbl>
            <c:dLbl>
              <c:idx val="9"/>
              <c:layout>
                <c:manualLayout>
                  <c:x val="0.11814430111129701"/>
                  <c:y val="0.132750801983085"/>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3-C49F-4E0B-81CB-700B7D35CFEA}"/>
                </c:ext>
                <c:ext xmlns:c15="http://schemas.microsoft.com/office/drawing/2012/chart" uri="{CE6537A1-D6FC-4f65-9D91-7224C49458BB}">
                  <c15:layout>
                    <c:manualLayout>
                      <c:w val="0.18482269503546098"/>
                      <c:h val="9.9074074074074078E-2"/>
                    </c:manualLayout>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Sheet1!$A$2:$A$11</c:f>
              <c:strCache>
                <c:ptCount val="9"/>
                <c:pt idx="0">
                  <c:v>Krievija</c:v>
                </c:pt>
                <c:pt idx="1">
                  <c:v>Ķīna</c:v>
                </c:pt>
                <c:pt idx="2">
                  <c:v>Ukraina</c:v>
                </c:pt>
                <c:pt idx="3">
                  <c:v>Vjetnama</c:v>
                </c:pt>
                <c:pt idx="4">
                  <c:v>Uzbekistāna</c:v>
                </c:pt>
                <c:pt idx="5">
                  <c:v>Pakistāna</c:v>
                </c:pt>
                <c:pt idx="6">
                  <c:v>Baltkrievija</c:v>
                </c:pt>
                <c:pt idx="7">
                  <c:v>Kazahstāna</c:v>
                </c:pt>
                <c:pt idx="8">
                  <c:v>Cita</c:v>
                </c:pt>
              </c:strCache>
            </c:strRef>
          </c:cat>
          <c:val>
            <c:numRef>
              <c:f>Sheet1!$B$2:$B$11</c:f>
              <c:numCache>
                <c:formatCode>0%</c:formatCode>
                <c:ptCount val="10"/>
                <c:pt idx="0">
                  <c:v>0.49356223175965702</c:v>
                </c:pt>
                <c:pt idx="1">
                  <c:v>0.10729613733905601</c:v>
                </c:pt>
                <c:pt idx="2">
                  <c:v>8.15450643776824E-2</c:v>
                </c:pt>
                <c:pt idx="3">
                  <c:v>7.8326180257510702E-2</c:v>
                </c:pt>
                <c:pt idx="4">
                  <c:v>5.3648068669527899E-2</c:v>
                </c:pt>
                <c:pt idx="5">
                  <c:v>2.6824034334763901E-2</c:v>
                </c:pt>
                <c:pt idx="6">
                  <c:v>2.5751072961373401E-2</c:v>
                </c:pt>
                <c:pt idx="7">
                  <c:v>2.3605150214592301E-2</c:v>
                </c:pt>
                <c:pt idx="8">
                  <c:v>0.109442060085837</c:v>
                </c:pt>
              </c:numCache>
            </c:numRef>
          </c:val>
          <c:extLst xmlns:c16r2="http://schemas.microsoft.com/office/drawing/2015/06/chart">
            <c:ext xmlns:c16="http://schemas.microsoft.com/office/drawing/2014/chart" uri="{C3380CC4-5D6E-409C-BE32-E72D297353CC}">
              <c16:uniqueId val="{00000014-C49F-4E0B-81CB-700B7D35CFEA}"/>
            </c:ext>
          </c:extLst>
        </c:ser>
        <c:dLbls>
          <c:showLegendKey val="0"/>
          <c:showVal val="0"/>
          <c:showCatName val="0"/>
          <c:showSerName val="0"/>
          <c:showPercent val="0"/>
          <c:showBubbleSize val="0"/>
          <c:showLeaderLines val="1"/>
        </c:dLbls>
        <c:firstSliceAng val="85"/>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rgbClr val="D9D9D9"/>
      </a:solidFill>
      <a:round/>
    </a:ln>
    <a:effectLst/>
  </c:spPr>
  <c:txPr>
    <a:bodyPr/>
    <a:lstStyle/>
    <a:p>
      <a:pPr>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504365145846"/>
          <c:y val="0.13411563137941099"/>
          <c:w val="0.74482758620689704"/>
          <c:h val="0.75"/>
        </c:manualLayout>
      </c:layout>
      <c:pieChart>
        <c:varyColors val="1"/>
        <c:ser>
          <c:idx val="0"/>
          <c:order val="0"/>
          <c:tx>
            <c:strRef>
              <c:f>Sheet1!$B$1</c:f>
              <c:strCache>
                <c:ptCount val="1"/>
                <c:pt idx="0">
                  <c:v>skaits</c:v>
                </c:pt>
              </c:strCache>
            </c:strRef>
          </c:tx>
          <c:dPt>
            <c:idx val="0"/>
            <c:bubble3D val="0"/>
            <c:spPr>
              <a:solidFill>
                <a:srgbClr val="F5DA37"/>
              </a:solidFill>
              <a:ln w="19050">
                <a:solidFill>
                  <a:schemeClr val="lt1"/>
                </a:solidFill>
              </a:ln>
              <a:effectLst/>
            </c:spPr>
            <c:extLst xmlns:c16r2="http://schemas.microsoft.com/office/drawing/2015/06/chart">
              <c:ext xmlns:c16="http://schemas.microsoft.com/office/drawing/2014/chart" uri="{C3380CC4-5D6E-409C-BE32-E72D297353CC}">
                <c16:uniqueId val="{00000001-2DD7-4DFC-9B4D-0D1D0043B17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DD7-4DFC-9B4D-0D1D0043B17E}"/>
              </c:ext>
            </c:extLst>
          </c:dPt>
          <c:dPt>
            <c:idx val="2"/>
            <c:bubble3D val="0"/>
            <c:spPr>
              <a:solidFill>
                <a:srgbClr val="BCBCBC"/>
              </a:solidFill>
              <a:ln w="19050">
                <a:solidFill>
                  <a:schemeClr val="lt1"/>
                </a:solidFill>
              </a:ln>
              <a:effectLst/>
            </c:spPr>
            <c:extLst xmlns:c16r2="http://schemas.microsoft.com/office/drawing/2015/06/chart">
              <c:ext xmlns:c16="http://schemas.microsoft.com/office/drawing/2014/chart" uri="{C3380CC4-5D6E-409C-BE32-E72D297353CC}">
                <c16:uniqueId val="{00000005-2DD7-4DFC-9B4D-0D1D0043B17E}"/>
              </c:ext>
            </c:extLst>
          </c:dPt>
          <c:dPt>
            <c:idx val="3"/>
            <c:bubble3D val="0"/>
            <c:spPr>
              <a:solidFill>
                <a:srgbClr val="DF9003"/>
              </a:solidFill>
              <a:ln w="19050">
                <a:solidFill>
                  <a:schemeClr val="lt1"/>
                </a:solidFill>
              </a:ln>
              <a:effectLst/>
            </c:spPr>
            <c:extLst xmlns:c16r2="http://schemas.microsoft.com/office/drawing/2015/06/chart">
              <c:ext xmlns:c16="http://schemas.microsoft.com/office/drawing/2014/chart" uri="{C3380CC4-5D6E-409C-BE32-E72D297353CC}">
                <c16:uniqueId val="{00000007-2DD7-4DFC-9B4D-0D1D0043B17E}"/>
              </c:ext>
            </c:extLst>
          </c:dPt>
          <c:dPt>
            <c:idx val="4"/>
            <c:bubble3D val="0"/>
            <c:spPr>
              <a:solidFill>
                <a:srgbClr val="609ED6"/>
              </a:solidFill>
              <a:ln w="19050">
                <a:solidFill>
                  <a:schemeClr val="lt1"/>
                </a:solidFill>
              </a:ln>
              <a:effectLst/>
            </c:spPr>
            <c:extLst xmlns:c16r2="http://schemas.microsoft.com/office/drawing/2015/06/chart">
              <c:ext xmlns:c16="http://schemas.microsoft.com/office/drawing/2014/chart" uri="{C3380CC4-5D6E-409C-BE32-E72D297353CC}">
                <c16:uniqueId val="{00000009-2DD7-4DFC-9B4D-0D1D0043B17E}"/>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2DD7-4DFC-9B4D-0D1D0043B17E}"/>
              </c:ext>
            </c:extLst>
          </c:dPt>
          <c:dPt>
            <c:idx val="6"/>
            <c:bubble3D val="0"/>
            <c:spPr>
              <a:solidFill>
                <a:srgbClr val="9A79DD"/>
              </a:solidFill>
              <a:ln w="19050">
                <a:solidFill>
                  <a:schemeClr val="lt1"/>
                </a:solidFill>
              </a:ln>
              <a:effectLst/>
            </c:spPr>
            <c:extLst xmlns:c16r2="http://schemas.microsoft.com/office/drawing/2015/06/chart">
              <c:ext xmlns:c16="http://schemas.microsoft.com/office/drawing/2014/chart" uri="{C3380CC4-5D6E-409C-BE32-E72D297353CC}">
                <c16:uniqueId val="{0000000D-2DD7-4DFC-9B4D-0D1D0043B17E}"/>
              </c:ext>
            </c:extLst>
          </c:dPt>
          <c:dPt>
            <c:idx val="7"/>
            <c:bubble3D val="0"/>
            <c:spPr>
              <a:solidFill>
                <a:srgbClr val="DA7460"/>
              </a:solidFill>
              <a:ln w="19050">
                <a:solidFill>
                  <a:schemeClr val="lt1"/>
                </a:solidFill>
              </a:ln>
              <a:effectLst/>
            </c:spPr>
            <c:extLst xmlns:c16r2="http://schemas.microsoft.com/office/drawing/2015/06/chart">
              <c:ext xmlns:c16="http://schemas.microsoft.com/office/drawing/2014/chart" uri="{C3380CC4-5D6E-409C-BE32-E72D297353CC}">
                <c16:uniqueId val="{0000000F-2DD7-4DFC-9B4D-0D1D0043B17E}"/>
              </c:ext>
            </c:extLst>
          </c:dPt>
          <c:dPt>
            <c:idx val="8"/>
            <c:bubble3D val="0"/>
            <c:spPr>
              <a:solidFill>
                <a:srgbClr val="3D6CC1"/>
              </a:solidFill>
              <a:ln w="19050">
                <a:solidFill>
                  <a:schemeClr val="lt1"/>
                </a:solidFill>
              </a:ln>
              <a:effectLst/>
            </c:spPr>
            <c:extLst xmlns:c16r2="http://schemas.microsoft.com/office/drawing/2015/06/chart">
              <c:ext xmlns:c16="http://schemas.microsoft.com/office/drawing/2014/chart" uri="{C3380CC4-5D6E-409C-BE32-E72D297353CC}">
                <c16:uniqueId val="{00000011-2DD7-4DFC-9B4D-0D1D0043B17E}"/>
              </c:ext>
            </c:extLst>
          </c:dPt>
          <c:dPt>
            <c:idx val="9"/>
            <c:bubble3D val="0"/>
            <c:spPr>
              <a:solidFill>
                <a:schemeClr val="accent2">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2DD7-4DFC-9B4D-0D1D0043B17E}"/>
              </c:ext>
            </c:extLst>
          </c:dPt>
          <c:dLbls>
            <c:dLbl>
              <c:idx val="0"/>
              <c:layout>
                <c:manualLayout>
                  <c:x val="-0.206651774911115"/>
                  <c:y val="0.18402777777777801"/>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2DD7-4DFC-9B4D-0D1D0043B17E}"/>
                </c:ext>
                <c:ext xmlns:c15="http://schemas.microsoft.com/office/drawing/2012/chart" uri="{CE6537A1-D6FC-4f65-9D91-7224C49458BB}">
                  <c15:layout>
                    <c:manualLayout>
                      <c:w val="0.26076469164758659"/>
                      <c:h val="0.17476851851851852"/>
                    </c:manualLayout>
                  </c15:layout>
                </c:ext>
              </c:extLst>
            </c:dLbl>
            <c:dLbl>
              <c:idx val="1"/>
              <c:layout>
                <c:manualLayout>
                  <c:x val="-0.12765976061503001"/>
                  <c:y val="-2.33169291338583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2DD7-4DFC-9B4D-0D1D0043B17E}"/>
                </c:ext>
                <c:ext xmlns:c15="http://schemas.microsoft.com/office/drawing/2012/chart" uri="{CE6537A1-D6FC-4f65-9D91-7224C49458BB}">
                  <c15:layout>
                    <c:manualLayout>
                      <c:w val="0.17728188231790173"/>
                      <c:h val="9.9074074074074078E-2"/>
                    </c:manualLayout>
                  </c15:layout>
                </c:ext>
              </c:extLst>
            </c:dLbl>
            <c:dLbl>
              <c:idx val="2"/>
              <c:layout>
                <c:manualLayout>
                  <c:x val="-0.15130023640661899"/>
                  <c:y val="-9.7744240303295399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2DD7-4DFC-9B4D-0D1D0043B17E}"/>
                </c:ext>
                <c:ext xmlns:c15="http://schemas.microsoft.com/office/drawing/2012/chart" uri="{CE6537A1-D6FC-4f65-9D91-7224C49458BB}">
                  <c15:layout>
                    <c:manualLayout>
                      <c:w val="0.19237802721468331"/>
                      <c:h val="8.6805555555555566E-2"/>
                    </c:manualLayout>
                  </c15:layout>
                </c:ext>
              </c:extLst>
            </c:dLbl>
            <c:dLbl>
              <c:idx val="3"/>
              <c:layout>
                <c:manualLayout>
                  <c:x val="-0.13238770685579199"/>
                  <c:y val="-0.14777158063575399"/>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2DD7-4DFC-9B4D-0D1D0043B17E}"/>
                </c:ext>
                <c:ext xmlns:c15="http://schemas.microsoft.com/office/drawing/2012/chart" uri="{CE6537A1-D6FC-4f65-9D91-7224C49458BB}">
                  <c15:layout>
                    <c:manualLayout>
                      <c:w val="0.20815211928296198"/>
                      <c:h val="9.2592592592592587E-2"/>
                    </c:manualLayout>
                  </c15:layout>
                </c:ext>
              </c:extLst>
            </c:dLbl>
            <c:dLbl>
              <c:idx val="4"/>
              <c:layout>
                <c:manualLayout>
                  <c:x val="0.13391299491818801"/>
                  <c:y val="-0.118318751822689"/>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2DD7-4DFC-9B4D-0D1D0043B17E}"/>
                </c:ext>
                <c:ext xmlns:c15="http://schemas.microsoft.com/office/drawing/2012/chart" uri="{CE6537A1-D6FC-4f65-9D91-7224C49458BB}">
                  <c15:layout>
                    <c:manualLayout>
                      <c:w val="0.19018893914856386"/>
                      <c:h val="8.4259259259259256E-2"/>
                    </c:manualLayout>
                  </c15:layout>
                </c:ext>
              </c:extLst>
            </c:dLbl>
            <c:dLbl>
              <c:idx val="5"/>
              <c:layout>
                <c:manualLayout>
                  <c:x val="1.41843971631206E-2"/>
                  <c:y val="6.0653069407990597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2DD7-4DFC-9B4D-0D1D0043B17E}"/>
                </c:ext>
                <c:ext xmlns:c15="http://schemas.microsoft.com/office/drawing/2012/chart" uri="{CE6537A1-D6FC-4f65-9D91-7224C49458BB}">
                  <c15:layout>
                    <c:manualLayout>
                      <c:w val="0.16965022989147632"/>
                      <c:h val="8.564814814814814E-2"/>
                    </c:manualLayout>
                  </c15:layout>
                </c:ext>
              </c:extLst>
            </c:dLbl>
            <c:dLbl>
              <c:idx val="6"/>
              <c:layout>
                <c:manualLayout>
                  <c:x val="0.13634947227341301"/>
                  <c:y val="-2.7584572761738999E-3"/>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D-2DD7-4DFC-9B4D-0D1D0043B17E}"/>
                </c:ext>
                <c:ext xmlns:c15="http://schemas.microsoft.com/office/drawing/2012/chart" uri="{CE6537A1-D6FC-4f65-9D91-7224C49458BB}">
                  <c15:layout>
                    <c:manualLayout>
                      <c:w val="0.16973176225312259"/>
                      <c:h val="0.12962962962962962"/>
                    </c:manualLayout>
                  </c15:layout>
                </c:ext>
              </c:extLst>
            </c:dLbl>
            <c:dLbl>
              <c:idx val="8"/>
              <c:layout>
                <c:manualLayout>
                  <c:x val="-3.1752015040673098E-2"/>
                  <c:y val="-4.2069845435987199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1-2DD7-4DFC-9B4D-0D1D0043B17E}"/>
                </c:ext>
                <c:ext xmlns:c15="http://schemas.microsoft.com/office/drawing/2012/chart" uri="{CE6537A1-D6FC-4f65-9D91-7224C49458BB}">
                  <c15:layout/>
                </c:ext>
              </c:extLst>
            </c:dLbl>
            <c:dLbl>
              <c:idx val="9"/>
              <c:layout>
                <c:manualLayout>
                  <c:x val="0.11814430111129701"/>
                  <c:y val="0.132750801983085"/>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3-2DD7-4DFC-9B4D-0D1D0043B17E}"/>
                </c:ext>
                <c:ext xmlns:c15="http://schemas.microsoft.com/office/drawing/2012/chart" uri="{CE6537A1-D6FC-4f65-9D91-7224C49458BB}">
                  <c15:layout>
                    <c:manualLayout>
                      <c:w val="0.18482269503546098"/>
                      <c:h val="9.9074074074074078E-2"/>
                    </c:manualLayout>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Sheet1!$A$2:$A$11</c:f>
              <c:strCache>
                <c:ptCount val="10"/>
                <c:pt idx="0">
                  <c:v>Vecāki par 2010</c:v>
                </c:pt>
                <c:pt idx="1">
                  <c:v>2010</c:v>
                </c:pt>
                <c:pt idx="2">
                  <c:v>2011</c:v>
                </c:pt>
                <c:pt idx="3">
                  <c:v>2012</c:v>
                </c:pt>
                <c:pt idx="4">
                  <c:v>2013</c:v>
                </c:pt>
                <c:pt idx="5">
                  <c:v>2014</c:v>
                </c:pt>
                <c:pt idx="6">
                  <c:v>2015</c:v>
                </c:pt>
                <c:pt idx="7">
                  <c:v>2016</c:v>
                </c:pt>
                <c:pt idx="8">
                  <c:v>2017</c:v>
                </c:pt>
                <c:pt idx="9">
                  <c:v>2018</c:v>
                </c:pt>
              </c:strCache>
            </c:strRef>
          </c:cat>
          <c:val>
            <c:numRef>
              <c:f>Sheet1!$B$2:$B$11</c:f>
              <c:numCache>
                <c:formatCode>General</c:formatCode>
                <c:ptCount val="10"/>
                <c:pt idx="0">
                  <c:v>20</c:v>
                </c:pt>
                <c:pt idx="1">
                  <c:v>5</c:v>
                </c:pt>
                <c:pt idx="2">
                  <c:v>6</c:v>
                </c:pt>
                <c:pt idx="3">
                  <c:v>12</c:v>
                </c:pt>
                <c:pt idx="4">
                  <c:v>10</c:v>
                </c:pt>
                <c:pt idx="5">
                  <c:v>4</c:v>
                </c:pt>
                <c:pt idx="6">
                  <c:v>8</c:v>
                </c:pt>
                <c:pt idx="7">
                  <c:v>7</c:v>
                </c:pt>
                <c:pt idx="8">
                  <c:v>2</c:v>
                </c:pt>
                <c:pt idx="9">
                  <c:v>8</c:v>
                </c:pt>
              </c:numCache>
            </c:numRef>
          </c:val>
          <c:extLst xmlns:c16r2="http://schemas.microsoft.com/office/drawing/2015/06/chart">
            <c:ext xmlns:c16="http://schemas.microsoft.com/office/drawing/2014/chart" uri="{C3380CC4-5D6E-409C-BE32-E72D297353CC}">
              <c16:uniqueId val="{00000014-2DD7-4DFC-9B4D-0D1D0043B17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310344827586199E-2"/>
          <c:y val="0.113425925925926"/>
          <c:w val="0.74482758620689704"/>
          <c:h val="0.75"/>
        </c:manualLayout>
      </c:layout>
      <c:pieChart>
        <c:varyColors val="1"/>
        <c:ser>
          <c:idx val="0"/>
          <c:order val="0"/>
          <c:tx>
            <c:strRef>
              <c:f>Sheet1!$B$1</c:f>
              <c:strCache>
                <c:ptCount val="1"/>
                <c:pt idx="0">
                  <c:v>Īpatsvars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8C3-4F16-B000-003771BCC0B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8C3-4F16-B000-003771BCC0BD}"/>
              </c:ext>
            </c:extLst>
          </c:dPt>
          <c:dPt>
            <c:idx val="2"/>
            <c:bubble3D val="0"/>
            <c:spPr>
              <a:solidFill>
                <a:srgbClr val="BCBCBC"/>
              </a:solidFill>
              <a:ln w="19050">
                <a:solidFill>
                  <a:schemeClr val="lt1"/>
                </a:solidFill>
              </a:ln>
              <a:effectLst/>
            </c:spPr>
            <c:extLst xmlns:c16r2="http://schemas.microsoft.com/office/drawing/2015/06/chart">
              <c:ext xmlns:c16="http://schemas.microsoft.com/office/drawing/2014/chart" uri="{C3380CC4-5D6E-409C-BE32-E72D297353CC}">
                <c16:uniqueId val="{00000005-D8C3-4F16-B000-003771BCC0B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8C3-4F16-B000-003771BCC0BD}"/>
              </c:ext>
            </c:extLst>
          </c:dPt>
          <c:dPt>
            <c:idx val="4"/>
            <c:bubble3D val="0"/>
            <c:spPr>
              <a:solidFill>
                <a:srgbClr val="9A79DD"/>
              </a:solidFill>
              <a:ln w="19050">
                <a:solidFill>
                  <a:schemeClr val="lt1"/>
                </a:solidFill>
              </a:ln>
              <a:effectLst/>
            </c:spPr>
            <c:extLst xmlns:c16r2="http://schemas.microsoft.com/office/drawing/2015/06/chart">
              <c:ext xmlns:c16="http://schemas.microsoft.com/office/drawing/2014/chart" uri="{C3380CC4-5D6E-409C-BE32-E72D297353CC}">
                <c16:uniqueId val="{00000009-D8C3-4F16-B000-003771BCC0BD}"/>
              </c:ext>
            </c:extLst>
          </c:dPt>
          <c:dPt>
            <c:idx val="5"/>
            <c:bubble3D val="0"/>
            <c:spPr>
              <a:solidFill>
                <a:srgbClr val="255E91"/>
              </a:solidFill>
              <a:ln w="19050">
                <a:solidFill>
                  <a:schemeClr val="lt1"/>
                </a:solidFill>
              </a:ln>
              <a:effectLst/>
            </c:spPr>
            <c:extLst xmlns:c16r2="http://schemas.microsoft.com/office/drawing/2015/06/chart">
              <c:ext xmlns:c16="http://schemas.microsoft.com/office/drawing/2014/chart" uri="{C3380CC4-5D6E-409C-BE32-E72D297353CC}">
                <c16:uniqueId val="{0000000B-D8C3-4F16-B000-003771BCC0BD}"/>
              </c:ext>
            </c:extLst>
          </c:dPt>
          <c:dPt>
            <c:idx val="6"/>
            <c:bubble3D val="0"/>
            <c:spPr>
              <a:solidFill>
                <a:srgbClr val="70AD46"/>
              </a:solidFill>
              <a:ln w="19050">
                <a:solidFill>
                  <a:schemeClr val="lt1"/>
                </a:solidFill>
              </a:ln>
              <a:effectLst/>
            </c:spPr>
            <c:extLst xmlns:c16r2="http://schemas.microsoft.com/office/drawing/2015/06/chart">
              <c:ext xmlns:c16="http://schemas.microsoft.com/office/drawing/2014/chart" uri="{C3380CC4-5D6E-409C-BE32-E72D297353CC}">
                <c16:uniqueId val="{0000000D-D8C3-4F16-B000-003771BCC0BD}"/>
              </c:ext>
            </c:extLst>
          </c:dPt>
          <c:dPt>
            <c:idx val="7"/>
            <c:bubble3D val="0"/>
            <c:spPr>
              <a:solidFill>
                <a:srgbClr val="D9AF81"/>
              </a:solidFill>
              <a:ln w="19050">
                <a:solidFill>
                  <a:schemeClr val="lt1"/>
                </a:solidFill>
              </a:ln>
              <a:effectLst/>
            </c:spPr>
            <c:extLst xmlns:c16r2="http://schemas.microsoft.com/office/drawing/2015/06/chart">
              <c:ext xmlns:c16="http://schemas.microsoft.com/office/drawing/2014/chart" uri="{C3380CC4-5D6E-409C-BE32-E72D297353CC}">
                <c16:uniqueId val="{0000000F-D8C3-4F16-B000-003771BCC0BD}"/>
              </c:ext>
            </c:extLst>
          </c:dPt>
          <c:dLbls>
            <c:dLbl>
              <c:idx val="0"/>
              <c:layout>
                <c:manualLayout>
                  <c:x val="3.4483120644402197E-2"/>
                  <c:y val="1.7361111111111101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D8C3-4F16-B000-003771BCC0BD}"/>
                </c:ext>
                <c:ext xmlns:c15="http://schemas.microsoft.com/office/drawing/2012/chart" uri="{CE6537A1-D6FC-4f65-9D91-7224C49458BB}">
                  <c15:layout>
                    <c:manualLayout>
                      <c:w val="0.30804597701149428"/>
                      <c:h val="0.11921296296296297"/>
                    </c:manualLayout>
                  </c15:layout>
                </c:ext>
              </c:extLst>
            </c:dLbl>
            <c:dLbl>
              <c:idx val="1"/>
              <c:layout>
                <c:manualLayout>
                  <c:x val="0.100038555525387"/>
                  <c:y val="9.2423811606882497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D8C3-4F16-B000-003771BCC0BD}"/>
                </c:ext>
                <c:ext xmlns:c15="http://schemas.microsoft.com/office/drawing/2012/chart" uri="{CE6537A1-D6FC-4f65-9D91-7224C49458BB}">
                  <c15:layout>
                    <c:manualLayout>
                      <c:w val="0.22456330889673273"/>
                      <c:h val="9.9074074074074078E-2"/>
                    </c:manualLayout>
                  </c15:layout>
                </c:ext>
              </c:extLst>
            </c:dLbl>
            <c:dLbl>
              <c:idx val="2"/>
              <c:layout>
                <c:manualLayout>
                  <c:x val="-0.156843506263845"/>
                  <c:y val="6.4224263633712499E-3"/>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D8C3-4F16-B000-003771BCC0BD}"/>
                </c:ext>
                <c:ext xmlns:c15="http://schemas.microsoft.com/office/drawing/2012/chart" uri="{CE6537A1-D6FC-4f65-9D91-7224C49458BB}">
                  <c15:layout>
                    <c:manualLayout>
                      <c:w val="0.34367816091954023"/>
                      <c:h val="0.18402777777777779"/>
                    </c:manualLayout>
                  </c15:layout>
                </c:ext>
              </c:extLst>
            </c:dLbl>
            <c:dLbl>
              <c:idx val="3"/>
              <c:layout>
                <c:manualLayout>
                  <c:x val="1.72413793103448E-2"/>
                  <c:y val="-6.6752879848352306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D8C3-4F16-B000-003771BCC0BD}"/>
                </c:ext>
                <c:ext xmlns:c15="http://schemas.microsoft.com/office/drawing/2012/chart" uri="{CE6537A1-D6FC-4f65-9D91-7224C49458BB}">
                  <c15:layout>
                    <c:manualLayout>
                      <c:w val="0.24597701149425288"/>
                      <c:h val="0.17129629629629628"/>
                    </c:manualLayout>
                  </c15:layout>
                </c:ext>
              </c:extLst>
            </c:dLbl>
            <c:dLbl>
              <c:idx val="4"/>
              <c:layout>
                <c:manualLayout>
                  <c:x val="4.0887682143180303E-2"/>
                  <c:y val="8.5384951881014901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D8C3-4F16-B000-003771BCC0BD}"/>
                </c:ext>
                <c:ext xmlns:c15="http://schemas.microsoft.com/office/drawing/2012/chart" uri="{CE6537A1-D6FC-4f65-9D91-7224C49458BB}">
                  <c15:layout/>
                </c:ext>
              </c:extLst>
            </c:dLbl>
            <c:dLbl>
              <c:idx val="5"/>
              <c:layout>
                <c:manualLayout>
                  <c:x val="-0.26029186557109601"/>
                  <c:y val="5.1061169437153699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D8C3-4F16-B000-003771BCC0BD}"/>
                </c:ext>
                <c:ext xmlns:c15="http://schemas.microsoft.com/office/drawing/2012/chart" uri="{CE6537A1-D6FC-4f65-9D91-7224C49458BB}">
                  <c15:layout>
                    <c:manualLayout>
                      <c:w val="0.27366914242102713"/>
                      <c:h val="0.11342592592592593"/>
                    </c:manualLayout>
                  </c15:layout>
                </c:ext>
              </c:extLst>
            </c:dLbl>
            <c:dLbl>
              <c:idx val="6"/>
              <c:layout>
                <c:manualLayout>
                  <c:x val="9.6160533124848693E-2"/>
                  <c:y val="-0.222666046952464"/>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D-D8C3-4F16-B000-003771BCC0BD}"/>
                </c:ext>
                <c:ext xmlns:c15="http://schemas.microsoft.com/office/drawing/2012/chart" uri="{CE6537A1-D6FC-4f65-9D91-7224C49458BB}">
                  <c15:layout>
                    <c:manualLayout>
                      <c:w val="0.39195402298850573"/>
                      <c:h val="0.17129629629629628"/>
                    </c:manualLayout>
                  </c15:layout>
                </c:ext>
              </c:extLst>
            </c:dLbl>
            <c:dLbl>
              <c:idx val="7"/>
              <c:layout>
                <c:manualLayout>
                  <c:x val="0.10401872638260599"/>
                  <c:y val="0.23032407407407399"/>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F-D8C3-4F16-B000-003771BCC0BD}"/>
                </c:ext>
                <c:ext xmlns:c15="http://schemas.microsoft.com/office/drawing/2012/chart" uri="{CE6537A1-D6FC-4f65-9D91-7224C49458BB}">
                  <c15:layout>
                    <c:manualLayout>
                      <c:w val="0.37943262411347511"/>
                      <c:h val="0.21759259259259259"/>
                    </c:manualLayout>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Sheet1!$A$2:$A$9</c:f>
              <c:strCache>
                <c:ptCount val="8"/>
                <c:pt idx="0">
                  <c:v>Apstrādes rūpniecība</c:v>
                </c:pt>
                <c:pt idx="1">
                  <c:v>Būvniecība</c:v>
                </c:pt>
                <c:pt idx="2">
                  <c:v>Tirdzniecība, izmitināšana, ēdināšana</c:v>
                </c:pt>
                <c:pt idx="3">
                  <c:v>Transports un uzglabāšana</c:v>
                </c:pt>
                <c:pt idx="4">
                  <c:v>Cita</c:v>
                </c:pt>
                <c:pt idx="5">
                  <c:v>Nav norādīts</c:v>
                </c:pt>
                <c:pt idx="6">
                  <c:v>Operācijas ar nekustamo īpašumu</c:v>
                </c:pt>
                <c:pt idx="7">
                  <c:v>Citi komercpakalpojumi</c:v>
                </c:pt>
              </c:strCache>
            </c:strRef>
          </c:cat>
          <c:val>
            <c:numRef>
              <c:f>Sheet1!$B$2:$B$9</c:f>
              <c:numCache>
                <c:formatCode>0%</c:formatCode>
                <c:ptCount val="8"/>
                <c:pt idx="0">
                  <c:v>9.7560975609756101E-2</c:v>
                </c:pt>
                <c:pt idx="1">
                  <c:v>2.4390243902439001E-2</c:v>
                </c:pt>
                <c:pt idx="2">
                  <c:v>0.25609756097560998</c:v>
                </c:pt>
                <c:pt idx="3">
                  <c:v>3.65853658536585E-2</c:v>
                </c:pt>
                <c:pt idx="4">
                  <c:v>2.4390243902439001E-2</c:v>
                </c:pt>
                <c:pt idx="5">
                  <c:v>1.21951219512195E-2</c:v>
                </c:pt>
                <c:pt idx="6">
                  <c:v>0.31707317073170699</c:v>
                </c:pt>
                <c:pt idx="7">
                  <c:v>0.23170731707317099</c:v>
                </c:pt>
              </c:numCache>
            </c:numRef>
          </c:val>
          <c:extLst xmlns:c16r2="http://schemas.microsoft.com/office/drawing/2015/06/chart">
            <c:ext xmlns:c16="http://schemas.microsoft.com/office/drawing/2014/chart" uri="{C3380CC4-5D6E-409C-BE32-E72D297353CC}">
              <c16:uniqueId val="{0000000E-D8C3-4F16-B000-003771BCC0B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5504365145846"/>
          <c:y val="0.13411563137941099"/>
          <c:w val="0.74482758620689704"/>
          <c:h val="0.75"/>
        </c:manualLayout>
      </c:layout>
      <c:pieChart>
        <c:varyColors val="1"/>
        <c:ser>
          <c:idx val="0"/>
          <c:order val="0"/>
          <c:tx>
            <c:strRef>
              <c:f>Sheet1!$B$1</c:f>
              <c:strCache>
                <c:ptCount val="1"/>
                <c:pt idx="0">
                  <c:v>skaits</c:v>
                </c:pt>
              </c:strCache>
            </c:strRef>
          </c:tx>
          <c:dPt>
            <c:idx val="0"/>
            <c:bubble3D val="0"/>
            <c:spPr>
              <a:solidFill>
                <a:srgbClr val="F5DA37"/>
              </a:solidFill>
              <a:ln w="19050">
                <a:solidFill>
                  <a:schemeClr val="lt1"/>
                </a:solidFill>
              </a:ln>
              <a:effectLst/>
            </c:spPr>
            <c:extLst xmlns:c16r2="http://schemas.microsoft.com/office/drawing/2015/06/chart">
              <c:ext xmlns:c16="http://schemas.microsoft.com/office/drawing/2014/chart" uri="{C3380CC4-5D6E-409C-BE32-E72D297353CC}">
                <c16:uniqueId val="{00000001-1BD4-429D-B44F-F220E2B1DDB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BD4-429D-B44F-F220E2B1DDB8}"/>
              </c:ext>
            </c:extLst>
          </c:dPt>
          <c:dPt>
            <c:idx val="2"/>
            <c:bubble3D val="0"/>
            <c:spPr>
              <a:solidFill>
                <a:srgbClr val="BCBCBC"/>
              </a:solidFill>
              <a:ln w="19050">
                <a:solidFill>
                  <a:schemeClr val="lt1"/>
                </a:solidFill>
              </a:ln>
              <a:effectLst/>
            </c:spPr>
            <c:extLst xmlns:c16r2="http://schemas.microsoft.com/office/drawing/2015/06/chart">
              <c:ext xmlns:c16="http://schemas.microsoft.com/office/drawing/2014/chart" uri="{C3380CC4-5D6E-409C-BE32-E72D297353CC}">
                <c16:uniqueId val="{00000005-1BD4-429D-B44F-F220E2B1DDB8}"/>
              </c:ext>
            </c:extLst>
          </c:dPt>
          <c:dPt>
            <c:idx val="3"/>
            <c:bubble3D val="0"/>
            <c:spPr>
              <a:solidFill>
                <a:srgbClr val="DF9003"/>
              </a:solidFill>
              <a:ln w="19050">
                <a:solidFill>
                  <a:schemeClr val="lt1"/>
                </a:solidFill>
              </a:ln>
              <a:effectLst/>
            </c:spPr>
            <c:extLst xmlns:c16r2="http://schemas.microsoft.com/office/drawing/2015/06/chart">
              <c:ext xmlns:c16="http://schemas.microsoft.com/office/drawing/2014/chart" uri="{C3380CC4-5D6E-409C-BE32-E72D297353CC}">
                <c16:uniqueId val="{00000007-1BD4-429D-B44F-F220E2B1DDB8}"/>
              </c:ext>
            </c:extLst>
          </c:dPt>
          <c:dPt>
            <c:idx val="4"/>
            <c:bubble3D val="0"/>
            <c:spPr>
              <a:solidFill>
                <a:srgbClr val="609ED6"/>
              </a:solidFill>
              <a:ln w="19050">
                <a:solidFill>
                  <a:schemeClr val="lt1"/>
                </a:solidFill>
              </a:ln>
              <a:effectLst/>
            </c:spPr>
            <c:extLst xmlns:c16r2="http://schemas.microsoft.com/office/drawing/2015/06/chart">
              <c:ext xmlns:c16="http://schemas.microsoft.com/office/drawing/2014/chart" uri="{C3380CC4-5D6E-409C-BE32-E72D297353CC}">
                <c16:uniqueId val="{00000009-1BD4-429D-B44F-F220E2B1DDB8}"/>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BD4-429D-B44F-F220E2B1DDB8}"/>
              </c:ext>
            </c:extLst>
          </c:dPt>
          <c:dPt>
            <c:idx val="6"/>
            <c:bubble3D val="0"/>
            <c:spPr>
              <a:solidFill>
                <a:srgbClr val="9A79DD"/>
              </a:solidFill>
              <a:ln w="19050">
                <a:solidFill>
                  <a:schemeClr val="lt1"/>
                </a:solidFill>
              </a:ln>
              <a:effectLst/>
            </c:spPr>
            <c:extLst xmlns:c16r2="http://schemas.microsoft.com/office/drawing/2015/06/chart">
              <c:ext xmlns:c16="http://schemas.microsoft.com/office/drawing/2014/chart" uri="{C3380CC4-5D6E-409C-BE32-E72D297353CC}">
                <c16:uniqueId val="{0000000D-1BD4-429D-B44F-F220E2B1DDB8}"/>
              </c:ext>
            </c:extLst>
          </c:dPt>
          <c:dPt>
            <c:idx val="7"/>
            <c:bubble3D val="0"/>
            <c:spPr>
              <a:solidFill>
                <a:srgbClr val="DA7460"/>
              </a:solidFill>
              <a:ln w="19050">
                <a:solidFill>
                  <a:schemeClr val="lt1"/>
                </a:solidFill>
              </a:ln>
              <a:effectLst/>
            </c:spPr>
            <c:extLst xmlns:c16r2="http://schemas.microsoft.com/office/drawing/2015/06/chart">
              <c:ext xmlns:c16="http://schemas.microsoft.com/office/drawing/2014/chart" uri="{C3380CC4-5D6E-409C-BE32-E72D297353CC}">
                <c16:uniqueId val="{0000000F-1BD4-429D-B44F-F220E2B1DDB8}"/>
              </c:ext>
            </c:extLst>
          </c:dPt>
          <c:dPt>
            <c:idx val="8"/>
            <c:bubble3D val="0"/>
            <c:spPr>
              <a:solidFill>
                <a:srgbClr val="3D6CC1"/>
              </a:solidFill>
              <a:ln w="19050">
                <a:solidFill>
                  <a:schemeClr val="lt1"/>
                </a:solidFill>
              </a:ln>
              <a:effectLst/>
            </c:spPr>
            <c:extLst xmlns:c16r2="http://schemas.microsoft.com/office/drawing/2015/06/chart">
              <c:ext xmlns:c16="http://schemas.microsoft.com/office/drawing/2014/chart" uri="{C3380CC4-5D6E-409C-BE32-E72D297353CC}">
                <c16:uniqueId val="{00000011-1BD4-429D-B44F-F220E2B1DDB8}"/>
              </c:ext>
            </c:extLst>
          </c:dPt>
          <c:dPt>
            <c:idx val="9"/>
            <c:bubble3D val="0"/>
            <c:spPr>
              <a:solidFill>
                <a:schemeClr val="accent2">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BD4-429D-B44F-F220E2B1DDB8}"/>
              </c:ext>
            </c:extLst>
          </c:dPt>
          <c:dLbls>
            <c:dLbl>
              <c:idx val="0"/>
              <c:layout>
                <c:manualLayout>
                  <c:x val="-0.206651774911115"/>
                  <c:y val="0.18402777777777801"/>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1BD4-429D-B44F-F220E2B1DDB8}"/>
                </c:ext>
                <c:ext xmlns:c15="http://schemas.microsoft.com/office/drawing/2012/chart" uri="{CE6537A1-D6FC-4f65-9D91-7224C49458BB}">
                  <c15:layout>
                    <c:manualLayout>
                      <c:w val="0.26076469164758659"/>
                      <c:h val="0.17476851851851852"/>
                    </c:manualLayout>
                  </c15:layout>
                </c:ext>
              </c:extLst>
            </c:dLbl>
            <c:dLbl>
              <c:idx val="1"/>
              <c:layout>
                <c:manualLayout>
                  <c:x val="-0.12765976061503001"/>
                  <c:y val="-2.33169291338583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1BD4-429D-B44F-F220E2B1DDB8}"/>
                </c:ext>
                <c:ext xmlns:c15="http://schemas.microsoft.com/office/drawing/2012/chart" uri="{CE6537A1-D6FC-4f65-9D91-7224C49458BB}">
                  <c15:layout>
                    <c:manualLayout>
                      <c:w val="0.17728188231790173"/>
                      <c:h val="9.9074074074074078E-2"/>
                    </c:manualLayout>
                  </c15:layout>
                </c:ext>
              </c:extLst>
            </c:dLbl>
            <c:dLbl>
              <c:idx val="2"/>
              <c:layout>
                <c:manualLayout>
                  <c:x val="-0.15130023640661899"/>
                  <c:y val="-9.7744240303295399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1BD4-429D-B44F-F220E2B1DDB8}"/>
                </c:ext>
                <c:ext xmlns:c15="http://schemas.microsoft.com/office/drawing/2012/chart" uri="{CE6537A1-D6FC-4f65-9D91-7224C49458BB}">
                  <c15:layout>
                    <c:manualLayout>
                      <c:w val="0.19237802721468331"/>
                      <c:h val="8.6805555555555566E-2"/>
                    </c:manualLayout>
                  </c15:layout>
                </c:ext>
              </c:extLst>
            </c:dLbl>
            <c:dLbl>
              <c:idx val="3"/>
              <c:layout>
                <c:manualLayout>
                  <c:x val="-0.13238770685579199"/>
                  <c:y val="-0.14777158063575399"/>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1BD4-429D-B44F-F220E2B1DDB8}"/>
                </c:ext>
                <c:ext xmlns:c15="http://schemas.microsoft.com/office/drawing/2012/chart" uri="{CE6537A1-D6FC-4f65-9D91-7224C49458BB}">
                  <c15:layout>
                    <c:manualLayout>
                      <c:w val="0.20815211928296198"/>
                      <c:h val="9.2592592592592587E-2"/>
                    </c:manualLayout>
                  </c15:layout>
                </c:ext>
              </c:extLst>
            </c:dLbl>
            <c:dLbl>
              <c:idx val="4"/>
              <c:layout>
                <c:manualLayout>
                  <c:x val="0.13391299491818801"/>
                  <c:y val="-0.118318751822689"/>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1BD4-429D-B44F-F220E2B1DDB8}"/>
                </c:ext>
                <c:ext xmlns:c15="http://schemas.microsoft.com/office/drawing/2012/chart" uri="{CE6537A1-D6FC-4f65-9D91-7224C49458BB}">
                  <c15:layout>
                    <c:manualLayout>
                      <c:w val="0.19018893914856386"/>
                      <c:h val="8.4259259259259256E-2"/>
                    </c:manualLayout>
                  </c15:layout>
                </c:ext>
              </c:extLst>
            </c:dLbl>
            <c:dLbl>
              <c:idx val="5"/>
              <c:layout>
                <c:manualLayout>
                  <c:x val="1.41843971631206E-2"/>
                  <c:y val="6.0653069407990597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1BD4-429D-B44F-F220E2B1DDB8}"/>
                </c:ext>
                <c:ext xmlns:c15="http://schemas.microsoft.com/office/drawing/2012/chart" uri="{CE6537A1-D6FC-4f65-9D91-7224C49458BB}">
                  <c15:layout>
                    <c:manualLayout>
                      <c:w val="0.16965022989147632"/>
                      <c:h val="8.564814814814814E-2"/>
                    </c:manualLayout>
                  </c15:layout>
                </c:ext>
              </c:extLst>
            </c:dLbl>
            <c:dLbl>
              <c:idx val="6"/>
              <c:layout>
                <c:manualLayout>
                  <c:x val="0.13634947227341301"/>
                  <c:y val="-2.7584572761738999E-3"/>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D-1BD4-429D-B44F-F220E2B1DDB8}"/>
                </c:ext>
                <c:ext xmlns:c15="http://schemas.microsoft.com/office/drawing/2012/chart" uri="{CE6537A1-D6FC-4f65-9D91-7224C49458BB}">
                  <c15:layout>
                    <c:manualLayout>
                      <c:w val="0.16973176225312259"/>
                      <c:h val="0.12962962962962962"/>
                    </c:manualLayout>
                  </c15:layout>
                </c:ext>
              </c:extLst>
            </c:dLbl>
            <c:dLbl>
              <c:idx val="8"/>
              <c:layout>
                <c:manualLayout>
                  <c:x val="-3.1752015040673098E-2"/>
                  <c:y val="-4.2069845435987199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1-1BD4-429D-B44F-F220E2B1DDB8}"/>
                </c:ext>
                <c:ext xmlns:c15="http://schemas.microsoft.com/office/drawing/2012/chart" uri="{CE6537A1-D6FC-4f65-9D91-7224C49458BB}">
                  <c15:layout/>
                </c:ext>
              </c:extLst>
            </c:dLbl>
            <c:dLbl>
              <c:idx val="9"/>
              <c:layout>
                <c:manualLayout>
                  <c:x val="0.11814430111129701"/>
                  <c:y val="0.132750801983085"/>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3-1BD4-429D-B44F-F220E2B1DDB8}"/>
                </c:ext>
                <c:ext xmlns:c15="http://schemas.microsoft.com/office/drawing/2012/chart" uri="{CE6537A1-D6FC-4f65-9D91-7224C49458BB}">
                  <c15:layout>
                    <c:manualLayout>
                      <c:w val="0.18482269503546098"/>
                      <c:h val="9.9074074074074078E-2"/>
                    </c:manualLayout>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Sheet1!$A$2:$A$11</c:f>
              <c:strCache>
                <c:ptCount val="10"/>
                <c:pt idx="0">
                  <c:v>Vecāki par 2010</c:v>
                </c:pt>
                <c:pt idx="1">
                  <c:v>2010</c:v>
                </c:pt>
                <c:pt idx="2">
                  <c:v>2011</c:v>
                </c:pt>
                <c:pt idx="3">
                  <c:v>2012</c:v>
                </c:pt>
                <c:pt idx="4">
                  <c:v>2013</c:v>
                </c:pt>
                <c:pt idx="5">
                  <c:v>2014</c:v>
                </c:pt>
                <c:pt idx="6">
                  <c:v>2015</c:v>
                </c:pt>
                <c:pt idx="7">
                  <c:v>2016</c:v>
                </c:pt>
                <c:pt idx="8">
                  <c:v>2017</c:v>
                </c:pt>
                <c:pt idx="9">
                  <c:v>2018</c:v>
                </c:pt>
              </c:strCache>
            </c:strRef>
          </c:cat>
          <c:val>
            <c:numRef>
              <c:f>Sheet1!$B$2:$B$11</c:f>
              <c:numCache>
                <c:formatCode>General</c:formatCode>
                <c:ptCount val="10"/>
                <c:pt idx="0">
                  <c:v>20</c:v>
                </c:pt>
                <c:pt idx="1">
                  <c:v>5</c:v>
                </c:pt>
                <c:pt idx="2">
                  <c:v>6</c:v>
                </c:pt>
                <c:pt idx="3">
                  <c:v>12</c:v>
                </c:pt>
                <c:pt idx="4">
                  <c:v>10</c:v>
                </c:pt>
                <c:pt idx="5">
                  <c:v>4</c:v>
                </c:pt>
                <c:pt idx="6">
                  <c:v>8</c:v>
                </c:pt>
                <c:pt idx="7">
                  <c:v>7</c:v>
                </c:pt>
                <c:pt idx="8">
                  <c:v>2</c:v>
                </c:pt>
                <c:pt idx="9">
                  <c:v>8</c:v>
                </c:pt>
              </c:numCache>
            </c:numRef>
          </c:val>
          <c:extLst xmlns:c16r2="http://schemas.microsoft.com/office/drawing/2015/06/chart">
            <c:ext xmlns:c16="http://schemas.microsoft.com/office/drawing/2014/chart" uri="{C3380CC4-5D6E-409C-BE32-E72D297353CC}">
              <c16:uniqueId val="{00000014-1BD4-429D-B44F-F220E2B1DDB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64B16-4CA8-430A-A16E-B336C133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8828</Words>
  <Characters>5032</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Rožkalne</dc:creator>
  <cp:lastModifiedBy>Ilze Briede</cp:lastModifiedBy>
  <cp:revision>3</cp:revision>
  <cp:lastPrinted>2019-11-28T07:08:00Z</cp:lastPrinted>
  <dcterms:created xsi:type="dcterms:W3CDTF">2019-11-27T05:58:00Z</dcterms:created>
  <dcterms:modified xsi:type="dcterms:W3CDTF">2019-11-28T07:08:00Z</dcterms:modified>
</cp:coreProperties>
</file>