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D6813" w14:textId="77777777" w:rsidR="003D12F0" w:rsidRPr="00780559" w:rsidRDefault="0014164E" w:rsidP="003D12F0">
      <w:pPr>
        <w:pStyle w:val="BodyText"/>
        <w:tabs>
          <w:tab w:val="left" w:pos="5760"/>
        </w:tabs>
        <w:spacing w:after="0"/>
        <w:jc w:val="center"/>
        <w:rPr>
          <w:b/>
          <w:bCs/>
          <w:color w:val="000000" w:themeColor="text1"/>
        </w:rPr>
      </w:pPr>
      <w:r w:rsidRPr="00780559">
        <w:rPr>
          <w:b/>
          <w:bCs/>
          <w:color w:val="000000" w:themeColor="text1"/>
        </w:rPr>
        <w:t>Minis</w:t>
      </w:r>
      <w:r w:rsidR="00FD08AF" w:rsidRPr="00780559">
        <w:rPr>
          <w:b/>
          <w:bCs/>
          <w:color w:val="000000" w:themeColor="text1"/>
        </w:rPr>
        <w:t>tru kabineta noteikumu projekta</w:t>
      </w:r>
    </w:p>
    <w:p w14:paraId="65CA4F8A" w14:textId="66B6AA08" w:rsidR="00FD08AF" w:rsidRDefault="003D12F0" w:rsidP="00FD08AF">
      <w:pPr>
        <w:pStyle w:val="BodyText"/>
        <w:tabs>
          <w:tab w:val="left" w:pos="5760"/>
        </w:tabs>
        <w:spacing w:after="0"/>
        <w:jc w:val="center"/>
        <w:rPr>
          <w:b/>
          <w:bCs/>
          <w:color w:val="000000" w:themeColor="text1"/>
        </w:rPr>
      </w:pPr>
      <w:r w:rsidRPr="00780559">
        <w:rPr>
          <w:b/>
          <w:bCs/>
          <w:color w:val="000000" w:themeColor="text1"/>
        </w:rPr>
        <w:t>“Sociālās korekcijas izglītības iestādes “Naukšēni”</w:t>
      </w:r>
      <w:r w:rsidR="00780559">
        <w:rPr>
          <w:b/>
          <w:bCs/>
          <w:color w:val="000000" w:themeColor="text1"/>
        </w:rPr>
        <w:t xml:space="preserve"> </w:t>
      </w:r>
      <w:r w:rsidR="00EA7129">
        <w:rPr>
          <w:b/>
          <w:bCs/>
          <w:color w:val="000000" w:themeColor="text1"/>
        </w:rPr>
        <w:t xml:space="preserve">publisko </w:t>
      </w:r>
      <w:r w:rsidRPr="00780559">
        <w:rPr>
          <w:b/>
          <w:bCs/>
          <w:color w:val="000000" w:themeColor="text1"/>
        </w:rPr>
        <w:t>maksas pakalpojumu cenrādis</w:t>
      </w:r>
      <w:r w:rsidR="00EF54B9" w:rsidRPr="00780559">
        <w:rPr>
          <w:b/>
          <w:bCs/>
          <w:color w:val="000000" w:themeColor="text1"/>
        </w:rPr>
        <w:t>”</w:t>
      </w:r>
      <w:r w:rsidR="00EA7129">
        <w:rPr>
          <w:b/>
          <w:bCs/>
          <w:color w:val="000000" w:themeColor="text1"/>
        </w:rPr>
        <w:t xml:space="preserve"> </w:t>
      </w:r>
      <w:r w:rsidR="00FD08AF" w:rsidRPr="00780559">
        <w:rPr>
          <w:b/>
          <w:bCs/>
          <w:color w:val="000000" w:themeColor="text1"/>
        </w:rPr>
        <w:t>sākotnējās ietekmes n</w:t>
      </w:r>
      <w:r w:rsidR="00B4004C">
        <w:rPr>
          <w:b/>
          <w:bCs/>
          <w:color w:val="000000" w:themeColor="text1"/>
        </w:rPr>
        <w:t>ovērtējuma ziņojums (anotācija)</w:t>
      </w:r>
    </w:p>
    <w:p w14:paraId="5F5F23D4" w14:textId="77777777" w:rsidR="00EA046C" w:rsidRDefault="00EA046C" w:rsidP="00FD08AF">
      <w:pPr>
        <w:pStyle w:val="BodyText"/>
        <w:tabs>
          <w:tab w:val="left" w:pos="5760"/>
        </w:tabs>
        <w:spacing w:after="0"/>
        <w:jc w:val="center"/>
        <w:rPr>
          <w:b/>
          <w:bCs/>
          <w:color w:val="000000" w:themeColor="text1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EA046C" w14:paraId="1A18A1BC" w14:textId="77777777" w:rsidTr="00EA046C">
        <w:tc>
          <w:tcPr>
            <w:tcW w:w="9356" w:type="dxa"/>
            <w:gridSpan w:val="2"/>
          </w:tcPr>
          <w:p w14:paraId="63D26925" w14:textId="46263744" w:rsidR="00EA046C" w:rsidRDefault="00EA046C" w:rsidP="00FD08AF">
            <w:pPr>
              <w:pStyle w:val="BodyText"/>
              <w:tabs>
                <w:tab w:val="left" w:pos="5760"/>
              </w:tabs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Tiesību akta projekta anotācijas kopsavilkums</w:t>
            </w:r>
          </w:p>
        </w:tc>
      </w:tr>
      <w:tr w:rsidR="00EA046C" w14:paraId="66563E78" w14:textId="77777777" w:rsidTr="00EA046C">
        <w:tc>
          <w:tcPr>
            <w:tcW w:w="2269" w:type="dxa"/>
          </w:tcPr>
          <w:p w14:paraId="3E017559" w14:textId="46F9754F" w:rsidR="00EA046C" w:rsidRPr="00EA046C" w:rsidRDefault="00EA046C" w:rsidP="00943226">
            <w:pPr>
              <w:pStyle w:val="BodyText"/>
              <w:tabs>
                <w:tab w:val="left" w:pos="5760"/>
              </w:tabs>
              <w:spacing w:after="0"/>
              <w:rPr>
                <w:bCs/>
                <w:color w:val="000000" w:themeColor="text1"/>
              </w:rPr>
            </w:pPr>
            <w:r w:rsidRPr="00EA046C">
              <w:rPr>
                <w:bCs/>
                <w:color w:val="000000" w:themeColor="text1"/>
              </w:rPr>
              <w:t>Mērķis, risinājums un projekta spēkā stāšanās laiks</w:t>
            </w:r>
          </w:p>
        </w:tc>
        <w:tc>
          <w:tcPr>
            <w:tcW w:w="7087" w:type="dxa"/>
          </w:tcPr>
          <w:p w14:paraId="58FFBF2E" w14:textId="7B3390EA" w:rsidR="00EA046C" w:rsidRDefault="006D6256" w:rsidP="006D6256">
            <w:pPr>
              <w:pStyle w:val="CommentText"/>
              <w:jc w:val="both"/>
              <w:rPr>
                <w:b/>
                <w:bCs/>
                <w:color w:val="000000" w:themeColor="text1"/>
              </w:rPr>
            </w:pPr>
            <w:r w:rsidRPr="006D6256">
              <w:rPr>
                <w:sz w:val="24"/>
                <w:szCs w:val="24"/>
              </w:rPr>
              <w:t>Saskaņā ar Ministru kabineta 2009. gada 15. decembra instrukcijas Nr. 19 “</w:t>
            </w:r>
            <w:r w:rsidRPr="006D6256">
              <w:rPr>
                <w:sz w:val="24"/>
                <w:szCs w:val="24"/>
                <w:lang w:bidi="lo-LA"/>
              </w:rPr>
              <w:t xml:space="preserve">Tiesību akta projekta sākotnējās ietekmes izvērtēšanas kārtība” </w:t>
            </w:r>
            <w:r w:rsidRPr="006D6256">
              <w:rPr>
                <w:sz w:val="24"/>
                <w:szCs w:val="24"/>
              </w:rPr>
              <w:t>5.</w:t>
            </w:r>
            <w:r w:rsidRPr="006D6256">
              <w:rPr>
                <w:sz w:val="24"/>
                <w:szCs w:val="24"/>
                <w:vertAlign w:val="superscript"/>
              </w:rPr>
              <w:t>1</w:t>
            </w:r>
            <w:r w:rsidRPr="006D6256">
              <w:rPr>
                <w:sz w:val="24"/>
                <w:szCs w:val="24"/>
              </w:rPr>
              <w:t xml:space="preserve"> punktu tiesību akta projekta </w:t>
            </w:r>
            <w:r w:rsidRPr="006D6256">
              <w:rPr>
                <w:sz w:val="24"/>
                <w:szCs w:val="24"/>
                <w:lang w:eastAsia="zh-CN"/>
              </w:rPr>
              <w:t xml:space="preserve">sākotnējās ietekmes novērtējuma ziņojuma (anotācijas) </w:t>
            </w:r>
            <w:r w:rsidRPr="006D6256">
              <w:rPr>
                <w:sz w:val="24"/>
                <w:szCs w:val="24"/>
              </w:rPr>
              <w:t>kopsavilkumu neaizpilda projektiem, kuru anotācijas I sadaļas 2. punkts nepārsniedz divas lapaspuses.</w:t>
            </w:r>
          </w:p>
        </w:tc>
      </w:tr>
    </w:tbl>
    <w:p w14:paraId="5FEE63A4" w14:textId="77777777" w:rsidR="00EA046C" w:rsidRDefault="00EA046C" w:rsidP="00FD08AF">
      <w:pPr>
        <w:pStyle w:val="BodyText"/>
        <w:tabs>
          <w:tab w:val="left" w:pos="5760"/>
        </w:tabs>
        <w:spacing w:after="0"/>
        <w:jc w:val="center"/>
        <w:rPr>
          <w:b/>
          <w:bCs/>
          <w:color w:val="000000" w:themeColor="text1"/>
        </w:rPr>
      </w:pPr>
    </w:p>
    <w:p w14:paraId="7B1C5F05" w14:textId="7F6C55AD" w:rsidR="00B4004C" w:rsidRPr="00747021" w:rsidRDefault="00B4004C" w:rsidP="00B4004C">
      <w:pPr>
        <w:rPr>
          <w:rFonts w:eastAsia="Times New Roman"/>
          <w:iCs/>
        </w:rPr>
      </w:pPr>
    </w:p>
    <w:tbl>
      <w:tblPr>
        <w:tblW w:w="5170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0"/>
        <w:gridCol w:w="1758"/>
        <w:gridCol w:w="154"/>
        <w:gridCol w:w="7"/>
        <w:gridCol w:w="903"/>
        <w:gridCol w:w="1034"/>
        <w:gridCol w:w="864"/>
        <w:gridCol w:w="1031"/>
        <w:gridCol w:w="959"/>
        <w:gridCol w:w="1027"/>
        <w:gridCol w:w="1182"/>
      </w:tblGrid>
      <w:tr w:rsidR="008D2970" w:rsidRPr="00780559" w14:paraId="731F98D8" w14:textId="77777777" w:rsidTr="00AF324C"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14:paraId="2C9BE151" w14:textId="77777777" w:rsidR="00FD2051" w:rsidRPr="00780559" w:rsidRDefault="00FD2051" w:rsidP="00BB70D1">
            <w:pPr>
              <w:jc w:val="center"/>
              <w:rPr>
                <w:b/>
                <w:color w:val="000000" w:themeColor="text1"/>
              </w:rPr>
            </w:pPr>
            <w:r w:rsidRPr="00780559">
              <w:rPr>
                <w:b/>
                <w:color w:val="000000" w:themeColor="text1"/>
              </w:rPr>
              <w:t>I. Tiesību akta projekta izstrādes nepieciešamība</w:t>
            </w:r>
          </w:p>
        </w:tc>
      </w:tr>
      <w:tr w:rsidR="00A91877" w:rsidRPr="00780559" w14:paraId="1F7585A5" w14:textId="77777777" w:rsidTr="00AF324C">
        <w:tc>
          <w:tcPr>
            <w:tcW w:w="240" w:type="pct"/>
          </w:tcPr>
          <w:p w14:paraId="1E378E0F" w14:textId="77777777" w:rsidR="00FD2051" w:rsidRPr="00780559" w:rsidRDefault="00FD2051" w:rsidP="00784718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</w:t>
            </w:r>
          </w:p>
        </w:tc>
        <w:tc>
          <w:tcPr>
            <w:tcW w:w="1020" w:type="pct"/>
            <w:gridSpan w:val="2"/>
          </w:tcPr>
          <w:p w14:paraId="54518507" w14:textId="08E16B0A" w:rsidR="00FD2051" w:rsidRPr="00780559" w:rsidRDefault="00FD2051" w:rsidP="00B823AD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Pamatojums</w:t>
            </w:r>
          </w:p>
        </w:tc>
        <w:tc>
          <w:tcPr>
            <w:tcW w:w="3739" w:type="pct"/>
            <w:gridSpan w:val="8"/>
          </w:tcPr>
          <w:p w14:paraId="5669447E" w14:textId="5BB06070" w:rsidR="00BC4F9D" w:rsidRPr="00780559" w:rsidRDefault="000677D0" w:rsidP="005B7A08">
            <w:pPr>
              <w:pStyle w:val="BodyText"/>
              <w:tabs>
                <w:tab w:val="left" w:pos="5760"/>
              </w:tabs>
              <w:spacing w:after="0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Ministru kabineta n</w:t>
            </w:r>
            <w:r w:rsidR="00FD08AF" w:rsidRPr="00780559">
              <w:rPr>
                <w:color w:val="000000" w:themeColor="text1"/>
              </w:rPr>
              <w:t xml:space="preserve">oteikumu projekts </w:t>
            </w:r>
            <w:r w:rsidR="00EA7129">
              <w:rPr>
                <w:color w:val="000000" w:themeColor="text1"/>
              </w:rPr>
              <w:t xml:space="preserve">“Sociālās korekcijas izglītības iestādes “Naukšēni” publisko maksas pakalpojumu cenrādis” (turpmāk – noteikumu projekts) </w:t>
            </w:r>
            <w:r w:rsidR="00FD08AF" w:rsidRPr="00780559">
              <w:rPr>
                <w:color w:val="000000" w:themeColor="text1"/>
              </w:rPr>
              <w:t>izstrādāts</w:t>
            </w:r>
            <w:r w:rsidR="0080119F">
              <w:rPr>
                <w:color w:val="000000" w:themeColor="text1"/>
              </w:rPr>
              <w:t>, pamatojoties uz</w:t>
            </w:r>
            <w:r w:rsidR="00FD08AF" w:rsidRPr="00780559">
              <w:rPr>
                <w:color w:val="000000" w:themeColor="text1"/>
              </w:rPr>
              <w:t xml:space="preserve"> </w:t>
            </w:r>
            <w:r w:rsidR="00384DE2" w:rsidRPr="00780559">
              <w:rPr>
                <w:color w:val="000000" w:themeColor="text1"/>
              </w:rPr>
              <w:t xml:space="preserve">Likuma par budžetu un finanšu vadību </w:t>
            </w:r>
            <w:r w:rsidR="0080119F">
              <w:rPr>
                <w:color w:val="000000" w:themeColor="text1"/>
              </w:rPr>
              <w:t>5.</w:t>
            </w:r>
            <w:r w:rsidR="00E34B46">
              <w:rPr>
                <w:color w:val="000000" w:themeColor="text1"/>
              </w:rPr>
              <w:t> </w:t>
            </w:r>
            <w:r w:rsidR="0080119F">
              <w:rPr>
                <w:color w:val="000000" w:themeColor="text1"/>
              </w:rPr>
              <w:t>panta devītajā</w:t>
            </w:r>
            <w:r w:rsidR="00FD08AF" w:rsidRPr="00780559">
              <w:rPr>
                <w:color w:val="000000" w:themeColor="text1"/>
              </w:rPr>
              <w:t xml:space="preserve"> daļ</w:t>
            </w:r>
            <w:r w:rsidR="0080119F">
              <w:rPr>
                <w:color w:val="000000" w:themeColor="text1"/>
              </w:rPr>
              <w:t>ā</w:t>
            </w:r>
            <w:r w:rsidR="00FD08AF" w:rsidRPr="00780559">
              <w:rPr>
                <w:color w:val="000000" w:themeColor="text1"/>
              </w:rPr>
              <w:t xml:space="preserve"> no</w:t>
            </w:r>
            <w:r w:rsidR="0080119F">
              <w:rPr>
                <w:color w:val="000000" w:themeColor="text1"/>
              </w:rPr>
              <w:t>teikto deleģējumu</w:t>
            </w:r>
            <w:r w:rsidR="00FD08AF" w:rsidRPr="00780559">
              <w:rPr>
                <w:color w:val="000000" w:themeColor="text1"/>
              </w:rPr>
              <w:t xml:space="preserve"> Ministru kabinet</w:t>
            </w:r>
            <w:r w:rsidR="0080119F">
              <w:rPr>
                <w:color w:val="000000" w:themeColor="text1"/>
              </w:rPr>
              <w:t>am</w:t>
            </w:r>
            <w:r w:rsidR="00FD08AF" w:rsidRPr="00780559">
              <w:rPr>
                <w:color w:val="000000" w:themeColor="text1"/>
              </w:rPr>
              <w:t xml:space="preserve"> izdo</w:t>
            </w:r>
            <w:r w:rsidR="00853100">
              <w:rPr>
                <w:color w:val="000000" w:themeColor="text1"/>
              </w:rPr>
              <w:t>t</w:t>
            </w:r>
            <w:r w:rsidR="00FD08AF" w:rsidRPr="00780559">
              <w:rPr>
                <w:color w:val="000000" w:themeColor="text1"/>
              </w:rPr>
              <w:t xml:space="preserve"> noteikumus par valsts tiešās pārvaldes iestāžu s</w:t>
            </w:r>
            <w:r w:rsidR="00B823AD" w:rsidRPr="00780559">
              <w:rPr>
                <w:color w:val="000000" w:themeColor="text1"/>
              </w:rPr>
              <w:t>niegto maksas pakalpojumu cenrāžu apstiprināšanu</w:t>
            </w:r>
            <w:r w:rsidR="00FD08AF" w:rsidRPr="00780559">
              <w:rPr>
                <w:color w:val="000000" w:themeColor="text1"/>
              </w:rPr>
              <w:t>.</w:t>
            </w:r>
            <w:r w:rsidR="00384DE2" w:rsidRPr="00780559">
              <w:rPr>
                <w:color w:val="000000" w:themeColor="text1"/>
              </w:rPr>
              <w:t xml:space="preserve"> </w:t>
            </w:r>
            <w:r w:rsidR="00FD08AF" w:rsidRPr="00780559">
              <w:rPr>
                <w:color w:val="000000" w:themeColor="text1"/>
              </w:rPr>
              <w:t>Saskaņā ar Izglītības likuma 59.</w:t>
            </w:r>
            <w:r w:rsidR="00E34B46">
              <w:rPr>
                <w:color w:val="000000" w:themeColor="text1"/>
              </w:rPr>
              <w:t> </w:t>
            </w:r>
            <w:r w:rsidR="00FD08AF" w:rsidRPr="00780559">
              <w:rPr>
                <w:color w:val="000000" w:themeColor="text1"/>
              </w:rPr>
              <w:t>panta ceturt</w:t>
            </w:r>
            <w:r w:rsidR="0054567C" w:rsidRPr="00780559">
              <w:rPr>
                <w:color w:val="000000" w:themeColor="text1"/>
              </w:rPr>
              <w:t>ās</w:t>
            </w:r>
            <w:r w:rsidR="00FD08AF" w:rsidRPr="00780559">
              <w:rPr>
                <w:color w:val="000000" w:themeColor="text1"/>
              </w:rPr>
              <w:t xml:space="preserve"> daļ</w:t>
            </w:r>
            <w:r w:rsidR="0054567C" w:rsidRPr="00780559">
              <w:rPr>
                <w:color w:val="000000" w:themeColor="text1"/>
              </w:rPr>
              <w:t>as 2.</w:t>
            </w:r>
            <w:r w:rsidR="00E34B46">
              <w:rPr>
                <w:color w:val="000000" w:themeColor="text1"/>
              </w:rPr>
              <w:t> </w:t>
            </w:r>
            <w:r w:rsidR="0054567C" w:rsidRPr="00780559">
              <w:rPr>
                <w:color w:val="000000" w:themeColor="text1"/>
              </w:rPr>
              <w:t>punktu</w:t>
            </w:r>
            <w:r w:rsidR="00FD08AF" w:rsidRPr="00780559">
              <w:rPr>
                <w:color w:val="000000" w:themeColor="text1"/>
              </w:rPr>
              <w:t xml:space="preserve"> izglītības iestādes var saņemt papildu finanšu līdzekļus, sniedzot maksas pakalpojumus iestād</w:t>
            </w:r>
            <w:r w:rsidR="00447A00" w:rsidRPr="00780559">
              <w:rPr>
                <w:color w:val="000000" w:themeColor="text1"/>
              </w:rPr>
              <w:t xml:space="preserve">es nolikumā </w:t>
            </w:r>
            <w:r w:rsidR="00FD08AF" w:rsidRPr="00780559">
              <w:rPr>
                <w:color w:val="000000" w:themeColor="text1"/>
              </w:rPr>
              <w:t>noteiktajos gadījumos.</w:t>
            </w:r>
          </w:p>
        </w:tc>
      </w:tr>
      <w:tr w:rsidR="00A91877" w:rsidRPr="00780559" w14:paraId="64BBA042" w14:textId="77777777" w:rsidTr="00AF324C">
        <w:tc>
          <w:tcPr>
            <w:tcW w:w="240" w:type="pct"/>
          </w:tcPr>
          <w:p w14:paraId="7A94C5AF" w14:textId="77777777" w:rsidR="00D0421B" w:rsidRPr="00780559" w:rsidRDefault="00D0421B" w:rsidP="00784718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</w:t>
            </w:r>
          </w:p>
        </w:tc>
        <w:tc>
          <w:tcPr>
            <w:tcW w:w="1020" w:type="pct"/>
            <w:gridSpan w:val="2"/>
          </w:tcPr>
          <w:p w14:paraId="3870B400" w14:textId="77777777" w:rsidR="00D0421B" w:rsidRPr="00780559" w:rsidRDefault="00D0421B" w:rsidP="002830CF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39" w:type="pct"/>
            <w:gridSpan w:val="8"/>
          </w:tcPr>
          <w:p w14:paraId="34260ED9" w14:textId="5D8C500F" w:rsidR="005B7A08" w:rsidRDefault="005B7A08" w:rsidP="00E530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Pamatojoties uz Sociālās korekcijas izglītības iestādes “Naukšēni” (turpmāk – SKII “Naukšēni”) nolikuma (apstiprināts ar Izglītības un zinātnes ministrijas 2011. gada 8. decembra rīkojumu Nr. 591 “Par sociālās korekcijas izglītības iestādes “Naukšēni” nolikuma apstiprināšanu”) 4</w:t>
            </w:r>
            <w:r w:rsidR="006A7DF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. punktu, </w:t>
            </w:r>
            <w:r w:rsidR="006A7DFB">
              <w:rPr>
                <w:color w:val="000000" w:themeColor="text1"/>
              </w:rPr>
              <w:t>SKII “Naukšēni”</w:t>
            </w:r>
            <w:r w:rsidR="006A7DFB" w:rsidRPr="006A7DFB">
              <w:rPr>
                <w:color w:val="000000" w:themeColor="text1"/>
              </w:rPr>
              <w:t xml:space="preserve"> var sniegt ēdināšanas, nekustamā un kustamā īpašuma nomas, komunālos pakalpojumus u.c. darbības, ja tās netraucē izglītības procesu.</w:t>
            </w:r>
          </w:p>
          <w:p w14:paraId="56B62D5B" w14:textId="331464A3" w:rsidR="00FD08AF" w:rsidRPr="00772E9E" w:rsidRDefault="002830CF" w:rsidP="00E53080">
            <w:pPr>
              <w:jc w:val="both"/>
            </w:pPr>
            <w:r>
              <w:rPr>
                <w:color w:val="000000" w:themeColor="text1"/>
              </w:rPr>
              <w:t xml:space="preserve">Noteikumu projekts nepieciešams, lai nodrošinātu </w:t>
            </w:r>
            <w:r w:rsidRPr="00780559">
              <w:rPr>
                <w:color w:val="000000" w:themeColor="text1"/>
              </w:rPr>
              <w:t xml:space="preserve">Likuma par budžetu un finanšu vadību </w:t>
            </w:r>
            <w:r>
              <w:rPr>
                <w:color w:val="000000" w:themeColor="text1"/>
              </w:rPr>
              <w:t>5.</w:t>
            </w:r>
            <w:r w:rsidR="002D6568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panta devītā</w:t>
            </w:r>
            <w:r w:rsidR="00697AB7">
              <w:rPr>
                <w:color w:val="000000" w:themeColor="text1"/>
              </w:rPr>
              <w:t>s</w:t>
            </w:r>
            <w:r w:rsidRPr="00780559">
              <w:rPr>
                <w:color w:val="000000" w:themeColor="text1"/>
              </w:rPr>
              <w:t xml:space="preserve"> daļ</w:t>
            </w:r>
            <w:r w:rsidR="00697AB7">
              <w:rPr>
                <w:color w:val="000000" w:themeColor="text1"/>
              </w:rPr>
              <w:t>as</w:t>
            </w:r>
            <w:r>
              <w:rPr>
                <w:color w:val="000000" w:themeColor="text1"/>
              </w:rPr>
              <w:t xml:space="preserve"> pr</w:t>
            </w:r>
            <w:r w:rsidR="00697AB7">
              <w:rPr>
                <w:color w:val="000000" w:themeColor="text1"/>
              </w:rPr>
              <w:t>asību izpildi</w:t>
            </w:r>
            <w:r w:rsidRPr="00780559">
              <w:rPr>
                <w:color w:val="000000" w:themeColor="text1"/>
              </w:rPr>
              <w:t>,</w:t>
            </w:r>
            <w:r w:rsidR="00697AB7">
              <w:rPr>
                <w:color w:val="000000" w:themeColor="text1"/>
              </w:rPr>
              <w:t xml:space="preserve"> proti,</w:t>
            </w:r>
            <w:r w:rsidRPr="00780559">
              <w:rPr>
                <w:color w:val="000000" w:themeColor="text1"/>
              </w:rPr>
              <w:t xml:space="preserve"> </w:t>
            </w:r>
            <w:r w:rsidR="00697AB7">
              <w:rPr>
                <w:color w:val="000000" w:themeColor="text1"/>
              </w:rPr>
              <w:t>l</w:t>
            </w:r>
            <w:r w:rsidRPr="00780559">
              <w:rPr>
                <w:color w:val="000000" w:themeColor="text1"/>
              </w:rPr>
              <w:t>a</w:t>
            </w:r>
            <w:r w:rsidR="00697AB7">
              <w:rPr>
                <w:color w:val="000000" w:themeColor="text1"/>
              </w:rPr>
              <w:t>i</w:t>
            </w:r>
            <w:r w:rsidRPr="00780559">
              <w:rPr>
                <w:color w:val="000000" w:themeColor="text1"/>
              </w:rPr>
              <w:t xml:space="preserve"> Ministru k</w:t>
            </w:r>
            <w:r w:rsidR="00697AB7">
              <w:rPr>
                <w:color w:val="000000" w:themeColor="text1"/>
              </w:rPr>
              <w:t>abinets izdotu</w:t>
            </w:r>
            <w:r w:rsidRPr="00780559">
              <w:rPr>
                <w:color w:val="000000" w:themeColor="text1"/>
              </w:rPr>
              <w:t xml:space="preserve"> noteikumus par </w:t>
            </w:r>
            <w:r w:rsidR="00853100">
              <w:rPr>
                <w:color w:val="000000" w:themeColor="text1"/>
              </w:rPr>
              <w:t>SKII “Naukšēni”</w:t>
            </w:r>
            <w:r w:rsidR="00697AB7">
              <w:rPr>
                <w:color w:val="000000" w:themeColor="text1"/>
              </w:rPr>
              <w:t xml:space="preserve"> sn</w:t>
            </w:r>
            <w:r w:rsidRPr="00780559">
              <w:rPr>
                <w:color w:val="000000" w:themeColor="text1"/>
              </w:rPr>
              <w:t xml:space="preserve">iegto </w:t>
            </w:r>
            <w:r w:rsidR="00697AB7">
              <w:rPr>
                <w:color w:val="000000" w:themeColor="text1"/>
              </w:rPr>
              <w:t xml:space="preserve">publisko </w:t>
            </w:r>
            <w:r w:rsidRPr="00780559">
              <w:rPr>
                <w:color w:val="000000" w:themeColor="text1"/>
              </w:rPr>
              <w:t>maksas pakalpojumu cenrāž</w:t>
            </w:r>
            <w:r w:rsidR="00697AB7">
              <w:rPr>
                <w:color w:val="000000" w:themeColor="text1"/>
              </w:rPr>
              <w:t>a</w:t>
            </w:r>
            <w:r w:rsidRPr="00780559">
              <w:rPr>
                <w:color w:val="000000" w:themeColor="text1"/>
              </w:rPr>
              <w:t xml:space="preserve"> apstiprināšanu. </w:t>
            </w:r>
            <w:r w:rsidR="00697AB7">
              <w:rPr>
                <w:color w:val="000000" w:themeColor="text1"/>
              </w:rPr>
              <w:t xml:space="preserve">Saskaņā ar Ministru kabineta 2003. gada 16. septembra noteikumu </w:t>
            </w:r>
            <w:r w:rsidR="00C44317">
              <w:rPr>
                <w:color w:val="000000" w:themeColor="text1"/>
              </w:rPr>
              <w:t xml:space="preserve">Nr. 528 </w:t>
            </w:r>
            <w:r w:rsidR="00697AB7">
              <w:rPr>
                <w:color w:val="000000" w:themeColor="text1"/>
              </w:rPr>
              <w:t xml:space="preserve">“Izglītības un zinātnes ministrijas nolikums” 24.68. apakšpunktu un </w:t>
            </w:r>
            <w:r w:rsidR="00C44317">
              <w:rPr>
                <w:color w:val="000000" w:themeColor="text1"/>
              </w:rPr>
              <w:t>SKII</w:t>
            </w:r>
            <w:r w:rsidR="00697AB7">
              <w:rPr>
                <w:color w:val="000000" w:themeColor="text1"/>
              </w:rPr>
              <w:t xml:space="preserve"> “Naukšēni” nolikuma</w:t>
            </w:r>
            <w:r w:rsidR="00C44317">
              <w:rPr>
                <w:color w:val="000000" w:themeColor="text1"/>
              </w:rPr>
              <w:t xml:space="preserve"> 1. punktu </w:t>
            </w:r>
            <w:r w:rsidR="00853100">
              <w:rPr>
                <w:color w:val="000000" w:themeColor="text1"/>
              </w:rPr>
              <w:t>SKII “Naukšēni”</w:t>
            </w:r>
            <w:r w:rsidR="00697AB7">
              <w:rPr>
                <w:color w:val="000000" w:themeColor="text1"/>
              </w:rPr>
              <w:t xml:space="preserve"> ir </w:t>
            </w:r>
            <w:r w:rsidR="00EA7129">
              <w:rPr>
                <w:color w:val="000000" w:themeColor="text1"/>
              </w:rPr>
              <w:t>Izglītības un zinātnes ministrijas padotībā esoš</w:t>
            </w:r>
            <w:r w:rsidR="00697AB7">
              <w:rPr>
                <w:color w:val="000000" w:themeColor="text1"/>
              </w:rPr>
              <w:t xml:space="preserve">a valsts </w:t>
            </w:r>
            <w:r w:rsidR="00697AB7" w:rsidRPr="00772E9E">
              <w:t>pārvaldes iestāde.</w:t>
            </w:r>
            <w:r w:rsidR="00EA7129" w:rsidRPr="00772E9E">
              <w:t xml:space="preserve"> </w:t>
            </w:r>
            <w:r w:rsidR="00853100">
              <w:rPr>
                <w:color w:val="000000" w:themeColor="text1"/>
              </w:rPr>
              <w:t>SKII “Naukšēni”</w:t>
            </w:r>
            <w:r w:rsidR="00EA7129" w:rsidRPr="00772E9E">
              <w:t xml:space="preserve"> </w:t>
            </w:r>
            <w:r w:rsidRPr="00772E9E">
              <w:t xml:space="preserve">šobrīd </w:t>
            </w:r>
            <w:r w:rsidR="00D311C3" w:rsidRPr="00772E9E">
              <w:t xml:space="preserve">sniedz </w:t>
            </w:r>
            <w:r w:rsidR="00697AB7" w:rsidRPr="00772E9E">
              <w:t xml:space="preserve">publiskos </w:t>
            </w:r>
            <w:r w:rsidR="00D311C3" w:rsidRPr="00772E9E">
              <w:t xml:space="preserve">maksas pakalpojumus saskaņā ar </w:t>
            </w:r>
            <w:r w:rsidR="00853100">
              <w:rPr>
                <w:color w:val="000000" w:themeColor="text1"/>
              </w:rPr>
              <w:t>SKII “Naukšēni”</w:t>
            </w:r>
            <w:r w:rsidR="00FD08AF" w:rsidRPr="00772E9E">
              <w:t xml:space="preserve"> 20</w:t>
            </w:r>
            <w:r w:rsidR="0054567C" w:rsidRPr="00772E9E">
              <w:t>1</w:t>
            </w:r>
            <w:r w:rsidR="00D311C3" w:rsidRPr="00772E9E">
              <w:t>8</w:t>
            </w:r>
            <w:r w:rsidR="00FD08AF" w:rsidRPr="00772E9E">
              <w:t>.</w:t>
            </w:r>
            <w:r w:rsidR="00E34B46">
              <w:t> </w:t>
            </w:r>
            <w:r w:rsidR="00FD08AF" w:rsidRPr="00772E9E">
              <w:t xml:space="preserve">gada </w:t>
            </w:r>
            <w:r w:rsidR="00D311C3" w:rsidRPr="00772E9E">
              <w:t>25</w:t>
            </w:r>
            <w:r w:rsidR="00FD08AF" w:rsidRPr="00772E9E">
              <w:t>.</w:t>
            </w:r>
            <w:r w:rsidR="00E34B46">
              <w:t> </w:t>
            </w:r>
            <w:r w:rsidR="00D311C3" w:rsidRPr="00772E9E">
              <w:t>janvār</w:t>
            </w:r>
            <w:r w:rsidR="00FD08AF" w:rsidRPr="00772E9E">
              <w:t xml:space="preserve">a </w:t>
            </w:r>
            <w:r w:rsidR="00D311C3" w:rsidRPr="00772E9E">
              <w:t xml:space="preserve">rīkojumu </w:t>
            </w:r>
            <w:r w:rsidR="00FD08AF" w:rsidRPr="00772E9E">
              <w:t>Nr.</w:t>
            </w:r>
            <w:r w:rsidR="00E34B46">
              <w:t> </w:t>
            </w:r>
            <w:r w:rsidR="0054567C" w:rsidRPr="00772E9E">
              <w:t>1</w:t>
            </w:r>
            <w:r w:rsidR="00D311C3" w:rsidRPr="00772E9E">
              <w:t>–2/</w:t>
            </w:r>
            <w:r w:rsidR="0054567C" w:rsidRPr="00772E9E">
              <w:t>3</w:t>
            </w:r>
            <w:r w:rsidR="00D311C3" w:rsidRPr="00772E9E">
              <w:t xml:space="preserve"> </w:t>
            </w:r>
            <w:r w:rsidR="002D6568">
              <w:t>“</w:t>
            </w:r>
            <w:r w:rsidR="00D311C3" w:rsidRPr="00772E9E">
              <w:t>Par maksas pakalpojumu izcenojumiem</w:t>
            </w:r>
            <w:r w:rsidR="00697AB7" w:rsidRPr="00772E9E">
              <w:t>”, kas neatbilst Likuma par budžetu un finanšu vadību prasībām</w:t>
            </w:r>
            <w:r w:rsidRPr="00772E9E">
              <w:t>.</w:t>
            </w:r>
          </w:p>
          <w:p w14:paraId="12EA9B0C" w14:textId="1902898E" w:rsidR="002A6ECE" w:rsidRPr="00D32D42" w:rsidRDefault="00697AB7" w:rsidP="00772E9E">
            <w:pPr>
              <w:jc w:val="both"/>
              <w:rPr>
                <w:color w:val="000000" w:themeColor="text1"/>
              </w:rPr>
            </w:pPr>
            <w:r w:rsidRPr="00772E9E">
              <w:t>Noteikumu projekts</w:t>
            </w:r>
            <w:r w:rsidR="002A6ECE" w:rsidRPr="00772E9E">
              <w:t xml:space="preserve"> do</w:t>
            </w:r>
            <w:r w:rsidR="00E544F1" w:rsidRPr="00772E9E">
              <w:t>s</w:t>
            </w:r>
            <w:r w:rsidR="002A6ECE" w:rsidRPr="00772E9E">
              <w:t xml:space="preserve"> iespēju </w:t>
            </w:r>
            <w:r w:rsidR="00853100">
              <w:rPr>
                <w:color w:val="000000" w:themeColor="text1"/>
              </w:rPr>
              <w:t>SKII “Naukšēni”</w:t>
            </w:r>
            <w:r w:rsidR="002A6ECE" w:rsidRPr="00772E9E">
              <w:t xml:space="preserve"> sniegt </w:t>
            </w:r>
            <w:r w:rsidRPr="00772E9E">
              <w:t xml:space="preserve">publiskos maksas </w:t>
            </w:r>
            <w:r w:rsidR="002A6ECE" w:rsidRPr="00772E9E">
              <w:t>paka</w:t>
            </w:r>
            <w:r w:rsidR="00E544F1" w:rsidRPr="00772E9E">
              <w:t>lpojumus, t</w:t>
            </w:r>
            <w:r w:rsidR="00C507A3" w:rsidRPr="00772E9E">
              <w:t xml:space="preserve">ai </w:t>
            </w:r>
            <w:r w:rsidR="00E544F1" w:rsidRPr="00772E9E">
              <w:t>sk</w:t>
            </w:r>
            <w:r w:rsidR="00C507A3" w:rsidRPr="00772E9E">
              <w:t>aitā</w:t>
            </w:r>
            <w:r w:rsidR="00E544F1" w:rsidRPr="00772E9E">
              <w:t xml:space="preserve"> </w:t>
            </w:r>
            <w:r w:rsidR="00997BF0">
              <w:t>nekustamā īpašuma izmantošanu</w:t>
            </w:r>
            <w:r w:rsidR="00E544F1">
              <w:rPr>
                <w:color w:val="000000" w:themeColor="text1"/>
              </w:rPr>
              <w:t>, komunālos pakalpojumus iedzīvotājiem (</w:t>
            </w:r>
            <w:r w:rsidR="00E544F1" w:rsidRPr="00772E9E">
              <w:t xml:space="preserve">apkure) un autotransporta </w:t>
            </w:r>
            <w:r w:rsidR="00E544F1" w:rsidRPr="00D32D42">
              <w:rPr>
                <w:color w:val="000000" w:themeColor="text1"/>
              </w:rPr>
              <w:t>nom</w:t>
            </w:r>
            <w:r w:rsidR="00C507A3" w:rsidRPr="00D32D42">
              <w:rPr>
                <w:color w:val="000000" w:themeColor="text1"/>
              </w:rPr>
              <w:t>as pakalpojumus, pamatojot to izmaksas</w:t>
            </w:r>
            <w:r w:rsidR="00E544F1" w:rsidRPr="00D32D42">
              <w:rPr>
                <w:color w:val="000000" w:themeColor="text1"/>
              </w:rPr>
              <w:t>.</w:t>
            </w:r>
          </w:p>
          <w:p w14:paraId="38AFE3C1" w14:textId="628CB330" w:rsidR="00D65FE6" w:rsidRPr="0035765A" w:rsidRDefault="00D65FE6" w:rsidP="00772E9E">
            <w:pPr>
              <w:jc w:val="both"/>
              <w:rPr>
                <w:color w:val="000000" w:themeColor="text1"/>
              </w:rPr>
            </w:pPr>
            <w:r w:rsidRPr="0035765A">
              <w:rPr>
                <w:color w:val="000000" w:themeColor="text1"/>
              </w:rPr>
              <w:t>Veicot publisko maksas pakalpojumu izcenojuma aprēķinu, ir ievērots Likuma par budžetu un finanšu vadību 5. panta 12.</w:t>
            </w:r>
            <w:r w:rsidRPr="0035765A">
              <w:rPr>
                <w:color w:val="000000" w:themeColor="text1"/>
                <w:vertAlign w:val="superscript"/>
              </w:rPr>
              <w:t>1</w:t>
            </w:r>
            <w:r w:rsidRPr="0035765A">
              <w:rPr>
                <w:color w:val="000000" w:themeColor="text1"/>
              </w:rPr>
              <w:t xml:space="preserve"> daļā noteiktais – nosakot maksas pakalpojuma izcenojumu, ievēro nosacījumu, ka samaksa par pakalpojumu nedrīkst pārsniegt ar pakalpoju</w:t>
            </w:r>
            <w:r w:rsidR="00D32D42" w:rsidRPr="0035765A">
              <w:rPr>
                <w:color w:val="000000" w:themeColor="text1"/>
              </w:rPr>
              <w:t>ma sniegšanu saistītās izmaksas, kā arī Ministru kabineta 2011.</w:t>
            </w:r>
            <w:r w:rsidR="0042614B" w:rsidRPr="0035765A">
              <w:rPr>
                <w:color w:val="000000" w:themeColor="text1"/>
              </w:rPr>
              <w:t> </w:t>
            </w:r>
            <w:r w:rsidR="00D32D42" w:rsidRPr="0035765A">
              <w:rPr>
                <w:color w:val="000000" w:themeColor="text1"/>
              </w:rPr>
              <w:t>gada 3.</w:t>
            </w:r>
            <w:r w:rsidR="0042614B" w:rsidRPr="0035765A">
              <w:rPr>
                <w:color w:val="000000" w:themeColor="text1"/>
              </w:rPr>
              <w:t> </w:t>
            </w:r>
            <w:r w:rsidR="00D32D42" w:rsidRPr="0035765A">
              <w:rPr>
                <w:color w:val="000000" w:themeColor="text1"/>
              </w:rPr>
              <w:t>maija</w:t>
            </w:r>
            <w:r w:rsidR="00524743" w:rsidRPr="0035765A">
              <w:rPr>
                <w:color w:val="000000" w:themeColor="text1"/>
              </w:rPr>
              <w:t xml:space="preserve"> </w:t>
            </w:r>
            <w:r w:rsidR="00D32D42" w:rsidRPr="0035765A">
              <w:rPr>
                <w:color w:val="000000" w:themeColor="text1"/>
              </w:rPr>
              <w:t>noteikum</w:t>
            </w:r>
            <w:r w:rsidR="00EC2ADF" w:rsidRPr="0035765A">
              <w:rPr>
                <w:color w:val="000000" w:themeColor="text1"/>
              </w:rPr>
              <w:t>os</w:t>
            </w:r>
            <w:r w:rsidR="00D32D42" w:rsidRPr="0035765A">
              <w:rPr>
                <w:color w:val="000000" w:themeColor="text1"/>
              </w:rPr>
              <w:t xml:space="preserve"> Nr.</w:t>
            </w:r>
            <w:r w:rsidR="0042614B" w:rsidRPr="0035765A">
              <w:rPr>
                <w:color w:val="000000" w:themeColor="text1"/>
              </w:rPr>
              <w:t> </w:t>
            </w:r>
            <w:r w:rsidR="00D32D42" w:rsidRPr="0035765A">
              <w:rPr>
                <w:color w:val="000000" w:themeColor="text1"/>
              </w:rPr>
              <w:t xml:space="preserve">333 “Kārtība, kādā plānojami un uzskaitāmi ieņēmumi </w:t>
            </w:r>
            <w:r w:rsidR="00D32D42" w:rsidRPr="0035765A">
              <w:rPr>
                <w:color w:val="000000" w:themeColor="text1"/>
              </w:rPr>
              <w:lastRenderedPageBreak/>
              <w:t>no maksas pakalpojumiem un ar šo pakalpojumu sniegšanu saistītie izdevumi, kā arī maksas pakalpojumu izcenojumu noteikšanas metodika un izcenojumu apstiprināšanas kārtība”</w:t>
            </w:r>
            <w:r w:rsidR="00EC2ADF" w:rsidRPr="0035765A">
              <w:rPr>
                <w:color w:val="000000" w:themeColor="text1"/>
              </w:rPr>
              <w:t xml:space="preserve"> </w:t>
            </w:r>
            <w:r w:rsidR="003B127C" w:rsidRPr="0035765A">
              <w:rPr>
                <w:color w:val="000000" w:themeColor="text1"/>
              </w:rPr>
              <w:t>paredzēt</w:t>
            </w:r>
            <w:r w:rsidR="002C0FB5" w:rsidRPr="0035765A">
              <w:rPr>
                <w:color w:val="000000" w:themeColor="text1"/>
              </w:rPr>
              <w:t>ais</w:t>
            </w:r>
            <w:r w:rsidR="00D32D42" w:rsidRPr="0035765A">
              <w:rPr>
                <w:color w:val="000000" w:themeColor="text1"/>
              </w:rPr>
              <w:t>.</w:t>
            </w:r>
          </w:p>
          <w:p w14:paraId="412B7677" w14:textId="4C5CA89C" w:rsidR="00C03F93" w:rsidRPr="003926D4" w:rsidRDefault="00E544F1" w:rsidP="003926D4">
            <w:pPr>
              <w:jc w:val="both"/>
            </w:pPr>
            <w:r w:rsidRPr="0035765A">
              <w:rPr>
                <w:color w:val="000000" w:themeColor="text1"/>
              </w:rPr>
              <w:t xml:space="preserve">Nosakot cenu </w:t>
            </w:r>
            <w:r w:rsidR="009E06D6" w:rsidRPr="0035765A">
              <w:rPr>
                <w:color w:val="000000" w:themeColor="text1"/>
              </w:rPr>
              <w:t>pak</w:t>
            </w:r>
            <w:r w:rsidR="002D6568" w:rsidRPr="0035765A">
              <w:rPr>
                <w:color w:val="000000" w:themeColor="text1"/>
              </w:rPr>
              <w:t>alpojumiem</w:t>
            </w:r>
            <w:r w:rsidR="001C7278" w:rsidRPr="0035765A">
              <w:rPr>
                <w:color w:val="000000" w:themeColor="text1"/>
              </w:rPr>
              <w:t xml:space="preserve"> – </w:t>
            </w:r>
            <w:r w:rsidR="00353773" w:rsidRPr="0035765A">
              <w:rPr>
                <w:color w:val="000000" w:themeColor="text1"/>
              </w:rPr>
              <w:t xml:space="preserve">īslaicīga </w:t>
            </w:r>
            <w:r w:rsidRPr="0035765A">
              <w:rPr>
                <w:color w:val="000000" w:themeColor="text1"/>
              </w:rPr>
              <w:t>vi</w:t>
            </w:r>
            <w:r w:rsidR="007D108D" w:rsidRPr="0035765A">
              <w:rPr>
                <w:color w:val="000000" w:themeColor="text1"/>
              </w:rPr>
              <w:t>e</w:t>
            </w:r>
            <w:r w:rsidRPr="0035765A">
              <w:rPr>
                <w:color w:val="000000" w:themeColor="text1"/>
              </w:rPr>
              <w:t>su istab</w:t>
            </w:r>
            <w:r w:rsidR="009E06D6" w:rsidRPr="0035765A">
              <w:rPr>
                <w:color w:val="000000" w:themeColor="text1"/>
              </w:rPr>
              <w:t xml:space="preserve">as izmantošana </w:t>
            </w:r>
            <w:r w:rsidR="00353773" w:rsidRPr="0035765A">
              <w:rPr>
                <w:color w:val="000000" w:themeColor="text1"/>
              </w:rPr>
              <w:t xml:space="preserve">un ilgtermiņa viesu istabas izmantošana (septiņas diennaktis un vairāk) – </w:t>
            </w:r>
            <w:r w:rsidRPr="0035765A">
              <w:rPr>
                <w:color w:val="000000" w:themeColor="text1"/>
              </w:rPr>
              <w:t xml:space="preserve">ir ņemta vērā Pievienotās vērtības </w:t>
            </w:r>
            <w:r w:rsidR="009E06D6" w:rsidRPr="0035765A">
              <w:rPr>
                <w:color w:val="000000" w:themeColor="text1"/>
              </w:rPr>
              <w:t xml:space="preserve">nodokļa </w:t>
            </w:r>
            <w:r>
              <w:rPr>
                <w:color w:val="000000" w:themeColor="text1"/>
              </w:rPr>
              <w:t>likuma 4</w:t>
            </w:r>
            <w:r w:rsidR="00C03F93" w:rsidRPr="00E544F1">
              <w:rPr>
                <w:color w:val="000000" w:themeColor="text1"/>
              </w:rPr>
              <w:t>2.</w:t>
            </w:r>
            <w:r w:rsidR="00353773">
              <w:rPr>
                <w:color w:val="000000" w:themeColor="text1"/>
              </w:rPr>
              <w:t> </w:t>
            </w:r>
            <w:r w:rsidR="00C03F93" w:rsidRPr="00E544F1">
              <w:rPr>
                <w:color w:val="000000" w:themeColor="text1"/>
              </w:rPr>
              <w:t xml:space="preserve">panta </w:t>
            </w:r>
            <w:r>
              <w:rPr>
                <w:color w:val="000000" w:themeColor="text1"/>
              </w:rPr>
              <w:t>desmitā</w:t>
            </w:r>
            <w:r w:rsidR="00C03F93" w:rsidRPr="00E544F1">
              <w:rPr>
                <w:color w:val="000000" w:themeColor="text1"/>
              </w:rPr>
              <w:t xml:space="preserve"> daļ</w:t>
            </w:r>
            <w:r>
              <w:rPr>
                <w:color w:val="000000" w:themeColor="text1"/>
              </w:rPr>
              <w:t xml:space="preserve">a, kas nosaka, ka </w:t>
            </w:r>
            <w:r w:rsidR="009E06D6">
              <w:rPr>
                <w:color w:val="000000" w:themeColor="text1"/>
              </w:rPr>
              <w:t xml:space="preserve">pievienotās vērtības </w:t>
            </w:r>
            <w:r>
              <w:rPr>
                <w:color w:val="000000" w:themeColor="text1"/>
              </w:rPr>
              <w:t>n</w:t>
            </w:r>
            <w:r w:rsidRPr="00E544F1">
              <w:rPr>
                <w:color w:val="000000" w:themeColor="text1"/>
              </w:rPr>
              <w:t xml:space="preserve">odokļa samazināto likmi 12 procentu apmērā piemēro izmitināšanas pakalpojumiem tūristu </w:t>
            </w:r>
            <w:r w:rsidRPr="003926D4">
              <w:t xml:space="preserve">mītnēs. Savukārt, </w:t>
            </w:r>
            <w:r w:rsidR="009E06D6" w:rsidRPr="003926D4">
              <w:t>nosakot cenu pakalpojumam – apkure</w:t>
            </w:r>
            <w:r w:rsidRPr="003926D4">
              <w:t xml:space="preserve"> iedzīvotājiem </w:t>
            </w:r>
            <w:r w:rsidR="00353773">
              <w:t xml:space="preserve">– </w:t>
            </w:r>
            <w:r w:rsidRPr="003926D4">
              <w:t xml:space="preserve">ir ņemta vērā Pievienotās vērtības </w:t>
            </w:r>
            <w:r w:rsidR="009E06D6" w:rsidRPr="003926D4">
              <w:t xml:space="preserve">nodokļa </w:t>
            </w:r>
            <w:r w:rsidRPr="003926D4">
              <w:t>likuma 42.</w:t>
            </w:r>
            <w:r w:rsidR="002D6568">
              <w:t> </w:t>
            </w:r>
            <w:r w:rsidRPr="003926D4">
              <w:t xml:space="preserve">panta divpadsmitā daļa, kas nosaka, ka </w:t>
            </w:r>
            <w:r w:rsidR="009E06D6" w:rsidRPr="003926D4">
              <w:t xml:space="preserve">pievienotās vērtības </w:t>
            </w:r>
            <w:r w:rsidRPr="003926D4">
              <w:t>nodokļa samazināto likmi 12 procentu apmērā piemēro siltumenerģijas piegādei, ja tās faktiskais patērētājs ir iedzīvotājs, kas pērk un patērē siltumenerģiju mājsaimniecības vajadzībām.</w:t>
            </w:r>
          </w:p>
          <w:p w14:paraId="60BD99A1" w14:textId="07BD6C48" w:rsidR="002D536F" w:rsidRPr="00780559" w:rsidRDefault="00FD08AF" w:rsidP="003926D4">
            <w:pPr>
              <w:jc w:val="both"/>
              <w:rPr>
                <w:color w:val="000000" w:themeColor="text1"/>
              </w:rPr>
            </w:pPr>
            <w:r w:rsidRPr="003926D4">
              <w:t xml:space="preserve">Noteikumu projekts nosaka </w:t>
            </w:r>
            <w:r w:rsidR="00853100">
              <w:rPr>
                <w:color w:val="000000" w:themeColor="text1"/>
              </w:rPr>
              <w:t>SKII “Naukšēni”</w:t>
            </w:r>
            <w:r w:rsidR="00A029F7" w:rsidRPr="003926D4">
              <w:t xml:space="preserve"> </w:t>
            </w:r>
            <w:r w:rsidRPr="003926D4">
              <w:t xml:space="preserve">sniegto </w:t>
            </w:r>
            <w:r w:rsidR="009E06D6" w:rsidRPr="003926D4">
              <w:t xml:space="preserve">publisko </w:t>
            </w:r>
            <w:r w:rsidRPr="003926D4">
              <w:t>maksas pakalpojumu veidus un to izcenojumus. Noteikumu projekt</w:t>
            </w:r>
            <w:r w:rsidR="009E06D6" w:rsidRPr="003926D4">
              <w:t>a sākotnējās ietekmes novērtējuma ziņojuma (a</w:t>
            </w:r>
            <w:r w:rsidRPr="003926D4">
              <w:t>notācijas</w:t>
            </w:r>
            <w:r w:rsidR="009E06D6" w:rsidRPr="003926D4">
              <w:t>)</w:t>
            </w:r>
            <w:r w:rsidRPr="003926D4">
              <w:t xml:space="preserve"> </w:t>
            </w:r>
            <w:r w:rsidR="00BE2578">
              <w:t xml:space="preserve">(turpmāk – anotācija) </w:t>
            </w:r>
            <w:r w:rsidRPr="003926D4">
              <w:t>pielikum</w:t>
            </w:r>
            <w:r w:rsidR="00FE0F16" w:rsidRPr="003926D4">
              <w:t>ā</w:t>
            </w:r>
            <w:r w:rsidRPr="003926D4">
              <w:t xml:space="preserve"> sniegts </w:t>
            </w:r>
            <w:r w:rsidR="00853100">
              <w:rPr>
                <w:color w:val="000000" w:themeColor="text1"/>
              </w:rPr>
              <w:t>SKII “Naukšēni”</w:t>
            </w:r>
            <w:r w:rsidR="009E06D6" w:rsidRPr="003926D4">
              <w:t xml:space="preserve"> publisko maksas </w:t>
            </w:r>
            <w:r w:rsidRPr="003926D4">
              <w:t>pakalpojumu izmaksu aprēķins.</w:t>
            </w:r>
          </w:p>
        </w:tc>
      </w:tr>
      <w:tr w:rsidR="00A91877" w:rsidRPr="00780559" w14:paraId="229D3FAC" w14:textId="77777777" w:rsidTr="00AF324C">
        <w:tc>
          <w:tcPr>
            <w:tcW w:w="240" w:type="pct"/>
            <w:tcBorders>
              <w:bottom w:val="single" w:sz="4" w:space="0" w:color="auto"/>
            </w:tcBorders>
          </w:tcPr>
          <w:p w14:paraId="0CFFFDF7" w14:textId="53C7A894" w:rsidR="00FD2051" w:rsidRPr="00780559" w:rsidRDefault="00C64739" w:rsidP="00784718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lastRenderedPageBreak/>
              <w:t>3</w:t>
            </w:r>
            <w:r w:rsidR="00FD2051" w:rsidRPr="00780559">
              <w:rPr>
                <w:color w:val="000000" w:themeColor="text1"/>
              </w:rPr>
              <w:t>.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</w:tcPr>
          <w:p w14:paraId="53BE951E" w14:textId="0AA52062" w:rsidR="00FD2051" w:rsidRPr="00780559" w:rsidRDefault="00FD2051" w:rsidP="002830CF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Projekta izstrādē iesaistītās institūcijas</w:t>
            </w:r>
            <w:r w:rsidR="002830CF">
              <w:rPr>
                <w:color w:val="000000" w:themeColor="text1"/>
              </w:rPr>
              <w:t xml:space="preserve"> </w:t>
            </w:r>
            <w:r w:rsidR="009E06D6">
              <w:rPr>
                <w:color w:val="000000" w:themeColor="text1"/>
              </w:rPr>
              <w:t xml:space="preserve">un </w:t>
            </w:r>
            <w:r w:rsidR="002830CF" w:rsidRPr="00747021">
              <w:rPr>
                <w:rFonts w:eastAsia="Times New Roman"/>
                <w:iCs/>
              </w:rPr>
              <w:t>publiskas personas kapitālsabiedrības</w:t>
            </w:r>
          </w:p>
        </w:tc>
        <w:tc>
          <w:tcPr>
            <w:tcW w:w="3739" w:type="pct"/>
            <w:gridSpan w:val="8"/>
            <w:tcBorders>
              <w:bottom w:val="single" w:sz="4" w:space="0" w:color="auto"/>
            </w:tcBorders>
          </w:tcPr>
          <w:p w14:paraId="516B7611" w14:textId="5945F9E4" w:rsidR="00FD2051" w:rsidRPr="00780559" w:rsidRDefault="00D84B2D" w:rsidP="00B9556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Izg</w:t>
            </w:r>
            <w:r w:rsidR="00FD08AF" w:rsidRPr="00780559">
              <w:rPr>
                <w:color w:val="000000" w:themeColor="text1"/>
              </w:rPr>
              <w:t xml:space="preserve">lītības un zinātnes ministrija un </w:t>
            </w:r>
            <w:r w:rsidR="00CF43E5" w:rsidRPr="00780559">
              <w:rPr>
                <w:color w:val="000000" w:themeColor="text1"/>
              </w:rPr>
              <w:t>tās padotībā esošā</w:t>
            </w:r>
            <w:r w:rsidR="00073332" w:rsidRPr="00780559">
              <w:rPr>
                <w:color w:val="000000" w:themeColor="text1"/>
              </w:rPr>
              <w:t xml:space="preserve"> </w:t>
            </w:r>
            <w:r w:rsidR="00B95564">
              <w:rPr>
                <w:color w:val="000000" w:themeColor="text1"/>
              </w:rPr>
              <w:t>iestāde</w:t>
            </w:r>
            <w:r w:rsidR="00FD08AF" w:rsidRPr="00780559">
              <w:rPr>
                <w:color w:val="000000" w:themeColor="text1"/>
              </w:rPr>
              <w:t>.</w:t>
            </w:r>
          </w:p>
        </w:tc>
      </w:tr>
      <w:tr w:rsidR="00A91877" w:rsidRPr="00780559" w14:paraId="0B25A6B7" w14:textId="77777777" w:rsidTr="00AF324C">
        <w:tc>
          <w:tcPr>
            <w:tcW w:w="240" w:type="pct"/>
            <w:tcBorders>
              <w:bottom w:val="single" w:sz="4" w:space="0" w:color="auto"/>
            </w:tcBorders>
          </w:tcPr>
          <w:p w14:paraId="05A066A1" w14:textId="77777777" w:rsidR="0094792C" w:rsidRPr="00780559" w:rsidRDefault="00C64739" w:rsidP="00784718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4</w:t>
            </w:r>
            <w:r w:rsidR="0094792C" w:rsidRPr="00780559">
              <w:rPr>
                <w:color w:val="000000" w:themeColor="text1"/>
              </w:rPr>
              <w:t>.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</w:tcPr>
          <w:p w14:paraId="758DEA5A" w14:textId="77777777" w:rsidR="0094792C" w:rsidRPr="00780559" w:rsidRDefault="0094792C" w:rsidP="00D03DB4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Cita informācija</w:t>
            </w:r>
          </w:p>
        </w:tc>
        <w:tc>
          <w:tcPr>
            <w:tcW w:w="3739" w:type="pct"/>
            <w:gridSpan w:val="8"/>
            <w:tcBorders>
              <w:bottom w:val="single" w:sz="4" w:space="0" w:color="auto"/>
            </w:tcBorders>
          </w:tcPr>
          <w:p w14:paraId="606483EB" w14:textId="77777777" w:rsidR="0094792C" w:rsidRPr="00780559" w:rsidRDefault="0094792C" w:rsidP="00F2642D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Nav.</w:t>
            </w:r>
          </w:p>
        </w:tc>
      </w:tr>
      <w:tr w:rsidR="008D2970" w:rsidRPr="00780559" w14:paraId="1DCD2BE1" w14:textId="77777777" w:rsidTr="00AF324C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553CF" w14:textId="77777777" w:rsidR="00D03DB4" w:rsidRPr="00780559" w:rsidRDefault="00D03DB4" w:rsidP="002D556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D2970" w:rsidRPr="00780559" w14:paraId="0E211886" w14:textId="77777777" w:rsidTr="00AF324C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4646330B" w14:textId="4576F39B" w:rsidR="002D5561" w:rsidRPr="00780559" w:rsidRDefault="002D5561" w:rsidP="00DC7998">
            <w:pPr>
              <w:jc w:val="center"/>
              <w:rPr>
                <w:color w:val="000000" w:themeColor="text1"/>
              </w:rPr>
            </w:pPr>
            <w:r w:rsidRPr="00780559">
              <w:rPr>
                <w:b/>
                <w:color w:val="000000" w:themeColor="text1"/>
              </w:rPr>
              <w:t>II. Tiesību akta projekta ietekme uz sabiedrību, tautsaimniecības attīstību un administratīvo slogu</w:t>
            </w:r>
          </w:p>
        </w:tc>
      </w:tr>
      <w:tr w:rsidR="00A91877" w:rsidRPr="00780559" w14:paraId="542B2A6E" w14:textId="77777777" w:rsidTr="00AF324C">
        <w:tc>
          <w:tcPr>
            <w:tcW w:w="240" w:type="pct"/>
          </w:tcPr>
          <w:p w14:paraId="39771CDE" w14:textId="77777777" w:rsidR="001E4E8E" w:rsidRPr="00780559" w:rsidRDefault="001E4E8E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</w:t>
            </w:r>
          </w:p>
        </w:tc>
        <w:tc>
          <w:tcPr>
            <w:tcW w:w="1020" w:type="pct"/>
            <w:gridSpan w:val="2"/>
          </w:tcPr>
          <w:p w14:paraId="299B526E" w14:textId="77777777" w:rsidR="001E4E8E" w:rsidRPr="00780559" w:rsidRDefault="001E4E8E" w:rsidP="00D03DB4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 xml:space="preserve">Sabiedrības </w:t>
            </w:r>
            <w:proofErr w:type="spellStart"/>
            <w:r w:rsidRPr="00780559">
              <w:rPr>
                <w:color w:val="000000" w:themeColor="text1"/>
              </w:rPr>
              <w:t>mērķgrupas</w:t>
            </w:r>
            <w:proofErr w:type="spellEnd"/>
            <w:r w:rsidRPr="00780559">
              <w:rPr>
                <w:color w:val="000000" w:themeColor="text1"/>
              </w:rPr>
              <w:t>, kuras tiesiskais regulējums ietekmē vai varētu ietekmēt</w:t>
            </w:r>
          </w:p>
        </w:tc>
        <w:tc>
          <w:tcPr>
            <w:tcW w:w="3739" w:type="pct"/>
            <w:gridSpan w:val="8"/>
          </w:tcPr>
          <w:p w14:paraId="46B62160" w14:textId="711B7D3A" w:rsidR="001E4E8E" w:rsidRPr="00780559" w:rsidRDefault="00853100" w:rsidP="0007333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SKII “Naukšēni”</w:t>
            </w:r>
            <w:r w:rsidR="00073332" w:rsidRPr="00780559">
              <w:rPr>
                <w:color w:val="000000" w:themeColor="text1"/>
              </w:rPr>
              <w:t xml:space="preserve"> sniegtos </w:t>
            </w:r>
            <w:r w:rsidR="00772E9E">
              <w:rPr>
                <w:color w:val="000000" w:themeColor="text1"/>
              </w:rPr>
              <w:t xml:space="preserve">publiskos maksas </w:t>
            </w:r>
            <w:r w:rsidR="00073332" w:rsidRPr="00780559">
              <w:rPr>
                <w:color w:val="000000" w:themeColor="text1"/>
              </w:rPr>
              <w:t>pakalpojumus</w:t>
            </w:r>
            <w:r w:rsidR="001E4E8E" w:rsidRPr="00780559">
              <w:rPr>
                <w:color w:val="000000" w:themeColor="text1"/>
              </w:rPr>
              <w:t xml:space="preserve"> var</w:t>
            </w:r>
            <w:r w:rsidR="00772E9E">
              <w:rPr>
                <w:color w:val="000000" w:themeColor="text1"/>
              </w:rPr>
              <w:t>ēs</w:t>
            </w:r>
            <w:r w:rsidR="001E4E8E" w:rsidRPr="00780559">
              <w:rPr>
                <w:color w:val="000000" w:themeColor="text1"/>
              </w:rPr>
              <w:t xml:space="preserve"> izmantot jebkura persona, kurai minētie pakalpojumi ir nepieciešami.</w:t>
            </w:r>
          </w:p>
        </w:tc>
      </w:tr>
      <w:tr w:rsidR="00A91877" w:rsidRPr="00780559" w14:paraId="2E0B6ED4" w14:textId="77777777" w:rsidTr="00AF324C">
        <w:tc>
          <w:tcPr>
            <w:tcW w:w="240" w:type="pct"/>
          </w:tcPr>
          <w:p w14:paraId="17078D8A" w14:textId="77777777" w:rsidR="001E4E8E" w:rsidRPr="00780559" w:rsidRDefault="001E4E8E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</w:t>
            </w:r>
          </w:p>
        </w:tc>
        <w:tc>
          <w:tcPr>
            <w:tcW w:w="1020" w:type="pct"/>
            <w:gridSpan w:val="2"/>
          </w:tcPr>
          <w:p w14:paraId="17CD96DD" w14:textId="77777777" w:rsidR="001E4E8E" w:rsidRPr="00780559" w:rsidRDefault="001E4E8E" w:rsidP="00D03DB4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Tiesiskā regulējuma ietekme uz tautsaimniecību un administratīvo slogu</w:t>
            </w:r>
          </w:p>
        </w:tc>
        <w:tc>
          <w:tcPr>
            <w:tcW w:w="3739" w:type="pct"/>
            <w:gridSpan w:val="8"/>
          </w:tcPr>
          <w:p w14:paraId="45216ACF" w14:textId="063622DF" w:rsidR="001E4E8E" w:rsidRPr="00780559" w:rsidRDefault="001E4E8E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 xml:space="preserve">Sabiedrības grupām un institūcijām </w:t>
            </w:r>
            <w:r w:rsidR="00772E9E">
              <w:rPr>
                <w:color w:val="000000" w:themeColor="text1"/>
              </w:rPr>
              <w:t xml:space="preserve">noteikumu </w:t>
            </w:r>
            <w:r w:rsidRPr="00780559">
              <w:rPr>
                <w:color w:val="000000" w:themeColor="text1"/>
              </w:rPr>
              <w:t>projekta tiesiskais regulējums nemaina tiesības un pienākumus, kā arī veicamās darbības.</w:t>
            </w:r>
          </w:p>
        </w:tc>
      </w:tr>
      <w:tr w:rsidR="00A91877" w:rsidRPr="00780559" w14:paraId="258459C2" w14:textId="77777777" w:rsidTr="00AF324C">
        <w:tc>
          <w:tcPr>
            <w:tcW w:w="240" w:type="pct"/>
          </w:tcPr>
          <w:p w14:paraId="07A77683" w14:textId="77777777" w:rsidR="001E4E8E" w:rsidRPr="00780559" w:rsidRDefault="001E4E8E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</w:t>
            </w:r>
          </w:p>
        </w:tc>
        <w:tc>
          <w:tcPr>
            <w:tcW w:w="1020" w:type="pct"/>
            <w:gridSpan w:val="2"/>
          </w:tcPr>
          <w:p w14:paraId="3E7A3B9C" w14:textId="77777777" w:rsidR="001E4E8E" w:rsidRPr="00780559" w:rsidRDefault="001E4E8E" w:rsidP="00D03DB4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Administratīvo izmaksu monetārs novērtējums</w:t>
            </w:r>
          </w:p>
        </w:tc>
        <w:tc>
          <w:tcPr>
            <w:tcW w:w="3739" w:type="pct"/>
            <w:gridSpan w:val="8"/>
          </w:tcPr>
          <w:p w14:paraId="724D961A" w14:textId="58C0E21E" w:rsidR="00A70330" w:rsidRPr="00780559" w:rsidRDefault="007D00A6" w:rsidP="00772E9E">
            <w:pPr>
              <w:jc w:val="both"/>
              <w:rPr>
                <w:color w:val="000000" w:themeColor="text1"/>
              </w:rPr>
            </w:pPr>
            <w:r w:rsidRPr="007D00A6">
              <w:rPr>
                <w:color w:val="000000" w:themeColor="text1"/>
              </w:rPr>
              <w:t>Noteikumu projekts šo jomu neskar.</w:t>
            </w:r>
          </w:p>
        </w:tc>
      </w:tr>
      <w:tr w:rsidR="00A91877" w:rsidRPr="00780559" w14:paraId="1ABF39BD" w14:textId="77777777" w:rsidTr="00AF324C">
        <w:tc>
          <w:tcPr>
            <w:tcW w:w="240" w:type="pct"/>
          </w:tcPr>
          <w:p w14:paraId="4C027BDF" w14:textId="02AFA4BF" w:rsidR="00254C72" w:rsidRPr="00780559" w:rsidRDefault="00254C72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4.</w:t>
            </w:r>
          </w:p>
        </w:tc>
        <w:tc>
          <w:tcPr>
            <w:tcW w:w="1020" w:type="pct"/>
            <w:gridSpan w:val="2"/>
          </w:tcPr>
          <w:p w14:paraId="1656E70A" w14:textId="52086FD7" w:rsidR="00254C72" w:rsidRPr="00780559" w:rsidRDefault="00254C72" w:rsidP="00D03DB4">
            <w:pPr>
              <w:rPr>
                <w:color w:val="000000" w:themeColor="text1"/>
              </w:rPr>
            </w:pPr>
            <w:r w:rsidRPr="007D00A6">
              <w:rPr>
                <w:color w:val="000000" w:themeColor="text1"/>
              </w:rPr>
              <w:t>Atbilstības izmaksu monetārs novērtējums</w:t>
            </w:r>
          </w:p>
        </w:tc>
        <w:tc>
          <w:tcPr>
            <w:tcW w:w="3739" w:type="pct"/>
            <w:gridSpan w:val="8"/>
          </w:tcPr>
          <w:p w14:paraId="1EEA39FC" w14:textId="5BA6DD37" w:rsidR="00254C72" w:rsidRPr="007D00A6" w:rsidRDefault="007870D0" w:rsidP="00772E9E">
            <w:pPr>
              <w:jc w:val="both"/>
              <w:rPr>
                <w:color w:val="000000" w:themeColor="text1"/>
              </w:rPr>
            </w:pPr>
            <w:r w:rsidRPr="007D00A6">
              <w:rPr>
                <w:color w:val="000000" w:themeColor="text1"/>
              </w:rPr>
              <w:t>Noteikumu projekts šo jomu neskar.</w:t>
            </w:r>
          </w:p>
        </w:tc>
      </w:tr>
      <w:tr w:rsidR="00A91877" w:rsidRPr="00780559" w14:paraId="759EB6B7" w14:textId="77777777" w:rsidTr="00AF324C">
        <w:tc>
          <w:tcPr>
            <w:tcW w:w="240" w:type="pct"/>
            <w:tcBorders>
              <w:bottom w:val="single" w:sz="4" w:space="0" w:color="auto"/>
            </w:tcBorders>
          </w:tcPr>
          <w:p w14:paraId="61743A1F" w14:textId="274FE212" w:rsidR="001E4E8E" w:rsidRPr="00780559" w:rsidRDefault="00254C72" w:rsidP="00D03D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</w:tcPr>
          <w:p w14:paraId="42E69E83" w14:textId="763B8BA7" w:rsidR="001E4E8E" w:rsidRPr="00780559" w:rsidRDefault="001E4E8E" w:rsidP="00D03DB4">
            <w:pPr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Cita informācija</w:t>
            </w:r>
          </w:p>
        </w:tc>
        <w:tc>
          <w:tcPr>
            <w:tcW w:w="3739" w:type="pct"/>
            <w:gridSpan w:val="8"/>
            <w:tcBorders>
              <w:bottom w:val="single" w:sz="4" w:space="0" w:color="auto"/>
            </w:tcBorders>
          </w:tcPr>
          <w:p w14:paraId="245BECF8" w14:textId="12D65867" w:rsidR="001E4E8E" w:rsidRPr="00780559" w:rsidRDefault="00104AA1" w:rsidP="00D03DB4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Nav.</w:t>
            </w:r>
          </w:p>
        </w:tc>
      </w:tr>
      <w:tr w:rsidR="00A91877" w:rsidRPr="00780559" w14:paraId="12D5EF6D" w14:textId="77777777" w:rsidTr="00AF324C"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FC643" w14:textId="77777777" w:rsidR="005E4D8C" w:rsidRPr="00780559" w:rsidRDefault="005E4D8C" w:rsidP="00D03D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5C84A" w14:textId="77777777" w:rsidR="005E4D8C" w:rsidRPr="00780559" w:rsidRDefault="005E4D8C" w:rsidP="00D03DB4">
            <w:pPr>
              <w:rPr>
                <w:color w:val="000000" w:themeColor="text1"/>
              </w:rPr>
            </w:pP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19175" w14:textId="77777777" w:rsidR="005E4D8C" w:rsidRPr="00780559" w:rsidRDefault="005E4D8C" w:rsidP="00D03DB4">
            <w:pPr>
              <w:jc w:val="both"/>
              <w:rPr>
                <w:color w:val="000000" w:themeColor="text1"/>
              </w:rPr>
            </w:pPr>
          </w:p>
        </w:tc>
      </w:tr>
      <w:tr w:rsidR="008D2970" w:rsidRPr="00780559" w14:paraId="319DBB70" w14:textId="77777777" w:rsidTr="00AF324C">
        <w:tc>
          <w:tcPr>
            <w:tcW w:w="5000" w:type="pct"/>
            <w:gridSpan w:val="11"/>
          </w:tcPr>
          <w:p w14:paraId="41DC0AF9" w14:textId="176E67B6" w:rsidR="002D5561" w:rsidRPr="00780559" w:rsidRDefault="002D5561" w:rsidP="002D5561">
            <w:pPr>
              <w:jc w:val="center"/>
              <w:rPr>
                <w:b/>
                <w:bCs/>
                <w:color w:val="000000" w:themeColor="text1"/>
              </w:rPr>
            </w:pPr>
            <w:r w:rsidRPr="00780559">
              <w:rPr>
                <w:b/>
                <w:bCs/>
                <w:color w:val="000000" w:themeColor="text1"/>
              </w:rPr>
              <w:t>III. Tiesību akta projekta ietekme uz valsts budžetu un pašvaldību budžetiem</w:t>
            </w:r>
          </w:p>
        </w:tc>
      </w:tr>
      <w:tr w:rsidR="00A91877" w:rsidRPr="00780559" w14:paraId="297675E9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F238EC" w14:textId="77777777" w:rsidR="002D5561" w:rsidRPr="00D03DB4" w:rsidRDefault="002D5561" w:rsidP="00D03DB4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r w:rsidRPr="00D03DB4">
              <w:rPr>
                <w:bCs/>
                <w:color w:val="000000" w:themeColor="text1"/>
              </w:rPr>
              <w:lastRenderedPageBreak/>
              <w:t>Rādītāji</w:t>
            </w:r>
          </w:p>
        </w:tc>
        <w:tc>
          <w:tcPr>
            <w:tcW w:w="103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7E7F64" w14:textId="6B9E4CAA" w:rsidR="002D5561" w:rsidRPr="0035765A" w:rsidRDefault="002D5561" w:rsidP="00067A03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35765A">
              <w:rPr>
                <w:b/>
                <w:bCs/>
                <w:color w:val="000000" w:themeColor="text1"/>
              </w:rPr>
              <w:t>20</w:t>
            </w:r>
            <w:r w:rsidR="00067A03" w:rsidRPr="0035765A">
              <w:rPr>
                <w:b/>
                <w:bCs/>
                <w:color w:val="000000" w:themeColor="text1"/>
              </w:rPr>
              <w:t>20</w:t>
            </w:r>
            <w:r w:rsidRPr="0035765A">
              <w:rPr>
                <w:b/>
                <w:bCs/>
                <w:color w:val="000000" w:themeColor="text1"/>
              </w:rPr>
              <w:t>. gads</w:t>
            </w:r>
          </w:p>
        </w:tc>
        <w:tc>
          <w:tcPr>
            <w:tcW w:w="270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5E9E801" w14:textId="28B7604D" w:rsidR="002D5561" w:rsidRPr="0035765A" w:rsidRDefault="002D5561" w:rsidP="00254C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5765A">
              <w:rPr>
                <w:color w:val="000000" w:themeColor="text1"/>
              </w:rPr>
              <w:t>Turpmākie trīs gadi (</w:t>
            </w:r>
            <w:proofErr w:type="spellStart"/>
            <w:r w:rsidRPr="0035765A">
              <w:rPr>
                <w:i/>
                <w:color w:val="000000" w:themeColor="text1"/>
              </w:rPr>
              <w:t>euro</w:t>
            </w:r>
            <w:proofErr w:type="spellEnd"/>
            <w:r w:rsidRPr="0035765A">
              <w:rPr>
                <w:color w:val="000000" w:themeColor="text1"/>
              </w:rPr>
              <w:t>)</w:t>
            </w:r>
          </w:p>
        </w:tc>
      </w:tr>
      <w:tr w:rsidR="00A91877" w:rsidRPr="00780559" w14:paraId="55E67673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635C0" w14:textId="77777777" w:rsidR="002D5561" w:rsidRPr="00780559" w:rsidRDefault="002D5561" w:rsidP="00D03DB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3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98D2E0" w14:textId="77777777" w:rsidR="002D5561" w:rsidRPr="0035765A" w:rsidRDefault="002D5561" w:rsidP="00D03DB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1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DECA32" w14:textId="3D7947B5" w:rsidR="002D5561" w:rsidRPr="0035765A" w:rsidRDefault="002D5561" w:rsidP="00067A03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35765A">
              <w:rPr>
                <w:b/>
                <w:bCs/>
                <w:color w:val="000000" w:themeColor="text1"/>
              </w:rPr>
              <w:t>20</w:t>
            </w:r>
            <w:r w:rsidR="00D03DB4" w:rsidRPr="0035765A">
              <w:rPr>
                <w:b/>
                <w:bCs/>
                <w:color w:val="000000" w:themeColor="text1"/>
              </w:rPr>
              <w:t>2</w:t>
            </w:r>
            <w:r w:rsidR="00067A03" w:rsidRPr="0035765A">
              <w:rPr>
                <w:b/>
                <w:bCs/>
                <w:color w:val="000000" w:themeColor="text1"/>
              </w:rPr>
              <w:t>1</w:t>
            </w:r>
            <w:r w:rsidR="00A91877" w:rsidRPr="0035765A">
              <w:rPr>
                <w:b/>
                <w:bCs/>
                <w:color w:val="000000" w:themeColor="text1"/>
              </w:rPr>
              <w:t>. gads</w:t>
            </w:r>
          </w:p>
        </w:tc>
        <w:tc>
          <w:tcPr>
            <w:tcW w:w="10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FAC70" w14:textId="2C3A844D" w:rsidR="002D5561" w:rsidRPr="0035765A" w:rsidRDefault="002D5561" w:rsidP="00067A03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35765A">
              <w:rPr>
                <w:b/>
                <w:bCs/>
                <w:color w:val="000000" w:themeColor="text1"/>
              </w:rPr>
              <w:t>20</w:t>
            </w:r>
            <w:r w:rsidR="00D03DB4" w:rsidRPr="0035765A">
              <w:rPr>
                <w:b/>
                <w:bCs/>
                <w:color w:val="000000" w:themeColor="text1"/>
              </w:rPr>
              <w:t>2</w:t>
            </w:r>
            <w:r w:rsidR="00067A03" w:rsidRPr="0035765A">
              <w:rPr>
                <w:b/>
                <w:bCs/>
                <w:color w:val="000000" w:themeColor="text1"/>
              </w:rPr>
              <w:t>2</w:t>
            </w:r>
            <w:r w:rsidR="00A91877" w:rsidRPr="0035765A">
              <w:rPr>
                <w:b/>
                <w:bCs/>
                <w:color w:val="000000" w:themeColor="text1"/>
              </w:rPr>
              <w:t>. gads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E874171" w14:textId="77DDFDBC" w:rsidR="002D5561" w:rsidRPr="0035765A" w:rsidRDefault="002D5561" w:rsidP="00D03DB4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35765A">
              <w:rPr>
                <w:b/>
                <w:bCs/>
                <w:color w:val="000000" w:themeColor="text1"/>
              </w:rPr>
              <w:t>202</w:t>
            </w:r>
            <w:r w:rsidR="00067A03" w:rsidRPr="0035765A">
              <w:rPr>
                <w:b/>
                <w:bCs/>
                <w:color w:val="000000" w:themeColor="text1"/>
              </w:rPr>
              <w:t>3</w:t>
            </w:r>
            <w:r w:rsidR="00A91877" w:rsidRPr="0035765A">
              <w:rPr>
                <w:b/>
                <w:bCs/>
                <w:color w:val="000000" w:themeColor="text1"/>
              </w:rPr>
              <w:t>. gads</w:t>
            </w:r>
          </w:p>
        </w:tc>
      </w:tr>
      <w:tr w:rsidR="00A91877" w:rsidRPr="00780559" w14:paraId="41D02D1D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AF0EC" w14:textId="77777777" w:rsidR="000C16B9" w:rsidRPr="00780559" w:rsidRDefault="000C16B9" w:rsidP="00D03DB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D94ABB" w14:textId="1C640C36" w:rsidR="000C16B9" w:rsidRPr="00780559" w:rsidRDefault="000C16B9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780559">
              <w:rPr>
                <w:color w:val="000000" w:themeColor="text1"/>
              </w:rPr>
              <w:t>askaņā ar valsts budžetu kārtējam gadam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1495DE" w14:textId="227A3D48" w:rsidR="000C16B9" w:rsidRPr="00780559" w:rsidRDefault="000C16B9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780559">
              <w:rPr>
                <w:color w:val="000000" w:themeColor="text1"/>
              </w:rPr>
              <w:t>zmaiņas kārtējā gadā, salīdzinot ar budžetu kārtējam gadam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BC62663" w14:textId="181A6104" w:rsidR="000C16B9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saskaņā ar vidēja termiņa budžeta ietvaru 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0D8F7E08" w14:textId="5A8097EF" w:rsidR="00A91877" w:rsidRPr="0035765A" w:rsidRDefault="009504AD" w:rsidP="00A91877">
            <w:pPr>
              <w:jc w:val="center"/>
              <w:rPr>
                <w:color w:val="000000" w:themeColor="text1"/>
              </w:rPr>
            </w:pPr>
            <w:r w:rsidRPr="0035765A">
              <w:rPr>
                <w:color w:val="000000" w:themeColor="text1"/>
              </w:rPr>
              <w:t>izmaiņas, salīdzinot ar vidējā termiņa budžeta ietvaru 202</w:t>
            </w:r>
            <w:r w:rsidR="00067A03" w:rsidRPr="0035765A">
              <w:rPr>
                <w:color w:val="000000" w:themeColor="text1"/>
              </w:rPr>
              <w:t>1</w:t>
            </w:r>
            <w:r w:rsidRPr="0035765A">
              <w:rPr>
                <w:color w:val="000000" w:themeColor="text1"/>
              </w:rPr>
              <w:t>.</w:t>
            </w:r>
          </w:p>
          <w:p w14:paraId="53B4CD7A" w14:textId="54E2A0EB" w:rsidR="000C16B9" w:rsidRPr="0035765A" w:rsidRDefault="009504AD" w:rsidP="00A91877">
            <w:pPr>
              <w:jc w:val="center"/>
              <w:rPr>
                <w:color w:val="000000" w:themeColor="text1"/>
              </w:rPr>
            </w:pPr>
            <w:r w:rsidRPr="0035765A">
              <w:rPr>
                <w:color w:val="000000" w:themeColor="text1"/>
              </w:rPr>
              <w:t>gadam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BBB7B68" w14:textId="16BAD126" w:rsidR="000C16B9" w:rsidRPr="0035765A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5765A">
              <w:rPr>
                <w:color w:val="000000" w:themeColor="text1"/>
              </w:rPr>
              <w:t>saskaņā ar vidēja termiņa budžeta ietvaru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4CD1933F" w14:textId="5F029F97" w:rsidR="00A91877" w:rsidRPr="0035765A" w:rsidRDefault="009504AD" w:rsidP="00A91877">
            <w:pPr>
              <w:jc w:val="center"/>
              <w:rPr>
                <w:color w:val="000000" w:themeColor="text1"/>
              </w:rPr>
            </w:pPr>
            <w:r w:rsidRPr="0035765A">
              <w:rPr>
                <w:color w:val="000000" w:themeColor="text1"/>
              </w:rPr>
              <w:t>izmaiņas, salīdzinot ar vidējā termiņa budžeta ietvaru 202</w:t>
            </w:r>
            <w:r w:rsidR="00067A03" w:rsidRPr="0035765A">
              <w:rPr>
                <w:color w:val="000000" w:themeColor="text1"/>
              </w:rPr>
              <w:t>2</w:t>
            </w:r>
            <w:r w:rsidRPr="0035765A">
              <w:rPr>
                <w:color w:val="000000" w:themeColor="text1"/>
              </w:rPr>
              <w:t>.</w:t>
            </w:r>
          </w:p>
          <w:p w14:paraId="7DE1FBE1" w14:textId="1F0AB6E6" w:rsidR="000C16B9" w:rsidRPr="0035765A" w:rsidRDefault="009504AD" w:rsidP="00A91877">
            <w:pPr>
              <w:jc w:val="center"/>
              <w:rPr>
                <w:color w:val="000000" w:themeColor="text1"/>
              </w:rPr>
            </w:pPr>
            <w:r w:rsidRPr="0035765A">
              <w:rPr>
                <w:color w:val="000000" w:themeColor="text1"/>
              </w:rPr>
              <w:t>gadam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27A1DA6" w14:textId="59991973" w:rsidR="000C16B9" w:rsidRPr="0035765A" w:rsidRDefault="009504AD" w:rsidP="00B9356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5765A">
              <w:rPr>
                <w:color w:val="000000" w:themeColor="text1"/>
              </w:rPr>
              <w:t>i</w:t>
            </w:r>
            <w:r w:rsidR="000C16B9" w:rsidRPr="0035765A">
              <w:rPr>
                <w:color w:val="000000" w:themeColor="text1"/>
              </w:rPr>
              <w:t xml:space="preserve">zmaiņas, salīdzinot ar </w:t>
            </w:r>
            <w:r w:rsidR="00E37798" w:rsidRPr="0035765A">
              <w:rPr>
                <w:color w:val="000000" w:themeColor="text1"/>
              </w:rPr>
              <w:t>vidēja termiņa budžeta ietvaru 202</w:t>
            </w:r>
            <w:r w:rsidR="00B9356B" w:rsidRPr="0035765A">
              <w:rPr>
                <w:color w:val="000000" w:themeColor="text1"/>
              </w:rPr>
              <w:t>2</w:t>
            </w:r>
            <w:r w:rsidR="00E37798" w:rsidRPr="0035765A">
              <w:rPr>
                <w:color w:val="000000" w:themeColor="text1"/>
              </w:rPr>
              <w:t>.</w:t>
            </w:r>
            <w:r w:rsidR="000C16B9" w:rsidRPr="0035765A">
              <w:rPr>
                <w:color w:val="000000" w:themeColor="text1"/>
              </w:rPr>
              <w:t xml:space="preserve"> gad</w:t>
            </w:r>
            <w:r w:rsidR="00E37798" w:rsidRPr="0035765A">
              <w:rPr>
                <w:color w:val="000000" w:themeColor="text1"/>
              </w:rPr>
              <w:t>am</w:t>
            </w:r>
          </w:p>
        </w:tc>
      </w:tr>
      <w:tr w:rsidR="00A91877" w:rsidRPr="00780559" w14:paraId="56DBE332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5F9A22" w14:textId="77777777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8FA11" w14:textId="77777777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8E57B6" w14:textId="77777777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78C7AC91" w14:textId="53433313" w:rsidR="009504AD" w:rsidRPr="00780559" w:rsidRDefault="009504AD" w:rsidP="009504A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52C589F4" w14:textId="4D93611E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1F343382" w14:textId="2A019C42" w:rsidR="009504AD" w:rsidRPr="00780559" w:rsidRDefault="009504AD" w:rsidP="009504A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652473A2" w14:textId="5F90A3C1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3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  <w:vAlign w:val="center"/>
          </w:tcPr>
          <w:p w14:paraId="30A8CD62" w14:textId="1DA7CA1B" w:rsidR="009504AD" w:rsidRPr="00780559" w:rsidRDefault="009504AD" w:rsidP="00D03DB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F324C" w:rsidRPr="00780559" w14:paraId="6BB492BD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7D0A7" w14:textId="77777777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 Budžeta ieņēmumi: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C6830" w14:textId="0AEC3FC5" w:rsidR="00AF324C" w:rsidRPr="0035765A" w:rsidRDefault="00DA5C54" w:rsidP="00AF324C">
            <w:pPr>
              <w:jc w:val="center"/>
              <w:rPr>
                <w:color w:val="000000" w:themeColor="text1"/>
                <w:highlight w:val="yellow"/>
              </w:rPr>
            </w:pPr>
            <w:r w:rsidRPr="0035765A">
              <w:rPr>
                <w:color w:val="000000" w:themeColor="text1"/>
              </w:rPr>
              <w:t>623 686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5EB41" w14:textId="3D06CE35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299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18EF314" w14:textId="6808CF2F" w:rsidR="00AF324C" w:rsidRPr="00780559" w:rsidRDefault="00F735B3" w:rsidP="00AF32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623 391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83941F0" w14:textId="6F0B792D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2B2A24">
              <w:rPr>
                <w:color w:val="000000" w:themeColor="text1"/>
              </w:rPr>
              <w:t>299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41037A2" w14:textId="0ADD630C" w:rsidR="00AF324C" w:rsidRPr="00AF324C" w:rsidRDefault="00F735B3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623 391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0F2B113" w14:textId="5A6C897E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2B2A24">
              <w:rPr>
                <w:color w:val="000000" w:themeColor="text1"/>
              </w:rPr>
              <w:t>299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D3314DF" w14:textId="79EA3200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41365">
              <w:rPr>
                <w:color w:val="000000" w:themeColor="text1"/>
              </w:rPr>
              <w:t>299</w:t>
            </w:r>
          </w:p>
        </w:tc>
      </w:tr>
      <w:tr w:rsidR="00AF324C" w:rsidRPr="00780559" w14:paraId="01DC5CF5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E53CD" w14:textId="4ADAA473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1.1. valsts pamatbudžets, tai skaitā ieņēmumi</w:t>
            </w:r>
            <w:r>
              <w:rPr>
                <w:color w:val="000000" w:themeColor="text1"/>
              </w:rPr>
              <w:t xml:space="preserve"> no maksas pakalpo</w:t>
            </w:r>
            <w:r w:rsidRPr="00780559">
              <w:rPr>
                <w:color w:val="000000" w:themeColor="text1"/>
              </w:rPr>
              <w:t>jumiem un citi pašu ieņēmumi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918BC1" w14:textId="6685E305" w:rsidR="00AF324C" w:rsidRPr="0035765A" w:rsidRDefault="00DA5C54" w:rsidP="00AF324C">
            <w:pPr>
              <w:jc w:val="center"/>
              <w:rPr>
                <w:color w:val="000000" w:themeColor="text1"/>
                <w:highlight w:val="yellow"/>
              </w:rPr>
            </w:pPr>
            <w:r w:rsidRPr="0035765A">
              <w:rPr>
                <w:color w:val="000000" w:themeColor="text1"/>
              </w:rPr>
              <w:t>623 686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AB525E" w14:textId="144E73D6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ED4F46">
              <w:rPr>
                <w:color w:val="000000" w:themeColor="text1"/>
              </w:rPr>
              <w:t>299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1839F29" w14:textId="393BEFC2" w:rsidR="00AF324C" w:rsidRPr="00205DA1" w:rsidRDefault="00F735B3" w:rsidP="00AF32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623 391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6A312AC" w14:textId="4EDC4CF4" w:rsidR="00AF324C" w:rsidRPr="00205DA1" w:rsidRDefault="00AF324C" w:rsidP="00AF324C">
            <w:pPr>
              <w:jc w:val="center"/>
              <w:rPr>
                <w:color w:val="000000" w:themeColor="text1"/>
              </w:rPr>
            </w:pPr>
            <w:r w:rsidRPr="00ED4F46">
              <w:rPr>
                <w:color w:val="000000" w:themeColor="text1"/>
              </w:rPr>
              <w:t>299</w:t>
            </w:r>
          </w:p>
        </w:tc>
        <w:tc>
          <w:tcPr>
            <w:tcW w:w="51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17DDEE1" w14:textId="6E9C113F" w:rsidR="00AF324C" w:rsidRPr="00AF324C" w:rsidRDefault="00F735B3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623 391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947DE00" w14:textId="166C7597" w:rsidR="00AF324C" w:rsidRPr="00205DA1" w:rsidRDefault="00AF324C" w:rsidP="00AF324C">
            <w:pPr>
              <w:jc w:val="center"/>
              <w:rPr>
                <w:color w:val="000000" w:themeColor="text1"/>
              </w:rPr>
            </w:pPr>
            <w:r w:rsidRPr="00ED4F46">
              <w:rPr>
                <w:color w:val="000000" w:themeColor="text1"/>
              </w:rPr>
              <w:t>299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4DC48A9" w14:textId="49990A39" w:rsidR="00AF324C" w:rsidRPr="00205DA1" w:rsidRDefault="00AF324C" w:rsidP="00AF324C">
            <w:pPr>
              <w:jc w:val="center"/>
              <w:rPr>
                <w:color w:val="000000" w:themeColor="text1"/>
              </w:rPr>
            </w:pPr>
            <w:r w:rsidRPr="00F41365">
              <w:rPr>
                <w:color w:val="000000" w:themeColor="text1"/>
              </w:rPr>
              <w:t>299</w:t>
            </w:r>
          </w:p>
        </w:tc>
      </w:tr>
      <w:tr w:rsidR="00AF324C" w:rsidRPr="00780559" w14:paraId="6622600E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6C325" w14:textId="77777777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1.2. valsts speciālais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95FBA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A21BC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F2D07DB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9D48294" w14:textId="1949B6D5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D933F3D" w14:textId="172EA579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1B18FD2" w14:textId="3770A01D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4EDE977" w14:textId="1EBAD332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</w:tr>
      <w:tr w:rsidR="00AF324C" w:rsidRPr="00780559" w14:paraId="229374BC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BF398" w14:textId="77777777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1.3. pašvaldību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CE762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557A49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5411AA3" w14:textId="7777777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0B4C67E" w14:textId="2656DCAC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DA7AA12" w14:textId="4AF178DF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772F080" w14:textId="76BB4A34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434399F" w14:textId="6C771A67" w:rsidR="00AF324C" w:rsidRPr="00780559" w:rsidRDefault="00AF324C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 w:rsidRPr="00780559">
              <w:rPr>
                <w:iCs/>
                <w:color w:val="000000" w:themeColor="text1"/>
              </w:rPr>
              <w:t>0</w:t>
            </w:r>
          </w:p>
        </w:tc>
      </w:tr>
      <w:tr w:rsidR="00AF324C" w:rsidRPr="00780559" w14:paraId="1746416F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22053" w14:textId="77777777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 Budžeta izdevumi: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EC355" w14:textId="5C8AF43A" w:rsidR="00AF324C" w:rsidRPr="0035765A" w:rsidRDefault="00DA5C54" w:rsidP="00AF324C">
            <w:pPr>
              <w:jc w:val="center"/>
              <w:rPr>
                <w:i/>
                <w:color w:val="000000" w:themeColor="text1"/>
                <w:highlight w:val="yellow"/>
              </w:rPr>
            </w:pPr>
            <w:r w:rsidRPr="0035765A">
              <w:rPr>
                <w:color w:val="000000" w:themeColor="text1"/>
              </w:rPr>
              <w:t>623 686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2849AD" w14:textId="290ADF36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B30B6">
              <w:rPr>
                <w:color w:val="000000" w:themeColor="text1"/>
              </w:rPr>
              <w:t>299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B9F5BB8" w14:textId="30FA6DD3" w:rsidR="00AF324C" w:rsidRPr="00780559" w:rsidRDefault="00F735B3" w:rsidP="00AF32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623 391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9C6D318" w14:textId="1F88DC1E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B30B6">
              <w:rPr>
                <w:color w:val="000000" w:themeColor="text1"/>
              </w:rPr>
              <w:t>299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B8E94EF" w14:textId="048CE748" w:rsidR="00AF324C" w:rsidRPr="00AF324C" w:rsidRDefault="00F735B3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623 391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7B3B11A" w14:textId="3D55C428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B30B6">
              <w:rPr>
                <w:color w:val="000000" w:themeColor="text1"/>
              </w:rPr>
              <w:t>299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7F46EAA" w14:textId="453442A5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5E7ADF">
              <w:rPr>
                <w:color w:val="000000" w:themeColor="text1"/>
              </w:rPr>
              <w:t>299</w:t>
            </w:r>
          </w:p>
        </w:tc>
      </w:tr>
      <w:tr w:rsidR="00AF324C" w:rsidRPr="00780559" w14:paraId="4E8FDD48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48F259" w14:textId="77777777" w:rsidR="00AF324C" w:rsidRPr="00780559" w:rsidRDefault="00AF324C" w:rsidP="00AF324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2.1. valsts pamatbudžets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634EB" w14:textId="711B2289" w:rsidR="00AF324C" w:rsidRPr="0035765A" w:rsidRDefault="00DA5C54" w:rsidP="00AF324C">
            <w:pPr>
              <w:jc w:val="center"/>
              <w:rPr>
                <w:color w:val="000000" w:themeColor="text1"/>
                <w:highlight w:val="yellow"/>
              </w:rPr>
            </w:pPr>
            <w:r w:rsidRPr="0035765A">
              <w:rPr>
                <w:color w:val="000000" w:themeColor="text1"/>
              </w:rPr>
              <w:t>623 686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90D7D" w14:textId="0937251A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21466">
              <w:rPr>
                <w:color w:val="000000" w:themeColor="text1"/>
              </w:rPr>
              <w:t>299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D774076" w14:textId="3E639E1E" w:rsidR="00AF324C" w:rsidRPr="00780559" w:rsidRDefault="00F735B3" w:rsidP="00AF32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623 391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9E67959" w14:textId="02CE5166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21466">
              <w:rPr>
                <w:color w:val="000000" w:themeColor="text1"/>
              </w:rPr>
              <w:t>299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2F0D6B9" w14:textId="5EAA8014" w:rsidR="00AF324C" w:rsidRPr="00AF324C" w:rsidRDefault="00F735B3" w:rsidP="00AF324C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623 391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F37CE40" w14:textId="677B1E56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F21466">
              <w:rPr>
                <w:color w:val="000000" w:themeColor="text1"/>
              </w:rPr>
              <w:t>299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C6A2164" w14:textId="34B57FB5" w:rsidR="00AF324C" w:rsidRPr="00780559" w:rsidRDefault="00AF324C" w:rsidP="00AF324C">
            <w:pPr>
              <w:jc w:val="center"/>
              <w:rPr>
                <w:color w:val="000000" w:themeColor="text1"/>
              </w:rPr>
            </w:pPr>
            <w:r w:rsidRPr="005E7ADF">
              <w:rPr>
                <w:color w:val="000000" w:themeColor="text1"/>
              </w:rPr>
              <w:t>299</w:t>
            </w:r>
          </w:p>
        </w:tc>
      </w:tr>
      <w:tr w:rsidR="00A91877" w:rsidRPr="00780559" w14:paraId="34E71C7C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8F8D7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2.2. valsts speciālais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EEFE0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53ED2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367A302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A63D10B" w14:textId="52ADAC3F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9E5375A" w14:textId="6A34E5E1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21D7AEF" w14:textId="7DD5913E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989574E" w14:textId="7EF9040E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4DC4C217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C9006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2.3. pašvaldību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6DFAE4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EC5F6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43D2CA2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F322683" w14:textId="6BB5C3A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9E61A84" w14:textId="284C38F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8E49472" w14:textId="0531E5BF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B9427BA" w14:textId="0C29C12D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2DE6FC89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6DD0D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 Finansiālā ietekme: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AF664" w14:textId="4DA4FB86" w:rsidR="00F96068" w:rsidRPr="00AC03B5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AC03B5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7B3CC8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3D7B893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CD00474" w14:textId="371FC48C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5D092E1" w14:textId="71203CF9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4E3B66F" w14:textId="66478B5A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D9F9369" w14:textId="3E36BC54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7275AED5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2E1FF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3.1. valsts pamatbudžets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4BF63" w14:textId="63A7B8F3" w:rsidR="00F96068" w:rsidRPr="00AC03B5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AC03B5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F2B4E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F6D305F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EAE8A3B" w14:textId="58C3F178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AE568AE" w14:textId="4D367EE2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2FA10EE" w14:textId="61B9FA06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DEDAF95" w14:textId="7BCF83A3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5354126F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11B10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3.2. speciālais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80E0E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FEF60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A0F09E0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4B13E1C" w14:textId="701374CA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DFA7B3C" w14:textId="35B465C6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307B031" w14:textId="36B99B76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D56BB17" w14:textId="0DC4D40D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47CE006A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40530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3.3. pašvaldību budžets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7EC9C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D0545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56017C9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F3850D4" w14:textId="35744E50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27D4D30" w14:textId="1DF65C1C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8D72396" w14:textId="098DCB32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C071C1A" w14:textId="1E10E2BD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4E347DB5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2BCB9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4. Finanšu līdzekļi papildu izde</w:t>
            </w:r>
            <w:r w:rsidRPr="00780559">
              <w:rPr>
                <w:color w:val="000000" w:themeColor="text1"/>
              </w:rPr>
              <w:softHyphen/>
              <w:t>vumu finansēšanai (kompensējošu izdevumu samazinājumu norāda ar "+" zīmi)</w:t>
            </w:r>
          </w:p>
        </w:tc>
        <w:tc>
          <w:tcPr>
            <w:tcW w:w="4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3ED35C" w14:textId="77777777" w:rsidR="00F96068" w:rsidRPr="00780559" w:rsidRDefault="00F96068" w:rsidP="00F9606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X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F3535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BE9025A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A9C4029" w14:textId="49ED2050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50C1734" w14:textId="3571677F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6DB22C6" w14:textId="1FB9020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BE2FDEE" w14:textId="45486F1A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1A0A5632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C77879" w14:textId="77777777" w:rsidR="00F96068" w:rsidRPr="00780559" w:rsidRDefault="00F96068" w:rsidP="00F96068">
            <w:pPr>
              <w:rPr>
                <w:color w:val="000000" w:themeColor="text1"/>
              </w:rPr>
            </w:pPr>
          </w:p>
        </w:tc>
        <w:tc>
          <w:tcPr>
            <w:tcW w:w="4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658D20" w14:textId="77777777" w:rsidR="00F96068" w:rsidRPr="00780559" w:rsidRDefault="00F96068" w:rsidP="00F96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3F64B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B6C63C7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2A75240" w14:textId="28FD8151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83C9C8B" w14:textId="78341F72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7D8233A" w14:textId="178F7740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84E2C67" w14:textId="4618FE14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0D444C56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99696C" w14:textId="77777777" w:rsidR="00F96068" w:rsidRPr="00780559" w:rsidRDefault="00F96068" w:rsidP="00F96068">
            <w:pPr>
              <w:rPr>
                <w:color w:val="000000" w:themeColor="text1"/>
              </w:rPr>
            </w:pPr>
          </w:p>
        </w:tc>
        <w:tc>
          <w:tcPr>
            <w:tcW w:w="4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E22FC" w14:textId="77777777" w:rsidR="00F96068" w:rsidRPr="00780559" w:rsidRDefault="00F96068" w:rsidP="00F96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0F3B6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7D288F9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FADF69B" w14:textId="2056DB9E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2DD9C09" w14:textId="527F7B6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7B04A60" w14:textId="75DE8845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AB7EE78" w14:textId="249AF4DB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7554237A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13173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5. Precizēta finansiālā ietekme:</w:t>
            </w:r>
          </w:p>
        </w:tc>
        <w:tc>
          <w:tcPr>
            <w:tcW w:w="4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2B0B7" w14:textId="77777777" w:rsidR="00F96068" w:rsidRPr="00780559" w:rsidRDefault="00F96068" w:rsidP="00F9606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X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22F33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C59A5BF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C07634A" w14:textId="3F33F20C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63871B8" w14:textId="19CD822B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4BBBF01" w14:textId="751EBDD8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6F77CF" w14:textId="1D01AFA3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052F22F2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1F303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5.1. valsts pamatbudžets</w:t>
            </w:r>
          </w:p>
        </w:tc>
        <w:tc>
          <w:tcPr>
            <w:tcW w:w="4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347EF2" w14:textId="77777777" w:rsidR="00F96068" w:rsidRPr="00780559" w:rsidRDefault="00F96068" w:rsidP="00F96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F70758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9E19782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3985914" w14:textId="46D9924C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E7E1638" w14:textId="72FA9E50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459BBDC" w14:textId="3765EE32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6271A77" w14:textId="3EB6C2BE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221853E7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C5DF9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5.2. speciālais budžets</w:t>
            </w:r>
          </w:p>
        </w:tc>
        <w:tc>
          <w:tcPr>
            <w:tcW w:w="4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8E2545" w14:textId="77777777" w:rsidR="00F96068" w:rsidRPr="00780559" w:rsidRDefault="00F96068" w:rsidP="00F96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38C62C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317546F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E1027CA" w14:textId="23CE4295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10F06FB" w14:textId="36DB170D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B1853D2" w14:textId="5C6FCF33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88BB128" w14:textId="013721CD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A91877" w:rsidRPr="00780559" w14:paraId="14FA0873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78EE0" w14:textId="77777777" w:rsidR="00F96068" w:rsidRPr="00780559" w:rsidRDefault="00F96068" w:rsidP="00F9606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lastRenderedPageBreak/>
              <w:t>5.3. pašvaldību budžets</w:t>
            </w:r>
          </w:p>
        </w:tc>
        <w:tc>
          <w:tcPr>
            <w:tcW w:w="4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10E591" w14:textId="77777777" w:rsidR="00F96068" w:rsidRPr="00780559" w:rsidRDefault="00F96068" w:rsidP="00F96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3BC60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49E7A68" w14:textId="7777777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5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8E08FA9" w14:textId="3ADD00DB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2A5837">
              <w:rPr>
                <w:color w:val="000000" w:themeColor="text1"/>
              </w:rPr>
              <w:t>0</w:t>
            </w:r>
          </w:p>
        </w:tc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ECA9EDA" w14:textId="0C73FDE9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1FEC3E0" w14:textId="486CCBF7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861A6E">
              <w:rPr>
                <w:color w:val="000000" w:themeColor="text1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E3CFE71" w14:textId="4027CD60" w:rsidR="00F96068" w:rsidRPr="00780559" w:rsidRDefault="00F96068" w:rsidP="00F96068">
            <w:pPr>
              <w:spacing w:line="360" w:lineRule="auto"/>
              <w:jc w:val="center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0</w:t>
            </w:r>
          </w:p>
        </w:tc>
      </w:tr>
      <w:tr w:rsidR="00100C2F" w:rsidRPr="00780559" w14:paraId="1C6E73F3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2DD9F" w14:textId="6F9F7A4D" w:rsidR="002D5561" w:rsidRPr="00780559" w:rsidRDefault="002D5561" w:rsidP="00A9187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736" w:type="pct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F9CFF4A" w14:textId="242566F7" w:rsidR="002D5561" w:rsidRPr="0035765A" w:rsidRDefault="00DF2654" w:rsidP="001414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Atbilstoši likumam </w:t>
            </w:r>
            <w:r w:rsidRPr="0035765A">
              <w:rPr>
                <w:color w:val="000000" w:themeColor="text1"/>
              </w:rPr>
              <w:t>“</w:t>
            </w:r>
            <w:r w:rsidR="002D5561" w:rsidRPr="0035765A">
              <w:rPr>
                <w:color w:val="000000" w:themeColor="text1"/>
              </w:rPr>
              <w:t>Par valsts budžetu 20</w:t>
            </w:r>
            <w:r w:rsidR="00DA5C54" w:rsidRPr="0035765A">
              <w:rPr>
                <w:color w:val="000000" w:themeColor="text1"/>
              </w:rPr>
              <w:t>20</w:t>
            </w:r>
            <w:r w:rsidR="002D5561" w:rsidRPr="0035765A">
              <w:rPr>
                <w:color w:val="000000" w:themeColor="text1"/>
              </w:rPr>
              <w:t>.gadam” Izglītības un zinātnes ministrijas budžeta programmas 0</w:t>
            </w:r>
            <w:r w:rsidR="00BF6C46" w:rsidRPr="0035765A">
              <w:rPr>
                <w:color w:val="000000" w:themeColor="text1"/>
              </w:rPr>
              <w:t>1</w:t>
            </w:r>
            <w:r w:rsidRPr="0035765A">
              <w:rPr>
                <w:color w:val="000000" w:themeColor="text1"/>
              </w:rPr>
              <w:t>.00.00 “</w:t>
            </w:r>
            <w:r w:rsidR="00BF6C46" w:rsidRPr="0035765A">
              <w:rPr>
                <w:color w:val="000000" w:themeColor="text1"/>
              </w:rPr>
              <w:t>Vispārējā izglītība</w:t>
            </w:r>
            <w:r w:rsidR="002D5561" w:rsidRPr="0035765A">
              <w:rPr>
                <w:color w:val="000000" w:themeColor="text1"/>
              </w:rPr>
              <w:t>” apakšprogrammā 0</w:t>
            </w:r>
            <w:r w:rsidR="00BF6C46" w:rsidRPr="0035765A">
              <w:rPr>
                <w:color w:val="000000" w:themeColor="text1"/>
              </w:rPr>
              <w:t>1</w:t>
            </w:r>
            <w:r w:rsidR="002D5561" w:rsidRPr="0035765A">
              <w:rPr>
                <w:color w:val="000000" w:themeColor="text1"/>
              </w:rPr>
              <w:t>.0</w:t>
            </w:r>
            <w:r w:rsidR="00BF6C46" w:rsidRPr="0035765A">
              <w:rPr>
                <w:color w:val="000000" w:themeColor="text1"/>
              </w:rPr>
              <w:t>3</w:t>
            </w:r>
            <w:r w:rsidRPr="0035765A">
              <w:rPr>
                <w:color w:val="000000" w:themeColor="text1"/>
              </w:rPr>
              <w:t>.00 “</w:t>
            </w:r>
            <w:r w:rsidR="00BF6C46" w:rsidRPr="0035765A">
              <w:rPr>
                <w:color w:val="000000" w:themeColor="text1"/>
              </w:rPr>
              <w:t>Sociālās korekcijas</w:t>
            </w:r>
            <w:r w:rsidR="002D5561" w:rsidRPr="0035765A">
              <w:rPr>
                <w:color w:val="000000" w:themeColor="text1"/>
              </w:rPr>
              <w:t xml:space="preserve"> izglītības </w:t>
            </w:r>
            <w:r w:rsidR="00BF6C46" w:rsidRPr="0035765A">
              <w:rPr>
                <w:color w:val="000000" w:themeColor="text1"/>
              </w:rPr>
              <w:t>iestāde</w:t>
            </w:r>
            <w:r w:rsidR="002D5561" w:rsidRPr="0035765A">
              <w:rPr>
                <w:color w:val="000000" w:themeColor="text1"/>
              </w:rPr>
              <w:t xml:space="preserve">” </w:t>
            </w:r>
            <w:r w:rsidR="00F6733E" w:rsidRPr="0035765A">
              <w:rPr>
                <w:color w:val="000000" w:themeColor="text1"/>
              </w:rPr>
              <w:t xml:space="preserve">paredzētie līdzekļi ir </w:t>
            </w:r>
            <w:r w:rsidR="00DA5C54" w:rsidRPr="0035765A">
              <w:rPr>
                <w:color w:val="000000" w:themeColor="text1"/>
              </w:rPr>
              <w:t>623 686</w:t>
            </w:r>
            <w:r w:rsidR="00F6733E" w:rsidRPr="0035765A">
              <w:rPr>
                <w:color w:val="000000" w:themeColor="text1"/>
              </w:rPr>
              <w:t xml:space="preserve"> </w:t>
            </w:r>
            <w:proofErr w:type="spellStart"/>
            <w:r w:rsidRPr="0035765A">
              <w:rPr>
                <w:i/>
                <w:color w:val="000000" w:themeColor="text1"/>
              </w:rPr>
              <w:t>euro</w:t>
            </w:r>
            <w:proofErr w:type="spellEnd"/>
            <w:r w:rsidRPr="0035765A">
              <w:rPr>
                <w:color w:val="000000" w:themeColor="text1"/>
              </w:rPr>
              <w:t xml:space="preserve"> </w:t>
            </w:r>
            <w:r w:rsidR="00F6733E" w:rsidRPr="0035765A">
              <w:rPr>
                <w:color w:val="000000" w:themeColor="text1"/>
              </w:rPr>
              <w:t xml:space="preserve">apmērā, no kuriem </w:t>
            </w:r>
            <w:r w:rsidR="002D5561" w:rsidRPr="0035765A">
              <w:rPr>
                <w:color w:val="000000" w:themeColor="text1"/>
              </w:rPr>
              <w:t xml:space="preserve">plānoti ieņēmumi no maksas pakalpojumiem un citi pašu ieņēmumi </w:t>
            </w:r>
            <w:r w:rsidR="00BF6C46" w:rsidRPr="0035765A">
              <w:rPr>
                <w:color w:val="000000" w:themeColor="text1"/>
              </w:rPr>
              <w:t>18</w:t>
            </w:r>
            <w:r w:rsidR="00F6733E" w:rsidRPr="0035765A">
              <w:rPr>
                <w:color w:val="000000" w:themeColor="text1"/>
              </w:rPr>
              <w:t> </w:t>
            </w:r>
            <w:r w:rsidR="00BF6C46" w:rsidRPr="0035765A">
              <w:rPr>
                <w:color w:val="000000" w:themeColor="text1"/>
              </w:rPr>
              <w:t>213</w:t>
            </w:r>
            <w:r w:rsidR="00F6733E" w:rsidRPr="0035765A">
              <w:rPr>
                <w:color w:val="000000" w:themeColor="text1"/>
              </w:rPr>
              <w:t> </w:t>
            </w:r>
            <w:proofErr w:type="spellStart"/>
            <w:r w:rsidR="002D5561" w:rsidRPr="0035765A">
              <w:rPr>
                <w:i/>
                <w:color w:val="000000" w:themeColor="text1"/>
              </w:rPr>
              <w:t>euro</w:t>
            </w:r>
            <w:proofErr w:type="spellEnd"/>
            <w:r w:rsidR="00F6733E" w:rsidRPr="0035765A">
              <w:rPr>
                <w:color w:val="000000" w:themeColor="text1"/>
              </w:rPr>
              <w:t xml:space="preserve"> apmērā.</w:t>
            </w:r>
          </w:p>
          <w:p w14:paraId="74FAB49D" w14:textId="202B57A7" w:rsidR="002D5561" w:rsidRPr="00780559" w:rsidRDefault="00DF2654" w:rsidP="001414D6">
            <w:pPr>
              <w:jc w:val="both"/>
              <w:rPr>
                <w:color w:val="000000" w:themeColor="text1"/>
              </w:rPr>
            </w:pPr>
            <w:r w:rsidRPr="0035765A">
              <w:rPr>
                <w:color w:val="000000" w:themeColor="text1"/>
              </w:rPr>
              <w:t>Noteikumu projekts</w:t>
            </w:r>
            <w:r w:rsidR="002D5561" w:rsidRPr="0035765A">
              <w:rPr>
                <w:color w:val="000000" w:themeColor="text1"/>
              </w:rPr>
              <w:t xml:space="preserve"> sakārtos esošo situāciju ar </w:t>
            </w:r>
            <w:r w:rsidR="00853100" w:rsidRPr="0035765A">
              <w:rPr>
                <w:color w:val="000000" w:themeColor="text1"/>
              </w:rPr>
              <w:t>SKII “Naukšēni”</w:t>
            </w:r>
            <w:r w:rsidR="002D5561" w:rsidRPr="0035765A">
              <w:rPr>
                <w:color w:val="000000" w:themeColor="text1"/>
              </w:rPr>
              <w:t xml:space="preserve"> sniegtajiem maksas pakalpojumiem atbilstoši Likum</w:t>
            </w:r>
            <w:r w:rsidRPr="0035765A">
              <w:rPr>
                <w:color w:val="000000" w:themeColor="text1"/>
              </w:rPr>
              <w:t xml:space="preserve">a par budžeta un finanšu vadību </w:t>
            </w:r>
            <w:r w:rsidR="00230AF1" w:rsidRPr="0035765A">
              <w:rPr>
                <w:color w:val="000000" w:themeColor="text1"/>
              </w:rPr>
              <w:t xml:space="preserve">prasībām, </w:t>
            </w:r>
            <w:r w:rsidR="002D5561" w:rsidRPr="0035765A">
              <w:rPr>
                <w:color w:val="000000" w:themeColor="text1"/>
              </w:rPr>
              <w:t xml:space="preserve">palielinot </w:t>
            </w:r>
            <w:r w:rsidR="002D5561" w:rsidRPr="00780559">
              <w:rPr>
                <w:color w:val="000000" w:themeColor="text1"/>
              </w:rPr>
              <w:t xml:space="preserve">gadam plānoto maksas pakalpojumu un citu pašu ieņēmumu un </w:t>
            </w:r>
            <w:r w:rsidR="00230AF1">
              <w:rPr>
                <w:color w:val="000000" w:themeColor="text1"/>
              </w:rPr>
              <w:t>no tiem sedzamo izdevumu apjomu par 2</w:t>
            </w:r>
            <w:r w:rsidR="00A57EEA">
              <w:rPr>
                <w:color w:val="000000" w:themeColor="text1"/>
              </w:rPr>
              <w:t>99</w:t>
            </w:r>
            <w:r w:rsidR="00230AF1">
              <w:rPr>
                <w:color w:val="000000" w:themeColor="text1"/>
              </w:rPr>
              <w:t xml:space="preserve"> </w:t>
            </w:r>
            <w:proofErr w:type="spellStart"/>
            <w:r w:rsidR="00230AF1" w:rsidRPr="00335A25">
              <w:rPr>
                <w:i/>
                <w:color w:val="000000" w:themeColor="text1"/>
              </w:rPr>
              <w:t>euro</w:t>
            </w:r>
            <w:proofErr w:type="spellEnd"/>
            <w:r w:rsidR="00230AF1">
              <w:rPr>
                <w:color w:val="000000" w:themeColor="text1"/>
              </w:rPr>
              <w:t>.</w:t>
            </w:r>
          </w:p>
          <w:p w14:paraId="50EFD941" w14:textId="3C0260EE" w:rsidR="002D5561" w:rsidRPr="00780559" w:rsidRDefault="002D5561" w:rsidP="001414D6">
            <w:pPr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 xml:space="preserve">Maksas pakalpojumu izcenojumu aprēķini pievienoti </w:t>
            </w:r>
            <w:r w:rsidR="00357CFF">
              <w:rPr>
                <w:color w:val="000000" w:themeColor="text1"/>
              </w:rPr>
              <w:t>anotācijas pielikumā</w:t>
            </w:r>
            <w:r w:rsidR="0094411D" w:rsidRPr="00780559">
              <w:rPr>
                <w:color w:val="000000" w:themeColor="text1"/>
              </w:rPr>
              <w:t>.</w:t>
            </w:r>
          </w:p>
        </w:tc>
      </w:tr>
      <w:tr w:rsidR="00100C2F" w:rsidRPr="00780559" w14:paraId="467B4E24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2E2E1" w14:textId="77777777" w:rsidR="002D5561" w:rsidRPr="00780559" w:rsidRDefault="002D5561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6.1. detalizēts ieņēmumu aprēķins</w:t>
            </w:r>
          </w:p>
        </w:tc>
        <w:tc>
          <w:tcPr>
            <w:tcW w:w="3736" w:type="pct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70A6B504" w14:textId="77777777" w:rsidR="002D5561" w:rsidRPr="00780559" w:rsidRDefault="002D5561" w:rsidP="00D03DB4">
            <w:pPr>
              <w:rPr>
                <w:color w:val="000000" w:themeColor="text1"/>
              </w:rPr>
            </w:pPr>
          </w:p>
        </w:tc>
      </w:tr>
      <w:tr w:rsidR="00100C2F" w:rsidRPr="00780559" w14:paraId="0718EF06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371A64E" w14:textId="77777777" w:rsidR="002D5561" w:rsidRPr="00780559" w:rsidRDefault="002D5561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6.2. detalizēts izdevumu aprēķins</w:t>
            </w:r>
          </w:p>
        </w:tc>
        <w:tc>
          <w:tcPr>
            <w:tcW w:w="3736" w:type="pct"/>
            <w:gridSpan w:val="7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05AF0A" w14:textId="77777777" w:rsidR="002D5561" w:rsidRPr="00780559" w:rsidRDefault="002D5561" w:rsidP="00D03DB4">
            <w:pPr>
              <w:rPr>
                <w:color w:val="000000" w:themeColor="text1"/>
              </w:rPr>
            </w:pPr>
          </w:p>
        </w:tc>
      </w:tr>
      <w:tr w:rsidR="00D83CDA" w:rsidRPr="00780559" w14:paraId="6A540C81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263" w14:textId="6A0F0514" w:rsidR="00D83CDA" w:rsidRPr="00780559" w:rsidRDefault="00D83CDA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Amata vietu skaita izmaiņas</w:t>
            </w:r>
          </w:p>
        </w:tc>
        <w:tc>
          <w:tcPr>
            <w:tcW w:w="3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0AB" w14:textId="4D4A4FEB" w:rsidR="00D83CDA" w:rsidRPr="00780559" w:rsidRDefault="00B002D0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47021">
              <w:rPr>
                <w:rFonts w:eastAsia="Times New Roman"/>
              </w:rPr>
              <w:t>Noteikumu projekts šo jomu neskar.</w:t>
            </w:r>
          </w:p>
        </w:tc>
      </w:tr>
      <w:tr w:rsidR="00100C2F" w:rsidRPr="00780559" w14:paraId="764608DB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B3B" w14:textId="3F0F0D4E" w:rsidR="002D5561" w:rsidRPr="00780559" w:rsidRDefault="00D83CDA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D5561" w:rsidRPr="00780559">
              <w:rPr>
                <w:color w:val="000000" w:themeColor="text1"/>
              </w:rPr>
              <w:t>. Cita informācija</w:t>
            </w:r>
          </w:p>
        </w:tc>
        <w:tc>
          <w:tcPr>
            <w:tcW w:w="37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D29" w14:textId="26C543B3" w:rsidR="002D5561" w:rsidRPr="00780559" w:rsidRDefault="002D5561" w:rsidP="00D03DB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Nav</w:t>
            </w:r>
            <w:r w:rsidR="00D83CDA">
              <w:rPr>
                <w:color w:val="000000" w:themeColor="text1"/>
              </w:rPr>
              <w:t>.</w:t>
            </w:r>
          </w:p>
        </w:tc>
      </w:tr>
      <w:tr w:rsidR="008D2970" w:rsidRPr="00780559" w14:paraId="5D9E6FAA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36AA1" w14:textId="77777777" w:rsidR="00C72123" w:rsidRDefault="00C72123" w:rsidP="00C72123">
            <w:pPr>
              <w:rPr>
                <w:rFonts w:eastAsia="Times New Roman"/>
                <w:iCs/>
              </w:rPr>
            </w:pPr>
          </w:p>
        </w:tc>
      </w:tr>
      <w:tr w:rsidR="008D2970" w:rsidRPr="00780559" w14:paraId="6C11C1FA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E79" w14:textId="05A5063D" w:rsidR="00C72123" w:rsidRDefault="00C72123" w:rsidP="00C72123">
            <w:pPr>
              <w:jc w:val="center"/>
              <w:rPr>
                <w:rFonts w:eastAsia="Times New Roman"/>
                <w:iCs/>
              </w:rPr>
            </w:pPr>
            <w:r w:rsidRPr="00645240">
              <w:rPr>
                <w:rFonts w:eastAsia="Times New Roman"/>
                <w:b/>
                <w:bCs/>
              </w:rPr>
              <w:t>IV. Tiesību akta projekta ietekme uz spēkā esošo tiesību normu sistēmu</w:t>
            </w:r>
          </w:p>
        </w:tc>
      </w:tr>
      <w:tr w:rsidR="008D2970" w:rsidRPr="00780559" w14:paraId="173E0A26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A5F" w14:textId="6A277D12" w:rsidR="00C72123" w:rsidRDefault="00C72123" w:rsidP="00C72123">
            <w:pPr>
              <w:jc w:val="center"/>
              <w:rPr>
                <w:rFonts w:eastAsia="Times New Roman"/>
                <w:iCs/>
              </w:rPr>
            </w:pPr>
            <w:r w:rsidRPr="00747021">
              <w:rPr>
                <w:rFonts w:eastAsia="Times New Roman"/>
              </w:rPr>
              <w:t>Noteikumu projekts šo jomu neskar.</w:t>
            </w:r>
          </w:p>
        </w:tc>
      </w:tr>
      <w:tr w:rsidR="008D2970" w:rsidRPr="00780559" w14:paraId="3B012384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4BC85" w14:textId="77777777" w:rsidR="002943B9" w:rsidRPr="00747021" w:rsidRDefault="002943B9" w:rsidP="00C72123">
            <w:pPr>
              <w:jc w:val="center"/>
              <w:rPr>
                <w:rFonts w:eastAsia="Times New Roman"/>
              </w:rPr>
            </w:pPr>
          </w:p>
        </w:tc>
      </w:tr>
      <w:tr w:rsidR="008D2970" w:rsidRPr="00780559" w14:paraId="760619F2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3DE" w14:textId="332091C3" w:rsidR="00CA7DA6" w:rsidRPr="00747021" w:rsidRDefault="00CA7DA6" w:rsidP="00C72123">
            <w:pPr>
              <w:jc w:val="center"/>
              <w:rPr>
                <w:rFonts w:eastAsia="Times New Roman"/>
              </w:rPr>
            </w:pPr>
            <w:r w:rsidRPr="00747021">
              <w:rPr>
                <w:rFonts w:eastAsia="Times New Roman"/>
                <w:b/>
              </w:rPr>
              <w:t>V. Tiesību akta projekta atbilstība Latvijas Republikas starptautiskajām saistībām</w:t>
            </w:r>
          </w:p>
        </w:tc>
      </w:tr>
      <w:tr w:rsidR="008D2970" w:rsidRPr="00780559" w14:paraId="37B45FD1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1DC" w14:textId="5FAD9DDA" w:rsidR="00CA7DA6" w:rsidRPr="00747021" w:rsidRDefault="00CA7DA6" w:rsidP="00C72123">
            <w:pPr>
              <w:jc w:val="center"/>
              <w:rPr>
                <w:rFonts w:eastAsia="Times New Roman"/>
              </w:rPr>
            </w:pPr>
            <w:r w:rsidRPr="00747021">
              <w:rPr>
                <w:rFonts w:eastAsia="Times New Roman"/>
              </w:rPr>
              <w:t>Noteikumu projekts šo jomu neskar.</w:t>
            </w:r>
          </w:p>
        </w:tc>
      </w:tr>
      <w:tr w:rsidR="008D2970" w:rsidRPr="00780559" w14:paraId="3A3B9CF2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E172B" w14:textId="77777777" w:rsidR="00D9499F" w:rsidRPr="00747021" w:rsidRDefault="00D9499F" w:rsidP="00C72123">
            <w:pPr>
              <w:jc w:val="center"/>
              <w:rPr>
                <w:rFonts w:eastAsia="Times New Roman"/>
                <w:b/>
                <w:bCs/>
                <w:iCs/>
              </w:rPr>
            </w:pPr>
          </w:p>
        </w:tc>
      </w:tr>
      <w:tr w:rsidR="008D2970" w:rsidRPr="00780559" w14:paraId="7246D97F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32C" w14:textId="3BAD54C1" w:rsidR="00CA7DA6" w:rsidRPr="00747021" w:rsidRDefault="00CA7DA6" w:rsidP="00C72123">
            <w:pPr>
              <w:jc w:val="center"/>
              <w:rPr>
                <w:rFonts w:eastAsia="Times New Roman"/>
              </w:rPr>
            </w:pPr>
            <w:r w:rsidRPr="00747021">
              <w:rPr>
                <w:rFonts w:eastAsia="Times New Roman"/>
                <w:b/>
                <w:bCs/>
                <w:iCs/>
              </w:rPr>
              <w:t>VI. Sabiedrības līdzdalība un komunikācijas aktivitātes</w:t>
            </w:r>
          </w:p>
        </w:tc>
      </w:tr>
      <w:tr w:rsidR="008D2970" w:rsidRPr="00780559" w14:paraId="4E9E247C" w14:textId="5F3DDFB2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230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849F" w14:textId="62BC68D1" w:rsidR="008D2970" w:rsidRPr="00747021" w:rsidRDefault="008D2970" w:rsidP="00C721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30E" w14:textId="7A197EA1" w:rsidR="008D2970" w:rsidRPr="003139C2" w:rsidRDefault="008D2970" w:rsidP="008D2970">
            <w:pPr>
              <w:rPr>
                <w:rFonts w:eastAsia="Times New Roman"/>
              </w:rPr>
            </w:pPr>
            <w:r w:rsidRPr="003139C2">
              <w:rPr>
                <w:rFonts w:eastAsia="Times New Roman"/>
              </w:rPr>
              <w:t>Plānotās sabiedrības līdzdalības un komunikācijas aktivitātes saistībā ar projektu</w:t>
            </w:r>
          </w:p>
        </w:tc>
        <w:tc>
          <w:tcPr>
            <w:tcW w:w="3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8D2" w14:textId="741B8AF6" w:rsidR="00AC13D8" w:rsidRPr="003139C2" w:rsidRDefault="00AC13D8" w:rsidP="003139C2">
            <w:pPr>
              <w:jc w:val="both"/>
              <w:rPr>
                <w:rFonts w:eastAsia="Times New Roman"/>
              </w:rPr>
            </w:pPr>
            <w:r w:rsidRPr="003139C2">
              <w:rPr>
                <w:rFonts w:eastAsia="Times New Roman"/>
              </w:rPr>
              <w:t>Sabiedrības līdzdalība noteikumu projekta izstrādē tik</w:t>
            </w:r>
            <w:r w:rsidR="00652835" w:rsidRPr="003139C2">
              <w:rPr>
                <w:rFonts w:eastAsia="Times New Roman"/>
              </w:rPr>
              <w:t>a</w:t>
            </w:r>
            <w:r w:rsidR="003139C2">
              <w:rPr>
                <w:rFonts w:eastAsia="Times New Roman"/>
              </w:rPr>
              <w:t xml:space="preserve"> nodrošināta, </w:t>
            </w:r>
            <w:r w:rsidRPr="003139C2">
              <w:rPr>
                <w:rFonts w:eastAsia="Times New Roman"/>
              </w:rPr>
              <w:t xml:space="preserve">ievietojot informāciju par noteikumu projektu </w:t>
            </w:r>
            <w:r w:rsidR="00986763" w:rsidRPr="003139C2">
              <w:rPr>
                <w:rFonts w:eastAsia="Times New Roman"/>
              </w:rPr>
              <w:t xml:space="preserve">Izglītības un zinātnes ministrijas tīmekļvietnes </w:t>
            </w:r>
            <w:r w:rsidRPr="003139C2">
              <w:rPr>
                <w:rFonts w:eastAsia="Times New Roman"/>
              </w:rPr>
              <w:t xml:space="preserve">www.izm.gov.lv </w:t>
            </w:r>
            <w:r w:rsidR="00986763" w:rsidRPr="003139C2">
              <w:rPr>
                <w:rFonts w:eastAsia="Times New Roman"/>
              </w:rPr>
              <w:t>sadaļā “Sabiedrības līdzdalība”</w:t>
            </w:r>
            <w:r w:rsidRPr="003139C2">
              <w:rPr>
                <w:rFonts w:eastAsia="Times New Roman"/>
              </w:rPr>
              <w:t xml:space="preserve"> un aicinot sabiedrības pārstāvjus rakstiski sniegt viedokli par noteikumu projektu tā izstrādes stadijā – nosūtot viedokli elektroniski uz elektronisko pasta adresi: </w:t>
            </w:r>
            <w:r w:rsidRPr="003139C2">
              <w:t>sanita.treimane@izm.gov.l</w:t>
            </w:r>
            <w:r w:rsidR="003139C2" w:rsidRPr="003139C2">
              <w:t>v</w:t>
            </w:r>
            <w:r w:rsidR="00652835" w:rsidRPr="003139C2">
              <w:rPr>
                <w:rFonts w:eastAsia="Times New Roman"/>
              </w:rPr>
              <w:t>. Sabiedrības pārstāvji varēja</w:t>
            </w:r>
            <w:r w:rsidRPr="003139C2">
              <w:rPr>
                <w:rFonts w:eastAsia="Times New Roman"/>
              </w:rPr>
              <w:t xml:space="preserve"> līdzdarboties noteikumu projekta izstrādē, sniedzot atzinumu un viedokli par noteikumu projektu.</w:t>
            </w:r>
          </w:p>
        </w:tc>
      </w:tr>
      <w:tr w:rsidR="00803263" w:rsidRPr="00780559" w14:paraId="7851EE0C" w14:textId="77777777" w:rsidTr="006722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3D6D" w14:textId="710E0718" w:rsidR="00803263" w:rsidRPr="00747021" w:rsidRDefault="00803263" w:rsidP="008032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1A9" w14:textId="3163564C" w:rsidR="00803263" w:rsidRPr="00747021" w:rsidRDefault="00803263" w:rsidP="008032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Sabiedrības līdzdalība projekta izstrādē</w:t>
            </w:r>
          </w:p>
        </w:tc>
        <w:tc>
          <w:tcPr>
            <w:tcW w:w="3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9AE" w14:textId="6193CDAE" w:rsidR="00803263" w:rsidRPr="003139C2" w:rsidRDefault="003139C2" w:rsidP="003139C2">
            <w:pPr>
              <w:jc w:val="both"/>
              <w:rPr>
                <w:rFonts w:eastAsia="Times New Roman"/>
              </w:rPr>
            </w:pPr>
            <w:r w:rsidRPr="003139C2">
              <w:rPr>
                <w:rFonts w:eastAsia="Times New Roman"/>
              </w:rPr>
              <w:t xml:space="preserve">Noteikumu projekts </w:t>
            </w:r>
            <w:r>
              <w:rPr>
                <w:rFonts w:eastAsia="Times New Roman"/>
              </w:rPr>
              <w:t>2019. </w:t>
            </w:r>
            <w:r w:rsidRPr="003139C2">
              <w:rPr>
                <w:rFonts w:eastAsia="Times New Roman"/>
              </w:rPr>
              <w:t xml:space="preserve">gada </w:t>
            </w:r>
            <w:r>
              <w:rPr>
                <w:rFonts w:eastAsia="Times New Roman"/>
              </w:rPr>
              <w:t>26. n</w:t>
            </w:r>
            <w:r w:rsidRPr="003139C2">
              <w:rPr>
                <w:rFonts w:eastAsia="Times New Roman"/>
              </w:rPr>
              <w:t>o</w:t>
            </w:r>
            <w:r>
              <w:rPr>
                <w:rFonts w:eastAsia="Times New Roman"/>
              </w:rPr>
              <w:t>vembrī</w:t>
            </w:r>
            <w:r w:rsidRPr="003139C2">
              <w:rPr>
                <w:rFonts w:eastAsia="Times New Roman"/>
              </w:rPr>
              <w:t xml:space="preserve"> ievietots Izglītības un zinātnes ministrijas mājas lapā (</w:t>
            </w:r>
            <w:hyperlink r:id="rId8" w:history="1">
              <w:r w:rsidRPr="003139C2">
                <w:rPr>
                  <w:rFonts w:eastAsia="Times New Roman"/>
                </w:rPr>
                <w:t>https://izm.gov.lv/lv/sabiedribas-lidzdaliba/sabiedriskajai-apspriesanai-nodotie-normativo-aktu-projekti/3791-socialas-korekcijas-izglitibas-iestades-naukseni-publisko-maksas-pakalpojumu-cenradis</w:t>
              </w:r>
            </w:hyperlink>
            <w:r w:rsidRPr="003139C2">
              <w:rPr>
                <w:rFonts w:eastAsia="Times New Roman"/>
              </w:rPr>
              <w:t>).</w:t>
            </w:r>
          </w:p>
        </w:tc>
      </w:tr>
      <w:tr w:rsidR="00803263" w:rsidRPr="00780559" w14:paraId="36D3EA14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C19" w14:textId="42331682" w:rsidR="00803263" w:rsidRPr="00747021" w:rsidRDefault="00803263" w:rsidP="008032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FDD" w14:textId="17DE06D8" w:rsidR="00803263" w:rsidRPr="00747021" w:rsidRDefault="00803263" w:rsidP="008032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Sabiedrības līdzdalības rezultāti</w:t>
            </w:r>
          </w:p>
        </w:tc>
        <w:tc>
          <w:tcPr>
            <w:tcW w:w="3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09A" w14:textId="7C70FBCF" w:rsidR="00803263" w:rsidRPr="003139C2" w:rsidRDefault="005701FE" w:rsidP="008C10D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="00803263" w:rsidRPr="003139C2">
              <w:rPr>
                <w:rFonts w:eastAsia="Times New Roman"/>
              </w:rPr>
              <w:t>abiedrības pārstāvju viedokļi</w:t>
            </w:r>
            <w:r w:rsidR="003139C2" w:rsidRPr="003139C2">
              <w:rPr>
                <w:rFonts w:eastAsia="Times New Roman"/>
              </w:rPr>
              <w:t xml:space="preserve"> netika saņemti.</w:t>
            </w:r>
          </w:p>
        </w:tc>
      </w:tr>
      <w:tr w:rsidR="008D2970" w:rsidRPr="00780559" w14:paraId="4A4C0DDB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C7D" w14:textId="3CF35D8E" w:rsidR="008D2970" w:rsidRPr="00747021" w:rsidRDefault="008D2970" w:rsidP="00C721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B79" w14:textId="4D0AB642" w:rsidR="008D2970" w:rsidRPr="00747021" w:rsidRDefault="008D2970" w:rsidP="008D29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Cita informācija</w:t>
            </w:r>
          </w:p>
        </w:tc>
        <w:tc>
          <w:tcPr>
            <w:tcW w:w="3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8A8" w14:textId="2EFEDDEA" w:rsidR="008D2970" w:rsidRPr="00747021" w:rsidRDefault="008D2970" w:rsidP="008D29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Nav.</w:t>
            </w:r>
          </w:p>
        </w:tc>
      </w:tr>
      <w:tr w:rsidR="008D2970" w:rsidRPr="00780559" w14:paraId="24305CE3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5E6B4" w14:textId="77777777" w:rsidR="008D2970" w:rsidRPr="00780559" w:rsidRDefault="008D2970" w:rsidP="002D556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</w:p>
        </w:tc>
      </w:tr>
      <w:tr w:rsidR="008D2970" w:rsidRPr="00780559" w14:paraId="2401AACA" w14:textId="77777777" w:rsidTr="00AF324C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bottom w:val="outset" w:sz="6" w:space="0" w:color="000000"/>
            </w:tcBorders>
          </w:tcPr>
          <w:p w14:paraId="3FF13817" w14:textId="1ED7C8B3" w:rsidR="002D5561" w:rsidRPr="00780559" w:rsidRDefault="002D5561" w:rsidP="002D556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780559">
              <w:rPr>
                <w:b/>
                <w:color w:val="000000" w:themeColor="text1"/>
              </w:rPr>
              <w:t>VII. Tiesību akta projekta izpildes nodrošināšana un tās ietekme uz institūcijām</w:t>
            </w:r>
          </w:p>
        </w:tc>
      </w:tr>
      <w:tr w:rsidR="00A91877" w:rsidRPr="00780559" w14:paraId="59041019" w14:textId="77777777" w:rsidTr="00AF324C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3"/>
          <w:jc w:val="center"/>
        </w:trPr>
        <w:tc>
          <w:tcPr>
            <w:tcW w:w="240" w:type="pct"/>
          </w:tcPr>
          <w:p w14:paraId="23D32B7B" w14:textId="77777777" w:rsidR="002D5561" w:rsidRPr="00780559" w:rsidRDefault="002D5561" w:rsidP="00D03DB4">
            <w:pPr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1024" w:type="pct"/>
            <w:gridSpan w:val="3"/>
          </w:tcPr>
          <w:p w14:paraId="7737D3BD" w14:textId="77777777" w:rsidR="002D5561" w:rsidRPr="00780559" w:rsidRDefault="002D5561" w:rsidP="00D03DB4">
            <w:pPr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>Projekta izpildē iesaistītās institūcijas</w:t>
            </w:r>
          </w:p>
        </w:tc>
        <w:tc>
          <w:tcPr>
            <w:tcW w:w="3736" w:type="pct"/>
            <w:gridSpan w:val="7"/>
          </w:tcPr>
          <w:p w14:paraId="33C2F37F" w14:textId="0D3D3A1D" w:rsidR="002D5561" w:rsidRPr="00780559" w:rsidRDefault="002D5561" w:rsidP="00DF2654">
            <w:pPr>
              <w:ind w:left="-57"/>
              <w:jc w:val="both"/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>N</w:t>
            </w:r>
            <w:r w:rsidR="00DF2654">
              <w:rPr>
                <w:rFonts w:eastAsia="Times New Roman"/>
                <w:color w:val="000000" w:themeColor="text1"/>
              </w:rPr>
              <w:t xml:space="preserve">oteikumu projekta </w:t>
            </w:r>
            <w:r w:rsidRPr="00780559">
              <w:rPr>
                <w:rFonts w:eastAsia="Times New Roman"/>
                <w:color w:val="000000" w:themeColor="text1"/>
              </w:rPr>
              <w:t xml:space="preserve">izpildi veiks </w:t>
            </w:r>
            <w:r w:rsidR="00185051">
              <w:rPr>
                <w:color w:val="000000" w:themeColor="text1"/>
              </w:rPr>
              <w:t>SKII “Naukšēni”</w:t>
            </w:r>
            <w:r w:rsidR="00E53080" w:rsidRPr="00780559">
              <w:rPr>
                <w:rFonts w:eastAsia="Times New Roman"/>
                <w:color w:val="000000" w:themeColor="text1"/>
              </w:rPr>
              <w:t xml:space="preserve"> sadarbībā ar Izglītības un </w:t>
            </w:r>
            <w:r w:rsidRPr="00780559">
              <w:rPr>
                <w:rFonts w:eastAsia="Times New Roman"/>
                <w:color w:val="000000" w:themeColor="text1"/>
              </w:rPr>
              <w:t>zinātnes ministriju.</w:t>
            </w:r>
          </w:p>
        </w:tc>
      </w:tr>
      <w:tr w:rsidR="00A91877" w:rsidRPr="00780559" w14:paraId="1E9E2D30" w14:textId="77777777" w:rsidTr="00347CA7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3"/>
          <w:jc w:val="center"/>
        </w:trPr>
        <w:tc>
          <w:tcPr>
            <w:tcW w:w="240" w:type="pct"/>
          </w:tcPr>
          <w:p w14:paraId="0BEA7B6F" w14:textId="77777777" w:rsidR="002D5561" w:rsidRPr="00780559" w:rsidRDefault="002D5561" w:rsidP="00D03DB4">
            <w:pPr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1024" w:type="pct"/>
            <w:gridSpan w:val="3"/>
          </w:tcPr>
          <w:p w14:paraId="3D8DF777" w14:textId="77777777" w:rsidR="002D5561" w:rsidRPr="00780559" w:rsidRDefault="002D5561" w:rsidP="00D03DB4">
            <w:pPr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 xml:space="preserve">Projekta izpildes ietekme uz pārvaldes funkcijām un institucionālo struktūru. </w:t>
            </w:r>
          </w:p>
          <w:p w14:paraId="0A5B552B" w14:textId="77777777" w:rsidR="002D5561" w:rsidRPr="00780559" w:rsidRDefault="002D5561" w:rsidP="00D03DB4">
            <w:pPr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73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AD4C5B" w14:textId="77777777" w:rsidR="00DF2654" w:rsidRDefault="00DF2654" w:rsidP="00DF2654">
            <w:pPr>
              <w:ind w:left="-57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Noteikumu p</w:t>
            </w:r>
            <w:r w:rsidR="002D5561" w:rsidRPr="00780559">
              <w:rPr>
                <w:rFonts w:eastAsia="Times New Roman"/>
                <w:color w:val="000000" w:themeColor="text1"/>
              </w:rPr>
              <w:t>rojekta izpilde neietekmēs pārvaldes funkcij</w:t>
            </w:r>
            <w:r w:rsidR="00B95564">
              <w:rPr>
                <w:rFonts w:eastAsia="Times New Roman"/>
                <w:color w:val="000000" w:themeColor="text1"/>
              </w:rPr>
              <w:t>as un institucionālo struktūru.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="002D5561" w:rsidRPr="00780559">
              <w:rPr>
                <w:rFonts w:eastAsia="Times New Roman"/>
                <w:color w:val="000000" w:themeColor="text1"/>
              </w:rPr>
              <w:t>Jaunu institūciju izveide, esošu institūciju likvidācija vai reorganizācija nav nepieciešama.</w:t>
            </w:r>
          </w:p>
          <w:p w14:paraId="217EF588" w14:textId="5D571D64" w:rsidR="002D5561" w:rsidRPr="00780559" w:rsidRDefault="002D5561" w:rsidP="00DF2654">
            <w:pPr>
              <w:ind w:left="-57"/>
              <w:jc w:val="both"/>
              <w:rPr>
                <w:rFonts w:eastAsia="Times New Roman"/>
                <w:color w:val="000000" w:themeColor="text1"/>
              </w:rPr>
            </w:pPr>
            <w:r w:rsidRPr="00780559">
              <w:rPr>
                <w:rFonts w:eastAsia="Times New Roman"/>
                <w:color w:val="000000" w:themeColor="text1"/>
              </w:rPr>
              <w:t>Ietekme uz cilvēkresursiem risināma esošā budžeta ietvaros.</w:t>
            </w:r>
          </w:p>
        </w:tc>
      </w:tr>
      <w:tr w:rsidR="00A91877" w:rsidRPr="00780559" w14:paraId="24D7BDF7" w14:textId="77777777" w:rsidTr="00347CA7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" w:type="pct"/>
          </w:tcPr>
          <w:p w14:paraId="3538488E" w14:textId="77777777" w:rsidR="002D5561" w:rsidRPr="00780559" w:rsidRDefault="002D5561" w:rsidP="00D03DB4">
            <w:pPr>
              <w:pStyle w:val="naiskr"/>
              <w:tabs>
                <w:tab w:val="left" w:pos="2628"/>
              </w:tabs>
              <w:spacing w:before="0" w:after="0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3.</w:t>
            </w:r>
          </w:p>
        </w:tc>
        <w:tc>
          <w:tcPr>
            <w:tcW w:w="1024" w:type="pct"/>
            <w:gridSpan w:val="3"/>
          </w:tcPr>
          <w:p w14:paraId="4B443951" w14:textId="77777777" w:rsidR="002D5561" w:rsidRPr="00780559" w:rsidRDefault="002D5561" w:rsidP="00D03DB4">
            <w:pPr>
              <w:pStyle w:val="naiskr"/>
              <w:tabs>
                <w:tab w:val="left" w:pos="2628"/>
              </w:tabs>
              <w:spacing w:before="0" w:after="0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Cita informācija</w:t>
            </w:r>
          </w:p>
        </w:tc>
        <w:tc>
          <w:tcPr>
            <w:tcW w:w="3736" w:type="pct"/>
            <w:gridSpan w:val="7"/>
            <w:tcBorders>
              <w:top w:val="single" w:sz="4" w:space="0" w:color="auto"/>
            </w:tcBorders>
          </w:tcPr>
          <w:p w14:paraId="1357A814" w14:textId="77777777" w:rsidR="002D5561" w:rsidRPr="00780559" w:rsidRDefault="002D5561" w:rsidP="00D03DB4">
            <w:pPr>
              <w:pStyle w:val="naisc"/>
              <w:spacing w:before="0" w:after="0"/>
              <w:jc w:val="both"/>
              <w:rPr>
                <w:color w:val="000000" w:themeColor="text1"/>
              </w:rPr>
            </w:pPr>
            <w:r w:rsidRPr="00780559">
              <w:rPr>
                <w:color w:val="000000" w:themeColor="text1"/>
              </w:rPr>
              <w:t>Nav.</w:t>
            </w:r>
          </w:p>
        </w:tc>
      </w:tr>
    </w:tbl>
    <w:p w14:paraId="21ED627B" w14:textId="77777777" w:rsidR="004C2B69" w:rsidRDefault="004C2B69" w:rsidP="00002CBA">
      <w:pPr>
        <w:ind w:firstLine="720"/>
        <w:rPr>
          <w:color w:val="000000" w:themeColor="text1"/>
        </w:rPr>
      </w:pPr>
    </w:p>
    <w:p w14:paraId="7CE9B805" w14:textId="77777777" w:rsidR="003356B6" w:rsidRDefault="003356B6" w:rsidP="00002CBA">
      <w:pPr>
        <w:ind w:firstLine="720"/>
        <w:rPr>
          <w:color w:val="000000" w:themeColor="text1"/>
        </w:rPr>
      </w:pPr>
    </w:p>
    <w:p w14:paraId="17C3D8F8" w14:textId="77777777" w:rsidR="003D1D0F" w:rsidRDefault="003D1D0F" w:rsidP="00002CBA">
      <w:pPr>
        <w:ind w:firstLine="720"/>
        <w:rPr>
          <w:color w:val="000000" w:themeColor="text1"/>
        </w:rPr>
      </w:pPr>
    </w:p>
    <w:p w14:paraId="3A889C08" w14:textId="1DBDC42E" w:rsidR="002D5561" w:rsidRPr="00780559" w:rsidRDefault="002D5561" w:rsidP="00002CBA">
      <w:pPr>
        <w:ind w:firstLine="720"/>
        <w:rPr>
          <w:color w:val="000000" w:themeColor="text1"/>
        </w:rPr>
      </w:pPr>
      <w:r w:rsidRPr="00780559">
        <w:rPr>
          <w:color w:val="000000" w:themeColor="text1"/>
        </w:rPr>
        <w:t>Izglītības un</w:t>
      </w:r>
      <w:r w:rsidR="00DB4887">
        <w:rPr>
          <w:color w:val="000000" w:themeColor="text1"/>
        </w:rPr>
        <w:t xml:space="preserve"> zinātnes ministre</w:t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proofErr w:type="spellStart"/>
      <w:r w:rsidR="00DB4887">
        <w:rPr>
          <w:color w:val="000000" w:themeColor="text1"/>
        </w:rPr>
        <w:t>I.Šuplinska</w:t>
      </w:r>
      <w:proofErr w:type="spellEnd"/>
    </w:p>
    <w:p w14:paraId="25D6AB2F" w14:textId="77777777" w:rsidR="002D5561" w:rsidRPr="00780559" w:rsidRDefault="002D5561" w:rsidP="00534C3D">
      <w:pPr>
        <w:ind w:firstLine="709"/>
        <w:jc w:val="both"/>
        <w:rPr>
          <w:color w:val="000000" w:themeColor="text1"/>
        </w:rPr>
      </w:pPr>
    </w:p>
    <w:p w14:paraId="2AE7D70F" w14:textId="77777777" w:rsidR="004C2B69" w:rsidRDefault="004C2B69" w:rsidP="002D5561">
      <w:pPr>
        <w:ind w:firstLine="720"/>
        <w:jc w:val="both"/>
        <w:rPr>
          <w:color w:val="000000" w:themeColor="text1"/>
        </w:rPr>
      </w:pPr>
    </w:p>
    <w:p w14:paraId="1C37BBD8" w14:textId="77777777" w:rsidR="00F838A7" w:rsidRDefault="00F838A7" w:rsidP="002D556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Vizē:</w:t>
      </w:r>
    </w:p>
    <w:p w14:paraId="37720078" w14:textId="3BD1B3A5" w:rsidR="002D5561" w:rsidRPr="00780559" w:rsidRDefault="00F838A7" w:rsidP="002D556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002CBA" w:rsidRPr="00780559">
        <w:rPr>
          <w:color w:val="000000" w:themeColor="text1"/>
        </w:rPr>
        <w:t>alsts sekretāre</w:t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 w:rsidR="00002CBA" w:rsidRPr="00780559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2D5561" w:rsidRPr="00780559">
        <w:rPr>
          <w:color w:val="000000" w:themeColor="text1"/>
        </w:rPr>
        <w:t>L.Lejiņa</w:t>
      </w:r>
      <w:proofErr w:type="spellEnd"/>
    </w:p>
    <w:p w14:paraId="2B88BFA1" w14:textId="77777777" w:rsidR="002D5561" w:rsidRPr="00780559" w:rsidRDefault="002D5561" w:rsidP="00534C3D">
      <w:pPr>
        <w:ind w:firstLine="709"/>
        <w:jc w:val="both"/>
        <w:rPr>
          <w:color w:val="000000" w:themeColor="text1"/>
        </w:rPr>
      </w:pPr>
    </w:p>
    <w:p w14:paraId="1B323424" w14:textId="77777777" w:rsidR="004C2B69" w:rsidRDefault="004C2B69" w:rsidP="002C3DE8">
      <w:pPr>
        <w:ind w:left="709"/>
      </w:pPr>
    </w:p>
    <w:p w14:paraId="6D9F336C" w14:textId="77777777" w:rsidR="00DC5DDB" w:rsidRDefault="00DC5DDB" w:rsidP="002C3DE8">
      <w:pPr>
        <w:ind w:left="709"/>
      </w:pPr>
    </w:p>
    <w:p w14:paraId="748A7220" w14:textId="6C9AABF2" w:rsidR="002C3DE8" w:rsidRPr="004C2B69" w:rsidRDefault="002C3DE8" w:rsidP="002C3DE8">
      <w:pPr>
        <w:ind w:left="709"/>
        <w:rPr>
          <w:sz w:val="20"/>
          <w:szCs w:val="20"/>
        </w:rPr>
      </w:pPr>
      <w:proofErr w:type="spellStart"/>
      <w:r w:rsidRPr="004C2B69">
        <w:rPr>
          <w:sz w:val="20"/>
          <w:szCs w:val="20"/>
        </w:rPr>
        <w:t>S.Treimane</w:t>
      </w:r>
      <w:proofErr w:type="spellEnd"/>
      <w:r w:rsidRPr="004C2B69">
        <w:rPr>
          <w:sz w:val="20"/>
          <w:szCs w:val="20"/>
        </w:rPr>
        <w:t>, 67047924</w:t>
      </w:r>
    </w:p>
    <w:p w14:paraId="68849D2A" w14:textId="1A688E3B" w:rsidR="00B04630" w:rsidRPr="004C2B69" w:rsidRDefault="002C3DE8" w:rsidP="002C3DE8">
      <w:pPr>
        <w:ind w:left="709"/>
        <w:rPr>
          <w:color w:val="000000" w:themeColor="text1"/>
          <w:sz w:val="20"/>
          <w:szCs w:val="20"/>
        </w:rPr>
      </w:pPr>
      <w:bookmarkStart w:id="0" w:name="_GoBack"/>
      <w:r w:rsidRPr="004C2B69">
        <w:rPr>
          <w:sz w:val="20"/>
          <w:szCs w:val="20"/>
        </w:rPr>
        <w:t>sanita.treimane@izm.gov.lv</w:t>
      </w:r>
      <w:bookmarkEnd w:id="0"/>
    </w:p>
    <w:sectPr w:rsidR="00B04630" w:rsidRPr="004C2B69" w:rsidSect="00CA7DA6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F9D90" w14:textId="77777777" w:rsidR="00D5032F" w:rsidRDefault="00D5032F" w:rsidP="000C0374">
      <w:r>
        <w:separator/>
      </w:r>
    </w:p>
  </w:endnote>
  <w:endnote w:type="continuationSeparator" w:id="0">
    <w:p w14:paraId="0D5492E2" w14:textId="77777777" w:rsidR="00D5032F" w:rsidRDefault="00D5032F" w:rsidP="000C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FD54A" w14:textId="2115395B" w:rsidR="00B04630" w:rsidRPr="00451F4B" w:rsidRDefault="00451F4B" w:rsidP="002943B9">
    <w:pPr>
      <w:pStyle w:val="tv20787921"/>
      <w:spacing w:after="0" w:line="240" w:lineRule="auto"/>
      <w:ind w:left="-142"/>
      <w:jc w:val="both"/>
    </w:pP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begin"/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instrText xml:space="preserve"> FILENAME   \* MERGEFORMAT </w:instrTex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separate"/>
    </w:r>
    <w:r w:rsidR="0002600F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IZMAnot_30</w:t>
    </w:r>
    <w:r w:rsidR="00347CA7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0</w:t>
    </w:r>
    <w:r w:rsidR="00515BC6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1</w:t>
    </w:r>
    <w:r w:rsidR="00347CA7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20</w:t>
    </w:r>
    <w:r w:rsidR="001C35C8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_SKII</w: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7604" w14:textId="618F6729" w:rsidR="00B04630" w:rsidRPr="002C3DE8" w:rsidRDefault="002C3DE8" w:rsidP="00CA7DA6">
    <w:pPr>
      <w:pStyle w:val="tv20787921"/>
      <w:spacing w:after="0" w:line="240" w:lineRule="auto"/>
      <w:ind w:left="-142"/>
      <w:jc w:val="both"/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</w:pP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begin"/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instrText xml:space="preserve"> FILENAME   \* MERGEFORMAT </w:instrTex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separate"/>
    </w:r>
    <w:r w:rsidR="001C35C8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IZMAnot_</w:t>
    </w:r>
    <w:r w:rsidR="0002600F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30</w:t>
    </w:r>
    <w:r w:rsidR="00347CA7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0</w:t>
    </w:r>
    <w:r w:rsidR="00515BC6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1</w:t>
    </w:r>
    <w:r w:rsidR="00347CA7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20</w:t>
    </w:r>
    <w:r w:rsidR="001C35C8">
      <w:rPr>
        <w:rFonts w:ascii="Times New Roman" w:eastAsiaTheme="minorHAnsi" w:hAnsi="Times New Roman"/>
        <w:b w:val="0"/>
        <w:bCs w:val="0"/>
        <w:noProof/>
        <w:color w:val="000000" w:themeColor="text1"/>
        <w:sz w:val="20"/>
        <w:szCs w:val="20"/>
        <w:lang w:eastAsia="en-US"/>
      </w:rPr>
      <w:t>_SKII</w:t>
    </w:r>
    <w:r w:rsidRPr="00FA726B">
      <w:rPr>
        <w:rFonts w:ascii="Times New Roman" w:eastAsiaTheme="minorHAnsi" w:hAnsi="Times New Roman"/>
        <w:b w:val="0"/>
        <w:bCs w:val="0"/>
        <w:color w:val="000000" w:themeColor="text1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27B18" w14:textId="77777777" w:rsidR="00D5032F" w:rsidRDefault="00D5032F" w:rsidP="000C0374">
      <w:r>
        <w:separator/>
      </w:r>
    </w:p>
  </w:footnote>
  <w:footnote w:type="continuationSeparator" w:id="0">
    <w:p w14:paraId="5943115A" w14:textId="77777777" w:rsidR="00D5032F" w:rsidRDefault="00D5032F" w:rsidP="000C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5182" w14:textId="77777777" w:rsidR="00B04630" w:rsidRDefault="00B0463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0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4FAED0" w14:textId="77777777" w:rsidR="00B04630" w:rsidRPr="00FA4F51" w:rsidRDefault="00B04630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CCE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92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8F02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4043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A4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8A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4C3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6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A0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1ECDE3E"/>
    <w:lvl w:ilvl="0">
      <w:numFmt w:val="bullet"/>
      <w:lvlText w:val="*"/>
      <w:lvlJc w:val="left"/>
    </w:lvl>
  </w:abstractNum>
  <w:abstractNum w:abstractNumId="11" w15:restartNumberingAfterBreak="0">
    <w:nsid w:val="008E0160"/>
    <w:multiLevelType w:val="hybridMultilevel"/>
    <w:tmpl w:val="2FA07372"/>
    <w:lvl w:ilvl="0" w:tplc="87B49F98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373FE6"/>
    <w:multiLevelType w:val="hybridMultilevel"/>
    <w:tmpl w:val="C666D1D6"/>
    <w:lvl w:ilvl="0" w:tplc="66926DDA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3548E"/>
    <w:multiLevelType w:val="hybridMultilevel"/>
    <w:tmpl w:val="D88AA966"/>
    <w:lvl w:ilvl="0" w:tplc="C398256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806BC"/>
    <w:multiLevelType w:val="hybridMultilevel"/>
    <w:tmpl w:val="DEF6047C"/>
    <w:lvl w:ilvl="0" w:tplc="5928E40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02025C"/>
    <w:multiLevelType w:val="hybridMultilevel"/>
    <w:tmpl w:val="4C1058D6"/>
    <w:lvl w:ilvl="0" w:tplc="9EEAFA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775C"/>
    <w:multiLevelType w:val="hybridMultilevel"/>
    <w:tmpl w:val="C8388AF8"/>
    <w:lvl w:ilvl="0" w:tplc="5232CF1E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FD46A27"/>
    <w:multiLevelType w:val="hybridMultilevel"/>
    <w:tmpl w:val="0E148E54"/>
    <w:lvl w:ilvl="0" w:tplc="30B044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0742C"/>
    <w:multiLevelType w:val="hybridMultilevel"/>
    <w:tmpl w:val="890E849A"/>
    <w:lvl w:ilvl="0" w:tplc="0290C9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A1411"/>
    <w:multiLevelType w:val="hybridMultilevel"/>
    <w:tmpl w:val="C632FBD2"/>
    <w:lvl w:ilvl="0" w:tplc="0F20ACF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2434F"/>
    <w:multiLevelType w:val="hybridMultilevel"/>
    <w:tmpl w:val="2B2C9970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52A06AD"/>
    <w:multiLevelType w:val="hybridMultilevel"/>
    <w:tmpl w:val="F650140E"/>
    <w:lvl w:ilvl="0" w:tplc="0F1C188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8A0E90"/>
    <w:multiLevelType w:val="hybridMultilevel"/>
    <w:tmpl w:val="3FCE1654"/>
    <w:lvl w:ilvl="0" w:tplc="84844E9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  <w:color w:val="auto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2B59C7"/>
    <w:multiLevelType w:val="hybridMultilevel"/>
    <w:tmpl w:val="7D4675A8"/>
    <w:lvl w:ilvl="0" w:tplc="87241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0"/>
  </w:num>
  <w:num w:numId="15">
    <w:abstractNumId w:val="23"/>
  </w:num>
  <w:num w:numId="16">
    <w:abstractNumId w:val="22"/>
  </w:num>
  <w:num w:numId="17">
    <w:abstractNumId w:val="19"/>
  </w:num>
  <w:num w:numId="18">
    <w:abstractNumId w:val="13"/>
  </w:num>
  <w:num w:numId="19">
    <w:abstractNumId w:val="12"/>
  </w:num>
  <w:num w:numId="20">
    <w:abstractNumId w:val="21"/>
  </w:num>
  <w:num w:numId="21">
    <w:abstractNumId w:val="14"/>
  </w:num>
  <w:num w:numId="22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74"/>
    <w:rsid w:val="000001A4"/>
    <w:rsid w:val="00002CBA"/>
    <w:rsid w:val="00003ED9"/>
    <w:rsid w:val="00007A68"/>
    <w:rsid w:val="00007D06"/>
    <w:rsid w:val="0001352E"/>
    <w:rsid w:val="00014FAC"/>
    <w:rsid w:val="000171CE"/>
    <w:rsid w:val="00023341"/>
    <w:rsid w:val="000233C5"/>
    <w:rsid w:val="00024FBE"/>
    <w:rsid w:val="00025F90"/>
    <w:rsid w:val="0002600F"/>
    <w:rsid w:val="00027504"/>
    <w:rsid w:val="00027C17"/>
    <w:rsid w:val="00030350"/>
    <w:rsid w:val="000330A2"/>
    <w:rsid w:val="000332A8"/>
    <w:rsid w:val="0003376D"/>
    <w:rsid w:val="000416DF"/>
    <w:rsid w:val="00044640"/>
    <w:rsid w:val="00045F4E"/>
    <w:rsid w:val="00046A9F"/>
    <w:rsid w:val="0004747D"/>
    <w:rsid w:val="000516EB"/>
    <w:rsid w:val="00053CD3"/>
    <w:rsid w:val="00055673"/>
    <w:rsid w:val="0005598A"/>
    <w:rsid w:val="00055A1F"/>
    <w:rsid w:val="00056592"/>
    <w:rsid w:val="00057919"/>
    <w:rsid w:val="00060832"/>
    <w:rsid w:val="00061C1D"/>
    <w:rsid w:val="000633CB"/>
    <w:rsid w:val="00063419"/>
    <w:rsid w:val="00065AD4"/>
    <w:rsid w:val="0006622E"/>
    <w:rsid w:val="000664B0"/>
    <w:rsid w:val="000677D0"/>
    <w:rsid w:val="00067A03"/>
    <w:rsid w:val="00073332"/>
    <w:rsid w:val="00080DF4"/>
    <w:rsid w:val="00081C4F"/>
    <w:rsid w:val="000845A3"/>
    <w:rsid w:val="00084A3D"/>
    <w:rsid w:val="0008554C"/>
    <w:rsid w:val="00086D86"/>
    <w:rsid w:val="0009092B"/>
    <w:rsid w:val="000932F1"/>
    <w:rsid w:val="00096918"/>
    <w:rsid w:val="00097C15"/>
    <w:rsid w:val="000A1A38"/>
    <w:rsid w:val="000A251B"/>
    <w:rsid w:val="000A2CFE"/>
    <w:rsid w:val="000A58CF"/>
    <w:rsid w:val="000B16A5"/>
    <w:rsid w:val="000B19A5"/>
    <w:rsid w:val="000B2D20"/>
    <w:rsid w:val="000B4486"/>
    <w:rsid w:val="000B64C9"/>
    <w:rsid w:val="000C0374"/>
    <w:rsid w:val="000C0C81"/>
    <w:rsid w:val="000C16B9"/>
    <w:rsid w:val="000C5A58"/>
    <w:rsid w:val="000D0099"/>
    <w:rsid w:val="000D0183"/>
    <w:rsid w:val="000D101A"/>
    <w:rsid w:val="000D18DE"/>
    <w:rsid w:val="000E2396"/>
    <w:rsid w:val="000E609E"/>
    <w:rsid w:val="000F01CB"/>
    <w:rsid w:val="000F4907"/>
    <w:rsid w:val="000F7497"/>
    <w:rsid w:val="00100C2F"/>
    <w:rsid w:val="00101010"/>
    <w:rsid w:val="00104AA1"/>
    <w:rsid w:val="00105BA3"/>
    <w:rsid w:val="001118D8"/>
    <w:rsid w:val="00112646"/>
    <w:rsid w:val="00112A98"/>
    <w:rsid w:val="00113D33"/>
    <w:rsid w:val="001231D8"/>
    <w:rsid w:val="00123D85"/>
    <w:rsid w:val="001240DE"/>
    <w:rsid w:val="00124F55"/>
    <w:rsid w:val="00126E5C"/>
    <w:rsid w:val="0012731C"/>
    <w:rsid w:val="00127816"/>
    <w:rsid w:val="001303E3"/>
    <w:rsid w:val="001327AB"/>
    <w:rsid w:val="0014011A"/>
    <w:rsid w:val="001414D6"/>
    <w:rsid w:val="0014164E"/>
    <w:rsid w:val="001418C1"/>
    <w:rsid w:val="001458C1"/>
    <w:rsid w:val="00154FD1"/>
    <w:rsid w:val="00156DCD"/>
    <w:rsid w:val="00160566"/>
    <w:rsid w:val="001627CE"/>
    <w:rsid w:val="00164463"/>
    <w:rsid w:val="00166A9E"/>
    <w:rsid w:val="00170304"/>
    <w:rsid w:val="00171981"/>
    <w:rsid w:val="0017465A"/>
    <w:rsid w:val="0017486A"/>
    <w:rsid w:val="00175E3D"/>
    <w:rsid w:val="001768C3"/>
    <w:rsid w:val="001801C0"/>
    <w:rsid w:val="001825F7"/>
    <w:rsid w:val="00184BF7"/>
    <w:rsid w:val="00185051"/>
    <w:rsid w:val="00190046"/>
    <w:rsid w:val="00193370"/>
    <w:rsid w:val="00194DB9"/>
    <w:rsid w:val="00195559"/>
    <w:rsid w:val="0019700F"/>
    <w:rsid w:val="0019703E"/>
    <w:rsid w:val="001A03FD"/>
    <w:rsid w:val="001A48E2"/>
    <w:rsid w:val="001A6B53"/>
    <w:rsid w:val="001B0498"/>
    <w:rsid w:val="001B2D61"/>
    <w:rsid w:val="001B3FA1"/>
    <w:rsid w:val="001B5270"/>
    <w:rsid w:val="001B7495"/>
    <w:rsid w:val="001C35C8"/>
    <w:rsid w:val="001C38D1"/>
    <w:rsid w:val="001C5E0E"/>
    <w:rsid w:val="001C7278"/>
    <w:rsid w:val="001C7F0C"/>
    <w:rsid w:val="001D0F8F"/>
    <w:rsid w:val="001D2162"/>
    <w:rsid w:val="001D4451"/>
    <w:rsid w:val="001E217D"/>
    <w:rsid w:val="001E2E37"/>
    <w:rsid w:val="001E40F6"/>
    <w:rsid w:val="001E4E8E"/>
    <w:rsid w:val="001E6567"/>
    <w:rsid w:val="001F0430"/>
    <w:rsid w:val="001F65B1"/>
    <w:rsid w:val="001F6719"/>
    <w:rsid w:val="001F6D24"/>
    <w:rsid w:val="001F727E"/>
    <w:rsid w:val="002025D8"/>
    <w:rsid w:val="00202A78"/>
    <w:rsid w:val="00203099"/>
    <w:rsid w:val="00204612"/>
    <w:rsid w:val="002057B0"/>
    <w:rsid w:val="00205DA1"/>
    <w:rsid w:val="00206191"/>
    <w:rsid w:val="00206D92"/>
    <w:rsid w:val="00210214"/>
    <w:rsid w:val="00211D7B"/>
    <w:rsid w:val="002125CD"/>
    <w:rsid w:val="002137CF"/>
    <w:rsid w:val="002159C0"/>
    <w:rsid w:val="00217B70"/>
    <w:rsid w:val="0022086F"/>
    <w:rsid w:val="00222736"/>
    <w:rsid w:val="00222F83"/>
    <w:rsid w:val="00226157"/>
    <w:rsid w:val="002262E7"/>
    <w:rsid w:val="00230AF1"/>
    <w:rsid w:val="0023273D"/>
    <w:rsid w:val="002336FB"/>
    <w:rsid w:val="0023433D"/>
    <w:rsid w:val="0023637C"/>
    <w:rsid w:val="00237FD4"/>
    <w:rsid w:val="00241436"/>
    <w:rsid w:val="00241B00"/>
    <w:rsid w:val="00241C4E"/>
    <w:rsid w:val="00242F5D"/>
    <w:rsid w:val="002437B7"/>
    <w:rsid w:val="00247981"/>
    <w:rsid w:val="0025016E"/>
    <w:rsid w:val="00251D64"/>
    <w:rsid w:val="00252DB1"/>
    <w:rsid w:val="00252E70"/>
    <w:rsid w:val="00254C72"/>
    <w:rsid w:val="002623B5"/>
    <w:rsid w:val="00263BA1"/>
    <w:rsid w:val="00267899"/>
    <w:rsid w:val="002702DA"/>
    <w:rsid w:val="00274C7B"/>
    <w:rsid w:val="00280113"/>
    <w:rsid w:val="00281CEB"/>
    <w:rsid w:val="00282CF7"/>
    <w:rsid w:val="00282D8F"/>
    <w:rsid w:val="002830CF"/>
    <w:rsid w:val="00283FEA"/>
    <w:rsid w:val="0028450E"/>
    <w:rsid w:val="002863DE"/>
    <w:rsid w:val="002879D1"/>
    <w:rsid w:val="00290A07"/>
    <w:rsid w:val="00291FD1"/>
    <w:rsid w:val="00292EAE"/>
    <w:rsid w:val="00293F51"/>
    <w:rsid w:val="002943B9"/>
    <w:rsid w:val="00294E0E"/>
    <w:rsid w:val="00294F37"/>
    <w:rsid w:val="00294FD5"/>
    <w:rsid w:val="00297F18"/>
    <w:rsid w:val="002A3EC4"/>
    <w:rsid w:val="002A65F0"/>
    <w:rsid w:val="002A6ECE"/>
    <w:rsid w:val="002A785F"/>
    <w:rsid w:val="002A7F1B"/>
    <w:rsid w:val="002B2377"/>
    <w:rsid w:val="002B5C77"/>
    <w:rsid w:val="002B5EE2"/>
    <w:rsid w:val="002B5EFC"/>
    <w:rsid w:val="002B7074"/>
    <w:rsid w:val="002C0FB5"/>
    <w:rsid w:val="002C1252"/>
    <w:rsid w:val="002C3DE8"/>
    <w:rsid w:val="002C58E7"/>
    <w:rsid w:val="002C5F7B"/>
    <w:rsid w:val="002D212B"/>
    <w:rsid w:val="002D41BA"/>
    <w:rsid w:val="002D4A25"/>
    <w:rsid w:val="002D536F"/>
    <w:rsid w:val="002D5561"/>
    <w:rsid w:val="002D6568"/>
    <w:rsid w:val="002D7023"/>
    <w:rsid w:val="002D771F"/>
    <w:rsid w:val="002E2ADD"/>
    <w:rsid w:val="002E5342"/>
    <w:rsid w:val="002E5CDC"/>
    <w:rsid w:val="002E5F45"/>
    <w:rsid w:val="002E65AF"/>
    <w:rsid w:val="002F0E54"/>
    <w:rsid w:val="002F126A"/>
    <w:rsid w:val="002F47C2"/>
    <w:rsid w:val="002F51AE"/>
    <w:rsid w:val="002F6009"/>
    <w:rsid w:val="002F69FE"/>
    <w:rsid w:val="002F72C9"/>
    <w:rsid w:val="002F7D60"/>
    <w:rsid w:val="00300C30"/>
    <w:rsid w:val="00304298"/>
    <w:rsid w:val="00304D69"/>
    <w:rsid w:val="0030750F"/>
    <w:rsid w:val="00307CB2"/>
    <w:rsid w:val="0031064E"/>
    <w:rsid w:val="00312070"/>
    <w:rsid w:val="003136C3"/>
    <w:rsid w:val="003139C2"/>
    <w:rsid w:val="00314B32"/>
    <w:rsid w:val="003155D8"/>
    <w:rsid w:val="00315D17"/>
    <w:rsid w:val="0031613F"/>
    <w:rsid w:val="003167DF"/>
    <w:rsid w:val="003218B1"/>
    <w:rsid w:val="0032260D"/>
    <w:rsid w:val="0032416F"/>
    <w:rsid w:val="00324FC2"/>
    <w:rsid w:val="0032701D"/>
    <w:rsid w:val="0033461F"/>
    <w:rsid w:val="0033482E"/>
    <w:rsid w:val="003356B6"/>
    <w:rsid w:val="00335A25"/>
    <w:rsid w:val="00337572"/>
    <w:rsid w:val="00346A11"/>
    <w:rsid w:val="00347CA7"/>
    <w:rsid w:val="00353773"/>
    <w:rsid w:val="00354CD4"/>
    <w:rsid w:val="0035765A"/>
    <w:rsid w:val="00357CFF"/>
    <w:rsid w:val="003602EC"/>
    <w:rsid w:val="00362B10"/>
    <w:rsid w:val="003658E9"/>
    <w:rsid w:val="00365BA9"/>
    <w:rsid w:val="003679D4"/>
    <w:rsid w:val="00367F4C"/>
    <w:rsid w:val="00371F6E"/>
    <w:rsid w:val="00373A94"/>
    <w:rsid w:val="00373F32"/>
    <w:rsid w:val="00380698"/>
    <w:rsid w:val="00380ECC"/>
    <w:rsid w:val="00384DE2"/>
    <w:rsid w:val="00384E99"/>
    <w:rsid w:val="003854FF"/>
    <w:rsid w:val="00386F73"/>
    <w:rsid w:val="003926D4"/>
    <w:rsid w:val="00396C9E"/>
    <w:rsid w:val="003971C1"/>
    <w:rsid w:val="003A05BE"/>
    <w:rsid w:val="003A3C87"/>
    <w:rsid w:val="003A4141"/>
    <w:rsid w:val="003A5521"/>
    <w:rsid w:val="003A5E8E"/>
    <w:rsid w:val="003A6337"/>
    <w:rsid w:val="003A7234"/>
    <w:rsid w:val="003B127C"/>
    <w:rsid w:val="003B5CE9"/>
    <w:rsid w:val="003B6013"/>
    <w:rsid w:val="003C068B"/>
    <w:rsid w:val="003C0D2E"/>
    <w:rsid w:val="003C787A"/>
    <w:rsid w:val="003D12F0"/>
    <w:rsid w:val="003D1D0F"/>
    <w:rsid w:val="003D409E"/>
    <w:rsid w:val="003D4949"/>
    <w:rsid w:val="003D51B0"/>
    <w:rsid w:val="003D6706"/>
    <w:rsid w:val="003D7714"/>
    <w:rsid w:val="003E02B8"/>
    <w:rsid w:val="003E195B"/>
    <w:rsid w:val="003E3CD5"/>
    <w:rsid w:val="003E5037"/>
    <w:rsid w:val="003E5729"/>
    <w:rsid w:val="003E6734"/>
    <w:rsid w:val="003E7FA2"/>
    <w:rsid w:val="003F25B0"/>
    <w:rsid w:val="003F37F7"/>
    <w:rsid w:val="003F544B"/>
    <w:rsid w:val="003F7D7F"/>
    <w:rsid w:val="004004AE"/>
    <w:rsid w:val="00401239"/>
    <w:rsid w:val="004044F8"/>
    <w:rsid w:val="00404800"/>
    <w:rsid w:val="00406EC7"/>
    <w:rsid w:val="00407E99"/>
    <w:rsid w:val="00412A17"/>
    <w:rsid w:val="00412DEB"/>
    <w:rsid w:val="00412F2D"/>
    <w:rsid w:val="00413DD7"/>
    <w:rsid w:val="0041577C"/>
    <w:rsid w:val="0041652B"/>
    <w:rsid w:val="004208E2"/>
    <w:rsid w:val="0042345D"/>
    <w:rsid w:val="0042592F"/>
    <w:rsid w:val="0042614B"/>
    <w:rsid w:val="004264AC"/>
    <w:rsid w:val="004265E8"/>
    <w:rsid w:val="00430AB3"/>
    <w:rsid w:val="00433C61"/>
    <w:rsid w:val="0044105F"/>
    <w:rsid w:val="00441CDA"/>
    <w:rsid w:val="00442961"/>
    <w:rsid w:val="00445F80"/>
    <w:rsid w:val="00447A00"/>
    <w:rsid w:val="00450EEA"/>
    <w:rsid w:val="004512FF"/>
    <w:rsid w:val="00451F4B"/>
    <w:rsid w:val="00455011"/>
    <w:rsid w:val="004603AD"/>
    <w:rsid w:val="00460B5F"/>
    <w:rsid w:val="00462764"/>
    <w:rsid w:val="00463C00"/>
    <w:rsid w:val="0046731B"/>
    <w:rsid w:val="00470D48"/>
    <w:rsid w:val="00470F94"/>
    <w:rsid w:val="00472758"/>
    <w:rsid w:val="00474C27"/>
    <w:rsid w:val="00476462"/>
    <w:rsid w:val="00480396"/>
    <w:rsid w:val="00480482"/>
    <w:rsid w:val="00480C07"/>
    <w:rsid w:val="004810D8"/>
    <w:rsid w:val="0048201A"/>
    <w:rsid w:val="004821A9"/>
    <w:rsid w:val="00482FB8"/>
    <w:rsid w:val="0048367B"/>
    <w:rsid w:val="00483DDB"/>
    <w:rsid w:val="00485BD3"/>
    <w:rsid w:val="00487C07"/>
    <w:rsid w:val="0049423B"/>
    <w:rsid w:val="004A04B4"/>
    <w:rsid w:val="004A49F9"/>
    <w:rsid w:val="004B009B"/>
    <w:rsid w:val="004B05DE"/>
    <w:rsid w:val="004B13BB"/>
    <w:rsid w:val="004B3657"/>
    <w:rsid w:val="004B3910"/>
    <w:rsid w:val="004B3D05"/>
    <w:rsid w:val="004B4295"/>
    <w:rsid w:val="004B4951"/>
    <w:rsid w:val="004B6207"/>
    <w:rsid w:val="004C0426"/>
    <w:rsid w:val="004C09BF"/>
    <w:rsid w:val="004C2B69"/>
    <w:rsid w:val="004C4DDE"/>
    <w:rsid w:val="004D0D33"/>
    <w:rsid w:val="004D3169"/>
    <w:rsid w:val="004D34FF"/>
    <w:rsid w:val="004D4039"/>
    <w:rsid w:val="004D767D"/>
    <w:rsid w:val="004E053A"/>
    <w:rsid w:val="004E1932"/>
    <w:rsid w:val="004E1DF8"/>
    <w:rsid w:val="004E2963"/>
    <w:rsid w:val="004E3E84"/>
    <w:rsid w:val="004E63DC"/>
    <w:rsid w:val="004E66D8"/>
    <w:rsid w:val="004E7340"/>
    <w:rsid w:val="004E77D7"/>
    <w:rsid w:val="004F26A6"/>
    <w:rsid w:val="00501550"/>
    <w:rsid w:val="00502092"/>
    <w:rsid w:val="00502577"/>
    <w:rsid w:val="00510415"/>
    <w:rsid w:val="0051247E"/>
    <w:rsid w:val="00515BC6"/>
    <w:rsid w:val="005168BA"/>
    <w:rsid w:val="00517F10"/>
    <w:rsid w:val="00520A64"/>
    <w:rsid w:val="00524743"/>
    <w:rsid w:val="0052649E"/>
    <w:rsid w:val="00527003"/>
    <w:rsid w:val="00527EAA"/>
    <w:rsid w:val="00532435"/>
    <w:rsid w:val="0053445E"/>
    <w:rsid w:val="0053480F"/>
    <w:rsid w:val="00534C3D"/>
    <w:rsid w:val="00535B29"/>
    <w:rsid w:val="005360F7"/>
    <w:rsid w:val="00537ADA"/>
    <w:rsid w:val="00542B98"/>
    <w:rsid w:val="00543566"/>
    <w:rsid w:val="0054567C"/>
    <w:rsid w:val="0055152E"/>
    <w:rsid w:val="00553D3C"/>
    <w:rsid w:val="00557BA8"/>
    <w:rsid w:val="00557EC9"/>
    <w:rsid w:val="00557F91"/>
    <w:rsid w:val="00563520"/>
    <w:rsid w:val="00563660"/>
    <w:rsid w:val="0056490B"/>
    <w:rsid w:val="005677AF"/>
    <w:rsid w:val="005701FE"/>
    <w:rsid w:val="00577118"/>
    <w:rsid w:val="00577492"/>
    <w:rsid w:val="00580E82"/>
    <w:rsid w:val="00580FA0"/>
    <w:rsid w:val="00582750"/>
    <w:rsid w:val="00583A95"/>
    <w:rsid w:val="00583B35"/>
    <w:rsid w:val="005843A5"/>
    <w:rsid w:val="00586000"/>
    <w:rsid w:val="005863AA"/>
    <w:rsid w:val="0058649E"/>
    <w:rsid w:val="005864CA"/>
    <w:rsid w:val="00587A9A"/>
    <w:rsid w:val="00587CEA"/>
    <w:rsid w:val="005901F9"/>
    <w:rsid w:val="00590593"/>
    <w:rsid w:val="005919B2"/>
    <w:rsid w:val="00593098"/>
    <w:rsid w:val="00594BBD"/>
    <w:rsid w:val="00594BD4"/>
    <w:rsid w:val="005A0E2F"/>
    <w:rsid w:val="005A171B"/>
    <w:rsid w:val="005A1E6E"/>
    <w:rsid w:val="005A2020"/>
    <w:rsid w:val="005A2F03"/>
    <w:rsid w:val="005B38EB"/>
    <w:rsid w:val="005B3F68"/>
    <w:rsid w:val="005B50E6"/>
    <w:rsid w:val="005B7A08"/>
    <w:rsid w:val="005C0B43"/>
    <w:rsid w:val="005C1A86"/>
    <w:rsid w:val="005C2AA4"/>
    <w:rsid w:val="005C5482"/>
    <w:rsid w:val="005C78C8"/>
    <w:rsid w:val="005C7B4A"/>
    <w:rsid w:val="005D10F4"/>
    <w:rsid w:val="005D1885"/>
    <w:rsid w:val="005D59D4"/>
    <w:rsid w:val="005E3CEE"/>
    <w:rsid w:val="005E4D8C"/>
    <w:rsid w:val="005E57E4"/>
    <w:rsid w:val="005F0A83"/>
    <w:rsid w:val="005F1340"/>
    <w:rsid w:val="005F16DA"/>
    <w:rsid w:val="005F20D2"/>
    <w:rsid w:val="005F3BC4"/>
    <w:rsid w:val="005F3E85"/>
    <w:rsid w:val="005F4136"/>
    <w:rsid w:val="005F6E06"/>
    <w:rsid w:val="005F7200"/>
    <w:rsid w:val="00600992"/>
    <w:rsid w:val="006027F1"/>
    <w:rsid w:val="00602830"/>
    <w:rsid w:val="00603A8A"/>
    <w:rsid w:val="006104EA"/>
    <w:rsid w:val="0061082B"/>
    <w:rsid w:val="0061142F"/>
    <w:rsid w:val="0061416C"/>
    <w:rsid w:val="00614A66"/>
    <w:rsid w:val="00614B76"/>
    <w:rsid w:val="00614DBC"/>
    <w:rsid w:val="00620C85"/>
    <w:rsid w:val="00624E88"/>
    <w:rsid w:val="00626010"/>
    <w:rsid w:val="00630CF8"/>
    <w:rsid w:val="00632B75"/>
    <w:rsid w:val="00634176"/>
    <w:rsid w:val="006346F9"/>
    <w:rsid w:val="00634F7F"/>
    <w:rsid w:val="006367FC"/>
    <w:rsid w:val="006405B4"/>
    <w:rsid w:val="00641544"/>
    <w:rsid w:val="00641D2C"/>
    <w:rsid w:val="006424D4"/>
    <w:rsid w:val="006429E3"/>
    <w:rsid w:val="00643255"/>
    <w:rsid w:val="00644BDF"/>
    <w:rsid w:val="00644D20"/>
    <w:rsid w:val="006454EE"/>
    <w:rsid w:val="00647DCB"/>
    <w:rsid w:val="00652835"/>
    <w:rsid w:val="00654C4B"/>
    <w:rsid w:val="0065787D"/>
    <w:rsid w:val="006611A5"/>
    <w:rsid w:val="006613E0"/>
    <w:rsid w:val="00662B42"/>
    <w:rsid w:val="00662E9E"/>
    <w:rsid w:val="00671EA2"/>
    <w:rsid w:val="006722BE"/>
    <w:rsid w:val="006722D5"/>
    <w:rsid w:val="00673B48"/>
    <w:rsid w:val="00673CEC"/>
    <w:rsid w:val="00673DBD"/>
    <w:rsid w:val="006752AD"/>
    <w:rsid w:val="006760BA"/>
    <w:rsid w:val="00680C3E"/>
    <w:rsid w:val="00681F91"/>
    <w:rsid w:val="006838FE"/>
    <w:rsid w:val="00684972"/>
    <w:rsid w:val="006900C1"/>
    <w:rsid w:val="00690929"/>
    <w:rsid w:val="00690A70"/>
    <w:rsid w:val="00691CF7"/>
    <w:rsid w:val="00692B0A"/>
    <w:rsid w:val="00697AB7"/>
    <w:rsid w:val="00697E85"/>
    <w:rsid w:val="006A04AE"/>
    <w:rsid w:val="006A27BF"/>
    <w:rsid w:val="006A562C"/>
    <w:rsid w:val="006A5935"/>
    <w:rsid w:val="006A6353"/>
    <w:rsid w:val="006A7DFB"/>
    <w:rsid w:val="006B2000"/>
    <w:rsid w:val="006B2759"/>
    <w:rsid w:val="006B372F"/>
    <w:rsid w:val="006B3BEB"/>
    <w:rsid w:val="006B603B"/>
    <w:rsid w:val="006B734E"/>
    <w:rsid w:val="006C03EE"/>
    <w:rsid w:val="006C145B"/>
    <w:rsid w:val="006C21B7"/>
    <w:rsid w:val="006C2B38"/>
    <w:rsid w:val="006C2D5F"/>
    <w:rsid w:val="006C6C61"/>
    <w:rsid w:val="006D108B"/>
    <w:rsid w:val="006D15E8"/>
    <w:rsid w:val="006D28FB"/>
    <w:rsid w:val="006D4124"/>
    <w:rsid w:val="006D5861"/>
    <w:rsid w:val="006D6256"/>
    <w:rsid w:val="006D6975"/>
    <w:rsid w:val="006D760C"/>
    <w:rsid w:val="006E1E7F"/>
    <w:rsid w:val="006E3AC5"/>
    <w:rsid w:val="006E4AA8"/>
    <w:rsid w:val="006E4C97"/>
    <w:rsid w:val="006E5CCF"/>
    <w:rsid w:val="006E7291"/>
    <w:rsid w:val="006F122C"/>
    <w:rsid w:val="006F1F5D"/>
    <w:rsid w:val="006F22F2"/>
    <w:rsid w:val="006F5D23"/>
    <w:rsid w:val="006F7045"/>
    <w:rsid w:val="00701015"/>
    <w:rsid w:val="00701292"/>
    <w:rsid w:val="007012E3"/>
    <w:rsid w:val="00705C26"/>
    <w:rsid w:val="00705C66"/>
    <w:rsid w:val="00707CD1"/>
    <w:rsid w:val="0071194F"/>
    <w:rsid w:val="007130EC"/>
    <w:rsid w:val="00713FD7"/>
    <w:rsid w:val="0072232E"/>
    <w:rsid w:val="00722F08"/>
    <w:rsid w:val="00723110"/>
    <w:rsid w:val="007251A8"/>
    <w:rsid w:val="00726663"/>
    <w:rsid w:val="00726BE1"/>
    <w:rsid w:val="00730342"/>
    <w:rsid w:val="00732FDA"/>
    <w:rsid w:val="0073342C"/>
    <w:rsid w:val="00734A85"/>
    <w:rsid w:val="00735F9D"/>
    <w:rsid w:val="00741580"/>
    <w:rsid w:val="00745156"/>
    <w:rsid w:val="007514DA"/>
    <w:rsid w:val="00752DFA"/>
    <w:rsid w:val="00755271"/>
    <w:rsid w:val="00756255"/>
    <w:rsid w:val="0075656A"/>
    <w:rsid w:val="0075718A"/>
    <w:rsid w:val="00757750"/>
    <w:rsid w:val="00757C15"/>
    <w:rsid w:val="0076005D"/>
    <w:rsid w:val="007606AF"/>
    <w:rsid w:val="0076486B"/>
    <w:rsid w:val="007700F9"/>
    <w:rsid w:val="0077027B"/>
    <w:rsid w:val="00772503"/>
    <w:rsid w:val="00772E9E"/>
    <w:rsid w:val="0077312F"/>
    <w:rsid w:val="007735B0"/>
    <w:rsid w:val="00775F8D"/>
    <w:rsid w:val="00776AD2"/>
    <w:rsid w:val="00776B38"/>
    <w:rsid w:val="00776C8D"/>
    <w:rsid w:val="00776E65"/>
    <w:rsid w:val="00777621"/>
    <w:rsid w:val="00780559"/>
    <w:rsid w:val="00781673"/>
    <w:rsid w:val="00781852"/>
    <w:rsid w:val="00781FF6"/>
    <w:rsid w:val="00783D9D"/>
    <w:rsid w:val="00783DF4"/>
    <w:rsid w:val="00784718"/>
    <w:rsid w:val="007864E1"/>
    <w:rsid w:val="00786882"/>
    <w:rsid w:val="007870D0"/>
    <w:rsid w:val="00787B78"/>
    <w:rsid w:val="00790111"/>
    <w:rsid w:val="0079215E"/>
    <w:rsid w:val="00796AB4"/>
    <w:rsid w:val="007976B6"/>
    <w:rsid w:val="007A1F86"/>
    <w:rsid w:val="007A231C"/>
    <w:rsid w:val="007A40A7"/>
    <w:rsid w:val="007A4765"/>
    <w:rsid w:val="007A4AFB"/>
    <w:rsid w:val="007A651A"/>
    <w:rsid w:val="007A71F1"/>
    <w:rsid w:val="007B1AA8"/>
    <w:rsid w:val="007B234B"/>
    <w:rsid w:val="007B3B5D"/>
    <w:rsid w:val="007B41D7"/>
    <w:rsid w:val="007B422D"/>
    <w:rsid w:val="007B517C"/>
    <w:rsid w:val="007B72CB"/>
    <w:rsid w:val="007B79D3"/>
    <w:rsid w:val="007C09D8"/>
    <w:rsid w:val="007C238F"/>
    <w:rsid w:val="007C308C"/>
    <w:rsid w:val="007C43B6"/>
    <w:rsid w:val="007C45FA"/>
    <w:rsid w:val="007C590A"/>
    <w:rsid w:val="007C590F"/>
    <w:rsid w:val="007C6E8A"/>
    <w:rsid w:val="007C7972"/>
    <w:rsid w:val="007D00A6"/>
    <w:rsid w:val="007D089E"/>
    <w:rsid w:val="007D108D"/>
    <w:rsid w:val="007D17BD"/>
    <w:rsid w:val="007D4501"/>
    <w:rsid w:val="007D764E"/>
    <w:rsid w:val="007E5EEC"/>
    <w:rsid w:val="007E5F59"/>
    <w:rsid w:val="007E6DB3"/>
    <w:rsid w:val="007F1BAF"/>
    <w:rsid w:val="007F28A6"/>
    <w:rsid w:val="007F31CD"/>
    <w:rsid w:val="007F4C60"/>
    <w:rsid w:val="007F58EF"/>
    <w:rsid w:val="007F6660"/>
    <w:rsid w:val="007F7F88"/>
    <w:rsid w:val="0080063C"/>
    <w:rsid w:val="0080119F"/>
    <w:rsid w:val="00801B15"/>
    <w:rsid w:val="00801CB0"/>
    <w:rsid w:val="00803263"/>
    <w:rsid w:val="0080400D"/>
    <w:rsid w:val="008109CB"/>
    <w:rsid w:val="008135DC"/>
    <w:rsid w:val="00814B73"/>
    <w:rsid w:val="00815509"/>
    <w:rsid w:val="0081787E"/>
    <w:rsid w:val="00817C68"/>
    <w:rsid w:val="00817DB5"/>
    <w:rsid w:val="00817E06"/>
    <w:rsid w:val="00820A5D"/>
    <w:rsid w:val="008216FB"/>
    <w:rsid w:val="00822149"/>
    <w:rsid w:val="00823D34"/>
    <w:rsid w:val="00825060"/>
    <w:rsid w:val="00826902"/>
    <w:rsid w:val="00827B8F"/>
    <w:rsid w:val="0083556C"/>
    <w:rsid w:val="00835ED8"/>
    <w:rsid w:val="008417E9"/>
    <w:rsid w:val="00841AAB"/>
    <w:rsid w:val="00842EF0"/>
    <w:rsid w:val="008442AA"/>
    <w:rsid w:val="008445FF"/>
    <w:rsid w:val="00844DEB"/>
    <w:rsid w:val="00846731"/>
    <w:rsid w:val="00850806"/>
    <w:rsid w:val="00852985"/>
    <w:rsid w:val="00853100"/>
    <w:rsid w:val="00854277"/>
    <w:rsid w:val="00854365"/>
    <w:rsid w:val="008561C6"/>
    <w:rsid w:val="00861103"/>
    <w:rsid w:val="00861241"/>
    <w:rsid w:val="00862296"/>
    <w:rsid w:val="008625E0"/>
    <w:rsid w:val="00867C10"/>
    <w:rsid w:val="00867CA1"/>
    <w:rsid w:val="00874735"/>
    <w:rsid w:val="008759EF"/>
    <w:rsid w:val="00877325"/>
    <w:rsid w:val="008822F0"/>
    <w:rsid w:val="008868E9"/>
    <w:rsid w:val="00887AA0"/>
    <w:rsid w:val="00892057"/>
    <w:rsid w:val="008922CC"/>
    <w:rsid w:val="00892F86"/>
    <w:rsid w:val="00894C83"/>
    <w:rsid w:val="008960B7"/>
    <w:rsid w:val="00896F10"/>
    <w:rsid w:val="008A1FA4"/>
    <w:rsid w:val="008A2025"/>
    <w:rsid w:val="008A35C0"/>
    <w:rsid w:val="008A4A4F"/>
    <w:rsid w:val="008A56EB"/>
    <w:rsid w:val="008B32AD"/>
    <w:rsid w:val="008B36E3"/>
    <w:rsid w:val="008B5F0A"/>
    <w:rsid w:val="008B6340"/>
    <w:rsid w:val="008C018C"/>
    <w:rsid w:val="008C0498"/>
    <w:rsid w:val="008C0D74"/>
    <w:rsid w:val="008C10DC"/>
    <w:rsid w:val="008C1DB5"/>
    <w:rsid w:val="008C283A"/>
    <w:rsid w:val="008C38C9"/>
    <w:rsid w:val="008C4B5B"/>
    <w:rsid w:val="008C6D60"/>
    <w:rsid w:val="008C79C3"/>
    <w:rsid w:val="008D1327"/>
    <w:rsid w:val="008D2970"/>
    <w:rsid w:val="008D2D33"/>
    <w:rsid w:val="008D41F2"/>
    <w:rsid w:val="008D4F6D"/>
    <w:rsid w:val="008D4F8A"/>
    <w:rsid w:val="008D7480"/>
    <w:rsid w:val="008E0DC4"/>
    <w:rsid w:val="008E659F"/>
    <w:rsid w:val="008E6723"/>
    <w:rsid w:val="008E7E12"/>
    <w:rsid w:val="008F01ED"/>
    <w:rsid w:val="008F0E95"/>
    <w:rsid w:val="008F2498"/>
    <w:rsid w:val="008F269E"/>
    <w:rsid w:val="008F5A87"/>
    <w:rsid w:val="008F7DEE"/>
    <w:rsid w:val="00902EE1"/>
    <w:rsid w:val="00903718"/>
    <w:rsid w:val="009051C4"/>
    <w:rsid w:val="00905B1E"/>
    <w:rsid w:val="009078DF"/>
    <w:rsid w:val="009120F4"/>
    <w:rsid w:val="00913712"/>
    <w:rsid w:val="00916079"/>
    <w:rsid w:val="00917F5C"/>
    <w:rsid w:val="00920657"/>
    <w:rsid w:val="00920680"/>
    <w:rsid w:val="009210F9"/>
    <w:rsid w:val="009217AE"/>
    <w:rsid w:val="00922360"/>
    <w:rsid w:val="00923F67"/>
    <w:rsid w:val="009240ED"/>
    <w:rsid w:val="00927E9F"/>
    <w:rsid w:val="00930851"/>
    <w:rsid w:val="009319CC"/>
    <w:rsid w:val="00931DF1"/>
    <w:rsid w:val="009324D3"/>
    <w:rsid w:val="009359F2"/>
    <w:rsid w:val="00936251"/>
    <w:rsid w:val="00936CB7"/>
    <w:rsid w:val="009371E1"/>
    <w:rsid w:val="00942187"/>
    <w:rsid w:val="00943226"/>
    <w:rsid w:val="0094411D"/>
    <w:rsid w:val="0094537D"/>
    <w:rsid w:val="0094792C"/>
    <w:rsid w:val="00950035"/>
    <w:rsid w:val="009504AD"/>
    <w:rsid w:val="00951195"/>
    <w:rsid w:val="0095196A"/>
    <w:rsid w:val="0095534C"/>
    <w:rsid w:val="00955803"/>
    <w:rsid w:val="00955B32"/>
    <w:rsid w:val="009572F5"/>
    <w:rsid w:val="0096035F"/>
    <w:rsid w:val="009604D3"/>
    <w:rsid w:val="00962A38"/>
    <w:rsid w:val="00965C52"/>
    <w:rsid w:val="009670BB"/>
    <w:rsid w:val="00967BE9"/>
    <w:rsid w:val="00971F05"/>
    <w:rsid w:val="00976481"/>
    <w:rsid w:val="009770D8"/>
    <w:rsid w:val="00977CD8"/>
    <w:rsid w:val="009804A2"/>
    <w:rsid w:val="00980A26"/>
    <w:rsid w:val="00981576"/>
    <w:rsid w:val="00982F32"/>
    <w:rsid w:val="00983BB0"/>
    <w:rsid w:val="00984595"/>
    <w:rsid w:val="00986186"/>
    <w:rsid w:val="00986763"/>
    <w:rsid w:val="00990F1D"/>
    <w:rsid w:val="0099269D"/>
    <w:rsid w:val="00993A0A"/>
    <w:rsid w:val="009940D1"/>
    <w:rsid w:val="00995ABD"/>
    <w:rsid w:val="009962DF"/>
    <w:rsid w:val="00996ADF"/>
    <w:rsid w:val="00997BF0"/>
    <w:rsid w:val="00997CC6"/>
    <w:rsid w:val="009A0F7E"/>
    <w:rsid w:val="009A29E2"/>
    <w:rsid w:val="009A6828"/>
    <w:rsid w:val="009A6BBB"/>
    <w:rsid w:val="009B1195"/>
    <w:rsid w:val="009B29E0"/>
    <w:rsid w:val="009B607C"/>
    <w:rsid w:val="009C0AA7"/>
    <w:rsid w:val="009C268C"/>
    <w:rsid w:val="009C4BF9"/>
    <w:rsid w:val="009D097C"/>
    <w:rsid w:val="009D3AFD"/>
    <w:rsid w:val="009D4EAC"/>
    <w:rsid w:val="009D56EA"/>
    <w:rsid w:val="009D587B"/>
    <w:rsid w:val="009D6160"/>
    <w:rsid w:val="009E06D6"/>
    <w:rsid w:val="009E2246"/>
    <w:rsid w:val="009E23BC"/>
    <w:rsid w:val="009E2929"/>
    <w:rsid w:val="009E7005"/>
    <w:rsid w:val="009E7AA6"/>
    <w:rsid w:val="009E7C90"/>
    <w:rsid w:val="009E7EBF"/>
    <w:rsid w:val="009F0522"/>
    <w:rsid w:val="009F487E"/>
    <w:rsid w:val="009F50FB"/>
    <w:rsid w:val="009F6E05"/>
    <w:rsid w:val="00A01373"/>
    <w:rsid w:val="00A029F7"/>
    <w:rsid w:val="00A03875"/>
    <w:rsid w:val="00A17814"/>
    <w:rsid w:val="00A20475"/>
    <w:rsid w:val="00A219FE"/>
    <w:rsid w:val="00A22B5E"/>
    <w:rsid w:val="00A238EF"/>
    <w:rsid w:val="00A24F2F"/>
    <w:rsid w:val="00A263CF"/>
    <w:rsid w:val="00A2685D"/>
    <w:rsid w:val="00A26873"/>
    <w:rsid w:val="00A27226"/>
    <w:rsid w:val="00A31DF4"/>
    <w:rsid w:val="00A3382C"/>
    <w:rsid w:val="00A3455A"/>
    <w:rsid w:val="00A36273"/>
    <w:rsid w:val="00A40289"/>
    <w:rsid w:val="00A41078"/>
    <w:rsid w:val="00A4676F"/>
    <w:rsid w:val="00A47D9F"/>
    <w:rsid w:val="00A47DF2"/>
    <w:rsid w:val="00A5117B"/>
    <w:rsid w:val="00A52733"/>
    <w:rsid w:val="00A52815"/>
    <w:rsid w:val="00A53FF6"/>
    <w:rsid w:val="00A55E66"/>
    <w:rsid w:val="00A56ED3"/>
    <w:rsid w:val="00A57EEA"/>
    <w:rsid w:val="00A61C99"/>
    <w:rsid w:val="00A62918"/>
    <w:rsid w:val="00A63342"/>
    <w:rsid w:val="00A64CBD"/>
    <w:rsid w:val="00A6531B"/>
    <w:rsid w:val="00A65754"/>
    <w:rsid w:val="00A65C22"/>
    <w:rsid w:val="00A66ECB"/>
    <w:rsid w:val="00A70330"/>
    <w:rsid w:val="00A723E8"/>
    <w:rsid w:val="00A73A80"/>
    <w:rsid w:val="00A73DA0"/>
    <w:rsid w:val="00A75308"/>
    <w:rsid w:val="00A7595E"/>
    <w:rsid w:val="00A771A4"/>
    <w:rsid w:val="00A80B8D"/>
    <w:rsid w:val="00A81DBD"/>
    <w:rsid w:val="00A827D0"/>
    <w:rsid w:val="00A828EB"/>
    <w:rsid w:val="00A8414D"/>
    <w:rsid w:val="00A84383"/>
    <w:rsid w:val="00A8486B"/>
    <w:rsid w:val="00A8757E"/>
    <w:rsid w:val="00A9078F"/>
    <w:rsid w:val="00A91877"/>
    <w:rsid w:val="00A9238B"/>
    <w:rsid w:val="00A94115"/>
    <w:rsid w:val="00A972E7"/>
    <w:rsid w:val="00AA3E3B"/>
    <w:rsid w:val="00AA47D3"/>
    <w:rsid w:val="00AB00C1"/>
    <w:rsid w:val="00AC02AB"/>
    <w:rsid w:val="00AC03B5"/>
    <w:rsid w:val="00AC0DCF"/>
    <w:rsid w:val="00AC13D8"/>
    <w:rsid w:val="00AC2131"/>
    <w:rsid w:val="00AC2DAE"/>
    <w:rsid w:val="00AC425C"/>
    <w:rsid w:val="00AC62F8"/>
    <w:rsid w:val="00AD0A13"/>
    <w:rsid w:val="00AD1654"/>
    <w:rsid w:val="00AD1DB0"/>
    <w:rsid w:val="00AD4283"/>
    <w:rsid w:val="00AE0497"/>
    <w:rsid w:val="00AE0749"/>
    <w:rsid w:val="00AE365C"/>
    <w:rsid w:val="00AE49C4"/>
    <w:rsid w:val="00AF1357"/>
    <w:rsid w:val="00AF324C"/>
    <w:rsid w:val="00AF587B"/>
    <w:rsid w:val="00AF74CC"/>
    <w:rsid w:val="00B002D0"/>
    <w:rsid w:val="00B00D05"/>
    <w:rsid w:val="00B04630"/>
    <w:rsid w:val="00B11128"/>
    <w:rsid w:val="00B15837"/>
    <w:rsid w:val="00B15CC9"/>
    <w:rsid w:val="00B24105"/>
    <w:rsid w:val="00B26853"/>
    <w:rsid w:val="00B30FA7"/>
    <w:rsid w:val="00B31DA1"/>
    <w:rsid w:val="00B31E5C"/>
    <w:rsid w:val="00B37120"/>
    <w:rsid w:val="00B4004C"/>
    <w:rsid w:val="00B44C9E"/>
    <w:rsid w:val="00B502E6"/>
    <w:rsid w:val="00B51D49"/>
    <w:rsid w:val="00B53754"/>
    <w:rsid w:val="00B53D48"/>
    <w:rsid w:val="00B53F15"/>
    <w:rsid w:val="00B57787"/>
    <w:rsid w:val="00B61397"/>
    <w:rsid w:val="00B62155"/>
    <w:rsid w:val="00B64D80"/>
    <w:rsid w:val="00B654AA"/>
    <w:rsid w:val="00B65B5F"/>
    <w:rsid w:val="00B67198"/>
    <w:rsid w:val="00B70032"/>
    <w:rsid w:val="00B71352"/>
    <w:rsid w:val="00B724DC"/>
    <w:rsid w:val="00B7282E"/>
    <w:rsid w:val="00B747EF"/>
    <w:rsid w:val="00B74DF4"/>
    <w:rsid w:val="00B823AD"/>
    <w:rsid w:val="00B82839"/>
    <w:rsid w:val="00B8334F"/>
    <w:rsid w:val="00B84ADC"/>
    <w:rsid w:val="00B857F5"/>
    <w:rsid w:val="00B85D39"/>
    <w:rsid w:val="00B86E9C"/>
    <w:rsid w:val="00B8782B"/>
    <w:rsid w:val="00B91590"/>
    <w:rsid w:val="00B9356B"/>
    <w:rsid w:val="00B94204"/>
    <w:rsid w:val="00B95564"/>
    <w:rsid w:val="00BA1683"/>
    <w:rsid w:val="00BA4933"/>
    <w:rsid w:val="00BA559A"/>
    <w:rsid w:val="00BB02F7"/>
    <w:rsid w:val="00BB11D4"/>
    <w:rsid w:val="00BB2455"/>
    <w:rsid w:val="00BB283E"/>
    <w:rsid w:val="00BB60A8"/>
    <w:rsid w:val="00BB70D1"/>
    <w:rsid w:val="00BC1C2D"/>
    <w:rsid w:val="00BC3257"/>
    <w:rsid w:val="00BC355F"/>
    <w:rsid w:val="00BC438A"/>
    <w:rsid w:val="00BC4F9D"/>
    <w:rsid w:val="00BD0DEF"/>
    <w:rsid w:val="00BD2CCC"/>
    <w:rsid w:val="00BD38C6"/>
    <w:rsid w:val="00BD4664"/>
    <w:rsid w:val="00BD4820"/>
    <w:rsid w:val="00BD74CB"/>
    <w:rsid w:val="00BE0030"/>
    <w:rsid w:val="00BE2578"/>
    <w:rsid w:val="00BF27CB"/>
    <w:rsid w:val="00BF28D2"/>
    <w:rsid w:val="00BF54E2"/>
    <w:rsid w:val="00BF56D8"/>
    <w:rsid w:val="00BF5B2B"/>
    <w:rsid w:val="00BF60FE"/>
    <w:rsid w:val="00BF6C46"/>
    <w:rsid w:val="00C01B15"/>
    <w:rsid w:val="00C028DE"/>
    <w:rsid w:val="00C029BA"/>
    <w:rsid w:val="00C02B36"/>
    <w:rsid w:val="00C02C6B"/>
    <w:rsid w:val="00C02D88"/>
    <w:rsid w:val="00C03BCE"/>
    <w:rsid w:val="00C03F93"/>
    <w:rsid w:val="00C04356"/>
    <w:rsid w:val="00C07479"/>
    <w:rsid w:val="00C07A3B"/>
    <w:rsid w:val="00C07D1F"/>
    <w:rsid w:val="00C12B2F"/>
    <w:rsid w:val="00C13225"/>
    <w:rsid w:val="00C14322"/>
    <w:rsid w:val="00C17C32"/>
    <w:rsid w:val="00C239A7"/>
    <w:rsid w:val="00C25BB6"/>
    <w:rsid w:val="00C26FFD"/>
    <w:rsid w:val="00C30107"/>
    <w:rsid w:val="00C328F5"/>
    <w:rsid w:val="00C32FE0"/>
    <w:rsid w:val="00C334AC"/>
    <w:rsid w:val="00C33FE3"/>
    <w:rsid w:val="00C34CB0"/>
    <w:rsid w:val="00C34E62"/>
    <w:rsid w:val="00C355C2"/>
    <w:rsid w:val="00C35AF9"/>
    <w:rsid w:val="00C376BB"/>
    <w:rsid w:val="00C37C5F"/>
    <w:rsid w:val="00C41B75"/>
    <w:rsid w:val="00C4270E"/>
    <w:rsid w:val="00C43F34"/>
    <w:rsid w:val="00C43FE9"/>
    <w:rsid w:val="00C44317"/>
    <w:rsid w:val="00C44406"/>
    <w:rsid w:val="00C44DF7"/>
    <w:rsid w:val="00C507A3"/>
    <w:rsid w:val="00C51640"/>
    <w:rsid w:val="00C52224"/>
    <w:rsid w:val="00C526D8"/>
    <w:rsid w:val="00C54DBE"/>
    <w:rsid w:val="00C56070"/>
    <w:rsid w:val="00C56392"/>
    <w:rsid w:val="00C57007"/>
    <w:rsid w:val="00C60580"/>
    <w:rsid w:val="00C616D4"/>
    <w:rsid w:val="00C61AFD"/>
    <w:rsid w:val="00C63462"/>
    <w:rsid w:val="00C64739"/>
    <w:rsid w:val="00C666F8"/>
    <w:rsid w:val="00C71242"/>
    <w:rsid w:val="00C72123"/>
    <w:rsid w:val="00C723D4"/>
    <w:rsid w:val="00C7337A"/>
    <w:rsid w:val="00C75228"/>
    <w:rsid w:val="00C759C5"/>
    <w:rsid w:val="00C77389"/>
    <w:rsid w:val="00C80AEC"/>
    <w:rsid w:val="00C82B0F"/>
    <w:rsid w:val="00C8355B"/>
    <w:rsid w:val="00C8482E"/>
    <w:rsid w:val="00C84F09"/>
    <w:rsid w:val="00C86C34"/>
    <w:rsid w:val="00C87FB7"/>
    <w:rsid w:val="00C90BBA"/>
    <w:rsid w:val="00C9331C"/>
    <w:rsid w:val="00C93E4E"/>
    <w:rsid w:val="00C95887"/>
    <w:rsid w:val="00C96046"/>
    <w:rsid w:val="00CA0A8E"/>
    <w:rsid w:val="00CA0FA4"/>
    <w:rsid w:val="00CA18BE"/>
    <w:rsid w:val="00CA2433"/>
    <w:rsid w:val="00CA3506"/>
    <w:rsid w:val="00CA4631"/>
    <w:rsid w:val="00CA5885"/>
    <w:rsid w:val="00CA7DA6"/>
    <w:rsid w:val="00CB0916"/>
    <w:rsid w:val="00CB2CA1"/>
    <w:rsid w:val="00CB2ECD"/>
    <w:rsid w:val="00CB41C6"/>
    <w:rsid w:val="00CB4828"/>
    <w:rsid w:val="00CB49CC"/>
    <w:rsid w:val="00CB4C1A"/>
    <w:rsid w:val="00CB4E67"/>
    <w:rsid w:val="00CB6FD7"/>
    <w:rsid w:val="00CB7E23"/>
    <w:rsid w:val="00CC30CD"/>
    <w:rsid w:val="00CC5D14"/>
    <w:rsid w:val="00CC70E0"/>
    <w:rsid w:val="00CD5C38"/>
    <w:rsid w:val="00CD6113"/>
    <w:rsid w:val="00CD6BD8"/>
    <w:rsid w:val="00CE0E95"/>
    <w:rsid w:val="00CE1542"/>
    <w:rsid w:val="00CE54FA"/>
    <w:rsid w:val="00CE7391"/>
    <w:rsid w:val="00CE7888"/>
    <w:rsid w:val="00CF1BB1"/>
    <w:rsid w:val="00CF206E"/>
    <w:rsid w:val="00CF257A"/>
    <w:rsid w:val="00CF3186"/>
    <w:rsid w:val="00CF32D3"/>
    <w:rsid w:val="00CF3AB5"/>
    <w:rsid w:val="00CF43E5"/>
    <w:rsid w:val="00CF5D5D"/>
    <w:rsid w:val="00D03DB4"/>
    <w:rsid w:val="00D0421B"/>
    <w:rsid w:val="00D057A5"/>
    <w:rsid w:val="00D07414"/>
    <w:rsid w:val="00D100E6"/>
    <w:rsid w:val="00D13A59"/>
    <w:rsid w:val="00D14929"/>
    <w:rsid w:val="00D15EB7"/>
    <w:rsid w:val="00D16F2D"/>
    <w:rsid w:val="00D17865"/>
    <w:rsid w:val="00D22F94"/>
    <w:rsid w:val="00D2392D"/>
    <w:rsid w:val="00D253FF"/>
    <w:rsid w:val="00D25C0C"/>
    <w:rsid w:val="00D279E9"/>
    <w:rsid w:val="00D311C3"/>
    <w:rsid w:val="00D314B1"/>
    <w:rsid w:val="00D32D42"/>
    <w:rsid w:val="00D379CA"/>
    <w:rsid w:val="00D41C38"/>
    <w:rsid w:val="00D50289"/>
    <w:rsid w:val="00D5032F"/>
    <w:rsid w:val="00D50D61"/>
    <w:rsid w:val="00D50D9B"/>
    <w:rsid w:val="00D55692"/>
    <w:rsid w:val="00D578BE"/>
    <w:rsid w:val="00D57EA5"/>
    <w:rsid w:val="00D629C5"/>
    <w:rsid w:val="00D637E3"/>
    <w:rsid w:val="00D63BAD"/>
    <w:rsid w:val="00D63C1E"/>
    <w:rsid w:val="00D65427"/>
    <w:rsid w:val="00D65FE6"/>
    <w:rsid w:val="00D66679"/>
    <w:rsid w:val="00D6775B"/>
    <w:rsid w:val="00D71D3E"/>
    <w:rsid w:val="00D744AB"/>
    <w:rsid w:val="00D75A15"/>
    <w:rsid w:val="00D7604A"/>
    <w:rsid w:val="00D7619A"/>
    <w:rsid w:val="00D76843"/>
    <w:rsid w:val="00D77173"/>
    <w:rsid w:val="00D774F5"/>
    <w:rsid w:val="00D8132D"/>
    <w:rsid w:val="00D827FD"/>
    <w:rsid w:val="00D83CDA"/>
    <w:rsid w:val="00D84B2D"/>
    <w:rsid w:val="00D9292C"/>
    <w:rsid w:val="00D92C9B"/>
    <w:rsid w:val="00D9499F"/>
    <w:rsid w:val="00DA1670"/>
    <w:rsid w:val="00DA214A"/>
    <w:rsid w:val="00DA2EA4"/>
    <w:rsid w:val="00DA5C54"/>
    <w:rsid w:val="00DA6D6D"/>
    <w:rsid w:val="00DB0666"/>
    <w:rsid w:val="00DB2A7C"/>
    <w:rsid w:val="00DB4430"/>
    <w:rsid w:val="00DB4887"/>
    <w:rsid w:val="00DB6095"/>
    <w:rsid w:val="00DB6823"/>
    <w:rsid w:val="00DB7A78"/>
    <w:rsid w:val="00DC1C6D"/>
    <w:rsid w:val="00DC34CA"/>
    <w:rsid w:val="00DC3F03"/>
    <w:rsid w:val="00DC46F9"/>
    <w:rsid w:val="00DC5436"/>
    <w:rsid w:val="00DC5DDB"/>
    <w:rsid w:val="00DC7998"/>
    <w:rsid w:val="00DD0CF5"/>
    <w:rsid w:val="00DD3041"/>
    <w:rsid w:val="00DD425A"/>
    <w:rsid w:val="00DD53D6"/>
    <w:rsid w:val="00DD6621"/>
    <w:rsid w:val="00DD6B68"/>
    <w:rsid w:val="00DE0364"/>
    <w:rsid w:val="00DE2B55"/>
    <w:rsid w:val="00DE3A86"/>
    <w:rsid w:val="00DE5BE9"/>
    <w:rsid w:val="00DE760C"/>
    <w:rsid w:val="00DF22A3"/>
    <w:rsid w:val="00DF2654"/>
    <w:rsid w:val="00DF2F8A"/>
    <w:rsid w:val="00DF433C"/>
    <w:rsid w:val="00DF6284"/>
    <w:rsid w:val="00E062DC"/>
    <w:rsid w:val="00E07F3F"/>
    <w:rsid w:val="00E10106"/>
    <w:rsid w:val="00E11069"/>
    <w:rsid w:val="00E123EC"/>
    <w:rsid w:val="00E13450"/>
    <w:rsid w:val="00E17585"/>
    <w:rsid w:val="00E22989"/>
    <w:rsid w:val="00E24A2A"/>
    <w:rsid w:val="00E24E03"/>
    <w:rsid w:val="00E24E0D"/>
    <w:rsid w:val="00E24EFF"/>
    <w:rsid w:val="00E272AD"/>
    <w:rsid w:val="00E27D6B"/>
    <w:rsid w:val="00E32A22"/>
    <w:rsid w:val="00E333A8"/>
    <w:rsid w:val="00E34B46"/>
    <w:rsid w:val="00E34F72"/>
    <w:rsid w:val="00E350E6"/>
    <w:rsid w:val="00E358EB"/>
    <w:rsid w:val="00E35EB2"/>
    <w:rsid w:val="00E37798"/>
    <w:rsid w:val="00E444BF"/>
    <w:rsid w:val="00E44ADB"/>
    <w:rsid w:val="00E44E30"/>
    <w:rsid w:val="00E45B7B"/>
    <w:rsid w:val="00E46EFF"/>
    <w:rsid w:val="00E4785A"/>
    <w:rsid w:val="00E47B50"/>
    <w:rsid w:val="00E47EF1"/>
    <w:rsid w:val="00E5137A"/>
    <w:rsid w:val="00E53080"/>
    <w:rsid w:val="00E53ED2"/>
    <w:rsid w:val="00E544F1"/>
    <w:rsid w:val="00E5588A"/>
    <w:rsid w:val="00E55AEE"/>
    <w:rsid w:val="00E64EEF"/>
    <w:rsid w:val="00E70A54"/>
    <w:rsid w:val="00E70D91"/>
    <w:rsid w:val="00E71616"/>
    <w:rsid w:val="00E71A05"/>
    <w:rsid w:val="00E72D40"/>
    <w:rsid w:val="00E75670"/>
    <w:rsid w:val="00E75804"/>
    <w:rsid w:val="00E75D77"/>
    <w:rsid w:val="00E819DF"/>
    <w:rsid w:val="00E81C26"/>
    <w:rsid w:val="00E8479E"/>
    <w:rsid w:val="00E86523"/>
    <w:rsid w:val="00E87749"/>
    <w:rsid w:val="00E878C3"/>
    <w:rsid w:val="00E9001D"/>
    <w:rsid w:val="00E9127A"/>
    <w:rsid w:val="00E96770"/>
    <w:rsid w:val="00E97C12"/>
    <w:rsid w:val="00EA046C"/>
    <w:rsid w:val="00EA100C"/>
    <w:rsid w:val="00EA3E16"/>
    <w:rsid w:val="00EA6F04"/>
    <w:rsid w:val="00EA7129"/>
    <w:rsid w:val="00EB0D48"/>
    <w:rsid w:val="00EB1CA4"/>
    <w:rsid w:val="00EB453A"/>
    <w:rsid w:val="00EB6C36"/>
    <w:rsid w:val="00EB6E06"/>
    <w:rsid w:val="00EC07E4"/>
    <w:rsid w:val="00EC09B2"/>
    <w:rsid w:val="00EC1A8F"/>
    <w:rsid w:val="00EC2ADF"/>
    <w:rsid w:val="00EC5E08"/>
    <w:rsid w:val="00EC6834"/>
    <w:rsid w:val="00EC6B0A"/>
    <w:rsid w:val="00ED21D0"/>
    <w:rsid w:val="00ED390C"/>
    <w:rsid w:val="00ED65F3"/>
    <w:rsid w:val="00ED6883"/>
    <w:rsid w:val="00ED7BF3"/>
    <w:rsid w:val="00EE0B74"/>
    <w:rsid w:val="00EE1C00"/>
    <w:rsid w:val="00EE26F6"/>
    <w:rsid w:val="00EE37A3"/>
    <w:rsid w:val="00EE3E56"/>
    <w:rsid w:val="00EE4A40"/>
    <w:rsid w:val="00EE5D73"/>
    <w:rsid w:val="00EE5E3B"/>
    <w:rsid w:val="00EE628D"/>
    <w:rsid w:val="00EF15EC"/>
    <w:rsid w:val="00EF29E3"/>
    <w:rsid w:val="00EF2C10"/>
    <w:rsid w:val="00EF474C"/>
    <w:rsid w:val="00EF54B9"/>
    <w:rsid w:val="00F00C0D"/>
    <w:rsid w:val="00F00E9B"/>
    <w:rsid w:val="00F02294"/>
    <w:rsid w:val="00F03EC8"/>
    <w:rsid w:val="00F06057"/>
    <w:rsid w:val="00F06F4A"/>
    <w:rsid w:val="00F0755B"/>
    <w:rsid w:val="00F07D55"/>
    <w:rsid w:val="00F14119"/>
    <w:rsid w:val="00F14EA2"/>
    <w:rsid w:val="00F164AF"/>
    <w:rsid w:val="00F16941"/>
    <w:rsid w:val="00F20EBB"/>
    <w:rsid w:val="00F21019"/>
    <w:rsid w:val="00F21575"/>
    <w:rsid w:val="00F21990"/>
    <w:rsid w:val="00F22A9C"/>
    <w:rsid w:val="00F22D5F"/>
    <w:rsid w:val="00F2312C"/>
    <w:rsid w:val="00F243E6"/>
    <w:rsid w:val="00F2611D"/>
    <w:rsid w:val="00F2642D"/>
    <w:rsid w:val="00F31E2A"/>
    <w:rsid w:val="00F32516"/>
    <w:rsid w:val="00F32C61"/>
    <w:rsid w:val="00F3359E"/>
    <w:rsid w:val="00F34E04"/>
    <w:rsid w:val="00F36E8B"/>
    <w:rsid w:val="00F42CB9"/>
    <w:rsid w:val="00F4348C"/>
    <w:rsid w:val="00F44FF0"/>
    <w:rsid w:val="00F47F15"/>
    <w:rsid w:val="00F50263"/>
    <w:rsid w:val="00F50A35"/>
    <w:rsid w:val="00F50F72"/>
    <w:rsid w:val="00F52F71"/>
    <w:rsid w:val="00F631F4"/>
    <w:rsid w:val="00F63F0A"/>
    <w:rsid w:val="00F64C13"/>
    <w:rsid w:val="00F651D5"/>
    <w:rsid w:val="00F6733E"/>
    <w:rsid w:val="00F6759F"/>
    <w:rsid w:val="00F722B8"/>
    <w:rsid w:val="00F735B3"/>
    <w:rsid w:val="00F74DA1"/>
    <w:rsid w:val="00F75B78"/>
    <w:rsid w:val="00F80E0B"/>
    <w:rsid w:val="00F83340"/>
    <w:rsid w:val="00F838A7"/>
    <w:rsid w:val="00F83AF5"/>
    <w:rsid w:val="00F84005"/>
    <w:rsid w:val="00F84241"/>
    <w:rsid w:val="00F91D28"/>
    <w:rsid w:val="00F92109"/>
    <w:rsid w:val="00F93211"/>
    <w:rsid w:val="00F938C6"/>
    <w:rsid w:val="00F95658"/>
    <w:rsid w:val="00F96068"/>
    <w:rsid w:val="00F97362"/>
    <w:rsid w:val="00FA2C7B"/>
    <w:rsid w:val="00FA4F51"/>
    <w:rsid w:val="00FA502B"/>
    <w:rsid w:val="00FA7A37"/>
    <w:rsid w:val="00FB05BB"/>
    <w:rsid w:val="00FB236E"/>
    <w:rsid w:val="00FB6053"/>
    <w:rsid w:val="00FB6719"/>
    <w:rsid w:val="00FC11D0"/>
    <w:rsid w:val="00FC6672"/>
    <w:rsid w:val="00FD08AF"/>
    <w:rsid w:val="00FD0E15"/>
    <w:rsid w:val="00FD2051"/>
    <w:rsid w:val="00FD232C"/>
    <w:rsid w:val="00FD2F9F"/>
    <w:rsid w:val="00FD32B2"/>
    <w:rsid w:val="00FD3DEC"/>
    <w:rsid w:val="00FD59B6"/>
    <w:rsid w:val="00FE0925"/>
    <w:rsid w:val="00FE0F16"/>
    <w:rsid w:val="00FE193E"/>
    <w:rsid w:val="00FE2F88"/>
    <w:rsid w:val="00FE4709"/>
    <w:rsid w:val="00FF1803"/>
    <w:rsid w:val="00FF20DD"/>
    <w:rsid w:val="00FF5474"/>
    <w:rsid w:val="00FF61FE"/>
    <w:rsid w:val="00FF6CF6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363BA3"/>
  <w15:docId w15:val="{3787ACFF-C351-4C24-9CB3-F22F5FA3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0C0374"/>
    <w:pPr>
      <w:spacing w:before="75" w:after="75"/>
      <w:jc w:val="center"/>
    </w:pPr>
  </w:style>
  <w:style w:type="character" w:styleId="Hyperlink">
    <w:name w:val="Hyperlink"/>
    <w:basedOn w:val="DefaultParagraphFont"/>
    <w:rsid w:val="000C03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03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374"/>
    <w:rPr>
      <w:rFonts w:eastAsia="Times New Roman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0C03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374"/>
    <w:rPr>
      <w:rFonts w:eastAsia="Times New Roman" w:cs="Times New Roman"/>
      <w:lang w:eastAsia="lv-LV"/>
    </w:rPr>
  </w:style>
  <w:style w:type="paragraph" w:customStyle="1" w:styleId="naisf">
    <w:name w:val="naisf"/>
    <w:basedOn w:val="Normal"/>
    <w:rsid w:val="000C0374"/>
    <w:pPr>
      <w:spacing w:before="100" w:after="100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semiHidden/>
    <w:rsid w:val="000C0374"/>
    <w:rPr>
      <w:rFonts w:cs="Times New Roman"/>
    </w:rPr>
  </w:style>
  <w:style w:type="paragraph" w:customStyle="1" w:styleId="tvhtml">
    <w:name w:val="tv_html"/>
    <w:basedOn w:val="Normal"/>
    <w:rsid w:val="0075718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Char">
    <w:name w:val="Char"/>
    <w:basedOn w:val="Normal"/>
    <w:rsid w:val="00472758"/>
    <w:rPr>
      <w:lang w:val="pl-PL" w:eastAsia="pl-PL"/>
    </w:rPr>
  </w:style>
  <w:style w:type="character" w:styleId="CommentReference">
    <w:name w:val="annotation reference"/>
    <w:basedOn w:val="DefaultParagraphFont"/>
    <w:semiHidden/>
    <w:rsid w:val="00C34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4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34E62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4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34E62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C34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34E62"/>
    <w:rPr>
      <w:rFonts w:ascii="Tahoma" w:hAnsi="Tahoma" w:cs="Tahoma"/>
      <w:sz w:val="16"/>
      <w:szCs w:val="16"/>
    </w:rPr>
  </w:style>
  <w:style w:type="character" w:customStyle="1" w:styleId="tvdoctopindex1">
    <w:name w:val="tv_doc_top_index1"/>
    <w:basedOn w:val="DefaultParagraphFont"/>
    <w:rsid w:val="006611A5"/>
    <w:rPr>
      <w:rFonts w:cs="Times New Roman"/>
      <w:color w:val="auto"/>
      <w:sz w:val="18"/>
      <w:szCs w:val="18"/>
    </w:rPr>
  </w:style>
  <w:style w:type="paragraph" w:styleId="BodyTextIndent2">
    <w:name w:val="Body Text Indent 2"/>
    <w:basedOn w:val="Normal"/>
    <w:link w:val="BodyTextIndent2Char"/>
    <w:rsid w:val="00337572"/>
    <w:pPr>
      <w:suppressAutoHyphens/>
      <w:spacing w:after="120"/>
      <w:ind w:firstLine="709"/>
      <w:jc w:val="both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locked/>
    <w:rsid w:val="00337572"/>
    <w:rPr>
      <w:rFonts w:eastAsia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qFormat/>
    <w:rsid w:val="003375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qFormat/>
    <w:rsid w:val="00E71616"/>
    <w:rPr>
      <w:sz w:val="24"/>
      <w:szCs w:val="24"/>
      <w:lang w:val="en-GB" w:eastAsia="en-US"/>
    </w:rPr>
  </w:style>
  <w:style w:type="paragraph" w:customStyle="1" w:styleId="RakstzRakstz8">
    <w:name w:val="Rakstz. Rakstz.8"/>
    <w:basedOn w:val="Normal"/>
    <w:rsid w:val="0056352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97C15"/>
    <w:pPr>
      <w:spacing w:before="100" w:beforeAutospacing="1" w:after="100" w:afterAutospacing="1"/>
    </w:pPr>
    <w:rPr>
      <w:lang w:eastAsia="en-US"/>
    </w:rPr>
  </w:style>
  <w:style w:type="paragraph" w:customStyle="1" w:styleId="CharCharRakstzRakstz">
    <w:name w:val="Char Char Rakstz. Rakstz."/>
    <w:basedOn w:val="Normal"/>
    <w:rsid w:val="00CF3AB5"/>
    <w:pPr>
      <w:spacing w:before="40"/>
    </w:pPr>
    <w:rPr>
      <w:rFonts w:eastAsia="Times New Roman"/>
      <w:sz w:val="20"/>
      <w:szCs w:val="20"/>
      <w:lang w:val="pl-PL" w:eastAsia="pl-PL"/>
    </w:rPr>
  </w:style>
  <w:style w:type="paragraph" w:customStyle="1" w:styleId="CharCharRakstzRakstz1">
    <w:name w:val="Char Char Rakstz. Rakstz.1"/>
    <w:basedOn w:val="Normal"/>
    <w:rsid w:val="004D767D"/>
    <w:pPr>
      <w:spacing w:before="40"/>
    </w:pPr>
    <w:rPr>
      <w:rFonts w:eastAsia="Times New Roman"/>
      <w:sz w:val="20"/>
      <w:szCs w:val="20"/>
      <w:lang w:val="pl-PL" w:eastAsia="pl-PL"/>
    </w:rPr>
  </w:style>
  <w:style w:type="character" w:styleId="Strong">
    <w:name w:val="Strong"/>
    <w:basedOn w:val="DefaultParagraphFont"/>
    <w:uiPriority w:val="22"/>
    <w:qFormat/>
    <w:locked/>
    <w:rsid w:val="00346A11"/>
    <w:rPr>
      <w:b/>
      <w:bCs/>
    </w:rPr>
  </w:style>
  <w:style w:type="character" w:styleId="Emphasis">
    <w:name w:val="Emphasis"/>
    <w:basedOn w:val="DefaultParagraphFont"/>
    <w:qFormat/>
    <w:locked/>
    <w:rsid w:val="005E3CEE"/>
    <w:rPr>
      <w:i/>
      <w:iCs/>
    </w:rPr>
  </w:style>
  <w:style w:type="paragraph" w:customStyle="1" w:styleId="Default">
    <w:name w:val="Default"/>
    <w:rsid w:val="00D16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nod">
    <w:name w:val="naisnod"/>
    <w:basedOn w:val="Normal"/>
    <w:uiPriority w:val="99"/>
    <w:rsid w:val="0004747D"/>
    <w:pPr>
      <w:spacing w:before="150" w:after="150"/>
      <w:jc w:val="center"/>
    </w:pPr>
    <w:rPr>
      <w:rFonts w:eastAsia="Times New Roman"/>
      <w:b/>
      <w:bCs/>
    </w:rPr>
  </w:style>
  <w:style w:type="paragraph" w:customStyle="1" w:styleId="naiskr">
    <w:name w:val="naiskr"/>
    <w:basedOn w:val="Normal"/>
    <w:uiPriority w:val="99"/>
    <w:rsid w:val="0004747D"/>
    <w:pPr>
      <w:spacing w:before="75" w:after="75"/>
    </w:pPr>
    <w:rPr>
      <w:rFonts w:eastAsia="Times New Roman"/>
    </w:rPr>
  </w:style>
  <w:style w:type="paragraph" w:customStyle="1" w:styleId="labojumupamats1">
    <w:name w:val="labojumu_pamats1"/>
    <w:basedOn w:val="Normal"/>
    <w:rsid w:val="00B04630"/>
    <w:pPr>
      <w:spacing w:before="45" w:line="360" w:lineRule="auto"/>
      <w:ind w:firstLine="300"/>
    </w:pPr>
    <w:rPr>
      <w:rFonts w:eastAsia="Times New Roman"/>
      <w:i/>
      <w:iCs/>
      <w:color w:val="414142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08A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D08AF"/>
    <w:rPr>
      <w:rFonts w:eastAsia="Times New Roman"/>
      <w:sz w:val="24"/>
      <w:szCs w:val="24"/>
    </w:rPr>
  </w:style>
  <w:style w:type="paragraph" w:customStyle="1" w:styleId="naislab">
    <w:name w:val="naislab"/>
    <w:basedOn w:val="Normal"/>
    <w:rsid w:val="004821A9"/>
    <w:pPr>
      <w:spacing w:before="63" w:after="63"/>
      <w:jc w:val="right"/>
    </w:pPr>
    <w:rPr>
      <w:rFonts w:eastAsia="Times New Roman"/>
    </w:rPr>
  </w:style>
  <w:style w:type="paragraph" w:customStyle="1" w:styleId="tv20787921">
    <w:name w:val="tv207_87_921"/>
    <w:basedOn w:val="Normal"/>
    <w:rsid w:val="003D12F0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</w:rPr>
  </w:style>
  <w:style w:type="table" w:styleId="TableGrid">
    <w:name w:val="Table Grid"/>
    <w:basedOn w:val="TableNormal"/>
    <w:locked/>
    <w:rsid w:val="00EA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272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07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0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11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5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8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4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4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65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8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47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2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m.gov.lv/lv/sabiedribas-lidzdaliba/sabiedriskajai-apspriesanai-nodotie-normativo-aktu-projekti/3791-socialas-korekcijas-izglitibas-iestades-naukseni-publisko-maksas-pakalpojumu-cenrad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5B77D-41D8-4C96-8D5B-B8725E02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6499</Words>
  <Characters>3705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2011.gada 5.jūlija noteikumos Nr.523.</vt:lpstr>
      <vt:lpstr>Grozījumi Ministru kabineta 2007.gada 2.oktobra noteikumos Nr.655 "Noteikumi par profesionālās izglītības programmu īstenošanas izmaksu minimumu uz vienu izglītojamo"  </vt:lpstr>
    </vt:vector>
  </TitlesOfParts>
  <Manager>J.Gaigals</Manager>
  <Company>IZM</Company>
  <LinksUpToDate>false</LinksUpToDate>
  <CharactersWithSpaces>10184</CharactersWithSpaces>
  <SharedDoc>false</SharedDoc>
  <HLinks>
    <vt:vector size="6" baseType="variant"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mailto:anita.abolina@izm.gov.lv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2011.gada 5.jūlija noteikumos Nr.523.</dc:title>
  <dc:subject>Ministru kabineta noteikumu projekta anotācija</dc:subject>
  <dc:creator>Anita Āboliņa</dc:creator>
  <cp:keywords>773</cp:keywords>
  <dc:description/>
  <cp:lastModifiedBy>Sanita Treimane</cp:lastModifiedBy>
  <cp:revision>10</cp:revision>
  <cp:lastPrinted>2019-06-11T06:37:00Z</cp:lastPrinted>
  <dcterms:created xsi:type="dcterms:W3CDTF">2020-01-21T14:55:00Z</dcterms:created>
  <dcterms:modified xsi:type="dcterms:W3CDTF">2020-01-30T07:53:00Z</dcterms:modified>
</cp:coreProperties>
</file>