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10188"/>
      </w:tblGrid>
      <w:tr w:rsidR="003906EA" w:rsidRPr="003906EA" w14:paraId="1CF19493" w14:textId="77777777" w:rsidTr="00391F5B">
        <w:trPr>
          <w:jc w:val="center"/>
        </w:trPr>
        <w:tc>
          <w:tcPr>
            <w:tcW w:w="10188" w:type="dxa"/>
            <w:tcBorders>
              <w:bottom w:val="single" w:sz="6" w:space="0" w:color="000000"/>
            </w:tcBorders>
          </w:tcPr>
          <w:p w14:paraId="78CAF3A2" w14:textId="4D838D02" w:rsidR="00AE73EF" w:rsidRPr="003906EA" w:rsidRDefault="004442DF" w:rsidP="00E659F2">
            <w:pPr>
              <w:spacing w:after="0" w:line="240" w:lineRule="auto"/>
              <w:ind w:firstLine="340"/>
              <w:jc w:val="center"/>
              <w:rPr>
                <w:rFonts w:ascii="Times New Roman" w:eastAsia="Times New Roman" w:hAnsi="Times New Roman" w:cs="Times New Roman"/>
                <w:b/>
                <w:sz w:val="24"/>
                <w:szCs w:val="24"/>
                <w:lang w:val="lv-LV" w:eastAsia="lv-LV"/>
              </w:rPr>
            </w:pPr>
            <w:r w:rsidRPr="004442DF">
              <w:rPr>
                <w:rFonts w:ascii="Times New Roman" w:eastAsia="Times New Roman" w:hAnsi="Times New Roman" w:cs="Times New Roman"/>
                <w:b/>
                <w:bCs/>
                <w:sz w:val="24"/>
                <w:szCs w:val="24"/>
                <w:lang w:val="lv-LV" w:eastAsia="lv-LV"/>
              </w:rPr>
              <w:t>Izziņa par atzinumos sniegtajiem iebildumiem par Ministru kabineta noteikumu projektu „Grozījums Ministru kabineta 2016. gada 26. janvāra noteikumos Nr.68 „Darbības programmas "Izaugsme un nodarbinātība” 8.3.6. specifiskā atbalsta mērķa “Ieviest izglītības kvalitātes monitoringa sistēmu” 8.3.6.1. pasākuma “Dalība starptautiskos pētījumos” īstenošanas noteikumi””” un Ministru kabineta noteikumu projektu „Grozījumi Ministru kabineta 2017. gada 22. augusta noteikumos Nr.487 „Darbības programmas "Izaugsme un nodarbinātība” 8.3.6. specifiskā atbalsta mērķa “Ieviest izglītības kvalitātes monitoringa sistēmu” 8.3.6.2. pasākuma “Izglītības kvalitātes monitoringa sistēmas izveide” īstenošanas noteikumi””</w:t>
            </w:r>
            <w:r>
              <w:rPr>
                <w:rFonts w:ascii="Times New Roman" w:eastAsia="Times New Roman" w:hAnsi="Times New Roman" w:cs="Times New Roman"/>
                <w:b/>
                <w:bCs/>
                <w:sz w:val="24"/>
                <w:szCs w:val="24"/>
                <w:lang w:val="lv-LV" w:eastAsia="lv-LV"/>
              </w:rPr>
              <w:t xml:space="preserve"> </w:t>
            </w:r>
            <w:r w:rsidRPr="004442DF">
              <w:rPr>
                <w:rFonts w:ascii="Times New Roman" w:eastAsia="Times New Roman" w:hAnsi="Times New Roman" w:cs="Times New Roman"/>
                <w:b/>
                <w:bCs/>
                <w:sz w:val="24"/>
                <w:szCs w:val="24"/>
                <w:lang w:val="lv-LV" w:eastAsia="lv-LV"/>
              </w:rPr>
              <w:t>un to sākotnējās ietekmes novērtējuma ziņojumu (anotāciju)</w:t>
            </w:r>
          </w:p>
        </w:tc>
      </w:tr>
    </w:tbl>
    <w:p w14:paraId="7ADD95A7" w14:textId="77777777" w:rsidR="00AE73EF" w:rsidRPr="003906EA" w:rsidRDefault="00AE73EF" w:rsidP="00AE73EF">
      <w:pPr>
        <w:spacing w:after="0" w:line="240" w:lineRule="auto"/>
        <w:ind w:firstLine="1080"/>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(dokumenta veids un nosaukums)</w:t>
      </w:r>
    </w:p>
    <w:p w14:paraId="21C32819" w14:textId="77777777" w:rsidR="00AE73EF" w:rsidRPr="003906EA" w:rsidRDefault="00AE73EF" w:rsidP="00AE73EF">
      <w:pPr>
        <w:spacing w:after="0" w:line="240" w:lineRule="auto"/>
        <w:ind w:firstLine="720"/>
        <w:jc w:val="both"/>
        <w:rPr>
          <w:rFonts w:ascii="Times New Roman" w:eastAsia="Times New Roman" w:hAnsi="Times New Roman" w:cs="Times New Roman"/>
          <w:sz w:val="24"/>
          <w:szCs w:val="24"/>
          <w:lang w:val="lv-LV" w:eastAsia="lv-LV"/>
        </w:rPr>
      </w:pPr>
    </w:p>
    <w:p w14:paraId="56E60772" w14:textId="77777777" w:rsidR="00AE73EF" w:rsidRPr="003906EA"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t>I. Jautājumi, par kuriem saskaņošanā vienošanās nav panākta</w:t>
      </w:r>
    </w:p>
    <w:tbl>
      <w:tblPr>
        <w:tblW w:w="52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726"/>
        <w:gridCol w:w="2726"/>
        <w:gridCol w:w="3107"/>
        <w:gridCol w:w="1996"/>
        <w:gridCol w:w="3437"/>
      </w:tblGrid>
      <w:tr w:rsidR="003906EA" w:rsidRPr="003906EA" w14:paraId="10280AFD" w14:textId="77777777" w:rsidTr="00391F5B">
        <w:trPr>
          <w:trHeight w:val="1230"/>
        </w:trPr>
        <w:tc>
          <w:tcPr>
            <w:tcW w:w="184" w:type="pct"/>
            <w:vAlign w:val="center"/>
          </w:tcPr>
          <w:p w14:paraId="51B87B60"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proofErr w:type="spellStart"/>
            <w:r w:rsidRPr="003906EA">
              <w:rPr>
                <w:rFonts w:ascii="Times New Roman" w:eastAsia="Times New Roman" w:hAnsi="Times New Roman" w:cs="Times New Roman"/>
                <w:sz w:val="24"/>
                <w:szCs w:val="24"/>
                <w:lang w:val="lv-LV" w:eastAsia="lv-LV"/>
              </w:rPr>
              <w:t>Nr.p.k</w:t>
            </w:r>
            <w:proofErr w:type="spellEnd"/>
            <w:r w:rsidRPr="003906EA">
              <w:rPr>
                <w:rFonts w:ascii="Times New Roman" w:eastAsia="Times New Roman" w:hAnsi="Times New Roman" w:cs="Times New Roman"/>
                <w:sz w:val="24"/>
                <w:szCs w:val="24"/>
                <w:lang w:val="lv-LV" w:eastAsia="lv-LV"/>
              </w:rPr>
              <w:t>.</w:t>
            </w:r>
          </w:p>
        </w:tc>
        <w:tc>
          <w:tcPr>
            <w:tcW w:w="938" w:type="pct"/>
            <w:vAlign w:val="center"/>
          </w:tcPr>
          <w:p w14:paraId="2D61FF59"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Saskaņošanai nosūtītā projekta redakcija (konkrēta vērtēšanas kritērija redakcija)</w:t>
            </w:r>
          </w:p>
        </w:tc>
        <w:tc>
          <w:tcPr>
            <w:tcW w:w="938" w:type="pct"/>
            <w:vAlign w:val="center"/>
          </w:tcPr>
          <w:p w14:paraId="238DBB45"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1069" w:type="pct"/>
            <w:vAlign w:val="center"/>
          </w:tcPr>
          <w:p w14:paraId="0F5619EA"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Atbildīgās ministrijas pamatojums iebilduma noraidījumam</w:t>
            </w:r>
          </w:p>
        </w:tc>
        <w:tc>
          <w:tcPr>
            <w:tcW w:w="687" w:type="pct"/>
          </w:tcPr>
          <w:p w14:paraId="752CE34C"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Atzinuma sniedzēja uzturētais iebildums, ja tas atšķiras no atzinumā norādītā iebilduma pamatojuma</w:t>
            </w:r>
          </w:p>
        </w:tc>
        <w:tc>
          <w:tcPr>
            <w:tcW w:w="1183" w:type="pct"/>
            <w:vAlign w:val="center"/>
          </w:tcPr>
          <w:p w14:paraId="5618CAC7"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Projekta attiecīgā punkta (panta) galīgā redakcija</w:t>
            </w:r>
          </w:p>
        </w:tc>
      </w:tr>
      <w:tr w:rsidR="003906EA" w:rsidRPr="003906EA" w14:paraId="42A44CCB" w14:textId="77777777" w:rsidTr="00391F5B">
        <w:trPr>
          <w:trHeight w:val="285"/>
        </w:trPr>
        <w:tc>
          <w:tcPr>
            <w:tcW w:w="184" w:type="pct"/>
            <w:vAlign w:val="center"/>
          </w:tcPr>
          <w:p w14:paraId="6B3A4574"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1.</w:t>
            </w:r>
          </w:p>
        </w:tc>
        <w:tc>
          <w:tcPr>
            <w:tcW w:w="938" w:type="pct"/>
            <w:vAlign w:val="center"/>
          </w:tcPr>
          <w:p w14:paraId="3587602A"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2.</w:t>
            </w:r>
          </w:p>
        </w:tc>
        <w:tc>
          <w:tcPr>
            <w:tcW w:w="938" w:type="pct"/>
            <w:vAlign w:val="center"/>
          </w:tcPr>
          <w:p w14:paraId="2580E9D3"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3.</w:t>
            </w:r>
          </w:p>
        </w:tc>
        <w:tc>
          <w:tcPr>
            <w:tcW w:w="1069" w:type="pct"/>
            <w:vAlign w:val="center"/>
          </w:tcPr>
          <w:p w14:paraId="5D9710D4"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4.</w:t>
            </w:r>
          </w:p>
        </w:tc>
        <w:tc>
          <w:tcPr>
            <w:tcW w:w="687" w:type="pct"/>
          </w:tcPr>
          <w:p w14:paraId="076D724E"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5.</w:t>
            </w:r>
          </w:p>
        </w:tc>
        <w:tc>
          <w:tcPr>
            <w:tcW w:w="1183" w:type="pct"/>
            <w:vAlign w:val="center"/>
          </w:tcPr>
          <w:p w14:paraId="0CC6D349"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6.</w:t>
            </w:r>
          </w:p>
        </w:tc>
      </w:tr>
      <w:tr w:rsidR="003906EA" w:rsidRPr="003906EA" w14:paraId="64873B7A" w14:textId="77777777" w:rsidTr="00391F5B">
        <w:trPr>
          <w:trHeight w:val="475"/>
        </w:trPr>
        <w:tc>
          <w:tcPr>
            <w:tcW w:w="184" w:type="pct"/>
          </w:tcPr>
          <w:p w14:paraId="3422E735"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1.</w:t>
            </w:r>
          </w:p>
        </w:tc>
        <w:tc>
          <w:tcPr>
            <w:tcW w:w="938" w:type="pct"/>
          </w:tcPr>
          <w:p w14:paraId="3A0C9F77" w14:textId="77777777" w:rsidR="00AE73EF" w:rsidRPr="003906EA" w:rsidRDefault="00AE73EF" w:rsidP="00AE73EF">
            <w:pPr>
              <w:tabs>
                <w:tab w:val="left" w:pos="1276"/>
              </w:tabs>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w:t>
            </w:r>
          </w:p>
        </w:tc>
        <w:tc>
          <w:tcPr>
            <w:tcW w:w="938" w:type="pct"/>
          </w:tcPr>
          <w:p w14:paraId="114E6F73" w14:textId="77777777" w:rsidR="00AE73EF" w:rsidRPr="003906EA" w:rsidRDefault="00AE73EF" w:rsidP="00AE73EF">
            <w:pPr>
              <w:tabs>
                <w:tab w:val="center" w:pos="709"/>
                <w:tab w:val="center" w:pos="4153"/>
                <w:tab w:val="right" w:pos="8306"/>
              </w:tabs>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w:t>
            </w:r>
          </w:p>
        </w:tc>
        <w:tc>
          <w:tcPr>
            <w:tcW w:w="1069" w:type="pct"/>
          </w:tcPr>
          <w:p w14:paraId="091652BE"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w:t>
            </w:r>
          </w:p>
        </w:tc>
        <w:tc>
          <w:tcPr>
            <w:tcW w:w="687" w:type="pct"/>
          </w:tcPr>
          <w:p w14:paraId="3870ECD6" w14:textId="77777777" w:rsidR="00AE73EF" w:rsidRPr="003906EA" w:rsidRDefault="00AE73EF" w:rsidP="00AE73EF">
            <w:pPr>
              <w:tabs>
                <w:tab w:val="left" w:pos="1276"/>
              </w:tabs>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w:t>
            </w:r>
          </w:p>
        </w:tc>
        <w:tc>
          <w:tcPr>
            <w:tcW w:w="1183" w:type="pct"/>
          </w:tcPr>
          <w:p w14:paraId="5F3A8EDA"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w:t>
            </w:r>
          </w:p>
        </w:tc>
      </w:tr>
    </w:tbl>
    <w:p w14:paraId="3301A1F2" w14:textId="77777777" w:rsidR="00AE73EF" w:rsidRPr="003906EA"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p w14:paraId="60AE8699" w14:textId="77777777" w:rsidR="00AE73EF" w:rsidRPr="003906EA"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t xml:space="preserve">Informācija par </w:t>
      </w:r>
      <w:proofErr w:type="spellStart"/>
      <w:r w:rsidRPr="003906EA">
        <w:rPr>
          <w:rFonts w:ascii="Times New Roman" w:eastAsia="Times New Roman" w:hAnsi="Times New Roman" w:cs="Times New Roman"/>
          <w:b/>
          <w:sz w:val="24"/>
          <w:szCs w:val="24"/>
          <w:lang w:val="lv-LV" w:eastAsia="lv-LV"/>
        </w:rPr>
        <w:t>starpministriju</w:t>
      </w:r>
      <w:proofErr w:type="spellEnd"/>
      <w:r w:rsidRPr="003906EA">
        <w:rPr>
          <w:rFonts w:ascii="Times New Roman" w:eastAsia="Times New Roman" w:hAnsi="Times New Roman" w:cs="Times New Roman"/>
          <w:b/>
          <w:sz w:val="24"/>
          <w:szCs w:val="24"/>
          <w:lang w:val="lv-LV" w:eastAsia="lv-LV"/>
        </w:rPr>
        <w:t xml:space="preserve"> (starpinstitūciju) sanāksmi vai elektronisko saskaņošanu</w:t>
      </w:r>
    </w:p>
    <w:p w14:paraId="226E7293" w14:textId="77777777" w:rsidR="00AE73EF" w:rsidRPr="003906EA"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tbl>
      <w:tblPr>
        <w:tblW w:w="14787" w:type="dxa"/>
        <w:tblInd w:w="-459" w:type="dxa"/>
        <w:tblLook w:val="00A0" w:firstRow="1" w:lastRow="0" w:firstColumn="1" w:lastColumn="0" w:noHBand="0" w:noVBand="0"/>
      </w:tblPr>
      <w:tblGrid>
        <w:gridCol w:w="5637"/>
        <w:gridCol w:w="283"/>
        <w:gridCol w:w="920"/>
        <w:gridCol w:w="7947"/>
      </w:tblGrid>
      <w:tr w:rsidR="003906EA" w:rsidRPr="003906EA" w14:paraId="28C1FF02" w14:textId="77777777" w:rsidTr="00391F5B">
        <w:tc>
          <w:tcPr>
            <w:tcW w:w="5637" w:type="dxa"/>
          </w:tcPr>
          <w:p w14:paraId="022E46D3" w14:textId="77777777" w:rsidR="00AE73EF" w:rsidRPr="003906EA" w:rsidRDefault="00AE73EF" w:rsidP="00AE73EF">
            <w:pPr>
              <w:spacing w:after="0" w:line="240" w:lineRule="auto"/>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Datums</w:t>
            </w:r>
          </w:p>
        </w:tc>
        <w:tc>
          <w:tcPr>
            <w:tcW w:w="9150" w:type="dxa"/>
            <w:gridSpan w:val="3"/>
            <w:tcBorders>
              <w:bottom w:val="single" w:sz="4" w:space="0" w:color="auto"/>
            </w:tcBorders>
          </w:tcPr>
          <w:p w14:paraId="445FC2D3" w14:textId="6B5206ED" w:rsidR="00AE73EF" w:rsidRPr="003906EA" w:rsidRDefault="00807CDA" w:rsidP="00BE6C5A">
            <w:pPr>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21.01.2020.,</w:t>
            </w:r>
            <w:r w:rsidR="00B56B94">
              <w:rPr>
                <w:rFonts w:ascii="Times New Roman" w:eastAsia="Times New Roman" w:hAnsi="Times New Roman" w:cs="Times New Roman"/>
                <w:sz w:val="24"/>
                <w:szCs w:val="24"/>
                <w:lang w:val="lv-LV" w:eastAsia="lv-LV"/>
              </w:rPr>
              <w:t>11.02</w:t>
            </w:r>
            <w:r w:rsidR="00A52420" w:rsidRPr="003906EA">
              <w:rPr>
                <w:rFonts w:ascii="Times New Roman" w:eastAsia="Times New Roman" w:hAnsi="Times New Roman" w:cs="Times New Roman"/>
                <w:sz w:val="24"/>
                <w:szCs w:val="24"/>
                <w:lang w:val="lv-LV" w:eastAsia="lv-LV"/>
              </w:rPr>
              <w:t>.2020</w:t>
            </w:r>
            <w:r w:rsidR="00714499" w:rsidRPr="003906EA">
              <w:rPr>
                <w:rFonts w:ascii="Times New Roman" w:eastAsia="Times New Roman" w:hAnsi="Times New Roman" w:cs="Times New Roman"/>
                <w:sz w:val="24"/>
                <w:szCs w:val="24"/>
                <w:lang w:val="lv-LV" w:eastAsia="lv-LV"/>
              </w:rPr>
              <w:t>.</w:t>
            </w:r>
          </w:p>
        </w:tc>
      </w:tr>
      <w:tr w:rsidR="003906EA" w:rsidRPr="003906EA" w14:paraId="527CB65B" w14:textId="77777777" w:rsidTr="00391F5B">
        <w:tc>
          <w:tcPr>
            <w:tcW w:w="5637" w:type="dxa"/>
          </w:tcPr>
          <w:p w14:paraId="3560BEDA" w14:textId="77777777" w:rsidR="00AE73EF" w:rsidRPr="003906EA" w:rsidRDefault="00AE73EF" w:rsidP="00AE73EF">
            <w:pPr>
              <w:spacing w:after="0" w:line="240" w:lineRule="auto"/>
              <w:ind w:firstLine="375"/>
              <w:jc w:val="both"/>
              <w:rPr>
                <w:rFonts w:ascii="Times New Roman" w:eastAsia="Times New Roman" w:hAnsi="Times New Roman" w:cs="Times New Roman"/>
                <w:sz w:val="24"/>
                <w:szCs w:val="24"/>
                <w:lang w:val="lv-LV" w:eastAsia="lv-LV"/>
              </w:rPr>
            </w:pPr>
          </w:p>
        </w:tc>
        <w:tc>
          <w:tcPr>
            <w:tcW w:w="9150" w:type="dxa"/>
            <w:gridSpan w:val="3"/>
            <w:tcBorders>
              <w:top w:val="single" w:sz="4" w:space="0" w:color="auto"/>
            </w:tcBorders>
          </w:tcPr>
          <w:p w14:paraId="5B8683D7" w14:textId="77777777" w:rsidR="00AE73EF" w:rsidRPr="003906EA" w:rsidRDefault="00AE73EF" w:rsidP="00AE73EF">
            <w:pPr>
              <w:spacing w:after="0" w:line="240" w:lineRule="auto"/>
              <w:ind w:firstLine="720"/>
              <w:rPr>
                <w:rFonts w:ascii="Times New Roman" w:eastAsia="Times New Roman" w:hAnsi="Times New Roman" w:cs="Times New Roman"/>
                <w:sz w:val="24"/>
                <w:szCs w:val="24"/>
                <w:lang w:val="lv-LV" w:eastAsia="lv-LV"/>
              </w:rPr>
            </w:pPr>
          </w:p>
        </w:tc>
      </w:tr>
      <w:tr w:rsidR="003906EA" w:rsidRPr="003906EA" w14:paraId="3C6BAC9F" w14:textId="77777777" w:rsidTr="00391F5B">
        <w:tc>
          <w:tcPr>
            <w:tcW w:w="5637" w:type="dxa"/>
          </w:tcPr>
          <w:p w14:paraId="156CA671"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Saskaņošanas dalībnieki</w:t>
            </w:r>
          </w:p>
        </w:tc>
        <w:tc>
          <w:tcPr>
            <w:tcW w:w="9150" w:type="dxa"/>
            <w:gridSpan w:val="3"/>
            <w:tcBorders>
              <w:bottom w:val="single" w:sz="4" w:space="0" w:color="auto"/>
            </w:tcBorders>
          </w:tcPr>
          <w:p w14:paraId="0439E750" w14:textId="609E9136" w:rsidR="00AE73EF" w:rsidRPr="003906EA" w:rsidRDefault="00714499" w:rsidP="00A52420">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 xml:space="preserve">Tieslietu </w:t>
            </w:r>
            <w:r w:rsidR="00A52420" w:rsidRPr="003906EA">
              <w:rPr>
                <w:rFonts w:ascii="Times New Roman" w:eastAsia="Times New Roman" w:hAnsi="Times New Roman" w:cs="Times New Roman"/>
                <w:sz w:val="24"/>
                <w:szCs w:val="24"/>
                <w:lang w:val="lv-LV" w:eastAsia="lv-LV"/>
              </w:rPr>
              <w:t>ministrija, Finanšu ministrija</w:t>
            </w:r>
          </w:p>
        </w:tc>
      </w:tr>
      <w:tr w:rsidR="003906EA" w:rsidRPr="003906EA" w14:paraId="4D42A07E" w14:textId="77777777" w:rsidTr="00391F5B">
        <w:trPr>
          <w:trHeight w:val="285"/>
        </w:trPr>
        <w:tc>
          <w:tcPr>
            <w:tcW w:w="5637" w:type="dxa"/>
          </w:tcPr>
          <w:p w14:paraId="09CA3152" w14:textId="41AB7011" w:rsidR="00AE73EF" w:rsidRPr="003906EA" w:rsidRDefault="00DA43A7" w:rsidP="00DA43A7">
            <w:pPr>
              <w:tabs>
                <w:tab w:val="left" w:pos="1965"/>
              </w:tabs>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b/>
            </w:r>
          </w:p>
        </w:tc>
        <w:tc>
          <w:tcPr>
            <w:tcW w:w="1203" w:type="dxa"/>
            <w:gridSpan w:val="2"/>
          </w:tcPr>
          <w:p w14:paraId="2CD2DD4C" w14:textId="77777777" w:rsidR="00AE73EF" w:rsidRPr="003906EA"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7947" w:type="dxa"/>
          </w:tcPr>
          <w:p w14:paraId="30808387" w14:textId="77777777" w:rsidR="00AE73EF" w:rsidRPr="003906EA" w:rsidRDefault="00AE73EF" w:rsidP="00AE73EF">
            <w:pPr>
              <w:spacing w:after="0" w:line="240" w:lineRule="auto"/>
              <w:ind w:firstLine="12"/>
              <w:rPr>
                <w:rFonts w:ascii="Times New Roman" w:eastAsia="Times New Roman" w:hAnsi="Times New Roman" w:cs="Times New Roman"/>
                <w:sz w:val="24"/>
                <w:szCs w:val="24"/>
                <w:lang w:val="lv-LV" w:eastAsia="lv-LV"/>
              </w:rPr>
            </w:pPr>
          </w:p>
        </w:tc>
      </w:tr>
      <w:tr w:rsidR="003906EA" w:rsidRPr="003906EA" w14:paraId="34AAB01F" w14:textId="77777777" w:rsidTr="00391F5B">
        <w:trPr>
          <w:trHeight w:val="285"/>
        </w:trPr>
        <w:tc>
          <w:tcPr>
            <w:tcW w:w="5637" w:type="dxa"/>
          </w:tcPr>
          <w:p w14:paraId="1013E26F"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br w:type="page"/>
              <w:t>Saskaņošanas dalībnieki izskatīja šādu ministriju (citu institūciju) iebildumus</w:t>
            </w:r>
          </w:p>
        </w:tc>
        <w:tc>
          <w:tcPr>
            <w:tcW w:w="283" w:type="dxa"/>
            <w:tcBorders>
              <w:bottom w:val="single" w:sz="4" w:space="0" w:color="auto"/>
            </w:tcBorders>
          </w:tcPr>
          <w:p w14:paraId="65E27BF0" w14:textId="77777777" w:rsidR="00AE73EF" w:rsidRPr="003906EA"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8867" w:type="dxa"/>
            <w:gridSpan w:val="2"/>
            <w:tcBorders>
              <w:bottom w:val="single" w:sz="4" w:space="0" w:color="auto"/>
            </w:tcBorders>
            <w:vAlign w:val="bottom"/>
          </w:tcPr>
          <w:p w14:paraId="388C5327" w14:textId="6DEE57E1" w:rsidR="00AE73EF" w:rsidRPr="003906EA" w:rsidRDefault="00A52420" w:rsidP="00A52420">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Finanšu ministrija</w:t>
            </w:r>
          </w:p>
        </w:tc>
      </w:tr>
      <w:tr w:rsidR="003906EA" w:rsidRPr="003906EA" w14:paraId="552458A2" w14:textId="77777777" w:rsidTr="00391F5B">
        <w:tc>
          <w:tcPr>
            <w:tcW w:w="5637" w:type="dxa"/>
          </w:tcPr>
          <w:p w14:paraId="13335375"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lastRenderedPageBreak/>
              <w:br w:type="page"/>
              <w:t>Ministrijas (citas institūcijas), kuras nav ieradušās uz sanāksmi vai kuras nav atbildējušas uz uzaicinājumu piedalīties elektroniskajā saskaņošanā</w:t>
            </w:r>
          </w:p>
        </w:tc>
        <w:tc>
          <w:tcPr>
            <w:tcW w:w="9150" w:type="dxa"/>
            <w:gridSpan w:val="3"/>
            <w:vAlign w:val="bottom"/>
          </w:tcPr>
          <w:p w14:paraId="331559D7" w14:textId="77777777" w:rsidR="00AE73EF" w:rsidRPr="003906EA" w:rsidRDefault="00AE73EF" w:rsidP="00AE73EF">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tc>
      </w:tr>
    </w:tbl>
    <w:p w14:paraId="6E691C49"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p>
    <w:p w14:paraId="516F09C4" w14:textId="77777777" w:rsidR="00AE73EF" w:rsidRPr="003906EA" w:rsidRDefault="00AE73EF" w:rsidP="00AE73EF">
      <w:pPr>
        <w:spacing w:after="0" w:line="240" w:lineRule="auto"/>
        <w:jc w:val="center"/>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t>II. Jautājumi, par kuriem saskaņošanā vienošanās ir panākta</w:t>
      </w:r>
    </w:p>
    <w:tbl>
      <w:tblPr>
        <w:tblpPr w:leftFromText="180" w:rightFromText="180" w:vertAnchor="text" w:tblpX="-420" w:tblpY="1"/>
        <w:tblOverlap w:val="neve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9"/>
        <w:gridCol w:w="2835"/>
        <w:gridCol w:w="3543"/>
        <w:gridCol w:w="3828"/>
        <w:gridCol w:w="3861"/>
      </w:tblGrid>
      <w:tr w:rsidR="003906EA" w:rsidRPr="003906EA" w14:paraId="17163A59" w14:textId="77777777" w:rsidTr="00C770CA">
        <w:tc>
          <w:tcPr>
            <w:tcW w:w="959" w:type="dxa"/>
            <w:vAlign w:val="center"/>
          </w:tcPr>
          <w:p w14:paraId="2BD677C0"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proofErr w:type="spellStart"/>
            <w:r w:rsidRPr="003906EA">
              <w:rPr>
                <w:rFonts w:ascii="Times New Roman" w:eastAsia="Times New Roman" w:hAnsi="Times New Roman" w:cs="Times New Roman"/>
                <w:sz w:val="24"/>
                <w:szCs w:val="24"/>
                <w:lang w:val="lv-LV" w:eastAsia="lv-LV"/>
              </w:rPr>
              <w:t>Nr.p.k</w:t>
            </w:r>
            <w:proofErr w:type="spellEnd"/>
            <w:r w:rsidRPr="003906EA">
              <w:rPr>
                <w:rFonts w:ascii="Times New Roman" w:eastAsia="Times New Roman" w:hAnsi="Times New Roman" w:cs="Times New Roman"/>
                <w:sz w:val="24"/>
                <w:szCs w:val="24"/>
                <w:lang w:val="lv-LV" w:eastAsia="lv-LV"/>
              </w:rPr>
              <w:t>.</w:t>
            </w:r>
          </w:p>
        </w:tc>
        <w:tc>
          <w:tcPr>
            <w:tcW w:w="2864" w:type="dxa"/>
            <w:gridSpan w:val="2"/>
            <w:vAlign w:val="center"/>
          </w:tcPr>
          <w:p w14:paraId="5DBCC888"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Saskaņošanai nosūtītā projekta redakcija (konkrēta punkta (panta) redakcija)</w:t>
            </w:r>
          </w:p>
          <w:p w14:paraId="2E65E3B2"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p>
        </w:tc>
        <w:tc>
          <w:tcPr>
            <w:tcW w:w="3543" w:type="dxa"/>
            <w:vAlign w:val="center"/>
          </w:tcPr>
          <w:p w14:paraId="15DCF8C9"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3828" w:type="dxa"/>
            <w:vAlign w:val="center"/>
          </w:tcPr>
          <w:p w14:paraId="5940F7AE"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Atbildīgās ministrijas norāde par to, ka iebildums ir ņemts vērā, vai informācija par saskaņošanā panākto alternatīvo risinājumu</w:t>
            </w:r>
          </w:p>
        </w:tc>
        <w:tc>
          <w:tcPr>
            <w:tcW w:w="3861" w:type="dxa"/>
            <w:vAlign w:val="center"/>
          </w:tcPr>
          <w:p w14:paraId="2C6AC50C" w14:textId="77777777" w:rsidR="00AE73EF" w:rsidRPr="003906EA" w:rsidRDefault="00AE73EF" w:rsidP="00AE73EF">
            <w:pPr>
              <w:spacing w:after="0" w:line="240" w:lineRule="auto"/>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Projekta attiecīgā punkta (panta) galīgā redakcija</w:t>
            </w:r>
          </w:p>
        </w:tc>
      </w:tr>
      <w:tr w:rsidR="003906EA" w:rsidRPr="003906EA" w14:paraId="7CBE62B6" w14:textId="77777777" w:rsidTr="00C770CA">
        <w:trPr>
          <w:trHeight w:val="275"/>
        </w:trPr>
        <w:tc>
          <w:tcPr>
            <w:tcW w:w="959" w:type="dxa"/>
          </w:tcPr>
          <w:p w14:paraId="4AC92BC4"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1</w:t>
            </w:r>
          </w:p>
        </w:tc>
        <w:tc>
          <w:tcPr>
            <w:tcW w:w="2864" w:type="dxa"/>
            <w:gridSpan w:val="2"/>
          </w:tcPr>
          <w:p w14:paraId="22A0EA54" w14:textId="77777777" w:rsidR="00AE73EF" w:rsidRPr="003906EA" w:rsidRDefault="00AE73EF" w:rsidP="00D04BF4">
            <w:pPr>
              <w:tabs>
                <w:tab w:val="center" w:pos="1055"/>
              </w:tabs>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2</w:t>
            </w:r>
          </w:p>
        </w:tc>
        <w:tc>
          <w:tcPr>
            <w:tcW w:w="3543" w:type="dxa"/>
          </w:tcPr>
          <w:p w14:paraId="124A501E" w14:textId="77777777" w:rsidR="00AE73EF" w:rsidRPr="003906EA" w:rsidRDefault="00AE73EF" w:rsidP="00D04BF4">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3</w:t>
            </w:r>
          </w:p>
        </w:tc>
        <w:tc>
          <w:tcPr>
            <w:tcW w:w="3828" w:type="dxa"/>
          </w:tcPr>
          <w:p w14:paraId="47F039D5"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4</w:t>
            </w:r>
          </w:p>
        </w:tc>
        <w:tc>
          <w:tcPr>
            <w:tcW w:w="3861" w:type="dxa"/>
          </w:tcPr>
          <w:p w14:paraId="65E77D4A" w14:textId="77777777" w:rsidR="00AE73EF" w:rsidRPr="003906EA" w:rsidRDefault="00AE73EF"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5</w:t>
            </w:r>
          </w:p>
        </w:tc>
      </w:tr>
      <w:tr w:rsidR="003906EA" w:rsidRPr="003906EA" w14:paraId="460D59BD" w14:textId="77777777" w:rsidTr="00C770CA">
        <w:trPr>
          <w:trHeight w:val="275"/>
        </w:trPr>
        <w:tc>
          <w:tcPr>
            <w:tcW w:w="959" w:type="dxa"/>
          </w:tcPr>
          <w:p w14:paraId="2EDDD05C" w14:textId="77777777" w:rsidR="00824241" w:rsidRPr="003906EA" w:rsidRDefault="00824241" w:rsidP="00AE73EF">
            <w:pPr>
              <w:spacing w:after="0" w:line="240" w:lineRule="auto"/>
              <w:jc w:val="center"/>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1.</w:t>
            </w:r>
          </w:p>
        </w:tc>
        <w:tc>
          <w:tcPr>
            <w:tcW w:w="2864" w:type="dxa"/>
            <w:gridSpan w:val="2"/>
          </w:tcPr>
          <w:p w14:paraId="41333BBE" w14:textId="77777777" w:rsidR="00824241" w:rsidRPr="003C1F14" w:rsidRDefault="003C1F14" w:rsidP="00B26616">
            <w:pPr>
              <w:spacing w:after="0" w:line="240" w:lineRule="auto"/>
              <w:jc w:val="both"/>
              <w:rPr>
                <w:rFonts w:ascii="Times New Roman" w:eastAsia="Calibri" w:hAnsi="Times New Roman" w:cs="Times New Roman"/>
                <w:i/>
                <w:sz w:val="24"/>
                <w:szCs w:val="24"/>
                <w:lang w:val="lv-LV"/>
              </w:rPr>
            </w:pPr>
            <w:r w:rsidRPr="003C1F14">
              <w:rPr>
                <w:rFonts w:ascii="Times New Roman" w:eastAsia="Calibri" w:hAnsi="Times New Roman" w:cs="Times New Roman"/>
                <w:i/>
                <w:sz w:val="24"/>
                <w:szCs w:val="24"/>
                <w:lang w:val="lv-LV"/>
              </w:rPr>
              <w:t>Anotācijas I sadaļas “Tiesību akta projekta izstrādes nepieciešamība” 2.punkts.</w:t>
            </w:r>
          </w:p>
          <w:p w14:paraId="2A5248A9" w14:textId="77777777" w:rsidR="00B802B3" w:rsidRPr="00B802B3" w:rsidRDefault="00B802B3" w:rsidP="00B802B3">
            <w:pPr>
              <w:spacing w:after="0" w:line="240" w:lineRule="auto"/>
              <w:jc w:val="both"/>
              <w:rPr>
                <w:rFonts w:ascii="Times New Roman" w:eastAsia="Calibri" w:hAnsi="Times New Roman" w:cs="Times New Roman"/>
                <w:sz w:val="24"/>
                <w:szCs w:val="24"/>
                <w:lang w:val="lv-LV"/>
              </w:rPr>
            </w:pPr>
            <w:r w:rsidRPr="00B802B3">
              <w:rPr>
                <w:rFonts w:ascii="Times New Roman" w:eastAsia="Calibri" w:hAnsi="Times New Roman" w:cs="Times New Roman"/>
                <w:sz w:val="24"/>
                <w:szCs w:val="24"/>
                <w:lang w:val="lv-LV"/>
              </w:rPr>
              <w:t>2)</w:t>
            </w:r>
            <w:r w:rsidRPr="00B802B3">
              <w:rPr>
                <w:rFonts w:ascii="Times New Roman" w:eastAsia="Calibri" w:hAnsi="Times New Roman" w:cs="Times New Roman"/>
                <w:sz w:val="24"/>
                <w:szCs w:val="24"/>
                <w:lang w:val="lv-LV"/>
              </w:rPr>
              <w:tab/>
              <w:t xml:space="preserve">8.3.6.2.pasākuma īstenošanas termiņš (2022. gada 31. </w:t>
            </w:r>
            <w:proofErr w:type="spellStart"/>
            <w:r w:rsidRPr="00B802B3">
              <w:rPr>
                <w:rFonts w:ascii="Times New Roman" w:eastAsia="Calibri" w:hAnsi="Times New Roman" w:cs="Times New Roman"/>
                <w:sz w:val="24"/>
                <w:szCs w:val="24"/>
                <w:lang w:val="lv-LV"/>
              </w:rPr>
              <w:t>decmbris</w:t>
            </w:r>
            <w:proofErr w:type="spellEnd"/>
            <w:r w:rsidRPr="00B802B3">
              <w:rPr>
                <w:rFonts w:ascii="Times New Roman" w:eastAsia="Calibri" w:hAnsi="Times New Roman" w:cs="Times New Roman"/>
                <w:sz w:val="24"/>
                <w:szCs w:val="24"/>
                <w:lang w:val="lv-LV"/>
              </w:rPr>
              <w:t>) tiek pagarināts līdz 2023. gada 31. decembrim.</w:t>
            </w:r>
          </w:p>
          <w:p w14:paraId="31BA353E" w14:textId="77777777" w:rsidR="00B802B3" w:rsidRPr="00B802B3" w:rsidRDefault="00B802B3" w:rsidP="00B802B3">
            <w:pPr>
              <w:spacing w:after="0" w:line="240" w:lineRule="auto"/>
              <w:jc w:val="both"/>
              <w:rPr>
                <w:rFonts w:ascii="Times New Roman" w:eastAsia="Calibri" w:hAnsi="Times New Roman" w:cs="Times New Roman"/>
                <w:sz w:val="24"/>
                <w:szCs w:val="24"/>
                <w:lang w:val="lv-LV"/>
              </w:rPr>
            </w:pPr>
            <w:r w:rsidRPr="00B802B3">
              <w:rPr>
                <w:rFonts w:ascii="Times New Roman" w:eastAsia="Calibri" w:hAnsi="Times New Roman" w:cs="Times New Roman"/>
                <w:sz w:val="24"/>
                <w:szCs w:val="24"/>
                <w:lang w:val="lv-LV"/>
              </w:rPr>
              <w:t xml:space="preserve">Projekta īstenošanas laikā ir secināts, ka visus pētniecības līgumus nav iespējams izsludināt uzreiz un uzsākt vienlaikus pētniecību, tādējādi nepieciešams projekta īstenošanas pagarinājums. Ņemot vērā, ka monitoringa sistēmas izstrāde un īstenošana ir plānota visa projekta </w:t>
            </w:r>
            <w:r w:rsidRPr="00B802B3">
              <w:rPr>
                <w:rFonts w:ascii="Times New Roman" w:eastAsia="Calibri" w:hAnsi="Times New Roman" w:cs="Times New Roman"/>
                <w:sz w:val="24"/>
                <w:szCs w:val="24"/>
                <w:lang w:val="lv-LV"/>
              </w:rPr>
              <w:lastRenderedPageBreak/>
              <w:t xml:space="preserve">īstenošanas laikā un 2020.gadā tikai uzsāksies aktīvais datu ievākšanas un apstrādes (aprobācijas) periods ir svarīgi saglabāt iespēju izsludināt pētījumu veikšanu līdz pat 2020.gada beigām – 2021.gada vidum – paredzot maksimālo īstenošanas laiku līdz 3 gadiem. Optimāls pētījuma garums ir 1,5 – 3 gadi, lai sasniegtu projektā plānotos rezultātus – pētījumu rezultāti ir aktuāli un aprobēti atbilstoši izglītības nozares vajadzībām, īstenojot pētījumu tiek stiprināta pētnieku kapacitāte, tai skatā publiskojot savus pētījuma rezultātus starptautiski, kā arī pētījuma īstenošanā tiek iesaistīti jaunie pētnieki un doktoranti (doktorantūras studiju periods ir 3 gadi), tādā veidā stiprinot jauno pētnieku iesaisti un pēctecību jaunu tēmu izpētē izglītības zinātnes nozarē. </w:t>
            </w:r>
          </w:p>
          <w:p w14:paraId="4F9947B1" w14:textId="54857D8D" w:rsidR="00B802B3" w:rsidRPr="00B802B3" w:rsidRDefault="00D26F70" w:rsidP="00B802B3">
            <w:pPr>
              <w:spacing w:after="0" w:line="240"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w:t>
            </w:r>
          </w:p>
          <w:p w14:paraId="466025AC" w14:textId="0AEE9929" w:rsidR="00B802B3" w:rsidRPr="00B802B3" w:rsidRDefault="00B802B3" w:rsidP="00B802B3">
            <w:pPr>
              <w:spacing w:after="0" w:line="240" w:lineRule="auto"/>
              <w:jc w:val="both"/>
              <w:rPr>
                <w:rFonts w:ascii="Times New Roman" w:eastAsia="Calibri" w:hAnsi="Times New Roman" w:cs="Times New Roman"/>
                <w:sz w:val="24"/>
                <w:szCs w:val="24"/>
                <w:lang w:val="lv-LV"/>
              </w:rPr>
            </w:pPr>
            <w:r w:rsidRPr="00B802B3">
              <w:rPr>
                <w:rFonts w:ascii="Times New Roman" w:eastAsia="Calibri" w:hAnsi="Times New Roman" w:cs="Times New Roman"/>
                <w:sz w:val="24"/>
                <w:szCs w:val="24"/>
                <w:lang w:val="lv-LV"/>
              </w:rPr>
              <w:lastRenderedPageBreak/>
              <w:t>Papildus finansējums tiks izman</w:t>
            </w:r>
            <w:r w:rsidR="00AD60C0">
              <w:rPr>
                <w:rFonts w:ascii="Times New Roman" w:eastAsia="Calibri" w:hAnsi="Times New Roman" w:cs="Times New Roman"/>
                <w:sz w:val="24"/>
                <w:szCs w:val="24"/>
                <w:lang w:val="lv-LV"/>
              </w:rPr>
              <w:t>tots</w:t>
            </w:r>
            <w:r w:rsidRPr="00B802B3">
              <w:rPr>
                <w:rFonts w:ascii="Times New Roman" w:eastAsia="Calibri" w:hAnsi="Times New Roman" w:cs="Times New Roman"/>
                <w:sz w:val="24"/>
                <w:szCs w:val="24"/>
                <w:lang w:val="lv-LV"/>
              </w:rPr>
              <w:t xml:space="preserve"> PIAAC īstenošanai, ņemot vērā, ka iepriekš veiktie grozījumi notika tad, kad OECD PIAAC starptautiskie īstenošanas standarti vēl nebija apstiprināti, līdz ar to izmaksas tika plānotas indikatīvas. Uzsākot pētījuma īstenošanu un apstiprinot secīgi pētījuma </w:t>
            </w:r>
            <w:r w:rsidR="00AD60C0">
              <w:rPr>
                <w:rFonts w:ascii="Times New Roman" w:eastAsia="Calibri" w:hAnsi="Times New Roman" w:cs="Times New Roman"/>
                <w:sz w:val="24"/>
                <w:szCs w:val="24"/>
                <w:lang w:val="lv-LV"/>
              </w:rPr>
              <w:t>īs</w:t>
            </w:r>
            <w:r w:rsidRPr="00B802B3">
              <w:rPr>
                <w:rFonts w:ascii="Times New Roman" w:eastAsia="Calibri" w:hAnsi="Times New Roman" w:cs="Times New Roman"/>
                <w:sz w:val="24"/>
                <w:szCs w:val="24"/>
                <w:lang w:val="lv-LV"/>
              </w:rPr>
              <w:t>tenošanas izmaksas kļ</w:t>
            </w:r>
            <w:r w:rsidR="00AD60C0">
              <w:rPr>
                <w:rFonts w:ascii="Times New Roman" w:eastAsia="Calibri" w:hAnsi="Times New Roman" w:cs="Times New Roman"/>
                <w:sz w:val="24"/>
                <w:szCs w:val="24"/>
                <w:lang w:val="lv-LV"/>
              </w:rPr>
              <w:t>u</w:t>
            </w:r>
            <w:r w:rsidRPr="00B802B3">
              <w:rPr>
                <w:rFonts w:ascii="Times New Roman" w:eastAsia="Calibri" w:hAnsi="Times New Roman" w:cs="Times New Roman"/>
                <w:sz w:val="24"/>
                <w:szCs w:val="24"/>
                <w:lang w:val="lv-LV"/>
              </w:rPr>
              <w:t>va skaidrs, ka papildus finansējums būs nepieciešams, lai īstenotu nepieciešamās izlases iesai</w:t>
            </w:r>
            <w:r w:rsidR="00AD60C0">
              <w:rPr>
                <w:rFonts w:ascii="Times New Roman" w:eastAsia="Calibri" w:hAnsi="Times New Roman" w:cs="Times New Roman"/>
                <w:sz w:val="24"/>
                <w:szCs w:val="24"/>
                <w:lang w:val="lv-LV"/>
              </w:rPr>
              <w:t>s</w:t>
            </w:r>
            <w:r w:rsidRPr="00B802B3">
              <w:rPr>
                <w:rFonts w:ascii="Times New Roman" w:eastAsia="Calibri" w:hAnsi="Times New Roman" w:cs="Times New Roman"/>
                <w:sz w:val="24"/>
                <w:szCs w:val="24"/>
                <w:lang w:val="lv-LV"/>
              </w:rPr>
              <w:t xml:space="preserve">ti pētījumā, t.i. nepieciešams plānot papildus finansējumu sabiedrības informēšanai, faktiskās sasniegšanas metodoloģijas izpildei uz vietas aptaujas norises laikā, lai nodrošinātu to, ka Latvijas dati tiek atzīti par atbilstošiem un tiktu iekļauti starptautiskā salīdzinājumā. </w:t>
            </w:r>
          </w:p>
          <w:p w14:paraId="2A40AD1D" w14:textId="7191FF30" w:rsidR="003C1F14" w:rsidRPr="003906EA" w:rsidRDefault="00B802B3" w:rsidP="00B802B3">
            <w:pPr>
              <w:spacing w:after="0" w:line="240" w:lineRule="auto"/>
              <w:jc w:val="both"/>
              <w:rPr>
                <w:rFonts w:ascii="Times New Roman" w:eastAsia="Calibri" w:hAnsi="Times New Roman" w:cs="Times New Roman"/>
                <w:sz w:val="24"/>
                <w:szCs w:val="24"/>
                <w:lang w:val="lv-LV"/>
              </w:rPr>
            </w:pPr>
            <w:r w:rsidRPr="00B802B3">
              <w:rPr>
                <w:rFonts w:ascii="Times New Roman" w:eastAsia="Calibri" w:hAnsi="Times New Roman" w:cs="Times New Roman"/>
                <w:sz w:val="24"/>
                <w:szCs w:val="24"/>
                <w:lang w:val="lv-LV"/>
              </w:rPr>
              <w:t xml:space="preserve">Papildus finansējums nepieciešams, lai nodrošinātu kvalitatīvu </w:t>
            </w:r>
            <w:r w:rsidRPr="00B802B3">
              <w:rPr>
                <w:rFonts w:ascii="Times New Roman" w:eastAsia="Calibri" w:hAnsi="Times New Roman" w:cs="Times New Roman"/>
                <w:sz w:val="24"/>
                <w:szCs w:val="24"/>
                <w:lang w:val="lv-LV"/>
              </w:rPr>
              <w:lastRenderedPageBreak/>
              <w:t>datu ieguves procesu, kas tiks organizēts iepirkuma ietvaros.</w:t>
            </w:r>
          </w:p>
        </w:tc>
        <w:tc>
          <w:tcPr>
            <w:tcW w:w="3543" w:type="dxa"/>
          </w:tcPr>
          <w:p w14:paraId="13F17DF2" w14:textId="1972D88E" w:rsidR="00163773" w:rsidRDefault="00A52420" w:rsidP="00163773">
            <w:pPr>
              <w:spacing w:after="0" w:line="240" w:lineRule="auto"/>
              <w:jc w:val="both"/>
              <w:rPr>
                <w:rFonts w:ascii="Times New Roman" w:hAnsi="Times New Roman" w:cs="Times New Roman"/>
                <w:b/>
                <w:sz w:val="24"/>
                <w:szCs w:val="24"/>
                <w:lang w:val="lv-LV"/>
              </w:rPr>
            </w:pPr>
            <w:r w:rsidRPr="003906EA">
              <w:rPr>
                <w:rFonts w:ascii="Times New Roman" w:hAnsi="Times New Roman" w:cs="Times New Roman"/>
                <w:b/>
                <w:sz w:val="24"/>
                <w:szCs w:val="24"/>
                <w:lang w:val="lv-LV"/>
              </w:rPr>
              <w:lastRenderedPageBreak/>
              <w:t>Finanšu ministrija (turpmāk – FM):</w:t>
            </w:r>
          </w:p>
          <w:p w14:paraId="3DF5892F" w14:textId="655A612A" w:rsidR="003C1F14" w:rsidRPr="003C1F14" w:rsidRDefault="003C1F14" w:rsidP="003C1F14">
            <w:pPr>
              <w:spacing w:after="0" w:line="240" w:lineRule="auto"/>
              <w:jc w:val="both"/>
              <w:rPr>
                <w:rFonts w:ascii="Times New Roman" w:eastAsia="Times New Roman" w:hAnsi="Times New Roman" w:cs="Times New Roman"/>
                <w:sz w:val="24"/>
                <w:szCs w:val="24"/>
                <w:lang w:val="lv-LV" w:eastAsia="lv-LV"/>
              </w:rPr>
            </w:pPr>
            <w:r w:rsidRPr="003C1F14">
              <w:rPr>
                <w:rFonts w:ascii="Times New Roman" w:eastAsia="Times New Roman" w:hAnsi="Times New Roman" w:cs="Times New Roman"/>
                <w:sz w:val="24"/>
                <w:szCs w:val="24"/>
                <w:lang w:val="lv-LV" w:eastAsia="lv-LV"/>
              </w:rPr>
              <w:t>Lūdzam papildināt anotācijas I sadaļas “Tiesību akta projekta izstrādes nepieciešamība” 2.punktu:</w:t>
            </w:r>
          </w:p>
          <w:p w14:paraId="0ADA6FDC" w14:textId="5CA33F90" w:rsidR="00FE0A05" w:rsidRPr="00D74037" w:rsidRDefault="003C1F14" w:rsidP="00FE0A05">
            <w:pPr>
              <w:pStyle w:val="ListParagraph"/>
              <w:numPr>
                <w:ilvl w:val="0"/>
                <w:numId w:val="21"/>
              </w:numPr>
              <w:spacing w:after="0" w:line="240" w:lineRule="auto"/>
              <w:jc w:val="both"/>
              <w:rPr>
                <w:rFonts w:ascii="Times New Roman" w:eastAsia="Times New Roman" w:hAnsi="Times New Roman" w:cs="Times New Roman"/>
                <w:sz w:val="24"/>
                <w:szCs w:val="24"/>
                <w:lang w:val="lv-LV" w:eastAsia="lv-LV"/>
              </w:rPr>
            </w:pPr>
            <w:r w:rsidRPr="00D74037">
              <w:rPr>
                <w:rFonts w:ascii="Times New Roman" w:eastAsia="Times New Roman" w:hAnsi="Times New Roman" w:cs="Times New Roman"/>
                <w:sz w:val="24"/>
                <w:szCs w:val="24"/>
                <w:lang w:val="lv-LV" w:eastAsia="lv-LV"/>
              </w:rPr>
              <w:t>ar informāciju  par noteikumu projekta ietekmi uz īstenošanā esošajiem projektiem un finansējuma saņēmēju;</w:t>
            </w:r>
          </w:p>
          <w:p w14:paraId="057D66B9" w14:textId="30DC4C3E" w:rsidR="003C1F14" w:rsidRPr="00D74037" w:rsidRDefault="003C1F14" w:rsidP="00FE0A05">
            <w:pPr>
              <w:pStyle w:val="ListParagraph"/>
              <w:numPr>
                <w:ilvl w:val="0"/>
                <w:numId w:val="21"/>
              </w:numPr>
              <w:spacing w:after="0" w:line="240" w:lineRule="auto"/>
              <w:jc w:val="both"/>
              <w:rPr>
                <w:rFonts w:ascii="Times New Roman" w:eastAsia="Times New Roman" w:hAnsi="Times New Roman" w:cs="Times New Roman"/>
                <w:sz w:val="24"/>
                <w:szCs w:val="24"/>
                <w:lang w:val="lv-LV" w:eastAsia="lv-LV"/>
              </w:rPr>
            </w:pPr>
            <w:r w:rsidRPr="00D74037">
              <w:rPr>
                <w:rFonts w:ascii="Times New Roman" w:eastAsia="Times New Roman" w:hAnsi="Times New Roman" w:cs="Times New Roman"/>
                <w:sz w:val="24"/>
                <w:szCs w:val="24"/>
                <w:lang w:val="lv-LV" w:eastAsia="lv-LV"/>
              </w:rPr>
              <w:t xml:space="preserve">ar informāciju, ka arī tiem pētījumiem, kuru īstenošanai atlases tiks izsludinātas 2020. un 2021.gadā,  īstenošanas ilgums nevar būt ilgāks par 2023.gada 31.decembri, ņemot vērā anotācijā minēto, ka atlases pētījumu veikšanai plānots </w:t>
            </w:r>
            <w:r w:rsidRPr="00D74037">
              <w:rPr>
                <w:rFonts w:ascii="Times New Roman" w:eastAsia="Times New Roman" w:hAnsi="Times New Roman" w:cs="Times New Roman"/>
                <w:sz w:val="24"/>
                <w:szCs w:val="24"/>
                <w:lang w:val="lv-LV" w:eastAsia="lv-LV"/>
              </w:rPr>
              <w:lastRenderedPageBreak/>
              <w:t xml:space="preserve">izsludināt līdz pat 2020.gada beigām – 2021.gada vidum – paredzot maksimālo īstenošanas laiku līdz 3 gadiem, un to, ka, ja pētījumu veikšana tiek izsludināta 2021.gada vidū, tad pētījuma garums nevar sasniegt norādīto 3 gadu periodu. </w:t>
            </w:r>
          </w:p>
          <w:p w14:paraId="267BB89B" w14:textId="231F3928" w:rsidR="00FE0A05" w:rsidRPr="00D74037" w:rsidRDefault="003C1F14" w:rsidP="00FE0A05">
            <w:pPr>
              <w:pStyle w:val="ListParagraph"/>
              <w:numPr>
                <w:ilvl w:val="0"/>
                <w:numId w:val="21"/>
              </w:numPr>
              <w:spacing w:after="0" w:line="240" w:lineRule="auto"/>
              <w:jc w:val="both"/>
              <w:rPr>
                <w:rFonts w:ascii="Times New Roman" w:eastAsia="Times New Roman" w:hAnsi="Times New Roman" w:cs="Times New Roman"/>
                <w:sz w:val="24"/>
                <w:szCs w:val="24"/>
                <w:lang w:val="lv-LV" w:eastAsia="lv-LV"/>
              </w:rPr>
            </w:pPr>
            <w:r w:rsidRPr="00D74037">
              <w:rPr>
                <w:rFonts w:ascii="Times New Roman" w:eastAsia="Times New Roman" w:hAnsi="Times New Roman" w:cs="Times New Roman"/>
                <w:sz w:val="24"/>
                <w:szCs w:val="24"/>
                <w:lang w:val="lv-LV" w:eastAsia="lv-LV"/>
              </w:rPr>
              <w:t xml:space="preserve">ar detalizētāku skaidrojumu par izmaksu pieaugumu Ekonomiskās sadarbības un attīstības organizācijas (turpmāk – OECD) Starptautiskās pieaugušo kompetenču novērtēšanas programmas (turpmāk – PIAAC) pētījuma veikšanai, ņemot vērā, ka šāda pētījuma veikšana jau sākotnēji tika paredzēta IZM īstenotā projekta Nr.8.3.6.1/16/I/001 “Dalība starptautiskos izglītības pētījumos” ietvaros, t.i., anotācijā skaidrot, vai papildu finansējums, kas tiks izmantots OECD PIAAC </w:t>
            </w:r>
            <w:r w:rsidRPr="00D74037">
              <w:rPr>
                <w:rFonts w:ascii="Times New Roman" w:eastAsia="Times New Roman" w:hAnsi="Times New Roman" w:cs="Times New Roman"/>
                <w:sz w:val="24"/>
                <w:szCs w:val="24"/>
                <w:lang w:val="lv-LV" w:eastAsia="lv-LV"/>
              </w:rPr>
              <w:lastRenderedPageBreak/>
              <w:t>īstenošanai, nav uzskatāms par sadārdzinājumu, ņemot vērā, ka atbilstoši Kohēzijas politikas fondu vadības informācijas sistēmā pieejamajai informācijai darbības, kas nepieciešamas OECD PIAAC pētījuma veikšanai tiek īstenotas jau kopš 2018.gada 2.ceturkšņa;</w:t>
            </w:r>
          </w:p>
          <w:p w14:paraId="7B5E8987" w14:textId="54E40888" w:rsidR="00FE0A05" w:rsidRPr="00FE0A05" w:rsidRDefault="003C1F14" w:rsidP="00FE0A05">
            <w:pPr>
              <w:pStyle w:val="ListParagraph"/>
              <w:numPr>
                <w:ilvl w:val="0"/>
                <w:numId w:val="21"/>
              </w:numPr>
              <w:spacing w:after="0" w:line="240" w:lineRule="auto"/>
              <w:jc w:val="both"/>
              <w:rPr>
                <w:rFonts w:ascii="Times New Roman" w:eastAsia="Times New Roman" w:hAnsi="Times New Roman" w:cs="Times New Roman"/>
                <w:sz w:val="24"/>
                <w:szCs w:val="24"/>
                <w:lang w:val="lv-LV" w:eastAsia="lv-LV"/>
              </w:rPr>
            </w:pPr>
            <w:r w:rsidRPr="00FE0A05">
              <w:rPr>
                <w:rFonts w:ascii="Times New Roman" w:eastAsia="Times New Roman" w:hAnsi="Times New Roman" w:cs="Times New Roman"/>
                <w:sz w:val="24"/>
                <w:szCs w:val="24"/>
                <w:lang w:val="lv-LV" w:eastAsia="lv-LV"/>
              </w:rPr>
              <w:t xml:space="preserve">ar informāciju, ka 8.3.6.2.pasākuma noteikumu projekts paredz 8.3.6.2.pasākuma “Izglītības kvalitātes monitoringa sistēmas izveide” (turpmāk – 8.3.6.2.pasākums) ietvaros īstenotā projekta Nr.8.3.6.2/17/I/001 “Izglītības kvalitātes monitoringa sistēmas izveide un īstenošana” īstenošanas termiņa pagarinājumu līdz 2023.gada 31.decembrim, ievērojot Ministru kabineta 2014.gada 16.decembra noteikumu Nr.784 “Kārtība, kādā Eiropas Savienības struktūrfondu </w:t>
            </w:r>
            <w:r w:rsidRPr="00FE0A05">
              <w:rPr>
                <w:rFonts w:ascii="Times New Roman" w:eastAsia="Times New Roman" w:hAnsi="Times New Roman" w:cs="Times New Roman"/>
                <w:sz w:val="24"/>
                <w:szCs w:val="24"/>
                <w:lang w:val="lv-LV" w:eastAsia="lv-LV"/>
              </w:rPr>
              <w:lastRenderedPageBreak/>
              <w:t>un Kohēzijas fonda vadībā iesaistītās institūcijas nodrošina plānošanas dokumentu sagatavošanu un šo fondu ieviešanu 2014.–2020.gada plānošanas periodā” 51.4 7.apakšpunktā noteikto, kā arī papildināt ar informāciju, ka finansējuma saņēmējs veiks attiecīgos grozījumus vienošanās par projekta īstenošanu</w:t>
            </w:r>
            <w:r w:rsidR="00FE0A05">
              <w:rPr>
                <w:rFonts w:ascii="Times New Roman" w:eastAsia="Times New Roman" w:hAnsi="Times New Roman" w:cs="Times New Roman"/>
                <w:sz w:val="24"/>
                <w:szCs w:val="24"/>
                <w:lang w:val="lv-LV" w:eastAsia="lv-LV"/>
              </w:rPr>
              <w:t>.</w:t>
            </w:r>
          </w:p>
        </w:tc>
        <w:tc>
          <w:tcPr>
            <w:tcW w:w="3828" w:type="dxa"/>
          </w:tcPr>
          <w:p w14:paraId="24235015" w14:textId="77777777" w:rsidR="00DA67CF" w:rsidRDefault="00FE0A05" w:rsidP="00FE0A05">
            <w:pPr>
              <w:widowControl w:val="0"/>
              <w:spacing w:after="0" w:line="240" w:lineRule="auto"/>
              <w:jc w:val="both"/>
              <w:rPr>
                <w:rFonts w:ascii="Times New Roman" w:hAnsi="Times New Roman" w:cs="Times New Roman"/>
                <w:b/>
                <w:sz w:val="24"/>
                <w:szCs w:val="24"/>
                <w:lang w:val="lv-LV"/>
              </w:rPr>
            </w:pPr>
            <w:r w:rsidRPr="00FE0A05">
              <w:rPr>
                <w:rFonts w:ascii="Times New Roman" w:hAnsi="Times New Roman" w:cs="Times New Roman"/>
                <w:b/>
                <w:sz w:val="24"/>
                <w:szCs w:val="24"/>
                <w:lang w:val="lv-LV"/>
              </w:rPr>
              <w:lastRenderedPageBreak/>
              <w:t>Ņemts vērā</w:t>
            </w:r>
          </w:p>
          <w:p w14:paraId="6CC31349" w14:textId="51913AC9" w:rsidR="00484838" w:rsidRPr="00484838" w:rsidRDefault="00484838" w:rsidP="00484838">
            <w:pPr>
              <w:widowControl w:val="0"/>
              <w:spacing w:after="0" w:line="240" w:lineRule="auto"/>
              <w:jc w:val="both"/>
              <w:rPr>
                <w:rFonts w:ascii="Times New Roman" w:hAnsi="Times New Roman" w:cs="Times New Roman"/>
                <w:sz w:val="24"/>
                <w:szCs w:val="24"/>
                <w:lang w:val="lv-LV"/>
              </w:rPr>
            </w:pPr>
          </w:p>
        </w:tc>
        <w:tc>
          <w:tcPr>
            <w:tcW w:w="3861" w:type="dxa"/>
          </w:tcPr>
          <w:p w14:paraId="3CE380D1" w14:textId="4B4706EC" w:rsidR="00E22183" w:rsidRPr="00DC6CBA" w:rsidRDefault="00E22183" w:rsidP="00E22183">
            <w:pPr>
              <w:tabs>
                <w:tab w:val="left" w:pos="426"/>
                <w:tab w:val="left" w:pos="1134"/>
              </w:tabs>
              <w:spacing w:after="0" w:line="240" w:lineRule="auto"/>
              <w:jc w:val="both"/>
              <w:rPr>
                <w:rFonts w:ascii="Times New Roman" w:eastAsia="Times New Roman" w:hAnsi="Times New Roman" w:cs="Times New Roman"/>
                <w:i/>
                <w:sz w:val="24"/>
                <w:szCs w:val="24"/>
                <w:lang w:val="lv-LV" w:eastAsia="lv-LV"/>
              </w:rPr>
            </w:pPr>
            <w:r w:rsidRPr="00DC6CBA">
              <w:rPr>
                <w:rFonts w:ascii="Times New Roman" w:eastAsia="Times New Roman" w:hAnsi="Times New Roman" w:cs="Times New Roman"/>
                <w:i/>
                <w:sz w:val="24"/>
                <w:szCs w:val="24"/>
                <w:lang w:val="lv-LV" w:eastAsia="lv-LV"/>
              </w:rPr>
              <w:t>Anotācijas I sadaļas “Tiesību akta projekta izstrādes nepieciešamība” 2.punkts</w:t>
            </w:r>
          </w:p>
          <w:p w14:paraId="4EAC0DFD" w14:textId="1C4D51C0" w:rsidR="00B802B3" w:rsidRPr="00DC6CBA" w:rsidRDefault="00B802B3" w:rsidP="00B802B3">
            <w:pPr>
              <w:pStyle w:val="ListParagraph"/>
              <w:numPr>
                <w:ilvl w:val="0"/>
                <w:numId w:val="23"/>
              </w:numPr>
              <w:tabs>
                <w:tab w:val="left" w:pos="426"/>
                <w:tab w:val="left" w:pos="1134"/>
              </w:tabs>
              <w:spacing w:after="0" w:line="240" w:lineRule="auto"/>
              <w:jc w:val="both"/>
              <w:rPr>
                <w:rFonts w:ascii="Times New Roman" w:eastAsia="Times New Roman" w:hAnsi="Times New Roman" w:cs="Times New Roman"/>
                <w:sz w:val="24"/>
                <w:szCs w:val="24"/>
                <w:lang w:val="lv-LV" w:eastAsia="lv-LV"/>
              </w:rPr>
            </w:pPr>
            <w:r w:rsidRPr="00DC6CBA">
              <w:rPr>
                <w:rFonts w:ascii="Times New Roman" w:eastAsia="Times New Roman" w:hAnsi="Times New Roman" w:cs="Times New Roman"/>
                <w:sz w:val="24"/>
                <w:szCs w:val="24"/>
                <w:lang w:val="lv-LV" w:eastAsia="lv-LV"/>
              </w:rPr>
              <w:t>8.3.6.2.pasākuma īstenošanas termiņš (2022. gada 31. decembris) tiek pagarināts līdz 2023. gada 31. decembrim,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51.4 7.apakšpunktā noteikto.</w:t>
            </w:r>
          </w:p>
          <w:p w14:paraId="39A192CF" w14:textId="4D4F76AE" w:rsidR="00B802B3" w:rsidRPr="002B06DB" w:rsidRDefault="00B802B3" w:rsidP="00B802B3">
            <w:pPr>
              <w:tabs>
                <w:tab w:val="left" w:pos="426"/>
                <w:tab w:val="left" w:pos="1134"/>
              </w:tabs>
              <w:spacing w:after="0" w:line="240" w:lineRule="auto"/>
              <w:jc w:val="both"/>
              <w:rPr>
                <w:rFonts w:ascii="Times New Roman" w:eastAsia="Times New Roman" w:hAnsi="Times New Roman" w:cs="Times New Roman"/>
                <w:sz w:val="24"/>
                <w:szCs w:val="24"/>
                <w:lang w:val="lv-LV" w:eastAsia="lv-LV"/>
              </w:rPr>
            </w:pPr>
            <w:r w:rsidRPr="002B06DB">
              <w:rPr>
                <w:rFonts w:ascii="Times New Roman" w:eastAsia="Times New Roman" w:hAnsi="Times New Roman" w:cs="Times New Roman"/>
                <w:sz w:val="24"/>
                <w:szCs w:val="24"/>
                <w:lang w:val="lv-LV" w:eastAsia="lv-LV"/>
              </w:rPr>
              <w:t xml:space="preserve">Projekta īstenošanas laikā ir secināts, ka visus pētniecības līgumus nav </w:t>
            </w:r>
            <w:r w:rsidRPr="002B06DB">
              <w:rPr>
                <w:rFonts w:ascii="Times New Roman" w:eastAsia="Times New Roman" w:hAnsi="Times New Roman" w:cs="Times New Roman"/>
                <w:sz w:val="24"/>
                <w:szCs w:val="24"/>
                <w:lang w:val="lv-LV" w:eastAsia="lv-LV"/>
              </w:rPr>
              <w:lastRenderedPageBreak/>
              <w:t>iespējams izsludināt uzreiz un uzsākt vienlaikus pētījumu īstenošanu, tādējādi nepieciešams projekta īstenošanas pagarinājums. Ņemot vērā, ka monitoringa sistēmas izstrāde un īstenošana ir plānota visa projekta īstenošanas laikā un 2020.gadā tikai uzsāksies aktīvais datu ievākšanas un apstrādes (aprobācijas) periods, ir svarīgi saglabāt iespēju izsludināt pētījumu veikšanu līdz pat 2020.gada beigām – 2021.gada vidum – paredzot maksimālo īstenošanas laiku līdz 3 gadiem</w:t>
            </w:r>
            <w:r w:rsidRPr="00DC6CBA">
              <w:rPr>
                <w:rFonts w:ascii="Times New Roman" w:eastAsia="Times New Roman" w:hAnsi="Times New Roman" w:cs="Times New Roman"/>
                <w:sz w:val="24"/>
                <w:szCs w:val="24"/>
                <w:lang w:val="lv-LV" w:eastAsia="lv-LV"/>
              </w:rPr>
              <w:t>, kas nav garāks par 2023.gada septembri, ņemot vērā, to, ka ir nepieciešams pētījumu rezultātus apspriest gan projekta uzraudzības padomē, gan izplatīt rezultātus. Pētījuma garums ir 1,5 – 3 gadi, lai sasniegtu projektā plānotos rezultātus – pētījumu rezultāti ir a</w:t>
            </w:r>
            <w:r w:rsidRPr="002B06DB">
              <w:rPr>
                <w:rFonts w:ascii="Times New Roman" w:eastAsia="Times New Roman" w:hAnsi="Times New Roman" w:cs="Times New Roman"/>
                <w:sz w:val="24"/>
                <w:szCs w:val="24"/>
                <w:lang w:val="lv-LV" w:eastAsia="lv-LV"/>
              </w:rPr>
              <w:t xml:space="preserve">ktuāli un aprobēti atbilstoši izglītības nozares vajadzībām, īstenojot pētījumu tiek stiprināta pētnieku kapacitāte, tai skaitā publiskojot savus pētījuma rezultātus starptautiski, kā arī pētījuma īstenošanā tiek iesaistīti jaunie pētnieki un doktoranti (doktorantūras studiju periods ir 3 gadi), tādā veidā stiprinot jauno pētnieku iesaisti un pēctecību jaunu tēmu izpētē izglītības zinātnes nozarē. </w:t>
            </w:r>
          </w:p>
          <w:p w14:paraId="70319F2B" w14:textId="2148E911" w:rsidR="00B802B3" w:rsidRPr="00DC6CBA" w:rsidRDefault="00B10802" w:rsidP="00B802B3">
            <w:pPr>
              <w:tabs>
                <w:tab w:val="left" w:pos="426"/>
                <w:tab w:val="left" w:pos="1134"/>
              </w:tabs>
              <w:spacing w:after="0" w:line="240" w:lineRule="auto"/>
              <w:jc w:val="both"/>
              <w:rPr>
                <w:rFonts w:ascii="Times New Roman" w:eastAsia="Times New Roman" w:hAnsi="Times New Roman" w:cs="Times New Roman"/>
                <w:sz w:val="24"/>
                <w:szCs w:val="24"/>
                <w:lang w:val="lv-LV" w:eastAsia="lv-LV"/>
              </w:rPr>
            </w:pPr>
            <w:r w:rsidRPr="00DC6CBA" w:rsidDel="00B10802">
              <w:rPr>
                <w:rFonts w:ascii="Times New Roman" w:eastAsia="Times New Roman" w:hAnsi="Times New Roman" w:cs="Times New Roman"/>
                <w:sz w:val="24"/>
                <w:szCs w:val="24"/>
                <w:lang w:val="lv-LV" w:eastAsia="lv-LV"/>
              </w:rPr>
              <w:lastRenderedPageBreak/>
              <w:t xml:space="preserve"> </w:t>
            </w:r>
            <w:r w:rsidR="00D26F70" w:rsidRPr="00DC6CBA">
              <w:rPr>
                <w:rFonts w:ascii="Times New Roman" w:eastAsia="Times New Roman" w:hAnsi="Times New Roman" w:cs="Times New Roman"/>
                <w:sz w:val="24"/>
                <w:szCs w:val="24"/>
                <w:lang w:val="lv-LV" w:eastAsia="lv-LV"/>
              </w:rPr>
              <w:t>[…]</w:t>
            </w:r>
          </w:p>
          <w:p w14:paraId="6ACC98C3" w14:textId="3BE3FA35" w:rsidR="00FE0A05" w:rsidRPr="00DC6CBA" w:rsidRDefault="00B802B3" w:rsidP="00AD60C0">
            <w:pPr>
              <w:tabs>
                <w:tab w:val="left" w:pos="426"/>
                <w:tab w:val="left" w:pos="1134"/>
              </w:tabs>
              <w:spacing w:after="0" w:line="240" w:lineRule="auto"/>
              <w:jc w:val="both"/>
              <w:rPr>
                <w:rFonts w:ascii="Times New Roman" w:eastAsia="Times New Roman" w:hAnsi="Times New Roman" w:cs="Times New Roman"/>
                <w:sz w:val="24"/>
                <w:szCs w:val="24"/>
                <w:lang w:val="lv-LV" w:eastAsia="lv-LV"/>
              </w:rPr>
            </w:pPr>
            <w:r w:rsidRPr="002B06DB">
              <w:rPr>
                <w:rFonts w:ascii="Times New Roman" w:eastAsia="Times New Roman" w:hAnsi="Times New Roman" w:cs="Times New Roman"/>
                <w:sz w:val="24"/>
                <w:szCs w:val="24"/>
                <w:lang w:val="lv-LV" w:eastAsia="lv-LV"/>
              </w:rPr>
              <w:t>Papildu finansējums tiks izman</w:t>
            </w:r>
            <w:r w:rsidR="00D26F70" w:rsidRPr="002B06DB">
              <w:rPr>
                <w:rFonts w:ascii="Times New Roman" w:eastAsia="Times New Roman" w:hAnsi="Times New Roman" w:cs="Times New Roman"/>
                <w:sz w:val="24"/>
                <w:szCs w:val="24"/>
                <w:lang w:val="lv-LV" w:eastAsia="lv-LV"/>
              </w:rPr>
              <w:t>tots</w:t>
            </w:r>
            <w:r w:rsidRPr="002B06DB">
              <w:rPr>
                <w:rFonts w:ascii="Times New Roman" w:eastAsia="Times New Roman" w:hAnsi="Times New Roman" w:cs="Times New Roman"/>
                <w:sz w:val="24"/>
                <w:szCs w:val="24"/>
                <w:lang w:val="lv-LV" w:eastAsia="lv-LV"/>
              </w:rPr>
              <w:t xml:space="preserve"> OECD PIAAC īstenošanai, ņemot vērā, ka iepriekš veiktie grozījumi notika tad, kad OECD PIAAC starptautiskie īstenošanas </w:t>
            </w:r>
            <w:r w:rsidRPr="00DC6CBA">
              <w:rPr>
                <w:rFonts w:ascii="Times New Roman" w:eastAsia="Times New Roman" w:hAnsi="Times New Roman" w:cs="Times New Roman"/>
                <w:sz w:val="24"/>
                <w:szCs w:val="24"/>
                <w:lang w:val="lv-LV" w:eastAsia="lv-LV"/>
              </w:rPr>
              <w:t>standarti un pētījumu īstenošan</w:t>
            </w:r>
            <w:r w:rsidR="00AD60C0" w:rsidRPr="00DC6CBA">
              <w:rPr>
                <w:rFonts w:ascii="Times New Roman" w:eastAsia="Times New Roman" w:hAnsi="Times New Roman" w:cs="Times New Roman"/>
                <w:sz w:val="24"/>
                <w:szCs w:val="24"/>
                <w:lang w:val="lv-LV" w:eastAsia="lv-LV"/>
              </w:rPr>
              <w:t>a</w:t>
            </w:r>
            <w:r w:rsidRPr="00DC6CBA">
              <w:rPr>
                <w:rFonts w:ascii="Times New Roman" w:eastAsia="Times New Roman" w:hAnsi="Times New Roman" w:cs="Times New Roman"/>
                <w:sz w:val="24"/>
                <w:szCs w:val="24"/>
                <w:lang w:val="lv-LV" w:eastAsia="lv-LV"/>
              </w:rPr>
              <w:t xml:space="preserve">s metodoloģija vēl nebija apstiprināta, līdz ar to izmaksas tika plānotas indikatīvas. Šobrīd pētījuma metodoloģija tiek apstiprināta valstīm sadarbojoties, nosakot procedūras pētījuma īstenošanai. Ņemot vērā, ka Latvijā PIAAC notiks pirmo reizi, </w:t>
            </w:r>
            <w:proofErr w:type="spellStart"/>
            <w:r w:rsidRPr="00DC6CBA">
              <w:rPr>
                <w:rFonts w:ascii="Times New Roman" w:eastAsia="Times New Roman" w:hAnsi="Times New Roman" w:cs="Times New Roman"/>
                <w:sz w:val="24"/>
                <w:szCs w:val="24"/>
                <w:lang w:val="lv-LV" w:eastAsia="lv-LV"/>
              </w:rPr>
              <w:t>pilotpētījumā</w:t>
            </w:r>
            <w:proofErr w:type="spellEnd"/>
            <w:r w:rsidRPr="00DC6CBA">
              <w:rPr>
                <w:rFonts w:ascii="Times New Roman" w:eastAsia="Times New Roman" w:hAnsi="Times New Roman" w:cs="Times New Roman"/>
                <w:sz w:val="24"/>
                <w:szCs w:val="24"/>
                <w:lang w:val="lv-LV" w:eastAsia="lv-LV"/>
              </w:rPr>
              <w:t xml:space="preserve"> ir nepieciešams pārbaudīt papildus izv</w:t>
            </w:r>
            <w:r w:rsidR="00AD60C0" w:rsidRPr="00DC6CBA">
              <w:rPr>
                <w:rFonts w:ascii="Times New Roman" w:eastAsia="Times New Roman" w:hAnsi="Times New Roman" w:cs="Times New Roman"/>
                <w:sz w:val="24"/>
                <w:szCs w:val="24"/>
                <w:lang w:val="lv-LV" w:eastAsia="lv-LV"/>
              </w:rPr>
              <w:t>ēl</w:t>
            </w:r>
            <w:r w:rsidRPr="00DC6CBA">
              <w:rPr>
                <w:rFonts w:ascii="Times New Roman" w:eastAsia="Times New Roman" w:hAnsi="Times New Roman" w:cs="Times New Roman"/>
                <w:sz w:val="24"/>
                <w:szCs w:val="24"/>
                <w:lang w:val="lv-LV" w:eastAsia="lv-LV"/>
              </w:rPr>
              <w:t xml:space="preserve">nes, tai skaitā pārbaudīt nacionālos jautājumus un papildus valodas izvēlēs iespējas (krievu un latviešu). Tāpat nepieciešams plānot papildus aktivitātes sabiedrības informēšanai, faktiskās sasniegšanas metodoloģijas izpildei uz vietas aptaujas norises laikā, ņemot vērā, ka Latvijas Universitāte kā sadarbības partneris identificēja vairākas sabiedrības grupas, kuras ir īpaši grūti sasniedzamas, taču bez to līdzdalības pētījuma izlase nebūs reprezentatīva, t.i., lai nodrošinātu to, ka Latvijas dati tiek atzīti par atbilstošiem un tiktu iekļauti starptautiskā salīdzinājumā </w:t>
            </w:r>
            <w:r w:rsidRPr="00DC6CBA">
              <w:rPr>
                <w:rFonts w:ascii="Times New Roman" w:eastAsia="Times New Roman" w:hAnsi="Times New Roman" w:cs="Times New Roman"/>
                <w:sz w:val="24"/>
                <w:szCs w:val="24"/>
                <w:lang w:val="lv-LV" w:eastAsia="lv-LV"/>
              </w:rPr>
              <w:lastRenderedPageBreak/>
              <w:t>(piem., lauku iedzīvotāji pierobežā vai vīrieši noteiktā vecuma grupā). Ņemot vērā minēto finansējuma saņēmējs veiks attiecīgos grozījumus vienošanās par projekta īstenošanu.</w:t>
            </w:r>
          </w:p>
        </w:tc>
      </w:tr>
      <w:tr w:rsidR="003906EA" w:rsidRPr="003906EA" w14:paraId="0F480E33" w14:textId="77777777" w:rsidTr="00C770CA">
        <w:trPr>
          <w:trHeight w:val="275"/>
        </w:trPr>
        <w:tc>
          <w:tcPr>
            <w:tcW w:w="959" w:type="dxa"/>
          </w:tcPr>
          <w:p w14:paraId="6C1A1D0E" w14:textId="68E1C3A1" w:rsidR="00163773" w:rsidRPr="003906EA" w:rsidRDefault="004127E9"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2</w:t>
            </w:r>
            <w:r w:rsidR="00B26616" w:rsidRPr="003906EA">
              <w:rPr>
                <w:rFonts w:ascii="Times New Roman" w:eastAsia="Times New Roman" w:hAnsi="Times New Roman" w:cs="Times New Roman"/>
                <w:sz w:val="24"/>
                <w:szCs w:val="24"/>
                <w:lang w:val="lv-LV" w:eastAsia="lv-LV"/>
              </w:rPr>
              <w:t>.</w:t>
            </w:r>
          </w:p>
        </w:tc>
        <w:tc>
          <w:tcPr>
            <w:tcW w:w="2864" w:type="dxa"/>
            <w:gridSpan w:val="2"/>
          </w:tcPr>
          <w:p w14:paraId="52D62161" w14:textId="47E08685" w:rsidR="00AA2DFC" w:rsidRDefault="00F84ABE" w:rsidP="00F84ABE">
            <w:pPr>
              <w:spacing w:after="0" w:line="240" w:lineRule="auto"/>
              <w:jc w:val="both"/>
              <w:rPr>
                <w:rFonts w:ascii="Times New Roman" w:eastAsia="Times New Roman" w:hAnsi="Times New Roman" w:cs="Times New Roman"/>
                <w:i/>
                <w:sz w:val="24"/>
                <w:szCs w:val="24"/>
                <w:lang w:val="lv-LV" w:eastAsia="lv-LV"/>
              </w:rPr>
            </w:pPr>
            <w:r w:rsidRPr="00F84ABE">
              <w:rPr>
                <w:rFonts w:ascii="Times New Roman" w:eastAsia="Times New Roman" w:hAnsi="Times New Roman" w:cs="Times New Roman"/>
                <w:i/>
                <w:sz w:val="24"/>
                <w:szCs w:val="24"/>
                <w:lang w:val="lv-LV" w:eastAsia="lv-LV"/>
              </w:rPr>
              <w:t xml:space="preserve">Anotācijas III sadaļas “Tiesību akta projekta ietekme uz valsts budžetu un pašvaldību budžetiem” </w:t>
            </w:r>
            <w:r>
              <w:rPr>
                <w:rFonts w:ascii="Times New Roman" w:eastAsia="Times New Roman" w:hAnsi="Times New Roman" w:cs="Times New Roman"/>
                <w:i/>
                <w:sz w:val="24"/>
                <w:szCs w:val="24"/>
                <w:lang w:val="lv-LV" w:eastAsia="lv-LV"/>
              </w:rPr>
              <w:t xml:space="preserve">6. un </w:t>
            </w:r>
            <w:r w:rsidRPr="00F84ABE">
              <w:rPr>
                <w:rFonts w:ascii="Times New Roman" w:eastAsia="Times New Roman" w:hAnsi="Times New Roman" w:cs="Times New Roman"/>
                <w:i/>
                <w:sz w:val="24"/>
                <w:szCs w:val="24"/>
                <w:lang w:val="lv-LV" w:eastAsia="lv-LV"/>
              </w:rPr>
              <w:t>8.punkts</w:t>
            </w:r>
          </w:p>
          <w:p w14:paraId="40D98571" w14:textId="4B45E104" w:rsidR="00F84ABE" w:rsidRPr="00F84ABE" w:rsidRDefault="00F84ABE" w:rsidP="00F84ABE">
            <w:pPr>
              <w:spacing w:after="0" w:line="240" w:lineRule="auto"/>
              <w:jc w:val="both"/>
              <w:rPr>
                <w:rFonts w:ascii="Times New Roman" w:eastAsia="Times New Roman" w:hAnsi="Times New Roman" w:cs="Times New Roman"/>
                <w:sz w:val="24"/>
                <w:szCs w:val="24"/>
                <w:lang w:val="lv-LV" w:eastAsia="lv-LV"/>
              </w:rPr>
            </w:pPr>
          </w:p>
        </w:tc>
        <w:tc>
          <w:tcPr>
            <w:tcW w:w="3543" w:type="dxa"/>
          </w:tcPr>
          <w:p w14:paraId="6ED1DEE4" w14:textId="765D47C9" w:rsidR="00163773" w:rsidRPr="003906EA" w:rsidRDefault="00163773" w:rsidP="00163773">
            <w:pPr>
              <w:spacing w:after="0" w:line="240" w:lineRule="auto"/>
              <w:jc w:val="both"/>
              <w:rPr>
                <w:rFonts w:ascii="Times New Roman" w:hAnsi="Times New Roman" w:cs="Times New Roman"/>
                <w:b/>
                <w:sz w:val="24"/>
                <w:szCs w:val="24"/>
                <w:lang w:val="lv-LV"/>
              </w:rPr>
            </w:pPr>
            <w:r w:rsidRPr="003906EA">
              <w:rPr>
                <w:rFonts w:ascii="Times New Roman" w:hAnsi="Times New Roman" w:cs="Times New Roman"/>
                <w:b/>
                <w:sz w:val="24"/>
                <w:szCs w:val="24"/>
                <w:lang w:val="lv-LV"/>
              </w:rPr>
              <w:t>FM</w:t>
            </w:r>
            <w:r w:rsidR="00B26616" w:rsidRPr="003906EA">
              <w:rPr>
                <w:rFonts w:ascii="Times New Roman" w:hAnsi="Times New Roman" w:cs="Times New Roman"/>
                <w:b/>
                <w:sz w:val="24"/>
                <w:szCs w:val="24"/>
                <w:lang w:val="lv-LV"/>
              </w:rPr>
              <w:t>:</w:t>
            </w:r>
          </w:p>
          <w:p w14:paraId="18738447" w14:textId="1BC2FAB7" w:rsidR="00FE0A05" w:rsidRPr="00FE0A05" w:rsidRDefault="00FE0A05" w:rsidP="00FE0A05">
            <w:pPr>
              <w:spacing w:after="0" w:line="240" w:lineRule="auto"/>
              <w:jc w:val="both"/>
              <w:rPr>
                <w:rFonts w:ascii="Times New Roman" w:hAnsi="Times New Roman" w:cs="Times New Roman"/>
                <w:sz w:val="24"/>
                <w:szCs w:val="24"/>
                <w:lang w:val="lv-LV"/>
              </w:rPr>
            </w:pPr>
            <w:r w:rsidRPr="00FE0A05">
              <w:rPr>
                <w:rFonts w:ascii="Times New Roman" w:hAnsi="Times New Roman" w:cs="Times New Roman"/>
                <w:sz w:val="24"/>
                <w:szCs w:val="24"/>
                <w:lang w:val="lv-LV"/>
              </w:rPr>
              <w:t>Lūdzam papildināt anotācijas III sadaļas “Tiesību akta projekta ietekme uz valsts budžetu un pašvaldību budžetiem” (turpmāk – anotācijas III sadaļa):</w:t>
            </w:r>
          </w:p>
          <w:p w14:paraId="221902AB" w14:textId="642DA4DA" w:rsidR="00FE0A05" w:rsidRPr="00675453" w:rsidRDefault="00FE0A05" w:rsidP="00FE0A05">
            <w:pPr>
              <w:pStyle w:val="ListParagraph"/>
              <w:numPr>
                <w:ilvl w:val="0"/>
                <w:numId w:val="20"/>
              </w:numPr>
              <w:spacing w:after="0" w:line="240" w:lineRule="auto"/>
              <w:jc w:val="both"/>
              <w:rPr>
                <w:rFonts w:ascii="Times New Roman" w:hAnsi="Times New Roman" w:cs="Times New Roman"/>
                <w:sz w:val="24"/>
                <w:szCs w:val="24"/>
                <w:lang w:val="lv-LV"/>
              </w:rPr>
            </w:pPr>
            <w:r w:rsidRPr="00675453">
              <w:rPr>
                <w:rFonts w:ascii="Times New Roman" w:hAnsi="Times New Roman" w:cs="Times New Roman"/>
                <w:sz w:val="24"/>
                <w:szCs w:val="24"/>
                <w:lang w:val="lv-LV"/>
              </w:rPr>
              <w:t>6.punktu ar abu noteikumu projektu pieejamā kopējā attiecināmā finansējuma sadalījumu pa gadiem, norādot arī iepriekšējo gadu finansējuma apmērus sadalījumā pa finansējuma avotiem;</w:t>
            </w:r>
          </w:p>
          <w:p w14:paraId="73E1147E" w14:textId="551B13FB" w:rsidR="00163773" w:rsidRPr="00FE0A05" w:rsidRDefault="00FE0A05" w:rsidP="00FE0A05">
            <w:pPr>
              <w:pStyle w:val="ListParagraph"/>
              <w:numPr>
                <w:ilvl w:val="0"/>
                <w:numId w:val="20"/>
              </w:numPr>
              <w:spacing w:after="0" w:line="240" w:lineRule="auto"/>
              <w:jc w:val="both"/>
              <w:rPr>
                <w:rFonts w:ascii="Times New Roman" w:hAnsi="Times New Roman" w:cs="Times New Roman"/>
                <w:sz w:val="24"/>
                <w:szCs w:val="24"/>
                <w:lang w:val="lv-LV"/>
              </w:rPr>
            </w:pPr>
            <w:r w:rsidRPr="00FE0A05">
              <w:rPr>
                <w:rFonts w:ascii="Times New Roman" w:hAnsi="Times New Roman" w:cs="Times New Roman"/>
                <w:sz w:val="24"/>
                <w:szCs w:val="24"/>
                <w:lang w:val="lv-LV"/>
              </w:rPr>
              <w:t xml:space="preserve">8.punktu ar informāciju šādā redakcijā: “Finansējuma sadalījums pa gadiem norādīts </w:t>
            </w:r>
            <w:r w:rsidRPr="00FE0A05">
              <w:rPr>
                <w:rFonts w:ascii="Times New Roman" w:hAnsi="Times New Roman" w:cs="Times New Roman"/>
                <w:sz w:val="24"/>
                <w:szCs w:val="24"/>
                <w:lang w:val="lv-LV"/>
              </w:rPr>
              <w:lastRenderedPageBreak/>
              <w:t>indikatīvi un var tikt precizēts. Nepieciešamais finansējums normatīvajos aktos noteiktajā kārtībā tiks nodrošināts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c>
          <w:tcPr>
            <w:tcW w:w="3828" w:type="dxa"/>
          </w:tcPr>
          <w:p w14:paraId="4233154C" w14:textId="77777777" w:rsidR="0039787E" w:rsidRDefault="00257E67" w:rsidP="00965758">
            <w:pPr>
              <w:spacing w:after="0" w:line="240" w:lineRule="auto"/>
              <w:jc w:val="both"/>
              <w:rPr>
                <w:rFonts w:ascii="Times New Roman" w:eastAsia="Times New Roman" w:hAnsi="Times New Roman" w:cs="Times New Roman"/>
                <w:b/>
                <w:sz w:val="24"/>
                <w:szCs w:val="24"/>
                <w:lang w:val="lv-LV" w:eastAsia="lv-LV"/>
              </w:rPr>
            </w:pPr>
            <w:r w:rsidRPr="0032351F">
              <w:rPr>
                <w:rFonts w:ascii="Times New Roman" w:eastAsia="Times New Roman" w:hAnsi="Times New Roman" w:cs="Times New Roman"/>
                <w:b/>
                <w:sz w:val="24"/>
                <w:szCs w:val="24"/>
                <w:lang w:val="lv-LV" w:eastAsia="lv-LV"/>
              </w:rPr>
              <w:lastRenderedPageBreak/>
              <w:t>Ņemts vērā</w:t>
            </w:r>
          </w:p>
          <w:p w14:paraId="1CDC1AD0" w14:textId="5E0D6329" w:rsidR="006525C4" w:rsidRPr="006525C4" w:rsidRDefault="006525C4" w:rsidP="00F2709B">
            <w:pPr>
              <w:spacing w:after="0" w:line="240" w:lineRule="auto"/>
              <w:jc w:val="both"/>
              <w:rPr>
                <w:rFonts w:ascii="Times New Roman" w:eastAsia="Times New Roman" w:hAnsi="Times New Roman" w:cs="Times New Roman"/>
                <w:sz w:val="24"/>
                <w:szCs w:val="24"/>
                <w:lang w:val="lv-LV" w:eastAsia="lv-LV"/>
              </w:rPr>
            </w:pPr>
            <w:r w:rsidRPr="006525C4">
              <w:rPr>
                <w:rFonts w:ascii="Times New Roman" w:eastAsia="Times New Roman" w:hAnsi="Times New Roman" w:cs="Times New Roman"/>
                <w:sz w:val="24"/>
                <w:szCs w:val="24"/>
                <w:lang w:val="lv-LV" w:eastAsia="lv-LV"/>
              </w:rPr>
              <w:t>Skat. precizēt</w:t>
            </w:r>
            <w:r w:rsidR="00F2709B">
              <w:rPr>
                <w:rFonts w:ascii="Times New Roman" w:eastAsia="Times New Roman" w:hAnsi="Times New Roman" w:cs="Times New Roman"/>
                <w:sz w:val="24"/>
                <w:szCs w:val="24"/>
                <w:lang w:val="lv-LV" w:eastAsia="lv-LV"/>
              </w:rPr>
              <w:t>ās</w:t>
            </w:r>
            <w:r w:rsidRPr="006525C4">
              <w:rPr>
                <w:rFonts w:ascii="Times New Roman" w:eastAsia="Times New Roman" w:hAnsi="Times New Roman" w:cs="Times New Roman"/>
                <w:sz w:val="24"/>
                <w:szCs w:val="24"/>
                <w:lang w:val="lv-LV" w:eastAsia="lv-LV"/>
              </w:rPr>
              <w:t xml:space="preserve"> anotācij</w:t>
            </w:r>
            <w:r w:rsidR="00F2709B">
              <w:rPr>
                <w:rFonts w:ascii="Times New Roman" w:eastAsia="Times New Roman" w:hAnsi="Times New Roman" w:cs="Times New Roman"/>
                <w:sz w:val="24"/>
                <w:szCs w:val="24"/>
                <w:lang w:val="lv-LV" w:eastAsia="lv-LV"/>
              </w:rPr>
              <w:t>as 6.un 8.punktu</w:t>
            </w:r>
          </w:p>
        </w:tc>
        <w:tc>
          <w:tcPr>
            <w:tcW w:w="3861" w:type="dxa"/>
          </w:tcPr>
          <w:p w14:paraId="048B53DB" w14:textId="4B48DB7C" w:rsidR="00257E67" w:rsidRPr="00DC6CBA" w:rsidRDefault="006525C4" w:rsidP="00257E67">
            <w:pPr>
              <w:rPr>
                <w:rFonts w:ascii="Times New Roman" w:eastAsia="PMingLiU" w:hAnsi="Times New Roman" w:cs="Times New Roman"/>
                <w:sz w:val="24"/>
                <w:szCs w:val="24"/>
                <w:lang w:val="lv-LV" w:eastAsia="x-none"/>
              </w:rPr>
            </w:pPr>
            <w:r w:rsidRPr="00DC6CBA">
              <w:rPr>
                <w:rFonts w:ascii="Times New Roman" w:eastAsia="PMingLiU" w:hAnsi="Times New Roman" w:cs="Times New Roman"/>
                <w:sz w:val="24"/>
                <w:szCs w:val="24"/>
                <w:lang w:val="lv-LV" w:eastAsia="x-none"/>
              </w:rPr>
              <w:t>-</w:t>
            </w:r>
          </w:p>
          <w:p w14:paraId="42FD6CE9" w14:textId="140BEC31" w:rsidR="00163773" w:rsidRPr="002B06DB" w:rsidRDefault="00163773" w:rsidP="00D77241">
            <w:pPr>
              <w:spacing w:after="0" w:line="240" w:lineRule="auto"/>
              <w:contextualSpacing/>
              <w:jc w:val="both"/>
              <w:rPr>
                <w:rFonts w:ascii="Times New Roman" w:eastAsia="PMingLiU" w:hAnsi="Times New Roman" w:cs="Times New Roman"/>
                <w:sz w:val="24"/>
                <w:szCs w:val="24"/>
                <w:lang w:val="lv-LV" w:eastAsia="x-none"/>
              </w:rPr>
            </w:pPr>
          </w:p>
        </w:tc>
      </w:tr>
      <w:tr w:rsidR="003906EA" w:rsidRPr="003906EA" w14:paraId="132D101E" w14:textId="77777777" w:rsidTr="00C770CA">
        <w:trPr>
          <w:trHeight w:val="275"/>
        </w:trPr>
        <w:tc>
          <w:tcPr>
            <w:tcW w:w="959" w:type="dxa"/>
          </w:tcPr>
          <w:p w14:paraId="79700108" w14:textId="0E092084" w:rsidR="00163773" w:rsidRPr="003906EA" w:rsidRDefault="00FE0A05" w:rsidP="00AE73EF">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w:t>
            </w:r>
            <w:r w:rsidR="00B26616" w:rsidRPr="003906EA">
              <w:rPr>
                <w:rFonts w:ascii="Times New Roman" w:eastAsia="Times New Roman" w:hAnsi="Times New Roman" w:cs="Times New Roman"/>
                <w:sz w:val="24"/>
                <w:szCs w:val="24"/>
                <w:lang w:val="lv-LV" w:eastAsia="lv-LV"/>
              </w:rPr>
              <w:t>.</w:t>
            </w:r>
          </w:p>
        </w:tc>
        <w:tc>
          <w:tcPr>
            <w:tcW w:w="2864" w:type="dxa"/>
            <w:gridSpan w:val="2"/>
          </w:tcPr>
          <w:p w14:paraId="58E4950D" w14:textId="0E69F3F0" w:rsidR="0064189B" w:rsidRPr="00FB4867" w:rsidRDefault="00FB4867" w:rsidP="00FB4867">
            <w:pPr>
              <w:spacing w:after="0" w:line="240" w:lineRule="auto"/>
              <w:jc w:val="both"/>
              <w:rPr>
                <w:rFonts w:ascii="Times New Roman" w:eastAsia="Times New Roman" w:hAnsi="Times New Roman" w:cs="Times New Roman"/>
                <w:i/>
                <w:sz w:val="24"/>
                <w:szCs w:val="24"/>
                <w:lang w:val="lv-LV" w:eastAsia="lv-LV"/>
              </w:rPr>
            </w:pPr>
            <w:r w:rsidRPr="00FB4867">
              <w:rPr>
                <w:rFonts w:ascii="Times New Roman" w:eastAsia="Times New Roman" w:hAnsi="Times New Roman" w:cs="Times New Roman"/>
                <w:i/>
                <w:sz w:val="24"/>
                <w:szCs w:val="24"/>
                <w:lang w:val="lv-LV" w:eastAsia="lv-LV"/>
              </w:rPr>
              <w:t>Anotācijas III sadaļas 1.-4.punkts.</w:t>
            </w:r>
          </w:p>
        </w:tc>
        <w:tc>
          <w:tcPr>
            <w:tcW w:w="3543" w:type="dxa"/>
          </w:tcPr>
          <w:p w14:paraId="187EFB0B" w14:textId="77777777" w:rsidR="00163773" w:rsidRPr="005B2DB2" w:rsidRDefault="00DA67CF" w:rsidP="004127E9">
            <w:pPr>
              <w:spacing w:after="0" w:line="240" w:lineRule="auto"/>
              <w:jc w:val="both"/>
              <w:rPr>
                <w:rFonts w:ascii="Times New Roman" w:hAnsi="Times New Roman" w:cs="Times New Roman"/>
                <w:sz w:val="24"/>
                <w:szCs w:val="24"/>
                <w:lang w:val="lv-LV"/>
              </w:rPr>
            </w:pPr>
            <w:r w:rsidRPr="005B2DB2">
              <w:rPr>
                <w:rFonts w:ascii="Times New Roman" w:hAnsi="Times New Roman" w:cs="Times New Roman"/>
                <w:b/>
                <w:sz w:val="24"/>
                <w:szCs w:val="24"/>
                <w:lang w:val="lv-LV"/>
              </w:rPr>
              <w:t>FM:</w:t>
            </w:r>
            <w:r w:rsidR="00FE0A05" w:rsidRPr="005B2DB2">
              <w:rPr>
                <w:rFonts w:ascii="Times New Roman" w:hAnsi="Times New Roman" w:cs="Times New Roman"/>
                <w:sz w:val="24"/>
                <w:szCs w:val="24"/>
                <w:lang w:val="lv-LV"/>
              </w:rPr>
              <w:br/>
              <w:t xml:space="preserve">Lūdzam salāgot anotācijas III sadaļas 1.-4.punktā norādītos kopējos finansējuma apmērus ar minētās sadaļas 6.punktā norādīto finansējuma sadalījumu pa finansējuma avotiem (novirze 1 </w:t>
            </w:r>
            <w:proofErr w:type="spellStart"/>
            <w:r w:rsidR="00FE0A05" w:rsidRPr="005B2DB2">
              <w:rPr>
                <w:rFonts w:ascii="Times New Roman" w:hAnsi="Times New Roman" w:cs="Times New Roman"/>
                <w:sz w:val="24"/>
                <w:szCs w:val="24"/>
                <w:lang w:val="lv-LV"/>
              </w:rPr>
              <w:t>euro</w:t>
            </w:r>
            <w:proofErr w:type="spellEnd"/>
            <w:r w:rsidR="00FE0A05" w:rsidRPr="005B2DB2">
              <w:rPr>
                <w:rFonts w:ascii="Times New Roman" w:hAnsi="Times New Roman" w:cs="Times New Roman"/>
                <w:sz w:val="24"/>
                <w:szCs w:val="24"/>
                <w:lang w:val="lv-LV"/>
              </w:rPr>
              <w:t>)</w:t>
            </w:r>
          </w:p>
          <w:p w14:paraId="5A71A58B" w14:textId="77777777" w:rsidR="00B03B6D" w:rsidRPr="005B2DB2" w:rsidRDefault="00B03B6D" w:rsidP="004127E9">
            <w:pPr>
              <w:spacing w:after="0" w:line="240" w:lineRule="auto"/>
              <w:jc w:val="both"/>
              <w:rPr>
                <w:rFonts w:ascii="Times New Roman" w:hAnsi="Times New Roman" w:cs="Times New Roman"/>
                <w:sz w:val="24"/>
                <w:szCs w:val="24"/>
                <w:lang w:val="lv-LV"/>
              </w:rPr>
            </w:pPr>
          </w:p>
          <w:p w14:paraId="54370B62" w14:textId="4000BCB9" w:rsidR="00B03B6D" w:rsidRPr="005B2DB2" w:rsidRDefault="00B03B6D" w:rsidP="004127E9">
            <w:pPr>
              <w:spacing w:after="0" w:line="240" w:lineRule="auto"/>
              <w:jc w:val="both"/>
              <w:rPr>
                <w:rFonts w:ascii="Times New Roman" w:hAnsi="Times New Roman" w:cs="Times New Roman"/>
                <w:sz w:val="24"/>
                <w:szCs w:val="24"/>
                <w:lang w:val="lv-LV"/>
              </w:rPr>
            </w:pPr>
          </w:p>
        </w:tc>
        <w:tc>
          <w:tcPr>
            <w:tcW w:w="3828" w:type="dxa"/>
          </w:tcPr>
          <w:p w14:paraId="58770E73" w14:textId="77777777" w:rsidR="00DA67CF" w:rsidRPr="003906EA" w:rsidRDefault="00DA67CF" w:rsidP="00DA67CF">
            <w:pPr>
              <w:spacing w:after="0" w:line="240" w:lineRule="auto"/>
              <w:jc w:val="both"/>
              <w:rPr>
                <w:rFonts w:ascii="Times New Roman" w:eastAsia="Times New Roman" w:hAnsi="Times New Roman" w:cs="Times New Roman"/>
                <w:b/>
                <w:sz w:val="24"/>
                <w:szCs w:val="24"/>
                <w:lang w:val="lv-LV" w:eastAsia="lv-LV"/>
              </w:rPr>
            </w:pPr>
            <w:r w:rsidRPr="003906EA">
              <w:rPr>
                <w:rFonts w:ascii="Times New Roman" w:eastAsia="Times New Roman" w:hAnsi="Times New Roman" w:cs="Times New Roman"/>
                <w:b/>
                <w:sz w:val="24"/>
                <w:szCs w:val="24"/>
                <w:lang w:val="lv-LV" w:eastAsia="lv-LV"/>
              </w:rPr>
              <w:t>Ņemts vērā</w:t>
            </w:r>
          </w:p>
          <w:p w14:paraId="5EBC8B83" w14:textId="5A047339" w:rsidR="00163773" w:rsidRPr="003906EA" w:rsidRDefault="006525C4" w:rsidP="00376706">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Skat. precizēto anotāciju</w:t>
            </w:r>
          </w:p>
        </w:tc>
        <w:tc>
          <w:tcPr>
            <w:tcW w:w="3861" w:type="dxa"/>
          </w:tcPr>
          <w:p w14:paraId="0241036D" w14:textId="77C54924" w:rsidR="00163773" w:rsidRPr="00DC6CBA" w:rsidRDefault="006525C4" w:rsidP="00FB0429">
            <w:pPr>
              <w:tabs>
                <w:tab w:val="left" w:pos="356"/>
              </w:tabs>
              <w:spacing w:after="0" w:line="240" w:lineRule="auto"/>
              <w:jc w:val="both"/>
              <w:rPr>
                <w:rFonts w:ascii="Times New Roman" w:eastAsia="Times New Roman" w:hAnsi="Times New Roman" w:cs="Times New Roman"/>
                <w:sz w:val="24"/>
                <w:szCs w:val="24"/>
                <w:lang w:val="lv-LV" w:eastAsia="lv-LV"/>
              </w:rPr>
            </w:pPr>
            <w:r w:rsidRPr="00DC6CBA">
              <w:rPr>
                <w:rFonts w:ascii="Times New Roman" w:eastAsia="Times New Roman" w:hAnsi="Times New Roman" w:cs="Times New Roman"/>
                <w:sz w:val="24"/>
                <w:szCs w:val="24"/>
                <w:lang w:val="lv-LV" w:eastAsia="lv-LV"/>
              </w:rPr>
              <w:t>_</w:t>
            </w:r>
          </w:p>
        </w:tc>
      </w:tr>
      <w:tr w:rsidR="002B5D49" w:rsidRPr="002B5D49" w14:paraId="214607A6" w14:textId="77777777" w:rsidTr="002B5D49">
        <w:trPr>
          <w:trHeight w:val="70"/>
        </w:trPr>
        <w:tc>
          <w:tcPr>
            <w:tcW w:w="988" w:type="dxa"/>
            <w:gridSpan w:val="2"/>
          </w:tcPr>
          <w:p w14:paraId="1208376D" w14:textId="0EEE6DF2" w:rsidR="002B5D49" w:rsidRPr="002B5D49" w:rsidRDefault="002B5D49" w:rsidP="002B5D49">
            <w:pPr>
              <w:spacing w:after="0" w:line="240" w:lineRule="auto"/>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4</w:t>
            </w:r>
            <w:r w:rsidRPr="002B5D49">
              <w:rPr>
                <w:rFonts w:ascii="Times New Roman" w:eastAsia="Times New Roman" w:hAnsi="Times New Roman" w:cs="Times New Roman"/>
                <w:sz w:val="24"/>
                <w:szCs w:val="24"/>
                <w:lang w:val="lv-LV" w:eastAsia="lv-LV"/>
              </w:rPr>
              <w:t>.</w:t>
            </w:r>
          </w:p>
        </w:tc>
        <w:tc>
          <w:tcPr>
            <w:tcW w:w="2835" w:type="dxa"/>
          </w:tcPr>
          <w:p w14:paraId="60431827" w14:textId="77777777" w:rsidR="002B5D49" w:rsidRPr="002B5D49" w:rsidRDefault="002B5D49" w:rsidP="002B5D49">
            <w:pPr>
              <w:spacing w:after="0" w:line="240" w:lineRule="auto"/>
              <w:jc w:val="center"/>
              <w:rPr>
                <w:rFonts w:ascii="Times New Roman" w:eastAsia="Times New Roman" w:hAnsi="Times New Roman" w:cs="Times New Roman"/>
                <w:sz w:val="24"/>
                <w:szCs w:val="24"/>
                <w:lang w:val="lv-LV" w:eastAsia="lv-LV"/>
              </w:rPr>
            </w:pPr>
            <w:r w:rsidRPr="002B5D49">
              <w:rPr>
                <w:rFonts w:ascii="Times New Roman" w:eastAsia="Times New Roman" w:hAnsi="Times New Roman" w:cs="Times New Roman"/>
                <w:sz w:val="24"/>
                <w:szCs w:val="24"/>
                <w:lang w:val="lv-LV" w:eastAsia="lv-LV"/>
              </w:rPr>
              <w:t>Vispārīgs komentārs</w:t>
            </w:r>
          </w:p>
        </w:tc>
        <w:tc>
          <w:tcPr>
            <w:tcW w:w="3543" w:type="dxa"/>
          </w:tcPr>
          <w:p w14:paraId="09027BEB" w14:textId="77777777" w:rsidR="002B5D49" w:rsidRPr="002B5D49" w:rsidRDefault="002B5D49" w:rsidP="002B5D49">
            <w:pPr>
              <w:spacing w:after="0" w:line="240" w:lineRule="auto"/>
              <w:jc w:val="both"/>
              <w:rPr>
                <w:rFonts w:ascii="Times New Roman" w:eastAsia="Times New Roman" w:hAnsi="Times New Roman" w:cs="Times New Roman"/>
                <w:b/>
                <w:sz w:val="24"/>
                <w:szCs w:val="24"/>
                <w:lang w:val="lv-LV" w:eastAsia="lv-LV"/>
              </w:rPr>
            </w:pPr>
            <w:r w:rsidRPr="002B5D49">
              <w:rPr>
                <w:rFonts w:ascii="Times New Roman" w:eastAsia="Times New Roman" w:hAnsi="Times New Roman" w:cs="Times New Roman"/>
                <w:b/>
                <w:sz w:val="24"/>
                <w:szCs w:val="24"/>
                <w:lang w:val="lv-LV" w:eastAsia="lv-LV"/>
              </w:rPr>
              <w:t>FM:</w:t>
            </w:r>
          </w:p>
          <w:p w14:paraId="3F58A17D" w14:textId="6673CF8D" w:rsidR="002B5D49" w:rsidRPr="002B5D49" w:rsidRDefault="002B5D49" w:rsidP="002B5D49">
            <w:pPr>
              <w:spacing w:after="0" w:line="240" w:lineRule="auto"/>
              <w:jc w:val="both"/>
              <w:rPr>
                <w:rFonts w:ascii="Times New Roman" w:eastAsia="Times New Roman" w:hAnsi="Times New Roman" w:cs="Times New Roman"/>
                <w:sz w:val="24"/>
                <w:szCs w:val="24"/>
                <w:lang w:val="lv-LV" w:eastAsia="lv-LV"/>
              </w:rPr>
            </w:pPr>
            <w:r w:rsidRPr="002B5D49">
              <w:rPr>
                <w:rFonts w:ascii="Times New Roman" w:eastAsia="Times New Roman" w:hAnsi="Times New Roman" w:cs="Times New Roman"/>
                <w:sz w:val="24"/>
                <w:szCs w:val="24"/>
                <w:lang w:val="lv-LV" w:eastAsia="lv-LV"/>
              </w:rPr>
              <w:t xml:space="preserve">Vienlaikus, ņemot vērā, ka ar noteikumu projektiem paredzēts mainīt 8.3.6.specifiskā atbalsta mērķa “Ieviest izglītības kvalitātes monitoringa sistēmu” pasākumu </w:t>
            </w:r>
            <w:r w:rsidRPr="002B5D49">
              <w:rPr>
                <w:rFonts w:ascii="Times New Roman" w:eastAsia="Times New Roman" w:hAnsi="Times New Roman" w:cs="Times New Roman"/>
                <w:sz w:val="24"/>
                <w:szCs w:val="24"/>
                <w:lang w:val="lv-LV" w:eastAsia="lv-LV"/>
              </w:rPr>
              <w:lastRenderedPageBreak/>
              <w:t>finansējuma sadalījumu, kā arī par gadu pagarināt 8.3.6.2.pasākuma īstenošanas termiņu, lūdzam precizēt un atsūtīt aktualizētu rādītāju pasi</w:t>
            </w:r>
          </w:p>
        </w:tc>
        <w:tc>
          <w:tcPr>
            <w:tcW w:w="3828" w:type="dxa"/>
          </w:tcPr>
          <w:p w14:paraId="46381E50" w14:textId="77777777" w:rsidR="002B5D49" w:rsidRPr="002B5D49" w:rsidRDefault="002B5D49" w:rsidP="002B5D49">
            <w:pPr>
              <w:spacing w:after="0" w:line="240" w:lineRule="auto"/>
              <w:jc w:val="both"/>
              <w:rPr>
                <w:rFonts w:ascii="Times New Roman" w:eastAsia="Times New Roman" w:hAnsi="Times New Roman" w:cs="Times New Roman"/>
                <w:b/>
                <w:sz w:val="24"/>
                <w:szCs w:val="24"/>
                <w:lang w:val="lv-LV" w:eastAsia="lv-LV"/>
              </w:rPr>
            </w:pPr>
            <w:r w:rsidRPr="002B5D49">
              <w:rPr>
                <w:rFonts w:ascii="Times New Roman" w:eastAsia="Times New Roman" w:hAnsi="Times New Roman" w:cs="Times New Roman"/>
                <w:b/>
                <w:sz w:val="24"/>
                <w:szCs w:val="24"/>
                <w:lang w:val="lv-LV" w:eastAsia="lv-LV"/>
              </w:rPr>
              <w:lastRenderedPageBreak/>
              <w:t>Ņemts vērā</w:t>
            </w:r>
          </w:p>
          <w:p w14:paraId="71EFBE19" w14:textId="452FAE8F" w:rsidR="002B5D49" w:rsidRPr="002B5D49" w:rsidRDefault="0061227B" w:rsidP="00E87246">
            <w:pPr>
              <w:spacing w:after="0" w:line="240" w:lineRule="auto"/>
              <w:jc w:val="both"/>
              <w:rPr>
                <w:rFonts w:ascii="Times New Roman" w:eastAsia="Times New Roman" w:hAnsi="Times New Roman" w:cs="Times New Roman"/>
                <w:sz w:val="24"/>
                <w:szCs w:val="24"/>
                <w:lang w:val="lv-LV" w:eastAsia="lv-LV"/>
              </w:rPr>
            </w:pPr>
            <w:r w:rsidRPr="0061227B">
              <w:rPr>
                <w:rFonts w:ascii="Times New Roman" w:eastAsia="Times New Roman" w:hAnsi="Times New Roman" w:cs="Times New Roman"/>
                <w:sz w:val="24"/>
                <w:szCs w:val="24"/>
                <w:lang w:val="lv-LV" w:eastAsia="lv-LV"/>
              </w:rPr>
              <w:t>Rādītāju pase tiks aktualizēta un nosūtīta līdz grozījumu iesniegšanai Valsts kancelejā izskatīšanai Ministru kabineta sēdē</w:t>
            </w:r>
          </w:p>
        </w:tc>
        <w:tc>
          <w:tcPr>
            <w:tcW w:w="3861" w:type="dxa"/>
          </w:tcPr>
          <w:p w14:paraId="155CB986" w14:textId="6CF89BD4" w:rsidR="002B5D49" w:rsidRPr="00DC6CBA" w:rsidRDefault="00B03B6D" w:rsidP="00B03B6D">
            <w:pPr>
              <w:spacing w:after="0" w:line="240" w:lineRule="auto"/>
              <w:rPr>
                <w:rFonts w:ascii="Times New Roman" w:eastAsia="Times New Roman" w:hAnsi="Times New Roman" w:cs="Times New Roman"/>
                <w:sz w:val="24"/>
                <w:szCs w:val="24"/>
                <w:lang w:val="lv-LV" w:eastAsia="lv-LV"/>
              </w:rPr>
            </w:pPr>
            <w:r w:rsidRPr="00DC6CBA">
              <w:rPr>
                <w:rFonts w:ascii="Times New Roman" w:eastAsia="Times New Roman" w:hAnsi="Times New Roman" w:cs="Times New Roman"/>
                <w:sz w:val="24"/>
                <w:szCs w:val="24"/>
                <w:lang w:val="lv-LV" w:eastAsia="lv-LV"/>
              </w:rPr>
              <w:t>_</w:t>
            </w:r>
            <w:bookmarkStart w:id="0" w:name="_GoBack"/>
            <w:bookmarkEnd w:id="0"/>
          </w:p>
        </w:tc>
      </w:tr>
    </w:tbl>
    <w:p w14:paraId="7D44A512" w14:textId="77777777" w:rsidR="00DA67CF" w:rsidRPr="003906EA" w:rsidRDefault="00DA67CF"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2CBA10CA" w14:textId="77777777" w:rsidR="00511A2D" w:rsidRDefault="00511A2D"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521AE71C" w14:textId="1A684209" w:rsidR="00AE73EF" w:rsidRPr="003906EA" w:rsidRDefault="00511A2D"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w:t>
      </w:r>
      <w:r w:rsidR="00AE73EF" w:rsidRPr="003906EA">
        <w:rPr>
          <w:rFonts w:ascii="Times New Roman" w:eastAsia="Times New Roman" w:hAnsi="Times New Roman" w:cs="Times New Roman"/>
          <w:sz w:val="24"/>
          <w:szCs w:val="24"/>
          <w:lang w:val="lv-LV" w:eastAsia="lv-LV"/>
        </w:rPr>
        <w:t>tbildīgā amatpersona__________________________________________________</w:t>
      </w:r>
    </w:p>
    <w:p w14:paraId="056E7E78" w14:textId="5811FFF6" w:rsidR="001A19A9" w:rsidRPr="003906EA" w:rsidRDefault="00C369D0" w:rsidP="001E1140">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ab/>
      </w:r>
      <w:r w:rsidRPr="003906EA">
        <w:rPr>
          <w:rFonts w:ascii="Times New Roman" w:eastAsia="Times New Roman" w:hAnsi="Times New Roman" w:cs="Times New Roman"/>
          <w:sz w:val="24"/>
          <w:szCs w:val="24"/>
          <w:lang w:val="lv-LV" w:eastAsia="lv-LV"/>
        </w:rPr>
        <w:tab/>
      </w:r>
      <w:r w:rsidRPr="003906EA">
        <w:rPr>
          <w:rFonts w:ascii="Times New Roman" w:eastAsia="Times New Roman" w:hAnsi="Times New Roman" w:cs="Times New Roman"/>
          <w:sz w:val="24"/>
          <w:szCs w:val="24"/>
          <w:lang w:val="lv-LV" w:eastAsia="lv-LV"/>
        </w:rPr>
        <w:tab/>
      </w:r>
      <w:r w:rsidRPr="003906EA">
        <w:rPr>
          <w:rFonts w:ascii="Times New Roman" w:eastAsia="Times New Roman" w:hAnsi="Times New Roman" w:cs="Times New Roman"/>
          <w:sz w:val="24"/>
          <w:szCs w:val="24"/>
          <w:lang w:val="lv-LV" w:eastAsia="lv-LV"/>
        </w:rPr>
        <w:tab/>
      </w:r>
      <w:r w:rsidRPr="003906EA">
        <w:rPr>
          <w:rFonts w:ascii="Times New Roman" w:eastAsia="Times New Roman" w:hAnsi="Times New Roman" w:cs="Times New Roman"/>
          <w:sz w:val="24"/>
          <w:szCs w:val="24"/>
          <w:lang w:val="lv-LV" w:eastAsia="lv-LV"/>
        </w:rPr>
        <w:tab/>
      </w:r>
      <w:r w:rsidRPr="003906EA">
        <w:rPr>
          <w:rFonts w:ascii="Times New Roman" w:eastAsia="Times New Roman" w:hAnsi="Times New Roman" w:cs="Times New Roman"/>
          <w:sz w:val="24"/>
          <w:szCs w:val="24"/>
          <w:lang w:val="lv-LV" w:eastAsia="lv-LV"/>
        </w:rPr>
        <w:tab/>
        <w:t>(paraksts</w:t>
      </w:r>
      <w:r w:rsidR="00DA682D" w:rsidRPr="003906EA">
        <w:rPr>
          <w:rFonts w:ascii="Times New Roman" w:eastAsia="Times New Roman" w:hAnsi="Times New Roman" w:cs="Times New Roman"/>
          <w:sz w:val="24"/>
          <w:szCs w:val="24"/>
          <w:lang w:val="lv-LV" w:eastAsia="lv-LV"/>
        </w:rPr>
        <w:t>)</w:t>
      </w:r>
    </w:p>
    <w:p w14:paraId="107095A8" w14:textId="77777777" w:rsidR="001E1140" w:rsidRPr="003906EA" w:rsidRDefault="001E1140" w:rsidP="00AE73EF">
      <w:pPr>
        <w:spacing w:after="0" w:line="240" w:lineRule="auto"/>
        <w:jc w:val="both"/>
        <w:rPr>
          <w:rFonts w:ascii="Times New Roman" w:eastAsia="Times New Roman" w:hAnsi="Times New Roman" w:cs="Times New Roman"/>
          <w:sz w:val="24"/>
          <w:szCs w:val="24"/>
          <w:lang w:val="lv-LV" w:eastAsia="lv-LV"/>
        </w:rPr>
      </w:pPr>
    </w:p>
    <w:p w14:paraId="4A29FCB6" w14:textId="77777777" w:rsidR="001E1140" w:rsidRPr="003906EA" w:rsidRDefault="001E1140" w:rsidP="00AE73EF">
      <w:pPr>
        <w:spacing w:after="0" w:line="240" w:lineRule="auto"/>
        <w:jc w:val="both"/>
        <w:rPr>
          <w:rFonts w:ascii="Times New Roman" w:eastAsia="Times New Roman" w:hAnsi="Times New Roman" w:cs="Times New Roman"/>
          <w:sz w:val="24"/>
          <w:szCs w:val="24"/>
          <w:lang w:val="lv-LV" w:eastAsia="lv-LV"/>
        </w:rPr>
      </w:pPr>
    </w:p>
    <w:p w14:paraId="4013C254" w14:textId="77777777" w:rsidR="003906EA" w:rsidRDefault="003906EA" w:rsidP="00AE73EF">
      <w:pPr>
        <w:spacing w:after="0" w:line="240" w:lineRule="auto"/>
        <w:jc w:val="both"/>
        <w:rPr>
          <w:rFonts w:ascii="Times New Roman" w:eastAsia="Times New Roman" w:hAnsi="Times New Roman" w:cs="Times New Roman"/>
          <w:sz w:val="24"/>
          <w:szCs w:val="24"/>
          <w:lang w:val="lv-LV" w:eastAsia="lv-LV"/>
        </w:rPr>
      </w:pPr>
    </w:p>
    <w:p w14:paraId="62435245" w14:textId="17B15F44" w:rsidR="00AE73EF" w:rsidRPr="003906EA" w:rsidRDefault="00EB2305" w:rsidP="00AE73EF">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Zanda Rudene</w:t>
      </w:r>
    </w:p>
    <w:p w14:paraId="4BB80997" w14:textId="77777777" w:rsidR="00AE73EF" w:rsidRPr="003906EA" w:rsidRDefault="00AE73EF" w:rsidP="00AE73EF">
      <w:pPr>
        <w:spacing w:after="0" w:line="240" w:lineRule="auto"/>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Izglītības un zinātnes ministrijas</w:t>
      </w:r>
    </w:p>
    <w:p w14:paraId="6E54CE9A" w14:textId="77777777" w:rsidR="00AE73EF" w:rsidRPr="003906EA" w:rsidRDefault="00AE73EF" w:rsidP="00AE73EF">
      <w:pPr>
        <w:spacing w:after="0" w:line="240" w:lineRule="auto"/>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Struktūrfondu departamenta vecākā eksperte</w:t>
      </w:r>
    </w:p>
    <w:p w14:paraId="4686E79A" w14:textId="251FF059" w:rsidR="004D24C1" w:rsidRPr="003906EA" w:rsidRDefault="00AE73EF" w:rsidP="000D61B9">
      <w:pPr>
        <w:spacing w:after="0" w:line="240" w:lineRule="auto"/>
        <w:jc w:val="both"/>
        <w:rPr>
          <w:rFonts w:ascii="Times New Roman" w:eastAsia="Times New Roman" w:hAnsi="Times New Roman" w:cs="Times New Roman"/>
          <w:sz w:val="24"/>
          <w:szCs w:val="24"/>
          <w:lang w:val="lv-LV" w:eastAsia="lv-LV"/>
        </w:rPr>
      </w:pPr>
      <w:r w:rsidRPr="003906EA">
        <w:rPr>
          <w:rFonts w:ascii="Times New Roman" w:eastAsia="Times New Roman" w:hAnsi="Times New Roman" w:cs="Times New Roman"/>
          <w:sz w:val="24"/>
          <w:szCs w:val="24"/>
          <w:lang w:val="lv-LV" w:eastAsia="lv-LV"/>
        </w:rPr>
        <w:t>670479</w:t>
      </w:r>
      <w:r w:rsidR="00EB2305">
        <w:rPr>
          <w:rFonts w:ascii="Times New Roman" w:eastAsia="Times New Roman" w:hAnsi="Times New Roman" w:cs="Times New Roman"/>
          <w:sz w:val="24"/>
          <w:szCs w:val="24"/>
          <w:lang w:val="lv-LV" w:eastAsia="lv-LV"/>
        </w:rPr>
        <w:t>92</w:t>
      </w:r>
      <w:r w:rsidRPr="003906EA">
        <w:rPr>
          <w:rFonts w:ascii="Times New Roman" w:eastAsia="Times New Roman" w:hAnsi="Times New Roman" w:cs="Times New Roman"/>
          <w:sz w:val="24"/>
          <w:szCs w:val="24"/>
          <w:lang w:val="lv-LV" w:eastAsia="lv-LV"/>
        </w:rPr>
        <w:t xml:space="preserve">, </w:t>
      </w:r>
      <w:r w:rsidR="00EB2305">
        <w:rPr>
          <w:rFonts w:ascii="Times New Roman" w:eastAsia="Times New Roman" w:hAnsi="Times New Roman" w:cs="Times New Roman"/>
          <w:sz w:val="24"/>
          <w:szCs w:val="24"/>
          <w:lang w:val="lv-LV" w:eastAsia="lv-LV"/>
        </w:rPr>
        <w:t>zanda.rudene</w:t>
      </w:r>
      <w:r w:rsidRPr="003906EA">
        <w:rPr>
          <w:rFonts w:ascii="Times New Roman" w:eastAsia="Times New Roman" w:hAnsi="Times New Roman" w:cs="Times New Roman"/>
          <w:sz w:val="24"/>
          <w:szCs w:val="24"/>
          <w:lang w:val="lv-LV" w:eastAsia="lv-LV"/>
        </w:rPr>
        <w:t>@izm.gov.lv</w:t>
      </w:r>
    </w:p>
    <w:sectPr w:rsidR="004D24C1" w:rsidRPr="003906EA" w:rsidSect="00B26616">
      <w:headerReference w:type="default" r:id="rId8"/>
      <w:footerReference w:type="default" r:id="rId9"/>
      <w:footerReference w:type="first" r:id="rId10"/>
      <w:pgSz w:w="16838" w:h="11906" w:orient="landscape"/>
      <w:pgMar w:top="1800" w:right="1440" w:bottom="1134"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58A88" w14:textId="77777777" w:rsidR="005B05DD" w:rsidRDefault="005B05DD" w:rsidP="00AE73EF">
      <w:pPr>
        <w:spacing w:after="0" w:line="240" w:lineRule="auto"/>
      </w:pPr>
      <w:r>
        <w:separator/>
      </w:r>
    </w:p>
  </w:endnote>
  <w:endnote w:type="continuationSeparator" w:id="0">
    <w:p w14:paraId="53DA7745" w14:textId="77777777" w:rsidR="005B05DD" w:rsidRDefault="005B05DD" w:rsidP="00AE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929B3" w14:textId="5529C299" w:rsidR="006344BA" w:rsidRPr="009E219D" w:rsidRDefault="0076164D" w:rsidP="009E219D">
    <w:pPr>
      <w:pStyle w:val="Footer"/>
      <w:jc w:val="both"/>
      <w:rPr>
        <w:rFonts w:ascii="Times New Roman" w:hAnsi="Times New Roman" w:cs="Times New Roman"/>
        <w:sz w:val="20"/>
        <w:szCs w:val="20"/>
        <w:lang w:val="lv-LV"/>
      </w:rPr>
    </w:pPr>
    <w:r w:rsidRPr="0076164D">
      <w:rPr>
        <w:rFonts w:ascii="Times New Roman" w:hAnsi="Times New Roman" w:cs="Times New Roman"/>
        <w:sz w:val="20"/>
        <w:szCs w:val="20"/>
        <w:lang w:val="lv-LV"/>
      </w:rPr>
      <w:t>IZMIzz_8.3.6.1_8.3.6.2._</w:t>
    </w:r>
    <w:r w:rsidR="002B06DB">
      <w:rPr>
        <w:rFonts w:ascii="Times New Roman" w:hAnsi="Times New Roman" w:cs="Times New Roman"/>
        <w:sz w:val="20"/>
        <w:szCs w:val="20"/>
        <w:lang w:val="lv-LV"/>
      </w:rPr>
      <w:t>2402</w:t>
    </w:r>
    <w:r w:rsidR="002B06DB" w:rsidRPr="0076164D">
      <w:rPr>
        <w:rFonts w:ascii="Times New Roman" w:hAnsi="Times New Roman" w:cs="Times New Roman"/>
        <w:sz w:val="20"/>
        <w:szCs w:val="20"/>
        <w:lang w:val="lv-LV"/>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61EAA" w14:textId="371CAFBD" w:rsidR="006344BA" w:rsidRPr="00AE73EF" w:rsidRDefault="006344BA" w:rsidP="00AE73EF">
    <w:pPr>
      <w:pStyle w:val="Footer"/>
      <w:jc w:val="both"/>
      <w:rPr>
        <w:rFonts w:ascii="Times New Roman" w:hAnsi="Times New Roman" w:cs="Times New Roman"/>
        <w:sz w:val="20"/>
        <w:szCs w:val="20"/>
        <w:lang w:val="lv-LV"/>
      </w:rPr>
    </w:pPr>
    <w:r w:rsidRPr="00AE73EF">
      <w:rPr>
        <w:rFonts w:ascii="Times New Roman" w:hAnsi="Times New Roman" w:cs="Times New Roman"/>
        <w:sz w:val="20"/>
        <w:szCs w:val="20"/>
        <w:lang w:val="lv-LV"/>
      </w:rPr>
      <w:fldChar w:fldCharType="begin"/>
    </w:r>
    <w:r w:rsidRPr="00AE73EF">
      <w:rPr>
        <w:rFonts w:ascii="Times New Roman" w:hAnsi="Times New Roman" w:cs="Times New Roman"/>
        <w:sz w:val="20"/>
        <w:szCs w:val="20"/>
        <w:lang w:val="lv-LV"/>
      </w:rPr>
      <w:instrText xml:space="preserve"> FILENAME   \* MERGEFORMAT </w:instrText>
    </w:r>
    <w:r w:rsidRPr="00AE73EF">
      <w:rPr>
        <w:rFonts w:ascii="Times New Roman" w:hAnsi="Times New Roman" w:cs="Times New Roman"/>
        <w:sz w:val="20"/>
        <w:szCs w:val="20"/>
        <w:lang w:val="lv-LV"/>
      </w:rPr>
      <w:fldChar w:fldCharType="separate"/>
    </w:r>
    <w:r>
      <w:rPr>
        <w:rFonts w:ascii="Times New Roman" w:hAnsi="Times New Roman" w:cs="Times New Roman"/>
        <w:noProof/>
        <w:sz w:val="20"/>
        <w:szCs w:val="20"/>
        <w:lang w:val="lv-LV"/>
      </w:rPr>
      <w:t>IZMIzz_8.3.</w:t>
    </w:r>
    <w:r w:rsidR="0076164D">
      <w:rPr>
        <w:rFonts w:ascii="Times New Roman" w:hAnsi="Times New Roman" w:cs="Times New Roman"/>
        <w:noProof/>
        <w:sz w:val="20"/>
        <w:szCs w:val="20"/>
        <w:lang w:val="lv-LV"/>
      </w:rPr>
      <w:t>6</w:t>
    </w:r>
    <w:r>
      <w:rPr>
        <w:rFonts w:ascii="Times New Roman" w:hAnsi="Times New Roman" w:cs="Times New Roman"/>
        <w:noProof/>
        <w:sz w:val="20"/>
        <w:szCs w:val="20"/>
        <w:lang w:val="lv-LV"/>
      </w:rPr>
      <w:t>.1</w:t>
    </w:r>
    <w:r w:rsidRPr="00AE73EF">
      <w:rPr>
        <w:rFonts w:ascii="Times New Roman" w:hAnsi="Times New Roman" w:cs="Times New Roman"/>
        <w:noProof/>
        <w:sz w:val="20"/>
        <w:szCs w:val="20"/>
        <w:lang w:val="lv-LV"/>
      </w:rPr>
      <w:t>_</w:t>
    </w:r>
    <w:r w:rsidRPr="00AE73EF">
      <w:rPr>
        <w:rFonts w:ascii="Times New Roman" w:hAnsi="Times New Roman" w:cs="Times New Roman"/>
        <w:sz w:val="20"/>
        <w:szCs w:val="20"/>
        <w:lang w:val="lv-LV"/>
      </w:rPr>
      <w:fldChar w:fldCharType="end"/>
    </w:r>
    <w:r w:rsidR="0076164D">
      <w:rPr>
        <w:rFonts w:ascii="Times New Roman" w:hAnsi="Times New Roman" w:cs="Times New Roman"/>
        <w:sz w:val="20"/>
        <w:szCs w:val="20"/>
        <w:lang w:val="lv-LV"/>
      </w:rPr>
      <w:t>8.3.6.2._</w:t>
    </w:r>
    <w:r w:rsidR="002B06DB">
      <w:rPr>
        <w:rFonts w:ascii="Times New Roman" w:hAnsi="Times New Roman" w:cs="Times New Roman"/>
        <w:noProof/>
        <w:sz w:val="20"/>
        <w:szCs w:val="20"/>
        <w:lang w:val="lv-LV"/>
      </w:rPr>
      <w:t>240220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C5B02" w14:textId="77777777" w:rsidR="005B05DD" w:rsidRDefault="005B05DD" w:rsidP="00AE73EF">
      <w:pPr>
        <w:spacing w:after="0" w:line="240" w:lineRule="auto"/>
      </w:pPr>
      <w:r>
        <w:separator/>
      </w:r>
    </w:p>
  </w:footnote>
  <w:footnote w:type="continuationSeparator" w:id="0">
    <w:p w14:paraId="3064A4E3" w14:textId="77777777" w:rsidR="005B05DD" w:rsidRDefault="005B05DD" w:rsidP="00AE7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587156"/>
      <w:docPartObj>
        <w:docPartGallery w:val="Page Numbers (Top of Page)"/>
        <w:docPartUnique/>
      </w:docPartObj>
    </w:sdtPr>
    <w:sdtEndPr>
      <w:rPr>
        <w:noProof/>
      </w:rPr>
    </w:sdtEndPr>
    <w:sdtContent>
      <w:p w14:paraId="69FE6F71" w14:textId="77777777" w:rsidR="006344BA" w:rsidRDefault="006344BA">
        <w:pPr>
          <w:pStyle w:val="Header"/>
          <w:jc w:val="center"/>
        </w:pPr>
        <w:r>
          <w:fldChar w:fldCharType="begin"/>
        </w:r>
        <w:r>
          <w:instrText xml:space="preserve"> PAGE   \* MERGEFORMAT </w:instrText>
        </w:r>
        <w:r>
          <w:fldChar w:fldCharType="separate"/>
        </w:r>
        <w:r w:rsidR="0061227B">
          <w:rPr>
            <w:noProof/>
          </w:rPr>
          <w:t>5</w:t>
        </w:r>
        <w:r>
          <w:rPr>
            <w:noProof/>
          </w:rPr>
          <w:fldChar w:fldCharType="end"/>
        </w:r>
      </w:p>
    </w:sdtContent>
  </w:sdt>
  <w:p w14:paraId="6106397C" w14:textId="77777777" w:rsidR="006344BA" w:rsidRDefault="00634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06E76"/>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201459"/>
    <w:multiLevelType w:val="hybridMultilevel"/>
    <w:tmpl w:val="2CA4D4FE"/>
    <w:lvl w:ilvl="0" w:tplc="D024944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22BDB"/>
    <w:multiLevelType w:val="hybridMultilevel"/>
    <w:tmpl w:val="A53C5910"/>
    <w:lvl w:ilvl="0" w:tplc="7BE6868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EE63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B7795A"/>
    <w:multiLevelType w:val="hybridMultilevel"/>
    <w:tmpl w:val="921478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0A610E"/>
    <w:multiLevelType w:val="hybridMultilevel"/>
    <w:tmpl w:val="10D06AC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479729F"/>
    <w:multiLevelType w:val="hybridMultilevel"/>
    <w:tmpl w:val="02085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4F0704"/>
    <w:multiLevelType w:val="hybridMultilevel"/>
    <w:tmpl w:val="3E3E4C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7BB3E55"/>
    <w:multiLevelType w:val="hybridMultilevel"/>
    <w:tmpl w:val="1FC8B9BA"/>
    <w:lvl w:ilvl="0" w:tplc="84D0C8C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74789E"/>
    <w:multiLevelType w:val="hybridMultilevel"/>
    <w:tmpl w:val="D43EE422"/>
    <w:lvl w:ilvl="0" w:tplc="6B864B46">
      <w:start w:val="1"/>
      <w:numFmt w:val="decimal"/>
      <w:lvlText w:val="%1."/>
      <w:lvlJc w:val="left"/>
      <w:pPr>
        <w:ind w:left="786" w:hanging="360"/>
      </w:pPr>
      <w:rPr>
        <w:rFonts w:ascii="Times New Roman" w:hAnsi="Times New Roman" w:cs="Times New Roman" w:hint="default"/>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38DB6C0B"/>
    <w:multiLevelType w:val="hybridMultilevel"/>
    <w:tmpl w:val="72D4B598"/>
    <w:lvl w:ilvl="0" w:tplc="BC7ED1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C55ED5"/>
    <w:multiLevelType w:val="hybridMultilevel"/>
    <w:tmpl w:val="7060A786"/>
    <w:lvl w:ilvl="0" w:tplc="6794F50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24E0C"/>
    <w:multiLevelType w:val="hybridMultilevel"/>
    <w:tmpl w:val="EAA678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488477A"/>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197746"/>
    <w:multiLevelType w:val="hybridMultilevel"/>
    <w:tmpl w:val="7892E1E4"/>
    <w:lvl w:ilvl="0" w:tplc="E5A0B886">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D56BB4"/>
    <w:multiLevelType w:val="hybridMultilevel"/>
    <w:tmpl w:val="453090A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51BD0214"/>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456032"/>
    <w:multiLevelType w:val="hybridMultilevel"/>
    <w:tmpl w:val="5D8E9AE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6382A"/>
    <w:multiLevelType w:val="hybridMultilevel"/>
    <w:tmpl w:val="73B2E7B4"/>
    <w:lvl w:ilvl="0" w:tplc="0426000F">
      <w:start w:val="1"/>
      <w:numFmt w:val="decimal"/>
      <w:lvlText w:val="%1."/>
      <w:lvlJc w:val="left"/>
      <w:pPr>
        <w:ind w:left="709" w:hanging="360"/>
      </w:p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9" w15:restartNumberingAfterBreak="0">
    <w:nsid w:val="640C5A88"/>
    <w:multiLevelType w:val="hybridMultilevel"/>
    <w:tmpl w:val="EC644F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4F0144"/>
    <w:multiLevelType w:val="hybridMultilevel"/>
    <w:tmpl w:val="41860064"/>
    <w:lvl w:ilvl="0" w:tplc="37CAC0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8530925"/>
    <w:multiLevelType w:val="hybridMultilevel"/>
    <w:tmpl w:val="E80EE0CA"/>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6D26220E"/>
    <w:multiLevelType w:val="hybridMultilevel"/>
    <w:tmpl w:val="E1C268BC"/>
    <w:lvl w:ilvl="0" w:tplc="32D8EEA6">
      <w:start w:val="1"/>
      <w:numFmt w:val="decimal"/>
      <w:lvlText w:val="%1."/>
      <w:lvlJc w:val="left"/>
      <w:pPr>
        <w:ind w:left="568" w:hanging="720"/>
      </w:pPr>
      <w:rPr>
        <w:rFonts w:hint="default"/>
      </w:rPr>
    </w:lvl>
    <w:lvl w:ilvl="1" w:tplc="04260019" w:tentative="1">
      <w:start w:val="1"/>
      <w:numFmt w:val="lowerLetter"/>
      <w:lvlText w:val="%2."/>
      <w:lvlJc w:val="left"/>
      <w:pPr>
        <w:ind w:left="928" w:hanging="360"/>
      </w:pPr>
    </w:lvl>
    <w:lvl w:ilvl="2" w:tplc="0426001B" w:tentative="1">
      <w:start w:val="1"/>
      <w:numFmt w:val="lowerRoman"/>
      <w:lvlText w:val="%3."/>
      <w:lvlJc w:val="right"/>
      <w:pPr>
        <w:ind w:left="1648" w:hanging="180"/>
      </w:pPr>
    </w:lvl>
    <w:lvl w:ilvl="3" w:tplc="0426000F" w:tentative="1">
      <w:start w:val="1"/>
      <w:numFmt w:val="decimal"/>
      <w:lvlText w:val="%4."/>
      <w:lvlJc w:val="left"/>
      <w:pPr>
        <w:ind w:left="2368" w:hanging="360"/>
      </w:pPr>
    </w:lvl>
    <w:lvl w:ilvl="4" w:tplc="04260019" w:tentative="1">
      <w:start w:val="1"/>
      <w:numFmt w:val="lowerLetter"/>
      <w:lvlText w:val="%5."/>
      <w:lvlJc w:val="left"/>
      <w:pPr>
        <w:ind w:left="3088" w:hanging="360"/>
      </w:pPr>
    </w:lvl>
    <w:lvl w:ilvl="5" w:tplc="0426001B" w:tentative="1">
      <w:start w:val="1"/>
      <w:numFmt w:val="lowerRoman"/>
      <w:lvlText w:val="%6."/>
      <w:lvlJc w:val="right"/>
      <w:pPr>
        <w:ind w:left="3808" w:hanging="180"/>
      </w:pPr>
    </w:lvl>
    <w:lvl w:ilvl="6" w:tplc="0426000F" w:tentative="1">
      <w:start w:val="1"/>
      <w:numFmt w:val="decimal"/>
      <w:lvlText w:val="%7."/>
      <w:lvlJc w:val="left"/>
      <w:pPr>
        <w:ind w:left="4528" w:hanging="360"/>
      </w:pPr>
    </w:lvl>
    <w:lvl w:ilvl="7" w:tplc="04260019" w:tentative="1">
      <w:start w:val="1"/>
      <w:numFmt w:val="lowerLetter"/>
      <w:lvlText w:val="%8."/>
      <w:lvlJc w:val="left"/>
      <w:pPr>
        <w:ind w:left="5248" w:hanging="360"/>
      </w:pPr>
    </w:lvl>
    <w:lvl w:ilvl="8" w:tplc="0426001B" w:tentative="1">
      <w:start w:val="1"/>
      <w:numFmt w:val="lowerRoman"/>
      <w:lvlText w:val="%9."/>
      <w:lvlJc w:val="right"/>
      <w:pPr>
        <w:ind w:left="5968" w:hanging="180"/>
      </w:pPr>
    </w:lvl>
  </w:abstractNum>
  <w:abstractNum w:abstractNumId="23" w15:restartNumberingAfterBreak="0">
    <w:nsid w:val="7DB43CB0"/>
    <w:multiLevelType w:val="hybridMultilevel"/>
    <w:tmpl w:val="A44211C6"/>
    <w:lvl w:ilvl="0" w:tplc="B7B8B87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C955B9"/>
    <w:multiLevelType w:val="hybridMultilevel"/>
    <w:tmpl w:val="851C126A"/>
    <w:lvl w:ilvl="0" w:tplc="8B3AC058">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8"/>
  </w:num>
  <w:num w:numId="4">
    <w:abstractNumId w:val="3"/>
  </w:num>
  <w:num w:numId="5">
    <w:abstractNumId w:val="16"/>
  </w:num>
  <w:num w:numId="6">
    <w:abstractNumId w:val="9"/>
  </w:num>
  <w:num w:numId="7">
    <w:abstractNumId w:val="13"/>
  </w:num>
  <w:num w:numId="8">
    <w:abstractNumId w:val="0"/>
  </w:num>
  <w:num w:numId="9">
    <w:abstractNumId w:val="19"/>
  </w:num>
  <w:num w:numId="10">
    <w:abstractNumId w:val="20"/>
  </w:num>
  <w:num w:numId="11">
    <w:abstractNumId w:val="18"/>
  </w:num>
  <w:num w:numId="12">
    <w:abstractNumId w:val="6"/>
  </w:num>
  <w:num w:numId="13">
    <w:abstractNumId w:val="15"/>
  </w:num>
  <w:num w:numId="14">
    <w:abstractNumId w:val="22"/>
  </w:num>
  <w:num w:numId="15">
    <w:abstractNumId w:val="10"/>
  </w:num>
  <w:num w:numId="16">
    <w:abstractNumId w:val="5"/>
  </w:num>
  <w:num w:numId="17">
    <w:abstractNumId w:val="1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4"/>
  </w:num>
  <w:num w:numId="22">
    <w:abstractNumId w:val="1"/>
  </w:num>
  <w:num w:numId="23">
    <w:abstractNumId w:val="17"/>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EF"/>
    <w:rsid w:val="00003222"/>
    <w:rsid w:val="00042870"/>
    <w:rsid w:val="00043CC6"/>
    <w:rsid w:val="0004472A"/>
    <w:rsid w:val="00045CE4"/>
    <w:rsid w:val="00053002"/>
    <w:rsid w:val="00062504"/>
    <w:rsid w:val="00066667"/>
    <w:rsid w:val="000775DF"/>
    <w:rsid w:val="0009550A"/>
    <w:rsid w:val="000A2BE3"/>
    <w:rsid w:val="000A6159"/>
    <w:rsid w:val="000B3B2F"/>
    <w:rsid w:val="000B6598"/>
    <w:rsid w:val="000C4F8B"/>
    <w:rsid w:val="000C6309"/>
    <w:rsid w:val="000D27D5"/>
    <w:rsid w:val="000D61B9"/>
    <w:rsid w:val="000D7DBB"/>
    <w:rsid w:val="000E0F86"/>
    <w:rsid w:val="000E3DB2"/>
    <w:rsid w:val="000E5B77"/>
    <w:rsid w:val="000F641F"/>
    <w:rsid w:val="00101344"/>
    <w:rsid w:val="00114FFA"/>
    <w:rsid w:val="001232F0"/>
    <w:rsid w:val="00124AA8"/>
    <w:rsid w:val="00134BF3"/>
    <w:rsid w:val="00137EC6"/>
    <w:rsid w:val="00163773"/>
    <w:rsid w:val="00180F92"/>
    <w:rsid w:val="00186610"/>
    <w:rsid w:val="00195D85"/>
    <w:rsid w:val="001967AD"/>
    <w:rsid w:val="00196FD0"/>
    <w:rsid w:val="001A0975"/>
    <w:rsid w:val="001A19A9"/>
    <w:rsid w:val="001C043D"/>
    <w:rsid w:val="001C5562"/>
    <w:rsid w:val="001C5984"/>
    <w:rsid w:val="001D0619"/>
    <w:rsid w:val="001D4D18"/>
    <w:rsid w:val="001D5AD3"/>
    <w:rsid w:val="001E0DCD"/>
    <w:rsid w:val="001E1140"/>
    <w:rsid w:val="001F3ADF"/>
    <w:rsid w:val="001F5141"/>
    <w:rsid w:val="00202940"/>
    <w:rsid w:val="00215F89"/>
    <w:rsid w:val="002207B5"/>
    <w:rsid w:val="00223760"/>
    <w:rsid w:val="002325D9"/>
    <w:rsid w:val="00236A60"/>
    <w:rsid w:val="00242284"/>
    <w:rsid w:val="00257E67"/>
    <w:rsid w:val="00262EF4"/>
    <w:rsid w:val="00264293"/>
    <w:rsid w:val="002677E5"/>
    <w:rsid w:val="00267B40"/>
    <w:rsid w:val="00290489"/>
    <w:rsid w:val="002941D7"/>
    <w:rsid w:val="002B06DB"/>
    <w:rsid w:val="002B5D49"/>
    <w:rsid w:val="002B668F"/>
    <w:rsid w:val="002B71B1"/>
    <w:rsid w:val="002C0DF7"/>
    <w:rsid w:val="002D4CF9"/>
    <w:rsid w:val="002E278B"/>
    <w:rsid w:val="002E2AAD"/>
    <w:rsid w:val="002E7BCB"/>
    <w:rsid w:val="00306208"/>
    <w:rsid w:val="003126BB"/>
    <w:rsid w:val="00322B1A"/>
    <w:rsid w:val="0032351F"/>
    <w:rsid w:val="0032450B"/>
    <w:rsid w:val="00324D83"/>
    <w:rsid w:val="003322B0"/>
    <w:rsid w:val="00336AD9"/>
    <w:rsid w:val="003505C7"/>
    <w:rsid w:val="003527AB"/>
    <w:rsid w:val="00361C0B"/>
    <w:rsid w:val="00364544"/>
    <w:rsid w:val="00367E20"/>
    <w:rsid w:val="00370F58"/>
    <w:rsid w:val="00376706"/>
    <w:rsid w:val="00380346"/>
    <w:rsid w:val="00385EDB"/>
    <w:rsid w:val="003906EA"/>
    <w:rsid w:val="00391F5B"/>
    <w:rsid w:val="0039787E"/>
    <w:rsid w:val="003C1A4B"/>
    <w:rsid w:val="003C1F14"/>
    <w:rsid w:val="003D0CA2"/>
    <w:rsid w:val="003D1541"/>
    <w:rsid w:val="004127E9"/>
    <w:rsid w:val="00420E3A"/>
    <w:rsid w:val="00423D7F"/>
    <w:rsid w:val="00434494"/>
    <w:rsid w:val="004442DF"/>
    <w:rsid w:val="00444FB2"/>
    <w:rsid w:val="00463D29"/>
    <w:rsid w:val="00464867"/>
    <w:rsid w:val="00474C7E"/>
    <w:rsid w:val="00481F4A"/>
    <w:rsid w:val="00484838"/>
    <w:rsid w:val="004951A1"/>
    <w:rsid w:val="004B2AEA"/>
    <w:rsid w:val="004C5491"/>
    <w:rsid w:val="004D24C1"/>
    <w:rsid w:val="004D51DB"/>
    <w:rsid w:val="004D7514"/>
    <w:rsid w:val="004D790D"/>
    <w:rsid w:val="004E5C21"/>
    <w:rsid w:val="004E7B6A"/>
    <w:rsid w:val="004F09FE"/>
    <w:rsid w:val="00507189"/>
    <w:rsid w:val="005104A5"/>
    <w:rsid w:val="00511A2D"/>
    <w:rsid w:val="00511EB7"/>
    <w:rsid w:val="00512C84"/>
    <w:rsid w:val="0051442F"/>
    <w:rsid w:val="0051496C"/>
    <w:rsid w:val="00514DB2"/>
    <w:rsid w:val="005174EC"/>
    <w:rsid w:val="0052588A"/>
    <w:rsid w:val="00540FCF"/>
    <w:rsid w:val="0054330F"/>
    <w:rsid w:val="0057485B"/>
    <w:rsid w:val="005A5436"/>
    <w:rsid w:val="005A6A0A"/>
    <w:rsid w:val="005B05DD"/>
    <w:rsid w:val="005B1DD5"/>
    <w:rsid w:val="005B2DB2"/>
    <w:rsid w:val="005C3807"/>
    <w:rsid w:val="005D389E"/>
    <w:rsid w:val="005E56E0"/>
    <w:rsid w:val="005F3E30"/>
    <w:rsid w:val="00600D0E"/>
    <w:rsid w:val="0060155A"/>
    <w:rsid w:val="00604684"/>
    <w:rsid w:val="00607B09"/>
    <w:rsid w:val="0061227B"/>
    <w:rsid w:val="0062158E"/>
    <w:rsid w:val="006344BA"/>
    <w:rsid w:val="0064189B"/>
    <w:rsid w:val="006525C4"/>
    <w:rsid w:val="00660EA7"/>
    <w:rsid w:val="00674B70"/>
    <w:rsid w:val="00675453"/>
    <w:rsid w:val="00683F99"/>
    <w:rsid w:val="00687754"/>
    <w:rsid w:val="00695C50"/>
    <w:rsid w:val="006B2AFD"/>
    <w:rsid w:val="006B4878"/>
    <w:rsid w:val="006C2422"/>
    <w:rsid w:val="006C5E14"/>
    <w:rsid w:val="006D2186"/>
    <w:rsid w:val="006E3524"/>
    <w:rsid w:val="006F390E"/>
    <w:rsid w:val="00713A79"/>
    <w:rsid w:val="00714499"/>
    <w:rsid w:val="0072087D"/>
    <w:rsid w:val="0072329B"/>
    <w:rsid w:val="00730817"/>
    <w:rsid w:val="00736B15"/>
    <w:rsid w:val="007375DB"/>
    <w:rsid w:val="00742E32"/>
    <w:rsid w:val="0075349B"/>
    <w:rsid w:val="0076164D"/>
    <w:rsid w:val="00780E1F"/>
    <w:rsid w:val="00791E4D"/>
    <w:rsid w:val="0079277E"/>
    <w:rsid w:val="00794543"/>
    <w:rsid w:val="007A4D7D"/>
    <w:rsid w:val="007B04AF"/>
    <w:rsid w:val="007B0C52"/>
    <w:rsid w:val="007B20C9"/>
    <w:rsid w:val="007C4247"/>
    <w:rsid w:val="007C4AE9"/>
    <w:rsid w:val="007D2EAC"/>
    <w:rsid w:val="007D3838"/>
    <w:rsid w:val="00801A10"/>
    <w:rsid w:val="008066F4"/>
    <w:rsid w:val="00807CDA"/>
    <w:rsid w:val="00824241"/>
    <w:rsid w:val="008263EE"/>
    <w:rsid w:val="00830B18"/>
    <w:rsid w:val="0083131A"/>
    <w:rsid w:val="008337FD"/>
    <w:rsid w:val="008349E0"/>
    <w:rsid w:val="008420DC"/>
    <w:rsid w:val="008441EA"/>
    <w:rsid w:val="00850EE4"/>
    <w:rsid w:val="0086643B"/>
    <w:rsid w:val="00876A73"/>
    <w:rsid w:val="008C7E1D"/>
    <w:rsid w:val="008D04E7"/>
    <w:rsid w:val="008D16E9"/>
    <w:rsid w:val="008D1EB4"/>
    <w:rsid w:val="008E1FE5"/>
    <w:rsid w:val="008F2FC0"/>
    <w:rsid w:val="008F7442"/>
    <w:rsid w:val="008F76F4"/>
    <w:rsid w:val="0091120D"/>
    <w:rsid w:val="009217AB"/>
    <w:rsid w:val="00934553"/>
    <w:rsid w:val="00940187"/>
    <w:rsid w:val="00941A52"/>
    <w:rsid w:val="009526B0"/>
    <w:rsid w:val="00965758"/>
    <w:rsid w:val="00971620"/>
    <w:rsid w:val="00992DBB"/>
    <w:rsid w:val="009A285E"/>
    <w:rsid w:val="009B3B40"/>
    <w:rsid w:val="009C0117"/>
    <w:rsid w:val="009D78F1"/>
    <w:rsid w:val="009E00F3"/>
    <w:rsid w:val="009E219D"/>
    <w:rsid w:val="009E5921"/>
    <w:rsid w:val="009F77C4"/>
    <w:rsid w:val="00A01D05"/>
    <w:rsid w:val="00A12D1B"/>
    <w:rsid w:val="00A150C7"/>
    <w:rsid w:val="00A26A1F"/>
    <w:rsid w:val="00A31648"/>
    <w:rsid w:val="00A52420"/>
    <w:rsid w:val="00A615DF"/>
    <w:rsid w:val="00A71B14"/>
    <w:rsid w:val="00A815F8"/>
    <w:rsid w:val="00A93844"/>
    <w:rsid w:val="00AA2DFC"/>
    <w:rsid w:val="00AB1222"/>
    <w:rsid w:val="00AC73D9"/>
    <w:rsid w:val="00AD60C0"/>
    <w:rsid w:val="00AD7DBC"/>
    <w:rsid w:val="00AE47D9"/>
    <w:rsid w:val="00AE73EF"/>
    <w:rsid w:val="00AF32C7"/>
    <w:rsid w:val="00B0048A"/>
    <w:rsid w:val="00B03B6D"/>
    <w:rsid w:val="00B10802"/>
    <w:rsid w:val="00B11433"/>
    <w:rsid w:val="00B13858"/>
    <w:rsid w:val="00B138B0"/>
    <w:rsid w:val="00B1433F"/>
    <w:rsid w:val="00B2290B"/>
    <w:rsid w:val="00B26616"/>
    <w:rsid w:val="00B3018E"/>
    <w:rsid w:val="00B37D7C"/>
    <w:rsid w:val="00B51849"/>
    <w:rsid w:val="00B56B94"/>
    <w:rsid w:val="00B60805"/>
    <w:rsid w:val="00B7470C"/>
    <w:rsid w:val="00B747D9"/>
    <w:rsid w:val="00B766D4"/>
    <w:rsid w:val="00B802B3"/>
    <w:rsid w:val="00B950CA"/>
    <w:rsid w:val="00BB7D1C"/>
    <w:rsid w:val="00BC791F"/>
    <w:rsid w:val="00BE0C68"/>
    <w:rsid w:val="00BE536D"/>
    <w:rsid w:val="00BE6C5A"/>
    <w:rsid w:val="00BF3AD3"/>
    <w:rsid w:val="00C21A27"/>
    <w:rsid w:val="00C25820"/>
    <w:rsid w:val="00C25A89"/>
    <w:rsid w:val="00C31EF2"/>
    <w:rsid w:val="00C369D0"/>
    <w:rsid w:val="00C43273"/>
    <w:rsid w:val="00C45F28"/>
    <w:rsid w:val="00C54E8B"/>
    <w:rsid w:val="00C67FD2"/>
    <w:rsid w:val="00C72CD3"/>
    <w:rsid w:val="00C75C07"/>
    <w:rsid w:val="00C770CA"/>
    <w:rsid w:val="00C80DF4"/>
    <w:rsid w:val="00C909FD"/>
    <w:rsid w:val="00C91C41"/>
    <w:rsid w:val="00C925A9"/>
    <w:rsid w:val="00C93635"/>
    <w:rsid w:val="00CC790D"/>
    <w:rsid w:val="00CE3753"/>
    <w:rsid w:val="00CF6C0B"/>
    <w:rsid w:val="00D04BF4"/>
    <w:rsid w:val="00D12E50"/>
    <w:rsid w:val="00D15E08"/>
    <w:rsid w:val="00D17112"/>
    <w:rsid w:val="00D206CD"/>
    <w:rsid w:val="00D26F70"/>
    <w:rsid w:val="00D439EB"/>
    <w:rsid w:val="00D47F27"/>
    <w:rsid w:val="00D529D0"/>
    <w:rsid w:val="00D56F2A"/>
    <w:rsid w:val="00D61725"/>
    <w:rsid w:val="00D64F64"/>
    <w:rsid w:val="00D675A4"/>
    <w:rsid w:val="00D74037"/>
    <w:rsid w:val="00D77241"/>
    <w:rsid w:val="00D77625"/>
    <w:rsid w:val="00D80093"/>
    <w:rsid w:val="00D95272"/>
    <w:rsid w:val="00DA43A7"/>
    <w:rsid w:val="00DA67CF"/>
    <w:rsid w:val="00DA682D"/>
    <w:rsid w:val="00DB5BE7"/>
    <w:rsid w:val="00DB6817"/>
    <w:rsid w:val="00DC63BE"/>
    <w:rsid w:val="00DC6CBA"/>
    <w:rsid w:val="00DF6369"/>
    <w:rsid w:val="00DF7186"/>
    <w:rsid w:val="00E045F5"/>
    <w:rsid w:val="00E21241"/>
    <w:rsid w:val="00E22183"/>
    <w:rsid w:val="00E3326A"/>
    <w:rsid w:val="00E363FB"/>
    <w:rsid w:val="00E413AA"/>
    <w:rsid w:val="00E473DD"/>
    <w:rsid w:val="00E50946"/>
    <w:rsid w:val="00E63F86"/>
    <w:rsid w:val="00E659C2"/>
    <w:rsid w:val="00E659F2"/>
    <w:rsid w:val="00E87246"/>
    <w:rsid w:val="00EA377D"/>
    <w:rsid w:val="00EB2305"/>
    <w:rsid w:val="00EC1BA6"/>
    <w:rsid w:val="00EC38EC"/>
    <w:rsid w:val="00ED12CD"/>
    <w:rsid w:val="00ED2956"/>
    <w:rsid w:val="00ED316E"/>
    <w:rsid w:val="00EE5BD9"/>
    <w:rsid w:val="00EF4207"/>
    <w:rsid w:val="00F1437C"/>
    <w:rsid w:val="00F164FE"/>
    <w:rsid w:val="00F22BD0"/>
    <w:rsid w:val="00F22D26"/>
    <w:rsid w:val="00F23061"/>
    <w:rsid w:val="00F2591E"/>
    <w:rsid w:val="00F2709B"/>
    <w:rsid w:val="00F27AC1"/>
    <w:rsid w:val="00F41008"/>
    <w:rsid w:val="00F41D5F"/>
    <w:rsid w:val="00F464D3"/>
    <w:rsid w:val="00F50CD5"/>
    <w:rsid w:val="00F51E9E"/>
    <w:rsid w:val="00F753A9"/>
    <w:rsid w:val="00F84ABE"/>
    <w:rsid w:val="00F90CA0"/>
    <w:rsid w:val="00FB0429"/>
    <w:rsid w:val="00FB4867"/>
    <w:rsid w:val="00FC3129"/>
    <w:rsid w:val="00FD05A5"/>
    <w:rsid w:val="00FE0A05"/>
    <w:rsid w:val="00FE3E9E"/>
    <w:rsid w:val="00FE7399"/>
    <w:rsid w:val="00FF2929"/>
    <w:rsid w:val="00FF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D670"/>
  <w15:chartTrackingRefBased/>
  <w15:docId w15:val="{B8F61CA5-CF2E-498B-9739-D28D9C15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3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3EF"/>
  </w:style>
  <w:style w:type="paragraph" w:styleId="Header">
    <w:name w:val="header"/>
    <w:basedOn w:val="Normal"/>
    <w:link w:val="HeaderChar"/>
    <w:uiPriority w:val="99"/>
    <w:unhideWhenUsed/>
    <w:rsid w:val="00AE73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3EF"/>
  </w:style>
  <w:style w:type="paragraph" w:styleId="ListParagraph">
    <w:name w:val="List Paragraph"/>
    <w:basedOn w:val="Normal"/>
    <w:uiPriority w:val="34"/>
    <w:qFormat/>
    <w:rsid w:val="003D1541"/>
    <w:pPr>
      <w:ind w:left="720"/>
      <w:contextualSpacing/>
    </w:pPr>
  </w:style>
  <w:style w:type="paragraph" w:customStyle="1" w:styleId="Default">
    <w:name w:val="Default"/>
    <w:rsid w:val="00B747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134BF3"/>
    <w:rPr>
      <w:sz w:val="16"/>
      <w:szCs w:val="16"/>
    </w:rPr>
  </w:style>
  <w:style w:type="paragraph" w:styleId="CommentText">
    <w:name w:val="annotation text"/>
    <w:basedOn w:val="Normal"/>
    <w:link w:val="CommentTextChar"/>
    <w:uiPriority w:val="99"/>
    <w:semiHidden/>
    <w:unhideWhenUsed/>
    <w:rsid w:val="00134BF3"/>
    <w:pPr>
      <w:spacing w:line="240" w:lineRule="auto"/>
    </w:pPr>
    <w:rPr>
      <w:sz w:val="20"/>
      <w:szCs w:val="20"/>
    </w:rPr>
  </w:style>
  <w:style w:type="character" w:customStyle="1" w:styleId="CommentTextChar">
    <w:name w:val="Comment Text Char"/>
    <w:basedOn w:val="DefaultParagraphFont"/>
    <w:link w:val="CommentText"/>
    <w:uiPriority w:val="99"/>
    <w:semiHidden/>
    <w:rsid w:val="00134BF3"/>
    <w:rPr>
      <w:sz w:val="20"/>
      <w:szCs w:val="20"/>
    </w:rPr>
  </w:style>
  <w:style w:type="paragraph" w:styleId="CommentSubject">
    <w:name w:val="annotation subject"/>
    <w:basedOn w:val="CommentText"/>
    <w:next w:val="CommentText"/>
    <w:link w:val="CommentSubjectChar"/>
    <w:uiPriority w:val="99"/>
    <w:semiHidden/>
    <w:unhideWhenUsed/>
    <w:rsid w:val="00134BF3"/>
    <w:rPr>
      <w:b/>
      <w:bCs/>
    </w:rPr>
  </w:style>
  <w:style w:type="character" w:customStyle="1" w:styleId="CommentSubjectChar">
    <w:name w:val="Comment Subject Char"/>
    <w:basedOn w:val="CommentTextChar"/>
    <w:link w:val="CommentSubject"/>
    <w:uiPriority w:val="99"/>
    <w:semiHidden/>
    <w:rsid w:val="00134BF3"/>
    <w:rPr>
      <w:b/>
      <w:bCs/>
      <w:sz w:val="20"/>
      <w:szCs w:val="20"/>
    </w:rPr>
  </w:style>
  <w:style w:type="paragraph" w:styleId="BalloonText">
    <w:name w:val="Balloon Text"/>
    <w:basedOn w:val="Normal"/>
    <w:link w:val="BalloonTextChar"/>
    <w:uiPriority w:val="99"/>
    <w:semiHidden/>
    <w:unhideWhenUsed/>
    <w:rsid w:val="0013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F3"/>
    <w:rPr>
      <w:rFonts w:ascii="Segoe UI" w:hAnsi="Segoe UI" w:cs="Segoe UI"/>
      <w:sz w:val="18"/>
      <w:szCs w:val="18"/>
    </w:rPr>
  </w:style>
  <w:style w:type="character" w:styleId="Hyperlink">
    <w:name w:val="Hyperlink"/>
    <w:basedOn w:val="DefaultParagraphFont"/>
    <w:uiPriority w:val="99"/>
    <w:unhideWhenUsed/>
    <w:rsid w:val="004D51DB"/>
    <w:rPr>
      <w:color w:val="0000FF"/>
      <w:u w:val="single"/>
    </w:rPr>
  </w:style>
  <w:style w:type="paragraph" w:styleId="FootnoteText">
    <w:name w:val="footnote text"/>
    <w:basedOn w:val="Normal"/>
    <w:link w:val="FootnoteTextChar"/>
    <w:uiPriority w:val="99"/>
    <w:semiHidden/>
    <w:rsid w:val="00137EC6"/>
    <w:pPr>
      <w:spacing w:after="0" w:line="240" w:lineRule="auto"/>
      <w:jc w:val="both"/>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uiPriority w:val="99"/>
    <w:semiHidden/>
    <w:rsid w:val="00137EC6"/>
    <w:rPr>
      <w:rFonts w:ascii="Times New Roman" w:eastAsia="Times New Roman" w:hAnsi="Times New Roman" w:cs="Times New Roman"/>
      <w:sz w:val="20"/>
      <w:szCs w:val="20"/>
      <w:lang w:val="lv-LV"/>
    </w:rPr>
  </w:style>
  <w:style w:type="character" w:styleId="FootnoteReference">
    <w:name w:val="footnote reference"/>
    <w:semiHidden/>
    <w:rsid w:val="00137EC6"/>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79316">
      <w:bodyDiv w:val="1"/>
      <w:marLeft w:val="0"/>
      <w:marRight w:val="0"/>
      <w:marTop w:val="0"/>
      <w:marBottom w:val="0"/>
      <w:divBdr>
        <w:top w:val="none" w:sz="0" w:space="0" w:color="auto"/>
        <w:left w:val="none" w:sz="0" w:space="0" w:color="auto"/>
        <w:bottom w:val="none" w:sz="0" w:space="0" w:color="auto"/>
        <w:right w:val="none" w:sz="0" w:space="0" w:color="auto"/>
      </w:divBdr>
    </w:div>
    <w:div w:id="1105881983">
      <w:bodyDiv w:val="1"/>
      <w:marLeft w:val="0"/>
      <w:marRight w:val="0"/>
      <w:marTop w:val="0"/>
      <w:marBottom w:val="0"/>
      <w:divBdr>
        <w:top w:val="none" w:sz="0" w:space="0" w:color="auto"/>
        <w:left w:val="none" w:sz="0" w:space="0" w:color="auto"/>
        <w:bottom w:val="none" w:sz="0" w:space="0" w:color="auto"/>
        <w:right w:val="none" w:sz="0" w:space="0" w:color="auto"/>
      </w:divBdr>
      <w:divsChild>
        <w:div w:id="1100490644">
          <w:marLeft w:val="0"/>
          <w:marRight w:val="0"/>
          <w:marTop w:val="480"/>
          <w:marBottom w:val="240"/>
          <w:divBdr>
            <w:top w:val="none" w:sz="0" w:space="0" w:color="auto"/>
            <w:left w:val="none" w:sz="0" w:space="0" w:color="auto"/>
            <w:bottom w:val="none" w:sz="0" w:space="0" w:color="auto"/>
            <w:right w:val="none" w:sz="0" w:space="0" w:color="auto"/>
          </w:divBdr>
        </w:div>
        <w:div w:id="2063164334">
          <w:marLeft w:val="0"/>
          <w:marRight w:val="0"/>
          <w:marTop w:val="0"/>
          <w:marBottom w:val="567"/>
          <w:divBdr>
            <w:top w:val="none" w:sz="0" w:space="0" w:color="auto"/>
            <w:left w:val="none" w:sz="0" w:space="0" w:color="auto"/>
            <w:bottom w:val="none" w:sz="0" w:space="0" w:color="auto"/>
            <w:right w:val="none" w:sz="0" w:space="0" w:color="auto"/>
          </w:divBdr>
        </w:div>
      </w:divsChild>
    </w:div>
    <w:div w:id="1215199034">
      <w:bodyDiv w:val="1"/>
      <w:marLeft w:val="0"/>
      <w:marRight w:val="0"/>
      <w:marTop w:val="0"/>
      <w:marBottom w:val="0"/>
      <w:divBdr>
        <w:top w:val="none" w:sz="0" w:space="0" w:color="auto"/>
        <w:left w:val="none" w:sz="0" w:space="0" w:color="auto"/>
        <w:bottom w:val="none" w:sz="0" w:space="0" w:color="auto"/>
        <w:right w:val="none" w:sz="0" w:space="0" w:color="auto"/>
      </w:divBdr>
    </w:div>
    <w:div w:id="1247421001">
      <w:bodyDiv w:val="1"/>
      <w:marLeft w:val="0"/>
      <w:marRight w:val="0"/>
      <w:marTop w:val="0"/>
      <w:marBottom w:val="0"/>
      <w:divBdr>
        <w:top w:val="none" w:sz="0" w:space="0" w:color="auto"/>
        <w:left w:val="none" w:sz="0" w:space="0" w:color="auto"/>
        <w:bottom w:val="none" w:sz="0" w:space="0" w:color="auto"/>
        <w:right w:val="none" w:sz="0" w:space="0" w:color="auto"/>
      </w:divBdr>
    </w:div>
    <w:div w:id="1848403565">
      <w:bodyDiv w:val="1"/>
      <w:marLeft w:val="0"/>
      <w:marRight w:val="0"/>
      <w:marTop w:val="0"/>
      <w:marBottom w:val="0"/>
      <w:divBdr>
        <w:top w:val="none" w:sz="0" w:space="0" w:color="auto"/>
        <w:left w:val="none" w:sz="0" w:space="0" w:color="auto"/>
        <w:bottom w:val="none" w:sz="0" w:space="0" w:color="auto"/>
        <w:right w:val="none" w:sz="0" w:space="0" w:color="auto"/>
      </w:divBdr>
    </w:div>
    <w:div w:id="1903252474">
      <w:bodyDiv w:val="1"/>
      <w:marLeft w:val="0"/>
      <w:marRight w:val="0"/>
      <w:marTop w:val="0"/>
      <w:marBottom w:val="0"/>
      <w:divBdr>
        <w:top w:val="none" w:sz="0" w:space="0" w:color="auto"/>
        <w:left w:val="none" w:sz="0" w:space="0" w:color="auto"/>
        <w:bottom w:val="none" w:sz="0" w:space="0" w:color="auto"/>
        <w:right w:val="none" w:sz="0" w:space="0" w:color="auto"/>
      </w:divBdr>
      <w:divsChild>
        <w:div w:id="1060785753">
          <w:marLeft w:val="0"/>
          <w:marRight w:val="0"/>
          <w:marTop w:val="480"/>
          <w:marBottom w:val="240"/>
          <w:divBdr>
            <w:top w:val="none" w:sz="0" w:space="0" w:color="auto"/>
            <w:left w:val="none" w:sz="0" w:space="0" w:color="auto"/>
            <w:bottom w:val="none" w:sz="0" w:space="0" w:color="auto"/>
            <w:right w:val="none" w:sz="0" w:space="0" w:color="auto"/>
          </w:divBdr>
        </w:div>
        <w:div w:id="1249844436">
          <w:marLeft w:val="0"/>
          <w:marRight w:val="0"/>
          <w:marTop w:val="0"/>
          <w:marBottom w:val="567"/>
          <w:divBdr>
            <w:top w:val="none" w:sz="0" w:space="0" w:color="auto"/>
            <w:left w:val="none" w:sz="0" w:space="0" w:color="auto"/>
            <w:bottom w:val="none" w:sz="0" w:space="0" w:color="auto"/>
            <w:right w:val="none" w:sz="0" w:space="0" w:color="auto"/>
          </w:divBdr>
        </w:div>
      </w:divsChild>
    </w:div>
    <w:div w:id="213281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61C9D-139D-4D50-9BE5-78EEEFCF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7</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Izglītības un zinātnes ministrija</Company>
  <LinksUpToDate>false</LinksUpToDate>
  <CharactersWithSpaces>11385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Kristīne Grundmane</dc:creator>
  <cp:keywords>Izziņa_8322</cp:keywords>
  <dc:description/>
  <cp:lastModifiedBy>Zanda Rudene</cp:lastModifiedBy>
  <cp:revision>48</cp:revision>
  <dcterms:created xsi:type="dcterms:W3CDTF">2020-01-14T12:24:00Z</dcterms:created>
  <dcterms:modified xsi:type="dcterms:W3CDTF">2020-02-24T12:39:00Z</dcterms:modified>
</cp:coreProperties>
</file>