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5D69" w14:textId="77777777" w:rsidR="00860B45" w:rsidRDefault="00860B45" w:rsidP="00860B45">
      <w:pPr>
        <w:jc w:val="center"/>
        <w:rPr>
          <w:b/>
          <w:sz w:val="28"/>
          <w:szCs w:val="28"/>
        </w:rPr>
      </w:pPr>
    </w:p>
    <w:p w14:paraId="339A5458" w14:textId="77777777" w:rsidR="00860B45" w:rsidRDefault="00860B45" w:rsidP="00860B45">
      <w:pPr>
        <w:jc w:val="center"/>
        <w:rPr>
          <w:b/>
          <w:sz w:val="28"/>
          <w:szCs w:val="28"/>
        </w:rPr>
      </w:pPr>
    </w:p>
    <w:p w14:paraId="42A28D95" w14:textId="77777777" w:rsidR="00860B45" w:rsidRDefault="00860B45" w:rsidP="00860B45">
      <w:pPr>
        <w:jc w:val="center"/>
        <w:rPr>
          <w:b/>
          <w:sz w:val="28"/>
          <w:szCs w:val="28"/>
        </w:rPr>
      </w:pPr>
    </w:p>
    <w:p w14:paraId="711E7042" w14:textId="77777777" w:rsidR="00860B45" w:rsidRDefault="00860B45" w:rsidP="00860B45">
      <w:pPr>
        <w:jc w:val="center"/>
        <w:rPr>
          <w:b/>
          <w:sz w:val="28"/>
          <w:szCs w:val="28"/>
        </w:rPr>
      </w:pPr>
    </w:p>
    <w:p w14:paraId="37C579BB" w14:textId="77777777" w:rsidR="00860B45" w:rsidRDefault="00860B45" w:rsidP="00860B45">
      <w:pPr>
        <w:jc w:val="center"/>
        <w:rPr>
          <w:b/>
          <w:sz w:val="28"/>
          <w:szCs w:val="28"/>
        </w:rPr>
      </w:pPr>
    </w:p>
    <w:p w14:paraId="2DDBC830" w14:textId="77777777" w:rsidR="00860B45" w:rsidRDefault="00860B45" w:rsidP="00860B45">
      <w:pPr>
        <w:jc w:val="center"/>
        <w:rPr>
          <w:b/>
          <w:sz w:val="28"/>
          <w:szCs w:val="28"/>
        </w:rPr>
      </w:pPr>
    </w:p>
    <w:p w14:paraId="639B9754" w14:textId="77777777" w:rsidR="00860B45" w:rsidRDefault="00860B45" w:rsidP="00860B45">
      <w:pPr>
        <w:jc w:val="center"/>
        <w:rPr>
          <w:b/>
          <w:sz w:val="28"/>
          <w:szCs w:val="28"/>
        </w:rPr>
      </w:pPr>
    </w:p>
    <w:p w14:paraId="63094CB4" w14:textId="77777777" w:rsidR="00860B45" w:rsidRDefault="00860B45" w:rsidP="00860B45">
      <w:pPr>
        <w:jc w:val="center"/>
        <w:rPr>
          <w:b/>
          <w:sz w:val="36"/>
          <w:szCs w:val="36"/>
        </w:rPr>
      </w:pPr>
      <w:r>
        <w:rPr>
          <w:b/>
          <w:sz w:val="36"/>
          <w:szCs w:val="36"/>
        </w:rPr>
        <w:t>INFORMATĪVAIS ZIŅOJUMS</w:t>
      </w:r>
    </w:p>
    <w:p w14:paraId="76D07166" w14:textId="77777777" w:rsidR="00860B45" w:rsidRDefault="00860B45" w:rsidP="00860B45">
      <w:pPr>
        <w:jc w:val="center"/>
        <w:rPr>
          <w:b/>
          <w:sz w:val="36"/>
          <w:szCs w:val="36"/>
        </w:rPr>
      </w:pPr>
      <w:r>
        <w:rPr>
          <w:b/>
          <w:sz w:val="36"/>
          <w:szCs w:val="36"/>
        </w:rPr>
        <w:t xml:space="preserve"> </w:t>
      </w:r>
    </w:p>
    <w:p w14:paraId="359B585B" w14:textId="77777777" w:rsidR="00860B45" w:rsidRDefault="00860B45" w:rsidP="00860B45">
      <w:pPr>
        <w:jc w:val="center"/>
        <w:rPr>
          <w:rFonts w:ascii="Times New Roman Bold" w:hAnsi="Times New Roman Bold"/>
          <w:b/>
          <w:sz w:val="36"/>
          <w:szCs w:val="36"/>
        </w:rPr>
      </w:pPr>
      <w:r w:rsidRPr="00D74640">
        <w:rPr>
          <w:rFonts w:ascii="Times New Roman Bold" w:hAnsi="Times New Roman Bold"/>
          <w:b/>
          <w:sz w:val="36"/>
          <w:szCs w:val="36"/>
        </w:rPr>
        <w:t xml:space="preserve">Par </w:t>
      </w:r>
      <w:r>
        <w:rPr>
          <w:rFonts w:ascii="Times New Roman Bold" w:hAnsi="Times New Roman Bold"/>
          <w:b/>
          <w:sz w:val="36"/>
          <w:szCs w:val="36"/>
        </w:rPr>
        <w:t xml:space="preserve">virzieniem </w:t>
      </w:r>
      <w:r w:rsidRPr="00D74640">
        <w:rPr>
          <w:rFonts w:ascii="Times New Roman Bold" w:hAnsi="Times New Roman Bold"/>
          <w:b/>
          <w:sz w:val="36"/>
          <w:szCs w:val="36"/>
        </w:rPr>
        <w:t>V</w:t>
      </w:r>
      <w:r>
        <w:rPr>
          <w:rFonts w:ascii="Times New Roman Bold" w:hAnsi="Times New Roman Bold"/>
          <w:b/>
          <w:sz w:val="36"/>
          <w:szCs w:val="36"/>
        </w:rPr>
        <w:t xml:space="preserve">alsts nodokļu politikas pamatnostādņu 2021.-2025.gadam izstrādei </w:t>
      </w:r>
    </w:p>
    <w:p w14:paraId="2399701B" w14:textId="77777777" w:rsidR="00DB128D" w:rsidRPr="002F7EA2" w:rsidRDefault="00DB128D" w:rsidP="00860B45">
      <w:pPr>
        <w:jc w:val="center"/>
        <w:rPr>
          <w:b/>
          <w:color w:val="FF0000"/>
          <w:sz w:val="36"/>
          <w:szCs w:val="36"/>
        </w:rPr>
      </w:pPr>
    </w:p>
    <w:p w14:paraId="506E7581" w14:textId="77777777" w:rsidR="00860B45" w:rsidRPr="003D36AA" w:rsidRDefault="00860B45" w:rsidP="00860B45">
      <w:pPr>
        <w:jc w:val="center"/>
        <w:rPr>
          <w:b/>
          <w:sz w:val="28"/>
          <w:szCs w:val="28"/>
          <w:highlight w:val="lightGray"/>
        </w:rPr>
      </w:pPr>
    </w:p>
    <w:p w14:paraId="389EAA75" w14:textId="77777777" w:rsidR="00860B45" w:rsidRPr="003D36AA" w:rsidRDefault="00860B45" w:rsidP="00860B45">
      <w:pPr>
        <w:rPr>
          <w:b/>
          <w:sz w:val="28"/>
          <w:szCs w:val="28"/>
          <w:highlight w:val="lightGray"/>
        </w:rPr>
      </w:pPr>
    </w:p>
    <w:p w14:paraId="39FE271E" w14:textId="77777777" w:rsidR="00860B45" w:rsidRPr="003D36AA" w:rsidRDefault="00860B45" w:rsidP="00860B45">
      <w:pPr>
        <w:jc w:val="center"/>
        <w:rPr>
          <w:b/>
          <w:sz w:val="28"/>
          <w:szCs w:val="28"/>
          <w:highlight w:val="lightGray"/>
        </w:rPr>
      </w:pPr>
    </w:p>
    <w:p w14:paraId="662F70DB" w14:textId="77777777" w:rsidR="00860B45" w:rsidRPr="003D36AA" w:rsidRDefault="00860B45" w:rsidP="00860B45">
      <w:pPr>
        <w:jc w:val="center"/>
        <w:rPr>
          <w:b/>
          <w:sz w:val="28"/>
          <w:szCs w:val="28"/>
          <w:highlight w:val="lightGray"/>
        </w:rPr>
      </w:pPr>
    </w:p>
    <w:p w14:paraId="45095BEC" w14:textId="77777777" w:rsidR="00860B45" w:rsidRPr="003D36AA" w:rsidRDefault="00860B45" w:rsidP="00860B45">
      <w:pPr>
        <w:jc w:val="center"/>
        <w:rPr>
          <w:b/>
          <w:sz w:val="28"/>
          <w:szCs w:val="28"/>
          <w:highlight w:val="lightGray"/>
        </w:rPr>
      </w:pPr>
    </w:p>
    <w:p w14:paraId="131848D3" w14:textId="77777777" w:rsidR="00860B45" w:rsidRPr="003D36AA" w:rsidRDefault="00860B45" w:rsidP="00860B45">
      <w:pPr>
        <w:jc w:val="center"/>
        <w:rPr>
          <w:b/>
          <w:sz w:val="28"/>
          <w:szCs w:val="28"/>
          <w:highlight w:val="lightGray"/>
        </w:rPr>
      </w:pPr>
    </w:p>
    <w:p w14:paraId="25AE8332" w14:textId="77777777" w:rsidR="00860B45" w:rsidRPr="003D36AA" w:rsidRDefault="00860B45" w:rsidP="00860B45">
      <w:pPr>
        <w:jc w:val="center"/>
        <w:rPr>
          <w:b/>
          <w:sz w:val="28"/>
          <w:szCs w:val="28"/>
          <w:highlight w:val="lightGray"/>
        </w:rPr>
      </w:pPr>
    </w:p>
    <w:p w14:paraId="32EBE603" w14:textId="77777777" w:rsidR="00860B45" w:rsidRPr="003D36AA" w:rsidRDefault="00860B45" w:rsidP="00860B45">
      <w:pPr>
        <w:jc w:val="center"/>
        <w:rPr>
          <w:b/>
          <w:sz w:val="28"/>
          <w:szCs w:val="28"/>
          <w:highlight w:val="lightGray"/>
        </w:rPr>
      </w:pPr>
    </w:p>
    <w:p w14:paraId="1EE3DA8E" w14:textId="77777777" w:rsidR="00860B45" w:rsidRPr="003D36AA" w:rsidRDefault="00860B45" w:rsidP="00860B45">
      <w:pPr>
        <w:jc w:val="center"/>
        <w:rPr>
          <w:b/>
          <w:sz w:val="28"/>
          <w:szCs w:val="28"/>
          <w:highlight w:val="lightGray"/>
        </w:rPr>
      </w:pPr>
    </w:p>
    <w:p w14:paraId="26444EC8" w14:textId="77777777" w:rsidR="00860B45" w:rsidRPr="003D36AA" w:rsidRDefault="00860B45" w:rsidP="00860B45">
      <w:pPr>
        <w:jc w:val="center"/>
        <w:rPr>
          <w:b/>
          <w:sz w:val="28"/>
          <w:szCs w:val="28"/>
          <w:highlight w:val="lightGray"/>
        </w:rPr>
      </w:pPr>
    </w:p>
    <w:p w14:paraId="258F164A" w14:textId="77777777" w:rsidR="00860B45" w:rsidRPr="003D36AA" w:rsidRDefault="00860B45" w:rsidP="00860B45">
      <w:pPr>
        <w:jc w:val="center"/>
        <w:rPr>
          <w:b/>
          <w:sz w:val="28"/>
          <w:szCs w:val="28"/>
          <w:highlight w:val="lightGray"/>
        </w:rPr>
      </w:pPr>
    </w:p>
    <w:p w14:paraId="7D56E13B" w14:textId="77777777" w:rsidR="00860B45" w:rsidRPr="003D36AA" w:rsidRDefault="00860B45" w:rsidP="00860B45">
      <w:pPr>
        <w:jc w:val="center"/>
        <w:rPr>
          <w:b/>
          <w:sz w:val="28"/>
          <w:szCs w:val="28"/>
          <w:highlight w:val="lightGray"/>
        </w:rPr>
      </w:pPr>
    </w:p>
    <w:p w14:paraId="090B9829" w14:textId="77777777" w:rsidR="00860B45" w:rsidRPr="003D36AA" w:rsidRDefault="00860B45" w:rsidP="00860B45">
      <w:pPr>
        <w:jc w:val="center"/>
        <w:rPr>
          <w:b/>
          <w:sz w:val="28"/>
          <w:szCs w:val="28"/>
          <w:highlight w:val="lightGray"/>
        </w:rPr>
      </w:pPr>
    </w:p>
    <w:p w14:paraId="1CD91CF6" w14:textId="77777777" w:rsidR="00860B45" w:rsidRPr="003D36AA" w:rsidRDefault="00860B45" w:rsidP="00860B45">
      <w:pPr>
        <w:jc w:val="center"/>
        <w:rPr>
          <w:b/>
          <w:sz w:val="28"/>
          <w:szCs w:val="28"/>
          <w:highlight w:val="lightGray"/>
        </w:rPr>
      </w:pPr>
    </w:p>
    <w:p w14:paraId="5038C875" w14:textId="77777777" w:rsidR="00860B45" w:rsidRPr="003D36AA" w:rsidRDefault="00860B45" w:rsidP="00860B45">
      <w:pPr>
        <w:jc w:val="center"/>
        <w:rPr>
          <w:b/>
          <w:sz w:val="28"/>
          <w:szCs w:val="28"/>
          <w:highlight w:val="lightGray"/>
        </w:rPr>
      </w:pPr>
    </w:p>
    <w:p w14:paraId="2D6F0819" w14:textId="77777777" w:rsidR="00860B45" w:rsidRPr="003D36AA" w:rsidRDefault="00860B45" w:rsidP="00860B45">
      <w:pPr>
        <w:jc w:val="center"/>
        <w:rPr>
          <w:b/>
          <w:sz w:val="28"/>
          <w:szCs w:val="28"/>
          <w:highlight w:val="lightGray"/>
        </w:rPr>
      </w:pPr>
    </w:p>
    <w:p w14:paraId="17966786" w14:textId="77777777" w:rsidR="00860B45" w:rsidRPr="003D36AA" w:rsidRDefault="00860B45" w:rsidP="00860B45">
      <w:pPr>
        <w:jc w:val="center"/>
        <w:rPr>
          <w:b/>
          <w:sz w:val="28"/>
          <w:szCs w:val="28"/>
          <w:highlight w:val="lightGray"/>
        </w:rPr>
      </w:pPr>
    </w:p>
    <w:p w14:paraId="000E3B40" w14:textId="77777777" w:rsidR="00860B45" w:rsidRPr="003D36AA" w:rsidRDefault="00860B45" w:rsidP="00860B45">
      <w:pPr>
        <w:jc w:val="center"/>
        <w:rPr>
          <w:b/>
          <w:sz w:val="28"/>
          <w:szCs w:val="28"/>
          <w:highlight w:val="lightGray"/>
        </w:rPr>
      </w:pPr>
    </w:p>
    <w:p w14:paraId="3D03C93D" w14:textId="77777777" w:rsidR="00860B45" w:rsidRPr="003D36AA" w:rsidRDefault="00860B45" w:rsidP="00860B45">
      <w:pPr>
        <w:jc w:val="center"/>
        <w:rPr>
          <w:b/>
          <w:sz w:val="28"/>
          <w:szCs w:val="28"/>
          <w:highlight w:val="lightGray"/>
        </w:rPr>
      </w:pPr>
    </w:p>
    <w:p w14:paraId="554BEB79" w14:textId="77777777" w:rsidR="00860B45" w:rsidRPr="003D36AA" w:rsidRDefault="00860B45" w:rsidP="00860B45">
      <w:pPr>
        <w:jc w:val="center"/>
        <w:rPr>
          <w:b/>
          <w:sz w:val="28"/>
          <w:szCs w:val="28"/>
          <w:highlight w:val="lightGray"/>
        </w:rPr>
      </w:pPr>
    </w:p>
    <w:p w14:paraId="5C955EEA" w14:textId="77777777" w:rsidR="00860B45" w:rsidRPr="003D36AA" w:rsidRDefault="00860B45" w:rsidP="00860B45">
      <w:pPr>
        <w:jc w:val="center"/>
        <w:rPr>
          <w:b/>
          <w:sz w:val="28"/>
          <w:szCs w:val="28"/>
          <w:highlight w:val="lightGray"/>
        </w:rPr>
      </w:pPr>
    </w:p>
    <w:p w14:paraId="69672EAB" w14:textId="77777777" w:rsidR="00860B45" w:rsidRPr="003D36AA" w:rsidRDefault="00860B45" w:rsidP="00860B45">
      <w:pPr>
        <w:jc w:val="center"/>
        <w:rPr>
          <w:b/>
          <w:sz w:val="28"/>
          <w:szCs w:val="28"/>
          <w:highlight w:val="lightGray"/>
        </w:rPr>
      </w:pPr>
    </w:p>
    <w:p w14:paraId="36763308" w14:textId="77777777" w:rsidR="00860B45" w:rsidRPr="003D36AA" w:rsidRDefault="00860B45" w:rsidP="00860B45">
      <w:pPr>
        <w:jc w:val="center"/>
        <w:rPr>
          <w:b/>
          <w:sz w:val="28"/>
          <w:szCs w:val="28"/>
          <w:highlight w:val="lightGray"/>
        </w:rPr>
      </w:pPr>
    </w:p>
    <w:p w14:paraId="6F909CBC" w14:textId="77777777" w:rsidR="00860B45" w:rsidRPr="003D36AA" w:rsidRDefault="00860B45" w:rsidP="00860B45">
      <w:pPr>
        <w:jc w:val="center"/>
        <w:rPr>
          <w:b/>
          <w:sz w:val="28"/>
          <w:szCs w:val="28"/>
          <w:highlight w:val="lightGray"/>
        </w:rPr>
      </w:pPr>
    </w:p>
    <w:p w14:paraId="19D9C88B" w14:textId="77777777" w:rsidR="00860B45" w:rsidRPr="00F519AB" w:rsidRDefault="00860B45" w:rsidP="00860B45">
      <w:pPr>
        <w:jc w:val="center"/>
        <w:rPr>
          <w:b/>
          <w:sz w:val="26"/>
          <w:szCs w:val="26"/>
        </w:rPr>
      </w:pPr>
      <w:r w:rsidRPr="00F519AB">
        <w:rPr>
          <w:b/>
          <w:sz w:val="26"/>
          <w:szCs w:val="26"/>
        </w:rPr>
        <w:t>Finanšu ministrija</w:t>
      </w:r>
    </w:p>
    <w:p w14:paraId="52EF33DE" w14:textId="77777777" w:rsidR="00860B45" w:rsidRPr="00F519AB" w:rsidRDefault="00860B45" w:rsidP="00860B45">
      <w:pPr>
        <w:jc w:val="center"/>
        <w:rPr>
          <w:b/>
          <w:sz w:val="26"/>
          <w:szCs w:val="26"/>
        </w:rPr>
      </w:pPr>
      <w:r w:rsidRPr="00F519AB">
        <w:rPr>
          <w:b/>
          <w:sz w:val="26"/>
          <w:szCs w:val="26"/>
        </w:rPr>
        <w:t xml:space="preserve">2020.gada </w:t>
      </w:r>
      <w:r w:rsidR="00802A08">
        <w:rPr>
          <w:b/>
          <w:sz w:val="26"/>
          <w:szCs w:val="26"/>
        </w:rPr>
        <w:t>februāris</w:t>
      </w:r>
    </w:p>
    <w:p w14:paraId="3DA5AE68" w14:textId="77777777" w:rsidR="00860B45" w:rsidRDefault="00860B45" w:rsidP="00860B45">
      <w:pPr>
        <w:rPr>
          <w:b/>
          <w:szCs w:val="24"/>
        </w:rPr>
      </w:pPr>
      <w:r>
        <w:rPr>
          <w:b/>
          <w:szCs w:val="24"/>
        </w:rPr>
        <w:br w:type="page"/>
      </w:r>
    </w:p>
    <w:p w14:paraId="18208EB2" w14:textId="77777777" w:rsidR="00860B45" w:rsidRDefault="00860B45" w:rsidP="00860B45">
      <w:pPr>
        <w:pStyle w:val="Title"/>
        <w:spacing w:before="100" w:beforeAutospacing="1" w:after="100" w:afterAutospacing="1"/>
        <w:jc w:val="center"/>
        <w:rPr>
          <w:rFonts w:ascii="Times New Roman" w:hAnsi="Times New Roman" w:cs="Times New Roman"/>
          <w:b/>
          <w:sz w:val="40"/>
          <w:szCs w:val="40"/>
        </w:rPr>
      </w:pPr>
      <w:bookmarkStart w:id="0" w:name="_Toc404241059"/>
      <w:bookmarkStart w:id="1" w:name="_Toc26198348"/>
      <w:r w:rsidRPr="00CF29A5">
        <w:rPr>
          <w:rFonts w:ascii="Times New Roman" w:hAnsi="Times New Roman" w:cs="Times New Roman"/>
          <w:b/>
          <w:sz w:val="40"/>
          <w:szCs w:val="40"/>
        </w:rPr>
        <w:lastRenderedPageBreak/>
        <w:t>Saturs</w:t>
      </w:r>
      <w:bookmarkEnd w:id="0"/>
      <w:bookmarkEnd w:id="1"/>
    </w:p>
    <w:bookmarkStart w:id="2" w:name="_Toc382398144" w:displacedByCustomXml="next"/>
    <w:sdt>
      <w:sdtPr>
        <w:rPr>
          <w:rFonts w:ascii="Times New Roman" w:eastAsiaTheme="minorHAnsi" w:hAnsi="Times New Roman" w:cs="Times New Roman"/>
          <w:caps w:val="0"/>
          <w:color w:val="auto"/>
          <w:sz w:val="24"/>
          <w:szCs w:val="24"/>
          <w:lang w:val="lv-LV"/>
        </w:rPr>
        <w:id w:val="-2081826987"/>
        <w:docPartObj>
          <w:docPartGallery w:val="Table of Contents"/>
          <w:docPartUnique/>
        </w:docPartObj>
      </w:sdtPr>
      <w:sdtEndPr>
        <w:rPr>
          <w:b/>
          <w:bCs/>
          <w:noProof/>
        </w:rPr>
      </w:sdtEndPr>
      <w:sdtContent>
        <w:p w14:paraId="340EFE02" w14:textId="77777777" w:rsidR="00C25432" w:rsidRPr="00191F34" w:rsidRDefault="00C25432">
          <w:pPr>
            <w:pStyle w:val="TOCHeading"/>
            <w:rPr>
              <w:rFonts w:ascii="Times New Roman" w:hAnsi="Times New Roman" w:cs="Times New Roman"/>
              <w:sz w:val="24"/>
              <w:szCs w:val="24"/>
            </w:rPr>
          </w:pPr>
        </w:p>
        <w:p w14:paraId="3D787EC8" w14:textId="364CB611" w:rsidR="00191F34" w:rsidRPr="00135AAA" w:rsidRDefault="00C25432" w:rsidP="00135AAA">
          <w:pPr>
            <w:pStyle w:val="TOC1"/>
            <w:rPr>
              <w:lang w:val="lv-LV" w:eastAsia="lv-LV"/>
            </w:rPr>
          </w:pPr>
          <w:r w:rsidRPr="00135AAA">
            <w:fldChar w:fldCharType="begin"/>
          </w:r>
          <w:r w:rsidRPr="00191F34">
            <w:instrText xml:space="preserve"> TOC \o "1-3" \h \z \u </w:instrText>
          </w:r>
          <w:r w:rsidRPr="00135AAA">
            <w:fldChar w:fldCharType="separate"/>
          </w:r>
          <w:hyperlink w:anchor="_Toc33186619" w:history="1">
            <w:r w:rsidR="00191F34" w:rsidRPr="00135AAA">
              <w:rPr>
                <w:rStyle w:val="Hyperlink"/>
              </w:rPr>
              <w:t>Ievads</w:t>
            </w:r>
            <w:r w:rsidR="00191F34" w:rsidRPr="00135AAA">
              <w:rPr>
                <w:b w:val="0"/>
                <w:webHidden/>
              </w:rPr>
              <w:tab/>
            </w:r>
            <w:r w:rsidR="00191F34" w:rsidRPr="00135AAA">
              <w:rPr>
                <w:webHidden/>
              </w:rPr>
              <w:fldChar w:fldCharType="begin"/>
            </w:r>
            <w:r w:rsidR="00191F34" w:rsidRPr="00135AAA">
              <w:rPr>
                <w:webHidden/>
              </w:rPr>
              <w:instrText xml:space="preserve"> PAGEREF _Toc33186619 \h </w:instrText>
            </w:r>
            <w:r w:rsidR="00191F34" w:rsidRPr="00135AAA">
              <w:rPr>
                <w:webHidden/>
              </w:rPr>
            </w:r>
            <w:r w:rsidR="00191F34" w:rsidRPr="00135AAA">
              <w:rPr>
                <w:webHidden/>
              </w:rPr>
              <w:fldChar w:fldCharType="separate"/>
            </w:r>
            <w:r w:rsidR="00191F34" w:rsidRPr="00135AAA">
              <w:rPr>
                <w:webHidden/>
              </w:rPr>
              <w:t>3</w:t>
            </w:r>
            <w:r w:rsidR="00191F34" w:rsidRPr="00135AAA">
              <w:rPr>
                <w:webHidden/>
              </w:rPr>
              <w:fldChar w:fldCharType="end"/>
            </w:r>
          </w:hyperlink>
        </w:p>
        <w:p w14:paraId="52A4A156" w14:textId="3545B4B8" w:rsidR="00191F34" w:rsidRPr="00135AAA" w:rsidRDefault="00E7036F" w:rsidP="00135AAA">
          <w:pPr>
            <w:pStyle w:val="TOC1"/>
            <w:rPr>
              <w:lang w:val="lv-LV" w:eastAsia="lv-LV"/>
            </w:rPr>
          </w:pPr>
          <w:hyperlink w:anchor="_Toc33186620" w:history="1">
            <w:r w:rsidR="00191F34" w:rsidRPr="00135AAA">
              <w:rPr>
                <w:rStyle w:val="Hyperlink"/>
              </w:rPr>
              <w:t>1. Iedzīvotāju ienākuma nodoklis</w:t>
            </w:r>
            <w:r w:rsidR="00191F34" w:rsidRPr="00135AAA">
              <w:rPr>
                <w:b w:val="0"/>
                <w:webHidden/>
              </w:rPr>
              <w:tab/>
            </w:r>
            <w:r w:rsidR="00191F34" w:rsidRPr="00135AAA">
              <w:rPr>
                <w:webHidden/>
              </w:rPr>
              <w:fldChar w:fldCharType="begin"/>
            </w:r>
            <w:r w:rsidR="00191F34" w:rsidRPr="00135AAA">
              <w:rPr>
                <w:webHidden/>
              </w:rPr>
              <w:instrText xml:space="preserve"> PAGEREF _Toc33186620 \h </w:instrText>
            </w:r>
            <w:r w:rsidR="00191F34" w:rsidRPr="00135AAA">
              <w:rPr>
                <w:webHidden/>
              </w:rPr>
            </w:r>
            <w:r w:rsidR="00191F34" w:rsidRPr="00135AAA">
              <w:rPr>
                <w:webHidden/>
              </w:rPr>
              <w:fldChar w:fldCharType="separate"/>
            </w:r>
            <w:r w:rsidR="00191F34" w:rsidRPr="00135AAA">
              <w:rPr>
                <w:webHidden/>
              </w:rPr>
              <w:t>5</w:t>
            </w:r>
            <w:r w:rsidR="00191F34" w:rsidRPr="00135AAA">
              <w:rPr>
                <w:webHidden/>
              </w:rPr>
              <w:fldChar w:fldCharType="end"/>
            </w:r>
          </w:hyperlink>
        </w:p>
        <w:p w14:paraId="10CE428D" w14:textId="2FD563D8" w:rsidR="00191F34" w:rsidRPr="00135AAA" w:rsidRDefault="00E7036F">
          <w:pPr>
            <w:pStyle w:val="TOC2"/>
            <w:rPr>
              <w:rFonts w:ascii="Times New Roman" w:hAnsi="Times New Roman"/>
              <w:i/>
              <w:noProof/>
              <w:sz w:val="24"/>
              <w:szCs w:val="24"/>
              <w:lang w:val="lv-LV" w:eastAsia="lv-LV"/>
            </w:rPr>
          </w:pPr>
          <w:hyperlink w:anchor="_Toc33186621" w:history="1">
            <w:r w:rsidR="00191F34" w:rsidRPr="00135AAA">
              <w:rPr>
                <w:rStyle w:val="Hyperlink"/>
                <w:rFonts w:ascii="Times New Roman" w:hAnsi="Times New Roman"/>
                <w:i/>
                <w:noProof/>
                <w:sz w:val="24"/>
                <w:szCs w:val="24"/>
              </w:rPr>
              <w:t>1.1. Iedzīvotāju ienākuma nodokļa progresivitātes scenāriji</w:t>
            </w:r>
            <w:r w:rsidR="00191F34" w:rsidRPr="00135AAA">
              <w:rPr>
                <w:rFonts w:ascii="Times New Roman" w:hAnsi="Times New Roman"/>
                <w:i/>
                <w:noProof/>
                <w:webHidden/>
                <w:sz w:val="24"/>
                <w:szCs w:val="24"/>
              </w:rPr>
              <w:tab/>
            </w:r>
            <w:r w:rsidR="00191F34" w:rsidRPr="00135AAA">
              <w:rPr>
                <w:rFonts w:ascii="Times New Roman" w:hAnsi="Times New Roman"/>
                <w:i/>
                <w:noProof/>
                <w:webHidden/>
                <w:sz w:val="24"/>
                <w:szCs w:val="24"/>
              </w:rPr>
              <w:fldChar w:fldCharType="begin"/>
            </w:r>
            <w:r w:rsidR="00191F34" w:rsidRPr="00135AAA">
              <w:rPr>
                <w:rFonts w:ascii="Times New Roman" w:hAnsi="Times New Roman"/>
                <w:i/>
                <w:noProof/>
                <w:webHidden/>
                <w:sz w:val="24"/>
                <w:szCs w:val="24"/>
              </w:rPr>
              <w:instrText xml:space="preserve"> PAGEREF _Toc33186621 \h </w:instrText>
            </w:r>
            <w:r w:rsidR="00191F34" w:rsidRPr="00135AAA">
              <w:rPr>
                <w:rFonts w:ascii="Times New Roman" w:hAnsi="Times New Roman"/>
                <w:i/>
                <w:noProof/>
                <w:webHidden/>
                <w:sz w:val="24"/>
                <w:szCs w:val="24"/>
              </w:rPr>
            </w:r>
            <w:r w:rsidR="00191F34" w:rsidRPr="00135AAA">
              <w:rPr>
                <w:rFonts w:ascii="Times New Roman" w:hAnsi="Times New Roman"/>
                <w:i/>
                <w:noProof/>
                <w:webHidden/>
                <w:sz w:val="24"/>
                <w:szCs w:val="24"/>
              </w:rPr>
              <w:fldChar w:fldCharType="separate"/>
            </w:r>
            <w:r w:rsidR="00191F34" w:rsidRPr="00135AAA">
              <w:rPr>
                <w:rFonts w:ascii="Times New Roman" w:hAnsi="Times New Roman"/>
                <w:i/>
                <w:noProof/>
                <w:webHidden/>
                <w:sz w:val="24"/>
                <w:szCs w:val="24"/>
              </w:rPr>
              <w:t>5</w:t>
            </w:r>
            <w:r w:rsidR="00191F34" w:rsidRPr="00135AAA">
              <w:rPr>
                <w:rFonts w:ascii="Times New Roman" w:hAnsi="Times New Roman"/>
                <w:i/>
                <w:noProof/>
                <w:webHidden/>
                <w:sz w:val="24"/>
                <w:szCs w:val="24"/>
              </w:rPr>
              <w:fldChar w:fldCharType="end"/>
            </w:r>
          </w:hyperlink>
        </w:p>
        <w:p w14:paraId="53DBDAB0" w14:textId="27218551" w:rsidR="00191F34" w:rsidRPr="00135AAA" w:rsidRDefault="00E7036F">
          <w:pPr>
            <w:pStyle w:val="TOC2"/>
            <w:rPr>
              <w:rFonts w:ascii="Times New Roman" w:hAnsi="Times New Roman"/>
              <w:i/>
              <w:noProof/>
              <w:sz w:val="24"/>
              <w:szCs w:val="24"/>
              <w:lang w:val="lv-LV" w:eastAsia="lv-LV"/>
            </w:rPr>
          </w:pPr>
          <w:hyperlink w:anchor="_Toc33186622" w:history="1">
            <w:r w:rsidR="00191F34" w:rsidRPr="00135AAA">
              <w:rPr>
                <w:rStyle w:val="Hyperlink"/>
                <w:rFonts w:ascii="Times New Roman" w:hAnsi="Times New Roman"/>
                <w:i/>
                <w:noProof/>
                <w:sz w:val="24"/>
                <w:szCs w:val="24"/>
              </w:rPr>
              <w:t>1.2.</w:t>
            </w:r>
            <w:r w:rsidR="00135AAA">
              <w:rPr>
                <w:rStyle w:val="Hyperlink"/>
                <w:rFonts w:ascii="Times New Roman" w:hAnsi="Times New Roman"/>
                <w:i/>
                <w:noProof/>
                <w:sz w:val="24"/>
                <w:szCs w:val="24"/>
              </w:rPr>
              <w:t xml:space="preserve"> </w:t>
            </w:r>
            <w:r w:rsidR="00191F34" w:rsidRPr="00135AAA">
              <w:rPr>
                <w:rStyle w:val="Hyperlink"/>
                <w:rFonts w:ascii="Times New Roman" w:hAnsi="Times New Roman"/>
                <w:i/>
                <w:noProof/>
                <w:sz w:val="24"/>
                <w:szCs w:val="24"/>
              </w:rPr>
              <w:t>Atvieglojuma par apgādībā esošām personām pārskatīšana</w:t>
            </w:r>
            <w:r w:rsidR="00191F34" w:rsidRPr="00135AAA">
              <w:rPr>
                <w:rFonts w:ascii="Times New Roman" w:hAnsi="Times New Roman"/>
                <w:i/>
                <w:noProof/>
                <w:webHidden/>
                <w:sz w:val="24"/>
                <w:szCs w:val="24"/>
              </w:rPr>
              <w:tab/>
            </w:r>
            <w:r w:rsidR="00191F34" w:rsidRPr="00135AAA">
              <w:rPr>
                <w:rFonts w:ascii="Times New Roman" w:hAnsi="Times New Roman"/>
                <w:i/>
                <w:noProof/>
                <w:webHidden/>
                <w:sz w:val="24"/>
                <w:szCs w:val="24"/>
              </w:rPr>
              <w:fldChar w:fldCharType="begin"/>
            </w:r>
            <w:r w:rsidR="00191F34" w:rsidRPr="00135AAA">
              <w:rPr>
                <w:rFonts w:ascii="Times New Roman" w:hAnsi="Times New Roman"/>
                <w:i/>
                <w:noProof/>
                <w:webHidden/>
                <w:sz w:val="24"/>
                <w:szCs w:val="24"/>
              </w:rPr>
              <w:instrText xml:space="preserve"> PAGEREF _Toc33186622 \h </w:instrText>
            </w:r>
            <w:r w:rsidR="00191F34" w:rsidRPr="00135AAA">
              <w:rPr>
                <w:rFonts w:ascii="Times New Roman" w:hAnsi="Times New Roman"/>
                <w:i/>
                <w:noProof/>
                <w:webHidden/>
                <w:sz w:val="24"/>
                <w:szCs w:val="24"/>
              </w:rPr>
            </w:r>
            <w:r w:rsidR="00191F34" w:rsidRPr="00135AAA">
              <w:rPr>
                <w:rFonts w:ascii="Times New Roman" w:hAnsi="Times New Roman"/>
                <w:i/>
                <w:noProof/>
                <w:webHidden/>
                <w:sz w:val="24"/>
                <w:szCs w:val="24"/>
              </w:rPr>
              <w:fldChar w:fldCharType="separate"/>
            </w:r>
            <w:r w:rsidR="00191F34" w:rsidRPr="00135AAA">
              <w:rPr>
                <w:rFonts w:ascii="Times New Roman" w:hAnsi="Times New Roman"/>
                <w:i/>
                <w:noProof/>
                <w:webHidden/>
                <w:sz w:val="24"/>
                <w:szCs w:val="24"/>
              </w:rPr>
              <w:t>9</w:t>
            </w:r>
            <w:r w:rsidR="00191F34" w:rsidRPr="00135AAA">
              <w:rPr>
                <w:rFonts w:ascii="Times New Roman" w:hAnsi="Times New Roman"/>
                <w:i/>
                <w:noProof/>
                <w:webHidden/>
                <w:sz w:val="24"/>
                <w:szCs w:val="24"/>
              </w:rPr>
              <w:fldChar w:fldCharType="end"/>
            </w:r>
          </w:hyperlink>
        </w:p>
        <w:p w14:paraId="34616602" w14:textId="31680E86" w:rsidR="00191F34" w:rsidRPr="00135AAA" w:rsidRDefault="00E7036F" w:rsidP="00135AAA">
          <w:pPr>
            <w:pStyle w:val="TOC1"/>
            <w:rPr>
              <w:lang w:val="lv-LV" w:eastAsia="lv-LV"/>
            </w:rPr>
          </w:pPr>
          <w:hyperlink w:anchor="_Toc33186623" w:history="1">
            <w:r w:rsidR="00191F34" w:rsidRPr="00135AAA">
              <w:rPr>
                <w:rStyle w:val="Hyperlink"/>
              </w:rPr>
              <w:t>2. Solidaritātes nodoklis</w:t>
            </w:r>
            <w:r w:rsidR="00191F34" w:rsidRPr="00135AAA">
              <w:rPr>
                <w:b w:val="0"/>
                <w:webHidden/>
              </w:rPr>
              <w:tab/>
            </w:r>
            <w:r w:rsidR="00191F34" w:rsidRPr="00135AAA">
              <w:rPr>
                <w:webHidden/>
              </w:rPr>
              <w:fldChar w:fldCharType="begin"/>
            </w:r>
            <w:r w:rsidR="00191F34" w:rsidRPr="00135AAA">
              <w:rPr>
                <w:webHidden/>
              </w:rPr>
              <w:instrText xml:space="preserve"> PAGEREF _Toc33186623 \h </w:instrText>
            </w:r>
            <w:r w:rsidR="00191F34" w:rsidRPr="00135AAA">
              <w:rPr>
                <w:webHidden/>
              </w:rPr>
            </w:r>
            <w:r w:rsidR="00191F34" w:rsidRPr="00135AAA">
              <w:rPr>
                <w:webHidden/>
              </w:rPr>
              <w:fldChar w:fldCharType="separate"/>
            </w:r>
            <w:r w:rsidR="00191F34" w:rsidRPr="00135AAA">
              <w:rPr>
                <w:webHidden/>
              </w:rPr>
              <w:t>11</w:t>
            </w:r>
            <w:r w:rsidR="00191F34" w:rsidRPr="00135AAA">
              <w:rPr>
                <w:webHidden/>
              </w:rPr>
              <w:fldChar w:fldCharType="end"/>
            </w:r>
          </w:hyperlink>
        </w:p>
        <w:p w14:paraId="17932CED" w14:textId="320A7200" w:rsidR="00191F34" w:rsidRPr="00135AAA" w:rsidRDefault="00E7036F" w:rsidP="00135AAA">
          <w:pPr>
            <w:pStyle w:val="TOC1"/>
            <w:rPr>
              <w:lang w:val="lv-LV" w:eastAsia="lv-LV"/>
            </w:rPr>
          </w:pPr>
          <w:hyperlink w:anchor="_Toc33186624" w:history="1">
            <w:r w:rsidR="00191F34" w:rsidRPr="00135AAA">
              <w:rPr>
                <w:rStyle w:val="Hyperlink"/>
                <w:shd w:val="clear" w:color="auto" w:fill="FAFAFA"/>
              </w:rPr>
              <w:t>3. Minimālās mēneša darba algas pārskatīšana</w:t>
            </w:r>
            <w:r w:rsidR="00191F34" w:rsidRPr="00135AAA">
              <w:rPr>
                <w:b w:val="0"/>
                <w:webHidden/>
              </w:rPr>
              <w:tab/>
            </w:r>
            <w:r w:rsidR="00191F34" w:rsidRPr="00135AAA">
              <w:rPr>
                <w:webHidden/>
              </w:rPr>
              <w:fldChar w:fldCharType="begin"/>
            </w:r>
            <w:r w:rsidR="00191F34" w:rsidRPr="00135AAA">
              <w:rPr>
                <w:webHidden/>
              </w:rPr>
              <w:instrText xml:space="preserve"> PAGEREF _Toc33186624 \h </w:instrText>
            </w:r>
            <w:r w:rsidR="00191F34" w:rsidRPr="00135AAA">
              <w:rPr>
                <w:webHidden/>
              </w:rPr>
            </w:r>
            <w:r w:rsidR="00191F34" w:rsidRPr="00135AAA">
              <w:rPr>
                <w:webHidden/>
              </w:rPr>
              <w:fldChar w:fldCharType="separate"/>
            </w:r>
            <w:r w:rsidR="00191F34" w:rsidRPr="00135AAA">
              <w:rPr>
                <w:webHidden/>
              </w:rPr>
              <w:t>12</w:t>
            </w:r>
            <w:r w:rsidR="00191F34" w:rsidRPr="00135AAA">
              <w:rPr>
                <w:webHidden/>
              </w:rPr>
              <w:fldChar w:fldCharType="end"/>
            </w:r>
          </w:hyperlink>
        </w:p>
        <w:p w14:paraId="042F3D8B" w14:textId="160649EA" w:rsidR="00191F34" w:rsidRPr="00135AAA" w:rsidRDefault="00E7036F" w:rsidP="00135AAA">
          <w:pPr>
            <w:pStyle w:val="TOC1"/>
            <w:rPr>
              <w:lang w:val="lv-LV" w:eastAsia="lv-LV"/>
            </w:rPr>
          </w:pPr>
          <w:hyperlink w:anchor="_Toc33186625" w:history="1">
            <w:r w:rsidR="00191F34" w:rsidRPr="00135AAA">
              <w:rPr>
                <w:rStyle w:val="Hyperlink"/>
              </w:rPr>
              <w:t>4. Alternatīvie nodokļu maksāšanas režīmi</w:t>
            </w:r>
            <w:r w:rsidR="00191F34" w:rsidRPr="00135AAA">
              <w:rPr>
                <w:b w:val="0"/>
                <w:webHidden/>
              </w:rPr>
              <w:tab/>
            </w:r>
            <w:r w:rsidR="00191F34" w:rsidRPr="00135AAA">
              <w:rPr>
                <w:webHidden/>
              </w:rPr>
              <w:fldChar w:fldCharType="begin"/>
            </w:r>
            <w:r w:rsidR="00191F34" w:rsidRPr="00135AAA">
              <w:rPr>
                <w:webHidden/>
              </w:rPr>
              <w:instrText xml:space="preserve"> PAGEREF _Toc33186625 \h </w:instrText>
            </w:r>
            <w:r w:rsidR="00191F34" w:rsidRPr="00135AAA">
              <w:rPr>
                <w:webHidden/>
              </w:rPr>
            </w:r>
            <w:r w:rsidR="00191F34" w:rsidRPr="00135AAA">
              <w:rPr>
                <w:webHidden/>
              </w:rPr>
              <w:fldChar w:fldCharType="separate"/>
            </w:r>
            <w:r w:rsidR="00191F34" w:rsidRPr="00135AAA">
              <w:rPr>
                <w:webHidden/>
              </w:rPr>
              <w:t>13</w:t>
            </w:r>
            <w:r w:rsidR="00191F34" w:rsidRPr="00135AAA">
              <w:rPr>
                <w:webHidden/>
              </w:rPr>
              <w:fldChar w:fldCharType="end"/>
            </w:r>
          </w:hyperlink>
        </w:p>
        <w:p w14:paraId="2358AEE0" w14:textId="76C29C60" w:rsidR="00191F34" w:rsidRPr="00135AAA" w:rsidRDefault="00E7036F">
          <w:pPr>
            <w:pStyle w:val="TOC2"/>
            <w:rPr>
              <w:rFonts w:ascii="Times New Roman" w:hAnsi="Times New Roman"/>
              <w:i/>
              <w:noProof/>
              <w:sz w:val="24"/>
              <w:szCs w:val="24"/>
              <w:lang w:val="lv-LV" w:eastAsia="lv-LV"/>
            </w:rPr>
          </w:pPr>
          <w:hyperlink w:anchor="_Toc33186626" w:history="1">
            <w:r w:rsidR="00191F34" w:rsidRPr="00135AAA">
              <w:rPr>
                <w:rStyle w:val="Hyperlink"/>
                <w:rFonts w:ascii="Times New Roman" w:hAnsi="Times New Roman"/>
                <w:i/>
                <w:noProof/>
                <w:sz w:val="24"/>
                <w:szCs w:val="24"/>
              </w:rPr>
              <w:t>4.1.</w:t>
            </w:r>
            <w:r w:rsidR="00191F34" w:rsidRPr="00135AAA">
              <w:rPr>
                <w:rFonts w:ascii="Times New Roman" w:hAnsi="Times New Roman"/>
                <w:i/>
                <w:noProof/>
                <w:sz w:val="24"/>
                <w:szCs w:val="24"/>
                <w:lang w:val="lv-LV" w:eastAsia="lv-LV"/>
              </w:rPr>
              <w:tab/>
            </w:r>
            <w:r w:rsidR="00191F34" w:rsidRPr="00135AAA">
              <w:rPr>
                <w:rStyle w:val="Hyperlink"/>
                <w:rFonts w:ascii="Times New Roman" w:hAnsi="Times New Roman"/>
                <w:i/>
                <w:noProof/>
                <w:sz w:val="24"/>
                <w:szCs w:val="24"/>
              </w:rPr>
              <w:t>Mikrouzņēmumu nodokļa režīma pakāpeniskas ierobežošana un pielīdzināšana vispārējam darbaspēka nodokļu režīmam</w:t>
            </w:r>
            <w:r w:rsidR="00191F34" w:rsidRPr="00135AAA">
              <w:rPr>
                <w:rFonts w:ascii="Times New Roman" w:hAnsi="Times New Roman"/>
                <w:i/>
                <w:noProof/>
                <w:webHidden/>
                <w:sz w:val="24"/>
                <w:szCs w:val="24"/>
              </w:rPr>
              <w:tab/>
            </w:r>
            <w:r w:rsidR="00191F34" w:rsidRPr="00135AAA">
              <w:rPr>
                <w:rFonts w:ascii="Times New Roman" w:hAnsi="Times New Roman"/>
                <w:i/>
                <w:noProof/>
                <w:webHidden/>
                <w:sz w:val="24"/>
                <w:szCs w:val="24"/>
              </w:rPr>
              <w:fldChar w:fldCharType="begin"/>
            </w:r>
            <w:r w:rsidR="00191F34" w:rsidRPr="00135AAA">
              <w:rPr>
                <w:rFonts w:ascii="Times New Roman" w:hAnsi="Times New Roman"/>
                <w:i/>
                <w:noProof/>
                <w:webHidden/>
                <w:sz w:val="24"/>
                <w:szCs w:val="24"/>
              </w:rPr>
              <w:instrText xml:space="preserve"> PAGEREF _Toc33186626 \h </w:instrText>
            </w:r>
            <w:r w:rsidR="00191F34" w:rsidRPr="00135AAA">
              <w:rPr>
                <w:rFonts w:ascii="Times New Roman" w:hAnsi="Times New Roman"/>
                <w:i/>
                <w:noProof/>
                <w:webHidden/>
                <w:sz w:val="24"/>
                <w:szCs w:val="24"/>
              </w:rPr>
            </w:r>
            <w:r w:rsidR="00191F34" w:rsidRPr="00135AAA">
              <w:rPr>
                <w:rFonts w:ascii="Times New Roman" w:hAnsi="Times New Roman"/>
                <w:i/>
                <w:noProof/>
                <w:webHidden/>
                <w:sz w:val="24"/>
                <w:szCs w:val="24"/>
              </w:rPr>
              <w:fldChar w:fldCharType="separate"/>
            </w:r>
            <w:r w:rsidR="00191F34" w:rsidRPr="00135AAA">
              <w:rPr>
                <w:rFonts w:ascii="Times New Roman" w:hAnsi="Times New Roman"/>
                <w:i/>
                <w:noProof/>
                <w:webHidden/>
                <w:sz w:val="24"/>
                <w:szCs w:val="24"/>
              </w:rPr>
              <w:t>13</w:t>
            </w:r>
            <w:r w:rsidR="00191F34" w:rsidRPr="00135AAA">
              <w:rPr>
                <w:rFonts w:ascii="Times New Roman" w:hAnsi="Times New Roman"/>
                <w:i/>
                <w:noProof/>
                <w:webHidden/>
                <w:sz w:val="24"/>
                <w:szCs w:val="24"/>
              </w:rPr>
              <w:fldChar w:fldCharType="end"/>
            </w:r>
          </w:hyperlink>
        </w:p>
        <w:p w14:paraId="1C3995C1" w14:textId="467E0AAE" w:rsidR="00191F34" w:rsidRPr="00135AAA" w:rsidRDefault="00E7036F">
          <w:pPr>
            <w:pStyle w:val="TOC2"/>
            <w:rPr>
              <w:rFonts w:ascii="Times New Roman" w:hAnsi="Times New Roman"/>
              <w:i/>
              <w:noProof/>
              <w:sz w:val="24"/>
              <w:szCs w:val="24"/>
              <w:lang w:val="lv-LV" w:eastAsia="lv-LV"/>
            </w:rPr>
          </w:pPr>
          <w:hyperlink w:anchor="_Toc33186627" w:history="1">
            <w:r w:rsidR="00191F34" w:rsidRPr="00135AAA">
              <w:rPr>
                <w:rStyle w:val="Hyperlink"/>
                <w:rFonts w:ascii="Times New Roman" w:hAnsi="Times New Roman"/>
                <w:i/>
                <w:noProof/>
                <w:sz w:val="24"/>
                <w:szCs w:val="24"/>
              </w:rPr>
              <w:t>4.2. Minimālo valsts sociālās apdrošināšanas obligāto iemaksu ieviešana</w:t>
            </w:r>
            <w:r w:rsidR="00191F34" w:rsidRPr="00135AAA">
              <w:rPr>
                <w:rFonts w:ascii="Times New Roman" w:hAnsi="Times New Roman"/>
                <w:i/>
                <w:noProof/>
                <w:webHidden/>
                <w:sz w:val="24"/>
                <w:szCs w:val="24"/>
              </w:rPr>
              <w:tab/>
            </w:r>
            <w:r w:rsidR="00191F34" w:rsidRPr="00135AAA">
              <w:rPr>
                <w:rFonts w:ascii="Times New Roman" w:hAnsi="Times New Roman"/>
                <w:i/>
                <w:noProof/>
                <w:webHidden/>
                <w:sz w:val="24"/>
                <w:szCs w:val="24"/>
              </w:rPr>
              <w:fldChar w:fldCharType="begin"/>
            </w:r>
            <w:r w:rsidR="00191F34" w:rsidRPr="00135AAA">
              <w:rPr>
                <w:rFonts w:ascii="Times New Roman" w:hAnsi="Times New Roman"/>
                <w:i/>
                <w:noProof/>
                <w:webHidden/>
                <w:sz w:val="24"/>
                <w:szCs w:val="24"/>
              </w:rPr>
              <w:instrText xml:space="preserve"> PAGEREF _Toc33186627 \h </w:instrText>
            </w:r>
            <w:r w:rsidR="00191F34" w:rsidRPr="00135AAA">
              <w:rPr>
                <w:rFonts w:ascii="Times New Roman" w:hAnsi="Times New Roman"/>
                <w:i/>
                <w:noProof/>
                <w:webHidden/>
                <w:sz w:val="24"/>
                <w:szCs w:val="24"/>
              </w:rPr>
            </w:r>
            <w:r w:rsidR="00191F34" w:rsidRPr="00135AAA">
              <w:rPr>
                <w:rFonts w:ascii="Times New Roman" w:hAnsi="Times New Roman"/>
                <w:i/>
                <w:noProof/>
                <w:webHidden/>
                <w:sz w:val="24"/>
                <w:szCs w:val="24"/>
              </w:rPr>
              <w:fldChar w:fldCharType="separate"/>
            </w:r>
            <w:r w:rsidR="00191F34" w:rsidRPr="00135AAA">
              <w:rPr>
                <w:rFonts w:ascii="Times New Roman" w:hAnsi="Times New Roman"/>
                <w:i/>
                <w:noProof/>
                <w:webHidden/>
                <w:sz w:val="24"/>
                <w:szCs w:val="24"/>
              </w:rPr>
              <w:t>17</w:t>
            </w:r>
            <w:r w:rsidR="00191F34" w:rsidRPr="00135AAA">
              <w:rPr>
                <w:rFonts w:ascii="Times New Roman" w:hAnsi="Times New Roman"/>
                <w:i/>
                <w:noProof/>
                <w:webHidden/>
                <w:sz w:val="24"/>
                <w:szCs w:val="24"/>
              </w:rPr>
              <w:fldChar w:fldCharType="end"/>
            </w:r>
          </w:hyperlink>
        </w:p>
        <w:p w14:paraId="6832C070" w14:textId="5B5E6702" w:rsidR="00191F34" w:rsidRPr="00135AAA" w:rsidRDefault="00E7036F">
          <w:pPr>
            <w:pStyle w:val="TOC2"/>
            <w:rPr>
              <w:rFonts w:ascii="Times New Roman" w:hAnsi="Times New Roman"/>
              <w:i/>
              <w:noProof/>
              <w:sz w:val="24"/>
              <w:szCs w:val="24"/>
              <w:lang w:val="lv-LV" w:eastAsia="lv-LV"/>
            </w:rPr>
          </w:pPr>
          <w:hyperlink w:anchor="_Toc33186628" w:history="1">
            <w:r w:rsidR="00191F34" w:rsidRPr="00135AAA">
              <w:rPr>
                <w:rStyle w:val="Hyperlink"/>
                <w:rFonts w:ascii="Times New Roman" w:hAnsi="Times New Roman"/>
                <w:i/>
                <w:noProof/>
                <w:sz w:val="24"/>
                <w:szCs w:val="24"/>
              </w:rPr>
              <w:t>4.3. Vienāda VSAOI veikšanas kārtība pašnodarbinātajiem</w:t>
            </w:r>
            <w:r w:rsidR="00191F34" w:rsidRPr="00135AAA">
              <w:rPr>
                <w:rFonts w:ascii="Times New Roman" w:hAnsi="Times New Roman"/>
                <w:i/>
                <w:noProof/>
                <w:webHidden/>
                <w:sz w:val="24"/>
                <w:szCs w:val="24"/>
              </w:rPr>
              <w:tab/>
            </w:r>
            <w:r w:rsidR="00191F34" w:rsidRPr="00135AAA">
              <w:rPr>
                <w:rFonts w:ascii="Times New Roman" w:hAnsi="Times New Roman"/>
                <w:i/>
                <w:noProof/>
                <w:webHidden/>
                <w:sz w:val="24"/>
                <w:szCs w:val="24"/>
              </w:rPr>
              <w:fldChar w:fldCharType="begin"/>
            </w:r>
            <w:r w:rsidR="00191F34" w:rsidRPr="00135AAA">
              <w:rPr>
                <w:rFonts w:ascii="Times New Roman" w:hAnsi="Times New Roman"/>
                <w:i/>
                <w:noProof/>
                <w:webHidden/>
                <w:sz w:val="24"/>
                <w:szCs w:val="24"/>
              </w:rPr>
              <w:instrText xml:space="preserve"> PAGEREF _Toc33186628 \h </w:instrText>
            </w:r>
            <w:r w:rsidR="00191F34" w:rsidRPr="00135AAA">
              <w:rPr>
                <w:rFonts w:ascii="Times New Roman" w:hAnsi="Times New Roman"/>
                <w:i/>
                <w:noProof/>
                <w:webHidden/>
                <w:sz w:val="24"/>
                <w:szCs w:val="24"/>
              </w:rPr>
            </w:r>
            <w:r w:rsidR="00191F34" w:rsidRPr="00135AAA">
              <w:rPr>
                <w:rFonts w:ascii="Times New Roman" w:hAnsi="Times New Roman"/>
                <w:i/>
                <w:noProof/>
                <w:webHidden/>
                <w:sz w:val="24"/>
                <w:szCs w:val="24"/>
              </w:rPr>
              <w:fldChar w:fldCharType="separate"/>
            </w:r>
            <w:r w:rsidR="00191F34" w:rsidRPr="00135AAA">
              <w:rPr>
                <w:rFonts w:ascii="Times New Roman" w:hAnsi="Times New Roman"/>
                <w:i/>
                <w:noProof/>
                <w:webHidden/>
                <w:sz w:val="24"/>
                <w:szCs w:val="24"/>
              </w:rPr>
              <w:t>18</w:t>
            </w:r>
            <w:r w:rsidR="00191F34" w:rsidRPr="00135AAA">
              <w:rPr>
                <w:rFonts w:ascii="Times New Roman" w:hAnsi="Times New Roman"/>
                <w:i/>
                <w:noProof/>
                <w:webHidden/>
                <w:sz w:val="24"/>
                <w:szCs w:val="24"/>
              </w:rPr>
              <w:fldChar w:fldCharType="end"/>
            </w:r>
          </w:hyperlink>
        </w:p>
        <w:p w14:paraId="7E0D72C8" w14:textId="46B6B2E9" w:rsidR="00191F34" w:rsidRPr="00135AAA" w:rsidRDefault="00E7036F">
          <w:pPr>
            <w:pStyle w:val="TOC2"/>
            <w:rPr>
              <w:rFonts w:ascii="Times New Roman" w:hAnsi="Times New Roman"/>
              <w:i/>
              <w:noProof/>
              <w:sz w:val="24"/>
              <w:szCs w:val="24"/>
              <w:lang w:val="lv-LV" w:eastAsia="lv-LV"/>
            </w:rPr>
          </w:pPr>
          <w:hyperlink w:anchor="_Toc33186629" w:history="1">
            <w:r w:rsidR="00191F34" w:rsidRPr="00135AAA">
              <w:rPr>
                <w:rStyle w:val="Hyperlink"/>
                <w:rFonts w:ascii="Times New Roman" w:hAnsi="Times New Roman"/>
                <w:i/>
                <w:noProof/>
                <w:sz w:val="24"/>
                <w:szCs w:val="24"/>
              </w:rPr>
              <w:t>4.4.</w:t>
            </w:r>
            <w:r w:rsidR="00191F34" w:rsidRPr="00135AAA">
              <w:rPr>
                <w:rFonts w:ascii="Times New Roman" w:hAnsi="Times New Roman"/>
                <w:i/>
                <w:noProof/>
                <w:sz w:val="24"/>
                <w:szCs w:val="24"/>
                <w:lang w:val="lv-LV" w:eastAsia="lv-LV"/>
              </w:rPr>
              <w:tab/>
            </w:r>
            <w:r w:rsidR="00191F34" w:rsidRPr="00135AAA">
              <w:rPr>
                <w:rStyle w:val="Hyperlink"/>
                <w:rFonts w:ascii="Times New Roman" w:hAnsi="Times New Roman"/>
                <w:i/>
                <w:noProof/>
                <w:sz w:val="24"/>
                <w:szCs w:val="24"/>
              </w:rPr>
              <w:t>VSAOI likmes pārdale starp darba devēju un darba ņēmēju</w:t>
            </w:r>
            <w:r w:rsidR="00191F34" w:rsidRPr="00135AAA">
              <w:rPr>
                <w:rFonts w:ascii="Times New Roman" w:hAnsi="Times New Roman"/>
                <w:i/>
                <w:noProof/>
                <w:webHidden/>
                <w:sz w:val="24"/>
                <w:szCs w:val="24"/>
              </w:rPr>
              <w:tab/>
            </w:r>
            <w:r w:rsidR="00191F34" w:rsidRPr="00135AAA">
              <w:rPr>
                <w:rFonts w:ascii="Times New Roman" w:hAnsi="Times New Roman"/>
                <w:i/>
                <w:noProof/>
                <w:webHidden/>
                <w:sz w:val="24"/>
                <w:szCs w:val="24"/>
              </w:rPr>
              <w:fldChar w:fldCharType="begin"/>
            </w:r>
            <w:r w:rsidR="00191F34" w:rsidRPr="00135AAA">
              <w:rPr>
                <w:rFonts w:ascii="Times New Roman" w:hAnsi="Times New Roman"/>
                <w:i/>
                <w:noProof/>
                <w:webHidden/>
                <w:sz w:val="24"/>
                <w:szCs w:val="24"/>
              </w:rPr>
              <w:instrText xml:space="preserve"> PAGEREF _Toc33186629 \h </w:instrText>
            </w:r>
            <w:r w:rsidR="00191F34" w:rsidRPr="00135AAA">
              <w:rPr>
                <w:rFonts w:ascii="Times New Roman" w:hAnsi="Times New Roman"/>
                <w:i/>
                <w:noProof/>
                <w:webHidden/>
                <w:sz w:val="24"/>
                <w:szCs w:val="24"/>
              </w:rPr>
            </w:r>
            <w:r w:rsidR="00191F34" w:rsidRPr="00135AAA">
              <w:rPr>
                <w:rFonts w:ascii="Times New Roman" w:hAnsi="Times New Roman"/>
                <w:i/>
                <w:noProof/>
                <w:webHidden/>
                <w:sz w:val="24"/>
                <w:szCs w:val="24"/>
              </w:rPr>
              <w:fldChar w:fldCharType="separate"/>
            </w:r>
            <w:r w:rsidR="00191F34" w:rsidRPr="00135AAA">
              <w:rPr>
                <w:rFonts w:ascii="Times New Roman" w:hAnsi="Times New Roman"/>
                <w:i/>
                <w:noProof/>
                <w:webHidden/>
                <w:sz w:val="24"/>
                <w:szCs w:val="24"/>
              </w:rPr>
              <w:t>19</w:t>
            </w:r>
            <w:r w:rsidR="00191F34" w:rsidRPr="00135AAA">
              <w:rPr>
                <w:rFonts w:ascii="Times New Roman" w:hAnsi="Times New Roman"/>
                <w:i/>
                <w:noProof/>
                <w:webHidden/>
                <w:sz w:val="24"/>
                <w:szCs w:val="24"/>
              </w:rPr>
              <w:fldChar w:fldCharType="end"/>
            </w:r>
          </w:hyperlink>
        </w:p>
        <w:p w14:paraId="64F96AA6" w14:textId="4D90C6A8" w:rsidR="00191F34" w:rsidRPr="00135AAA" w:rsidRDefault="00E7036F">
          <w:pPr>
            <w:pStyle w:val="TOC2"/>
            <w:rPr>
              <w:rFonts w:ascii="Times New Roman" w:hAnsi="Times New Roman"/>
              <w:i/>
              <w:noProof/>
              <w:sz w:val="24"/>
              <w:szCs w:val="24"/>
              <w:lang w:val="lv-LV" w:eastAsia="lv-LV"/>
            </w:rPr>
          </w:pPr>
          <w:hyperlink w:anchor="_Toc33186630" w:history="1">
            <w:r w:rsidR="00191F34" w:rsidRPr="00135AAA">
              <w:rPr>
                <w:rStyle w:val="Hyperlink"/>
                <w:rFonts w:ascii="Times New Roman" w:hAnsi="Times New Roman"/>
                <w:i/>
                <w:noProof/>
                <w:sz w:val="24"/>
                <w:szCs w:val="24"/>
              </w:rPr>
              <w:t>4.5. Autoratlīdzību saņēmēju loka sašaurināšana</w:t>
            </w:r>
            <w:r w:rsidR="00191F34" w:rsidRPr="00135AAA">
              <w:rPr>
                <w:rFonts w:ascii="Times New Roman" w:hAnsi="Times New Roman"/>
                <w:i/>
                <w:noProof/>
                <w:webHidden/>
                <w:sz w:val="24"/>
                <w:szCs w:val="24"/>
              </w:rPr>
              <w:tab/>
            </w:r>
            <w:r w:rsidR="00191F34" w:rsidRPr="00135AAA">
              <w:rPr>
                <w:rFonts w:ascii="Times New Roman" w:hAnsi="Times New Roman"/>
                <w:i/>
                <w:noProof/>
                <w:webHidden/>
                <w:sz w:val="24"/>
                <w:szCs w:val="24"/>
              </w:rPr>
              <w:fldChar w:fldCharType="begin"/>
            </w:r>
            <w:r w:rsidR="00191F34" w:rsidRPr="00135AAA">
              <w:rPr>
                <w:rFonts w:ascii="Times New Roman" w:hAnsi="Times New Roman"/>
                <w:i/>
                <w:noProof/>
                <w:webHidden/>
                <w:sz w:val="24"/>
                <w:szCs w:val="24"/>
              </w:rPr>
              <w:instrText xml:space="preserve"> PAGEREF _Toc33186630 \h </w:instrText>
            </w:r>
            <w:r w:rsidR="00191F34" w:rsidRPr="00135AAA">
              <w:rPr>
                <w:rFonts w:ascii="Times New Roman" w:hAnsi="Times New Roman"/>
                <w:i/>
                <w:noProof/>
                <w:webHidden/>
                <w:sz w:val="24"/>
                <w:szCs w:val="24"/>
              </w:rPr>
            </w:r>
            <w:r w:rsidR="00191F34" w:rsidRPr="00135AAA">
              <w:rPr>
                <w:rFonts w:ascii="Times New Roman" w:hAnsi="Times New Roman"/>
                <w:i/>
                <w:noProof/>
                <w:webHidden/>
                <w:sz w:val="24"/>
                <w:szCs w:val="24"/>
              </w:rPr>
              <w:fldChar w:fldCharType="separate"/>
            </w:r>
            <w:r w:rsidR="00191F34" w:rsidRPr="00135AAA">
              <w:rPr>
                <w:rFonts w:ascii="Times New Roman" w:hAnsi="Times New Roman"/>
                <w:i/>
                <w:noProof/>
                <w:webHidden/>
                <w:sz w:val="24"/>
                <w:szCs w:val="24"/>
              </w:rPr>
              <w:t>19</w:t>
            </w:r>
            <w:r w:rsidR="00191F34" w:rsidRPr="00135AAA">
              <w:rPr>
                <w:rFonts w:ascii="Times New Roman" w:hAnsi="Times New Roman"/>
                <w:i/>
                <w:noProof/>
                <w:webHidden/>
                <w:sz w:val="24"/>
                <w:szCs w:val="24"/>
              </w:rPr>
              <w:fldChar w:fldCharType="end"/>
            </w:r>
          </w:hyperlink>
        </w:p>
        <w:p w14:paraId="4F7D5638" w14:textId="442CF63D" w:rsidR="00191F34" w:rsidRPr="00135AAA" w:rsidRDefault="00E7036F" w:rsidP="00135AAA">
          <w:pPr>
            <w:pStyle w:val="TOC1"/>
            <w:rPr>
              <w:lang w:val="lv-LV" w:eastAsia="lv-LV"/>
            </w:rPr>
          </w:pPr>
          <w:hyperlink w:anchor="_Toc33186631" w:history="1">
            <w:r w:rsidR="00191F34" w:rsidRPr="00135AAA">
              <w:rPr>
                <w:rStyle w:val="Hyperlink"/>
              </w:rPr>
              <w:t>5. Nekustamā īpašuma nodoklis</w:t>
            </w:r>
            <w:r w:rsidR="00191F34" w:rsidRPr="00135AAA">
              <w:rPr>
                <w:b w:val="0"/>
                <w:webHidden/>
              </w:rPr>
              <w:tab/>
            </w:r>
            <w:r w:rsidR="00191F34" w:rsidRPr="00135AAA">
              <w:rPr>
                <w:webHidden/>
              </w:rPr>
              <w:fldChar w:fldCharType="begin"/>
            </w:r>
            <w:r w:rsidR="00191F34" w:rsidRPr="00135AAA">
              <w:rPr>
                <w:webHidden/>
              </w:rPr>
              <w:instrText xml:space="preserve"> PAGEREF _Toc33186631 \h </w:instrText>
            </w:r>
            <w:r w:rsidR="00191F34" w:rsidRPr="00135AAA">
              <w:rPr>
                <w:webHidden/>
              </w:rPr>
            </w:r>
            <w:r w:rsidR="00191F34" w:rsidRPr="00135AAA">
              <w:rPr>
                <w:webHidden/>
              </w:rPr>
              <w:fldChar w:fldCharType="separate"/>
            </w:r>
            <w:r w:rsidR="00191F34" w:rsidRPr="00135AAA">
              <w:rPr>
                <w:webHidden/>
              </w:rPr>
              <w:t>20</w:t>
            </w:r>
            <w:r w:rsidR="00191F34" w:rsidRPr="00135AAA">
              <w:rPr>
                <w:webHidden/>
              </w:rPr>
              <w:fldChar w:fldCharType="end"/>
            </w:r>
          </w:hyperlink>
        </w:p>
        <w:p w14:paraId="16617C1C" w14:textId="66CDA44D" w:rsidR="00191F34" w:rsidRPr="00135AAA" w:rsidRDefault="00E7036F" w:rsidP="00135AAA">
          <w:pPr>
            <w:pStyle w:val="TOC1"/>
            <w:rPr>
              <w:lang w:val="lv-LV" w:eastAsia="lv-LV"/>
            </w:rPr>
          </w:pPr>
          <w:hyperlink w:anchor="_Toc33186632" w:history="1">
            <w:r w:rsidR="00191F34" w:rsidRPr="00135AAA">
              <w:rPr>
                <w:rStyle w:val="Hyperlink"/>
              </w:rPr>
              <w:t>6. Akcīzes nodoklis</w:t>
            </w:r>
            <w:r w:rsidR="00191F34" w:rsidRPr="00135AAA">
              <w:rPr>
                <w:b w:val="0"/>
                <w:webHidden/>
              </w:rPr>
              <w:tab/>
            </w:r>
            <w:r w:rsidR="00191F34" w:rsidRPr="00135AAA">
              <w:rPr>
                <w:webHidden/>
              </w:rPr>
              <w:fldChar w:fldCharType="begin"/>
            </w:r>
            <w:r w:rsidR="00191F34" w:rsidRPr="00135AAA">
              <w:rPr>
                <w:webHidden/>
              </w:rPr>
              <w:instrText xml:space="preserve"> PAGEREF _Toc33186632 \h </w:instrText>
            </w:r>
            <w:r w:rsidR="00191F34" w:rsidRPr="00135AAA">
              <w:rPr>
                <w:webHidden/>
              </w:rPr>
            </w:r>
            <w:r w:rsidR="00191F34" w:rsidRPr="00135AAA">
              <w:rPr>
                <w:webHidden/>
              </w:rPr>
              <w:fldChar w:fldCharType="separate"/>
            </w:r>
            <w:r w:rsidR="00191F34" w:rsidRPr="00135AAA">
              <w:rPr>
                <w:webHidden/>
              </w:rPr>
              <w:t>22</w:t>
            </w:r>
            <w:r w:rsidR="00191F34" w:rsidRPr="00135AAA">
              <w:rPr>
                <w:webHidden/>
              </w:rPr>
              <w:fldChar w:fldCharType="end"/>
            </w:r>
          </w:hyperlink>
        </w:p>
        <w:p w14:paraId="34E308E0" w14:textId="0B64CBAA" w:rsidR="00191F34" w:rsidRPr="00135AAA" w:rsidRDefault="00E7036F">
          <w:pPr>
            <w:pStyle w:val="TOC2"/>
            <w:rPr>
              <w:rFonts w:ascii="Times New Roman" w:hAnsi="Times New Roman"/>
              <w:i/>
              <w:noProof/>
              <w:sz w:val="24"/>
              <w:szCs w:val="24"/>
              <w:lang w:val="lv-LV" w:eastAsia="lv-LV"/>
            </w:rPr>
          </w:pPr>
          <w:hyperlink w:anchor="_Toc33186633" w:history="1">
            <w:r w:rsidR="00191F34" w:rsidRPr="00135AAA">
              <w:rPr>
                <w:rStyle w:val="Hyperlink"/>
                <w:rFonts w:ascii="Times New Roman" w:hAnsi="Times New Roman"/>
                <w:i/>
                <w:noProof/>
                <w:sz w:val="24"/>
                <w:szCs w:val="24"/>
              </w:rPr>
              <w:t>6.1. Akcīzes nodokļa likmju naftas produktiem un kurināmajiem</w:t>
            </w:r>
            <w:r w:rsidR="00135AAA">
              <w:rPr>
                <w:rStyle w:val="Hyperlink"/>
                <w:rFonts w:ascii="Times New Roman" w:hAnsi="Times New Roman"/>
                <w:i/>
                <w:noProof/>
                <w:sz w:val="24"/>
                <w:szCs w:val="24"/>
              </w:rPr>
              <w:t xml:space="preserve">                                </w:t>
            </w:r>
            <w:r w:rsidR="00191F34" w:rsidRPr="00135AAA">
              <w:rPr>
                <w:rStyle w:val="Hyperlink"/>
                <w:rFonts w:ascii="Times New Roman" w:hAnsi="Times New Roman"/>
                <w:i/>
                <w:noProof/>
                <w:sz w:val="24"/>
                <w:szCs w:val="24"/>
              </w:rPr>
              <w:t xml:space="preserve"> CO</w:t>
            </w:r>
            <w:r w:rsidR="00191F34" w:rsidRPr="00135AAA">
              <w:rPr>
                <w:rStyle w:val="Hyperlink"/>
                <w:rFonts w:ascii="Times New Roman" w:hAnsi="Times New Roman"/>
                <w:i/>
                <w:noProof/>
                <w:sz w:val="24"/>
                <w:szCs w:val="24"/>
                <w:vertAlign w:val="subscript"/>
              </w:rPr>
              <w:t>2</w:t>
            </w:r>
            <w:r w:rsidR="00191F34" w:rsidRPr="00135AAA">
              <w:rPr>
                <w:rStyle w:val="Hyperlink"/>
                <w:rFonts w:ascii="Times New Roman" w:hAnsi="Times New Roman"/>
                <w:i/>
                <w:noProof/>
                <w:sz w:val="24"/>
                <w:szCs w:val="24"/>
              </w:rPr>
              <w:t xml:space="preserve"> komponentes noteikšana</w:t>
            </w:r>
            <w:r w:rsidR="00191F34" w:rsidRPr="00135AAA">
              <w:rPr>
                <w:rFonts w:ascii="Times New Roman" w:hAnsi="Times New Roman"/>
                <w:i/>
                <w:noProof/>
                <w:webHidden/>
                <w:sz w:val="24"/>
                <w:szCs w:val="24"/>
              </w:rPr>
              <w:tab/>
            </w:r>
            <w:r w:rsidR="00191F34" w:rsidRPr="00135AAA">
              <w:rPr>
                <w:rFonts w:ascii="Times New Roman" w:hAnsi="Times New Roman"/>
                <w:i/>
                <w:noProof/>
                <w:webHidden/>
                <w:sz w:val="24"/>
                <w:szCs w:val="24"/>
              </w:rPr>
              <w:fldChar w:fldCharType="begin"/>
            </w:r>
            <w:r w:rsidR="00191F34" w:rsidRPr="00135AAA">
              <w:rPr>
                <w:rFonts w:ascii="Times New Roman" w:hAnsi="Times New Roman"/>
                <w:i/>
                <w:noProof/>
                <w:webHidden/>
                <w:sz w:val="24"/>
                <w:szCs w:val="24"/>
              </w:rPr>
              <w:instrText xml:space="preserve"> PAGEREF _Toc33186633 \h </w:instrText>
            </w:r>
            <w:r w:rsidR="00191F34" w:rsidRPr="00135AAA">
              <w:rPr>
                <w:rFonts w:ascii="Times New Roman" w:hAnsi="Times New Roman"/>
                <w:i/>
                <w:noProof/>
                <w:webHidden/>
                <w:sz w:val="24"/>
                <w:szCs w:val="24"/>
              </w:rPr>
            </w:r>
            <w:r w:rsidR="00191F34" w:rsidRPr="00135AAA">
              <w:rPr>
                <w:rFonts w:ascii="Times New Roman" w:hAnsi="Times New Roman"/>
                <w:i/>
                <w:noProof/>
                <w:webHidden/>
                <w:sz w:val="24"/>
                <w:szCs w:val="24"/>
              </w:rPr>
              <w:fldChar w:fldCharType="separate"/>
            </w:r>
            <w:r w:rsidR="00191F34" w:rsidRPr="00135AAA">
              <w:rPr>
                <w:rFonts w:ascii="Times New Roman" w:hAnsi="Times New Roman"/>
                <w:i/>
                <w:noProof/>
                <w:webHidden/>
                <w:sz w:val="24"/>
                <w:szCs w:val="24"/>
              </w:rPr>
              <w:t>22</w:t>
            </w:r>
            <w:r w:rsidR="00191F34" w:rsidRPr="00135AAA">
              <w:rPr>
                <w:rFonts w:ascii="Times New Roman" w:hAnsi="Times New Roman"/>
                <w:i/>
                <w:noProof/>
                <w:webHidden/>
                <w:sz w:val="24"/>
                <w:szCs w:val="24"/>
              </w:rPr>
              <w:fldChar w:fldCharType="end"/>
            </w:r>
          </w:hyperlink>
        </w:p>
        <w:p w14:paraId="04D856E4" w14:textId="5324D372" w:rsidR="00191F34" w:rsidRPr="00135AAA" w:rsidRDefault="00E7036F">
          <w:pPr>
            <w:pStyle w:val="TOC2"/>
            <w:rPr>
              <w:rFonts w:ascii="Times New Roman" w:hAnsi="Times New Roman"/>
              <w:i/>
              <w:noProof/>
              <w:sz w:val="24"/>
              <w:szCs w:val="24"/>
              <w:lang w:val="lv-LV" w:eastAsia="lv-LV"/>
            </w:rPr>
          </w:pPr>
          <w:hyperlink w:anchor="_Toc33186634" w:history="1">
            <w:r w:rsidR="00191F34" w:rsidRPr="00135AAA">
              <w:rPr>
                <w:rStyle w:val="Hyperlink"/>
                <w:rFonts w:ascii="Times New Roman" w:hAnsi="Times New Roman"/>
                <w:i/>
                <w:noProof/>
                <w:sz w:val="24"/>
                <w:szCs w:val="24"/>
              </w:rPr>
              <w:t>6.2. Akcīzes nodokļa likmju tabakas izstrādājumiem izmaiņu scenāriji</w:t>
            </w:r>
            <w:r w:rsidR="00191F34" w:rsidRPr="00135AAA">
              <w:rPr>
                <w:rFonts w:ascii="Times New Roman" w:hAnsi="Times New Roman"/>
                <w:i/>
                <w:noProof/>
                <w:webHidden/>
                <w:sz w:val="24"/>
                <w:szCs w:val="24"/>
              </w:rPr>
              <w:tab/>
            </w:r>
            <w:r w:rsidR="00191F34" w:rsidRPr="00135AAA">
              <w:rPr>
                <w:rFonts w:ascii="Times New Roman" w:hAnsi="Times New Roman"/>
                <w:i/>
                <w:noProof/>
                <w:webHidden/>
                <w:sz w:val="24"/>
                <w:szCs w:val="24"/>
              </w:rPr>
              <w:fldChar w:fldCharType="begin"/>
            </w:r>
            <w:r w:rsidR="00191F34" w:rsidRPr="00135AAA">
              <w:rPr>
                <w:rFonts w:ascii="Times New Roman" w:hAnsi="Times New Roman"/>
                <w:i/>
                <w:noProof/>
                <w:webHidden/>
                <w:sz w:val="24"/>
                <w:szCs w:val="24"/>
              </w:rPr>
              <w:instrText xml:space="preserve"> PAGEREF _Toc33186634 \h </w:instrText>
            </w:r>
            <w:r w:rsidR="00191F34" w:rsidRPr="00135AAA">
              <w:rPr>
                <w:rFonts w:ascii="Times New Roman" w:hAnsi="Times New Roman"/>
                <w:i/>
                <w:noProof/>
                <w:webHidden/>
                <w:sz w:val="24"/>
                <w:szCs w:val="24"/>
              </w:rPr>
            </w:r>
            <w:r w:rsidR="00191F34" w:rsidRPr="00135AAA">
              <w:rPr>
                <w:rFonts w:ascii="Times New Roman" w:hAnsi="Times New Roman"/>
                <w:i/>
                <w:noProof/>
                <w:webHidden/>
                <w:sz w:val="24"/>
                <w:szCs w:val="24"/>
              </w:rPr>
              <w:fldChar w:fldCharType="separate"/>
            </w:r>
            <w:r w:rsidR="00191F34" w:rsidRPr="00135AAA">
              <w:rPr>
                <w:rFonts w:ascii="Times New Roman" w:hAnsi="Times New Roman"/>
                <w:i/>
                <w:noProof/>
                <w:webHidden/>
                <w:sz w:val="24"/>
                <w:szCs w:val="24"/>
              </w:rPr>
              <w:t>25</w:t>
            </w:r>
            <w:r w:rsidR="00191F34" w:rsidRPr="00135AAA">
              <w:rPr>
                <w:rFonts w:ascii="Times New Roman" w:hAnsi="Times New Roman"/>
                <w:i/>
                <w:noProof/>
                <w:webHidden/>
                <w:sz w:val="24"/>
                <w:szCs w:val="24"/>
              </w:rPr>
              <w:fldChar w:fldCharType="end"/>
            </w:r>
          </w:hyperlink>
        </w:p>
        <w:p w14:paraId="7A8A1050" w14:textId="1616AA17" w:rsidR="00191F34" w:rsidRPr="00135AAA" w:rsidRDefault="00E7036F" w:rsidP="00135AAA">
          <w:pPr>
            <w:pStyle w:val="TOC1"/>
            <w:rPr>
              <w:lang w:val="lv-LV" w:eastAsia="lv-LV"/>
            </w:rPr>
          </w:pPr>
          <w:hyperlink w:anchor="_Toc33186635" w:history="1">
            <w:r w:rsidR="00191F34" w:rsidRPr="00135AAA">
              <w:rPr>
                <w:rStyle w:val="Hyperlink"/>
              </w:rPr>
              <w:t>7. Pievienotās vērtības nodoklis</w:t>
            </w:r>
            <w:r w:rsidR="00191F34" w:rsidRPr="00135AAA">
              <w:rPr>
                <w:b w:val="0"/>
                <w:webHidden/>
              </w:rPr>
              <w:tab/>
            </w:r>
            <w:r w:rsidR="00191F34" w:rsidRPr="00135AAA">
              <w:rPr>
                <w:webHidden/>
              </w:rPr>
              <w:fldChar w:fldCharType="begin"/>
            </w:r>
            <w:r w:rsidR="00191F34" w:rsidRPr="00135AAA">
              <w:rPr>
                <w:webHidden/>
              </w:rPr>
              <w:instrText xml:space="preserve"> PAGEREF _Toc33186635 \h </w:instrText>
            </w:r>
            <w:r w:rsidR="00191F34" w:rsidRPr="00135AAA">
              <w:rPr>
                <w:webHidden/>
              </w:rPr>
            </w:r>
            <w:r w:rsidR="00191F34" w:rsidRPr="00135AAA">
              <w:rPr>
                <w:webHidden/>
              </w:rPr>
              <w:fldChar w:fldCharType="separate"/>
            </w:r>
            <w:r w:rsidR="00191F34" w:rsidRPr="00135AAA">
              <w:rPr>
                <w:webHidden/>
              </w:rPr>
              <w:t>29</w:t>
            </w:r>
            <w:r w:rsidR="00191F34" w:rsidRPr="00135AAA">
              <w:rPr>
                <w:webHidden/>
              </w:rPr>
              <w:fldChar w:fldCharType="end"/>
            </w:r>
          </w:hyperlink>
        </w:p>
        <w:p w14:paraId="1DA0C2B4" w14:textId="279EE196" w:rsidR="00191F34" w:rsidRPr="00135AAA" w:rsidRDefault="00E7036F" w:rsidP="00135AAA">
          <w:pPr>
            <w:pStyle w:val="TOC1"/>
            <w:rPr>
              <w:lang w:val="lv-LV" w:eastAsia="lv-LV"/>
            </w:rPr>
          </w:pPr>
          <w:hyperlink w:anchor="_Toc33186636" w:history="1">
            <w:r w:rsidR="00191F34" w:rsidRPr="00135AAA">
              <w:rPr>
                <w:rStyle w:val="Hyperlink"/>
              </w:rPr>
              <w:t>8. Dabas resursu nodoklis</w:t>
            </w:r>
            <w:r w:rsidR="00191F34" w:rsidRPr="00135AAA">
              <w:rPr>
                <w:b w:val="0"/>
                <w:webHidden/>
              </w:rPr>
              <w:tab/>
            </w:r>
            <w:r w:rsidR="00191F34" w:rsidRPr="00135AAA">
              <w:rPr>
                <w:webHidden/>
              </w:rPr>
              <w:fldChar w:fldCharType="begin"/>
            </w:r>
            <w:r w:rsidR="00191F34" w:rsidRPr="00135AAA">
              <w:rPr>
                <w:webHidden/>
              </w:rPr>
              <w:instrText xml:space="preserve"> PAGEREF _Toc33186636 \h </w:instrText>
            </w:r>
            <w:r w:rsidR="00191F34" w:rsidRPr="00135AAA">
              <w:rPr>
                <w:webHidden/>
              </w:rPr>
            </w:r>
            <w:r w:rsidR="00191F34" w:rsidRPr="00135AAA">
              <w:rPr>
                <w:webHidden/>
              </w:rPr>
              <w:fldChar w:fldCharType="separate"/>
            </w:r>
            <w:r w:rsidR="00191F34" w:rsidRPr="00135AAA">
              <w:rPr>
                <w:webHidden/>
              </w:rPr>
              <w:t>32</w:t>
            </w:r>
            <w:r w:rsidR="00191F34" w:rsidRPr="00135AAA">
              <w:rPr>
                <w:webHidden/>
              </w:rPr>
              <w:fldChar w:fldCharType="end"/>
            </w:r>
          </w:hyperlink>
        </w:p>
        <w:p w14:paraId="3B5A2DC3" w14:textId="65CA2A09" w:rsidR="00191F34" w:rsidRPr="00135AAA" w:rsidRDefault="00E7036F" w:rsidP="00135AAA">
          <w:pPr>
            <w:pStyle w:val="TOC1"/>
            <w:rPr>
              <w:lang w:val="lv-LV" w:eastAsia="lv-LV"/>
            </w:rPr>
          </w:pPr>
          <w:hyperlink w:anchor="_Toc33186637" w:history="1">
            <w:r w:rsidR="00191F34" w:rsidRPr="00135AAA">
              <w:rPr>
                <w:rStyle w:val="Hyperlink"/>
              </w:rPr>
              <w:t>9. Transportlīdzekļu nodokļi un nodevas</w:t>
            </w:r>
            <w:r w:rsidR="00191F34" w:rsidRPr="00135AAA">
              <w:rPr>
                <w:b w:val="0"/>
                <w:webHidden/>
              </w:rPr>
              <w:tab/>
            </w:r>
            <w:r w:rsidR="00191F34" w:rsidRPr="00135AAA">
              <w:rPr>
                <w:webHidden/>
              </w:rPr>
              <w:fldChar w:fldCharType="begin"/>
            </w:r>
            <w:r w:rsidR="00191F34" w:rsidRPr="00135AAA">
              <w:rPr>
                <w:webHidden/>
              </w:rPr>
              <w:instrText xml:space="preserve"> PAGEREF _Toc33186637 \h </w:instrText>
            </w:r>
            <w:r w:rsidR="00191F34" w:rsidRPr="00135AAA">
              <w:rPr>
                <w:webHidden/>
              </w:rPr>
            </w:r>
            <w:r w:rsidR="00191F34" w:rsidRPr="00135AAA">
              <w:rPr>
                <w:webHidden/>
              </w:rPr>
              <w:fldChar w:fldCharType="separate"/>
            </w:r>
            <w:r w:rsidR="00191F34" w:rsidRPr="00135AAA">
              <w:rPr>
                <w:webHidden/>
              </w:rPr>
              <w:t>37</w:t>
            </w:r>
            <w:r w:rsidR="00191F34" w:rsidRPr="00135AAA">
              <w:rPr>
                <w:webHidden/>
              </w:rPr>
              <w:fldChar w:fldCharType="end"/>
            </w:r>
          </w:hyperlink>
        </w:p>
        <w:p w14:paraId="0D9A586D" w14:textId="66C7C6AB" w:rsidR="00191F34" w:rsidRPr="00135AAA" w:rsidRDefault="00E7036F">
          <w:pPr>
            <w:pStyle w:val="TOC2"/>
            <w:rPr>
              <w:rFonts w:ascii="Times New Roman" w:hAnsi="Times New Roman"/>
              <w:i/>
              <w:noProof/>
              <w:sz w:val="24"/>
              <w:szCs w:val="24"/>
              <w:lang w:val="lv-LV" w:eastAsia="lv-LV"/>
            </w:rPr>
          </w:pPr>
          <w:hyperlink w:anchor="_Toc33186638" w:history="1">
            <w:r w:rsidR="00191F34" w:rsidRPr="00135AAA">
              <w:rPr>
                <w:rStyle w:val="Hyperlink"/>
                <w:rFonts w:ascii="Times New Roman" w:hAnsi="Times New Roman"/>
                <w:i/>
                <w:noProof/>
                <w:sz w:val="24"/>
                <w:szCs w:val="24"/>
              </w:rPr>
              <w:t xml:space="preserve">9.1. </w:t>
            </w:r>
            <w:r w:rsidR="00191F34" w:rsidRPr="00135AAA">
              <w:rPr>
                <w:rFonts w:ascii="Times New Roman" w:hAnsi="Times New Roman"/>
                <w:i/>
                <w:noProof/>
                <w:sz w:val="24"/>
                <w:szCs w:val="24"/>
                <w:lang w:val="lv-LV" w:eastAsia="lv-LV"/>
              </w:rPr>
              <w:tab/>
            </w:r>
            <w:r w:rsidR="00191F34" w:rsidRPr="00135AAA">
              <w:rPr>
                <w:rStyle w:val="Hyperlink"/>
                <w:rFonts w:ascii="Times New Roman" w:hAnsi="Times New Roman"/>
                <w:i/>
                <w:noProof/>
                <w:sz w:val="24"/>
                <w:szCs w:val="24"/>
              </w:rPr>
              <w:t>Transportlīdzekļa ekspluatācijas nodoklis</w:t>
            </w:r>
            <w:r w:rsidR="00191F34" w:rsidRPr="00135AAA">
              <w:rPr>
                <w:rFonts w:ascii="Times New Roman" w:hAnsi="Times New Roman"/>
                <w:i/>
                <w:noProof/>
                <w:webHidden/>
                <w:sz w:val="24"/>
                <w:szCs w:val="24"/>
              </w:rPr>
              <w:tab/>
            </w:r>
            <w:r w:rsidR="00191F34" w:rsidRPr="00135AAA">
              <w:rPr>
                <w:rFonts w:ascii="Times New Roman" w:hAnsi="Times New Roman"/>
                <w:i/>
                <w:noProof/>
                <w:webHidden/>
                <w:sz w:val="24"/>
                <w:szCs w:val="24"/>
              </w:rPr>
              <w:fldChar w:fldCharType="begin"/>
            </w:r>
            <w:r w:rsidR="00191F34" w:rsidRPr="00135AAA">
              <w:rPr>
                <w:rFonts w:ascii="Times New Roman" w:hAnsi="Times New Roman"/>
                <w:i/>
                <w:noProof/>
                <w:webHidden/>
                <w:sz w:val="24"/>
                <w:szCs w:val="24"/>
              </w:rPr>
              <w:instrText xml:space="preserve"> PAGEREF _Toc33186638 \h </w:instrText>
            </w:r>
            <w:r w:rsidR="00191F34" w:rsidRPr="00135AAA">
              <w:rPr>
                <w:rFonts w:ascii="Times New Roman" w:hAnsi="Times New Roman"/>
                <w:i/>
                <w:noProof/>
                <w:webHidden/>
                <w:sz w:val="24"/>
                <w:szCs w:val="24"/>
              </w:rPr>
            </w:r>
            <w:r w:rsidR="00191F34" w:rsidRPr="00135AAA">
              <w:rPr>
                <w:rFonts w:ascii="Times New Roman" w:hAnsi="Times New Roman"/>
                <w:i/>
                <w:noProof/>
                <w:webHidden/>
                <w:sz w:val="24"/>
                <w:szCs w:val="24"/>
              </w:rPr>
              <w:fldChar w:fldCharType="separate"/>
            </w:r>
            <w:r w:rsidR="00191F34" w:rsidRPr="00135AAA">
              <w:rPr>
                <w:rFonts w:ascii="Times New Roman" w:hAnsi="Times New Roman"/>
                <w:i/>
                <w:noProof/>
                <w:webHidden/>
                <w:sz w:val="24"/>
                <w:szCs w:val="24"/>
              </w:rPr>
              <w:t>37</w:t>
            </w:r>
            <w:r w:rsidR="00191F34" w:rsidRPr="00135AAA">
              <w:rPr>
                <w:rFonts w:ascii="Times New Roman" w:hAnsi="Times New Roman"/>
                <w:i/>
                <w:noProof/>
                <w:webHidden/>
                <w:sz w:val="24"/>
                <w:szCs w:val="24"/>
              </w:rPr>
              <w:fldChar w:fldCharType="end"/>
            </w:r>
          </w:hyperlink>
        </w:p>
        <w:p w14:paraId="753F051E" w14:textId="52D6A728" w:rsidR="00191F34" w:rsidRPr="00135AAA" w:rsidRDefault="00E7036F">
          <w:pPr>
            <w:pStyle w:val="TOC2"/>
            <w:rPr>
              <w:rFonts w:ascii="Times New Roman" w:hAnsi="Times New Roman"/>
              <w:i/>
              <w:noProof/>
              <w:sz w:val="24"/>
              <w:szCs w:val="24"/>
              <w:lang w:val="lv-LV" w:eastAsia="lv-LV"/>
            </w:rPr>
          </w:pPr>
          <w:hyperlink w:anchor="_Toc33186639" w:history="1">
            <w:r w:rsidR="00191F34" w:rsidRPr="00135AAA">
              <w:rPr>
                <w:rStyle w:val="Hyperlink"/>
                <w:rFonts w:ascii="Times New Roman" w:hAnsi="Times New Roman"/>
                <w:i/>
                <w:noProof/>
                <w:sz w:val="24"/>
                <w:szCs w:val="24"/>
              </w:rPr>
              <w:t xml:space="preserve">9.2. </w:t>
            </w:r>
            <w:r w:rsidR="00191F34" w:rsidRPr="00135AAA">
              <w:rPr>
                <w:rFonts w:ascii="Times New Roman" w:hAnsi="Times New Roman"/>
                <w:i/>
                <w:noProof/>
                <w:sz w:val="24"/>
                <w:szCs w:val="24"/>
                <w:lang w:val="lv-LV" w:eastAsia="lv-LV"/>
              </w:rPr>
              <w:tab/>
            </w:r>
            <w:r w:rsidR="00191F34" w:rsidRPr="00135AAA">
              <w:rPr>
                <w:rStyle w:val="Hyperlink"/>
                <w:rFonts w:ascii="Times New Roman" w:hAnsi="Times New Roman"/>
                <w:i/>
                <w:noProof/>
                <w:sz w:val="24"/>
                <w:szCs w:val="24"/>
              </w:rPr>
              <w:t>Uzņēmumu vieglo transportlīdzekļu nodoklis</w:t>
            </w:r>
            <w:r w:rsidR="00191F34" w:rsidRPr="00135AAA">
              <w:rPr>
                <w:rFonts w:ascii="Times New Roman" w:hAnsi="Times New Roman"/>
                <w:i/>
                <w:noProof/>
                <w:webHidden/>
                <w:sz w:val="24"/>
                <w:szCs w:val="24"/>
              </w:rPr>
              <w:tab/>
            </w:r>
            <w:r w:rsidR="00191F34" w:rsidRPr="00135AAA">
              <w:rPr>
                <w:rFonts w:ascii="Times New Roman" w:hAnsi="Times New Roman"/>
                <w:i/>
                <w:noProof/>
                <w:webHidden/>
                <w:sz w:val="24"/>
                <w:szCs w:val="24"/>
              </w:rPr>
              <w:fldChar w:fldCharType="begin"/>
            </w:r>
            <w:r w:rsidR="00191F34" w:rsidRPr="00135AAA">
              <w:rPr>
                <w:rFonts w:ascii="Times New Roman" w:hAnsi="Times New Roman"/>
                <w:i/>
                <w:noProof/>
                <w:webHidden/>
                <w:sz w:val="24"/>
                <w:szCs w:val="24"/>
              </w:rPr>
              <w:instrText xml:space="preserve"> PAGEREF _Toc33186639 \h </w:instrText>
            </w:r>
            <w:r w:rsidR="00191F34" w:rsidRPr="00135AAA">
              <w:rPr>
                <w:rFonts w:ascii="Times New Roman" w:hAnsi="Times New Roman"/>
                <w:i/>
                <w:noProof/>
                <w:webHidden/>
                <w:sz w:val="24"/>
                <w:szCs w:val="24"/>
              </w:rPr>
            </w:r>
            <w:r w:rsidR="00191F34" w:rsidRPr="00135AAA">
              <w:rPr>
                <w:rFonts w:ascii="Times New Roman" w:hAnsi="Times New Roman"/>
                <w:i/>
                <w:noProof/>
                <w:webHidden/>
                <w:sz w:val="24"/>
                <w:szCs w:val="24"/>
              </w:rPr>
              <w:fldChar w:fldCharType="separate"/>
            </w:r>
            <w:r w:rsidR="00191F34" w:rsidRPr="00135AAA">
              <w:rPr>
                <w:rFonts w:ascii="Times New Roman" w:hAnsi="Times New Roman"/>
                <w:i/>
                <w:noProof/>
                <w:webHidden/>
                <w:sz w:val="24"/>
                <w:szCs w:val="24"/>
              </w:rPr>
              <w:t>39</w:t>
            </w:r>
            <w:r w:rsidR="00191F34" w:rsidRPr="00135AAA">
              <w:rPr>
                <w:rFonts w:ascii="Times New Roman" w:hAnsi="Times New Roman"/>
                <w:i/>
                <w:noProof/>
                <w:webHidden/>
                <w:sz w:val="24"/>
                <w:szCs w:val="24"/>
              </w:rPr>
              <w:fldChar w:fldCharType="end"/>
            </w:r>
          </w:hyperlink>
        </w:p>
        <w:p w14:paraId="0DB44098" w14:textId="01A88B31" w:rsidR="00191F34" w:rsidRPr="00135AAA" w:rsidRDefault="00E7036F">
          <w:pPr>
            <w:pStyle w:val="TOC2"/>
            <w:rPr>
              <w:rFonts w:ascii="Times New Roman" w:hAnsi="Times New Roman"/>
              <w:i/>
              <w:noProof/>
              <w:sz w:val="24"/>
              <w:szCs w:val="24"/>
              <w:lang w:val="lv-LV" w:eastAsia="lv-LV"/>
            </w:rPr>
          </w:pPr>
          <w:hyperlink w:anchor="_Toc33186640" w:history="1">
            <w:r w:rsidR="00191F34" w:rsidRPr="00135AAA">
              <w:rPr>
                <w:rStyle w:val="Hyperlink"/>
                <w:rFonts w:ascii="Times New Roman" w:hAnsi="Times New Roman"/>
                <w:i/>
                <w:noProof/>
                <w:sz w:val="24"/>
                <w:szCs w:val="24"/>
              </w:rPr>
              <w:t xml:space="preserve">9.3. </w:t>
            </w:r>
            <w:r w:rsidR="00191F34" w:rsidRPr="00135AAA">
              <w:rPr>
                <w:rFonts w:ascii="Times New Roman" w:hAnsi="Times New Roman"/>
                <w:i/>
                <w:noProof/>
                <w:sz w:val="24"/>
                <w:szCs w:val="24"/>
                <w:lang w:val="lv-LV" w:eastAsia="lv-LV"/>
              </w:rPr>
              <w:tab/>
            </w:r>
            <w:r w:rsidR="00191F34" w:rsidRPr="00135AAA">
              <w:rPr>
                <w:rStyle w:val="Hyperlink"/>
                <w:rFonts w:ascii="Times New Roman" w:hAnsi="Times New Roman"/>
                <w:i/>
                <w:noProof/>
                <w:sz w:val="24"/>
                <w:szCs w:val="24"/>
              </w:rPr>
              <w:t>Vieglo automobiļu reģistrācijas nodoklis</w:t>
            </w:r>
            <w:r w:rsidR="00191F34" w:rsidRPr="00135AAA">
              <w:rPr>
                <w:rFonts w:ascii="Times New Roman" w:hAnsi="Times New Roman"/>
                <w:i/>
                <w:noProof/>
                <w:webHidden/>
                <w:sz w:val="24"/>
                <w:szCs w:val="24"/>
              </w:rPr>
              <w:tab/>
            </w:r>
            <w:r w:rsidR="00191F34" w:rsidRPr="00135AAA">
              <w:rPr>
                <w:rFonts w:ascii="Times New Roman" w:hAnsi="Times New Roman"/>
                <w:i/>
                <w:noProof/>
                <w:webHidden/>
                <w:sz w:val="24"/>
                <w:szCs w:val="24"/>
              </w:rPr>
              <w:fldChar w:fldCharType="begin"/>
            </w:r>
            <w:r w:rsidR="00191F34" w:rsidRPr="00135AAA">
              <w:rPr>
                <w:rFonts w:ascii="Times New Roman" w:hAnsi="Times New Roman"/>
                <w:i/>
                <w:noProof/>
                <w:webHidden/>
                <w:sz w:val="24"/>
                <w:szCs w:val="24"/>
              </w:rPr>
              <w:instrText xml:space="preserve"> PAGEREF _Toc33186640 \h </w:instrText>
            </w:r>
            <w:r w:rsidR="00191F34" w:rsidRPr="00135AAA">
              <w:rPr>
                <w:rFonts w:ascii="Times New Roman" w:hAnsi="Times New Roman"/>
                <w:i/>
                <w:noProof/>
                <w:webHidden/>
                <w:sz w:val="24"/>
                <w:szCs w:val="24"/>
              </w:rPr>
            </w:r>
            <w:r w:rsidR="00191F34" w:rsidRPr="00135AAA">
              <w:rPr>
                <w:rFonts w:ascii="Times New Roman" w:hAnsi="Times New Roman"/>
                <w:i/>
                <w:noProof/>
                <w:webHidden/>
                <w:sz w:val="24"/>
                <w:szCs w:val="24"/>
              </w:rPr>
              <w:fldChar w:fldCharType="separate"/>
            </w:r>
            <w:r w:rsidR="00191F34" w:rsidRPr="00135AAA">
              <w:rPr>
                <w:rFonts w:ascii="Times New Roman" w:hAnsi="Times New Roman"/>
                <w:i/>
                <w:noProof/>
                <w:webHidden/>
                <w:sz w:val="24"/>
                <w:szCs w:val="24"/>
              </w:rPr>
              <w:t>40</w:t>
            </w:r>
            <w:r w:rsidR="00191F34" w:rsidRPr="00135AAA">
              <w:rPr>
                <w:rFonts w:ascii="Times New Roman" w:hAnsi="Times New Roman"/>
                <w:i/>
                <w:noProof/>
                <w:webHidden/>
                <w:sz w:val="24"/>
                <w:szCs w:val="24"/>
              </w:rPr>
              <w:fldChar w:fldCharType="end"/>
            </w:r>
          </w:hyperlink>
        </w:p>
        <w:p w14:paraId="571EC1E3" w14:textId="68023512" w:rsidR="00191F34" w:rsidRPr="00135AAA" w:rsidRDefault="00E7036F">
          <w:pPr>
            <w:pStyle w:val="TOC2"/>
            <w:rPr>
              <w:rFonts w:ascii="Times New Roman" w:hAnsi="Times New Roman"/>
              <w:i/>
              <w:noProof/>
              <w:sz w:val="24"/>
              <w:szCs w:val="24"/>
              <w:lang w:val="lv-LV" w:eastAsia="lv-LV"/>
            </w:rPr>
          </w:pPr>
          <w:hyperlink w:anchor="_Toc33186641" w:history="1">
            <w:r w:rsidR="00191F34" w:rsidRPr="00135AAA">
              <w:rPr>
                <w:rStyle w:val="Hyperlink"/>
                <w:rFonts w:ascii="Times New Roman" w:hAnsi="Times New Roman"/>
                <w:i/>
                <w:noProof/>
                <w:sz w:val="24"/>
                <w:szCs w:val="24"/>
              </w:rPr>
              <w:t xml:space="preserve">9.4. </w:t>
            </w:r>
            <w:r w:rsidR="00191F34" w:rsidRPr="00135AAA">
              <w:rPr>
                <w:rFonts w:ascii="Times New Roman" w:hAnsi="Times New Roman"/>
                <w:i/>
                <w:noProof/>
                <w:sz w:val="24"/>
                <w:szCs w:val="24"/>
                <w:lang w:val="lv-LV" w:eastAsia="lv-LV"/>
              </w:rPr>
              <w:tab/>
            </w:r>
            <w:r w:rsidR="00191F34" w:rsidRPr="00135AAA">
              <w:rPr>
                <w:rStyle w:val="Hyperlink"/>
                <w:rFonts w:ascii="Times New Roman" w:hAnsi="Times New Roman"/>
                <w:i/>
                <w:noProof/>
                <w:sz w:val="24"/>
                <w:szCs w:val="24"/>
              </w:rPr>
              <w:t>Autoceļu lietošanas nodeva</w:t>
            </w:r>
            <w:r w:rsidR="00191F34" w:rsidRPr="00135AAA">
              <w:rPr>
                <w:rFonts w:ascii="Times New Roman" w:hAnsi="Times New Roman"/>
                <w:i/>
                <w:noProof/>
                <w:webHidden/>
                <w:sz w:val="24"/>
                <w:szCs w:val="24"/>
              </w:rPr>
              <w:tab/>
            </w:r>
            <w:r w:rsidR="00191F34" w:rsidRPr="00135AAA">
              <w:rPr>
                <w:rFonts w:ascii="Times New Roman" w:hAnsi="Times New Roman"/>
                <w:i/>
                <w:noProof/>
                <w:webHidden/>
                <w:sz w:val="24"/>
                <w:szCs w:val="24"/>
              </w:rPr>
              <w:fldChar w:fldCharType="begin"/>
            </w:r>
            <w:r w:rsidR="00191F34" w:rsidRPr="00135AAA">
              <w:rPr>
                <w:rFonts w:ascii="Times New Roman" w:hAnsi="Times New Roman"/>
                <w:i/>
                <w:noProof/>
                <w:webHidden/>
                <w:sz w:val="24"/>
                <w:szCs w:val="24"/>
              </w:rPr>
              <w:instrText xml:space="preserve"> PAGEREF _Toc33186641 \h </w:instrText>
            </w:r>
            <w:r w:rsidR="00191F34" w:rsidRPr="00135AAA">
              <w:rPr>
                <w:rFonts w:ascii="Times New Roman" w:hAnsi="Times New Roman"/>
                <w:i/>
                <w:noProof/>
                <w:webHidden/>
                <w:sz w:val="24"/>
                <w:szCs w:val="24"/>
              </w:rPr>
            </w:r>
            <w:r w:rsidR="00191F34" w:rsidRPr="00135AAA">
              <w:rPr>
                <w:rFonts w:ascii="Times New Roman" w:hAnsi="Times New Roman"/>
                <w:i/>
                <w:noProof/>
                <w:webHidden/>
                <w:sz w:val="24"/>
                <w:szCs w:val="24"/>
              </w:rPr>
              <w:fldChar w:fldCharType="separate"/>
            </w:r>
            <w:r w:rsidR="00191F34" w:rsidRPr="00135AAA">
              <w:rPr>
                <w:rFonts w:ascii="Times New Roman" w:hAnsi="Times New Roman"/>
                <w:i/>
                <w:noProof/>
                <w:webHidden/>
                <w:sz w:val="24"/>
                <w:szCs w:val="24"/>
              </w:rPr>
              <w:t>42</w:t>
            </w:r>
            <w:r w:rsidR="00191F34" w:rsidRPr="00135AAA">
              <w:rPr>
                <w:rFonts w:ascii="Times New Roman" w:hAnsi="Times New Roman"/>
                <w:i/>
                <w:noProof/>
                <w:webHidden/>
                <w:sz w:val="24"/>
                <w:szCs w:val="24"/>
              </w:rPr>
              <w:fldChar w:fldCharType="end"/>
            </w:r>
          </w:hyperlink>
        </w:p>
        <w:p w14:paraId="520103EB" w14:textId="6AC51787" w:rsidR="00191F34" w:rsidRPr="00135AAA" w:rsidRDefault="00E7036F">
          <w:pPr>
            <w:pStyle w:val="TOC2"/>
            <w:rPr>
              <w:rFonts w:ascii="Times New Roman" w:hAnsi="Times New Roman"/>
              <w:i/>
              <w:noProof/>
              <w:sz w:val="24"/>
              <w:szCs w:val="24"/>
              <w:lang w:val="lv-LV" w:eastAsia="lv-LV"/>
            </w:rPr>
          </w:pPr>
          <w:hyperlink w:anchor="_Toc33186642" w:history="1">
            <w:r w:rsidR="00191F34" w:rsidRPr="00135AAA">
              <w:rPr>
                <w:rStyle w:val="Hyperlink"/>
                <w:rFonts w:ascii="Times New Roman" w:hAnsi="Times New Roman"/>
                <w:i/>
                <w:noProof/>
                <w:sz w:val="24"/>
                <w:szCs w:val="24"/>
              </w:rPr>
              <w:t xml:space="preserve">9.5. </w:t>
            </w:r>
            <w:r w:rsidR="00191F34" w:rsidRPr="00135AAA">
              <w:rPr>
                <w:rFonts w:ascii="Times New Roman" w:hAnsi="Times New Roman"/>
                <w:i/>
                <w:noProof/>
                <w:sz w:val="24"/>
                <w:szCs w:val="24"/>
                <w:lang w:val="lv-LV" w:eastAsia="lv-LV"/>
              </w:rPr>
              <w:tab/>
            </w:r>
            <w:r w:rsidR="00191F34" w:rsidRPr="00135AAA">
              <w:rPr>
                <w:rStyle w:val="Hyperlink"/>
                <w:rFonts w:ascii="Times New Roman" w:hAnsi="Times New Roman"/>
                <w:i/>
                <w:noProof/>
                <w:sz w:val="24"/>
                <w:szCs w:val="24"/>
              </w:rPr>
              <w:t xml:space="preserve">Valsts nodeva par lielgabarīta un smagsvara </w:t>
            </w:r>
            <w:r w:rsidR="00135AAA">
              <w:rPr>
                <w:rStyle w:val="Hyperlink"/>
                <w:rFonts w:ascii="Times New Roman" w:hAnsi="Times New Roman"/>
                <w:i/>
                <w:noProof/>
                <w:sz w:val="24"/>
                <w:szCs w:val="24"/>
              </w:rPr>
              <w:t xml:space="preserve">                                   </w:t>
            </w:r>
            <w:r w:rsidR="00191F34" w:rsidRPr="00135AAA">
              <w:rPr>
                <w:rStyle w:val="Hyperlink"/>
                <w:rFonts w:ascii="Times New Roman" w:hAnsi="Times New Roman"/>
                <w:i/>
                <w:noProof/>
                <w:sz w:val="24"/>
                <w:szCs w:val="24"/>
              </w:rPr>
              <w:t>pārvadājumu atļaujas izsniegšanu</w:t>
            </w:r>
            <w:r w:rsidR="00191F34" w:rsidRPr="00135AAA">
              <w:rPr>
                <w:rFonts w:ascii="Times New Roman" w:hAnsi="Times New Roman"/>
                <w:i/>
                <w:noProof/>
                <w:webHidden/>
                <w:sz w:val="24"/>
                <w:szCs w:val="24"/>
              </w:rPr>
              <w:tab/>
            </w:r>
            <w:r w:rsidR="00191F34" w:rsidRPr="00135AAA">
              <w:rPr>
                <w:rFonts w:ascii="Times New Roman" w:hAnsi="Times New Roman"/>
                <w:i/>
                <w:noProof/>
                <w:webHidden/>
                <w:sz w:val="24"/>
                <w:szCs w:val="24"/>
              </w:rPr>
              <w:fldChar w:fldCharType="begin"/>
            </w:r>
            <w:r w:rsidR="00191F34" w:rsidRPr="00135AAA">
              <w:rPr>
                <w:rFonts w:ascii="Times New Roman" w:hAnsi="Times New Roman"/>
                <w:i/>
                <w:noProof/>
                <w:webHidden/>
                <w:sz w:val="24"/>
                <w:szCs w:val="24"/>
              </w:rPr>
              <w:instrText xml:space="preserve"> PAGEREF _Toc33186642 \h </w:instrText>
            </w:r>
            <w:r w:rsidR="00191F34" w:rsidRPr="00135AAA">
              <w:rPr>
                <w:rFonts w:ascii="Times New Roman" w:hAnsi="Times New Roman"/>
                <w:i/>
                <w:noProof/>
                <w:webHidden/>
                <w:sz w:val="24"/>
                <w:szCs w:val="24"/>
              </w:rPr>
            </w:r>
            <w:r w:rsidR="00191F34" w:rsidRPr="00135AAA">
              <w:rPr>
                <w:rFonts w:ascii="Times New Roman" w:hAnsi="Times New Roman"/>
                <w:i/>
                <w:noProof/>
                <w:webHidden/>
                <w:sz w:val="24"/>
                <w:szCs w:val="24"/>
              </w:rPr>
              <w:fldChar w:fldCharType="separate"/>
            </w:r>
            <w:r w:rsidR="00191F34" w:rsidRPr="00135AAA">
              <w:rPr>
                <w:rFonts w:ascii="Times New Roman" w:hAnsi="Times New Roman"/>
                <w:i/>
                <w:noProof/>
                <w:webHidden/>
                <w:sz w:val="24"/>
                <w:szCs w:val="24"/>
              </w:rPr>
              <w:t>43</w:t>
            </w:r>
            <w:r w:rsidR="00191F34" w:rsidRPr="00135AAA">
              <w:rPr>
                <w:rFonts w:ascii="Times New Roman" w:hAnsi="Times New Roman"/>
                <w:i/>
                <w:noProof/>
                <w:webHidden/>
                <w:sz w:val="24"/>
                <w:szCs w:val="24"/>
              </w:rPr>
              <w:fldChar w:fldCharType="end"/>
            </w:r>
          </w:hyperlink>
        </w:p>
        <w:p w14:paraId="0C004224" w14:textId="6AB948D6" w:rsidR="00191F34" w:rsidRPr="00135AAA" w:rsidRDefault="00E7036F" w:rsidP="00135AAA">
          <w:pPr>
            <w:pStyle w:val="TOC1"/>
            <w:rPr>
              <w:lang w:val="lv-LV" w:eastAsia="lv-LV"/>
            </w:rPr>
          </w:pPr>
          <w:hyperlink w:anchor="_Toc33186643" w:history="1">
            <w:r w:rsidR="00191F34" w:rsidRPr="00135AAA">
              <w:rPr>
                <w:rStyle w:val="Hyperlink"/>
              </w:rPr>
              <w:t>10. Digitālās ekonomikas nodokļu izaicinājumi</w:t>
            </w:r>
            <w:r w:rsidR="00191F34" w:rsidRPr="00135AAA">
              <w:rPr>
                <w:b w:val="0"/>
                <w:webHidden/>
              </w:rPr>
              <w:tab/>
            </w:r>
            <w:r w:rsidR="00191F34" w:rsidRPr="00135AAA">
              <w:rPr>
                <w:webHidden/>
              </w:rPr>
              <w:fldChar w:fldCharType="begin"/>
            </w:r>
            <w:r w:rsidR="00191F34" w:rsidRPr="00135AAA">
              <w:rPr>
                <w:webHidden/>
              </w:rPr>
              <w:instrText xml:space="preserve"> PAGEREF _Toc33186643 \h </w:instrText>
            </w:r>
            <w:r w:rsidR="00191F34" w:rsidRPr="00135AAA">
              <w:rPr>
                <w:webHidden/>
              </w:rPr>
            </w:r>
            <w:r w:rsidR="00191F34" w:rsidRPr="00135AAA">
              <w:rPr>
                <w:webHidden/>
              </w:rPr>
              <w:fldChar w:fldCharType="separate"/>
            </w:r>
            <w:r w:rsidR="00191F34" w:rsidRPr="00135AAA">
              <w:rPr>
                <w:webHidden/>
              </w:rPr>
              <w:t>44</w:t>
            </w:r>
            <w:r w:rsidR="00191F34" w:rsidRPr="00135AAA">
              <w:rPr>
                <w:webHidden/>
              </w:rPr>
              <w:fldChar w:fldCharType="end"/>
            </w:r>
          </w:hyperlink>
        </w:p>
        <w:p w14:paraId="00F6048C" w14:textId="60480744" w:rsidR="00191F34" w:rsidRPr="00135AAA" w:rsidRDefault="00E7036F" w:rsidP="00135AAA">
          <w:pPr>
            <w:pStyle w:val="TOC1"/>
            <w:rPr>
              <w:lang w:val="lv-LV" w:eastAsia="lv-LV"/>
            </w:rPr>
          </w:pPr>
          <w:hyperlink w:anchor="_Toc33186644" w:history="1">
            <w:r w:rsidR="00191F34" w:rsidRPr="00135AAA">
              <w:rPr>
                <w:rStyle w:val="Hyperlink"/>
              </w:rPr>
              <w:t>11. VID iniciatīvas administrēšanas pilnveidošanai</w:t>
            </w:r>
            <w:r w:rsidR="00191F34" w:rsidRPr="00135AAA">
              <w:rPr>
                <w:b w:val="0"/>
                <w:webHidden/>
              </w:rPr>
              <w:tab/>
            </w:r>
            <w:r w:rsidR="00191F34" w:rsidRPr="00135AAA">
              <w:rPr>
                <w:webHidden/>
              </w:rPr>
              <w:fldChar w:fldCharType="begin"/>
            </w:r>
            <w:r w:rsidR="00191F34" w:rsidRPr="00135AAA">
              <w:rPr>
                <w:webHidden/>
              </w:rPr>
              <w:instrText xml:space="preserve"> PAGEREF _Toc33186644 \h </w:instrText>
            </w:r>
            <w:r w:rsidR="00191F34" w:rsidRPr="00135AAA">
              <w:rPr>
                <w:webHidden/>
              </w:rPr>
            </w:r>
            <w:r w:rsidR="00191F34" w:rsidRPr="00135AAA">
              <w:rPr>
                <w:webHidden/>
              </w:rPr>
              <w:fldChar w:fldCharType="separate"/>
            </w:r>
            <w:r w:rsidR="00191F34" w:rsidRPr="00135AAA">
              <w:rPr>
                <w:webHidden/>
              </w:rPr>
              <w:t>46</w:t>
            </w:r>
            <w:r w:rsidR="00191F34" w:rsidRPr="00135AAA">
              <w:rPr>
                <w:webHidden/>
              </w:rPr>
              <w:fldChar w:fldCharType="end"/>
            </w:r>
          </w:hyperlink>
        </w:p>
        <w:p w14:paraId="743DABE4" w14:textId="77777777" w:rsidR="00C25432" w:rsidRPr="00A43961" w:rsidRDefault="00C25432">
          <w:pPr>
            <w:rPr>
              <w:rFonts w:cs="Times New Roman"/>
              <w:szCs w:val="24"/>
            </w:rPr>
          </w:pPr>
          <w:r w:rsidRPr="00135AAA">
            <w:rPr>
              <w:rFonts w:cs="Times New Roman"/>
              <w:b/>
              <w:bCs/>
              <w:noProof/>
              <w:szCs w:val="24"/>
            </w:rPr>
            <w:fldChar w:fldCharType="end"/>
          </w:r>
        </w:p>
      </w:sdtContent>
    </w:sdt>
    <w:p w14:paraId="7CF83499" w14:textId="77777777" w:rsidR="00E554C7" w:rsidRDefault="00E554C7">
      <w:pPr>
        <w:rPr>
          <w:rFonts w:ascii="Times New Roman Bold" w:eastAsia="Times New Roman" w:hAnsi="Times New Roman Bold" w:cs="Times New Roman"/>
          <w:b/>
          <w:sz w:val="40"/>
          <w:szCs w:val="24"/>
          <w:lang w:eastAsia="lv-LV"/>
        </w:rPr>
      </w:pPr>
      <w:bookmarkStart w:id="3" w:name="_Toc26198350"/>
      <w:bookmarkEnd w:id="2"/>
      <w:r>
        <w:br w:type="page"/>
      </w:r>
    </w:p>
    <w:p w14:paraId="5906CBA4" w14:textId="77777777" w:rsidR="00860B45" w:rsidRPr="00CF29A5" w:rsidRDefault="00860B45" w:rsidP="00D46FA1">
      <w:pPr>
        <w:pStyle w:val="Heading1"/>
      </w:pPr>
      <w:bookmarkStart w:id="4" w:name="_Toc33186619"/>
      <w:r w:rsidRPr="00CF29A5">
        <w:lastRenderedPageBreak/>
        <w:t>Ievads</w:t>
      </w:r>
      <w:bookmarkEnd w:id="3"/>
      <w:bookmarkEnd w:id="4"/>
    </w:p>
    <w:p w14:paraId="78BEF4A0" w14:textId="77777777" w:rsidR="00F25FD3" w:rsidRDefault="00860B45" w:rsidP="00860B45">
      <w:pPr>
        <w:spacing w:after="120"/>
        <w:jc w:val="both"/>
        <w:rPr>
          <w:iCs/>
          <w:sz w:val="26"/>
          <w:szCs w:val="26"/>
        </w:rPr>
      </w:pPr>
      <w:r w:rsidRPr="00F519AB">
        <w:rPr>
          <w:sz w:val="26"/>
          <w:szCs w:val="26"/>
        </w:rPr>
        <w:tab/>
      </w:r>
      <w:bookmarkStart w:id="5" w:name="_Toc477349859"/>
      <w:r w:rsidRPr="00F519AB">
        <w:rPr>
          <w:iCs/>
          <w:sz w:val="26"/>
          <w:szCs w:val="26"/>
        </w:rPr>
        <w:t>Nodokļu politikas stratēģisko virzienu skaidrība un stabilitāte ir būtiska gan uzņēmējdarbības, gan sabiedrisko pakalpojumu un i</w:t>
      </w:r>
      <w:r w:rsidR="007A6DAD">
        <w:rPr>
          <w:iCs/>
          <w:sz w:val="26"/>
          <w:szCs w:val="26"/>
        </w:rPr>
        <w:t>nvestīciju efektīvai plānošanai.</w:t>
      </w:r>
      <w:r w:rsidRPr="00F519AB">
        <w:rPr>
          <w:iCs/>
          <w:sz w:val="26"/>
          <w:szCs w:val="26"/>
        </w:rPr>
        <w:t xml:space="preserve"> </w:t>
      </w:r>
      <w:r w:rsidR="007A6DAD">
        <w:rPr>
          <w:iCs/>
          <w:sz w:val="26"/>
          <w:szCs w:val="26"/>
        </w:rPr>
        <w:t>S</w:t>
      </w:r>
      <w:r w:rsidRPr="00F519AB">
        <w:rPr>
          <w:iCs/>
          <w:sz w:val="26"/>
          <w:szCs w:val="26"/>
        </w:rPr>
        <w:t>varīga ir arī to sasaiste ar valsts vispārējiem attīstības mērķiem.</w:t>
      </w:r>
    </w:p>
    <w:p w14:paraId="74BF285E" w14:textId="2ED04612" w:rsidR="00860B45" w:rsidRPr="00FE0BFA" w:rsidRDefault="00F25FD3" w:rsidP="00F25FD3">
      <w:pPr>
        <w:spacing w:after="120"/>
        <w:ind w:firstLine="709"/>
        <w:jc w:val="both"/>
        <w:rPr>
          <w:iCs/>
          <w:sz w:val="26"/>
          <w:szCs w:val="26"/>
        </w:rPr>
      </w:pPr>
      <w:r w:rsidRPr="00FE0BFA">
        <w:rPr>
          <w:sz w:val="26"/>
          <w:szCs w:val="26"/>
        </w:rPr>
        <w:t>Viens no Latvijas budžeta papildus izaicinājumiem ir atrast papildus finansējumu veselības nozarei</w:t>
      </w:r>
      <w:r w:rsidRPr="00822F46">
        <w:rPr>
          <w:sz w:val="26"/>
          <w:szCs w:val="26"/>
        </w:rPr>
        <w:t>. Tāpat</w:t>
      </w:r>
      <w:r w:rsidR="00906537" w:rsidRPr="00822F46">
        <w:rPr>
          <w:sz w:val="26"/>
          <w:szCs w:val="26"/>
        </w:rPr>
        <w:t xml:space="preserve"> visas Pasaules</w:t>
      </w:r>
      <w:r w:rsidRPr="00822F46">
        <w:rPr>
          <w:sz w:val="26"/>
          <w:szCs w:val="26"/>
        </w:rPr>
        <w:t xml:space="preserve"> izaicinājums ir globāl</w:t>
      </w:r>
      <w:r w:rsidRPr="00AA606C">
        <w:rPr>
          <w:sz w:val="26"/>
          <w:szCs w:val="26"/>
        </w:rPr>
        <w:t>ās klimat</w:t>
      </w:r>
      <w:r w:rsidR="00906537" w:rsidRPr="00AA606C">
        <w:rPr>
          <w:sz w:val="26"/>
          <w:szCs w:val="26"/>
        </w:rPr>
        <w:t>a pārmaiņas, līdz ar to arī Latvijai ir pastiprināti jādomā par vides “zaļināšanu.”</w:t>
      </w:r>
      <w:r w:rsidRPr="00AA606C">
        <w:rPr>
          <w:sz w:val="26"/>
          <w:szCs w:val="26"/>
        </w:rPr>
        <w:t xml:space="preserve"> </w:t>
      </w:r>
      <w:r w:rsidR="00FE0BFA" w:rsidRPr="00AA606C">
        <w:rPr>
          <w:iCs/>
          <w:sz w:val="26"/>
          <w:szCs w:val="26"/>
        </w:rPr>
        <w:t>J</w:t>
      </w:r>
      <w:r w:rsidR="00FE0BFA" w:rsidRPr="00FE0BFA">
        <w:rPr>
          <w:sz w:val="26"/>
          <w:szCs w:val="26"/>
        </w:rPr>
        <w:t>āņem vērā arī F</w:t>
      </w:r>
      <w:r w:rsidR="00906537" w:rsidRPr="00FE0BFA">
        <w:rPr>
          <w:iCs/>
          <w:sz w:val="26"/>
          <w:szCs w:val="26"/>
        </w:rPr>
        <w:t xml:space="preserve">iskālās disciplīnas </w:t>
      </w:r>
      <w:r w:rsidR="00FE0BFA" w:rsidRPr="00FE0BFA">
        <w:rPr>
          <w:iCs/>
          <w:sz w:val="26"/>
          <w:szCs w:val="26"/>
        </w:rPr>
        <w:t xml:space="preserve">likuma </w:t>
      </w:r>
      <w:r w:rsidR="00906537" w:rsidRPr="00FE0BFA">
        <w:rPr>
          <w:iCs/>
          <w:sz w:val="26"/>
          <w:szCs w:val="26"/>
        </w:rPr>
        <w:t>mērķi</w:t>
      </w:r>
      <w:r w:rsidR="00FE0BFA" w:rsidRPr="00FE0BFA">
        <w:rPr>
          <w:iCs/>
          <w:sz w:val="26"/>
          <w:szCs w:val="26"/>
        </w:rPr>
        <w:t xml:space="preserve">, </w:t>
      </w:r>
      <w:r w:rsidR="00FE0BFA" w:rsidRPr="00FE0BFA">
        <w:rPr>
          <w:sz w:val="26"/>
          <w:szCs w:val="26"/>
        </w:rPr>
        <w:t>kas</w:t>
      </w:r>
      <w:r w:rsidR="00E7036F">
        <w:rPr>
          <w:sz w:val="26"/>
          <w:szCs w:val="26"/>
        </w:rPr>
        <w:t xml:space="preserve"> nosaka</w:t>
      </w:r>
      <w:r w:rsidR="00FE0BFA" w:rsidRPr="00FE0BFA">
        <w:rPr>
          <w:sz w:val="26"/>
          <w:szCs w:val="26"/>
        </w:rPr>
        <w:t xml:space="preserve">, ka nav iespējams ārpus budžeta veidošanas pieņemt normatīvos aktus, kas samazina ieņēmumus apstiprinātā vidēja termiņa budžeta ietvarā, ja neveic kompensējošus pasākumus. </w:t>
      </w:r>
    </w:p>
    <w:p w14:paraId="647C9D86" w14:textId="7F20EEB3" w:rsidR="00860B45" w:rsidRPr="00F519AB" w:rsidRDefault="00860B45" w:rsidP="00860B45">
      <w:pPr>
        <w:spacing w:after="120"/>
        <w:ind w:firstLine="709"/>
        <w:jc w:val="both"/>
        <w:rPr>
          <w:i/>
          <w:sz w:val="26"/>
          <w:szCs w:val="26"/>
        </w:rPr>
      </w:pPr>
      <w:r w:rsidRPr="00F519AB">
        <w:rPr>
          <w:i/>
          <w:iCs/>
          <w:sz w:val="26"/>
          <w:szCs w:val="26"/>
        </w:rPr>
        <w:t>Valsts nodokļu politikas pamatnostādnes</w:t>
      </w:r>
      <w:r w:rsidRPr="00F519AB">
        <w:rPr>
          <w:iCs/>
          <w:sz w:val="26"/>
          <w:szCs w:val="26"/>
        </w:rPr>
        <w:t xml:space="preserve"> ir komplekss pasākumu kopums, kuru pamatmērķis ir valsts konkurētspējas un eksportspējas paaugstināšana, kā arī ienākumu nevienlīdzības mazināšana, vienlaikus nodrošinot pietiekamus, paredzamus un kvalitatīvus nodokļu ieņēmumus valsts un pašvaldību funkciju finansēšanai</w:t>
      </w:r>
      <w:r w:rsidRPr="00F519AB">
        <w:rPr>
          <w:i/>
          <w:sz w:val="26"/>
          <w:szCs w:val="26"/>
        </w:rPr>
        <w:t>.</w:t>
      </w:r>
    </w:p>
    <w:p w14:paraId="1BB415CB" w14:textId="77777777" w:rsidR="00860B45" w:rsidRPr="00F519AB" w:rsidRDefault="00860B45" w:rsidP="00860B45">
      <w:pPr>
        <w:spacing w:after="120"/>
        <w:ind w:firstLine="709"/>
        <w:jc w:val="both"/>
        <w:rPr>
          <w:iCs/>
          <w:sz w:val="26"/>
          <w:szCs w:val="26"/>
        </w:rPr>
      </w:pPr>
      <w:r w:rsidRPr="00F519AB">
        <w:rPr>
          <w:iCs/>
          <w:sz w:val="26"/>
          <w:szCs w:val="26"/>
        </w:rPr>
        <w:t xml:space="preserve">Saskaņā ar </w:t>
      </w:r>
      <w:r w:rsidRPr="00F519AB">
        <w:rPr>
          <w:iCs/>
          <w:sz w:val="26"/>
          <w:szCs w:val="26"/>
          <w:lang w:eastAsia="lv-LV"/>
        </w:rPr>
        <w:t>Deklarācijas par Artura Krišjāņa Kariņa vadītā Ministru kabineta</w:t>
      </w:r>
      <w:r w:rsidRPr="00F519AB">
        <w:rPr>
          <w:iCs/>
          <w:sz w:val="26"/>
          <w:szCs w:val="26"/>
        </w:rPr>
        <w:t xml:space="preserve"> iecerēto darbību un tam pievienotā Valdības rīcības plāna 5.1.uzdevumu Finanšu ministrijai</w:t>
      </w:r>
      <w:r w:rsidRPr="00F519AB">
        <w:rPr>
          <w:b/>
          <w:iCs/>
          <w:sz w:val="26"/>
          <w:szCs w:val="26"/>
        </w:rPr>
        <w:t xml:space="preserve"> </w:t>
      </w:r>
      <w:r w:rsidRPr="00F519AB">
        <w:rPr>
          <w:sz w:val="26"/>
          <w:szCs w:val="26"/>
        </w:rPr>
        <w:t xml:space="preserve">(turpmāk – FM) </w:t>
      </w:r>
      <w:r w:rsidRPr="00F519AB">
        <w:rPr>
          <w:b/>
          <w:iCs/>
          <w:sz w:val="26"/>
          <w:szCs w:val="26"/>
        </w:rPr>
        <w:t xml:space="preserve">līdz 2020.gada 31.maijam </w:t>
      </w:r>
      <w:r w:rsidRPr="00F519AB">
        <w:rPr>
          <w:iCs/>
          <w:sz w:val="26"/>
          <w:szCs w:val="26"/>
        </w:rPr>
        <w:t xml:space="preserve">ir uzdots kopīgi ar valdības sociālajiem un sadarbības partneriem izstrādāt vidēja termiņa valsts nodokļu politikas pamatnostādnes. </w:t>
      </w:r>
    </w:p>
    <w:p w14:paraId="66B4C6BD" w14:textId="77777777" w:rsidR="00860B45" w:rsidRPr="00F519AB" w:rsidRDefault="00860B45" w:rsidP="00860B45">
      <w:pPr>
        <w:spacing w:after="120"/>
        <w:ind w:firstLine="709"/>
        <w:jc w:val="both"/>
        <w:rPr>
          <w:rFonts w:cs="Times New Roman"/>
          <w:sz w:val="26"/>
          <w:szCs w:val="26"/>
        </w:rPr>
      </w:pPr>
      <w:r w:rsidRPr="00F519AB">
        <w:rPr>
          <w:sz w:val="26"/>
          <w:szCs w:val="26"/>
        </w:rPr>
        <w:t xml:space="preserve">Darbs pie </w:t>
      </w:r>
      <w:r w:rsidRPr="00F519AB">
        <w:rPr>
          <w:i/>
          <w:sz w:val="26"/>
          <w:szCs w:val="26"/>
        </w:rPr>
        <w:t>Valsts nodokļu politikas pamatnostādņu</w:t>
      </w:r>
      <w:r w:rsidRPr="00F519AB">
        <w:rPr>
          <w:sz w:val="26"/>
          <w:szCs w:val="26"/>
        </w:rPr>
        <w:t xml:space="preserve"> </w:t>
      </w:r>
      <w:r w:rsidRPr="00F519AB">
        <w:rPr>
          <w:rFonts w:cs="Times New Roman"/>
          <w:i/>
          <w:sz w:val="26"/>
          <w:szCs w:val="26"/>
        </w:rPr>
        <w:t>2021.-2025.gadam</w:t>
      </w:r>
      <w:r w:rsidRPr="00F519AB">
        <w:rPr>
          <w:rFonts w:cs="Times New Roman"/>
          <w:sz w:val="26"/>
          <w:szCs w:val="26"/>
        </w:rPr>
        <w:t xml:space="preserve"> </w:t>
      </w:r>
      <w:r w:rsidRPr="00F519AB">
        <w:rPr>
          <w:sz w:val="26"/>
          <w:szCs w:val="26"/>
        </w:rPr>
        <w:t>izstrādes tika uzsākts jau 2019.gada vasarā, kad piecas Valdības koalīciju veidojošās partijas</w:t>
      </w:r>
      <w:r w:rsidRPr="00F519AB">
        <w:rPr>
          <w:rStyle w:val="FootnoteReference"/>
          <w:sz w:val="26"/>
          <w:szCs w:val="26"/>
        </w:rPr>
        <w:footnoteReference w:id="1"/>
      </w:r>
      <w:r w:rsidRPr="00F519AB">
        <w:rPr>
          <w:sz w:val="26"/>
          <w:szCs w:val="26"/>
        </w:rPr>
        <w:t xml:space="preserve"> izveidoja </w:t>
      </w:r>
      <w:r w:rsidRPr="00F519AB">
        <w:rPr>
          <w:i/>
          <w:sz w:val="26"/>
          <w:szCs w:val="26"/>
        </w:rPr>
        <w:t>Nodokļu politikas plānošanas attīstības komiteju</w:t>
      </w:r>
      <w:r w:rsidRPr="00F519AB">
        <w:rPr>
          <w:sz w:val="26"/>
          <w:szCs w:val="26"/>
        </w:rPr>
        <w:t xml:space="preserve"> (turpmāk – Attīstības komiteja), kuras mērķis ir koordinēt sadarbības partneru prioritātes nodokļu politikas plānošanai turpmākajiem gadiem. Papildus tam 2019.gada 2.decembrī tika nodibināta </w:t>
      </w:r>
      <w:r w:rsidRPr="00F519AB">
        <w:rPr>
          <w:i/>
          <w:sz w:val="26"/>
          <w:szCs w:val="26"/>
        </w:rPr>
        <w:t xml:space="preserve">Saeimas </w:t>
      </w:r>
      <w:r w:rsidR="00802A08">
        <w:rPr>
          <w:i/>
          <w:sz w:val="26"/>
          <w:szCs w:val="26"/>
        </w:rPr>
        <w:t>Budžeta un f</w:t>
      </w:r>
      <w:r w:rsidRPr="00F519AB">
        <w:rPr>
          <w:i/>
          <w:sz w:val="26"/>
          <w:szCs w:val="26"/>
        </w:rPr>
        <w:t xml:space="preserve">inanšu </w:t>
      </w:r>
      <w:r w:rsidR="00802A08">
        <w:rPr>
          <w:i/>
          <w:sz w:val="26"/>
          <w:szCs w:val="26"/>
        </w:rPr>
        <w:t>(</w:t>
      </w:r>
      <w:r w:rsidRPr="00F519AB">
        <w:rPr>
          <w:i/>
          <w:sz w:val="26"/>
          <w:szCs w:val="26"/>
        </w:rPr>
        <w:t>nodokļu</w:t>
      </w:r>
      <w:r w:rsidR="00802A08">
        <w:rPr>
          <w:i/>
          <w:sz w:val="26"/>
          <w:szCs w:val="26"/>
        </w:rPr>
        <w:t>)</w:t>
      </w:r>
      <w:r w:rsidRPr="00F519AB">
        <w:rPr>
          <w:i/>
          <w:sz w:val="26"/>
          <w:szCs w:val="26"/>
        </w:rPr>
        <w:t xml:space="preserve"> komisijas Nodokļu politikas apakškomisija</w:t>
      </w:r>
      <w:r w:rsidRPr="00F519AB">
        <w:rPr>
          <w:sz w:val="26"/>
          <w:szCs w:val="26"/>
        </w:rPr>
        <w:t xml:space="preserve">, kuras mērķis ir uzrunāt lielākās nevalstiskās organizācijas un arodbiedrības, lai noskaidrotu to nostāju un redzējumu Latvijas nodokļu sistēmas attīstībai. Laika periodā no 2019.gada 15.septembrim līdz 2020.gada </w:t>
      </w:r>
      <w:r w:rsidR="00802A08">
        <w:rPr>
          <w:sz w:val="26"/>
          <w:szCs w:val="26"/>
        </w:rPr>
        <w:t>31</w:t>
      </w:r>
      <w:r w:rsidRPr="00F519AB">
        <w:rPr>
          <w:sz w:val="26"/>
          <w:szCs w:val="26"/>
        </w:rPr>
        <w:t xml:space="preserve">.janvārim FM ir organizējusi  Attīstības komitejas sanāksmes, kurās skatīti jautājumi par </w:t>
      </w:r>
      <w:r w:rsidRPr="00F519AB">
        <w:rPr>
          <w:rFonts w:cs="Times New Roman"/>
          <w:i/>
          <w:sz w:val="26"/>
          <w:szCs w:val="26"/>
        </w:rPr>
        <w:t>Valsts nodokļu politikas pamatnostādņu 2021.-2025.gadam</w:t>
      </w:r>
      <w:r w:rsidRPr="00F519AB">
        <w:rPr>
          <w:rFonts w:cs="Times New Roman"/>
          <w:sz w:val="26"/>
          <w:szCs w:val="26"/>
        </w:rPr>
        <w:t xml:space="preserve"> mērķa un apakšmērķu  noteikšanu, partiju galvenajām prioritātēm nodokļu jomā, darbaspēka nodokļiem, v</w:t>
      </w:r>
      <w:r w:rsidRPr="00F519AB">
        <w:rPr>
          <w:sz w:val="26"/>
          <w:szCs w:val="26"/>
        </w:rPr>
        <w:t xml:space="preserve">ienkāršotajiem nodokļu režīmiem, vides nodokļiem, </w:t>
      </w:r>
      <w:r w:rsidR="00802A08" w:rsidRPr="00F519AB">
        <w:rPr>
          <w:rFonts w:cs="Times New Roman"/>
          <w:sz w:val="26"/>
          <w:szCs w:val="26"/>
        </w:rPr>
        <w:t>pievienotās vērtības nodokli</w:t>
      </w:r>
      <w:r w:rsidR="00802A08">
        <w:rPr>
          <w:rFonts w:cs="Times New Roman"/>
          <w:sz w:val="26"/>
          <w:szCs w:val="26"/>
        </w:rPr>
        <w:t xml:space="preserve">, </w:t>
      </w:r>
      <w:r w:rsidR="00802A08" w:rsidRPr="00F519AB">
        <w:rPr>
          <w:rFonts w:cs="Times New Roman"/>
          <w:sz w:val="26"/>
          <w:szCs w:val="26"/>
        </w:rPr>
        <w:t>akcīzes nodokli</w:t>
      </w:r>
      <w:r w:rsidR="00802A08">
        <w:rPr>
          <w:rFonts w:cs="Times New Roman"/>
          <w:sz w:val="26"/>
          <w:szCs w:val="26"/>
        </w:rPr>
        <w:t>,</w:t>
      </w:r>
      <w:r w:rsidR="00802A08" w:rsidRPr="00F519AB">
        <w:rPr>
          <w:rFonts w:cs="Times New Roman"/>
          <w:sz w:val="26"/>
          <w:szCs w:val="26"/>
        </w:rPr>
        <w:t xml:space="preserve"> </w:t>
      </w:r>
      <w:r w:rsidRPr="00F519AB">
        <w:rPr>
          <w:rFonts w:cs="Times New Roman"/>
          <w:sz w:val="26"/>
          <w:szCs w:val="26"/>
        </w:rPr>
        <w:t xml:space="preserve">nodokļu atvieglojumiem un pabalstu sistēmas izvērtēšanu, </w:t>
      </w:r>
      <w:r w:rsidRPr="00F519AB">
        <w:rPr>
          <w:sz w:val="26"/>
          <w:szCs w:val="26"/>
        </w:rPr>
        <w:t xml:space="preserve">kā arī Valsts ieņēmumu dienesta (turpmāk – </w:t>
      </w:r>
      <w:r w:rsidRPr="00F519AB">
        <w:rPr>
          <w:rFonts w:cs="Times New Roman"/>
          <w:sz w:val="26"/>
          <w:szCs w:val="26"/>
        </w:rPr>
        <w:t xml:space="preserve">VID) prioritātēm nodokļu administrēšanas uzlabošanai. </w:t>
      </w:r>
    </w:p>
    <w:p w14:paraId="40393121" w14:textId="77777777" w:rsidR="00860B45" w:rsidRPr="00F519AB" w:rsidRDefault="00860B45" w:rsidP="00860B45">
      <w:pPr>
        <w:spacing w:after="120"/>
        <w:ind w:firstLine="709"/>
        <w:jc w:val="both"/>
        <w:rPr>
          <w:sz w:val="26"/>
          <w:szCs w:val="26"/>
        </w:rPr>
      </w:pPr>
      <w:r w:rsidRPr="00F519AB">
        <w:rPr>
          <w:i/>
          <w:sz w:val="26"/>
          <w:szCs w:val="26"/>
        </w:rPr>
        <w:lastRenderedPageBreak/>
        <w:t xml:space="preserve">Valsts nodokļu politikas pamatnostādnes </w:t>
      </w:r>
      <w:r w:rsidRPr="00F519AB">
        <w:rPr>
          <w:rFonts w:cs="Times New Roman"/>
          <w:i/>
          <w:sz w:val="26"/>
          <w:szCs w:val="26"/>
        </w:rPr>
        <w:t>2021.-2025.gadam</w:t>
      </w:r>
      <w:r w:rsidRPr="00F519AB">
        <w:rPr>
          <w:sz w:val="26"/>
          <w:szCs w:val="26"/>
        </w:rPr>
        <w:t xml:space="preserve"> balstīsies uz </w:t>
      </w:r>
      <w:r w:rsidRPr="00F519AB">
        <w:rPr>
          <w:b/>
          <w:sz w:val="26"/>
          <w:szCs w:val="26"/>
        </w:rPr>
        <w:t>trīs galvenajiem principiem</w:t>
      </w:r>
      <w:r w:rsidRPr="00F519AB">
        <w:rPr>
          <w:sz w:val="26"/>
          <w:szCs w:val="26"/>
        </w:rPr>
        <w:t>:</w:t>
      </w:r>
    </w:p>
    <w:p w14:paraId="6D1E8B1D" w14:textId="77777777" w:rsidR="00860B45" w:rsidRPr="00F519AB" w:rsidRDefault="00860B45" w:rsidP="00860B45">
      <w:pPr>
        <w:pStyle w:val="ListParagraph"/>
        <w:numPr>
          <w:ilvl w:val="0"/>
          <w:numId w:val="1"/>
        </w:numPr>
        <w:spacing w:after="120"/>
        <w:rPr>
          <w:bCs/>
          <w:sz w:val="26"/>
          <w:szCs w:val="26"/>
        </w:rPr>
      </w:pPr>
      <w:r w:rsidRPr="00F519AB">
        <w:rPr>
          <w:sz w:val="26"/>
          <w:szCs w:val="26"/>
        </w:rPr>
        <w:t>taisnīgums;</w:t>
      </w:r>
    </w:p>
    <w:p w14:paraId="47CBC65B" w14:textId="77777777" w:rsidR="00A303CA" w:rsidRPr="00F519AB" w:rsidRDefault="00A303CA" w:rsidP="00A303CA">
      <w:pPr>
        <w:pStyle w:val="ListParagraph"/>
        <w:numPr>
          <w:ilvl w:val="0"/>
          <w:numId w:val="1"/>
        </w:numPr>
        <w:spacing w:after="120"/>
        <w:rPr>
          <w:bCs/>
          <w:sz w:val="26"/>
          <w:szCs w:val="26"/>
        </w:rPr>
      </w:pPr>
      <w:r>
        <w:rPr>
          <w:sz w:val="26"/>
          <w:szCs w:val="26"/>
        </w:rPr>
        <w:t>vienkāršība;</w:t>
      </w:r>
    </w:p>
    <w:p w14:paraId="6F855D68" w14:textId="77777777" w:rsidR="00860B45" w:rsidRPr="00F519AB" w:rsidRDefault="00860B45" w:rsidP="00860B45">
      <w:pPr>
        <w:pStyle w:val="ListParagraph"/>
        <w:numPr>
          <w:ilvl w:val="0"/>
          <w:numId w:val="1"/>
        </w:numPr>
        <w:spacing w:after="120"/>
        <w:rPr>
          <w:bCs/>
          <w:sz w:val="26"/>
          <w:szCs w:val="26"/>
        </w:rPr>
      </w:pPr>
      <w:r w:rsidRPr="00F519AB">
        <w:rPr>
          <w:sz w:val="26"/>
          <w:szCs w:val="26"/>
        </w:rPr>
        <w:t>konkurētspēja</w:t>
      </w:r>
      <w:r w:rsidR="00A303CA">
        <w:rPr>
          <w:sz w:val="26"/>
          <w:szCs w:val="26"/>
        </w:rPr>
        <w:t>.</w:t>
      </w:r>
    </w:p>
    <w:p w14:paraId="6A5D6281" w14:textId="77777777" w:rsidR="00860B45" w:rsidRPr="00F519AB" w:rsidRDefault="00860B45" w:rsidP="00860B45">
      <w:pPr>
        <w:pStyle w:val="ListParagraph"/>
        <w:spacing w:after="120"/>
        <w:ind w:left="1069"/>
        <w:rPr>
          <w:bCs/>
          <w:sz w:val="26"/>
          <w:szCs w:val="26"/>
        </w:rPr>
      </w:pPr>
    </w:p>
    <w:p w14:paraId="1B98D54B" w14:textId="77777777" w:rsidR="00860B45" w:rsidRPr="00F519AB" w:rsidRDefault="00860B45" w:rsidP="00860B45">
      <w:pPr>
        <w:pStyle w:val="ListParagraph"/>
        <w:spacing w:after="120"/>
        <w:ind w:left="0" w:firstLine="709"/>
        <w:rPr>
          <w:bCs/>
          <w:sz w:val="26"/>
          <w:szCs w:val="26"/>
        </w:rPr>
      </w:pPr>
      <w:r w:rsidRPr="00F519AB">
        <w:rPr>
          <w:i/>
          <w:sz w:val="26"/>
          <w:szCs w:val="26"/>
        </w:rPr>
        <w:t>Valsts nodokļu politikas pamatnostādņu 2021.-2025.gadam</w:t>
      </w:r>
      <w:r w:rsidRPr="00F519AB">
        <w:rPr>
          <w:sz w:val="26"/>
          <w:szCs w:val="26"/>
        </w:rPr>
        <w:t xml:space="preserve"> </w:t>
      </w:r>
      <w:r w:rsidRPr="00F519AB">
        <w:rPr>
          <w:b/>
          <w:bCs/>
          <w:sz w:val="26"/>
          <w:szCs w:val="26"/>
        </w:rPr>
        <w:t xml:space="preserve">mērķis </w:t>
      </w:r>
      <w:r w:rsidRPr="00F519AB">
        <w:rPr>
          <w:bCs/>
          <w:sz w:val="26"/>
          <w:szCs w:val="26"/>
        </w:rPr>
        <w:t>ir: mērķtiecīgs atbalsts cilvēku dzīves kvalitātes uzlabošanai, valsts tautsaimniecības izaugsmei un starptautiskai konkurētspējai.</w:t>
      </w:r>
    </w:p>
    <w:p w14:paraId="513B5D56" w14:textId="77777777" w:rsidR="00860B45" w:rsidRDefault="00860B45" w:rsidP="00860B45">
      <w:pPr>
        <w:spacing w:after="120"/>
        <w:ind w:firstLine="720"/>
        <w:jc w:val="both"/>
        <w:rPr>
          <w:sz w:val="26"/>
          <w:szCs w:val="26"/>
        </w:rPr>
      </w:pPr>
      <w:r w:rsidRPr="00F519AB">
        <w:rPr>
          <w:i/>
          <w:sz w:val="26"/>
          <w:szCs w:val="26"/>
        </w:rPr>
        <w:t>Valsts nodokļu politikas pamatnostād</w:t>
      </w:r>
      <w:r w:rsidR="00362C28">
        <w:rPr>
          <w:i/>
          <w:sz w:val="26"/>
          <w:szCs w:val="26"/>
        </w:rPr>
        <w:t>nes</w:t>
      </w:r>
      <w:r w:rsidRPr="00F519AB">
        <w:rPr>
          <w:i/>
          <w:sz w:val="26"/>
          <w:szCs w:val="26"/>
        </w:rPr>
        <w:t xml:space="preserve"> </w:t>
      </w:r>
      <w:r w:rsidRPr="00F519AB">
        <w:rPr>
          <w:rFonts w:cs="Times New Roman"/>
          <w:i/>
          <w:sz w:val="26"/>
          <w:szCs w:val="26"/>
        </w:rPr>
        <w:t>2021.-2025.gadam</w:t>
      </w:r>
      <w:r w:rsidRPr="00F519AB">
        <w:rPr>
          <w:sz w:val="26"/>
          <w:szCs w:val="26"/>
        </w:rPr>
        <w:t xml:space="preserve"> balstīsies uz nodokļu sistēmas izvērtēšanu un pārstrukturēšanu, izvērtējot iepriekšējās nodokļu reformas rezultātus. </w:t>
      </w:r>
    </w:p>
    <w:p w14:paraId="6D7883D5" w14:textId="450808C6" w:rsidR="008A30B3" w:rsidRPr="007A6DAD" w:rsidRDefault="008A30B3" w:rsidP="008A30B3">
      <w:pPr>
        <w:spacing w:after="120"/>
        <w:ind w:firstLine="709"/>
        <w:jc w:val="both"/>
        <w:rPr>
          <w:b/>
          <w:bCs/>
          <w:sz w:val="26"/>
          <w:szCs w:val="26"/>
        </w:rPr>
      </w:pPr>
      <w:r w:rsidRPr="007A6DAD">
        <w:rPr>
          <w:b/>
          <w:bCs/>
          <w:sz w:val="26"/>
          <w:szCs w:val="26"/>
        </w:rPr>
        <w:t xml:space="preserve">Informatīvais ziņojums satur </w:t>
      </w:r>
      <w:r w:rsidR="008311B4">
        <w:rPr>
          <w:b/>
          <w:bCs/>
          <w:sz w:val="26"/>
          <w:szCs w:val="26"/>
        </w:rPr>
        <w:t xml:space="preserve">sadarbības partneru – Valdības </w:t>
      </w:r>
      <w:r w:rsidR="008311B4" w:rsidRPr="003D1112">
        <w:rPr>
          <w:b/>
          <w:sz w:val="26"/>
          <w:szCs w:val="26"/>
        </w:rPr>
        <w:t>koalīciju veidojoš</w:t>
      </w:r>
      <w:r w:rsidR="008311B4">
        <w:rPr>
          <w:b/>
          <w:sz w:val="26"/>
          <w:szCs w:val="26"/>
        </w:rPr>
        <w:t>o</w:t>
      </w:r>
      <w:r w:rsidR="008311B4" w:rsidRPr="00F519AB">
        <w:rPr>
          <w:sz w:val="26"/>
          <w:szCs w:val="26"/>
        </w:rPr>
        <w:t xml:space="preserve"> </w:t>
      </w:r>
      <w:r w:rsidRPr="007A6DAD">
        <w:rPr>
          <w:b/>
          <w:bCs/>
          <w:sz w:val="26"/>
          <w:szCs w:val="26"/>
        </w:rPr>
        <w:t>politisko partiju</w:t>
      </w:r>
      <w:r w:rsidR="008311B4">
        <w:rPr>
          <w:b/>
          <w:bCs/>
          <w:sz w:val="26"/>
          <w:szCs w:val="26"/>
        </w:rPr>
        <w:t xml:space="preserve"> – </w:t>
      </w:r>
      <w:r w:rsidRPr="007A6DAD">
        <w:rPr>
          <w:b/>
          <w:bCs/>
          <w:sz w:val="26"/>
          <w:szCs w:val="26"/>
        </w:rPr>
        <w:t xml:space="preserve">priekšlikumu apkopojumu Latvijas nodokļu sistēmas uzlabošanai, kas </w:t>
      </w:r>
      <w:r w:rsidR="008311B4">
        <w:rPr>
          <w:b/>
          <w:bCs/>
          <w:sz w:val="26"/>
          <w:szCs w:val="26"/>
        </w:rPr>
        <w:t xml:space="preserve">ir </w:t>
      </w:r>
      <w:r w:rsidRPr="007A6DAD">
        <w:rPr>
          <w:b/>
          <w:bCs/>
          <w:sz w:val="26"/>
          <w:szCs w:val="26"/>
        </w:rPr>
        <w:t xml:space="preserve">apspriesti dažādos publiskos formātos. </w:t>
      </w:r>
      <w:r w:rsidR="008311B4">
        <w:rPr>
          <w:b/>
          <w:bCs/>
          <w:sz w:val="26"/>
          <w:szCs w:val="26"/>
        </w:rPr>
        <w:t>V</w:t>
      </w:r>
      <w:r w:rsidR="008311B4" w:rsidRPr="007A6DAD">
        <w:rPr>
          <w:b/>
          <w:bCs/>
          <w:sz w:val="26"/>
          <w:szCs w:val="26"/>
        </w:rPr>
        <w:t>aldības sociāl</w:t>
      </w:r>
      <w:r w:rsidR="008311B4">
        <w:rPr>
          <w:b/>
          <w:bCs/>
          <w:sz w:val="26"/>
          <w:szCs w:val="26"/>
        </w:rPr>
        <w:t xml:space="preserve">ie </w:t>
      </w:r>
      <w:r w:rsidR="008311B4" w:rsidRPr="007A6DAD">
        <w:rPr>
          <w:b/>
          <w:bCs/>
          <w:sz w:val="26"/>
          <w:szCs w:val="26"/>
        </w:rPr>
        <w:t>partner</w:t>
      </w:r>
      <w:r w:rsidR="008311B4">
        <w:rPr>
          <w:b/>
          <w:bCs/>
          <w:sz w:val="26"/>
          <w:szCs w:val="26"/>
        </w:rPr>
        <w:t>i</w:t>
      </w:r>
      <w:r w:rsidR="008311B4" w:rsidRPr="007A6DAD">
        <w:rPr>
          <w:b/>
          <w:bCs/>
          <w:sz w:val="26"/>
          <w:szCs w:val="26"/>
        </w:rPr>
        <w:t xml:space="preserve"> un nevalstisk</w:t>
      </w:r>
      <w:r w:rsidR="008311B4">
        <w:rPr>
          <w:b/>
          <w:bCs/>
          <w:sz w:val="26"/>
          <w:szCs w:val="26"/>
        </w:rPr>
        <w:t>ās</w:t>
      </w:r>
      <w:r w:rsidR="008311B4" w:rsidRPr="007A6DAD">
        <w:rPr>
          <w:b/>
          <w:bCs/>
          <w:sz w:val="26"/>
          <w:szCs w:val="26"/>
        </w:rPr>
        <w:t xml:space="preserve"> organizācij</w:t>
      </w:r>
      <w:r w:rsidR="008311B4">
        <w:rPr>
          <w:b/>
          <w:bCs/>
          <w:sz w:val="26"/>
          <w:szCs w:val="26"/>
        </w:rPr>
        <w:t xml:space="preserve">as ir iepazinušās ar šiem priekšlikumiem, bet vēl </w:t>
      </w:r>
      <w:r w:rsidR="00E7036F">
        <w:rPr>
          <w:b/>
          <w:bCs/>
          <w:sz w:val="26"/>
          <w:szCs w:val="26"/>
        </w:rPr>
        <w:t>notiks</w:t>
      </w:r>
      <w:r w:rsidR="00E7036F">
        <w:rPr>
          <w:b/>
          <w:bCs/>
          <w:sz w:val="26"/>
          <w:szCs w:val="26"/>
        </w:rPr>
        <w:t xml:space="preserve"> </w:t>
      </w:r>
      <w:r w:rsidR="008311B4">
        <w:rPr>
          <w:b/>
          <w:bCs/>
          <w:sz w:val="26"/>
          <w:szCs w:val="26"/>
        </w:rPr>
        <w:t xml:space="preserve">tālākas diskusijas par tiem.   </w:t>
      </w:r>
    </w:p>
    <w:bookmarkEnd w:id="5"/>
    <w:p w14:paraId="4366692E" w14:textId="77777777" w:rsidR="00E61B4B" w:rsidRDefault="00E61B4B" w:rsidP="00A95991">
      <w:pPr>
        <w:ind w:firstLine="709"/>
        <w:jc w:val="both"/>
        <w:rPr>
          <w:b/>
          <w:sz w:val="26"/>
          <w:szCs w:val="26"/>
        </w:rPr>
      </w:pPr>
    </w:p>
    <w:p w14:paraId="4ADDEBA4" w14:textId="77777777" w:rsidR="00A95991" w:rsidRPr="00A95991" w:rsidRDefault="00A95991" w:rsidP="00A95991">
      <w:pPr>
        <w:ind w:firstLine="709"/>
        <w:jc w:val="both"/>
        <w:rPr>
          <w:b/>
          <w:sz w:val="26"/>
          <w:szCs w:val="26"/>
        </w:rPr>
      </w:pPr>
      <w:r w:rsidRPr="00A95991">
        <w:rPr>
          <w:b/>
          <w:sz w:val="26"/>
          <w:szCs w:val="26"/>
        </w:rPr>
        <w:t>Informatīvajā ziņojumā ietvertajiem pasākumiem Valsts nodokļu politikas pamatnostādņu 2021.-2025.gadam izstrādei ir norādīts indikatīvs vērtējums, līdz ar to precizējoties priekšlikuma nosacījumiem, fiskālā ietekme var mainīties.</w:t>
      </w:r>
    </w:p>
    <w:p w14:paraId="3EA5DBED" w14:textId="77777777" w:rsidR="00A95991" w:rsidRPr="00A95991" w:rsidRDefault="00A95991" w:rsidP="00A95991">
      <w:pPr>
        <w:ind w:firstLine="709"/>
        <w:rPr>
          <w:b/>
        </w:rPr>
      </w:pPr>
    </w:p>
    <w:p w14:paraId="7BF2FBC5" w14:textId="77777777" w:rsidR="00860B45" w:rsidRDefault="00860B45" w:rsidP="00860B45">
      <w:r>
        <w:br w:type="page"/>
      </w:r>
    </w:p>
    <w:p w14:paraId="33B1AB41" w14:textId="77777777" w:rsidR="00860B45" w:rsidRPr="00E92B00" w:rsidRDefault="00D46FA1" w:rsidP="00D46FA1">
      <w:pPr>
        <w:pStyle w:val="Heading1"/>
      </w:pPr>
      <w:bookmarkStart w:id="6" w:name="_Toc33186620"/>
      <w:r>
        <w:lastRenderedPageBreak/>
        <w:t xml:space="preserve">1. </w:t>
      </w:r>
      <w:r w:rsidR="00860B45" w:rsidRPr="00E92B00">
        <w:t>Iedzīvotāju ienākuma nodoklis</w:t>
      </w:r>
      <w:bookmarkEnd w:id="6"/>
    </w:p>
    <w:p w14:paraId="4203ABAA" w14:textId="77777777" w:rsidR="00860B45" w:rsidRPr="00E92B00" w:rsidRDefault="00860B45" w:rsidP="00D46FA1">
      <w:pPr>
        <w:pStyle w:val="Heading2"/>
        <w:rPr>
          <w:b w:val="0"/>
        </w:rPr>
      </w:pPr>
      <w:bookmarkStart w:id="7" w:name="_Toc33186621"/>
      <w:r w:rsidRPr="00E92B00">
        <w:rPr>
          <w:b w:val="0"/>
        </w:rPr>
        <w:t>1.1. Iedzīvotāju ienākuma nodokļa progresivitātes scenāriji</w:t>
      </w:r>
      <w:bookmarkEnd w:id="7"/>
    </w:p>
    <w:p w14:paraId="21DD6470" w14:textId="77777777" w:rsidR="00860B45" w:rsidRPr="00F519AB" w:rsidRDefault="00860B45" w:rsidP="00860B45">
      <w:pPr>
        <w:jc w:val="center"/>
        <w:rPr>
          <w:rFonts w:cs="Times New Roman"/>
          <w:b/>
          <w:sz w:val="26"/>
          <w:szCs w:val="26"/>
        </w:rPr>
      </w:pPr>
      <w:r w:rsidRPr="00F519AB">
        <w:rPr>
          <w:rFonts w:cs="Times New Roman"/>
          <w:b/>
          <w:sz w:val="26"/>
          <w:szCs w:val="26"/>
        </w:rPr>
        <w:t xml:space="preserve">Scenārijs A </w:t>
      </w:r>
      <w:r w:rsidRPr="00F519AB">
        <w:rPr>
          <w:rFonts w:cs="Times New Roman"/>
          <w:b/>
          <w:color w:val="0070C0"/>
          <w:sz w:val="26"/>
          <w:szCs w:val="26"/>
        </w:rPr>
        <w:t>– paaugstina diferencēto neapliekamo minimumu</w:t>
      </w:r>
      <w:r w:rsidRPr="00F519AB">
        <w:rPr>
          <w:rFonts w:cs="Times New Roman"/>
          <w:b/>
          <w:sz w:val="26"/>
          <w:szCs w:val="26"/>
        </w:rPr>
        <w:t xml:space="preserve">, </w:t>
      </w:r>
    </w:p>
    <w:p w14:paraId="4562E1B2" w14:textId="77777777" w:rsidR="007A6DAD" w:rsidRDefault="00860B45" w:rsidP="00860B45">
      <w:pPr>
        <w:jc w:val="center"/>
        <w:rPr>
          <w:rFonts w:cs="Times New Roman"/>
          <w:b/>
          <w:color w:val="FF0000"/>
          <w:sz w:val="26"/>
          <w:szCs w:val="26"/>
        </w:rPr>
      </w:pPr>
      <w:r w:rsidRPr="00F519AB">
        <w:rPr>
          <w:rFonts w:cs="Times New Roman"/>
          <w:b/>
          <w:color w:val="FF0000"/>
          <w:sz w:val="26"/>
          <w:szCs w:val="26"/>
        </w:rPr>
        <w:t xml:space="preserve">bet </w:t>
      </w:r>
      <w:r w:rsidR="007A6DAD" w:rsidRPr="007A6DAD">
        <w:rPr>
          <w:rFonts w:eastAsia="Times New Roman,Calibri" w:cs="Times New Roman"/>
          <w:b/>
          <w:color w:val="FF0000"/>
          <w:sz w:val="26"/>
          <w:szCs w:val="26"/>
        </w:rPr>
        <w:t>i</w:t>
      </w:r>
      <w:r w:rsidR="007A6DAD" w:rsidRPr="007A6DAD">
        <w:rPr>
          <w:b/>
          <w:color w:val="FF0000"/>
          <w:sz w:val="26"/>
          <w:szCs w:val="26"/>
        </w:rPr>
        <w:t>edzīvotāju ienākuma nodokļa</w:t>
      </w:r>
      <w:r w:rsidR="007A6DAD" w:rsidRPr="007A6DAD">
        <w:rPr>
          <w:b/>
          <w:color w:val="FF0000"/>
        </w:rPr>
        <w:t xml:space="preserve"> </w:t>
      </w:r>
      <w:r w:rsidRPr="00F519AB">
        <w:rPr>
          <w:rFonts w:cs="Times New Roman"/>
          <w:b/>
          <w:color w:val="FF0000"/>
          <w:sz w:val="26"/>
          <w:szCs w:val="26"/>
        </w:rPr>
        <w:t xml:space="preserve">likmes </w:t>
      </w:r>
      <w:r w:rsidR="007A6DAD" w:rsidRPr="00F519AB">
        <w:rPr>
          <w:rFonts w:cs="Times New Roman"/>
          <w:b/>
          <w:color w:val="FF0000"/>
          <w:sz w:val="26"/>
          <w:szCs w:val="26"/>
        </w:rPr>
        <w:t>un</w:t>
      </w:r>
    </w:p>
    <w:p w14:paraId="7D794EAA" w14:textId="77777777" w:rsidR="00860B45" w:rsidRDefault="00860B45" w:rsidP="00860B45">
      <w:pPr>
        <w:jc w:val="center"/>
        <w:rPr>
          <w:rFonts w:cs="Times New Roman"/>
          <w:b/>
          <w:color w:val="FF0000"/>
          <w:sz w:val="26"/>
          <w:szCs w:val="26"/>
        </w:rPr>
      </w:pPr>
      <w:r w:rsidRPr="00F519AB">
        <w:rPr>
          <w:rFonts w:cs="Times New Roman"/>
          <w:b/>
          <w:color w:val="FF0000"/>
          <w:sz w:val="26"/>
          <w:szCs w:val="26"/>
        </w:rPr>
        <w:t xml:space="preserve">solidaritātes nodoklis paliek nemainīgs </w:t>
      </w:r>
    </w:p>
    <w:p w14:paraId="31CBCA44" w14:textId="77777777" w:rsidR="006C5A20" w:rsidRDefault="006C5A20" w:rsidP="006C5A20">
      <w:pPr>
        <w:spacing w:after="120"/>
        <w:ind w:firstLine="720"/>
        <w:jc w:val="both"/>
        <w:rPr>
          <w:rFonts w:ascii="Times New Roman,Calibri" w:eastAsia="Times New Roman,Calibri" w:hAnsi="Times New Roman,Calibri" w:cs="Times New Roman,Calibri"/>
        </w:rPr>
      </w:pPr>
    </w:p>
    <w:p w14:paraId="721B6BF1" w14:textId="77777777" w:rsidR="006C5A20" w:rsidRPr="006C5A20" w:rsidRDefault="006C5A20" w:rsidP="006C5A20">
      <w:pPr>
        <w:spacing w:after="120"/>
        <w:ind w:firstLine="720"/>
        <w:jc w:val="both"/>
        <w:rPr>
          <w:rFonts w:eastAsia="Times New Roman,Calibri" w:cs="Times New Roman"/>
          <w:sz w:val="26"/>
          <w:szCs w:val="26"/>
        </w:rPr>
      </w:pPr>
      <w:r w:rsidRPr="006C5A20">
        <w:rPr>
          <w:rFonts w:eastAsia="Times New Roman,Calibri" w:cs="Times New Roman"/>
          <w:sz w:val="26"/>
          <w:szCs w:val="26"/>
        </w:rPr>
        <w:t xml:space="preserve">Viens no svarīgākajiem </w:t>
      </w:r>
      <w:r w:rsidR="007A6DAD">
        <w:rPr>
          <w:rFonts w:eastAsia="Times New Roman,Calibri" w:cs="Times New Roman"/>
          <w:sz w:val="26"/>
          <w:szCs w:val="26"/>
        </w:rPr>
        <w:t>i</w:t>
      </w:r>
      <w:r w:rsidR="007A6DAD" w:rsidRPr="007A6DAD">
        <w:rPr>
          <w:sz w:val="26"/>
          <w:szCs w:val="26"/>
        </w:rPr>
        <w:t>edzīvotāju ienākuma nodokļa</w:t>
      </w:r>
      <w:r w:rsidR="007A6DAD" w:rsidRPr="00E92B00">
        <w:rPr>
          <w:b/>
        </w:rPr>
        <w:t xml:space="preserve"> </w:t>
      </w:r>
      <w:r w:rsidR="007A6DAD" w:rsidRPr="007A6DAD">
        <w:t>(turpmāk – IIN)</w:t>
      </w:r>
      <w:r w:rsidRPr="006C5A20">
        <w:rPr>
          <w:rFonts w:eastAsia="Times New Roman,Calibri" w:cs="Times New Roman"/>
          <w:sz w:val="26"/>
          <w:szCs w:val="26"/>
        </w:rPr>
        <w:t xml:space="preserve"> atvieglojumiem ir ar nodokli neapliekamais minimums. Neapliekamā minimuma izmaiņām ir relatīvi lielāka ietekme uz zemāk atalgotajiem dar</w:t>
      </w:r>
      <w:r w:rsidRPr="006C5A20">
        <w:rPr>
          <w:rFonts w:eastAsia="Calibri" w:cs="Times New Roman"/>
          <w:sz w:val="26"/>
          <w:szCs w:val="26"/>
        </w:rPr>
        <w:softHyphen/>
      </w:r>
      <w:r w:rsidRPr="006C5A20">
        <w:rPr>
          <w:rFonts w:eastAsia="Times New Roman,Calibri" w:cs="Times New Roman"/>
          <w:sz w:val="26"/>
          <w:szCs w:val="26"/>
        </w:rPr>
        <w:t xml:space="preserve">ba ņēmējiem (ar algu zem vidējās). Tādējādi tas mērķtiecīgāk var ietekmēt tādus ar darba tirgu saistītos jautājumus kā bezdarbs, ekonomiskā aktivitāte, nabadzība un atkarība no pabalstiem. </w:t>
      </w:r>
    </w:p>
    <w:p w14:paraId="2108E334" w14:textId="77777777" w:rsidR="00860B45" w:rsidRPr="00F519AB" w:rsidRDefault="00860B45" w:rsidP="00860B45">
      <w:pPr>
        <w:spacing w:after="120"/>
        <w:jc w:val="center"/>
        <w:rPr>
          <w:rFonts w:cs="Times New Roman"/>
          <w:i/>
          <w:szCs w:val="24"/>
        </w:rPr>
      </w:pPr>
      <w:r w:rsidRPr="002C4523">
        <w:rPr>
          <w:rFonts w:cs="Times New Roman"/>
          <w:szCs w:val="24"/>
        </w:rPr>
        <w:t>1.tab.</w:t>
      </w:r>
      <w:r>
        <w:rPr>
          <w:rFonts w:cs="Times New Roman"/>
          <w:b/>
          <w:szCs w:val="24"/>
        </w:rPr>
        <w:t xml:space="preserve"> </w:t>
      </w:r>
      <w:r w:rsidRPr="00F519AB">
        <w:rPr>
          <w:rFonts w:cs="Times New Roman"/>
          <w:b/>
          <w:szCs w:val="24"/>
        </w:rPr>
        <w:t>Diferencētā neapliekamā minimuma paaugstināšanas varianti</w:t>
      </w:r>
      <w:r w:rsidR="0049154A" w:rsidRPr="0049154A">
        <w:rPr>
          <w:rFonts w:cs="Times New Roman"/>
          <w:b/>
          <w:szCs w:val="24"/>
          <w:vertAlign w:val="superscript"/>
        </w:rPr>
        <w:t>*</w:t>
      </w:r>
    </w:p>
    <w:tbl>
      <w:tblPr>
        <w:tblStyle w:val="TableGrid"/>
        <w:tblW w:w="0" w:type="auto"/>
        <w:tblLook w:val="04A0" w:firstRow="1" w:lastRow="0" w:firstColumn="1" w:lastColumn="0" w:noHBand="0" w:noVBand="1"/>
      </w:tblPr>
      <w:tblGrid>
        <w:gridCol w:w="3735"/>
        <w:gridCol w:w="1348"/>
        <w:gridCol w:w="1149"/>
        <w:gridCol w:w="993"/>
        <w:gridCol w:w="1071"/>
      </w:tblGrid>
      <w:tr w:rsidR="00860B45" w:rsidRPr="00F519AB" w14:paraId="7416B8B7" w14:textId="77777777" w:rsidTr="000F652A">
        <w:tc>
          <w:tcPr>
            <w:tcW w:w="3735" w:type="dxa"/>
            <w:tcBorders>
              <w:right w:val="single" w:sz="4" w:space="0" w:color="FFFFFF" w:themeColor="background1"/>
            </w:tcBorders>
            <w:shd w:val="clear" w:color="auto" w:fill="002060"/>
          </w:tcPr>
          <w:p w14:paraId="6D011608" w14:textId="77777777" w:rsidR="00860B45" w:rsidRPr="00F519AB" w:rsidRDefault="00860B45" w:rsidP="000F652A">
            <w:pPr>
              <w:jc w:val="center"/>
              <w:rPr>
                <w:rFonts w:cs="Times New Roman"/>
                <w:b/>
                <w:sz w:val="22"/>
              </w:rPr>
            </w:pPr>
          </w:p>
        </w:tc>
        <w:tc>
          <w:tcPr>
            <w:tcW w:w="1348" w:type="dxa"/>
            <w:tcBorders>
              <w:left w:val="single" w:sz="4" w:space="0" w:color="FFFFFF" w:themeColor="background1"/>
              <w:right w:val="single" w:sz="4" w:space="0" w:color="FFFFFF" w:themeColor="background1"/>
            </w:tcBorders>
            <w:shd w:val="clear" w:color="auto" w:fill="002060"/>
          </w:tcPr>
          <w:p w14:paraId="5DB7306F" w14:textId="77777777" w:rsidR="00860B45" w:rsidRPr="00F519AB" w:rsidRDefault="00860B45" w:rsidP="000F652A">
            <w:pPr>
              <w:jc w:val="center"/>
              <w:rPr>
                <w:rFonts w:cs="Times New Roman"/>
                <w:b/>
                <w:sz w:val="22"/>
              </w:rPr>
            </w:pPr>
            <w:r w:rsidRPr="00F519AB">
              <w:rPr>
                <w:rFonts w:cs="Times New Roman"/>
                <w:b/>
                <w:sz w:val="22"/>
              </w:rPr>
              <w:t>2020.gads</w:t>
            </w:r>
          </w:p>
        </w:tc>
        <w:tc>
          <w:tcPr>
            <w:tcW w:w="1149" w:type="dxa"/>
            <w:tcBorders>
              <w:left w:val="single" w:sz="4" w:space="0" w:color="FFFFFF" w:themeColor="background1"/>
              <w:right w:val="single" w:sz="4" w:space="0" w:color="FFFFFF" w:themeColor="background1"/>
            </w:tcBorders>
            <w:shd w:val="clear" w:color="auto" w:fill="002060"/>
          </w:tcPr>
          <w:p w14:paraId="57C9F228" w14:textId="77777777" w:rsidR="00860B45" w:rsidRPr="00F519AB" w:rsidRDefault="00860B45" w:rsidP="000F652A">
            <w:pPr>
              <w:jc w:val="center"/>
              <w:rPr>
                <w:rFonts w:cs="Times New Roman"/>
                <w:b/>
                <w:sz w:val="22"/>
              </w:rPr>
            </w:pPr>
            <w:r w:rsidRPr="00F519AB">
              <w:rPr>
                <w:rFonts w:cs="Times New Roman"/>
                <w:b/>
                <w:sz w:val="22"/>
              </w:rPr>
              <w:t>1.var.</w:t>
            </w:r>
          </w:p>
        </w:tc>
        <w:tc>
          <w:tcPr>
            <w:tcW w:w="993" w:type="dxa"/>
            <w:tcBorders>
              <w:left w:val="single" w:sz="4" w:space="0" w:color="FFFFFF" w:themeColor="background1"/>
              <w:right w:val="single" w:sz="4" w:space="0" w:color="FFFFFF" w:themeColor="background1"/>
            </w:tcBorders>
            <w:shd w:val="clear" w:color="auto" w:fill="002060"/>
          </w:tcPr>
          <w:p w14:paraId="795BCE95" w14:textId="77777777" w:rsidR="00860B45" w:rsidRPr="00F519AB" w:rsidRDefault="00860B45" w:rsidP="000F652A">
            <w:pPr>
              <w:jc w:val="center"/>
              <w:rPr>
                <w:rFonts w:cs="Times New Roman"/>
                <w:b/>
                <w:sz w:val="22"/>
              </w:rPr>
            </w:pPr>
            <w:r w:rsidRPr="00F519AB">
              <w:rPr>
                <w:rFonts w:cs="Times New Roman"/>
                <w:b/>
                <w:sz w:val="22"/>
              </w:rPr>
              <w:t>2.var.</w:t>
            </w:r>
          </w:p>
        </w:tc>
        <w:tc>
          <w:tcPr>
            <w:tcW w:w="1071" w:type="dxa"/>
            <w:tcBorders>
              <w:left w:val="single" w:sz="4" w:space="0" w:color="FFFFFF" w:themeColor="background1"/>
            </w:tcBorders>
            <w:shd w:val="clear" w:color="auto" w:fill="002060"/>
          </w:tcPr>
          <w:p w14:paraId="5211131A" w14:textId="77777777" w:rsidR="00860B45" w:rsidRPr="00F519AB" w:rsidRDefault="00860B45" w:rsidP="000F652A">
            <w:pPr>
              <w:jc w:val="center"/>
              <w:rPr>
                <w:rFonts w:cs="Times New Roman"/>
                <w:b/>
                <w:sz w:val="22"/>
              </w:rPr>
            </w:pPr>
            <w:r w:rsidRPr="00F519AB">
              <w:rPr>
                <w:rFonts w:cs="Times New Roman"/>
                <w:b/>
                <w:sz w:val="22"/>
              </w:rPr>
              <w:t>3.var.</w:t>
            </w:r>
          </w:p>
        </w:tc>
      </w:tr>
      <w:tr w:rsidR="00860B45" w:rsidRPr="00F519AB" w14:paraId="27E86412" w14:textId="77777777" w:rsidTr="000F652A">
        <w:tc>
          <w:tcPr>
            <w:tcW w:w="3735" w:type="dxa"/>
            <w:vAlign w:val="center"/>
          </w:tcPr>
          <w:p w14:paraId="26B93061" w14:textId="77777777" w:rsidR="00860B45" w:rsidRPr="00F519AB" w:rsidRDefault="00860B45" w:rsidP="000F652A">
            <w:pPr>
              <w:rPr>
                <w:rFonts w:cs="Times New Roman"/>
                <w:sz w:val="22"/>
              </w:rPr>
            </w:pPr>
            <w:r w:rsidRPr="00F519AB">
              <w:rPr>
                <w:rFonts w:cs="Times New Roman"/>
                <w:b/>
                <w:sz w:val="22"/>
              </w:rPr>
              <w:t>Diferencētais neapliekamais minimums</w:t>
            </w:r>
            <w:r w:rsidR="0049154A" w:rsidRPr="0049154A">
              <w:rPr>
                <w:rFonts w:cs="Times New Roman"/>
                <w:b/>
                <w:sz w:val="22"/>
                <w:vertAlign w:val="superscript"/>
              </w:rPr>
              <w:t>*</w:t>
            </w:r>
            <w:r w:rsidRPr="00F519AB">
              <w:rPr>
                <w:rFonts w:cs="Times New Roman"/>
                <w:sz w:val="22"/>
                <w:vertAlign w:val="superscript"/>
              </w:rPr>
              <w:t>*</w:t>
            </w:r>
            <w:r w:rsidR="007A6DAD">
              <w:rPr>
                <w:rFonts w:cs="Times New Roman"/>
                <w:sz w:val="22"/>
                <w:vertAlign w:val="superscript"/>
              </w:rPr>
              <w:t xml:space="preserve"> </w:t>
            </w:r>
            <w:r w:rsidR="007A6DAD" w:rsidRPr="004E12C0">
              <w:rPr>
                <w:rFonts w:cs="Times New Roman"/>
                <w:sz w:val="22"/>
              </w:rPr>
              <w:t>(DNM)</w:t>
            </w:r>
            <w:r w:rsidRPr="00F519AB">
              <w:rPr>
                <w:rFonts w:cs="Times New Roman"/>
                <w:b/>
                <w:sz w:val="22"/>
              </w:rPr>
              <w:t>,</w:t>
            </w:r>
            <w:r w:rsidRPr="00F519AB">
              <w:rPr>
                <w:rFonts w:eastAsia="Times New Roman" w:cs="Times New Roman"/>
                <w:i/>
                <w:iCs/>
                <w:sz w:val="22"/>
              </w:rPr>
              <w:t xml:space="preserve"> euro mēnesī</w:t>
            </w:r>
          </w:p>
        </w:tc>
        <w:tc>
          <w:tcPr>
            <w:tcW w:w="1348" w:type="dxa"/>
            <w:shd w:val="clear" w:color="auto" w:fill="D9D9D9" w:themeFill="background1" w:themeFillShade="D9"/>
            <w:vAlign w:val="center"/>
          </w:tcPr>
          <w:p w14:paraId="2981C24C" w14:textId="77777777" w:rsidR="00860B45" w:rsidRPr="00F519AB" w:rsidRDefault="00860B45" w:rsidP="000F652A">
            <w:pPr>
              <w:jc w:val="center"/>
              <w:rPr>
                <w:rFonts w:cs="Times New Roman"/>
                <w:b/>
                <w:sz w:val="22"/>
              </w:rPr>
            </w:pPr>
            <w:r w:rsidRPr="00F519AB">
              <w:rPr>
                <w:rFonts w:cs="Times New Roman"/>
                <w:b/>
                <w:color w:val="FF0000"/>
                <w:sz w:val="22"/>
              </w:rPr>
              <w:t>300</w:t>
            </w:r>
          </w:p>
        </w:tc>
        <w:tc>
          <w:tcPr>
            <w:tcW w:w="3213" w:type="dxa"/>
            <w:gridSpan w:val="3"/>
            <w:vAlign w:val="center"/>
          </w:tcPr>
          <w:p w14:paraId="720794E7" w14:textId="77777777" w:rsidR="00860B45" w:rsidRPr="00F519AB" w:rsidRDefault="00860B45" w:rsidP="000F652A">
            <w:pPr>
              <w:jc w:val="center"/>
              <w:rPr>
                <w:rFonts w:cs="Times New Roman"/>
                <w:b/>
                <w:sz w:val="22"/>
              </w:rPr>
            </w:pPr>
            <w:r w:rsidRPr="00F519AB">
              <w:rPr>
                <w:rFonts w:cs="Times New Roman"/>
                <w:b/>
                <w:color w:val="FF0000"/>
                <w:sz w:val="22"/>
              </w:rPr>
              <w:t>400</w:t>
            </w:r>
          </w:p>
        </w:tc>
      </w:tr>
      <w:tr w:rsidR="00860B45" w:rsidRPr="00F519AB" w14:paraId="57DA9432" w14:textId="77777777" w:rsidTr="000F652A">
        <w:tc>
          <w:tcPr>
            <w:tcW w:w="3735" w:type="dxa"/>
            <w:vAlign w:val="center"/>
          </w:tcPr>
          <w:p w14:paraId="1953CDA6" w14:textId="77777777" w:rsidR="00860B45" w:rsidRPr="00F519AB" w:rsidRDefault="00860B45" w:rsidP="007A6DAD">
            <w:pPr>
              <w:rPr>
                <w:rFonts w:cs="Times New Roman"/>
                <w:sz w:val="22"/>
              </w:rPr>
            </w:pPr>
            <w:r w:rsidRPr="00F519AB">
              <w:rPr>
                <w:rFonts w:cs="Times New Roman"/>
                <w:bCs/>
                <w:sz w:val="22"/>
              </w:rPr>
              <w:t xml:space="preserve">Ienākumi, līdz kuriem piemēro  </w:t>
            </w:r>
            <w:r w:rsidR="007A6DAD">
              <w:rPr>
                <w:rFonts w:cs="Times New Roman"/>
                <w:sz w:val="22"/>
              </w:rPr>
              <w:t>DNM</w:t>
            </w:r>
            <w:r w:rsidRPr="00F519AB">
              <w:rPr>
                <w:rFonts w:cs="Times New Roman"/>
                <w:sz w:val="22"/>
                <w:vertAlign w:val="superscript"/>
              </w:rPr>
              <w:t>*</w:t>
            </w:r>
            <w:r w:rsidR="0049154A">
              <w:rPr>
                <w:rFonts w:cs="Times New Roman"/>
                <w:sz w:val="22"/>
                <w:vertAlign w:val="superscript"/>
              </w:rPr>
              <w:t>*</w:t>
            </w:r>
            <w:r w:rsidRPr="00F519AB">
              <w:rPr>
                <w:rFonts w:cs="Times New Roman"/>
                <w:sz w:val="22"/>
                <w:vertAlign w:val="superscript"/>
              </w:rPr>
              <w:t>*</w:t>
            </w:r>
            <w:r w:rsidRPr="00F519AB">
              <w:rPr>
                <w:rFonts w:cs="Times New Roman"/>
                <w:sz w:val="22"/>
              </w:rPr>
              <w:t>,</w:t>
            </w:r>
            <w:r w:rsidRPr="00F519AB">
              <w:rPr>
                <w:rFonts w:cs="Times New Roman"/>
                <w:b/>
                <w:sz w:val="22"/>
              </w:rPr>
              <w:t xml:space="preserve"> </w:t>
            </w:r>
            <w:r w:rsidRPr="00F519AB">
              <w:rPr>
                <w:rFonts w:cs="Times New Roman"/>
                <w:i/>
                <w:sz w:val="22"/>
              </w:rPr>
              <w:t>euro mēnesī</w:t>
            </w:r>
          </w:p>
        </w:tc>
        <w:tc>
          <w:tcPr>
            <w:tcW w:w="1348" w:type="dxa"/>
            <w:shd w:val="clear" w:color="auto" w:fill="D9D9D9" w:themeFill="background1" w:themeFillShade="D9"/>
            <w:vAlign w:val="center"/>
          </w:tcPr>
          <w:p w14:paraId="3F051B3E" w14:textId="77777777" w:rsidR="00860B45" w:rsidRPr="00F519AB" w:rsidRDefault="00860B45" w:rsidP="000F652A">
            <w:pPr>
              <w:jc w:val="center"/>
              <w:rPr>
                <w:rFonts w:cs="Times New Roman"/>
                <w:b/>
                <w:sz w:val="22"/>
              </w:rPr>
            </w:pPr>
            <w:r w:rsidRPr="00F519AB">
              <w:rPr>
                <w:rFonts w:cs="Times New Roman"/>
                <w:b/>
                <w:sz w:val="22"/>
              </w:rPr>
              <w:t>1 200</w:t>
            </w:r>
          </w:p>
        </w:tc>
        <w:tc>
          <w:tcPr>
            <w:tcW w:w="1149" w:type="dxa"/>
            <w:vAlign w:val="center"/>
          </w:tcPr>
          <w:p w14:paraId="41F2ED5E" w14:textId="77777777" w:rsidR="00860B45" w:rsidRPr="00F519AB" w:rsidRDefault="00860B45" w:rsidP="000F652A">
            <w:pPr>
              <w:jc w:val="center"/>
              <w:rPr>
                <w:rFonts w:cs="Times New Roman"/>
                <w:b/>
                <w:sz w:val="22"/>
              </w:rPr>
            </w:pPr>
            <w:r w:rsidRPr="00F519AB">
              <w:rPr>
                <w:rFonts w:cs="Times New Roman"/>
                <w:b/>
                <w:sz w:val="22"/>
              </w:rPr>
              <w:t>1 200</w:t>
            </w:r>
          </w:p>
        </w:tc>
        <w:tc>
          <w:tcPr>
            <w:tcW w:w="993" w:type="dxa"/>
            <w:vAlign w:val="center"/>
          </w:tcPr>
          <w:p w14:paraId="1F8912CE" w14:textId="77777777" w:rsidR="00860B45" w:rsidRPr="00F519AB" w:rsidRDefault="00860B45" w:rsidP="000F652A">
            <w:pPr>
              <w:jc w:val="center"/>
              <w:rPr>
                <w:rFonts w:cs="Times New Roman"/>
                <w:b/>
                <w:sz w:val="22"/>
              </w:rPr>
            </w:pPr>
            <w:r w:rsidRPr="00F519AB">
              <w:rPr>
                <w:rFonts w:cs="Times New Roman"/>
                <w:b/>
                <w:sz w:val="22"/>
              </w:rPr>
              <w:t>1 500</w:t>
            </w:r>
          </w:p>
        </w:tc>
        <w:tc>
          <w:tcPr>
            <w:tcW w:w="1071" w:type="dxa"/>
            <w:vAlign w:val="center"/>
          </w:tcPr>
          <w:p w14:paraId="68A332A3" w14:textId="77777777" w:rsidR="00860B45" w:rsidRPr="00F519AB" w:rsidRDefault="00860B45" w:rsidP="000F652A">
            <w:pPr>
              <w:jc w:val="center"/>
              <w:rPr>
                <w:rFonts w:cs="Times New Roman"/>
                <w:b/>
                <w:sz w:val="22"/>
              </w:rPr>
            </w:pPr>
            <w:r w:rsidRPr="00F519AB">
              <w:rPr>
                <w:rFonts w:cs="Times New Roman"/>
                <w:b/>
                <w:sz w:val="22"/>
              </w:rPr>
              <w:t>1 800</w:t>
            </w:r>
          </w:p>
        </w:tc>
      </w:tr>
      <w:tr w:rsidR="00860B45" w:rsidRPr="00F519AB" w14:paraId="23E61B76" w14:textId="77777777" w:rsidTr="000F652A">
        <w:trPr>
          <w:trHeight w:val="344"/>
        </w:trPr>
        <w:tc>
          <w:tcPr>
            <w:tcW w:w="3735" w:type="dxa"/>
            <w:shd w:val="clear" w:color="auto" w:fill="FFE599" w:themeFill="accent4" w:themeFillTint="66"/>
            <w:vAlign w:val="center"/>
          </w:tcPr>
          <w:p w14:paraId="77741B1A" w14:textId="77777777" w:rsidR="00860B45" w:rsidRPr="00F519AB" w:rsidRDefault="00860B45" w:rsidP="000F652A">
            <w:pPr>
              <w:rPr>
                <w:rFonts w:cs="Times New Roman"/>
                <w:sz w:val="22"/>
              </w:rPr>
            </w:pPr>
            <w:r w:rsidRPr="00F519AB">
              <w:rPr>
                <w:rFonts w:cs="Times New Roman"/>
                <w:b/>
                <w:bCs/>
                <w:sz w:val="22"/>
              </w:rPr>
              <w:t>Fiskālā ietekme</w:t>
            </w:r>
            <w:r w:rsidRPr="00F519AB">
              <w:rPr>
                <w:rFonts w:cs="Times New Roman"/>
                <w:bCs/>
                <w:sz w:val="22"/>
              </w:rPr>
              <w:t xml:space="preserve">, </w:t>
            </w:r>
            <w:r w:rsidRPr="00F519AB">
              <w:rPr>
                <w:rFonts w:cs="Times New Roman"/>
                <w:bCs/>
                <w:i/>
                <w:sz w:val="22"/>
              </w:rPr>
              <w:t>mi</w:t>
            </w:r>
            <w:r w:rsidR="008A30B3">
              <w:rPr>
                <w:rFonts w:cs="Times New Roman"/>
                <w:bCs/>
                <w:i/>
                <w:sz w:val="22"/>
              </w:rPr>
              <w:t>l</w:t>
            </w:r>
            <w:r w:rsidRPr="00F519AB">
              <w:rPr>
                <w:rFonts w:cs="Times New Roman"/>
                <w:bCs/>
                <w:i/>
                <w:sz w:val="22"/>
              </w:rPr>
              <w:t>j. euro</w:t>
            </w:r>
          </w:p>
        </w:tc>
        <w:tc>
          <w:tcPr>
            <w:tcW w:w="1348" w:type="dxa"/>
            <w:shd w:val="clear" w:color="auto" w:fill="D9D9D9" w:themeFill="background1" w:themeFillShade="D9"/>
            <w:vAlign w:val="center"/>
          </w:tcPr>
          <w:p w14:paraId="3C40A596" w14:textId="77777777" w:rsidR="00860B45" w:rsidRPr="00F519AB" w:rsidRDefault="00860B45" w:rsidP="000F652A">
            <w:pPr>
              <w:jc w:val="center"/>
              <w:rPr>
                <w:rFonts w:cs="Times New Roman"/>
                <w:sz w:val="22"/>
              </w:rPr>
            </w:pPr>
          </w:p>
        </w:tc>
        <w:tc>
          <w:tcPr>
            <w:tcW w:w="1149" w:type="dxa"/>
            <w:shd w:val="clear" w:color="auto" w:fill="FFE599" w:themeFill="accent4" w:themeFillTint="66"/>
            <w:vAlign w:val="center"/>
          </w:tcPr>
          <w:p w14:paraId="171D5020" w14:textId="77777777" w:rsidR="00860B45" w:rsidRPr="00F519AB" w:rsidRDefault="00860B45" w:rsidP="000F652A">
            <w:pPr>
              <w:jc w:val="center"/>
              <w:rPr>
                <w:rFonts w:cs="Times New Roman"/>
                <w:b/>
                <w:color w:val="C00000"/>
                <w:sz w:val="22"/>
              </w:rPr>
            </w:pPr>
            <w:r w:rsidRPr="00F519AB">
              <w:rPr>
                <w:rFonts w:cs="Times New Roman"/>
                <w:b/>
                <w:color w:val="C00000"/>
                <w:sz w:val="22"/>
              </w:rPr>
              <w:t>-39</w:t>
            </w:r>
          </w:p>
        </w:tc>
        <w:tc>
          <w:tcPr>
            <w:tcW w:w="993" w:type="dxa"/>
            <w:shd w:val="clear" w:color="auto" w:fill="FFE599" w:themeFill="accent4" w:themeFillTint="66"/>
            <w:vAlign w:val="center"/>
          </w:tcPr>
          <w:p w14:paraId="5A978CED" w14:textId="77777777" w:rsidR="00860B45" w:rsidRPr="00F519AB" w:rsidRDefault="00860B45" w:rsidP="000F652A">
            <w:pPr>
              <w:jc w:val="center"/>
              <w:rPr>
                <w:rFonts w:cs="Times New Roman"/>
                <w:b/>
                <w:color w:val="C00000"/>
                <w:sz w:val="22"/>
              </w:rPr>
            </w:pPr>
            <w:r w:rsidRPr="00F519AB">
              <w:rPr>
                <w:rFonts w:cs="Times New Roman"/>
                <w:b/>
                <w:color w:val="C00000"/>
                <w:sz w:val="22"/>
              </w:rPr>
              <w:t>-71</w:t>
            </w:r>
          </w:p>
        </w:tc>
        <w:tc>
          <w:tcPr>
            <w:tcW w:w="1071" w:type="dxa"/>
            <w:shd w:val="clear" w:color="auto" w:fill="FFE599" w:themeFill="accent4" w:themeFillTint="66"/>
            <w:vAlign w:val="center"/>
          </w:tcPr>
          <w:p w14:paraId="03064DDF" w14:textId="77777777" w:rsidR="00860B45" w:rsidRPr="00F519AB" w:rsidRDefault="00860B45" w:rsidP="000F652A">
            <w:pPr>
              <w:jc w:val="center"/>
              <w:rPr>
                <w:rFonts w:cs="Times New Roman"/>
                <w:b/>
                <w:color w:val="C00000"/>
                <w:sz w:val="22"/>
              </w:rPr>
            </w:pPr>
            <w:r w:rsidRPr="00F519AB">
              <w:rPr>
                <w:rFonts w:cs="Times New Roman"/>
                <w:b/>
                <w:color w:val="C00000"/>
                <w:sz w:val="22"/>
              </w:rPr>
              <w:t>-98</w:t>
            </w:r>
          </w:p>
        </w:tc>
      </w:tr>
    </w:tbl>
    <w:p w14:paraId="4DB8413B" w14:textId="77777777" w:rsidR="00860B45" w:rsidRDefault="00860B45" w:rsidP="00860B45"/>
    <w:tbl>
      <w:tblPr>
        <w:tblStyle w:val="TableGrid"/>
        <w:tblW w:w="0" w:type="auto"/>
        <w:tblLook w:val="04A0" w:firstRow="1" w:lastRow="0" w:firstColumn="1" w:lastColumn="0" w:noHBand="0" w:noVBand="1"/>
      </w:tblPr>
      <w:tblGrid>
        <w:gridCol w:w="3735"/>
        <w:gridCol w:w="1348"/>
        <w:gridCol w:w="1149"/>
        <w:gridCol w:w="993"/>
        <w:gridCol w:w="1071"/>
      </w:tblGrid>
      <w:tr w:rsidR="00860B45" w:rsidRPr="00F519AB" w14:paraId="6D70B6DC" w14:textId="77777777" w:rsidTr="000F652A">
        <w:tc>
          <w:tcPr>
            <w:tcW w:w="3735" w:type="dxa"/>
            <w:tcBorders>
              <w:right w:val="single" w:sz="4" w:space="0" w:color="FFFFFF" w:themeColor="background1"/>
            </w:tcBorders>
            <w:shd w:val="clear" w:color="auto" w:fill="002060"/>
          </w:tcPr>
          <w:p w14:paraId="30AB4A3A" w14:textId="77777777" w:rsidR="00860B45" w:rsidRPr="00F519AB" w:rsidRDefault="00860B45" w:rsidP="000F652A">
            <w:pPr>
              <w:jc w:val="center"/>
              <w:rPr>
                <w:rFonts w:cs="Times New Roman"/>
                <w:b/>
                <w:sz w:val="22"/>
              </w:rPr>
            </w:pPr>
          </w:p>
        </w:tc>
        <w:tc>
          <w:tcPr>
            <w:tcW w:w="1348" w:type="dxa"/>
            <w:tcBorders>
              <w:left w:val="single" w:sz="4" w:space="0" w:color="FFFFFF" w:themeColor="background1"/>
              <w:right w:val="single" w:sz="4" w:space="0" w:color="FFFFFF" w:themeColor="background1"/>
            </w:tcBorders>
            <w:shd w:val="clear" w:color="auto" w:fill="002060"/>
          </w:tcPr>
          <w:p w14:paraId="364B6C16" w14:textId="77777777" w:rsidR="00860B45" w:rsidRPr="00F519AB" w:rsidRDefault="00860B45" w:rsidP="000F652A">
            <w:pPr>
              <w:jc w:val="center"/>
              <w:rPr>
                <w:rFonts w:cs="Times New Roman"/>
                <w:b/>
                <w:sz w:val="22"/>
              </w:rPr>
            </w:pPr>
            <w:r w:rsidRPr="00F519AB">
              <w:rPr>
                <w:rFonts w:cs="Times New Roman"/>
                <w:b/>
                <w:sz w:val="22"/>
              </w:rPr>
              <w:t>2020.gads</w:t>
            </w:r>
          </w:p>
        </w:tc>
        <w:tc>
          <w:tcPr>
            <w:tcW w:w="1149" w:type="dxa"/>
            <w:tcBorders>
              <w:left w:val="single" w:sz="4" w:space="0" w:color="FFFFFF" w:themeColor="background1"/>
              <w:right w:val="single" w:sz="4" w:space="0" w:color="FFFFFF" w:themeColor="background1"/>
            </w:tcBorders>
            <w:shd w:val="clear" w:color="auto" w:fill="002060"/>
          </w:tcPr>
          <w:p w14:paraId="067E59BE" w14:textId="77777777" w:rsidR="00860B45" w:rsidRPr="00F519AB" w:rsidRDefault="00860B45" w:rsidP="000F652A">
            <w:pPr>
              <w:jc w:val="center"/>
              <w:rPr>
                <w:rFonts w:cs="Times New Roman"/>
                <w:b/>
                <w:sz w:val="22"/>
              </w:rPr>
            </w:pPr>
            <w:r w:rsidRPr="00F519AB">
              <w:rPr>
                <w:rFonts w:cs="Times New Roman"/>
                <w:b/>
                <w:sz w:val="22"/>
              </w:rPr>
              <w:t>4.var.</w:t>
            </w:r>
          </w:p>
        </w:tc>
        <w:tc>
          <w:tcPr>
            <w:tcW w:w="993" w:type="dxa"/>
            <w:tcBorders>
              <w:left w:val="single" w:sz="4" w:space="0" w:color="FFFFFF" w:themeColor="background1"/>
              <w:right w:val="single" w:sz="4" w:space="0" w:color="FFFFFF" w:themeColor="background1"/>
            </w:tcBorders>
            <w:shd w:val="clear" w:color="auto" w:fill="002060"/>
          </w:tcPr>
          <w:p w14:paraId="38458805" w14:textId="77777777" w:rsidR="00860B45" w:rsidRPr="00F519AB" w:rsidRDefault="00860B45" w:rsidP="000F652A">
            <w:pPr>
              <w:jc w:val="center"/>
              <w:rPr>
                <w:rFonts w:cs="Times New Roman"/>
                <w:b/>
                <w:sz w:val="22"/>
              </w:rPr>
            </w:pPr>
            <w:r w:rsidRPr="00F519AB">
              <w:rPr>
                <w:rFonts w:cs="Times New Roman"/>
                <w:b/>
                <w:sz w:val="22"/>
              </w:rPr>
              <w:t>5.var.</w:t>
            </w:r>
          </w:p>
        </w:tc>
        <w:tc>
          <w:tcPr>
            <w:tcW w:w="1071" w:type="dxa"/>
            <w:tcBorders>
              <w:left w:val="single" w:sz="4" w:space="0" w:color="FFFFFF" w:themeColor="background1"/>
            </w:tcBorders>
            <w:shd w:val="clear" w:color="auto" w:fill="002060"/>
          </w:tcPr>
          <w:p w14:paraId="5E7FF1EB" w14:textId="77777777" w:rsidR="00860B45" w:rsidRPr="00F519AB" w:rsidRDefault="00860B45" w:rsidP="000F652A">
            <w:pPr>
              <w:jc w:val="center"/>
              <w:rPr>
                <w:rFonts w:cs="Times New Roman"/>
                <w:b/>
                <w:sz w:val="22"/>
              </w:rPr>
            </w:pPr>
            <w:r w:rsidRPr="00F519AB">
              <w:rPr>
                <w:rFonts w:cs="Times New Roman"/>
                <w:b/>
                <w:sz w:val="22"/>
              </w:rPr>
              <w:t>6.var.</w:t>
            </w:r>
          </w:p>
        </w:tc>
      </w:tr>
      <w:tr w:rsidR="00860B45" w:rsidRPr="00F519AB" w14:paraId="2DA86513" w14:textId="77777777" w:rsidTr="000F652A">
        <w:tc>
          <w:tcPr>
            <w:tcW w:w="3735" w:type="dxa"/>
            <w:shd w:val="clear" w:color="auto" w:fill="FFFFFF" w:themeFill="background1"/>
            <w:vAlign w:val="center"/>
          </w:tcPr>
          <w:p w14:paraId="182404BE" w14:textId="77777777" w:rsidR="00860B45" w:rsidRPr="00F519AB" w:rsidRDefault="00860B45" w:rsidP="000F652A">
            <w:pPr>
              <w:rPr>
                <w:rFonts w:cs="Times New Roman"/>
                <w:sz w:val="22"/>
              </w:rPr>
            </w:pPr>
            <w:r w:rsidRPr="00F519AB">
              <w:rPr>
                <w:rFonts w:cs="Times New Roman"/>
                <w:b/>
                <w:sz w:val="22"/>
              </w:rPr>
              <w:t>Diferencētais neapliekamais minimums</w:t>
            </w:r>
            <w:r w:rsidRPr="00F519AB">
              <w:rPr>
                <w:rFonts w:cs="Times New Roman"/>
                <w:sz w:val="22"/>
                <w:vertAlign w:val="superscript"/>
              </w:rPr>
              <w:t>*</w:t>
            </w:r>
            <w:r w:rsidR="0049154A">
              <w:rPr>
                <w:rFonts w:cs="Times New Roman"/>
                <w:sz w:val="22"/>
                <w:vertAlign w:val="superscript"/>
              </w:rPr>
              <w:t>*</w:t>
            </w:r>
            <w:r>
              <w:rPr>
                <w:rFonts w:cs="Times New Roman"/>
                <w:sz w:val="22"/>
                <w:vertAlign w:val="superscript"/>
              </w:rPr>
              <w:t xml:space="preserve"> </w:t>
            </w:r>
            <w:r w:rsidRPr="004E12C0">
              <w:rPr>
                <w:rFonts w:cs="Times New Roman"/>
                <w:sz w:val="22"/>
              </w:rPr>
              <w:t>(DNM)</w:t>
            </w:r>
            <w:r w:rsidRPr="004E12C0">
              <w:rPr>
                <w:rFonts w:cs="Times New Roman"/>
                <w:b/>
                <w:sz w:val="22"/>
              </w:rPr>
              <w:t>,</w:t>
            </w:r>
            <w:r w:rsidRPr="00F519AB">
              <w:rPr>
                <w:rFonts w:eastAsia="Times New Roman" w:cs="Times New Roman"/>
                <w:i/>
                <w:iCs/>
                <w:sz w:val="22"/>
              </w:rPr>
              <w:t xml:space="preserve"> euro mēnesī</w:t>
            </w:r>
          </w:p>
        </w:tc>
        <w:tc>
          <w:tcPr>
            <w:tcW w:w="1348" w:type="dxa"/>
            <w:shd w:val="clear" w:color="auto" w:fill="D9D9D9" w:themeFill="background1" w:themeFillShade="D9"/>
            <w:vAlign w:val="center"/>
          </w:tcPr>
          <w:p w14:paraId="38D6B960" w14:textId="77777777" w:rsidR="00860B45" w:rsidRPr="00F519AB" w:rsidRDefault="00860B45" w:rsidP="000F652A">
            <w:pPr>
              <w:jc w:val="center"/>
              <w:rPr>
                <w:rFonts w:cs="Times New Roman"/>
                <w:b/>
                <w:sz w:val="22"/>
              </w:rPr>
            </w:pPr>
            <w:r w:rsidRPr="00F519AB">
              <w:rPr>
                <w:rFonts w:cs="Times New Roman"/>
                <w:b/>
                <w:color w:val="FF0000"/>
                <w:sz w:val="22"/>
              </w:rPr>
              <w:t>300</w:t>
            </w:r>
          </w:p>
        </w:tc>
        <w:tc>
          <w:tcPr>
            <w:tcW w:w="3213" w:type="dxa"/>
            <w:gridSpan w:val="3"/>
            <w:shd w:val="clear" w:color="auto" w:fill="FFFFFF" w:themeFill="background1"/>
            <w:vAlign w:val="center"/>
          </w:tcPr>
          <w:p w14:paraId="2092753D" w14:textId="77777777" w:rsidR="00860B45" w:rsidRPr="00F519AB" w:rsidRDefault="00860B45" w:rsidP="000F652A">
            <w:pPr>
              <w:jc w:val="center"/>
              <w:rPr>
                <w:rFonts w:cs="Times New Roman"/>
                <w:b/>
                <w:sz w:val="22"/>
              </w:rPr>
            </w:pPr>
            <w:r w:rsidRPr="00F519AB">
              <w:rPr>
                <w:rFonts w:cs="Times New Roman"/>
                <w:b/>
                <w:color w:val="FF0000"/>
                <w:sz w:val="22"/>
              </w:rPr>
              <w:t>500</w:t>
            </w:r>
          </w:p>
        </w:tc>
      </w:tr>
      <w:tr w:rsidR="00860B45" w:rsidRPr="00F519AB" w14:paraId="296BB9CE" w14:textId="77777777" w:rsidTr="000F652A">
        <w:tc>
          <w:tcPr>
            <w:tcW w:w="3735" w:type="dxa"/>
            <w:shd w:val="clear" w:color="auto" w:fill="FFFFFF" w:themeFill="background1"/>
            <w:vAlign w:val="center"/>
          </w:tcPr>
          <w:p w14:paraId="303A616B" w14:textId="77777777" w:rsidR="00860B45" w:rsidRPr="00F519AB" w:rsidRDefault="00860B45" w:rsidP="000F652A">
            <w:pPr>
              <w:rPr>
                <w:rFonts w:cs="Times New Roman"/>
                <w:sz w:val="22"/>
              </w:rPr>
            </w:pPr>
            <w:r w:rsidRPr="00F519AB">
              <w:rPr>
                <w:rFonts w:cs="Times New Roman"/>
                <w:bCs/>
                <w:sz w:val="22"/>
              </w:rPr>
              <w:t xml:space="preserve">Ienākumi, līdz kuriem piemēro  </w:t>
            </w:r>
            <w:r>
              <w:rPr>
                <w:rFonts w:cs="Times New Roman"/>
                <w:sz w:val="22"/>
              </w:rPr>
              <w:t>DNM</w:t>
            </w:r>
            <w:r w:rsidRPr="00F519AB">
              <w:rPr>
                <w:rFonts w:cs="Times New Roman"/>
                <w:sz w:val="22"/>
                <w:vertAlign w:val="superscript"/>
              </w:rPr>
              <w:t>*</w:t>
            </w:r>
            <w:r w:rsidR="0049154A">
              <w:rPr>
                <w:rFonts w:cs="Times New Roman"/>
                <w:sz w:val="22"/>
                <w:vertAlign w:val="superscript"/>
              </w:rPr>
              <w:t>*</w:t>
            </w:r>
            <w:r w:rsidRPr="00F519AB">
              <w:rPr>
                <w:rFonts w:cs="Times New Roman"/>
                <w:sz w:val="22"/>
                <w:vertAlign w:val="superscript"/>
              </w:rPr>
              <w:t>*</w:t>
            </w:r>
            <w:r w:rsidRPr="00F519AB">
              <w:rPr>
                <w:rFonts w:cs="Times New Roman"/>
                <w:sz w:val="22"/>
              </w:rPr>
              <w:t>,</w:t>
            </w:r>
            <w:r w:rsidRPr="00F519AB">
              <w:rPr>
                <w:rFonts w:cs="Times New Roman"/>
                <w:b/>
                <w:sz w:val="22"/>
              </w:rPr>
              <w:t xml:space="preserve"> </w:t>
            </w:r>
            <w:r w:rsidRPr="00F519AB">
              <w:rPr>
                <w:rFonts w:cs="Times New Roman"/>
                <w:i/>
                <w:sz w:val="22"/>
              </w:rPr>
              <w:t>euro mēnesī</w:t>
            </w:r>
          </w:p>
        </w:tc>
        <w:tc>
          <w:tcPr>
            <w:tcW w:w="1348" w:type="dxa"/>
            <w:shd w:val="clear" w:color="auto" w:fill="D9D9D9" w:themeFill="background1" w:themeFillShade="D9"/>
            <w:vAlign w:val="center"/>
          </w:tcPr>
          <w:p w14:paraId="4AB825B4" w14:textId="77777777" w:rsidR="00860B45" w:rsidRPr="00F519AB" w:rsidRDefault="00860B45" w:rsidP="000F652A">
            <w:pPr>
              <w:jc w:val="center"/>
              <w:rPr>
                <w:rFonts w:cs="Times New Roman"/>
                <w:b/>
                <w:sz w:val="22"/>
              </w:rPr>
            </w:pPr>
            <w:r w:rsidRPr="00F519AB">
              <w:rPr>
                <w:rFonts w:cs="Times New Roman"/>
                <w:b/>
                <w:sz w:val="22"/>
              </w:rPr>
              <w:t>1 200</w:t>
            </w:r>
          </w:p>
        </w:tc>
        <w:tc>
          <w:tcPr>
            <w:tcW w:w="1149" w:type="dxa"/>
            <w:shd w:val="clear" w:color="auto" w:fill="FFFFFF" w:themeFill="background1"/>
            <w:vAlign w:val="center"/>
          </w:tcPr>
          <w:p w14:paraId="158B5072" w14:textId="77777777" w:rsidR="00860B45" w:rsidRPr="00F519AB" w:rsidRDefault="00860B45" w:rsidP="000F652A">
            <w:pPr>
              <w:jc w:val="center"/>
              <w:rPr>
                <w:rFonts w:cs="Times New Roman"/>
                <w:b/>
                <w:sz w:val="22"/>
              </w:rPr>
            </w:pPr>
            <w:r w:rsidRPr="00F519AB">
              <w:rPr>
                <w:rFonts w:cs="Times New Roman"/>
                <w:b/>
                <w:sz w:val="22"/>
              </w:rPr>
              <w:t>1 200</w:t>
            </w:r>
          </w:p>
        </w:tc>
        <w:tc>
          <w:tcPr>
            <w:tcW w:w="993" w:type="dxa"/>
            <w:shd w:val="clear" w:color="auto" w:fill="FFFFFF" w:themeFill="background1"/>
            <w:vAlign w:val="center"/>
          </w:tcPr>
          <w:p w14:paraId="1C99E807" w14:textId="77777777" w:rsidR="00860B45" w:rsidRPr="00F519AB" w:rsidRDefault="00860B45" w:rsidP="000F652A">
            <w:pPr>
              <w:jc w:val="center"/>
              <w:rPr>
                <w:rFonts w:cs="Times New Roman"/>
                <w:b/>
                <w:sz w:val="22"/>
              </w:rPr>
            </w:pPr>
            <w:r w:rsidRPr="00F519AB">
              <w:rPr>
                <w:rFonts w:cs="Times New Roman"/>
                <w:b/>
                <w:sz w:val="22"/>
              </w:rPr>
              <w:t>1 500</w:t>
            </w:r>
          </w:p>
        </w:tc>
        <w:tc>
          <w:tcPr>
            <w:tcW w:w="1071" w:type="dxa"/>
            <w:shd w:val="clear" w:color="auto" w:fill="FFFFFF" w:themeFill="background1"/>
            <w:vAlign w:val="center"/>
          </w:tcPr>
          <w:p w14:paraId="57671A60" w14:textId="77777777" w:rsidR="00860B45" w:rsidRPr="00F519AB" w:rsidRDefault="00860B45" w:rsidP="000F652A">
            <w:pPr>
              <w:jc w:val="center"/>
              <w:rPr>
                <w:rFonts w:cs="Times New Roman"/>
                <w:b/>
                <w:sz w:val="22"/>
              </w:rPr>
            </w:pPr>
            <w:r w:rsidRPr="00F519AB">
              <w:rPr>
                <w:rFonts w:cs="Times New Roman"/>
                <w:b/>
                <w:sz w:val="22"/>
              </w:rPr>
              <w:t>1 800</w:t>
            </w:r>
          </w:p>
        </w:tc>
      </w:tr>
      <w:tr w:rsidR="00860B45" w:rsidRPr="00F519AB" w14:paraId="765DDF20" w14:textId="77777777" w:rsidTr="000F652A">
        <w:trPr>
          <w:trHeight w:val="399"/>
        </w:trPr>
        <w:tc>
          <w:tcPr>
            <w:tcW w:w="3735" w:type="dxa"/>
            <w:shd w:val="clear" w:color="auto" w:fill="FFE599" w:themeFill="accent4" w:themeFillTint="66"/>
            <w:vAlign w:val="center"/>
          </w:tcPr>
          <w:p w14:paraId="24C3E104" w14:textId="77777777" w:rsidR="00860B45" w:rsidRPr="00F519AB" w:rsidRDefault="00860B45" w:rsidP="000F652A">
            <w:pPr>
              <w:rPr>
                <w:rFonts w:cs="Times New Roman"/>
                <w:bCs/>
                <w:sz w:val="22"/>
              </w:rPr>
            </w:pPr>
            <w:r w:rsidRPr="00F519AB">
              <w:rPr>
                <w:rFonts w:cs="Times New Roman"/>
                <w:b/>
                <w:bCs/>
                <w:sz w:val="22"/>
              </w:rPr>
              <w:t>Fiskālā ietekme</w:t>
            </w:r>
            <w:r w:rsidRPr="00F519AB">
              <w:rPr>
                <w:rFonts w:cs="Times New Roman"/>
                <w:bCs/>
                <w:sz w:val="22"/>
              </w:rPr>
              <w:t xml:space="preserve">, </w:t>
            </w:r>
            <w:r w:rsidRPr="00F519AB">
              <w:rPr>
                <w:rFonts w:cs="Times New Roman"/>
                <w:bCs/>
                <w:i/>
                <w:sz w:val="22"/>
              </w:rPr>
              <w:t>mi</w:t>
            </w:r>
            <w:r w:rsidR="008A30B3">
              <w:rPr>
                <w:rFonts w:cs="Times New Roman"/>
                <w:bCs/>
                <w:i/>
                <w:sz w:val="22"/>
              </w:rPr>
              <w:t>l</w:t>
            </w:r>
            <w:r w:rsidRPr="00F519AB">
              <w:rPr>
                <w:rFonts w:cs="Times New Roman"/>
                <w:bCs/>
                <w:i/>
                <w:sz w:val="22"/>
              </w:rPr>
              <w:t>j. euro</w:t>
            </w:r>
          </w:p>
        </w:tc>
        <w:tc>
          <w:tcPr>
            <w:tcW w:w="1348" w:type="dxa"/>
            <w:shd w:val="clear" w:color="auto" w:fill="D9D9D9" w:themeFill="background1" w:themeFillShade="D9"/>
            <w:vAlign w:val="center"/>
          </w:tcPr>
          <w:p w14:paraId="099C0D61" w14:textId="77777777" w:rsidR="00860B45" w:rsidRPr="00F519AB" w:rsidRDefault="00860B45" w:rsidP="000F652A">
            <w:pPr>
              <w:jc w:val="center"/>
              <w:rPr>
                <w:rFonts w:cs="Times New Roman"/>
                <w:b/>
                <w:sz w:val="22"/>
              </w:rPr>
            </w:pPr>
          </w:p>
        </w:tc>
        <w:tc>
          <w:tcPr>
            <w:tcW w:w="1149" w:type="dxa"/>
            <w:shd w:val="clear" w:color="auto" w:fill="FFE599" w:themeFill="accent4" w:themeFillTint="66"/>
            <w:vAlign w:val="center"/>
          </w:tcPr>
          <w:p w14:paraId="42B9FB2F" w14:textId="77777777" w:rsidR="00860B45" w:rsidRPr="00F519AB" w:rsidRDefault="00860B45" w:rsidP="000F652A">
            <w:pPr>
              <w:jc w:val="center"/>
              <w:rPr>
                <w:rFonts w:cs="Times New Roman"/>
                <w:b/>
                <w:color w:val="C00000"/>
                <w:sz w:val="22"/>
              </w:rPr>
            </w:pPr>
            <w:r w:rsidRPr="00F519AB">
              <w:rPr>
                <w:rFonts w:cs="Times New Roman"/>
                <w:b/>
                <w:color w:val="C00000"/>
                <w:sz w:val="22"/>
              </w:rPr>
              <w:t>-74</w:t>
            </w:r>
          </w:p>
        </w:tc>
        <w:tc>
          <w:tcPr>
            <w:tcW w:w="993" w:type="dxa"/>
            <w:shd w:val="clear" w:color="auto" w:fill="FFE599" w:themeFill="accent4" w:themeFillTint="66"/>
            <w:vAlign w:val="center"/>
          </w:tcPr>
          <w:p w14:paraId="73E615B5" w14:textId="77777777" w:rsidR="00860B45" w:rsidRPr="00F519AB" w:rsidRDefault="00860B45" w:rsidP="000F652A">
            <w:pPr>
              <w:jc w:val="center"/>
              <w:rPr>
                <w:rFonts w:cs="Times New Roman"/>
                <w:b/>
                <w:color w:val="C00000"/>
                <w:sz w:val="22"/>
              </w:rPr>
            </w:pPr>
            <w:r w:rsidRPr="00F519AB">
              <w:rPr>
                <w:rFonts w:cs="Times New Roman"/>
                <w:b/>
                <w:color w:val="C00000"/>
                <w:sz w:val="22"/>
              </w:rPr>
              <w:t>-114</w:t>
            </w:r>
          </w:p>
        </w:tc>
        <w:tc>
          <w:tcPr>
            <w:tcW w:w="1071" w:type="dxa"/>
            <w:shd w:val="clear" w:color="auto" w:fill="FFE599" w:themeFill="accent4" w:themeFillTint="66"/>
            <w:vAlign w:val="center"/>
          </w:tcPr>
          <w:p w14:paraId="5CDBC693" w14:textId="77777777" w:rsidR="00860B45" w:rsidRPr="00F519AB" w:rsidRDefault="00860B45" w:rsidP="000F652A">
            <w:pPr>
              <w:jc w:val="center"/>
              <w:rPr>
                <w:rFonts w:cs="Times New Roman"/>
                <w:b/>
                <w:color w:val="C00000"/>
                <w:sz w:val="22"/>
              </w:rPr>
            </w:pPr>
            <w:r w:rsidRPr="00F519AB">
              <w:rPr>
                <w:rFonts w:cs="Times New Roman"/>
                <w:b/>
                <w:color w:val="C00000"/>
                <w:sz w:val="22"/>
              </w:rPr>
              <w:t>-148</w:t>
            </w:r>
          </w:p>
        </w:tc>
      </w:tr>
    </w:tbl>
    <w:p w14:paraId="0A45B3C8" w14:textId="77777777" w:rsidR="0049154A" w:rsidRDefault="00860B45" w:rsidP="0049154A">
      <w:pPr>
        <w:tabs>
          <w:tab w:val="left" w:pos="426"/>
        </w:tabs>
        <w:spacing w:before="80" w:after="80"/>
        <w:ind w:left="426" w:hanging="426"/>
        <w:rPr>
          <w:rFonts w:cs="Times New Roman"/>
          <w:i/>
          <w:sz w:val="18"/>
          <w:szCs w:val="18"/>
        </w:rPr>
      </w:pPr>
      <w:r w:rsidRPr="00F519AB">
        <w:rPr>
          <w:rFonts w:cs="Times New Roman"/>
          <w:i/>
          <w:sz w:val="18"/>
          <w:szCs w:val="18"/>
          <w:vertAlign w:val="superscript"/>
        </w:rPr>
        <w:t>*</w:t>
      </w:r>
      <w:r w:rsidRPr="00F519AB">
        <w:rPr>
          <w:rFonts w:cs="Times New Roman"/>
          <w:i/>
          <w:sz w:val="18"/>
          <w:szCs w:val="18"/>
        </w:rPr>
        <w:t xml:space="preserve"> </w:t>
      </w:r>
      <w:r w:rsidRPr="00F519AB">
        <w:rPr>
          <w:rFonts w:cs="Times New Roman"/>
          <w:i/>
          <w:sz w:val="18"/>
          <w:szCs w:val="18"/>
        </w:rPr>
        <w:tab/>
      </w:r>
      <w:r w:rsidR="0049154A" w:rsidRPr="00860B45">
        <w:rPr>
          <w:rFonts w:cs="Times New Roman"/>
          <w:sz w:val="18"/>
          <w:szCs w:val="18"/>
        </w:rPr>
        <w:t>Jaunā konservatīvā partija</w:t>
      </w:r>
      <w:r w:rsidR="0049154A">
        <w:rPr>
          <w:rFonts w:cs="Times New Roman"/>
          <w:sz w:val="18"/>
          <w:szCs w:val="18"/>
        </w:rPr>
        <w:t xml:space="preserve"> atbalsta 3., 5. un 6.variantu</w:t>
      </w:r>
    </w:p>
    <w:p w14:paraId="2F0EBB86" w14:textId="77777777" w:rsidR="00860B45" w:rsidRPr="00F519AB" w:rsidRDefault="0049154A" w:rsidP="0049154A">
      <w:pPr>
        <w:tabs>
          <w:tab w:val="left" w:pos="426"/>
        </w:tabs>
        <w:spacing w:before="80" w:after="80"/>
        <w:ind w:left="426" w:hanging="426"/>
        <w:rPr>
          <w:rFonts w:cs="Times New Roman"/>
          <w:sz w:val="18"/>
          <w:szCs w:val="18"/>
        </w:rPr>
      </w:pPr>
      <w:r w:rsidRPr="0049154A">
        <w:rPr>
          <w:rFonts w:cs="Times New Roman"/>
          <w:bCs/>
          <w:sz w:val="18"/>
          <w:szCs w:val="18"/>
          <w:vertAlign w:val="superscript"/>
        </w:rPr>
        <w:t>**</w:t>
      </w:r>
      <w:r>
        <w:rPr>
          <w:rFonts w:cs="Times New Roman"/>
          <w:bCs/>
          <w:sz w:val="18"/>
          <w:szCs w:val="18"/>
        </w:rPr>
        <w:tab/>
      </w:r>
      <w:r w:rsidR="00860B45" w:rsidRPr="00F519AB">
        <w:rPr>
          <w:rFonts w:cs="Times New Roman"/>
          <w:bCs/>
          <w:sz w:val="18"/>
          <w:szCs w:val="18"/>
        </w:rPr>
        <w:t xml:space="preserve">Maksimālais </w:t>
      </w:r>
      <w:r w:rsidR="00860B45">
        <w:rPr>
          <w:rFonts w:cs="Times New Roman"/>
          <w:sz w:val="18"/>
          <w:szCs w:val="18"/>
        </w:rPr>
        <w:t>DNM</w:t>
      </w:r>
      <w:r w:rsidR="00860B45" w:rsidRPr="00F519AB">
        <w:rPr>
          <w:rFonts w:cs="Times New Roman"/>
          <w:sz w:val="18"/>
          <w:szCs w:val="18"/>
        </w:rPr>
        <w:t xml:space="preserve">, kas tiek piemērots, ja ienākumi nepārsniedz 500 </w:t>
      </w:r>
      <w:r w:rsidR="00860B45" w:rsidRPr="00F519AB">
        <w:rPr>
          <w:rFonts w:cs="Times New Roman"/>
          <w:i/>
          <w:sz w:val="18"/>
          <w:szCs w:val="18"/>
        </w:rPr>
        <w:t>euro</w:t>
      </w:r>
      <w:r w:rsidR="00860B45" w:rsidRPr="00F519AB">
        <w:rPr>
          <w:rFonts w:cs="Times New Roman"/>
          <w:sz w:val="18"/>
          <w:szCs w:val="18"/>
        </w:rPr>
        <w:t xml:space="preserve"> mēnesī</w:t>
      </w:r>
    </w:p>
    <w:p w14:paraId="633CE289" w14:textId="77777777" w:rsidR="00860B45" w:rsidRPr="00F519AB" w:rsidRDefault="00860B45" w:rsidP="0049154A">
      <w:pPr>
        <w:tabs>
          <w:tab w:val="left" w:pos="426"/>
        </w:tabs>
        <w:spacing w:before="80" w:after="80"/>
        <w:ind w:left="426" w:hanging="426"/>
        <w:rPr>
          <w:rFonts w:cs="Times New Roman"/>
          <w:i/>
          <w:sz w:val="18"/>
          <w:szCs w:val="18"/>
        </w:rPr>
      </w:pPr>
      <w:r w:rsidRPr="00F519AB">
        <w:rPr>
          <w:rFonts w:cs="Times New Roman"/>
          <w:sz w:val="18"/>
          <w:szCs w:val="18"/>
          <w:vertAlign w:val="superscript"/>
        </w:rPr>
        <w:t>*</w:t>
      </w:r>
      <w:r w:rsidR="0049154A">
        <w:rPr>
          <w:rFonts w:cs="Times New Roman"/>
          <w:sz w:val="18"/>
          <w:szCs w:val="18"/>
          <w:vertAlign w:val="superscript"/>
        </w:rPr>
        <w:t>*</w:t>
      </w:r>
      <w:r w:rsidRPr="00F519AB">
        <w:rPr>
          <w:rFonts w:cs="Times New Roman"/>
          <w:sz w:val="18"/>
          <w:szCs w:val="18"/>
          <w:vertAlign w:val="superscript"/>
        </w:rPr>
        <w:t>*</w:t>
      </w:r>
      <w:r w:rsidRPr="00F519AB">
        <w:rPr>
          <w:rFonts w:cs="Times New Roman"/>
          <w:sz w:val="18"/>
          <w:szCs w:val="18"/>
          <w:vertAlign w:val="superscript"/>
        </w:rPr>
        <w:tab/>
      </w:r>
      <w:r w:rsidRPr="00F519AB">
        <w:rPr>
          <w:rFonts w:cs="Times New Roman"/>
          <w:sz w:val="18"/>
          <w:szCs w:val="18"/>
        </w:rPr>
        <w:t xml:space="preserve">Ja ienākumi ir no 500 </w:t>
      </w:r>
      <w:r w:rsidRPr="00F519AB">
        <w:rPr>
          <w:rFonts w:cs="Times New Roman"/>
          <w:i/>
          <w:sz w:val="18"/>
          <w:szCs w:val="18"/>
        </w:rPr>
        <w:t>euro</w:t>
      </w:r>
      <w:r w:rsidRPr="00F519AB">
        <w:rPr>
          <w:rFonts w:cs="Times New Roman"/>
          <w:sz w:val="18"/>
          <w:szCs w:val="18"/>
        </w:rPr>
        <w:t xml:space="preserve"> mēnesī līdz šim noteiktajam slieksnim, </w:t>
      </w:r>
      <w:r>
        <w:rPr>
          <w:rFonts w:cs="Times New Roman"/>
          <w:sz w:val="18"/>
          <w:szCs w:val="18"/>
        </w:rPr>
        <w:t>DNM</w:t>
      </w:r>
      <w:r w:rsidRPr="00F519AB">
        <w:rPr>
          <w:rFonts w:cs="Times New Roman"/>
          <w:sz w:val="18"/>
          <w:szCs w:val="18"/>
        </w:rPr>
        <w:t xml:space="preserve"> proporcionāli formulai sarūk, bet, ja ienākumi pārsniedz šo slieksni,  </w:t>
      </w:r>
      <w:r>
        <w:rPr>
          <w:rFonts w:cs="Times New Roman"/>
          <w:sz w:val="18"/>
          <w:szCs w:val="18"/>
        </w:rPr>
        <w:t>DNM</w:t>
      </w:r>
      <w:r w:rsidRPr="00F519AB">
        <w:rPr>
          <w:rFonts w:cs="Times New Roman"/>
          <w:sz w:val="18"/>
          <w:szCs w:val="18"/>
        </w:rPr>
        <w:t xml:space="preserve"> </w:t>
      </w:r>
      <w:r w:rsidRPr="00F519AB">
        <w:rPr>
          <w:rFonts w:cs="Times New Roman"/>
          <w:b/>
          <w:sz w:val="18"/>
          <w:szCs w:val="18"/>
        </w:rPr>
        <w:t>netiek piemērots</w:t>
      </w:r>
    </w:p>
    <w:p w14:paraId="31CBA053" w14:textId="77777777" w:rsidR="00860B45" w:rsidRDefault="00860B45" w:rsidP="00860B45">
      <w:pPr>
        <w:spacing w:after="120"/>
        <w:rPr>
          <w:rFonts w:eastAsia="Times New Roman" w:cs="Times New Roman"/>
          <w:bCs/>
          <w:sz w:val="20"/>
          <w:szCs w:val="20"/>
        </w:rPr>
      </w:pPr>
    </w:p>
    <w:p w14:paraId="6BD261F9" w14:textId="77777777" w:rsidR="00860B45" w:rsidRDefault="00860B45" w:rsidP="00860B45">
      <w:pPr>
        <w:tabs>
          <w:tab w:val="left" w:pos="284"/>
        </w:tabs>
        <w:spacing w:after="80"/>
        <w:ind w:left="284" w:hanging="284"/>
        <w:jc w:val="both"/>
        <w:rPr>
          <w:rFonts w:cs="Times New Roman"/>
          <w:sz w:val="22"/>
        </w:rPr>
      </w:pPr>
      <w:r>
        <w:rPr>
          <w:noProof/>
          <w:lang w:eastAsia="lv-LV"/>
        </w:rPr>
        <w:lastRenderedPageBreak/>
        <w:drawing>
          <wp:inline distT="0" distB="0" distL="0" distR="0" wp14:anchorId="4494C262" wp14:editId="19F20085">
            <wp:extent cx="5219700" cy="3033395"/>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0574CA" w14:textId="77777777" w:rsidR="00860B45" w:rsidRPr="002C4523" w:rsidRDefault="00860B45" w:rsidP="00860B45">
      <w:pPr>
        <w:tabs>
          <w:tab w:val="left" w:pos="284"/>
        </w:tabs>
        <w:spacing w:after="80"/>
        <w:ind w:left="284" w:hanging="284"/>
        <w:jc w:val="both"/>
        <w:rPr>
          <w:sz w:val="22"/>
        </w:rPr>
      </w:pPr>
      <w:r w:rsidRPr="002C4523">
        <w:rPr>
          <w:rFonts w:cs="Times New Roman"/>
          <w:sz w:val="22"/>
        </w:rPr>
        <w:t>1.att.</w:t>
      </w:r>
      <w:r w:rsidRPr="002C4523">
        <w:rPr>
          <w:rFonts w:eastAsiaTheme="minorEastAsia" w:cs="Times New Roman"/>
          <w:b/>
          <w:bCs/>
          <w:color w:val="002060"/>
          <w:kern w:val="24"/>
          <w:sz w:val="22"/>
          <w:lang w:eastAsia="lv-LV"/>
        </w:rPr>
        <w:t xml:space="preserve"> </w:t>
      </w:r>
      <w:r>
        <w:rPr>
          <w:b/>
          <w:bCs/>
          <w:sz w:val="22"/>
        </w:rPr>
        <w:t>Darbaspēka nodokļu slogs</w:t>
      </w:r>
      <w:r w:rsidRPr="002C4523">
        <w:rPr>
          <w:b/>
          <w:bCs/>
          <w:sz w:val="22"/>
          <w:vertAlign w:val="superscript"/>
        </w:rPr>
        <w:t>*</w:t>
      </w:r>
      <w:r w:rsidRPr="002C4523">
        <w:rPr>
          <w:b/>
          <w:bCs/>
          <w:sz w:val="22"/>
        </w:rPr>
        <w:t xml:space="preserve"> strādājošam bez bērniem</w:t>
      </w:r>
    </w:p>
    <w:p w14:paraId="495E0914" w14:textId="77777777" w:rsidR="00C20A24" w:rsidRDefault="00860B45" w:rsidP="00C20A24">
      <w:pPr>
        <w:tabs>
          <w:tab w:val="left" w:pos="284"/>
        </w:tabs>
        <w:spacing w:before="80" w:after="80"/>
        <w:ind w:left="284" w:hanging="284"/>
        <w:jc w:val="both"/>
        <w:rPr>
          <w:rFonts w:cs="Times New Roman"/>
          <w:sz w:val="18"/>
          <w:szCs w:val="18"/>
        </w:rPr>
      </w:pPr>
      <w:r w:rsidRPr="00F519AB">
        <w:rPr>
          <w:rFonts w:cs="Times New Roman"/>
          <w:sz w:val="18"/>
          <w:szCs w:val="18"/>
          <w:vertAlign w:val="superscript"/>
        </w:rPr>
        <w:t>*</w:t>
      </w:r>
      <w:r w:rsidRPr="00F519AB">
        <w:rPr>
          <w:rFonts w:cs="Times New Roman"/>
          <w:sz w:val="18"/>
          <w:szCs w:val="18"/>
        </w:rPr>
        <w:tab/>
      </w:r>
      <w:r w:rsidR="00C20A24" w:rsidRPr="00B5583A">
        <w:rPr>
          <w:b/>
          <w:bCs/>
          <w:sz w:val="18"/>
          <w:szCs w:val="18"/>
        </w:rPr>
        <w:t>Darbaspēka nodokļu slogs</w:t>
      </w:r>
      <w:r w:rsidR="00C20A24" w:rsidRPr="00F519AB">
        <w:rPr>
          <w:rFonts w:cs="Times New Roman"/>
          <w:b/>
          <w:sz w:val="18"/>
          <w:szCs w:val="18"/>
        </w:rPr>
        <w:t xml:space="preserve"> </w:t>
      </w:r>
      <w:r w:rsidR="00C20A24">
        <w:rPr>
          <w:rFonts w:cs="Times New Roman"/>
          <w:b/>
          <w:sz w:val="18"/>
          <w:szCs w:val="18"/>
        </w:rPr>
        <w:t>jeb n</w:t>
      </w:r>
      <w:r w:rsidR="00C20A24" w:rsidRPr="00F519AB">
        <w:rPr>
          <w:rFonts w:cs="Times New Roman"/>
          <w:b/>
          <w:sz w:val="18"/>
          <w:szCs w:val="18"/>
        </w:rPr>
        <w:t>odokļu ķīlis</w:t>
      </w:r>
      <w:r w:rsidR="00C20A24" w:rsidRPr="00F519AB">
        <w:rPr>
          <w:rFonts w:cs="Times New Roman"/>
          <w:sz w:val="18"/>
          <w:szCs w:val="18"/>
        </w:rPr>
        <w:t xml:space="preserve"> raksturo, cik daudz darbinieks izmaksā darba devējam. To aprēķina kā par darbinieku samaksāt</w:t>
      </w:r>
      <w:r w:rsidR="00C20A24">
        <w:rPr>
          <w:rFonts w:cs="Times New Roman"/>
          <w:sz w:val="18"/>
          <w:szCs w:val="18"/>
        </w:rPr>
        <w:t>ās</w:t>
      </w:r>
      <w:r w:rsidR="00C20A24" w:rsidRPr="00F519AB">
        <w:rPr>
          <w:rFonts w:cs="Times New Roman"/>
          <w:sz w:val="18"/>
          <w:szCs w:val="18"/>
        </w:rPr>
        <w:t xml:space="preserve"> nodokļu summ</w:t>
      </w:r>
      <w:r w:rsidR="00C20A24">
        <w:rPr>
          <w:rFonts w:cs="Times New Roman"/>
          <w:sz w:val="18"/>
          <w:szCs w:val="18"/>
        </w:rPr>
        <w:t>as</w:t>
      </w:r>
      <w:r w:rsidR="00C20A24" w:rsidRPr="00F519AB">
        <w:rPr>
          <w:rFonts w:cs="Times New Roman"/>
          <w:sz w:val="18"/>
          <w:szCs w:val="18"/>
        </w:rPr>
        <w:t xml:space="preserve"> (IIN un VSAOI (gan darba devēja, gan darba ņēmēja))</w:t>
      </w:r>
      <w:r w:rsidR="00C20A24">
        <w:rPr>
          <w:rFonts w:cs="Times New Roman"/>
          <w:sz w:val="18"/>
          <w:szCs w:val="18"/>
        </w:rPr>
        <w:t xml:space="preserve"> </w:t>
      </w:r>
      <w:r w:rsidR="00C20A24" w:rsidRPr="00F519AB">
        <w:rPr>
          <w:rFonts w:cs="Times New Roman"/>
          <w:sz w:val="18"/>
          <w:szCs w:val="18"/>
        </w:rPr>
        <w:t xml:space="preserve">attiecību pret </w:t>
      </w:r>
      <w:r w:rsidR="00C20A24">
        <w:rPr>
          <w:rFonts w:cs="Times New Roman"/>
          <w:sz w:val="18"/>
          <w:szCs w:val="18"/>
        </w:rPr>
        <w:t>darba devēja izmaksām</w:t>
      </w:r>
      <w:r w:rsidR="00C20A24" w:rsidRPr="00F519AB">
        <w:rPr>
          <w:rFonts w:cs="Times New Roman"/>
          <w:sz w:val="18"/>
          <w:szCs w:val="18"/>
        </w:rPr>
        <w:t xml:space="preserve"> (bruto darba algas un darba devēja VSAOI summas)</w:t>
      </w:r>
      <w:r w:rsidR="00C20A24">
        <w:rPr>
          <w:rFonts w:cs="Times New Roman"/>
          <w:sz w:val="18"/>
          <w:szCs w:val="18"/>
        </w:rPr>
        <w:t>.</w:t>
      </w:r>
      <w:r w:rsidR="00C20A24" w:rsidRPr="00F519AB">
        <w:rPr>
          <w:rFonts w:cs="Times New Roman"/>
          <w:sz w:val="18"/>
          <w:szCs w:val="18"/>
        </w:rPr>
        <w:t xml:space="preserve"> </w:t>
      </w:r>
    </w:p>
    <w:p w14:paraId="378F17BD" w14:textId="77777777" w:rsidR="00860B45" w:rsidRDefault="00860B45" w:rsidP="00860B45">
      <w:pPr>
        <w:tabs>
          <w:tab w:val="left" w:pos="284"/>
        </w:tabs>
        <w:spacing w:before="80" w:after="80"/>
        <w:ind w:left="284" w:hanging="284"/>
        <w:jc w:val="both"/>
        <w:rPr>
          <w:rFonts w:cs="Times New Roman"/>
          <w:sz w:val="18"/>
          <w:szCs w:val="18"/>
        </w:rPr>
      </w:pPr>
    </w:p>
    <w:p w14:paraId="078E79F1" w14:textId="77777777" w:rsidR="00860B45" w:rsidRPr="00F519AB" w:rsidRDefault="00860B45" w:rsidP="00860B45">
      <w:pPr>
        <w:spacing w:after="120"/>
        <w:jc w:val="center"/>
        <w:rPr>
          <w:rFonts w:cs="Times New Roman"/>
          <w:b/>
          <w:szCs w:val="24"/>
        </w:rPr>
      </w:pPr>
      <w:r w:rsidRPr="00B5583A">
        <w:rPr>
          <w:rFonts w:cs="Times New Roman"/>
          <w:szCs w:val="24"/>
        </w:rPr>
        <w:t>2.tab.</w:t>
      </w:r>
      <w:r>
        <w:rPr>
          <w:rFonts w:cs="Times New Roman"/>
          <w:b/>
          <w:szCs w:val="24"/>
        </w:rPr>
        <w:t xml:space="preserve"> </w:t>
      </w:r>
      <w:r w:rsidRPr="00F519AB">
        <w:rPr>
          <w:rFonts w:eastAsia="Times New Roman" w:cs="Times New Roman"/>
          <w:b/>
          <w:bCs/>
          <w:szCs w:val="24"/>
        </w:rPr>
        <w:t xml:space="preserve">Ietekme uz strādājošo atalgojumu, </w:t>
      </w:r>
      <w:r w:rsidRPr="00F519AB">
        <w:rPr>
          <w:rFonts w:eastAsia="Times New Roman" w:cs="Times New Roman"/>
          <w:i/>
          <w:iCs/>
          <w:szCs w:val="24"/>
        </w:rPr>
        <w:t>euro mēnesī</w:t>
      </w:r>
    </w:p>
    <w:tbl>
      <w:tblPr>
        <w:tblW w:w="7840" w:type="dxa"/>
        <w:tblLook w:val="04A0" w:firstRow="1" w:lastRow="0" w:firstColumn="1" w:lastColumn="0" w:noHBand="0" w:noVBand="1"/>
      </w:tblPr>
      <w:tblGrid>
        <w:gridCol w:w="960"/>
        <w:gridCol w:w="1414"/>
        <w:gridCol w:w="1286"/>
        <w:gridCol w:w="880"/>
        <w:gridCol w:w="860"/>
        <w:gridCol w:w="820"/>
        <w:gridCol w:w="840"/>
        <w:gridCol w:w="780"/>
      </w:tblGrid>
      <w:tr w:rsidR="00860B45" w:rsidRPr="00B5583A" w14:paraId="247D2869" w14:textId="77777777" w:rsidTr="000F652A">
        <w:trPr>
          <w:trHeight w:val="308"/>
        </w:trPr>
        <w:tc>
          <w:tcPr>
            <w:tcW w:w="960" w:type="dxa"/>
            <w:vMerge w:val="restart"/>
            <w:tcBorders>
              <w:top w:val="single" w:sz="4" w:space="0" w:color="auto"/>
              <w:left w:val="single" w:sz="4" w:space="0" w:color="auto"/>
              <w:right w:val="single" w:sz="4" w:space="0" w:color="FFFFFF" w:themeColor="background1"/>
            </w:tcBorders>
            <w:shd w:val="clear" w:color="000000" w:fill="002060"/>
            <w:vAlign w:val="center"/>
          </w:tcPr>
          <w:p w14:paraId="7FE8C294" w14:textId="77777777" w:rsidR="00860B45" w:rsidRPr="00B5583A" w:rsidRDefault="00860B45" w:rsidP="000F652A">
            <w:pPr>
              <w:jc w:val="center"/>
              <w:rPr>
                <w:rFonts w:cs="Times New Roman"/>
                <w:b/>
                <w:bCs/>
                <w:color w:val="FFFFFF"/>
                <w:sz w:val="22"/>
              </w:rPr>
            </w:pPr>
            <w:r w:rsidRPr="00B5583A">
              <w:rPr>
                <w:rFonts w:cs="Times New Roman"/>
                <w:b/>
                <w:bCs/>
                <w:color w:val="FFFFFF"/>
                <w:sz w:val="22"/>
              </w:rPr>
              <w:t xml:space="preserve">Bruto alga, </w:t>
            </w:r>
            <w:r w:rsidRPr="00B5583A">
              <w:rPr>
                <w:rFonts w:cs="Times New Roman"/>
                <w:i/>
                <w:iCs/>
                <w:color w:val="FFFFFF"/>
                <w:sz w:val="22"/>
              </w:rPr>
              <w:t>euro mēnesī</w:t>
            </w:r>
          </w:p>
        </w:tc>
        <w:tc>
          <w:tcPr>
            <w:tcW w:w="1414" w:type="dxa"/>
            <w:vMerge w:val="restart"/>
            <w:tcBorders>
              <w:top w:val="single" w:sz="4" w:space="0" w:color="auto"/>
              <w:left w:val="single" w:sz="4" w:space="0" w:color="FFFFFF" w:themeColor="background1"/>
              <w:right w:val="single" w:sz="4" w:space="0" w:color="FFFFFF" w:themeColor="background1"/>
            </w:tcBorders>
            <w:shd w:val="clear" w:color="000000" w:fill="002060"/>
            <w:vAlign w:val="center"/>
          </w:tcPr>
          <w:p w14:paraId="1F7D922B" w14:textId="77777777" w:rsidR="00860B45" w:rsidRPr="00B5583A" w:rsidRDefault="00860B45" w:rsidP="000F652A">
            <w:pPr>
              <w:jc w:val="center"/>
              <w:rPr>
                <w:rFonts w:cs="Times New Roman"/>
                <w:b/>
                <w:bCs/>
                <w:color w:val="FFFFFF"/>
                <w:sz w:val="22"/>
              </w:rPr>
            </w:pPr>
            <w:r w:rsidRPr="00B5583A">
              <w:rPr>
                <w:rFonts w:cs="Times New Roman"/>
                <w:b/>
                <w:bCs/>
                <w:color w:val="FFFFFF"/>
                <w:sz w:val="22"/>
              </w:rPr>
              <w:t xml:space="preserve">Nodarbināto skaits, </w:t>
            </w:r>
            <w:r w:rsidRPr="00B5583A">
              <w:rPr>
                <w:rFonts w:cs="Times New Roman"/>
                <w:b/>
                <w:bCs/>
                <w:i/>
                <w:iCs/>
                <w:color w:val="FFFFFF"/>
                <w:sz w:val="22"/>
              </w:rPr>
              <w:t>%</w:t>
            </w:r>
          </w:p>
        </w:tc>
        <w:tc>
          <w:tcPr>
            <w:tcW w:w="5466" w:type="dxa"/>
            <w:gridSpan w:val="6"/>
            <w:tcBorders>
              <w:top w:val="single" w:sz="4" w:space="0" w:color="auto"/>
              <w:left w:val="single" w:sz="4" w:space="0" w:color="FFFFFF" w:themeColor="background1"/>
              <w:bottom w:val="single" w:sz="4" w:space="0" w:color="FFFFFF" w:themeColor="background1"/>
              <w:right w:val="single" w:sz="4" w:space="0" w:color="auto"/>
            </w:tcBorders>
            <w:shd w:val="clear" w:color="000000" w:fill="002060"/>
            <w:vAlign w:val="center"/>
          </w:tcPr>
          <w:p w14:paraId="2F5D2C67" w14:textId="77777777" w:rsidR="00860B45" w:rsidRPr="00B5583A" w:rsidRDefault="00860B45" w:rsidP="000F652A">
            <w:pPr>
              <w:jc w:val="center"/>
              <w:rPr>
                <w:rFonts w:cs="Times New Roman"/>
                <w:b/>
                <w:bCs/>
                <w:color w:val="FFFFFF"/>
                <w:sz w:val="22"/>
              </w:rPr>
            </w:pPr>
            <w:r w:rsidRPr="00B5583A">
              <w:rPr>
                <w:rFonts w:cs="Times New Roman"/>
                <w:b/>
                <w:bCs/>
                <w:sz w:val="22"/>
              </w:rPr>
              <w:t xml:space="preserve">Neto algas pieaugums, salīdzinot ar 2020.gadu, </w:t>
            </w:r>
            <w:r w:rsidRPr="00B5583A">
              <w:rPr>
                <w:rFonts w:cs="Times New Roman"/>
                <w:bCs/>
                <w:i/>
                <w:sz w:val="22"/>
              </w:rPr>
              <w:t>euro mēnesī</w:t>
            </w:r>
          </w:p>
        </w:tc>
      </w:tr>
      <w:tr w:rsidR="00860B45" w:rsidRPr="00B5583A" w14:paraId="1032B2BE" w14:textId="77777777" w:rsidTr="000F652A">
        <w:trPr>
          <w:trHeight w:val="234"/>
        </w:trPr>
        <w:tc>
          <w:tcPr>
            <w:tcW w:w="960" w:type="dxa"/>
            <w:vMerge/>
            <w:tcBorders>
              <w:left w:val="single" w:sz="4" w:space="0" w:color="auto"/>
              <w:bottom w:val="single" w:sz="4" w:space="0" w:color="auto"/>
              <w:right w:val="single" w:sz="4" w:space="0" w:color="FFFFFF" w:themeColor="background1"/>
            </w:tcBorders>
            <w:shd w:val="clear" w:color="000000" w:fill="002060"/>
            <w:vAlign w:val="center"/>
            <w:hideMark/>
          </w:tcPr>
          <w:p w14:paraId="70841870" w14:textId="77777777" w:rsidR="00860B45" w:rsidRPr="00B5583A" w:rsidRDefault="00860B45" w:rsidP="000F652A">
            <w:pPr>
              <w:jc w:val="center"/>
              <w:rPr>
                <w:rFonts w:cs="Times New Roman"/>
                <w:b/>
                <w:bCs/>
                <w:color w:val="FFFFFF"/>
                <w:sz w:val="22"/>
              </w:rPr>
            </w:pPr>
          </w:p>
        </w:tc>
        <w:tc>
          <w:tcPr>
            <w:tcW w:w="1414" w:type="dxa"/>
            <w:vMerge/>
            <w:tcBorders>
              <w:left w:val="single" w:sz="4" w:space="0" w:color="FFFFFF" w:themeColor="background1"/>
              <w:bottom w:val="single" w:sz="4" w:space="0" w:color="auto"/>
              <w:right w:val="single" w:sz="4" w:space="0" w:color="FFFFFF" w:themeColor="background1"/>
            </w:tcBorders>
            <w:shd w:val="clear" w:color="000000" w:fill="002060"/>
            <w:vAlign w:val="center"/>
            <w:hideMark/>
          </w:tcPr>
          <w:p w14:paraId="16AA67CB" w14:textId="77777777" w:rsidR="00860B45" w:rsidRPr="00B5583A" w:rsidRDefault="00860B45" w:rsidP="000F652A">
            <w:pPr>
              <w:jc w:val="center"/>
              <w:rPr>
                <w:rFonts w:cs="Times New Roman"/>
                <w:b/>
                <w:bCs/>
                <w:color w:val="FFFFFF"/>
                <w:sz w:val="22"/>
              </w:rPr>
            </w:pPr>
          </w:p>
        </w:tc>
        <w:tc>
          <w:tcPr>
            <w:tcW w:w="128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vAlign w:val="center"/>
            <w:hideMark/>
          </w:tcPr>
          <w:p w14:paraId="225C87D4" w14:textId="77777777" w:rsidR="00860B45" w:rsidRPr="00B5583A" w:rsidRDefault="00860B45" w:rsidP="000F652A">
            <w:pPr>
              <w:jc w:val="center"/>
              <w:rPr>
                <w:rFonts w:cs="Times New Roman"/>
                <w:b/>
                <w:bCs/>
                <w:color w:val="FFFFFF"/>
                <w:sz w:val="22"/>
              </w:rPr>
            </w:pPr>
            <w:r w:rsidRPr="00B5583A">
              <w:rPr>
                <w:rFonts w:cs="Times New Roman"/>
                <w:b/>
                <w:bCs/>
                <w:color w:val="FFFFFF"/>
                <w:sz w:val="22"/>
              </w:rPr>
              <w:t>1.var.</w:t>
            </w:r>
          </w:p>
        </w:tc>
        <w:tc>
          <w:tcPr>
            <w:tcW w:w="8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vAlign w:val="center"/>
            <w:hideMark/>
          </w:tcPr>
          <w:p w14:paraId="52D38284" w14:textId="77777777" w:rsidR="00860B45" w:rsidRPr="00B5583A" w:rsidRDefault="00860B45" w:rsidP="000F652A">
            <w:pPr>
              <w:jc w:val="center"/>
              <w:rPr>
                <w:rFonts w:cs="Times New Roman"/>
                <w:b/>
                <w:bCs/>
                <w:color w:val="FFFFFF"/>
                <w:sz w:val="22"/>
              </w:rPr>
            </w:pPr>
            <w:r w:rsidRPr="00B5583A">
              <w:rPr>
                <w:rFonts w:cs="Times New Roman"/>
                <w:b/>
                <w:bCs/>
                <w:color w:val="FFFFFF"/>
                <w:sz w:val="22"/>
              </w:rPr>
              <w:t>2.var.</w:t>
            </w:r>
          </w:p>
        </w:tc>
        <w:tc>
          <w:tcPr>
            <w:tcW w:w="8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vAlign w:val="center"/>
            <w:hideMark/>
          </w:tcPr>
          <w:p w14:paraId="1742EC21" w14:textId="77777777" w:rsidR="00860B45" w:rsidRPr="00B5583A" w:rsidRDefault="00860B45" w:rsidP="000F652A">
            <w:pPr>
              <w:jc w:val="center"/>
              <w:rPr>
                <w:rFonts w:cs="Times New Roman"/>
                <w:b/>
                <w:bCs/>
                <w:color w:val="FFFFFF"/>
                <w:sz w:val="22"/>
              </w:rPr>
            </w:pPr>
            <w:r w:rsidRPr="00B5583A">
              <w:rPr>
                <w:rFonts w:cs="Times New Roman"/>
                <w:b/>
                <w:bCs/>
                <w:color w:val="FFFFFF"/>
                <w:sz w:val="22"/>
              </w:rPr>
              <w:t>3.var.</w:t>
            </w:r>
          </w:p>
        </w:tc>
        <w:tc>
          <w:tcPr>
            <w:tcW w:w="8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vAlign w:val="center"/>
            <w:hideMark/>
          </w:tcPr>
          <w:p w14:paraId="7D697039" w14:textId="77777777" w:rsidR="00860B45" w:rsidRPr="00B5583A" w:rsidRDefault="00860B45" w:rsidP="000F652A">
            <w:pPr>
              <w:jc w:val="center"/>
              <w:rPr>
                <w:rFonts w:cs="Times New Roman"/>
                <w:b/>
                <w:bCs/>
                <w:color w:val="FFFFFF"/>
                <w:sz w:val="22"/>
              </w:rPr>
            </w:pPr>
            <w:r w:rsidRPr="00B5583A">
              <w:rPr>
                <w:rFonts w:cs="Times New Roman"/>
                <w:b/>
                <w:bCs/>
                <w:color w:val="FFFFFF"/>
                <w:sz w:val="22"/>
              </w:rPr>
              <w:t>4.var.</w:t>
            </w:r>
          </w:p>
        </w:tc>
        <w:tc>
          <w:tcPr>
            <w:tcW w:w="84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2060"/>
            <w:vAlign w:val="center"/>
            <w:hideMark/>
          </w:tcPr>
          <w:p w14:paraId="51032A6D" w14:textId="77777777" w:rsidR="00860B45" w:rsidRPr="00B5583A" w:rsidRDefault="00860B45" w:rsidP="000F652A">
            <w:pPr>
              <w:jc w:val="center"/>
              <w:rPr>
                <w:rFonts w:cs="Times New Roman"/>
                <w:b/>
                <w:bCs/>
                <w:color w:val="FFFFFF"/>
                <w:sz w:val="22"/>
              </w:rPr>
            </w:pPr>
            <w:r w:rsidRPr="00B5583A">
              <w:rPr>
                <w:rFonts w:cs="Times New Roman"/>
                <w:b/>
                <w:bCs/>
                <w:color w:val="FFFFFF"/>
                <w:sz w:val="22"/>
              </w:rPr>
              <w:t>5.var.</w:t>
            </w:r>
          </w:p>
        </w:tc>
        <w:tc>
          <w:tcPr>
            <w:tcW w:w="780" w:type="dxa"/>
            <w:tcBorders>
              <w:top w:val="single" w:sz="4" w:space="0" w:color="FFFFFF" w:themeColor="background1"/>
              <w:left w:val="single" w:sz="4" w:space="0" w:color="FFFFFF" w:themeColor="background1"/>
              <w:bottom w:val="single" w:sz="4" w:space="0" w:color="auto"/>
              <w:right w:val="single" w:sz="4" w:space="0" w:color="auto"/>
            </w:tcBorders>
            <w:shd w:val="clear" w:color="000000" w:fill="002060"/>
            <w:vAlign w:val="center"/>
            <w:hideMark/>
          </w:tcPr>
          <w:p w14:paraId="017F6AD9" w14:textId="77777777" w:rsidR="00860B45" w:rsidRPr="00B5583A" w:rsidRDefault="00860B45" w:rsidP="000F652A">
            <w:pPr>
              <w:jc w:val="center"/>
              <w:rPr>
                <w:rFonts w:cs="Times New Roman"/>
                <w:b/>
                <w:bCs/>
                <w:color w:val="FFFFFF"/>
                <w:sz w:val="22"/>
              </w:rPr>
            </w:pPr>
            <w:r w:rsidRPr="00B5583A">
              <w:rPr>
                <w:rFonts w:cs="Times New Roman"/>
                <w:b/>
                <w:bCs/>
                <w:color w:val="FFFFFF"/>
                <w:sz w:val="22"/>
              </w:rPr>
              <w:t>6.var.</w:t>
            </w:r>
          </w:p>
        </w:tc>
      </w:tr>
      <w:tr w:rsidR="00860B45" w:rsidRPr="00B5583A" w14:paraId="104BB724" w14:textId="77777777" w:rsidTr="000F652A">
        <w:trPr>
          <w:trHeight w:val="70"/>
        </w:trPr>
        <w:tc>
          <w:tcPr>
            <w:tcW w:w="960" w:type="dxa"/>
            <w:tcBorders>
              <w:top w:val="single" w:sz="4" w:space="0" w:color="auto"/>
              <w:left w:val="single" w:sz="4" w:space="0" w:color="auto"/>
              <w:bottom w:val="dotted" w:sz="4" w:space="0" w:color="auto"/>
              <w:right w:val="single" w:sz="4" w:space="0" w:color="auto"/>
            </w:tcBorders>
            <w:shd w:val="clear" w:color="000000" w:fill="FFFFFF"/>
            <w:noWrap/>
            <w:vAlign w:val="bottom"/>
            <w:hideMark/>
          </w:tcPr>
          <w:p w14:paraId="03FFE770" w14:textId="77777777" w:rsidR="00860B45" w:rsidRPr="00B5583A" w:rsidRDefault="00860B45" w:rsidP="000F652A">
            <w:pPr>
              <w:jc w:val="center"/>
              <w:rPr>
                <w:rFonts w:cs="Times New Roman"/>
                <w:b/>
                <w:bCs/>
                <w:color w:val="000000"/>
                <w:sz w:val="22"/>
              </w:rPr>
            </w:pPr>
            <w:r w:rsidRPr="00B5583A">
              <w:rPr>
                <w:rFonts w:cs="Times New Roman"/>
                <w:b/>
                <w:bCs/>
                <w:color w:val="000000"/>
                <w:sz w:val="22"/>
              </w:rPr>
              <w:t>500</w:t>
            </w:r>
          </w:p>
        </w:tc>
        <w:tc>
          <w:tcPr>
            <w:tcW w:w="1414" w:type="dxa"/>
            <w:tcBorders>
              <w:top w:val="single" w:sz="4" w:space="0" w:color="auto"/>
              <w:left w:val="nil"/>
              <w:bottom w:val="dotted" w:sz="4" w:space="0" w:color="auto"/>
              <w:right w:val="single" w:sz="4" w:space="0" w:color="auto"/>
            </w:tcBorders>
            <w:shd w:val="clear" w:color="000000" w:fill="FFFFFF"/>
            <w:noWrap/>
            <w:vAlign w:val="bottom"/>
            <w:hideMark/>
          </w:tcPr>
          <w:p w14:paraId="0B5E6C73" w14:textId="77777777" w:rsidR="00860B45" w:rsidRPr="00B5583A" w:rsidRDefault="00860B45" w:rsidP="000F652A">
            <w:pPr>
              <w:jc w:val="center"/>
              <w:rPr>
                <w:rFonts w:cs="Times New Roman"/>
                <w:b/>
                <w:bCs/>
                <w:color w:val="00B050"/>
                <w:sz w:val="22"/>
              </w:rPr>
            </w:pPr>
            <w:r w:rsidRPr="00B5583A">
              <w:rPr>
                <w:rFonts w:cs="Times New Roman"/>
                <w:b/>
                <w:bCs/>
                <w:color w:val="00B050"/>
                <w:sz w:val="22"/>
              </w:rPr>
              <w:t>39,2%</w:t>
            </w:r>
          </w:p>
        </w:tc>
        <w:tc>
          <w:tcPr>
            <w:tcW w:w="1286" w:type="dxa"/>
            <w:tcBorders>
              <w:top w:val="single" w:sz="4" w:space="0" w:color="auto"/>
              <w:left w:val="nil"/>
              <w:bottom w:val="dotted" w:sz="4" w:space="0" w:color="auto"/>
              <w:right w:val="single" w:sz="4" w:space="0" w:color="auto"/>
            </w:tcBorders>
            <w:shd w:val="clear" w:color="000000" w:fill="FFFFFF"/>
            <w:noWrap/>
            <w:vAlign w:val="bottom"/>
            <w:hideMark/>
          </w:tcPr>
          <w:p w14:paraId="40732ED0" w14:textId="77777777" w:rsidR="00860B45" w:rsidRPr="00B5583A" w:rsidRDefault="00860B45" w:rsidP="000F652A">
            <w:pPr>
              <w:jc w:val="center"/>
              <w:rPr>
                <w:rFonts w:cs="Times New Roman"/>
                <w:b/>
                <w:bCs/>
                <w:color w:val="0070C0"/>
                <w:sz w:val="22"/>
              </w:rPr>
            </w:pPr>
            <w:r w:rsidRPr="00B5583A">
              <w:rPr>
                <w:rFonts w:cs="Times New Roman"/>
                <w:b/>
                <w:bCs/>
                <w:color w:val="0070C0"/>
                <w:sz w:val="22"/>
              </w:rPr>
              <w:t>20,00</w:t>
            </w:r>
          </w:p>
        </w:tc>
        <w:tc>
          <w:tcPr>
            <w:tcW w:w="880" w:type="dxa"/>
            <w:tcBorders>
              <w:top w:val="single" w:sz="4" w:space="0" w:color="auto"/>
              <w:left w:val="nil"/>
              <w:bottom w:val="dotted" w:sz="4" w:space="0" w:color="auto"/>
              <w:right w:val="single" w:sz="4" w:space="0" w:color="auto"/>
            </w:tcBorders>
            <w:shd w:val="clear" w:color="000000" w:fill="FFFFFF"/>
            <w:noWrap/>
            <w:vAlign w:val="bottom"/>
            <w:hideMark/>
          </w:tcPr>
          <w:p w14:paraId="1DD7B825" w14:textId="77777777" w:rsidR="00860B45" w:rsidRPr="00B5583A" w:rsidRDefault="00860B45" w:rsidP="000F652A">
            <w:pPr>
              <w:jc w:val="center"/>
              <w:rPr>
                <w:rFonts w:cs="Times New Roman"/>
                <w:b/>
                <w:bCs/>
                <w:color w:val="0070C0"/>
                <w:sz w:val="22"/>
              </w:rPr>
            </w:pPr>
            <w:r w:rsidRPr="00B5583A">
              <w:rPr>
                <w:rFonts w:cs="Times New Roman"/>
                <w:b/>
                <w:bCs/>
                <w:color w:val="0070C0"/>
                <w:sz w:val="22"/>
              </w:rPr>
              <w:t>20,00</w:t>
            </w:r>
          </w:p>
        </w:tc>
        <w:tc>
          <w:tcPr>
            <w:tcW w:w="860" w:type="dxa"/>
            <w:tcBorders>
              <w:top w:val="single" w:sz="4" w:space="0" w:color="auto"/>
              <w:left w:val="nil"/>
              <w:bottom w:val="dotted" w:sz="4" w:space="0" w:color="auto"/>
              <w:right w:val="single" w:sz="4" w:space="0" w:color="auto"/>
            </w:tcBorders>
            <w:shd w:val="clear" w:color="000000" w:fill="FFFFFF"/>
            <w:noWrap/>
            <w:vAlign w:val="bottom"/>
            <w:hideMark/>
          </w:tcPr>
          <w:p w14:paraId="77C025AD" w14:textId="77777777" w:rsidR="00860B45" w:rsidRPr="00B5583A" w:rsidRDefault="00860B45" w:rsidP="000F652A">
            <w:pPr>
              <w:jc w:val="center"/>
              <w:rPr>
                <w:rFonts w:cs="Times New Roman"/>
                <w:b/>
                <w:bCs/>
                <w:color w:val="0070C0"/>
                <w:sz w:val="22"/>
              </w:rPr>
            </w:pPr>
            <w:r w:rsidRPr="00B5583A">
              <w:rPr>
                <w:rFonts w:cs="Times New Roman"/>
                <w:b/>
                <w:bCs/>
                <w:color w:val="0070C0"/>
                <w:sz w:val="22"/>
              </w:rPr>
              <w:t>20,00</w:t>
            </w:r>
          </w:p>
        </w:tc>
        <w:tc>
          <w:tcPr>
            <w:tcW w:w="820" w:type="dxa"/>
            <w:tcBorders>
              <w:top w:val="single" w:sz="4" w:space="0" w:color="auto"/>
              <w:left w:val="nil"/>
              <w:bottom w:val="dotted" w:sz="4" w:space="0" w:color="auto"/>
              <w:right w:val="single" w:sz="4" w:space="0" w:color="auto"/>
            </w:tcBorders>
            <w:shd w:val="clear" w:color="000000" w:fill="FFFFFF"/>
            <w:noWrap/>
            <w:vAlign w:val="bottom"/>
            <w:hideMark/>
          </w:tcPr>
          <w:p w14:paraId="21724D91" w14:textId="77777777" w:rsidR="00860B45" w:rsidRPr="00B5583A" w:rsidRDefault="00860B45" w:rsidP="000F652A">
            <w:pPr>
              <w:jc w:val="center"/>
              <w:rPr>
                <w:rFonts w:cs="Times New Roman"/>
                <w:b/>
                <w:bCs/>
                <w:color w:val="0070C0"/>
                <w:sz w:val="22"/>
              </w:rPr>
            </w:pPr>
            <w:r w:rsidRPr="00B5583A">
              <w:rPr>
                <w:rFonts w:cs="Times New Roman"/>
                <w:b/>
                <w:bCs/>
                <w:color w:val="0070C0"/>
                <w:sz w:val="22"/>
              </w:rPr>
              <w:t>29,00</w:t>
            </w:r>
          </w:p>
        </w:tc>
        <w:tc>
          <w:tcPr>
            <w:tcW w:w="840" w:type="dxa"/>
            <w:tcBorders>
              <w:top w:val="single" w:sz="4" w:space="0" w:color="auto"/>
              <w:left w:val="nil"/>
              <w:bottom w:val="dotted" w:sz="4" w:space="0" w:color="auto"/>
              <w:right w:val="single" w:sz="4" w:space="0" w:color="auto"/>
            </w:tcBorders>
            <w:shd w:val="clear" w:color="000000" w:fill="FFFFFF"/>
            <w:noWrap/>
            <w:vAlign w:val="bottom"/>
            <w:hideMark/>
          </w:tcPr>
          <w:p w14:paraId="391686EC" w14:textId="77777777" w:rsidR="00860B45" w:rsidRPr="00B5583A" w:rsidRDefault="00860B45" w:rsidP="000F652A">
            <w:pPr>
              <w:jc w:val="center"/>
              <w:rPr>
                <w:rFonts w:cs="Times New Roman"/>
                <w:b/>
                <w:bCs/>
                <w:color w:val="0070C0"/>
                <w:sz w:val="22"/>
              </w:rPr>
            </w:pPr>
            <w:r w:rsidRPr="00B5583A">
              <w:rPr>
                <w:rFonts w:cs="Times New Roman"/>
                <w:b/>
                <w:bCs/>
                <w:color w:val="0070C0"/>
                <w:sz w:val="22"/>
              </w:rPr>
              <w:t>29,00</w:t>
            </w:r>
          </w:p>
        </w:tc>
        <w:tc>
          <w:tcPr>
            <w:tcW w:w="780" w:type="dxa"/>
            <w:tcBorders>
              <w:top w:val="single" w:sz="4" w:space="0" w:color="auto"/>
              <w:left w:val="nil"/>
              <w:bottom w:val="dotted" w:sz="4" w:space="0" w:color="auto"/>
              <w:right w:val="single" w:sz="4" w:space="0" w:color="auto"/>
            </w:tcBorders>
            <w:shd w:val="clear" w:color="000000" w:fill="FFFFFF"/>
            <w:noWrap/>
            <w:vAlign w:val="bottom"/>
            <w:hideMark/>
          </w:tcPr>
          <w:p w14:paraId="3042DE02" w14:textId="77777777" w:rsidR="00860B45" w:rsidRPr="00B5583A" w:rsidRDefault="00860B45" w:rsidP="000F652A">
            <w:pPr>
              <w:jc w:val="center"/>
              <w:rPr>
                <w:rFonts w:cs="Times New Roman"/>
                <w:b/>
                <w:bCs/>
                <w:color w:val="0070C0"/>
                <w:sz w:val="22"/>
              </w:rPr>
            </w:pPr>
            <w:r w:rsidRPr="00B5583A">
              <w:rPr>
                <w:rFonts w:cs="Times New Roman"/>
                <w:b/>
                <w:bCs/>
                <w:color w:val="0070C0"/>
                <w:sz w:val="22"/>
              </w:rPr>
              <w:t>29,00</w:t>
            </w:r>
          </w:p>
        </w:tc>
      </w:tr>
      <w:tr w:rsidR="00860B45" w:rsidRPr="00B5583A" w14:paraId="1503DF83" w14:textId="77777777" w:rsidTr="000F652A">
        <w:trPr>
          <w:trHeight w:val="70"/>
        </w:trPr>
        <w:tc>
          <w:tcPr>
            <w:tcW w:w="960"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14:paraId="43BD8D56" w14:textId="77777777" w:rsidR="00860B45" w:rsidRPr="00B5583A" w:rsidRDefault="00860B45" w:rsidP="000F652A">
            <w:pPr>
              <w:jc w:val="center"/>
              <w:rPr>
                <w:rFonts w:cs="Times New Roman"/>
                <w:b/>
                <w:bCs/>
                <w:color w:val="000000"/>
                <w:sz w:val="22"/>
              </w:rPr>
            </w:pPr>
            <w:r w:rsidRPr="00B5583A">
              <w:rPr>
                <w:rFonts w:cs="Times New Roman"/>
                <w:b/>
                <w:bCs/>
                <w:color w:val="000000"/>
                <w:sz w:val="22"/>
              </w:rPr>
              <w:t>1 000</w:t>
            </w:r>
          </w:p>
        </w:tc>
        <w:tc>
          <w:tcPr>
            <w:tcW w:w="1414" w:type="dxa"/>
            <w:tcBorders>
              <w:top w:val="dotted" w:sz="4" w:space="0" w:color="auto"/>
              <w:left w:val="nil"/>
              <w:bottom w:val="dotted" w:sz="4" w:space="0" w:color="auto"/>
              <w:right w:val="single" w:sz="4" w:space="0" w:color="auto"/>
            </w:tcBorders>
            <w:shd w:val="clear" w:color="000000" w:fill="FFFFFF"/>
            <w:noWrap/>
            <w:vAlign w:val="bottom"/>
            <w:hideMark/>
          </w:tcPr>
          <w:p w14:paraId="59E3EAFE" w14:textId="77777777" w:rsidR="00860B45" w:rsidRPr="00B5583A" w:rsidRDefault="00860B45" w:rsidP="000F652A">
            <w:pPr>
              <w:jc w:val="center"/>
              <w:rPr>
                <w:rFonts w:cs="Times New Roman"/>
                <w:b/>
                <w:bCs/>
                <w:color w:val="00B050"/>
                <w:sz w:val="22"/>
              </w:rPr>
            </w:pPr>
            <w:r w:rsidRPr="00B5583A">
              <w:rPr>
                <w:rFonts w:cs="Times New Roman"/>
                <w:b/>
                <w:bCs/>
                <w:color w:val="00B050"/>
                <w:sz w:val="22"/>
              </w:rPr>
              <w:t>29,7%</w:t>
            </w:r>
          </w:p>
        </w:tc>
        <w:tc>
          <w:tcPr>
            <w:tcW w:w="1286" w:type="dxa"/>
            <w:tcBorders>
              <w:top w:val="dotted" w:sz="4" w:space="0" w:color="auto"/>
              <w:left w:val="nil"/>
              <w:bottom w:val="dotted" w:sz="4" w:space="0" w:color="auto"/>
              <w:right w:val="single" w:sz="4" w:space="0" w:color="auto"/>
            </w:tcBorders>
            <w:shd w:val="clear" w:color="000000" w:fill="FFFFFF"/>
            <w:noWrap/>
            <w:vAlign w:val="bottom"/>
            <w:hideMark/>
          </w:tcPr>
          <w:p w14:paraId="17BAE872" w14:textId="77777777" w:rsidR="00860B45" w:rsidRPr="00B5583A" w:rsidRDefault="00860B45" w:rsidP="000F652A">
            <w:pPr>
              <w:jc w:val="center"/>
              <w:rPr>
                <w:rFonts w:cs="Times New Roman"/>
                <w:b/>
                <w:bCs/>
                <w:color w:val="0070C0"/>
                <w:sz w:val="22"/>
              </w:rPr>
            </w:pPr>
            <w:r w:rsidRPr="00B5583A">
              <w:rPr>
                <w:rFonts w:cs="Times New Roman"/>
                <w:b/>
                <w:bCs/>
                <w:color w:val="0070C0"/>
                <w:sz w:val="22"/>
              </w:rPr>
              <w:t>5,71</w:t>
            </w:r>
          </w:p>
        </w:tc>
        <w:tc>
          <w:tcPr>
            <w:tcW w:w="880" w:type="dxa"/>
            <w:tcBorders>
              <w:top w:val="dotted" w:sz="4" w:space="0" w:color="auto"/>
              <w:left w:val="nil"/>
              <w:bottom w:val="dotted" w:sz="4" w:space="0" w:color="auto"/>
              <w:right w:val="single" w:sz="4" w:space="0" w:color="auto"/>
            </w:tcBorders>
            <w:shd w:val="clear" w:color="000000" w:fill="FFFFFF"/>
            <w:noWrap/>
            <w:vAlign w:val="bottom"/>
            <w:hideMark/>
          </w:tcPr>
          <w:p w14:paraId="78740C8A" w14:textId="77777777" w:rsidR="00860B45" w:rsidRPr="00B5583A" w:rsidRDefault="00860B45" w:rsidP="000F652A">
            <w:pPr>
              <w:jc w:val="center"/>
              <w:rPr>
                <w:rFonts w:cs="Times New Roman"/>
                <w:b/>
                <w:bCs/>
                <w:color w:val="0070C0"/>
                <w:sz w:val="22"/>
              </w:rPr>
            </w:pPr>
            <w:r w:rsidRPr="00B5583A">
              <w:rPr>
                <w:rFonts w:cs="Times New Roman"/>
                <w:b/>
                <w:bCs/>
                <w:color w:val="0070C0"/>
                <w:sz w:val="22"/>
              </w:rPr>
              <w:t>22,86</w:t>
            </w:r>
          </w:p>
        </w:tc>
        <w:tc>
          <w:tcPr>
            <w:tcW w:w="860" w:type="dxa"/>
            <w:tcBorders>
              <w:top w:val="dotted" w:sz="4" w:space="0" w:color="auto"/>
              <w:left w:val="nil"/>
              <w:bottom w:val="dotted" w:sz="4" w:space="0" w:color="auto"/>
              <w:right w:val="single" w:sz="4" w:space="0" w:color="auto"/>
            </w:tcBorders>
            <w:shd w:val="clear" w:color="000000" w:fill="FFFFFF"/>
            <w:noWrap/>
            <w:vAlign w:val="bottom"/>
            <w:hideMark/>
          </w:tcPr>
          <w:p w14:paraId="17121401" w14:textId="77777777" w:rsidR="00860B45" w:rsidRPr="00B5583A" w:rsidRDefault="00860B45" w:rsidP="000F652A">
            <w:pPr>
              <w:jc w:val="center"/>
              <w:rPr>
                <w:rFonts w:cs="Times New Roman"/>
                <w:b/>
                <w:bCs/>
                <w:color w:val="0070C0"/>
                <w:sz w:val="22"/>
              </w:rPr>
            </w:pPr>
            <w:r w:rsidRPr="00B5583A">
              <w:rPr>
                <w:rFonts w:cs="Times New Roman"/>
                <w:b/>
                <w:bCs/>
                <w:color w:val="0070C0"/>
                <w:sz w:val="22"/>
              </w:rPr>
              <w:t>32,09</w:t>
            </w:r>
          </w:p>
        </w:tc>
        <w:tc>
          <w:tcPr>
            <w:tcW w:w="820" w:type="dxa"/>
            <w:tcBorders>
              <w:top w:val="dotted" w:sz="4" w:space="0" w:color="auto"/>
              <w:left w:val="nil"/>
              <w:bottom w:val="dotted" w:sz="4" w:space="0" w:color="auto"/>
              <w:right w:val="single" w:sz="4" w:space="0" w:color="auto"/>
            </w:tcBorders>
            <w:shd w:val="clear" w:color="000000" w:fill="FFFFFF"/>
            <w:noWrap/>
            <w:vAlign w:val="bottom"/>
            <w:hideMark/>
          </w:tcPr>
          <w:p w14:paraId="2B96263C" w14:textId="77777777" w:rsidR="00860B45" w:rsidRPr="00B5583A" w:rsidRDefault="00860B45" w:rsidP="000F652A">
            <w:pPr>
              <w:jc w:val="center"/>
              <w:rPr>
                <w:rFonts w:cs="Times New Roman"/>
                <w:b/>
                <w:bCs/>
                <w:color w:val="0070C0"/>
                <w:sz w:val="22"/>
              </w:rPr>
            </w:pPr>
            <w:r w:rsidRPr="00B5583A">
              <w:rPr>
                <w:rFonts w:cs="Times New Roman"/>
                <w:b/>
                <w:bCs/>
                <w:color w:val="0070C0"/>
                <w:sz w:val="22"/>
              </w:rPr>
              <w:t>11,43</w:t>
            </w:r>
          </w:p>
        </w:tc>
        <w:tc>
          <w:tcPr>
            <w:tcW w:w="840" w:type="dxa"/>
            <w:tcBorders>
              <w:top w:val="dotted" w:sz="4" w:space="0" w:color="auto"/>
              <w:left w:val="nil"/>
              <w:bottom w:val="dotted" w:sz="4" w:space="0" w:color="auto"/>
              <w:right w:val="single" w:sz="4" w:space="0" w:color="auto"/>
            </w:tcBorders>
            <w:shd w:val="clear" w:color="000000" w:fill="FFFFFF"/>
            <w:noWrap/>
            <w:vAlign w:val="bottom"/>
            <w:hideMark/>
          </w:tcPr>
          <w:p w14:paraId="3A45844B" w14:textId="77777777" w:rsidR="00860B45" w:rsidRPr="00B5583A" w:rsidRDefault="00860B45" w:rsidP="000F652A">
            <w:pPr>
              <w:jc w:val="center"/>
              <w:rPr>
                <w:rFonts w:cs="Times New Roman"/>
                <w:b/>
                <w:bCs/>
                <w:color w:val="0070C0"/>
                <w:sz w:val="22"/>
              </w:rPr>
            </w:pPr>
            <w:r w:rsidRPr="00B5583A">
              <w:rPr>
                <w:rFonts w:cs="Times New Roman"/>
                <w:b/>
                <w:bCs/>
                <w:color w:val="0070C0"/>
                <w:sz w:val="22"/>
              </w:rPr>
              <w:t>32,86</w:t>
            </w:r>
          </w:p>
        </w:tc>
        <w:tc>
          <w:tcPr>
            <w:tcW w:w="780" w:type="dxa"/>
            <w:tcBorders>
              <w:top w:val="dotted" w:sz="4" w:space="0" w:color="auto"/>
              <w:left w:val="nil"/>
              <w:bottom w:val="dotted" w:sz="4" w:space="0" w:color="auto"/>
              <w:right w:val="single" w:sz="4" w:space="0" w:color="auto"/>
            </w:tcBorders>
            <w:shd w:val="clear" w:color="000000" w:fill="FFFFFF"/>
            <w:noWrap/>
            <w:vAlign w:val="bottom"/>
            <w:hideMark/>
          </w:tcPr>
          <w:p w14:paraId="17F10971" w14:textId="77777777" w:rsidR="00860B45" w:rsidRPr="00B5583A" w:rsidRDefault="00860B45" w:rsidP="000F652A">
            <w:pPr>
              <w:jc w:val="center"/>
              <w:rPr>
                <w:rFonts w:cs="Times New Roman"/>
                <w:b/>
                <w:bCs/>
                <w:color w:val="0070C0"/>
                <w:sz w:val="22"/>
              </w:rPr>
            </w:pPr>
            <w:r w:rsidRPr="00B5583A">
              <w:rPr>
                <w:rFonts w:cs="Times New Roman"/>
                <w:b/>
                <w:bCs/>
                <w:color w:val="0070C0"/>
                <w:sz w:val="22"/>
              </w:rPr>
              <w:t>44,40</w:t>
            </w:r>
          </w:p>
        </w:tc>
      </w:tr>
      <w:tr w:rsidR="00860B45" w:rsidRPr="00B5583A" w14:paraId="2B10AE2C" w14:textId="77777777" w:rsidTr="000F652A">
        <w:trPr>
          <w:trHeight w:val="70"/>
        </w:trPr>
        <w:tc>
          <w:tcPr>
            <w:tcW w:w="960"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14:paraId="50A2658D" w14:textId="77777777" w:rsidR="00860B45" w:rsidRPr="00B5583A" w:rsidRDefault="00860B45" w:rsidP="000F652A">
            <w:pPr>
              <w:jc w:val="center"/>
              <w:rPr>
                <w:rFonts w:cs="Times New Roman"/>
                <w:b/>
                <w:bCs/>
                <w:color w:val="000000"/>
                <w:sz w:val="22"/>
              </w:rPr>
            </w:pPr>
            <w:r w:rsidRPr="00B5583A">
              <w:rPr>
                <w:rFonts w:cs="Times New Roman"/>
                <w:b/>
                <w:bCs/>
                <w:color w:val="000000"/>
                <w:sz w:val="22"/>
              </w:rPr>
              <w:t>2 000</w:t>
            </w:r>
          </w:p>
        </w:tc>
        <w:tc>
          <w:tcPr>
            <w:tcW w:w="1414" w:type="dxa"/>
            <w:tcBorders>
              <w:top w:val="dotted" w:sz="4" w:space="0" w:color="auto"/>
              <w:left w:val="nil"/>
              <w:bottom w:val="dotted" w:sz="4" w:space="0" w:color="auto"/>
              <w:right w:val="single" w:sz="4" w:space="0" w:color="auto"/>
            </w:tcBorders>
            <w:shd w:val="clear" w:color="000000" w:fill="FFFFFF"/>
            <w:noWrap/>
            <w:vAlign w:val="bottom"/>
            <w:hideMark/>
          </w:tcPr>
          <w:p w14:paraId="011EBE93" w14:textId="77777777" w:rsidR="00860B45" w:rsidRPr="00B5583A" w:rsidRDefault="00860B45" w:rsidP="000F652A">
            <w:pPr>
              <w:jc w:val="center"/>
              <w:rPr>
                <w:rFonts w:cs="Times New Roman"/>
                <w:b/>
                <w:bCs/>
                <w:color w:val="00B050"/>
                <w:sz w:val="22"/>
              </w:rPr>
            </w:pPr>
            <w:r w:rsidRPr="00B5583A">
              <w:rPr>
                <w:rFonts w:cs="Times New Roman"/>
                <w:b/>
                <w:bCs/>
                <w:color w:val="00B050"/>
                <w:sz w:val="22"/>
              </w:rPr>
              <w:t>24,9%</w:t>
            </w:r>
          </w:p>
        </w:tc>
        <w:tc>
          <w:tcPr>
            <w:tcW w:w="1286" w:type="dxa"/>
            <w:tcBorders>
              <w:top w:val="dotted" w:sz="4" w:space="0" w:color="auto"/>
              <w:left w:val="nil"/>
              <w:bottom w:val="dotted" w:sz="4" w:space="0" w:color="auto"/>
              <w:right w:val="single" w:sz="4" w:space="0" w:color="auto"/>
            </w:tcBorders>
            <w:shd w:val="clear" w:color="000000" w:fill="FFFFFF"/>
            <w:noWrap/>
            <w:vAlign w:val="bottom"/>
            <w:hideMark/>
          </w:tcPr>
          <w:p w14:paraId="1381B38B" w14:textId="77777777" w:rsidR="00860B45" w:rsidRPr="00B5583A" w:rsidRDefault="00860B45" w:rsidP="000F652A">
            <w:pPr>
              <w:jc w:val="center"/>
              <w:rPr>
                <w:rFonts w:cs="Times New Roman"/>
                <w:sz w:val="22"/>
              </w:rPr>
            </w:pPr>
            <w:r w:rsidRPr="00B5583A">
              <w:rPr>
                <w:rFonts w:cs="Times New Roman"/>
                <w:sz w:val="22"/>
              </w:rPr>
              <w:t>0,00</w:t>
            </w:r>
          </w:p>
        </w:tc>
        <w:tc>
          <w:tcPr>
            <w:tcW w:w="880" w:type="dxa"/>
            <w:tcBorders>
              <w:top w:val="dotted" w:sz="4" w:space="0" w:color="auto"/>
              <w:left w:val="nil"/>
              <w:bottom w:val="dotted" w:sz="4" w:space="0" w:color="auto"/>
              <w:right w:val="single" w:sz="4" w:space="0" w:color="auto"/>
            </w:tcBorders>
            <w:shd w:val="clear" w:color="000000" w:fill="FFFFFF"/>
            <w:noWrap/>
            <w:vAlign w:val="bottom"/>
            <w:hideMark/>
          </w:tcPr>
          <w:p w14:paraId="71D1A06E" w14:textId="77777777" w:rsidR="00860B45" w:rsidRPr="00B5583A" w:rsidRDefault="00860B45" w:rsidP="000F652A">
            <w:pPr>
              <w:jc w:val="center"/>
              <w:rPr>
                <w:rFonts w:cs="Times New Roman"/>
                <w:sz w:val="22"/>
              </w:rPr>
            </w:pPr>
            <w:r w:rsidRPr="00B5583A">
              <w:rPr>
                <w:rFonts w:cs="Times New Roman"/>
                <w:sz w:val="22"/>
              </w:rPr>
              <w:t>0,00</w:t>
            </w:r>
          </w:p>
        </w:tc>
        <w:tc>
          <w:tcPr>
            <w:tcW w:w="860" w:type="dxa"/>
            <w:tcBorders>
              <w:top w:val="dotted" w:sz="4" w:space="0" w:color="auto"/>
              <w:left w:val="nil"/>
              <w:bottom w:val="dotted" w:sz="4" w:space="0" w:color="auto"/>
              <w:right w:val="single" w:sz="4" w:space="0" w:color="auto"/>
            </w:tcBorders>
            <w:shd w:val="clear" w:color="000000" w:fill="FFFFFF"/>
            <w:noWrap/>
            <w:vAlign w:val="bottom"/>
            <w:hideMark/>
          </w:tcPr>
          <w:p w14:paraId="12048580" w14:textId="77777777" w:rsidR="00860B45" w:rsidRPr="00B5583A" w:rsidRDefault="00860B45" w:rsidP="000F652A">
            <w:pPr>
              <w:jc w:val="center"/>
              <w:rPr>
                <w:rFonts w:cs="Times New Roman"/>
                <w:sz w:val="22"/>
              </w:rPr>
            </w:pPr>
            <w:r w:rsidRPr="00B5583A">
              <w:rPr>
                <w:rFonts w:cs="Times New Roman"/>
                <w:sz w:val="22"/>
              </w:rPr>
              <w:t>0,00</w:t>
            </w:r>
          </w:p>
        </w:tc>
        <w:tc>
          <w:tcPr>
            <w:tcW w:w="820" w:type="dxa"/>
            <w:tcBorders>
              <w:top w:val="dotted" w:sz="4" w:space="0" w:color="auto"/>
              <w:left w:val="nil"/>
              <w:bottom w:val="dotted" w:sz="4" w:space="0" w:color="auto"/>
              <w:right w:val="single" w:sz="4" w:space="0" w:color="auto"/>
            </w:tcBorders>
            <w:shd w:val="clear" w:color="000000" w:fill="FFFFFF"/>
            <w:noWrap/>
            <w:vAlign w:val="bottom"/>
            <w:hideMark/>
          </w:tcPr>
          <w:p w14:paraId="5282402A" w14:textId="77777777" w:rsidR="00860B45" w:rsidRPr="00B5583A" w:rsidRDefault="00860B45" w:rsidP="000F652A">
            <w:pPr>
              <w:jc w:val="center"/>
              <w:rPr>
                <w:rFonts w:cs="Times New Roman"/>
                <w:sz w:val="22"/>
              </w:rPr>
            </w:pPr>
            <w:r w:rsidRPr="00B5583A">
              <w:rPr>
                <w:rFonts w:cs="Times New Roman"/>
                <w:sz w:val="22"/>
              </w:rPr>
              <w:t>0,00</w:t>
            </w:r>
          </w:p>
        </w:tc>
        <w:tc>
          <w:tcPr>
            <w:tcW w:w="840" w:type="dxa"/>
            <w:tcBorders>
              <w:top w:val="dotted" w:sz="4" w:space="0" w:color="auto"/>
              <w:left w:val="nil"/>
              <w:bottom w:val="dotted" w:sz="4" w:space="0" w:color="auto"/>
              <w:right w:val="single" w:sz="4" w:space="0" w:color="auto"/>
            </w:tcBorders>
            <w:shd w:val="clear" w:color="000000" w:fill="FFFFFF"/>
            <w:noWrap/>
            <w:vAlign w:val="bottom"/>
            <w:hideMark/>
          </w:tcPr>
          <w:p w14:paraId="69E45BBB" w14:textId="77777777" w:rsidR="00860B45" w:rsidRPr="00B5583A" w:rsidRDefault="00860B45" w:rsidP="000F652A">
            <w:pPr>
              <w:jc w:val="center"/>
              <w:rPr>
                <w:rFonts w:cs="Times New Roman"/>
                <w:sz w:val="22"/>
              </w:rPr>
            </w:pPr>
            <w:r w:rsidRPr="00B5583A">
              <w:rPr>
                <w:rFonts w:cs="Times New Roman"/>
                <w:sz w:val="22"/>
              </w:rPr>
              <w:t>0,00</w:t>
            </w:r>
          </w:p>
        </w:tc>
        <w:tc>
          <w:tcPr>
            <w:tcW w:w="780" w:type="dxa"/>
            <w:tcBorders>
              <w:top w:val="dotted" w:sz="4" w:space="0" w:color="auto"/>
              <w:left w:val="nil"/>
              <w:bottom w:val="dotted" w:sz="4" w:space="0" w:color="auto"/>
              <w:right w:val="single" w:sz="4" w:space="0" w:color="auto"/>
            </w:tcBorders>
            <w:shd w:val="clear" w:color="000000" w:fill="FFFFFF"/>
            <w:noWrap/>
            <w:vAlign w:val="bottom"/>
            <w:hideMark/>
          </w:tcPr>
          <w:p w14:paraId="789FF1EB" w14:textId="77777777" w:rsidR="00860B45" w:rsidRPr="00B5583A" w:rsidRDefault="00860B45" w:rsidP="000F652A">
            <w:pPr>
              <w:jc w:val="center"/>
              <w:rPr>
                <w:rFonts w:cs="Times New Roman"/>
                <w:sz w:val="22"/>
              </w:rPr>
            </w:pPr>
            <w:r w:rsidRPr="00B5583A">
              <w:rPr>
                <w:rFonts w:cs="Times New Roman"/>
                <w:sz w:val="22"/>
              </w:rPr>
              <w:t>0,00</w:t>
            </w:r>
          </w:p>
        </w:tc>
      </w:tr>
      <w:tr w:rsidR="00860B45" w:rsidRPr="00B5583A" w14:paraId="55719767" w14:textId="77777777" w:rsidTr="000F652A">
        <w:trPr>
          <w:trHeight w:val="70"/>
        </w:trPr>
        <w:tc>
          <w:tcPr>
            <w:tcW w:w="960"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14:paraId="39F693BE" w14:textId="77777777" w:rsidR="00860B45" w:rsidRPr="00B5583A" w:rsidRDefault="00860B45" w:rsidP="000F652A">
            <w:pPr>
              <w:jc w:val="center"/>
              <w:rPr>
                <w:rFonts w:cs="Times New Roman"/>
                <w:b/>
                <w:bCs/>
                <w:color w:val="000000"/>
                <w:sz w:val="22"/>
              </w:rPr>
            </w:pPr>
            <w:r w:rsidRPr="00B5583A">
              <w:rPr>
                <w:rFonts w:cs="Times New Roman"/>
                <w:b/>
                <w:bCs/>
                <w:color w:val="000000"/>
                <w:sz w:val="22"/>
              </w:rPr>
              <w:t>3 000</w:t>
            </w:r>
          </w:p>
        </w:tc>
        <w:tc>
          <w:tcPr>
            <w:tcW w:w="1414" w:type="dxa"/>
            <w:tcBorders>
              <w:top w:val="dotted" w:sz="4" w:space="0" w:color="auto"/>
              <w:left w:val="nil"/>
              <w:bottom w:val="dotted" w:sz="4" w:space="0" w:color="auto"/>
              <w:right w:val="single" w:sz="4" w:space="0" w:color="auto"/>
            </w:tcBorders>
            <w:shd w:val="clear" w:color="000000" w:fill="FFFFFF"/>
            <w:noWrap/>
            <w:vAlign w:val="bottom"/>
            <w:hideMark/>
          </w:tcPr>
          <w:p w14:paraId="438EBDFC" w14:textId="77777777" w:rsidR="00860B45" w:rsidRPr="00B5583A" w:rsidRDefault="00860B45" w:rsidP="000F652A">
            <w:pPr>
              <w:jc w:val="center"/>
              <w:rPr>
                <w:rFonts w:cs="Times New Roman"/>
                <w:b/>
                <w:bCs/>
                <w:color w:val="00B050"/>
                <w:sz w:val="22"/>
              </w:rPr>
            </w:pPr>
            <w:r w:rsidRPr="00B5583A">
              <w:rPr>
                <w:rFonts w:cs="Times New Roman"/>
                <w:b/>
                <w:bCs/>
                <w:color w:val="00B050"/>
                <w:sz w:val="22"/>
              </w:rPr>
              <w:t>4,4%</w:t>
            </w:r>
          </w:p>
        </w:tc>
        <w:tc>
          <w:tcPr>
            <w:tcW w:w="1286" w:type="dxa"/>
            <w:tcBorders>
              <w:top w:val="dotted" w:sz="4" w:space="0" w:color="auto"/>
              <w:left w:val="nil"/>
              <w:bottom w:val="dotted" w:sz="4" w:space="0" w:color="auto"/>
              <w:right w:val="single" w:sz="4" w:space="0" w:color="auto"/>
            </w:tcBorders>
            <w:shd w:val="clear" w:color="000000" w:fill="FFFFFF"/>
            <w:noWrap/>
            <w:vAlign w:val="bottom"/>
            <w:hideMark/>
          </w:tcPr>
          <w:p w14:paraId="561B3DD8" w14:textId="77777777" w:rsidR="00860B45" w:rsidRPr="00B5583A" w:rsidRDefault="00860B45" w:rsidP="000F652A">
            <w:pPr>
              <w:jc w:val="center"/>
              <w:rPr>
                <w:rFonts w:cs="Times New Roman"/>
                <w:sz w:val="22"/>
              </w:rPr>
            </w:pPr>
            <w:r w:rsidRPr="00B5583A">
              <w:rPr>
                <w:rFonts w:cs="Times New Roman"/>
                <w:sz w:val="22"/>
              </w:rPr>
              <w:t>0,00</w:t>
            </w:r>
          </w:p>
        </w:tc>
        <w:tc>
          <w:tcPr>
            <w:tcW w:w="880" w:type="dxa"/>
            <w:tcBorders>
              <w:top w:val="dotted" w:sz="4" w:space="0" w:color="auto"/>
              <w:left w:val="nil"/>
              <w:bottom w:val="dotted" w:sz="4" w:space="0" w:color="auto"/>
              <w:right w:val="single" w:sz="4" w:space="0" w:color="auto"/>
            </w:tcBorders>
            <w:shd w:val="clear" w:color="000000" w:fill="FFFFFF"/>
            <w:noWrap/>
            <w:vAlign w:val="bottom"/>
            <w:hideMark/>
          </w:tcPr>
          <w:p w14:paraId="6E206461" w14:textId="77777777" w:rsidR="00860B45" w:rsidRPr="00B5583A" w:rsidRDefault="00860B45" w:rsidP="000F652A">
            <w:pPr>
              <w:jc w:val="center"/>
              <w:rPr>
                <w:rFonts w:cs="Times New Roman"/>
                <w:sz w:val="22"/>
              </w:rPr>
            </w:pPr>
            <w:r w:rsidRPr="00B5583A">
              <w:rPr>
                <w:rFonts w:cs="Times New Roman"/>
                <w:sz w:val="22"/>
              </w:rPr>
              <w:t>0,00</w:t>
            </w:r>
          </w:p>
        </w:tc>
        <w:tc>
          <w:tcPr>
            <w:tcW w:w="860" w:type="dxa"/>
            <w:tcBorders>
              <w:top w:val="dotted" w:sz="4" w:space="0" w:color="auto"/>
              <w:left w:val="nil"/>
              <w:bottom w:val="dotted" w:sz="4" w:space="0" w:color="auto"/>
              <w:right w:val="single" w:sz="4" w:space="0" w:color="auto"/>
            </w:tcBorders>
            <w:shd w:val="clear" w:color="000000" w:fill="FFFFFF"/>
            <w:noWrap/>
            <w:vAlign w:val="bottom"/>
            <w:hideMark/>
          </w:tcPr>
          <w:p w14:paraId="6BB7C011" w14:textId="77777777" w:rsidR="00860B45" w:rsidRPr="00B5583A" w:rsidRDefault="00860B45" w:rsidP="000F652A">
            <w:pPr>
              <w:jc w:val="center"/>
              <w:rPr>
                <w:rFonts w:cs="Times New Roman"/>
                <w:sz w:val="22"/>
              </w:rPr>
            </w:pPr>
            <w:r w:rsidRPr="00B5583A">
              <w:rPr>
                <w:rFonts w:cs="Times New Roman"/>
                <w:sz w:val="22"/>
              </w:rPr>
              <w:t>0,00</w:t>
            </w:r>
          </w:p>
        </w:tc>
        <w:tc>
          <w:tcPr>
            <w:tcW w:w="820" w:type="dxa"/>
            <w:tcBorders>
              <w:top w:val="dotted" w:sz="4" w:space="0" w:color="auto"/>
              <w:left w:val="nil"/>
              <w:bottom w:val="dotted" w:sz="4" w:space="0" w:color="auto"/>
              <w:right w:val="single" w:sz="4" w:space="0" w:color="auto"/>
            </w:tcBorders>
            <w:shd w:val="clear" w:color="000000" w:fill="FFFFFF"/>
            <w:noWrap/>
            <w:vAlign w:val="bottom"/>
            <w:hideMark/>
          </w:tcPr>
          <w:p w14:paraId="03503C7F" w14:textId="77777777" w:rsidR="00860B45" w:rsidRPr="00B5583A" w:rsidRDefault="00860B45" w:rsidP="000F652A">
            <w:pPr>
              <w:jc w:val="center"/>
              <w:rPr>
                <w:rFonts w:cs="Times New Roman"/>
                <w:sz w:val="22"/>
              </w:rPr>
            </w:pPr>
            <w:r w:rsidRPr="00B5583A">
              <w:rPr>
                <w:rFonts w:cs="Times New Roman"/>
                <w:sz w:val="22"/>
              </w:rPr>
              <w:t>0,00</w:t>
            </w:r>
          </w:p>
        </w:tc>
        <w:tc>
          <w:tcPr>
            <w:tcW w:w="840" w:type="dxa"/>
            <w:tcBorders>
              <w:top w:val="dotted" w:sz="4" w:space="0" w:color="auto"/>
              <w:left w:val="nil"/>
              <w:bottom w:val="dotted" w:sz="4" w:space="0" w:color="auto"/>
              <w:right w:val="single" w:sz="4" w:space="0" w:color="auto"/>
            </w:tcBorders>
            <w:shd w:val="clear" w:color="000000" w:fill="FFFFFF"/>
            <w:noWrap/>
            <w:vAlign w:val="bottom"/>
            <w:hideMark/>
          </w:tcPr>
          <w:p w14:paraId="382D9267" w14:textId="77777777" w:rsidR="00860B45" w:rsidRPr="00B5583A" w:rsidRDefault="00860B45" w:rsidP="000F652A">
            <w:pPr>
              <w:jc w:val="center"/>
              <w:rPr>
                <w:rFonts w:cs="Times New Roman"/>
                <w:sz w:val="22"/>
              </w:rPr>
            </w:pPr>
            <w:r w:rsidRPr="00B5583A">
              <w:rPr>
                <w:rFonts w:cs="Times New Roman"/>
                <w:sz w:val="22"/>
              </w:rPr>
              <w:t>0,00</w:t>
            </w:r>
          </w:p>
        </w:tc>
        <w:tc>
          <w:tcPr>
            <w:tcW w:w="780" w:type="dxa"/>
            <w:tcBorders>
              <w:top w:val="dotted" w:sz="4" w:space="0" w:color="auto"/>
              <w:left w:val="nil"/>
              <w:bottom w:val="dotted" w:sz="4" w:space="0" w:color="auto"/>
              <w:right w:val="single" w:sz="4" w:space="0" w:color="auto"/>
            </w:tcBorders>
            <w:shd w:val="clear" w:color="000000" w:fill="FFFFFF"/>
            <w:noWrap/>
            <w:vAlign w:val="bottom"/>
            <w:hideMark/>
          </w:tcPr>
          <w:p w14:paraId="47565116" w14:textId="77777777" w:rsidR="00860B45" w:rsidRPr="00B5583A" w:rsidRDefault="00860B45" w:rsidP="000F652A">
            <w:pPr>
              <w:jc w:val="center"/>
              <w:rPr>
                <w:rFonts w:cs="Times New Roman"/>
                <w:sz w:val="22"/>
              </w:rPr>
            </w:pPr>
            <w:r w:rsidRPr="00B5583A">
              <w:rPr>
                <w:rFonts w:cs="Times New Roman"/>
                <w:sz w:val="22"/>
              </w:rPr>
              <w:t>0,00</w:t>
            </w:r>
          </w:p>
        </w:tc>
      </w:tr>
      <w:tr w:rsidR="00860B45" w:rsidRPr="00B5583A" w14:paraId="0FAA73F6" w14:textId="77777777" w:rsidTr="000F652A">
        <w:trPr>
          <w:trHeight w:val="70"/>
        </w:trPr>
        <w:tc>
          <w:tcPr>
            <w:tcW w:w="960"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14:paraId="01CA1F2A" w14:textId="77777777" w:rsidR="00860B45" w:rsidRPr="00B5583A" w:rsidRDefault="00860B45" w:rsidP="000F652A">
            <w:pPr>
              <w:jc w:val="center"/>
              <w:rPr>
                <w:rFonts w:cs="Times New Roman"/>
                <w:b/>
                <w:bCs/>
                <w:color w:val="000000"/>
                <w:sz w:val="22"/>
              </w:rPr>
            </w:pPr>
            <w:r w:rsidRPr="00B5583A">
              <w:rPr>
                <w:rFonts w:cs="Times New Roman"/>
                <w:b/>
                <w:bCs/>
                <w:color w:val="000000"/>
                <w:sz w:val="22"/>
              </w:rPr>
              <w:t>4 000</w:t>
            </w:r>
          </w:p>
        </w:tc>
        <w:tc>
          <w:tcPr>
            <w:tcW w:w="1414" w:type="dxa"/>
            <w:tcBorders>
              <w:top w:val="dotted" w:sz="4" w:space="0" w:color="auto"/>
              <w:left w:val="nil"/>
              <w:bottom w:val="dotted" w:sz="4" w:space="0" w:color="auto"/>
              <w:right w:val="single" w:sz="4" w:space="0" w:color="auto"/>
            </w:tcBorders>
            <w:shd w:val="clear" w:color="000000" w:fill="FFFFFF"/>
            <w:noWrap/>
            <w:vAlign w:val="bottom"/>
            <w:hideMark/>
          </w:tcPr>
          <w:p w14:paraId="421A5271" w14:textId="77777777" w:rsidR="00860B45" w:rsidRPr="00B5583A" w:rsidRDefault="00860B45" w:rsidP="000F652A">
            <w:pPr>
              <w:jc w:val="center"/>
              <w:rPr>
                <w:rFonts w:cs="Times New Roman"/>
                <w:b/>
                <w:bCs/>
                <w:color w:val="00B050"/>
                <w:sz w:val="22"/>
              </w:rPr>
            </w:pPr>
            <w:r w:rsidRPr="00B5583A">
              <w:rPr>
                <w:rFonts w:cs="Times New Roman"/>
                <w:b/>
                <w:bCs/>
                <w:color w:val="00B050"/>
                <w:sz w:val="22"/>
              </w:rPr>
              <w:t>1,6%</w:t>
            </w:r>
          </w:p>
        </w:tc>
        <w:tc>
          <w:tcPr>
            <w:tcW w:w="1286" w:type="dxa"/>
            <w:tcBorders>
              <w:top w:val="dotted" w:sz="4" w:space="0" w:color="auto"/>
              <w:left w:val="nil"/>
              <w:bottom w:val="dotted" w:sz="4" w:space="0" w:color="auto"/>
              <w:right w:val="single" w:sz="4" w:space="0" w:color="auto"/>
            </w:tcBorders>
            <w:shd w:val="clear" w:color="000000" w:fill="FFFFFF"/>
            <w:noWrap/>
            <w:vAlign w:val="bottom"/>
            <w:hideMark/>
          </w:tcPr>
          <w:p w14:paraId="06D99E23" w14:textId="77777777" w:rsidR="00860B45" w:rsidRPr="00B5583A" w:rsidRDefault="00860B45" w:rsidP="000F652A">
            <w:pPr>
              <w:jc w:val="center"/>
              <w:rPr>
                <w:rFonts w:cs="Times New Roman"/>
                <w:sz w:val="22"/>
              </w:rPr>
            </w:pPr>
            <w:r w:rsidRPr="00B5583A">
              <w:rPr>
                <w:rFonts w:cs="Times New Roman"/>
                <w:sz w:val="22"/>
              </w:rPr>
              <w:t>0,00</w:t>
            </w:r>
          </w:p>
        </w:tc>
        <w:tc>
          <w:tcPr>
            <w:tcW w:w="880" w:type="dxa"/>
            <w:tcBorders>
              <w:top w:val="dotted" w:sz="4" w:space="0" w:color="auto"/>
              <w:left w:val="nil"/>
              <w:bottom w:val="dotted" w:sz="4" w:space="0" w:color="auto"/>
              <w:right w:val="single" w:sz="4" w:space="0" w:color="auto"/>
            </w:tcBorders>
            <w:shd w:val="clear" w:color="000000" w:fill="FFFFFF"/>
            <w:noWrap/>
            <w:vAlign w:val="bottom"/>
            <w:hideMark/>
          </w:tcPr>
          <w:p w14:paraId="65944A1A" w14:textId="77777777" w:rsidR="00860B45" w:rsidRPr="00B5583A" w:rsidRDefault="00860B45" w:rsidP="000F652A">
            <w:pPr>
              <w:jc w:val="center"/>
              <w:rPr>
                <w:rFonts w:cs="Times New Roman"/>
                <w:sz w:val="22"/>
              </w:rPr>
            </w:pPr>
            <w:r w:rsidRPr="00B5583A">
              <w:rPr>
                <w:rFonts w:cs="Times New Roman"/>
                <w:sz w:val="22"/>
              </w:rPr>
              <w:t>0,00</w:t>
            </w:r>
          </w:p>
        </w:tc>
        <w:tc>
          <w:tcPr>
            <w:tcW w:w="860" w:type="dxa"/>
            <w:tcBorders>
              <w:top w:val="dotted" w:sz="4" w:space="0" w:color="auto"/>
              <w:left w:val="nil"/>
              <w:bottom w:val="dotted" w:sz="4" w:space="0" w:color="auto"/>
              <w:right w:val="single" w:sz="4" w:space="0" w:color="auto"/>
            </w:tcBorders>
            <w:shd w:val="clear" w:color="000000" w:fill="FFFFFF"/>
            <w:noWrap/>
            <w:vAlign w:val="bottom"/>
            <w:hideMark/>
          </w:tcPr>
          <w:p w14:paraId="04EBB9CA" w14:textId="77777777" w:rsidR="00860B45" w:rsidRPr="00B5583A" w:rsidRDefault="00860B45" w:rsidP="000F652A">
            <w:pPr>
              <w:jc w:val="center"/>
              <w:rPr>
                <w:rFonts w:cs="Times New Roman"/>
                <w:sz w:val="22"/>
              </w:rPr>
            </w:pPr>
            <w:r w:rsidRPr="00B5583A">
              <w:rPr>
                <w:rFonts w:cs="Times New Roman"/>
                <w:sz w:val="22"/>
              </w:rPr>
              <w:t>0,00</w:t>
            </w:r>
          </w:p>
        </w:tc>
        <w:tc>
          <w:tcPr>
            <w:tcW w:w="820" w:type="dxa"/>
            <w:tcBorders>
              <w:top w:val="dotted" w:sz="4" w:space="0" w:color="auto"/>
              <w:left w:val="nil"/>
              <w:bottom w:val="dotted" w:sz="4" w:space="0" w:color="auto"/>
              <w:right w:val="single" w:sz="4" w:space="0" w:color="auto"/>
            </w:tcBorders>
            <w:shd w:val="clear" w:color="000000" w:fill="FFFFFF"/>
            <w:noWrap/>
            <w:vAlign w:val="bottom"/>
            <w:hideMark/>
          </w:tcPr>
          <w:p w14:paraId="624334E6" w14:textId="77777777" w:rsidR="00860B45" w:rsidRPr="00B5583A" w:rsidRDefault="00860B45" w:rsidP="000F652A">
            <w:pPr>
              <w:jc w:val="center"/>
              <w:rPr>
                <w:rFonts w:cs="Times New Roman"/>
                <w:sz w:val="22"/>
              </w:rPr>
            </w:pPr>
            <w:r w:rsidRPr="00B5583A">
              <w:rPr>
                <w:rFonts w:cs="Times New Roman"/>
                <w:sz w:val="22"/>
              </w:rPr>
              <w:t>0,00</w:t>
            </w:r>
          </w:p>
        </w:tc>
        <w:tc>
          <w:tcPr>
            <w:tcW w:w="840" w:type="dxa"/>
            <w:tcBorders>
              <w:top w:val="dotted" w:sz="4" w:space="0" w:color="auto"/>
              <w:left w:val="nil"/>
              <w:bottom w:val="dotted" w:sz="4" w:space="0" w:color="auto"/>
              <w:right w:val="single" w:sz="4" w:space="0" w:color="auto"/>
            </w:tcBorders>
            <w:shd w:val="clear" w:color="000000" w:fill="FFFFFF"/>
            <w:noWrap/>
            <w:vAlign w:val="bottom"/>
            <w:hideMark/>
          </w:tcPr>
          <w:p w14:paraId="47515670" w14:textId="77777777" w:rsidR="00860B45" w:rsidRPr="00B5583A" w:rsidRDefault="00860B45" w:rsidP="000F652A">
            <w:pPr>
              <w:jc w:val="center"/>
              <w:rPr>
                <w:rFonts w:cs="Times New Roman"/>
                <w:sz w:val="22"/>
              </w:rPr>
            </w:pPr>
            <w:r w:rsidRPr="00B5583A">
              <w:rPr>
                <w:rFonts w:cs="Times New Roman"/>
                <w:sz w:val="22"/>
              </w:rPr>
              <w:t>0,00</w:t>
            </w:r>
          </w:p>
        </w:tc>
        <w:tc>
          <w:tcPr>
            <w:tcW w:w="780" w:type="dxa"/>
            <w:tcBorders>
              <w:top w:val="dotted" w:sz="4" w:space="0" w:color="auto"/>
              <w:left w:val="nil"/>
              <w:bottom w:val="dotted" w:sz="4" w:space="0" w:color="auto"/>
              <w:right w:val="single" w:sz="4" w:space="0" w:color="auto"/>
            </w:tcBorders>
            <w:shd w:val="clear" w:color="000000" w:fill="FFFFFF"/>
            <w:noWrap/>
            <w:vAlign w:val="bottom"/>
            <w:hideMark/>
          </w:tcPr>
          <w:p w14:paraId="166DDC55" w14:textId="77777777" w:rsidR="00860B45" w:rsidRPr="00B5583A" w:rsidRDefault="00860B45" w:rsidP="000F652A">
            <w:pPr>
              <w:jc w:val="center"/>
              <w:rPr>
                <w:rFonts w:cs="Times New Roman"/>
                <w:sz w:val="22"/>
              </w:rPr>
            </w:pPr>
            <w:r w:rsidRPr="00B5583A">
              <w:rPr>
                <w:rFonts w:cs="Times New Roman"/>
                <w:sz w:val="22"/>
              </w:rPr>
              <w:t>0,00</w:t>
            </w:r>
          </w:p>
        </w:tc>
      </w:tr>
      <w:tr w:rsidR="00860B45" w:rsidRPr="00B5583A" w14:paraId="19C10EDE" w14:textId="77777777" w:rsidTr="000F652A">
        <w:trPr>
          <w:trHeight w:val="70"/>
        </w:trPr>
        <w:tc>
          <w:tcPr>
            <w:tcW w:w="960"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14:paraId="192F57FF" w14:textId="77777777" w:rsidR="00860B45" w:rsidRPr="00B5583A" w:rsidRDefault="00860B45" w:rsidP="000F652A">
            <w:pPr>
              <w:jc w:val="center"/>
              <w:rPr>
                <w:rFonts w:cs="Times New Roman"/>
                <w:b/>
                <w:bCs/>
                <w:color w:val="000000"/>
                <w:sz w:val="22"/>
              </w:rPr>
            </w:pPr>
            <w:r w:rsidRPr="00B5583A">
              <w:rPr>
                <w:rFonts w:cs="Times New Roman"/>
                <w:b/>
                <w:bCs/>
                <w:color w:val="000000"/>
                <w:sz w:val="22"/>
              </w:rPr>
              <w:t>5 000</w:t>
            </w:r>
          </w:p>
        </w:tc>
        <w:tc>
          <w:tcPr>
            <w:tcW w:w="1414" w:type="dxa"/>
            <w:tcBorders>
              <w:top w:val="dotted" w:sz="4" w:space="0" w:color="auto"/>
              <w:left w:val="nil"/>
              <w:bottom w:val="dotted" w:sz="4" w:space="0" w:color="auto"/>
              <w:right w:val="single" w:sz="4" w:space="0" w:color="auto"/>
            </w:tcBorders>
            <w:shd w:val="clear" w:color="000000" w:fill="FFFFFF"/>
            <w:noWrap/>
            <w:vAlign w:val="bottom"/>
            <w:hideMark/>
          </w:tcPr>
          <w:p w14:paraId="484F8AE2" w14:textId="77777777" w:rsidR="00860B45" w:rsidRPr="00B5583A" w:rsidRDefault="00860B45" w:rsidP="000F652A">
            <w:pPr>
              <w:jc w:val="center"/>
              <w:rPr>
                <w:rFonts w:cs="Times New Roman"/>
                <w:b/>
                <w:bCs/>
                <w:color w:val="00B050"/>
                <w:sz w:val="22"/>
              </w:rPr>
            </w:pPr>
            <w:r w:rsidRPr="00B5583A">
              <w:rPr>
                <w:rFonts w:cs="Times New Roman"/>
                <w:b/>
                <w:bCs/>
                <w:color w:val="00B050"/>
                <w:sz w:val="22"/>
              </w:rPr>
              <w:t>0,4%</w:t>
            </w:r>
          </w:p>
        </w:tc>
        <w:tc>
          <w:tcPr>
            <w:tcW w:w="1286" w:type="dxa"/>
            <w:tcBorders>
              <w:top w:val="dotted" w:sz="4" w:space="0" w:color="auto"/>
              <w:left w:val="nil"/>
              <w:bottom w:val="dotted" w:sz="4" w:space="0" w:color="auto"/>
              <w:right w:val="single" w:sz="4" w:space="0" w:color="auto"/>
            </w:tcBorders>
            <w:shd w:val="clear" w:color="000000" w:fill="FFFFFF"/>
            <w:noWrap/>
            <w:vAlign w:val="bottom"/>
            <w:hideMark/>
          </w:tcPr>
          <w:p w14:paraId="2E8FD140" w14:textId="77777777" w:rsidR="00860B45" w:rsidRPr="00B5583A" w:rsidRDefault="00860B45" w:rsidP="000F652A">
            <w:pPr>
              <w:jc w:val="center"/>
              <w:rPr>
                <w:rFonts w:cs="Times New Roman"/>
                <w:sz w:val="22"/>
              </w:rPr>
            </w:pPr>
            <w:r w:rsidRPr="00B5583A">
              <w:rPr>
                <w:rFonts w:cs="Times New Roman"/>
                <w:sz w:val="22"/>
              </w:rPr>
              <w:t>0,00</w:t>
            </w:r>
          </w:p>
        </w:tc>
        <w:tc>
          <w:tcPr>
            <w:tcW w:w="880" w:type="dxa"/>
            <w:tcBorders>
              <w:top w:val="dotted" w:sz="4" w:space="0" w:color="auto"/>
              <w:left w:val="nil"/>
              <w:bottom w:val="dotted" w:sz="4" w:space="0" w:color="auto"/>
              <w:right w:val="single" w:sz="4" w:space="0" w:color="auto"/>
            </w:tcBorders>
            <w:shd w:val="clear" w:color="000000" w:fill="FFFFFF"/>
            <w:noWrap/>
            <w:vAlign w:val="bottom"/>
            <w:hideMark/>
          </w:tcPr>
          <w:p w14:paraId="5E5B5339" w14:textId="77777777" w:rsidR="00860B45" w:rsidRPr="00B5583A" w:rsidRDefault="00860B45" w:rsidP="000F652A">
            <w:pPr>
              <w:jc w:val="center"/>
              <w:rPr>
                <w:rFonts w:cs="Times New Roman"/>
                <w:sz w:val="22"/>
              </w:rPr>
            </w:pPr>
            <w:r w:rsidRPr="00B5583A">
              <w:rPr>
                <w:rFonts w:cs="Times New Roman"/>
                <w:sz w:val="22"/>
              </w:rPr>
              <w:t>0,00</w:t>
            </w:r>
          </w:p>
        </w:tc>
        <w:tc>
          <w:tcPr>
            <w:tcW w:w="860" w:type="dxa"/>
            <w:tcBorders>
              <w:top w:val="dotted" w:sz="4" w:space="0" w:color="auto"/>
              <w:left w:val="nil"/>
              <w:bottom w:val="dotted" w:sz="4" w:space="0" w:color="auto"/>
              <w:right w:val="single" w:sz="4" w:space="0" w:color="auto"/>
            </w:tcBorders>
            <w:shd w:val="clear" w:color="000000" w:fill="FFFFFF"/>
            <w:noWrap/>
            <w:vAlign w:val="bottom"/>
            <w:hideMark/>
          </w:tcPr>
          <w:p w14:paraId="70949CC7" w14:textId="77777777" w:rsidR="00860B45" w:rsidRPr="00B5583A" w:rsidRDefault="00860B45" w:rsidP="000F652A">
            <w:pPr>
              <w:jc w:val="center"/>
              <w:rPr>
                <w:rFonts w:cs="Times New Roman"/>
                <w:sz w:val="22"/>
              </w:rPr>
            </w:pPr>
            <w:r w:rsidRPr="00B5583A">
              <w:rPr>
                <w:rFonts w:cs="Times New Roman"/>
                <w:sz w:val="22"/>
              </w:rPr>
              <w:t>0,00</w:t>
            </w:r>
          </w:p>
        </w:tc>
        <w:tc>
          <w:tcPr>
            <w:tcW w:w="820" w:type="dxa"/>
            <w:tcBorders>
              <w:top w:val="dotted" w:sz="4" w:space="0" w:color="auto"/>
              <w:left w:val="nil"/>
              <w:bottom w:val="dotted" w:sz="4" w:space="0" w:color="auto"/>
              <w:right w:val="single" w:sz="4" w:space="0" w:color="auto"/>
            </w:tcBorders>
            <w:shd w:val="clear" w:color="000000" w:fill="FFFFFF"/>
            <w:noWrap/>
            <w:vAlign w:val="bottom"/>
            <w:hideMark/>
          </w:tcPr>
          <w:p w14:paraId="104F6DCA" w14:textId="77777777" w:rsidR="00860B45" w:rsidRPr="00B5583A" w:rsidRDefault="00860B45" w:rsidP="000F652A">
            <w:pPr>
              <w:jc w:val="center"/>
              <w:rPr>
                <w:rFonts w:cs="Times New Roman"/>
                <w:sz w:val="22"/>
              </w:rPr>
            </w:pPr>
            <w:r w:rsidRPr="00B5583A">
              <w:rPr>
                <w:rFonts w:cs="Times New Roman"/>
                <w:sz w:val="22"/>
              </w:rPr>
              <w:t>0,00</w:t>
            </w:r>
          </w:p>
        </w:tc>
        <w:tc>
          <w:tcPr>
            <w:tcW w:w="840" w:type="dxa"/>
            <w:tcBorders>
              <w:top w:val="dotted" w:sz="4" w:space="0" w:color="auto"/>
              <w:left w:val="nil"/>
              <w:bottom w:val="dotted" w:sz="4" w:space="0" w:color="auto"/>
              <w:right w:val="single" w:sz="4" w:space="0" w:color="auto"/>
            </w:tcBorders>
            <w:shd w:val="clear" w:color="000000" w:fill="FFFFFF"/>
            <w:noWrap/>
            <w:vAlign w:val="bottom"/>
            <w:hideMark/>
          </w:tcPr>
          <w:p w14:paraId="52339CA6" w14:textId="77777777" w:rsidR="00860B45" w:rsidRPr="00B5583A" w:rsidRDefault="00860B45" w:rsidP="000F652A">
            <w:pPr>
              <w:jc w:val="center"/>
              <w:rPr>
                <w:rFonts w:cs="Times New Roman"/>
                <w:sz w:val="22"/>
              </w:rPr>
            </w:pPr>
            <w:r w:rsidRPr="00B5583A">
              <w:rPr>
                <w:rFonts w:cs="Times New Roman"/>
                <w:sz w:val="22"/>
              </w:rPr>
              <w:t>0,00</w:t>
            </w:r>
          </w:p>
        </w:tc>
        <w:tc>
          <w:tcPr>
            <w:tcW w:w="780" w:type="dxa"/>
            <w:tcBorders>
              <w:top w:val="dotted" w:sz="4" w:space="0" w:color="auto"/>
              <w:left w:val="nil"/>
              <w:bottom w:val="dotted" w:sz="4" w:space="0" w:color="auto"/>
              <w:right w:val="single" w:sz="4" w:space="0" w:color="auto"/>
            </w:tcBorders>
            <w:shd w:val="clear" w:color="000000" w:fill="FFFFFF"/>
            <w:noWrap/>
            <w:vAlign w:val="bottom"/>
            <w:hideMark/>
          </w:tcPr>
          <w:p w14:paraId="210D63F9" w14:textId="77777777" w:rsidR="00860B45" w:rsidRPr="00B5583A" w:rsidRDefault="00860B45" w:rsidP="000F652A">
            <w:pPr>
              <w:jc w:val="center"/>
              <w:rPr>
                <w:rFonts w:cs="Times New Roman"/>
                <w:sz w:val="22"/>
              </w:rPr>
            </w:pPr>
            <w:r w:rsidRPr="00B5583A">
              <w:rPr>
                <w:rFonts w:cs="Times New Roman"/>
                <w:sz w:val="22"/>
              </w:rPr>
              <w:t>0,00</w:t>
            </w:r>
          </w:p>
        </w:tc>
      </w:tr>
      <w:tr w:rsidR="00860B45" w:rsidRPr="00B5583A" w14:paraId="25B8C8FD" w14:textId="77777777" w:rsidTr="000F652A">
        <w:trPr>
          <w:trHeight w:val="70"/>
        </w:trPr>
        <w:tc>
          <w:tcPr>
            <w:tcW w:w="960"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14:paraId="1E641219" w14:textId="77777777" w:rsidR="00860B45" w:rsidRPr="00B5583A" w:rsidRDefault="00860B45" w:rsidP="000F652A">
            <w:pPr>
              <w:jc w:val="center"/>
              <w:rPr>
                <w:rFonts w:cs="Times New Roman"/>
                <w:b/>
                <w:bCs/>
                <w:color w:val="000000"/>
                <w:sz w:val="22"/>
              </w:rPr>
            </w:pPr>
            <w:r w:rsidRPr="00B5583A">
              <w:rPr>
                <w:rFonts w:cs="Times New Roman"/>
                <w:b/>
                <w:bCs/>
                <w:color w:val="000000"/>
                <w:sz w:val="22"/>
              </w:rPr>
              <w:t>6 000</w:t>
            </w:r>
          </w:p>
        </w:tc>
        <w:tc>
          <w:tcPr>
            <w:tcW w:w="1414" w:type="dxa"/>
            <w:tcBorders>
              <w:top w:val="dotted" w:sz="4" w:space="0" w:color="auto"/>
              <w:left w:val="nil"/>
              <w:bottom w:val="dotted" w:sz="4" w:space="0" w:color="auto"/>
              <w:right w:val="single" w:sz="4" w:space="0" w:color="auto"/>
            </w:tcBorders>
            <w:shd w:val="clear" w:color="000000" w:fill="FFFFFF"/>
            <w:noWrap/>
            <w:vAlign w:val="bottom"/>
            <w:hideMark/>
          </w:tcPr>
          <w:p w14:paraId="00170C72" w14:textId="77777777" w:rsidR="00860B45" w:rsidRPr="00B5583A" w:rsidRDefault="00860B45" w:rsidP="000F652A">
            <w:pPr>
              <w:jc w:val="center"/>
              <w:rPr>
                <w:rFonts w:cs="Times New Roman"/>
                <w:b/>
                <w:bCs/>
                <w:color w:val="00B050"/>
                <w:sz w:val="22"/>
              </w:rPr>
            </w:pPr>
            <w:r w:rsidRPr="00B5583A">
              <w:rPr>
                <w:rFonts w:cs="Times New Roman"/>
                <w:b/>
                <w:bCs/>
                <w:color w:val="00B050"/>
                <w:sz w:val="22"/>
              </w:rPr>
              <w:t>0,2%</w:t>
            </w:r>
          </w:p>
        </w:tc>
        <w:tc>
          <w:tcPr>
            <w:tcW w:w="1286" w:type="dxa"/>
            <w:tcBorders>
              <w:top w:val="dotted" w:sz="4" w:space="0" w:color="auto"/>
              <w:left w:val="nil"/>
              <w:bottom w:val="dotted" w:sz="4" w:space="0" w:color="auto"/>
              <w:right w:val="single" w:sz="4" w:space="0" w:color="auto"/>
            </w:tcBorders>
            <w:shd w:val="clear" w:color="000000" w:fill="FFFFFF"/>
            <w:noWrap/>
            <w:vAlign w:val="bottom"/>
            <w:hideMark/>
          </w:tcPr>
          <w:p w14:paraId="0F453035" w14:textId="77777777" w:rsidR="00860B45" w:rsidRPr="00B5583A" w:rsidRDefault="00860B45" w:rsidP="000F652A">
            <w:pPr>
              <w:jc w:val="center"/>
              <w:rPr>
                <w:rFonts w:cs="Times New Roman"/>
                <w:sz w:val="22"/>
              </w:rPr>
            </w:pPr>
            <w:r w:rsidRPr="00B5583A">
              <w:rPr>
                <w:rFonts w:cs="Times New Roman"/>
                <w:sz w:val="22"/>
              </w:rPr>
              <w:t>0,00</w:t>
            </w:r>
          </w:p>
        </w:tc>
        <w:tc>
          <w:tcPr>
            <w:tcW w:w="880" w:type="dxa"/>
            <w:tcBorders>
              <w:top w:val="dotted" w:sz="4" w:space="0" w:color="auto"/>
              <w:left w:val="nil"/>
              <w:bottom w:val="dotted" w:sz="4" w:space="0" w:color="auto"/>
              <w:right w:val="single" w:sz="4" w:space="0" w:color="auto"/>
            </w:tcBorders>
            <w:shd w:val="clear" w:color="000000" w:fill="FFFFFF"/>
            <w:noWrap/>
            <w:vAlign w:val="bottom"/>
            <w:hideMark/>
          </w:tcPr>
          <w:p w14:paraId="6C571CF9" w14:textId="77777777" w:rsidR="00860B45" w:rsidRPr="00B5583A" w:rsidRDefault="00860B45" w:rsidP="000F652A">
            <w:pPr>
              <w:jc w:val="center"/>
              <w:rPr>
                <w:rFonts w:cs="Times New Roman"/>
                <w:sz w:val="22"/>
              </w:rPr>
            </w:pPr>
            <w:r w:rsidRPr="00B5583A">
              <w:rPr>
                <w:rFonts w:cs="Times New Roman"/>
                <w:sz w:val="22"/>
              </w:rPr>
              <w:t>0,00</w:t>
            </w:r>
          </w:p>
        </w:tc>
        <w:tc>
          <w:tcPr>
            <w:tcW w:w="860" w:type="dxa"/>
            <w:tcBorders>
              <w:top w:val="dotted" w:sz="4" w:space="0" w:color="auto"/>
              <w:left w:val="nil"/>
              <w:bottom w:val="dotted" w:sz="4" w:space="0" w:color="auto"/>
              <w:right w:val="single" w:sz="4" w:space="0" w:color="auto"/>
            </w:tcBorders>
            <w:shd w:val="clear" w:color="000000" w:fill="FFFFFF"/>
            <w:noWrap/>
            <w:vAlign w:val="bottom"/>
            <w:hideMark/>
          </w:tcPr>
          <w:p w14:paraId="64FF5B09" w14:textId="77777777" w:rsidR="00860B45" w:rsidRPr="00B5583A" w:rsidRDefault="00860B45" w:rsidP="000F652A">
            <w:pPr>
              <w:jc w:val="center"/>
              <w:rPr>
                <w:rFonts w:cs="Times New Roman"/>
                <w:sz w:val="22"/>
              </w:rPr>
            </w:pPr>
            <w:r w:rsidRPr="00B5583A">
              <w:rPr>
                <w:rFonts w:cs="Times New Roman"/>
                <w:sz w:val="22"/>
              </w:rPr>
              <w:t>0,00</w:t>
            </w:r>
          </w:p>
        </w:tc>
        <w:tc>
          <w:tcPr>
            <w:tcW w:w="820" w:type="dxa"/>
            <w:tcBorders>
              <w:top w:val="dotted" w:sz="4" w:space="0" w:color="auto"/>
              <w:left w:val="nil"/>
              <w:bottom w:val="dotted" w:sz="4" w:space="0" w:color="auto"/>
              <w:right w:val="single" w:sz="4" w:space="0" w:color="auto"/>
            </w:tcBorders>
            <w:shd w:val="clear" w:color="000000" w:fill="FFFFFF"/>
            <w:noWrap/>
            <w:vAlign w:val="bottom"/>
            <w:hideMark/>
          </w:tcPr>
          <w:p w14:paraId="33544329" w14:textId="77777777" w:rsidR="00860B45" w:rsidRPr="00B5583A" w:rsidRDefault="00860B45" w:rsidP="000F652A">
            <w:pPr>
              <w:jc w:val="center"/>
              <w:rPr>
                <w:rFonts w:cs="Times New Roman"/>
                <w:sz w:val="22"/>
              </w:rPr>
            </w:pPr>
            <w:r w:rsidRPr="00B5583A">
              <w:rPr>
                <w:rFonts w:cs="Times New Roman"/>
                <w:sz w:val="22"/>
              </w:rPr>
              <w:t>0,00</w:t>
            </w:r>
          </w:p>
        </w:tc>
        <w:tc>
          <w:tcPr>
            <w:tcW w:w="840" w:type="dxa"/>
            <w:tcBorders>
              <w:top w:val="dotted" w:sz="4" w:space="0" w:color="auto"/>
              <w:left w:val="nil"/>
              <w:bottom w:val="dotted" w:sz="4" w:space="0" w:color="auto"/>
              <w:right w:val="single" w:sz="4" w:space="0" w:color="auto"/>
            </w:tcBorders>
            <w:shd w:val="clear" w:color="000000" w:fill="FFFFFF"/>
            <w:noWrap/>
            <w:vAlign w:val="bottom"/>
            <w:hideMark/>
          </w:tcPr>
          <w:p w14:paraId="42A13C09" w14:textId="77777777" w:rsidR="00860B45" w:rsidRPr="00B5583A" w:rsidRDefault="00860B45" w:rsidP="000F652A">
            <w:pPr>
              <w:jc w:val="center"/>
              <w:rPr>
                <w:rFonts w:cs="Times New Roman"/>
                <w:sz w:val="22"/>
              </w:rPr>
            </w:pPr>
            <w:r w:rsidRPr="00B5583A">
              <w:rPr>
                <w:rFonts w:cs="Times New Roman"/>
                <w:sz w:val="22"/>
              </w:rPr>
              <w:t>0,00</w:t>
            </w:r>
          </w:p>
        </w:tc>
        <w:tc>
          <w:tcPr>
            <w:tcW w:w="780" w:type="dxa"/>
            <w:tcBorders>
              <w:top w:val="dotted" w:sz="4" w:space="0" w:color="auto"/>
              <w:left w:val="nil"/>
              <w:bottom w:val="dotted" w:sz="4" w:space="0" w:color="auto"/>
              <w:right w:val="single" w:sz="4" w:space="0" w:color="auto"/>
            </w:tcBorders>
            <w:shd w:val="clear" w:color="000000" w:fill="FFFFFF"/>
            <w:noWrap/>
            <w:vAlign w:val="bottom"/>
            <w:hideMark/>
          </w:tcPr>
          <w:p w14:paraId="3E88EB54" w14:textId="77777777" w:rsidR="00860B45" w:rsidRPr="00B5583A" w:rsidRDefault="00860B45" w:rsidP="000F652A">
            <w:pPr>
              <w:jc w:val="center"/>
              <w:rPr>
                <w:rFonts w:cs="Times New Roman"/>
                <w:sz w:val="22"/>
              </w:rPr>
            </w:pPr>
            <w:r w:rsidRPr="00B5583A">
              <w:rPr>
                <w:rFonts w:cs="Times New Roman"/>
                <w:sz w:val="22"/>
              </w:rPr>
              <w:t>0,00</w:t>
            </w:r>
          </w:p>
        </w:tc>
      </w:tr>
      <w:tr w:rsidR="00860B45" w:rsidRPr="00B5583A" w14:paraId="201A3000" w14:textId="77777777" w:rsidTr="000F652A">
        <w:trPr>
          <w:trHeight w:val="70"/>
        </w:trPr>
        <w:tc>
          <w:tcPr>
            <w:tcW w:w="960"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14:paraId="3D0352B9" w14:textId="77777777" w:rsidR="00860B45" w:rsidRPr="00B5583A" w:rsidRDefault="00860B45" w:rsidP="000F652A">
            <w:pPr>
              <w:jc w:val="center"/>
              <w:rPr>
                <w:rFonts w:cs="Times New Roman"/>
                <w:b/>
                <w:bCs/>
                <w:color w:val="000000"/>
                <w:sz w:val="22"/>
              </w:rPr>
            </w:pPr>
            <w:r w:rsidRPr="00B5583A">
              <w:rPr>
                <w:rFonts w:cs="Times New Roman"/>
                <w:b/>
                <w:bCs/>
                <w:color w:val="000000"/>
                <w:sz w:val="22"/>
              </w:rPr>
              <w:t>8 000</w:t>
            </w:r>
          </w:p>
        </w:tc>
        <w:tc>
          <w:tcPr>
            <w:tcW w:w="1414" w:type="dxa"/>
            <w:tcBorders>
              <w:top w:val="dotted" w:sz="4" w:space="0" w:color="auto"/>
              <w:left w:val="nil"/>
              <w:bottom w:val="dotted" w:sz="4" w:space="0" w:color="auto"/>
              <w:right w:val="single" w:sz="4" w:space="0" w:color="auto"/>
            </w:tcBorders>
            <w:shd w:val="clear" w:color="000000" w:fill="FFFFFF"/>
            <w:noWrap/>
            <w:vAlign w:val="bottom"/>
            <w:hideMark/>
          </w:tcPr>
          <w:p w14:paraId="4389619E" w14:textId="77777777" w:rsidR="00860B45" w:rsidRPr="00B5583A" w:rsidRDefault="00860B45" w:rsidP="000F652A">
            <w:pPr>
              <w:jc w:val="center"/>
              <w:rPr>
                <w:rFonts w:cs="Times New Roman"/>
                <w:b/>
                <w:bCs/>
                <w:color w:val="00B050"/>
                <w:sz w:val="22"/>
              </w:rPr>
            </w:pPr>
            <w:r w:rsidRPr="00B5583A">
              <w:rPr>
                <w:rFonts w:cs="Times New Roman"/>
                <w:b/>
                <w:bCs/>
                <w:color w:val="00B050"/>
                <w:sz w:val="22"/>
              </w:rPr>
              <w:t>0,2%</w:t>
            </w:r>
          </w:p>
        </w:tc>
        <w:tc>
          <w:tcPr>
            <w:tcW w:w="1286" w:type="dxa"/>
            <w:tcBorders>
              <w:top w:val="dotted" w:sz="4" w:space="0" w:color="auto"/>
              <w:left w:val="nil"/>
              <w:bottom w:val="dotted" w:sz="4" w:space="0" w:color="auto"/>
              <w:right w:val="single" w:sz="4" w:space="0" w:color="auto"/>
            </w:tcBorders>
            <w:shd w:val="clear" w:color="000000" w:fill="FFFFFF"/>
            <w:noWrap/>
            <w:vAlign w:val="bottom"/>
            <w:hideMark/>
          </w:tcPr>
          <w:p w14:paraId="0872BF25" w14:textId="77777777" w:rsidR="00860B45" w:rsidRPr="00B5583A" w:rsidRDefault="00860B45" w:rsidP="000F652A">
            <w:pPr>
              <w:jc w:val="center"/>
              <w:rPr>
                <w:rFonts w:cs="Times New Roman"/>
                <w:sz w:val="22"/>
              </w:rPr>
            </w:pPr>
            <w:r w:rsidRPr="00B5583A">
              <w:rPr>
                <w:rFonts w:cs="Times New Roman"/>
                <w:sz w:val="22"/>
              </w:rPr>
              <w:t>0,00</w:t>
            </w:r>
          </w:p>
        </w:tc>
        <w:tc>
          <w:tcPr>
            <w:tcW w:w="880" w:type="dxa"/>
            <w:tcBorders>
              <w:top w:val="dotted" w:sz="4" w:space="0" w:color="auto"/>
              <w:left w:val="nil"/>
              <w:bottom w:val="dotted" w:sz="4" w:space="0" w:color="auto"/>
              <w:right w:val="single" w:sz="4" w:space="0" w:color="auto"/>
            </w:tcBorders>
            <w:shd w:val="clear" w:color="000000" w:fill="FFFFFF"/>
            <w:noWrap/>
            <w:vAlign w:val="bottom"/>
            <w:hideMark/>
          </w:tcPr>
          <w:p w14:paraId="351BB2A1" w14:textId="77777777" w:rsidR="00860B45" w:rsidRPr="00B5583A" w:rsidRDefault="00860B45" w:rsidP="000F652A">
            <w:pPr>
              <w:jc w:val="center"/>
              <w:rPr>
                <w:rFonts w:cs="Times New Roman"/>
                <w:sz w:val="22"/>
              </w:rPr>
            </w:pPr>
            <w:r w:rsidRPr="00B5583A">
              <w:rPr>
                <w:rFonts w:cs="Times New Roman"/>
                <w:sz w:val="22"/>
              </w:rPr>
              <w:t>0,00</w:t>
            </w:r>
          </w:p>
        </w:tc>
        <w:tc>
          <w:tcPr>
            <w:tcW w:w="860" w:type="dxa"/>
            <w:tcBorders>
              <w:top w:val="dotted" w:sz="4" w:space="0" w:color="auto"/>
              <w:left w:val="nil"/>
              <w:bottom w:val="dotted" w:sz="4" w:space="0" w:color="auto"/>
              <w:right w:val="single" w:sz="4" w:space="0" w:color="auto"/>
            </w:tcBorders>
            <w:shd w:val="clear" w:color="000000" w:fill="FFFFFF"/>
            <w:noWrap/>
            <w:vAlign w:val="bottom"/>
            <w:hideMark/>
          </w:tcPr>
          <w:p w14:paraId="02A08935" w14:textId="77777777" w:rsidR="00860B45" w:rsidRPr="00B5583A" w:rsidRDefault="00860B45" w:rsidP="000F652A">
            <w:pPr>
              <w:jc w:val="center"/>
              <w:rPr>
                <w:rFonts w:cs="Times New Roman"/>
                <w:sz w:val="22"/>
              </w:rPr>
            </w:pPr>
            <w:r w:rsidRPr="00B5583A">
              <w:rPr>
                <w:rFonts w:cs="Times New Roman"/>
                <w:sz w:val="22"/>
              </w:rPr>
              <w:t>0,00</w:t>
            </w:r>
          </w:p>
        </w:tc>
        <w:tc>
          <w:tcPr>
            <w:tcW w:w="820" w:type="dxa"/>
            <w:tcBorders>
              <w:top w:val="dotted" w:sz="4" w:space="0" w:color="auto"/>
              <w:left w:val="nil"/>
              <w:bottom w:val="dotted" w:sz="4" w:space="0" w:color="auto"/>
              <w:right w:val="single" w:sz="4" w:space="0" w:color="auto"/>
            </w:tcBorders>
            <w:shd w:val="clear" w:color="000000" w:fill="FFFFFF"/>
            <w:noWrap/>
            <w:vAlign w:val="bottom"/>
            <w:hideMark/>
          </w:tcPr>
          <w:p w14:paraId="63BC6B00" w14:textId="77777777" w:rsidR="00860B45" w:rsidRPr="00B5583A" w:rsidRDefault="00860B45" w:rsidP="000F652A">
            <w:pPr>
              <w:jc w:val="center"/>
              <w:rPr>
                <w:rFonts w:cs="Times New Roman"/>
                <w:sz w:val="22"/>
              </w:rPr>
            </w:pPr>
            <w:r w:rsidRPr="00B5583A">
              <w:rPr>
                <w:rFonts w:cs="Times New Roman"/>
                <w:sz w:val="22"/>
              </w:rPr>
              <w:t>0,00</w:t>
            </w:r>
          </w:p>
        </w:tc>
        <w:tc>
          <w:tcPr>
            <w:tcW w:w="840" w:type="dxa"/>
            <w:tcBorders>
              <w:top w:val="dotted" w:sz="4" w:space="0" w:color="auto"/>
              <w:left w:val="nil"/>
              <w:bottom w:val="dotted" w:sz="4" w:space="0" w:color="auto"/>
              <w:right w:val="single" w:sz="4" w:space="0" w:color="auto"/>
            </w:tcBorders>
            <w:shd w:val="clear" w:color="000000" w:fill="FFFFFF"/>
            <w:noWrap/>
            <w:vAlign w:val="bottom"/>
            <w:hideMark/>
          </w:tcPr>
          <w:p w14:paraId="4E61DA69" w14:textId="77777777" w:rsidR="00860B45" w:rsidRPr="00B5583A" w:rsidRDefault="00860B45" w:rsidP="000F652A">
            <w:pPr>
              <w:jc w:val="center"/>
              <w:rPr>
                <w:rFonts w:cs="Times New Roman"/>
                <w:sz w:val="22"/>
              </w:rPr>
            </w:pPr>
            <w:r w:rsidRPr="00B5583A">
              <w:rPr>
                <w:rFonts w:cs="Times New Roman"/>
                <w:sz w:val="22"/>
              </w:rPr>
              <w:t>0,00</w:t>
            </w:r>
          </w:p>
        </w:tc>
        <w:tc>
          <w:tcPr>
            <w:tcW w:w="780" w:type="dxa"/>
            <w:tcBorders>
              <w:top w:val="dotted" w:sz="4" w:space="0" w:color="auto"/>
              <w:left w:val="nil"/>
              <w:bottom w:val="dotted" w:sz="4" w:space="0" w:color="auto"/>
              <w:right w:val="single" w:sz="4" w:space="0" w:color="auto"/>
            </w:tcBorders>
            <w:shd w:val="clear" w:color="000000" w:fill="FFFFFF"/>
            <w:noWrap/>
            <w:vAlign w:val="bottom"/>
            <w:hideMark/>
          </w:tcPr>
          <w:p w14:paraId="1B04BED8" w14:textId="77777777" w:rsidR="00860B45" w:rsidRPr="00B5583A" w:rsidRDefault="00860B45" w:rsidP="000F652A">
            <w:pPr>
              <w:jc w:val="center"/>
              <w:rPr>
                <w:rFonts w:cs="Times New Roman"/>
                <w:sz w:val="22"/>
              </w:rPr>
            </w:pPr>
            <w:r w:rsidRPr="00B5583A">
              <w:rPr>
                <w:rFonts w:cs="Times New Roman"/>
                <w:sz w:val="22"/>
              </w:rPr>
              <w:t>0,00</w:t>
            </w:r>
          </w:p>
        </w:tc>
      </w:tr>
      <w:tr w:rsidR="00860B45" w:rsidRPr="00B5583A" w14:paraId="2E951A73" w14:textId="77777777" w:rsidTr="000F652A">
        <w:trPr>
          <w:trHeight w:val="70"/>
        </w:trPr>
        <w:tc>
          <w:tcPr>
            <w:tcW w:w="960" w:type="dxa"/>
            <w:tcBorders>
              <w:top w:val="dotted" w:sz="4" w:space="0" w:color="auto"/>
              <w:left w:val="single" w:sz="4" w:space="0" w:color="auto"/>
              <w:bottom w:val="single" w:sz="4" w:space="0" w:color="auto"/>
              <w:right w:val="single" w:sz="4" w:space="0" w:color="auto"/>
            </w:tcBorders>
            <w:shd w:val="clear" w:color="000000" w:fill="FFFFFF"/>
            <w:noWrap/>
            <w:vAlign w:val="bottom"/>
            <w:hideMark/>
          </w:tcPr>
          <w:p w14:paraId="27B02713" w14:textId="77777777" w:rsidR="00860B45" w:rsidRPr="00B5583A" w:rsidRDefault="00860B45" w:rsidP="000F652A">
            <w:pPr>
              <w:jc w:val="center"/>
              <w:rPr>
                <w:rFonts w:cs="Times New Roman"/>
                <w:b/>
                <w:bCs/>
                <w:color w:val="000000"/>
                <w:sz w:val="22"/>
              </w:rPr>
            </w:pPr>
            <w:r w:rsidRPr="00B5583A">
              <w:rPr>
                <w:rFonts w:cs="Times New Roman"/>
                <w:b/>
                <w:bCs/>
                <w:color w:val="000000"/>
                <w:sz w:val="22"/>
              </w:rPr>
              <w:t>10 000</w:t>
            </w:r>
          </w:p>
        </w:tc>
        <w:tc>
          <w:tcPr>
            <w:tcW w:w="1414" w:type="dxa"/>
            <w:tcBorders>
              <w:top w:val="dotted" w:sz="4" w:space="0" w:color="auto"/>
              <w:left w:val="nil"/>
              <w:bottom w:val="single" w:sz="4" w:space="0" w:color="auto"/>
              <w:right w:val="single" w:sz="4" w:space="0" w:color="auto"/>
            </w:tcBorders>
            <w:shd w:val="clear" w:color="000000" w:fill="FFFFFF"/>
            <w:noWrap/>
            <w:vAlign w:val="bottom"/>
            <w:hideMark/>
          </w:tcPr>
          <w:p w14:paraId="2BD7CAC9" w14:textId="77777777" w:rsidR="00860B45" w:rsidRPr="00B5583A" w:rsidRDefault="00860B45" w:rsidP="000F652A">
            <w:pPr>
              <w:jc w:val="center"/>
              <w:rPr>
                <w:rFonts w:cs="Times New Roman"/>
                <w:b/>
                <w:bCs/>
                <w:color w:val="00B050"/>
                <w:sz w:val="22"/>
              </w:rPr>
            </w:pPr>
            <w:r w:rsidRPr="00B5583A">
              <w:rPr>
                <w:rFonts w:cs="Times New Roman"/>
                <w:b/>
                <w:bCs/>
                <w:color w:val="00B050"/>
                <w:sz w:val="22"/>
              </w:rPr>
              <w:t>0,1%</w:t>
            </w:r>
          </w:p>
        </w:tc>
        <w:tc>
          <w:tcPr>
            <w:tcW w:w="1286" w:type="dxa"/>
            <w:tcBorders>
              <w:top w:val="dotted" w:sz="4" w:space="0" w:color="auto"/>
              <w:left w:val="nil"/>
              <w:bottom w:val="single" w:sz="4" w:space="0" w:color="auto"/>
              <w:right w:val="single" w:sz="4" w:space="0" w:color="auto"/>
            </w:tcBorders>
            <w:shd w:val="clear" w:color="000000" w:fill="FFFFFF"/>
            <w:noWrap/>
            <w:vAlign w:val="bottom"/>
            <w:hideMark/>
          </w:tcPr>
          <w:p w14:paraId="108B546B" w14:textId="77777777" w:rsidR="00860B45" w:rsidRPr="00B5583A" w:rsidRDefault="00860B45" w:rsidP="000F652A">
            <w:pPr>
              <w:jc w:val="center"/>
              <w:rPr>
                <w:rFonts w:cs="Times New Roman"/>
                <w:sz w:val="22"/>
              </w:rPr>
            </w:pPr>
            <w:r w:rsidRPr="00B5583A">
              <w:rPr>
                <w:rFonts w:cs="Times New Roman"/>
                <w:sz w:val="22"/>
              </w:rPr>
              <w:t>0,00</w:t>
            </w:r>
          </w:p>
        </w:tc>
        <w:tc>
          <w:tcPr>
            <w:tcW w:w="880" w:type="dxa"/>
            <w:tcBorders>
              <w:top w:val="dotted" w:sz="4" w:space="0" w:color="auto"/>
              <w:left w:val="nil"/>
              <w:bottom w:val="single" w:sz="4" w:space="0" w:color="auto"/>
              <w:right w:val="single" w:sz="4" w:space="0" w:color="auto"/>
            </w:tcBorders>
            <w:shd w:val="clear" w:color="000000" w:fill="FFFFFF"/>
            <w:noWrap/>
            <w:vAlign w:val="bottom"/>
            <w:hideMark/>
          </w:tcPr>
          <w:p w14:paraId="4C3246B7" w14:textId="77777777" w:rsidR="00860B45" w:rsidRPr="00B5583A" w:rsidRDefault="00860B45" w:rsidP="000F652A">
            <w:pPr>
              <w:jc w:val="center"/>
              <w:rPr>
                <w:rFonts w:cs="Times New Roman"/>
                <w:sz w:val="22"/>
              </w:rPr>
            </w:pPr>
            <w:r w:rsidRPr="00B5583A">
              <w:rPr>
                <w:rFonts w:cs="Times New Roman"/>
                <w:sz w:val="22"/>
              </w:rPr>
              <w:t>0,00</w:t>
            </w:r>
          </w:p>
        </w:tc>
        <w:tc>
          <w:tcPr>
            <w:tcW w:w="860" w:type="dxa"/>
            <w:tcBorders>
              <w:top w:val="dotted" w:sz="4" w:space="0" w:color="auto"/>
              <w:left w:val="nil"/>
              <w:bottom w:val="single" w:sz="4" w:space="0" w:color="auto"/>
              <w:right w:val="single" w:sz="4" w:space="0" w:color="auto"/>
            </w:tcBorders>
            <w:shd w:val="clear" w:color="000000" w:fill="FFFFFF"/>
            <w:noWrap/>
            <w:vAlign w:val="bottom"/>
            <w:hideMark/>
          </w:tcPr>
          <w:p w14:paraId="3FCFBD03" w14:textId="77777777" w:rsidR="00860B45" w:rsidRPr="00B5583A" w:rsidRDefault="00860B45" w:rsidP="000F652A">
            <w:pPr>
              <w:jc w:val="center"/>
              <w:rPr>
                <w:rFonts w:cs="Times New Roman"/>
                <w:sz w:val="22"/>
              </w:rPr>
            </w:pPr>
            <w:r w:rsidRPr="00B5583A">
              <w:rPr>
                <w:rFonts w:cs="Times New Roman"/>
                <w:sz w:val="22"/>
              </w:rPr>
              <w:t>0,00</w:t>
            </w:r>
          </w:p>
        </w:tc>
        <w:tc>
          <w:tcPr>
            <w:tcW w:w="820" w:type="dxa"/>
            <w:tcBorders>
              <w:top w:val="dotted" w:sz="4" w:space="0" w:color="auto"/>
              <w:left w:val="nil"/>
              <w:bottom w:val="single" w:sz="4" w:space="0" w:color="auto"/>
              <w:right w:val="single" w:sz="4" w:space="0" w:color="auto"/>
            </w:tcBorders>
            <w:shd w:val="clear" w:color="000000" w:fill="FFFFFF"/>
            <w:noWrap/>
            <w:vAlign w:val="bottom"/>
            <w:hideMark/>
          </w:tcPr>
          <w:p w14:paraId="1F92F076" w14:textId="77777777" w:rsidR="00860B45" w:rsidRPr="00B5583A" w:rsidRDefault="00860B45" w:rsidP="000F652A">
            <w:pPr>
              <w:jc w:val="center"/>
              <w:rPr>
                <w:rFonts w:cs="Times New Roman"/>
                <w:sz w:val="22"/>
              </w:rPr>
            </w:pPr>
            <w:r w:rsidRPr="00B5583A">
              <w:rPr>
                <w:rFonts w:cs="Times New Roman"/>
                <w:sz w:val="22"/>
              </w:rPr>
              <w:t>0,00</w:t>
            </w:r>
          </w:p>
        </w:tc>
        <w:tc>
          <w:tcPr>
            <w:tcW w:w="840" w:type="dxa"/>
            <w:tcBorders>
              <w:top w:val="dotted" w:sz="4" w:space="0" w:color="auto"/>
              <w:left w:val="nil"/>
              <w:bottom w:val="single" w:sz="4" w:space="0" w:color="auto"/>
              <w:right w:val="single" w:sz="4" w:space="0" w:color="auto"/>
            </w:tcBorders>
            <w:shd w:val="clear" w:color="000000" w:fill="FFFFFF"/>
            <w:noWrap/>
            <w:vAlign w:val="bottom"/>
            <w:hideMark/>
          </w:tcPr>
          <w:p w14:paraId="631FA692" w14:textId="77777777" w:rsidR="00860B45" w:rsidRPr="00B5583A" w:rsidRDefault="00860B45" w:rsidP="000F652A">
            <w:pPr>
              <w:jc w:val="center"/>
              <w:rPr>
                <w:rFonts w:cs="Times New Roman"/>
                <w:sz w:val="22"/>
              </w:rPr>
            </w:pPr>
            <w:r w:rsidRPr="00B5583A">
              <w:rPr>
                <w:rFonts w:cs="Times New Roman"/>
                <w:sz w:val="22"/>
              </w:rPr>
              <w:t>0,00</w:t>
            </w:r>
          </w:p>
        </w:tc>
        <w:tc>
          <w:tcPr>
            <w:tcW w:w="780" w:type="dxa"/>
            <w:tcBorders>
              <w:top w:val="dotted" w:sz="4" w:space="0" w:color="auto"/>
              <w:left w:val="nil"/>
              <w:bottom w:val="single" w:sz="4" w:space="0" w:color="auto"/>
              <w:right w:val="single" w:sz="4" w:space="0" w:color="auto"/>
            </w:tcBorders>
            <w:shd w:val="clear" w:color="000000" w:fill="FFFFFF"/>
            <w:noWrap/>
            <w:vAlign w:val="bottom"/>
            <w:hideMark/>
          </w:tcPr>
          <w:p w14:paraId="504628B9" w14:textId="77777777" w:rsidR="00860B45" w:rsidRPr="00B5583A" w:rsidRDefault="00860B45" w:rsidP="000F652A">
            <w:pPr>
              <w:jc w:val="center"/>
              <w:rPr>
                <w:rFonts w:cs="Times New Roman"/>
                <w:sz w:val="22"/>
              </w:rPr>
            </w:pPr>
            <w:r w:rsidRPr="00B5583A">
              <w:rPr>
                <w:rFonts w:cs="Times New Roman"/>
                <w:sz w:val="22"/>
              </w:rPr>
              <w:t>0,00</w:t>
            </w:r>
          </w:p>
        </w:tc>
      </w:tr>
    </w:tbl>
    <w:p w14:paraId="29246E11" w14:textId="77777777" w:rsidR="00860B45" w:rsidRDefault="00860B45" w:rsidP="00860B45">
      <w:pPr>
        <w:jc w:val="center"/>
        <w:rPr>
          <w:rFonts w:cs="Times New Roman"/>
          <w:b/>
          <w:sz w:val="26"/>
          <w:szCs w:val="26"/>
        </w:rPr>
      </w:pPr>
    </w:p>
    <w:p w14:paraId="759F562B" w14:textId="77777777" w:rsidR="008A30B3" w:rsidRDefault="008A30B3" w:rsidP="00860B45">
      <w:pPr>
        <w:jc w:val="center"/>
        <w:rPr>
          <w:rFonts w:cs="Times New Roman"/>
          <w:b/>
          <w:sz w:val="26"/>
          <w:szCs w:val="26"/>
        </w:rPr>
      </w:pPr>
    </w:p>
    <w:p w14:paraId="7CB9A136" w14:textId="77777777" w:rsidR="008A30B3" w:rsidRPr="008A30B3" w:rsidRDefault="008A30B3" w:rsidP="008A30B3">
      <w:pPr>
        <w:ind w:firstLine="709"/>
        <w:jc w:val="both"/>
        <w:rPr>
          <w:rFonts w:cs="Times New Roman"/>
          <w:sz w:val="26"/>
          <w:szCs w:val="26"/>
        </w:rPr>
      </w:pPr>
      <w:r>
        <w:rPr>
          <w:rFonts w:cs="Times New Roman"/>
          <w:sz w:val="26"/>
          <w:szCs w:val="26"/>
        </w:rPr>
        <w:t>Diferencētā neapliekamā minimuma paaugstināšana ir jāskata v</w:t>
      </w:r>
      <w:r w:rsidRPr="008A30B3">
        <w:rPr>
          <w:rFonts w:cs="Times New Roman"/>
          <w:sz w:val="26"/>
          <w:szCs w:val="26"/>
        </w:rPr>
        <w:t xml:space="preserve">ienlaikus ir </w:t>
      </w:r>
      <w:r>
        <w:rPr>
          <w:rFonts w:cs="Times New Roman"/>
          <w:sz w:val="26"/>
          <w:szCs w:val="26"/>
        </w:rPr>
        <w:t>ar</w:t>
      </w:r>
      <w:r w:rsidRPr="008A30B3">
        <w:rPr>
          <w:rFonts w:cs="Times New Roman"/>
          <w:sz w:val="26"/>
          <w:szCs w:val="26"/>
        </w:rPr>
        <w:t xml:space="preserve"> jautājum</w:t>
      </w:r>
      <w:r>
        <w:rPr>
          <w:rFonts w:cs="Times New Roman"/>
          <w:sz w:val="26"/>
          <w:szCs w:val="26"/>
        </w:rPr>
        <w:t>u</w:t>
      </w:r>
      <w:r w:rsidRPr="008A30B3">
        <w:rPr>
          <w:rFonts w:cs="Times New Roman"/>
          <w:sz w:val="26"/>
          <w:szCs w:val="26"/>
        </w:rPr>
        <w:t xml:space="preserve"> par </w:t>
      </w:r>
      <w:r>
        <w:rPr>
          <w:rFonts w:cs="Times New Roman"/>
          <w:sz w:val="26"/>
          <w:szCs w:val="26"/>
        </w:rPr>
        <w:t>pensionāru neapliekamā minimuma paaugstināšanu.</w:t>
      </w:r>
      <w:r w:rsidRPr="008A30B3">
        <w:rPr>
          <w:rFonts w:cs="Times New Roman"/>
          <w:sz w:val="26"/>
          <w:szCs w:val="26"/>
        </w:rPr>
        <w:br w:type="page"/>
      </w:r>
    </w:p>
    <w:p w14:paraId="786A7C8A" w14:textId="77777777" w:rsidR="00860B45" w:rsidRDefault="00860B45" w:rsidP="00860B45">
      <w:pPr>
        <w:jc w:val="center"/>
        <w:rPr>
          <w:rFonts w:cs="Times New Roman"/>
          <w:b/>
          <w:color w:val="0070C0"/>
          <w:sz w:val="26"/>
          <w:szCs w:val="26"/>
        </w:rPr>
      </w:pPr>
      <w:r w:rsidRPr="00F519AB">
        <w:rPr>
          <w:rFonts w:cs="Times New Roman"/>
          <w:b/>
          <w:sz w:val="26"/>
          <w:szCs w:val="26"/>
        </w:rPr>
        <w:lastRenderedPageBreak/>
        <w:t>Scenārijs B</w:t>
      </w:r>
      <w:r w:rsidRPr="00F519AB">
        <w:rPr>
          <w:rFonts w:cs="Times New Roman"/>
          <w:b/>
          <w:color w:val="0070C0"/>
          <w:sz w:val="26"/>
          <w:szCs w:val="26"/>
        </w:rPr>
        <w:t xml:space="preserve"> – </w:t>
      </w:r>
      <w:r w:rsidRPr="00F519AB">
        <w:rPr>
          <w:rFonts w:cs="Times New Roman"/>
          <w:b/>
          <w:color w:val="FF0000"/>
          <w:sz w:val="26"/>
          <w:szCs w:val="26"/>
        </w:rPr>
        <w:t>atceļ diferencēto neapliekamo minimumu un solidaritātes nodokli</w:t>
      </w:r>
      <w:r w:rsidRPr="00F519AB">
        <w:rPr>
          <w:rFonts w:cs="Times New Roman"/>
          <w:b/>
          <w:sz w:val="26"/>
          <w:szCs w:val="26"/>
        </w:rPr>
        <w:t>,</w:t>
      </w:r>
      <w:r>
        <w:rPr>
          <w:rFonts w:cs="Times New Roman"/>
          <w:b/>
          <w:color w:val="FF0000"/>
          <w:sz w:val="26"/>
          <w:szCs w:val="26"/>
        </w:rPr>
        <w:t xml:space="preserve"> </w:t>
      </w:r>
      <w:r w:rsidRPr="00F519AB">
        <w:rPr>
          <w:rFonts w:cs="Times New Roman"/>
          <w:b/>
          <w:color w:val="0070C0"/>
          <w:sz w:val="26"/>
          <w:szCs w:val="26"/>
        </w:rPr>
        <w:t xml:space="preserve">mainot iedzīvotāju ienākuma nodokļa likmes  </w:t>
      </w:r>
    </w:p>
    <w:p w14:paraId="2838B7F0" w14:textId="77777777" w:rsidR="00860B45" w:rsidRPr="00F519AB" w:rsidRDefault="00860B45" w:rsidP="00860B45">
      <w:pPr>
        <w:jc w:val="center"/>
        <w:rPr>
          <w:rFonts w:cs="Times New Roman"/>
          <w:b/>
          <w:color w:val="FF0000"/>
          <w:sz w:val="26"/>
          <w:szCs w:val="26"/>
        </w:rPr>
      </w:pPr>
    </w:p>
    <w:p w14:paraId="22F54B21" w14:textId="77777777" w:rsidR="00860B45" w:rsidRPr="00F519AB" w:rsidRDefault="00860B45" w:rsidP="00860B45">
      <w:pPr>
        <w:spacing w:after="120"/>
        <w:jc w:val="center"/>
        <w:rPr>
          <w:rFonts w:cs="Times New Roman"/>
          <w:i/>
          <w:szCs w:val="24"/>
        </w:rPr>
      </w:pPr>
      <w:r>
        <w:rPr>
          <w:rFonts w:cs="Times New Roman"/>
          <w:szCs w:val="24"/>
        </w:rPr>
        <w:t>3</w:t>
      </w:r>
      <w:r w:rsidRPr="00B5583A">
        <w:rPr>
          <w:rFonts w:cs="Times New Roman"/>
          <w:szCs w:val="24"/>
        </w:rPr>
        <w:t>.tab.</w:t>
      </w:r>
      <w:r>
        <w:rPr>
          <w:rFonts w:cs="Times New Roman"/>
          <w:b/>
          <w:szCs w:val="24"/>
        </w:rPr>
        <w:t xml:space="preserve"> IIN likmju </w:t>
      </w:r>
      <w:r w:rsidRPr="00F519AB">
        <w:rPr>
          <w:rFonts w:cs="Times New Roman"/>
          <w:b/>
          <w:szCs w:val="24"/>
        </w:rPr>
        <w:t>paaugstināšanas variant</w:t>
      </w:r>
      <w:r>
        <w:rPr>
          <w:rFonts w:cs="Times New Roman"/>
          <w:b/>
          <w:szCs w:val="24"/>
        </w:rPr>
        <w:t>s</w:t>
      </w:r>
    </w:p>
    <w:tbl>
      <w:tblPr>
        <w:tblStyle w:val="TableGrid"/>
        <w:tblW w:w="0" w:type="auto"/>
        <w:tblLook w:val="04A0" w:firstRow="1" w:lastRow="0" w:firstColumn="1" w:lastColumn="0" w:noHBand="0" w:noVBand="1"/>
      </w:tblPr>
      <w:tblGrid>
        <w:gridCol w:w="2074"/>
        <w:gridCol w:w="2074"/>
        <w:gridCol w:w="2074"/>
        <w:gridCol w:w="2074"/>
      </w:tblGrid>
      <w:tr w:rsidR="00860B45" w:rsidRPr="00F519AB" w14:paraId="7E8E6D4D" w14:textId="77777777" w:rsidTr="000F652A">
        <w:tc>
          <w:tcPr>
            <w:tcW w:w="4148" w:type="dxa"/>
            <w:gridSpan w:val="2"/>
            <w:tcBorders>
              <w:bottom w:val="single" w:sz="4" w:space="0" w:color="FFFFFF" w:themeColor="background1"/>
              <w:right w:val="single" w:sz="4" w:space="0" w:color="FFFFFF" w:themeColor="background1"/>
            </w:tcBorders>
            <w:shd w:val="clear" w:color="auto" w:fill="002060"/>
          </w:tcPr>
          <w:p w14:paraId="374FFBC4" w14:textId="77777777" w:rsidR="00860B45" w:rsidRPr="00F519AB" w:rsidRDefault="00860B45" w:rsidP="000F652A">
            <w:pPr>
              <w:jc w:val="center"/>
              <w:rPr>
                <w:rFonts w:cs="Times New Roman"/>
                <w:b/>
                <w:color w:val="FFFFFF" w:themeColor="background1"/>
                <w:sz w:val="22"/>
              </w:rPr>
            </w:pPr>
            <w:r w:rsidRPr="00F519AB">
              <w:rPr>
                <w:rFonts w:cs="Times New Roman"/>
                <w:b/>
                <w:color w:val="FFFFFF" w:themeColor="background1"/>
                <w:sz w:val="22"/>
              </w:rPr>
              <w:t>Esošā situācija – 2020.gads</w:t>
            </w:r>
          </w:p>
        </w:tc>
        <w:tc>
          <w:tcPr>
            <w:tcW w:w="4148" w:type="dxa"/>
            <w:gridSpan w:val="2"/>
            <w:tcBorders>
              <w:left w:val="single" w:sz="4" w:space="0" w:color="FFFFFF" w:themeColor="background1"/>
              <w:bottom w:val="single" w:sz="4" w:space="0" w:color="FFFFFF" w:themeColor="background1"/>
            </w:tcBorders>
            <w:shd w:val="clear" w:color="auto" w:fill="002060"/>
          </w:tcPr>
          <w:p w14:paraId="127A72AF" w14:textId="77777777" w:rsidR="00860B45" w:rsidRPr="00F519AB" w:rsidRDefault="00860B45" w:rsidP="000F652A">
            <w:pPr>
              <w:jc w:val="center"/>
              <w:rPr>
                <w:rFonts w:cs="Times New Roman"/>
                <w:b/>
                <w:color w:val="FFFFFF" w:themeColor="background1"/>
                <w:sz w:val="22"/>
              </w:rPr>
            </w:pPr>
            <w:r w:rsidRPr="00F519AB">
              <w:rPr>
                <w:rFonts w:cs="Times New Roman"/>
                <w:b/>
                <w:color w:val="FFFFFF" w:themeColor="background1"/>
                <w:sz w:val="22"/>
              </w:rPr>
              <w:t>Jaunais scenārijs</w:t>
            </w:r>
          </w:p>
        </w:tc>
      </w:tr>
      <w:tr w:rsidR="00860B45" w:rsidRPr="00F519AB" w14:paraId="282E95B0" w14:textId="77777777" w:rsidTr="000F652A">
        <w:tc>
          <w:tcPr>
            <w:tcW w:w="2074" w:type="dxa"/>
            <w:tcBorders>
              <w:top w:val="single" w:sz="4" w:space="0" w:color="FFFFFF" w:themeColor="background1"/>
              <w:bottom w:val="single" w:sz="4" w:space="0" w:color="auto"/>
              <w:right w:val="single" w:sz="4" w:space="0" w:color="FFFFFF" w:themeColor="background1"/>
            </w:tcBorders>
            <w:shd w:val="clear" w:color="auto" w:fill="002060"/>
          </w:tcPr>
          <w:p w14:paraId="390418FC" w14:textId="77777777" w:rsidR="00860B45" w:rsidRPr="00F519AB" w:rsidRDefault="00860B45" w:rsidP="000F652A">
            <w:pPr>
              <w:jc w:val="center"/>
              <w:rPr>
                <w:rFonts w:cs="Times New Roman"/>
                <w:b/>
                <w:color w:val="FFFFFF" w:themeColor="background1"/>
                <w:sz w:val="22"/>
              </w:rPr>
            </w:pPr>
            <w:r w:rsidRPr="00F519AB">
              <w:rPr>
                <w:rFonts w:cs="Times New Roman"/>
                <w:b/>
                <w:bCs/>
                <w:color w:val="FFFFFF" w:themeColor="background1"/>
                <w:sz w:val="22"/>
              </w:rPr>
              <w:t>Ienākumi,</w:t>
            </w:r>
          </w:p>
          <w:p w14:paraId="6D3F58AE" w14:textId="77777777" w:rsidR="00860B45" w:rsidRPr="00F519AB" w:rsidRDefault="00860B45" w:rsidP="000F652A">
            <w:pPr>
              <w:jc w:val="center"/>
              <w:rPr>
                <w:rFonts w:cs="Times New Roman"/>
                <w:b/>
                <w:color w:val="0070C0"/>
                <w:sz w:val="22"/>
              </w:rPr>
            </w:pPr>
            <w:r w:rsidRPr="00F519AB">
              <w:rPr>
                <w:rFonts w:cs="Times New Roman"/>
                <w:b/>
                <w:i/>
                <w:iCs/>
                <w:color w:val="FFFFFF" w:themeColor="background1"/>
                <w:sz w:val="22"/>
              </w:rPr>
              <w:t>euro mēnesī</w:t>
            </w:r>
          </w:p>
        </w:tc>
        <w:tc>
          <w:tcPr>
            <w:tcW w:w="207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14:paraId="323A02F3" w14:textId="77777777" w:rsidR="00860B45" w:rsidRPr="00F519AB" w:rsidRDefault="00860B45" w:rsidP="000F652A">
            <w:pPr>
              <w:jc w:val="center"/>
              <w:rPr>
                <w:rFonts w:cs="Times New Roman"/>
                <w:b/>
                <w:color w:val="0070C0"/>
                <w:sz w:val="22"/>
              </w:rPr>
            </w:pPr>
            <w:r w:rsidRPr="00F519AB">
              <w:rPr>
                <w:rFonts w:cs="Times New Roman"/>
                <w:b/>
                <w:bCs/>
                <w:color w:val="FFFFFF" w:themeColor="background1"/>
                <w:sz w:val="22"/>
              </w:rPr>
              <w:t>Likme</w:t>
            </w:r>
          </w:p>
        </w:tc>
        <w:tc>
          <w:tcPr>
            <w:tcW w:w="207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14:paraId="768FE1F1" w14:textId="77777777" w:rsidR="00860B45" w:rsidRPr="00F519AB" w:rsidRDefault="00860B45" w:rsidP="000F652A">
            <w:pPr>
              <w:jc w:val="center"/>
              <w:rPr>
                <w:rFonts w:cs="Times New Roman"/>
                <w:b/>
                <w:color w:val="FFFFFF" w:themeColor="background1"/>
                <w:sz w:val="22"/>
              </w:rPr>
            </w:pPr>
            <w:r w:rsidRPr="00F519AB">
              <w:rPr>
                <w:rFonts w:cs="Times New Roman"/>
                <w:b/>
                <w:bCs/>
                <w:color w:val="FFFFFF" w:themeColor="background1"/>
                <w:sz w:val="22"/>
              </w:rPr>
              <w:t>Ienākumi,</w:t>
            </w:r>
          </w:p>
          <w:p w14:paraId="08DBC733" w14:textId="77777777" w:rsidR="00860B45" w:rsidRPr="00F519AB" w:rsidRDefault="00860B45" w:rsidP="000F652A">
            <w:pPr>
              <w:jc w:val="center"/>
              <w:rPr>
                <w:rFonts w:cs="Times New Roman"/>
                <w:b/>
                <w:color w:val="0070C0"/>
                <w:sz w:val="22"/>
              </w:rPr>
            </w:pPr>
            <w:r w:rsidRPr="00F519AB">
              <w:rPr>
                <w:rFonts w:cs="Times New Roman"/>
                <w:b/>
                <w:i/>
                <w:iCs/>
                <w:color w:val="FFFFFF" w:themeColor="background1"/>
                <w:sz w:val="22"/>
              </w:rPr>
              <w:t>euro mēnesī</w:t>
            </w:r>
          </w:p>
        </w:tc>
        <w:tc>
          <w:tcPr>
            <w:tcW w:w="2074" w:type="dxa"/>
            <w:tcBorders>
              <w:top w:val="single" w:sz="4" w:space="0" w:color="FFFFFF" w:themeColor="background1"/>
              <w:left w:val="single" w:sz="4" w:space="0" w:color="FFFFFF" w:themeColor="background1"/>
              <w:bottom w:val="single" w:sz="4" w:space="0" w:color="auto"/>
            </w:tcBorders>
            <w:shd w:val="clear" w:color="auto" w:fill="002060"/>
          </w:tcPr>
          <w:p w14:paraId="7275B1B0" w14:textId="77777777" w:rsidR="00860B45" w:rsidRPr="00F519AB" w:rsidRDefault="00860B45" w:rsidP="000F652A">
            <w:pPr>
              <w:jc w:val="center"/>
              <w:rPr>
                <w:rFonts w:cs="Times New Roman"/>
                <w:b/>
                <w:color w:val="0070C0"/>
                <w:sz w:val="22"/>
              </w:rPr>
            </w:pPr>
            <w:r w:rsidRPr="00F519AB">
              <w:rPr>
                <w:rFonts w:cs="Times New Roman"/>
                <w:b/>
                <w:bCs/>
                <w:color w:val="FFFFFF" w:themeColor="background1"/>
                <w:sz w:val="22"/>
              </w:rPr>
              <w:t>Likme</w:t>
            </w:r>
          </w:p>
        </w:tc>
      </w:tr>
      <w:tr w:rsidR="00860B45" w:rsidRPr="00F519AB" w14:paraId="326A905B" w14:textId="77777777" w:rsidTr="000F652A">
        <w:tc>
          <w:tcPr>
            <w:tcW w:w="2074" w:type="dxa"/>
            <w:tcBorders>
              <w:bottom w:val="dotted" w:sz="4" w:space="0" w:color="auto"/>
            </w:tcBorders>
            <w:shd w:val="clear" w:color="auto" w:fill="D9D9D9" w:themeFill="background1" w:themeFillShade="D9"/>
          </w:tcPr>
          <w:p w14:paraId="1E315862" w14:textId="77777777" w:rsidR="00860B45" w:rsidRPr="00F519AB" w:rsidRDefault="00860B45" w:rsidP="000F652A">
            <w:pPr>
              <w:rPr>
                <w:rFonts w:cs="Times New Roman"/>
                <w:b/>
                <w:bCs/>
                <w:sz w:val="22"/>
              </w:rPr>
            </w:pPr>
            <w:r w:rsidRPr="00F519AB">
              <w:rPr>
                <w:rFonts w:cs="Times New Roman"/>
                <w:b/>
                <w:bCs/>
                <w:sz w:val="22"/>
              </w:rPr>
              <w:t>Līdz 1 667</w:t>
            </w:r>
          </w:p>
        </w:tc>
        <w:tc>
          <w:tcPr>
            <w:tcW w:w="2074" w:type="dxa"/>
            <w:tcBorders>
              <w:bottom w:val="dotted" w:sz="4" w:space="0" w:color="auto"/>
            </w:tcBorders>
            <w:shd w:val="clear" w:color="auto" w:fill="D9D9D9" w:themeFill="background1" w:themeFillShade="D9"/>
          </w:tcPr>
          <w:p w14:paraId="66185A1A" w14:textId="77777777" w:rsidR="00860B45" w:rsidRPr="00F519AB" w:rsidRDefault="00860B45" w:rsidP="000F652A">
            <w:pPr>
              <w:jc w:val="center"/>
              <w:rPr>
                <w:rFonts w:cs="Times New Roman"/>
                <w:b/>
                <w:bCs/>
                <w:color w:val="0070C0"/>
                <w:sz w:val="22"/>
              </w:rPr>
            </w:pPr>
            <w:r w:rsidRPr="00F519AB">
              <w:rPr>
                <w:rFonts w:cs="Times New Roman"/>
                <w:b/>
                <w:bCs/>
                <w:color w:val="0070C0"/>
                <w:sz w:val="22"/>
              </w:rPr>
              <w:t>20%</w:t>
            </w:r>
          </w:p>
        </w:tc>
        <w:tc>
          <w:tcPr>
            <w:tcW w:w="2074" w:type="dxa"/>
            <w:tcBorders>
              <w:bottom w:val="dotted" w:sz="4" w:space="0" w:color="auto"/>
            </w:tcBorders>
          </w:tcPr>
          <w:p w14:paraId="4F45819E" w14:textId="77777777" w:rsidR="00860B45" w:rsidRPr="00F519AB" w:rsidRDefault="00860B45" w:rsidP="000F652A">
            <w:pPr>
              <w:rPr>
                <w:rFonts w:cs="Times New Roman"/>
                <w:b/>
                <w:bCs/>
                <w:color w:val="FFFFFF" w:themeColor="background1"/>
                <w:sz w:val="22"/>
              </w:rPr>
            </w:pPr>
            <w:r w:rsidRPr="00F519AB">
              <w:rPr>
                <w:rFonts w:cs="Times New Roman"/>
                <w:b/>
                <w:bCs/>
                <w:sz w:val="22"/>
              </w:rPr>
              <w:t>Līdz 310</w:t>
            </w:r>
          </w:p>
        </w:tc>
        <w:tc>
          <w:tcPr>
            <w:tcW w:w="2074" w:type="dxa"/>
            <w:tcBorders>
              <w:bottom w:val="dotted" w:sz="4" w:space="0" w:color="auto"/>
            </w:tcBorders>
          </w:tcPr>
          <w:p w14:paraId="388A7300" w14:textId="77777777" w:rsidR="00860B45" w:rsidRPr="00F519AB" w:rsidRDefault="00860B45" w:rsidP="000F652A">
            <w:pPr>
              <w:jc w:val="center"/>
              <w:rPr>
                <w:rFonts w:cs="Times New Roman"/>
                <w:b/>
                <w:bCs/>
                <w:color w:val="FFFFFF" w:themeColor="background1"/>
                <w:sz w:val="22"/>
              </w:rPr>
            </w:pPr>
            <w:r w:rsidRPr="00F519AB">
              <w:rPr>
                <w:rFonts w:cs="Times New Roman"/>
                <w:b/>
                <w:bCs/>
                <w:color w:val="0070C0"/>
                <w:sz w:val="22"/>
              </w:rPr>
              <w:t>0%</w:t>
            </w:r>
          </w:p>
        </w:tc>
      </w:tr>
      <w:tr w:rsidR="00860B45" w:rsidRPr="00F519AB" w14:paraId="097140B6" w14:textId="77777777" w:rsidTr="000F652A">
        <w:tc>
          <w:tcPr>
            <w:tcW w:w="2074" w:type="dxa"/>
            <w:tcBorders>
              <w:top w:val="dotted" w:sz="4" w:space="0" w:color="auto"/>
              <w:bottom w:val="dotted" w:sz="4" w:space="0" w:color="auto"/>
            </w:tcBorders>
            <w:shd w:val="clear" w:color="auto" w:fill="D9D9D9" w:themeFill="background1" w:themeFillShade="D9"/>
          </w:tcPr>
          <w:p w14:paraId="3D30C63B" w14:textId="77777777" w:rsidR="00860B45" w:rsidRPr="00F519AB" w:rsidRDefault="00860B45" w:rsidP="000F652A">
            <w:pPr>
              <w:rPr>
                <w:rFonts w:cs="Times New Roman"/>
                <w:b/>
                <w:bCs/>
                <w:sz w:val="22"/>
              </w:rPr>
            </w:pPr>
            <w:r w:rsidRPr="00F519AB">
              <w:rPr>
                <w:rFonts w:cs="Times New Roman"/>
                <w:b/>
                <w:bCs/>
                <w:sz w:val="22"/>
              </w:rPr>
              <w:t>1 667,01 – 5 233</w:t>
            </w:r>
          </w:p>
        </w:tc>
        <w:tc>
          <w:tcPr>
            <w:tcW w:w="2074" w:type="dxa"/>
            <w:tcBorders>
              <w:top w:val="dotted" w:sz="4" w:space="0" w:color="auto"/>
              <w:bottom w:val="dotted" w:sz="4" w:space="0" w:color="auto"/>
            </w:tcBorders>
            <w:shd w:val="clear" w:color="auto" w:fill="D9D9D9" w:themeFill="background1" w:themeFillShade="D9"/>
          </w:tcPr>
          <w:p w14:paraId="133190BD" w14:textId="77777777" w:rsidR="00860B45" w:rsidRPr="00F519AB" w:rsidRDefault="00860B45" w:rsidP="000F652A">
            <w:pPr>
              <w:jc w:val="center"/>
              <w:rPr>
                <w:rFonts w:cs="Times New Roman"/>
                <w:b/>
                <w:bCs/>
                <w:color w:val="0070C0"/>
                <w:sz w:val="22"/>
              </w:rPr>
            </w:pPr>
            <w:r w:rsidRPr="00F519AB">
              <w:rPr>
                <w:rFonts w:cs="Times New Roman"/>
                <w:b/>
                <w:bCs/>
                <w:color w:val="0070C0"/>
                <w:sz w:val="22"/>
              </w:rPr>
              <w:t>23%</w:t>
            </w:r>
          </w:p>
        </w:tc>
        <w:tc>
          <w:tcPr>
            <w:tcW w:w="2074" w:type="dxa"/>
            <w:tcBorders>
              <w:top w:val="dotted" w:sz="4" w:space="0" w:color="auto"/>
              <w:bottom w:val="dotted" w:sz="4" w:space="0" w:color="auto"/>
            </w:tcBorders>
          </w:tcPr>
          <w:p w14:paraId="6F8A6B30" w14:textId="77777777" w:rsidR="00860B45" w:rsidRPr="00F519AB" w:rsidRDefault="00860B45" w:rsidP="000F652A">
            <w:pPr>
              <w:rPr>
                <w:rFonts w:cs="Times New Roman"/>
                <w:b/>
                <w:bCs/>
                <w:sz w:val="22"/>
              </w:rPr>
            </w:pPr>
            <w:r w:rsidRPr="00F519AB">
              <w:rPr>
                <w:rFonts w:cs="Times New Roman"/>
                <w:b/>
                <w:sz w:val="22"/>
              </w:rPr>
              <w:t>310,01 – 1 000</w:t>
            </w:r>
          </w:p>
        </w:tc>
        <w:tc>
          <w:tcPr>
            <w:tcW w:w="2074" w:type="dxa"/>
            <w:tcBorders>
              <w:top w:val="dotted" w:sz="4" w:space="0" w:color="auto"/>
              <w:bottom w:val="dotted" w:sz="4" w:space="0" w:color="auto"/>
            </w:tcBorders>
          </w:tcPr>
          <w:p w14:paraId="2C3F0A0C" w14:textId="77777777" w:rsidR="00860B45" w:rsidRPr="00F519AB" w:rsidRDefault="00860B45" w:rsidP="000F652A">
            <w:pPr>
              <w:jc w:val="center"/>
              <w:rPr>
                <w:rFonts w:cs="Times New Roman"/>
                <w:b/>
                <w:bCs/>
                <w:color w:val="FFFFFF" w:themeColor="background1"/>
                <w:sz w:val="22"/>
              </w:rPr>
            </w:pPr>
            <w:r w:rsidRPr="00F519AB">
              <w:rPr>
                <w:rFonts w:cs="Times New Roman"/>
                <w:b/>
                <w:bCs/>
                <w:color w:val="0070C0"/>
                <w:sz w:val="22"/>
              </w:rPr>
              <w:t>20%</w:t>
            </w:r>
          </w:p>
        </w:tc>
      </w:tr>
      <w:tr w:rsidR="00860B45" w:rsidRPr="00F519AB" w14:paraId="09F91D94" w14:textId="77777777" w:rsidTr="000F652A">
        <w:tc>
          <w:tcPr>
            <w:tcW w:w="2074" w:type="dxa"/>
            <w:tcBorders>
              <w:top w:val="dotted" w:sz="4" w:space="0" w:color="auto"/>
              <w:bottom w:val="dotted" w:sz="4" w:space="0" w:color="auto"/>
            </w:tcBorders>
            <w:shd w:val="clear" w:color="auto" w:fill="D9D9D9" w:themeFill="background1" w:themeFillShade="D9"/>
          </w:tcPr>
          <w:p w14:paraId="58CC2B21" w14:textId="77777777" w:rsidR="00860B45" w:rsidRPr="00F519AB" w:rsidRDefault="00860B45" w:rsidP="000F652A">
            <w:pPr>
              <w:rPr>
                <w:rFonts w:cs="Times New Roman"/>
                <w:b/>
                <w:bCs/>
                <w:sz w:val="22"/>
              </w:rPr>
            </w:pPr>
            <w:r w:rsidRPr="00F519AB">
              <w:rPr>
                <w:rFonts w:cs="Times New Roman"/>
                <w:b/>
                <w:bCs/>
                <w:sz w:val="22"/>
              </w:rPr>
              <w:t>Virs 5 233</w:t>
            </w:r>
          </w:p>
        </w:tc>
        <w:tc>
          <w:tcPr>
            <w:tcW w:w="2074" w:type="dxa"/>
            <w:tcBorders>
              <w:top w:val="dotted" w:sz="4" w:space="0" w:color="auto"/>
              <w:bottom w:val="dotted" w:sz="4" w:space="0" w:color="auto"/>
            </w:tcBorders>
            <w:shd w:val="clear" w:color="auto" w:fill="D9D9D9" w:themeFill="background1" w:themeFillShade="D9"/>
          </w:tcPr>
          <w:p w14:paraId="2B9F86DA" w14:textId="77777777" w:rsidR="00860B45" w:rsidRPr="00F519AB" w:rsidRDefault="00860B45" w:rsidP="000F652A">
            <w:pPr>
              <w:jc w:val="center"/>
              <w:rPr>
                <w:rFonts w:cs="Times New Roman"/>
                <w:b/>
                <w:bCs/>
                <w:color w:val="0070C0"/>
                <w:sz w:val="22"/>
              </w:rPr>
            </w:pPr>
            <w:r w:rsidRPr="00F519AB">
              <w:rPr>
                <w:rFonts w:cs="Times New Roman"/>
                <w:b/>
                <w:bCs/>
                <w:color w:val="0070C0"/>
                <w:sz w:val="22"/>
              </w:rPr>
              <w:t>31,4%</w:t>
            </w:r>
          </w:p>
        </w:tc>
        <w:tc>
          <w:tcPr>
            <w:tcW w:w="2074" w:type="dxa"/>
            <w:tcBorders>
              <w:top w:val="dotted" w:sz="4" w:space="0" w:color="auto"/>
              <w:bottom w:val="dotted" w:sz="4" w:space="0" w:color="auto"/>
            </w:tcBorders>
          </w:tcPr>
          <w:p w14:paraId="22052852" w14:textId="77777777" w:rsidR="00860B45" w:rsidRPr="00F519AB" w:rsidRDefault="00860B45" w:rsidP="000F652A">
            <w:pPr>
              <w:rPr>
                <w:rFonts w:cs="Times New Roman"/>
                <w:b/>
                <w:sz w:val="22"/>
              </w:rPr>
            </w:pPr>
            <w:r w:rsidRPr="00F519AB">
              <w:rPr>
                <w:rFonts w:cs="Times New Roman"/>
                <w:b/>
                <w:sz w:val="22"/>
              </w:rPr>
              <w:t>1 000,01–4 000</w:t>
            </w:r>
          </w:p>
        </w:tc>
        <w:tc>
          <w:tcPr>
            <w:tcW w:w="2074" w:type="dxa"/>
            <w:tcBorders>
              <w:top w:val="dotted" w:sz="4" w:space="0" w:color="auto"/>
              <w:bottom w:val="dotted" w:sz="4" w:space="0" w:color="auto"/>
            </w:tcBorders>
          </w:tcPr>
          <w:p w14:paraId="3AE8A470" w14:textId="77777777" w:rsidR="00860B45" w:rsidRPr="00F519AB" w:rsidRDefault="00860B45" w:rsidP="000F652A">
            <w:pPr>
              <w:jc w:val="center"/>
              <w:rPr>
                <w:rFonts w:cs="Times New Roman"/>
                <w:b/>
                <w:bCs/>
                <w:color w:val="FFFFFF" w:themeColor="background1"/>
                <w:sz w:val="22"/>
              </w:rPr>
            </w:pPr>
            <w:r w:rsidRPr="00F519AB">
              <w:rPr>
                <w:rFonts w:cs="Times New Roman"/>
                <w:b/>
                <w:bCs/>
                <w:color w:val="0070C0"/>
                <w:sz w:val="22"/>
              </w:rPr>
              <w:t>25%</w:t>
            </w:r>
          </w:p>
        </w:tc>
      </w:tr>
      <w:tr w:rsidR="00860B45" w:rsidRPr="00F519AB" w14:paraId="46DB8C24" w14:textId="77777777" w:rsidTr="000F652A">
        <w:tc>
          <w:tcPr>
            <w:tcW w:w="2074" w:type="dxa"/>
            <w:tcBorders>
              <w:top w:val="dotted" w:sz="4" w:space="0" w:color="auto"/>
            </w:tcBorders>
            <w:shd w:val="clear" w:color="auto" w:fill="D9D9D9" w:themeFill="background1" w:themeFillShade="D9"/>
          </w:tcPr>
          <w:p w14:paraId="34F075C8" w14:textId="77777777" w:rsidR="00860B45" w:rsidRPr="00F519AB" w:rsidRDefault="00860B45" w:rsidP="000F652A">
            <w:pPr>
              <w:rPr>
                <w:rFonts w:cs="Times New Roman"/>
                <w:b/>
                <w:bCs/>
                <w:sz w:val="22"/>
              </w:rPr>
            </w:pPr>
          </w:p>
        </w:tc>
        <w:tc>
          <w:tcPr>
            <w:tcW w:w="2074" w:type="dxa"/>
            <w:tcBorders>
              <w:top w:val="dotted" w:sz="4" w:space="0" w:color="auto"/>
            </w:tcBorders>
            <w:shd w:val="clear" w:color="auto" w:fill="D9D9D9" w:themeFill="background1" w:themeFillShade="D9"/>
          </w:tcPr>
          <w:p w14:paraId="07E34A48" w14:textId="77777777" w:rsidR="00860B45" w:rsidRPr="00F519AB" w:rsidRDefault="00860B45" w:rsidP="000F652A">
            <w:pPr>
              <w:jc w:val="center"/>
              <w:rPr>
                <w:rFonts w:cs="Times New Roman"/>
                <w:b/>
                <w:bCs/>
                <w:color w:val="FFFFFF" w:themeColor="background1"/>
                <w:sz w:val="22"/>
              </w:rPr>
            </w:pPr>
          </w:p>
        </w:tc>
        <w:tc>
          <w:tcPr>
            <w:tcW w:w="2074" w:type="dxa"/>
            <w:tcBorders>
              <w:top w:val="dotted" w:sz="4" w:space="0" w:color="auto"/>
            </w:tcBorders>
          </w:tcPr>
          <w:p w14:paraId="35A570B7" w14:textId="77777777" w:rsidR="00860B45" w:rsidRPr="00F519AB" w:rsidRDefault="00860B45" w:rsidP="000F652A">
            <w:pPr>
              <w:rPr>
                <w:rFonts w:cs="Times New Roman"/>
                <w:b/>
                <w:sz w:val="22"/>
              </w:rPr>
            </w:pPr>
            <w:r w:rsidRPr="00F519AB">
              <w:rPr>
                <w:rFonts w:cs="Times New Roman"/>
                <w:b/>
                <w:sz w:val="22"/>
              </w:rPr>
              <w:t>Virs 4 000,01</w:t>
            </w:r>
          </w:p>
        </w:tc>
        <w:tc>
          <w:tcPr>
            <w:tcW w:w="2074" w:type="dxa"/>
            <w:tcBorders>
              <w:top w:val="dotted" w:sz="4" w:space="0" w:color="auto"/>
            </w:tcBorders>
          </w:tcPr>
          <w:p w14:paraId="26E1FE0A" w14:textId="77777777" w:rsidR="00860B45" w:rsidRPr="00F519AB" w:rsidRDefault="00860B45" w:rsidP="000F652A">
            <w:pPr>
              <w:jc w:val="center"/>
              <w:rPr>
                <w:rFonts w:cs="Times New Roman"/>
                <w:b/>
                <w:color w:val="0070C0"/>
                <w:sz w:val="22"/>
              </w:rPr>
            </w:pPr>
            <w:r w:rsidRPr="00F519AB">
              <w:rPr>
                <w:rFonts w:cs="Times New Roman"/>
                <w:b/>
                <w:bCs/>
                <w:color w:val="0070C0"/>
                <w:sz w:val="22"/>
              </w:rPr>
              <w:t>36%</w:t>
            </w:r>
          </w:p>
        </w:tc>
      </w:tr>
      <w:tr w:rsidR="00860B45" w:rsidRPr="00F519AB" w14:paraId="16E00CBA" w14:textId="77777777" w:rsidTr="000F652A">
        <w:trPr>
          <w:trHeight w:val="408"/>
        </w:trPr>
        <w:tc>
          <w:tcPr>
            <w:tcW w:w="4148" w:type="dxa"/>
            <w:gridSpan w:val="2"/>
            <w:shd w:val="clear" w:color="auto" w:fill="FFE599" w:themeFill="accent4" w:themeFillTint="66"/>
            <w:vAlign w:val="center"/>
          </w:tcPr>
          <w:p w14:paraId="6F9C17FE" w14:textId="77777777" w:rsidR="00860B45" w:rsidRPr="00F519AB" w:rsidRDefault="00860B45" w:rsidP="000F652A">
            <w:pPr>
              <w:rPr>
                <w:rFonts w:cs="Times New Roman"/>
                <w:b/>
                <w:bCs/>
                <w:color w:val="FFFFFF" w:themeColor="background1"/>
                <w:sz w:val="22"/>
              </w:rPr>
            </w:pPr>
            <w:r w:rsidRPr="00F519AB">
              <w:rPr>
                <w:rFonts w:cs="Times New Roman"/>
                <w:b/>
                <w:bCs/>
                <w:sz w:val="22"/>
              </w:rPr>
              <w:t>Fiskālā ietekme</w:t>
            </w:r>
            <w:r w:rsidRPr="00F519AB">
              <w:rPr>
                <w:rFonts w:cs="Times New Roman"/>
                <w:bCs/>
                <w:sz w:val="22"/>
              </w:rPr>
              <w:t xml:space="preserve">, </w:t>
            </w:r>
            <w:r w:rsidRPr="00F519AB">
              <w:rPr>
                <w:rFonts w:cs="Times New Roman"/>
                <w:bCs/>
                <w:i/>
                <w:sz w:val="22"/>
              </w:rPr>
              <w:t>mi</w:t>
            </w:r>
            <w:r w:rsidR="008A30B3">
              <w:rPr>
                <w:rFonts w:cs="Times New Roman"/>
                <w:bCs/>
                <w:i/>
                <w:sz w:val="22"/>
              </w:rPr>
              <w:t>l</w:t>
            </w:r>
            <w:r w:rsidRPr="00F519AB">
              <w:rPr>
                <w:rFonts w:cs="Times New Roman"/>
                <w:bCs/>
                <w:i/>
                <w:sz w:val="22"/>
              </w:rPr>
              <w:t>j. euro</w:t>
            </w:r>
          </w:p>
        </w:tc>
        <w:tc>
          <w:tcPr>
            <w:tcW w:w="4148" w:type="dxa"/>
            <w:gridSpan w:val="2"/>
            <w:shd w:val="clear" w:color="auto" w:fill="FFE599" w:themeFill="accent4" w:themeFillTint="66"/>
            <w:vAlign w:val="center"/>
          </w:tcPr>
          <w:p w14:paraId="52516016" w14:textId="77777777" w:rsidR="00860B45" w:rsidRPr="00F519AB" w:rsidRDefault="00860B45" w:rsidP="000F652A">
            <w:pPr>
              <w:jc w:val="center"/>
              <w:rPr>
                <w:rFonts w:cs="Times New Roman"/>
                <w:b/>
                <w:bCs/>
                <w:color w:val="0070C0"/>
                <w:sz w:val="22"/>
              </w:rPr>
            </w:pPr>
            <w:r w:rsidRPr="00F519AB">
              <w:rPr>
                <w:rFonts w:cs="Times New Roman"/>
                <w:b/>
                <w:bCs/>
                <w:color w:val="C00000"/>
                <w:sz w:val="22"/>
              </w:rPr>
              <w:t>-200</w:t>
            </w:r>
          </w:p>
        </w:tc>
      </w:tr>
    </w:tbl>
    <w:p w14:paraId="2C550227" w14:textId="77777777" w:rsidR="00860B45" w:rsidRDefault="00860B45" w:rsidP="00860B45"/>
    <w:p w14:paraId="5440700D" w14:textId="77777777" w:rsidR="00860B45" w:rsidRDefault="00860B45" w:rsidP="00860B45">
      <w:pPr>
        <w:tabs>
          <w:tab w:val="left" w:pos="284"/>
        </w:tabs>
        <w:spacing w:before="80" w:after="80"/>
        <w:ind w:left="284" w:hanging="284"/>
        <w:jc w:val="both"/>
        <w:rPr>
          <w:rFonts w:cs="Times New Roman"/>
          <w:sz w:val="22"/>
        </w:rPr>
      </w:pPr>
      <w:r>
        <w:rPr>
          <w:noProof/>
          <w:lang w:eastAsia="lv-LV"/>
        </w:rPr>
        <w:drawing>
          <wp:inline distT="0" distB="0" distL="0" distR="0" wp14:anchorId="740ABCC3" wp14:editId="5AF88BDC">
            <wp:extent cx="5257800" cy="29908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17936A" w14:textId="77777777" w:rsidR="00860B45" w:rsidRPr="002C4523" w:rsidRDefault="00860B45" w:rsidP="00860B45">
      <w:pPr>
        <w:tabs>
          <w:tab w:val="left" w:pos="284"/>
        </w:tabs>
        <w:spacing w:before="80" w:after="80"/>
        <w:ind w:left="284" w:hanging="284"/>
        <w:jc w:val="both"/>
        <w:rPr>
          <w:sz w:val="22"/>
        </w:rPr>
      </w:pPr>
      <w:r>
        <w:rPr>
          <w:rFonts w:cs="Times New Roman"/>
          <w:sz w:val="22"/>
        </w:rPr>
        <w:t>2</w:t>
      </w:r>
      <w:r w:rsidRPr="002C4523">
        <w:rPr>
          <w:rFonts w:cs="Times New Roman"/>
          <w:sz w:val="22"/>
        </w:rPr>
        <w:t>.att.</w:t>
      </w:r>
      <w:r w:rsidRPr="002C4523">
        <w:rPr>
          <w:rFonts w:eastAsiaTheme="minorEastAsia" w:cs="Times New Roman"/>
          <w:b/>
          <w:bCs/>
          <w:color w:val="002060"/>
          <w:kern w:val="24"/>
          <w:sz w:val="22"/>
          <w:lang w:eastAsia="lv-LV"/>
        </w:rPr>
        <w:t xml:space="preserve"> </w:t>
      </w:r>
      <w:r>
        <w:rPr>
          <w:b/>
          <w:bCs/>
          <w:sz w:val="22"/>
        </w:rPr>
        <w:t>Darbaspēka nodokļu slogs</w:t>
      </w:r>
      <w:r w:rsidRPr="002C4523">
        <w:rPr>
          <w:b/>
          <w:bCs/>
          <w:sz w:val="22"/>
          <w:vertAlign w:val="superscript"/>
        </w:rPr>
        <w:t>*</w:t>
      </w:r>
      <w:r w:rsidRPr="002C4523">
        <w:rPr>
          <w:b/>
          <w:bCs/>
          <w:sz w:val="22"/>
        </w:rPr>
        <w:t xml:space="preserve"> strādājošam bez bērniem</w:t>
      </w:r>
    </w:p>
    <w:p w14:paraId="6E7F2A8A" w14:textId="77777777" w:rsidR="00860B45" w:rsidRDefault="00860B45" w:rsidP="00860B45">
      <w:pPr>
        <w:tabs>
          <w:tab w:val="left" w:pos="284"/>
        </w:tabs>
        <w:spacing w:before="80" w:after="80"/>
        <w:ind w:left="284" w:hanging="284"/>
        <w:jc w:val="both"/>
        <w:rPr>
          <w:rFonts w:cs="Times New Roman"/>
          <w:sz w:val="18"/>
          <w:szCs w:val="18"/>
        </w:rPr>
      </w:pPr>
      <w:r w:rsidRPr="00F519AB">
        <w:rPr>
          <w:rFonts w:cs="Times New Roman"/>
          <w:sz w:val="18"/>
          <w:szCs w:val="18"/>
          <w:vertAlign w:val="superscript"/>
        </w:rPr>
        <w:t>*</w:t>
      </w:r>
      <w:r w:rsidRPr="00F519AB">
        <w:rPr>
          <w:rFonts w:cs="Times New Roman"/>
          <w:sz w:val="18"/>
          <w:szCs w:val="18"/>
        </w:rPr>
        <w:tab/>
      </w:r>
      <w:r w:rsidRPr="00B5583A">
        <w:rPr>
          <w:b/>
          <w:bCs/>
          <w:sz w:val="18"/>
          <w:szCs w:val="18"/>
        </w:rPr>
        <w:t>Darbaspēka nodokļu slogs</w:t>
      </w:r>
      <w:r w:rsidRPr="00F519AB">
        <w:rPr>
          <w:rFonts w:cs="Times New Roman"/>
          <w:b/>
          <w:sz w:val="18"/>
          <w:szCs w:val="18"/>
        </w:rPr>
        <w:t xml:space="preserve"> </w:t>
      </w:r>
      <w:r>
        <w:rPr>
          <w:rFonts w:cs="Times New Roman"/>
          <w:b/>
          <w:sz w:val="18"/>
          <w:szCs w:val="18"/>
        </w:rPr>
        <w:t>jeb n</w:t>
      </w:r>
      <w:r w:rsidRPr="00F519AB">
        <w:rPr>
          <w:rFonts w:cs="Times New Roman"/>
          <w:b/>
          <w:sz w:val="18"/>
          <w:szCs w:val="18"/>
        </w:rPr>
        <w:t>odokļu ķīlis</w:t>
      </w:r>
      <w:r w:rsidRPr="00F519AB">
        <w:rPr>
          <w:rFonts w:cs="Times New Roman"/>
          <w:sz w:val="18"/>
          <w:szCs w:val="18"/>
        </w:rPr>
        <w:t xml:space="preserve"> raksturo, cik daudz darbinieks izmaksā darba devējam. To aprēķina kā </w:t>
      </w:r>
      <w:r w:rsidR="00C20A24" w:rsidRPr="00F519AB">
        <w:rPr>
          <w:rFonts w:cs="Times New Roman"/>
          <w:sz w:val="18"/>
          <w:szCs w:val="18"/>
        </w:rPr>
        <w:t>par darbinieku samaksāt</w:t>
      </w:r>
      <w:r w:rsidR="00C20A24">
        <w:rPr>
          <w:rFonts w:cs="Times New Roman"/>
          <w:sz w:val="18"/>
          <w:szCs w:val="18"/>
        </w:rPr>
        <w:t>ās</w:t>
      </w:r>
      <w:r w:rsidR="00C20A24" w:rsidRPr="00F519AB">
        <w:rPr>
          <w:rFonts w:cs="Times New Roman"/>
          <w:sz w:val="18"/>
          <w:szCs w:val="18"/>
        </w:rPr>
        <w:t xml:space="preserve"> nodokļu summ</w:t>
      </w:r>
      <w:r w:rsidR="00C20A24">
        <w:rPr>
          <w:rFonts w:cs="Times New Roman"/>
          <w:sz w:val="18"/>
          <w:szCs w:val="18"/>
        </w:rPr>
        <w:t>as</w:t>
      </w:r>
      <w:r w:rsidR="00C20A24" w:rsidRPr="00F519AB">
        <w:rPr>
          <w:rFonts w:cs="Times New Roman"/>
          <w:sz w:val="18"/>
          <w:szCs w:val="18"/>
        </w:rPr>
        <w:t xml:space="preserve"> (IIN un VSAOI (gan darba devēja, gan darba ņēmēja))</w:t>
      </w:r>
      <w:r w:rsidR="00C20A24">
        <w:rPr>
          <w:rFonts w:cs="Times New Roman"/>
          <w:sz w:val="18"/>
          <w:szCs w:val="18"/>
        </w:rPr>
        <w:t xml:space="preserve"> </w:t>
      </w:r>
      <w:r w:rsidR="00C20A24" w:rsidRPr="00F519AB">
        <w:rPr>
          <w:rFonts w:cs="Times New Roman"/>
          <w:sz w:val="18"/>
          <w:szCs w:val="18"/>
        </w:rPr>
        <w:t xml:space="preserve">attiecību pret </w:t>
      </w:r>
      <w:r w:rsidR="00C20A24">
        <w:rPr>
          <w:rFonts w:cs="Times New Roman"/>
          <w:sz w:val="18"/>
          <w:szCs w:val="18"/>
        </w:rPr>
        <w:t>darba devēja izmaksām</w:t>
      </w:r>
      <w:r w:rsidRPr="00F519AB">
        <w:rPr>
          <w:rFonts w:cs="Times New Roman"/>
          <w:sz w:val="18"/>
          <w:szCs w:val="18"/>
        </w:rPr>
        <w:t xml:space="preserve"> (bruto darba algas un darba devēja VSAOI summas)</w:t>
      </w:r>
      <w:r w:rsidR="00C20A24">
        <w:rPr>
          <w:rFonts w:cs="Times New Roman"/>
          <w:sz w:val="18"/>
          <w:szCs w:val="18"/>
        </w:rPr>
        <w:t>.</w:t>
      </w:r>
      <w:r w:rsidRPr="00F519AB">
        <w:rPr>
          <w:rFonts w:cs="Times New Roman"/>
          <w:sz w:val="18"/>
          <w:szCs w:val="18"/>
        </w:rPr>
        <w:t xml:space="preserve"> </w:t>
      </w:r>
    </w:p>
    <w:p w14:paraId="1F8FD297" w14:textId="77777777" w:rsidR="006C5A20" w:rsidRDefault="006C5A20" w:rsidP="00860B45">
      <w:pPr>
        <w:spacing w:after="120"/>
        <w:jc w:val="center"/>
        <w:rPr>
          <w:rFonts w:cs="Times New Roman"/>
          <w:szCs w:val="24"/>
        </w:rPr>
      </w:pPr>
    </w:p>
    <w:p w14:paraId="6B8EB867" w14:textId="77777777" w:rsidR="00860B45" w:rsidRPr="00F519AB" w:rsidRDefault="00860B45" w:rsidP="00860B45">
      <w:pPr>
        <w:spacing w:after="120"/>
        <w:jc w:val="center"/>
        <w:rPr>
          <w:rFonts w:cs="Times New Roman"/>
          <w:b/>
          <w:szCs w:val="24"/>
        </w:rPr>
      </w:pPr>
      <w:r>
        <w:rPr>
          <w:rFonts w:cs="Times New Roman"/>
          <w:szCs w:val="24"/>
        </w:rPr>
        <w:t>4</w:t>
      </w:r>
      <w:r w:rsidRPr="00B5583A">
        <w:rPr>
          <w:rFonts w:cs="Times New Roman"/>
          <w:szCs w:val="24"/>
        </w:rPr>
        <w:t>.tab.</w:t>
      </w:r>
      <w:r>
        <w:rPr>
          <w:rFonts w:cs="Times New Roman"/>
          <w:b/>
          <w:szCs w:val="24"/>
        </w:rPr>
        <w:t xml:space="preserve"> </w:t>
      </w:r>
      <w:r w:rsidRPr="00F519AB">
        <w:rPr>
          <w:rFonts w:eastAsia="Times New Roman" w:cs="Times New Roman"/>
          <w:b/>
          <w:bCs/>
          <w:szCs w:val="24"/>
        </w:rPr>
        <w:t xml:space="preserve">Ietekme uz strādājošo atalgojumu, </w:t>
      </w:r>
      <w:r w:rsidRPr="00F519AB">
        <w:rPr>
          <w:rFonts w:eastAsia="Times New Roman" w:cs="Times New Roman"/>
          <w:i/>
          <w:iCs/>
          <w:szCs w:val="24"/>
        </w:rPr>
        <w:t>euro mēnesī</w:t>
      </w:r>
    </w:p>
    <w:tbl>
      <w:tblPr>
        <w:tblW w:w="5382" w:type="dxa"/>
        <w:jc w:val="center"/>
        <w:tblCellMar>
          <w:left w:w="0" w:type="dxa"/>
          <w:right w:w="0" w:type="dxa"/>
        </w:tblCellMar>
        <w:tblLook w:val="0600" w:firstRow="0" w:lastRow="0" w:firstColumn="0" w:lastColumn="0" w:noHBand="1" w:noVBand="1"/>
      </w:tblPr>
      <w:tblGrid>
        <w:gridCol w:w="888"/>
        <w:gridCol w:w="1375"/>
        <w:gridCol w:w="3119"/>
      </w:tblGrid>
      <w:tr w:rsidR="00860B45" w:rsidRPr="009437D1" w14:paraId="1DC95D49" w14:textId="77777777" w:rsidTr="000F652A">
        <w:trPr>
          <w:trHeight w:val="208"/>
          <w:jc w:val="center"/>
        </w:trPr>
        <w:tc>
          <w:tcPr>
            <w:tcW w:w="888" w:type="dxa"/>
            <w:tcBorders>
              <w:top w:val="single" w:sz="4" w:space="0" w:color="595959"/>
              <w:left w:val="single" w:sz="4" w:space="0" w:color="595959"/>
              <w:bottom w:val="single" w:sz="4" w:space="0" w:color="595959"/>
              <w:right w:val="single" w:sz="4" w:space="0" w:color="FFFFFF"/>
            </w:tcBorders>
            <w:shd w:val="clear" w:color="auto" w:fill="002060"/>
            <w:tcMar>
              <w:top w:w="15" w:type="dxa"/>
              <w:left w:w="15" w:type="dxa"/>
              <w:bottom w:w="0" w:type="dxa"/>
              <w:right w:w="15" w:type="dxa"/>
            </w:tcMar>
            <w:vAlign w:val="center"/>
            <w:hideMark/>
          </w:tcPr>
          <w:p w14:paraId="5D45478B" w14:textId="77777777" w:rsidR="00860B45" w:rsidRPr="00F519AB" w:rsidRDefault="00860B45" w:rsidP="000F652A">
            <w:pPr>
              <w:jc w:val="center"/>
              <w:rPr>
                <w:rFonts w:cs="Times New Roman"/>
                <w:b/>
                <w:sz w:val="22"/>
              </w:rPr>
            </w:pPr>
            <w:r w:rsidRPr="00F519AB">
              <w:rPr>
                <w:rFonts w:cs="Times New Roman"/>
                <w:b/>
                <w:bCs/>
                <w:sz w:val="22"/>
              </w:rPr>
              <w:t>Algu grupa</w:t>
            </w:r>
          </w:p>
        </w:tc>
        <w:tc>
          <w:tcPr>
            <w:tcW w:w="1375" w:type="dxa"/>
            <w:tcBorders>
              <w:top w:val="single" w:sz="4" w:space="0" w:color="595959"/>
              <w:left w:val="single" w:sz="4" w:space="0" w:color="FFFFFF"/>
              <w:bottom w:val="single" w:sz="8" w:space="0" w:color="FFFFFF"/>
              <w:right w:val="single" w:sz="4" w:space="0" w:color="FFFFFF"/>
            </w:tcBorders>
            <w:shd w:val="clear" w:color="auto" w:fill="002060"/>
            <w:tcMar>
              <w:top w:w="15" w:type="dxa"/>
              <w:left w:w="15" w:type="dxa"/>
              <w:bottom w:w="0" w:type="dxa"/>
              <w:right w:w="15" w:type="dxa"/>
            </w:tcMar>
            <w:vAlign w:val="center"/>
            <w:hideMark/>
          </w:tcPr>
          <w:p w14:paraId="45D690B6" w14:textId="77777777" w:rsidR="00860B45" w:rsidRPr="00F519AB" w:rsidRDefault="00860B45" w:rsidP="000F652A">
            <w:pPr>
              <w:jc w:val="center"/>
              <w:rPr>
                <w:rFonts w:cs="Times New Roman"/>
                <w:b/>
                <w:sz w:val="22"/>
              </w:rPr>
            </w:pPr>
            <w:r w:rsidRPr="00F519AB">
              <w:rPr>
                <w:rFonts w:cs="Times New Roman"/>
                <w:b/>
                <w:bCs/>
                <w:sz w:val="22"/>
              </w:rPr>
              <w:t xml:space="preserve">Nodarbināto skaits, </w:t>
            </w:r>
            <w:r w:rsidRPr="00F519AB">
              <w:rPr>
                <w:rFonts w:cs="Times New Roman"/>
                <w:b/>
                <w:i/>
                <w:iCs/>
                <w:sz w:val="22"/>
              </w:rPr>
              <w:t>%</w:t>
            </w:r>
          </w:p>
        </w:tc>
        <w:tc>
          <w:tcPr>
            <w:tcW w:w="3119" w:type="dxa"/>
            <w:tcBorders>
              <w:top w:val="single" w:sz="4" w:space="0" w:color="595959"/>
              <w:left w:val="single" w:sz="4" w:space="0" w:color="FFFFFF"/>
              <w:right w:val="single" w:sz="4" w:space="0" w:color="auto"/>
            </w:tcBorders>
            <w:shd w:val="clear" w:color="auto" w:fill="002060"/>
            <w:vAlign w:val="center"/>
          </w:tcPr>
          <w:p w14:paraId="537A8190" w14:textId="77777777" w:rsidR="00860B45" w:rsidRPr="00F519AB" w:rsidRDefault="00860B45" w:rsidP="000F652A">
            <w:pPr>
              <w:jc w:val="center"/>
              <w:rPr>
                <w:rFonts w:cs="Times New Roman"/>
                <w:b/>
                <w:bCs/>
                <w:sz w:val="22"/>
              </w:rPr>
            </w:pPr>
            <w:r w:rsidRPr="00F519AB">
              <w:rPr>
                <w:rFonts w:cs="Times New Roman"/>
                <w:b/>
                <w:bCs/>
                <w:sz w:val="22"/>
              </w:rPr>
              <w:t xml:space="preserve">Neto algas pieaugums, salīdzinot ar 2020.gadu, </w:t>
            </w:r>
            <w:r w:rsidRPr="00F519AB">
              <w:rPr>
                <w:rFonts w:cs="Times New Roman"/>
                <w:bCs/>
                <w:i/>
                <w:sz w:val="22"/>
              </w:rPr>
              <w:t>euro mēnesī</w:t>
            </w:r>
          </w:p>
        </w:tc>
      </w:tr>
      <w:tr w:rsidR="00860B45" w:rsidRPr="009437D1" w14:paraId="5352F1D5" w14:textId="77777777" w:rsidTr="000F652A">
        <w:trPr>
          <w:trHeight w:val="55"/>
          <w:jc w:val="center"/>
        </w:trPr>
        <w:tc>
          <w:tcPr>
            <w:tcW w:w="888"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510C898B" w14:textId="77777777" w:rsidR="00860B45" w:rsidRPr="00B5583A" w:rsidRDefault="00860B45" w:rsidP="000F652A">
            <w:pPr>
              <w:jc w:val="center"/>
              <w:rPr>
                <w:rFonts w:eastAsia="Times New Roman" w:cs="Times New Roman"/>
                <w:b/>
                <w:bCs/>
                <w:color w:val="000000"/>
                <w:sz w:val="22"/>
                <w:lang w:eastAsia="lv-LV"/>
              </w:rPr>
            </w:pPr>
            <w:r w:rsidRPr="00B5583A">
              <w:rPr>
                <w:rFonts w:eastAsia="Times New Roman" w:cs="Times New Roman"/>
                <w:b/>
                <w:bCs/>
                <w:color w:val="000000"/>
                <w:sz w:val="22"/>
                <w:lang w:eastAsia="lv-LV"/>
              </w:rPr>
              <w:t>500</w:t>
            </w:r>
          </w:p>
        </w:tc>
        <w:tc>
          <w:tcPr>
            <w:tcW w:w="1375"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69057309" w14:textId="77777777" w:rsidR="00860B45" w:rsidRPr="00B5583A" w:rsidRDefault="00860B45" w:rsidP="000F652A">
            <w:pPr>
              <w:jc w:val="center"/>
              <w:rPr>
                <w:rFonts w:eastAsia="Times New Roman" w:cs="Times New Roman"/>
                <w:b/>
                <w:bCs/>
                <w:color w:val="00B050"/>
                <w:sz w:val="20"/>
                <w:szCs w:val="20"/>
                <w:lang w:eastAsia="lv-LV"/>
              </w:rPr>
            </w:pPr>
            <w:r w:rsidRPr="00B5583A">
              <w:rPr>
                <w:rFonts w:eastAsia="Times New Roman" w:cs="Times New Roman"/>
                <w:b/>
                <w:bCs/>
                <w:color w:val="00B050"/>
                <w:sz w:val="20"/>
                <w:szCs w:val="20"/>
                <w:lang w:eastAsia="lv-LV"/>
              </w:rPr>
              <w:t>39,2%</w:t>
            </w:r>
          </w:p>
        </w:tc>
        <w:tc>
          <w:tcPr>
            <w:tcW w:w="3119"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111AFC6F" w14:textId="77777777" w:rsidR="00860B45" w:rsidRPr="00B5583A" w:rsidRDefault="00860B45" w:rsidP="000F652A">
            <w:pPr>
              <w:jc w:val="center"/>
              <w:rPr>
                <w:rFonts w:eastAsia="Times New Roman" w:cs="Times New Roman"/>
                <w:b/>
                <w:bCs/>
                <w:color w:val="0070C0"/>
                <w:sz w:val="20"/>
                <w:szCs w:val="20"/>
                <w:lang w:eastAsia="lv-LV"/>
              </w:rPr>
            </w:pPr>
            <w:r w:rsidRPr="00B5583A">
              <w:rPr>
                <w:rFonts w:eastAsia="Times New Roman" w:cs="Times New Roman"/>
                <w:b/>
                <w:bCs/>
                <w:color w:val="0070C0"/>
                <w:sz w:val="20"/>
                <w:szCs w:val="20"/>
                <w:lang w:eastAsia="lv-LV"/>
              </w:rPr>
              <w:t>2,00</w:t>
            </w:r>
          </w:p>
        </w:tc>
      </w:tr>
      <w:tr w:rsidR="00860B45" w:rsidRPr="009437D1" w14:paraId="626C2B06" w14:textId="77777777" w:rsidTr="000F652A">
        <w:trPr>
          <w:trHeight w:val="55"/>
          <w:jc w:val="center"/>
        </w:trPr>
        <w:tc>
          <w:tcPr>
            <w:tcW w:w="888"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30146B78" w14:textId="77777777" w:rsidR="00860B45" w:rsidRPr="00B5583A" w:rsidRDefault="00860B45" w:rsidP="000F652A">
            <w:pPr>
              <w:jc w:val="center"/>
              <w:rPr>
                <w:rFonts w:eastAsia="Times New Roman" w:cs="Times New Roman"/>
                <w:b/>
                <w:bCs/>
                <w:color w:val="000000"/>
                <w:sz w:val="22"/>
                <w:lang w:eastAsia="lv-LV"/>
              </w:rPr>
            </w:pPr>
            <w:r w:rsidRPr="00B5583A">
              <w:rPr>
                <w:rFonts w:eastAsia="Times New Roman" w:cs="Times New Roman"/>
                <w:b/>
                <w:bCs/>
                <w:color w:val="000000"/>
                <w:sz w:val="22"/>
                <w:lang w:eastAsia="lv-LV"/>
              </w:rPr>
              <w:t>1 000</w:t>
            </w:r>
          </w:p>
        </w:tc>
        <w:tc>
          <w:tcPr>
            <w:tcW w:w="1375"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1A6BB46F" w14:textId="77777777" w:rsidR="00860B45" w:rsidRPr="00B5583A" w:rsidRDefault="00860B45" w:rsidP="000F652A">
            <w:pPr>
              <w:jc w:val="center"/>
              <w:rPr>
                <w:rFonts w:eastAsia="Times New Roman" w:cs="Times New Roman"/>
                <w:b/>
                <w:bCs/>
                <w:color w:val="00B050"/>
                <w:sz w:val="20"/>
                <w:szCs w:val="20"/>
                <w:lang w:eastAsia="lv-LV"/>
              </w:rPr>
            </w:pPr>
            <w:r w:rsidRPr="00B5583A">
              <w:rPr>
                <w:rFonts w:eastAsia="Times New Roman" w:cs="Times New Roman"/>
                <w:b/>
                <w:bCs/>
                <w:color w:val="00B050"/>
                <w:sz w:val="20"/>
                <w:szCs w:val="20"/>
                <w:lang w:eastAsia="lv-LV"/>
              </w:rPr>
              <w:t>29,7%</w:t>
            </w:r>
          </w:p>
        </w:tc>
        <w:tc>
          <w:tcPr>
            <w:tcW w:w="3119"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30F5D7FF" w14:textId="77777777" w:rsidR="00860B45" w:rsidRPr="00B5583A" w:rsidRDefault="00860B45" w:rsidP="000F652A">
            <w:pPr>
              <w:jc w:val="center"/>
              <w:rPr>
                <w:rFonts w:eastAsia="Times New Roman" w:cs="Times New Roman"/>
                <w:b/>
                <w:bCs/>
                <w:color w:val="0070C0"/>
                <w:sz w:val="20"/>
                <w:szCs w:val="20"/>
                <w:lang w:eastAsia="lv-LV"/>
              </w:rPr>
            </w:pPr>
            <w:r w:rsidRPr="00B5583A">
              <w:rPr>
                <w:rFonts w:eastAsia="Times New Roman" w:cs="Times New Roman"/>
                <w:b/>
                <w:bCs/>
                <w:color w:val="0070C0"/>
                <w:sz w:val="20"/>
                <w:szCs w:val="20"/>
                <w:lang w:eastAsia="lv-LV"/>
              </w:rPr>
              <w:t>44,86</w:t>
            </w:r>
          </w:p>
        </w:tc>
      </w:tr>
      <w:tr w:rsidR="00860B45" w:rsidRPr="009437D1" w14:paraId="749CD715" w14:textId="77777777" w:rsidTr="000F652A">
        <w:trPr>
          <w:trHeight w:val="55"/>
          <w:jc w:val="center"/>
        </w:trPr>
        <w:tc>
          <w:tcPr>
            <w:tcW w:w="888"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6ABB79C4" w14:textId="77777777" w:rsidR="00860B45" w:rsidRPr="00B5583A" w:rsidRDefault="00860B45" w:rsidP="000F652A">
            <w:pPr>
              <w:jc w:val="center"/>
              <w:rPr>
                <w:rFonts w:eastAsia="Times New Roman" w:cs="Times New Roman"/>
                <w:b/>
                <w:bCs/>
                <w:color w:val="000000"/>
                <w:sz w:val="22"/>
                <w:lang w:eastAsia="lv-LV"/>
              </w:rPr>
            </w:pPr>
            <w:r w:rsidRPr="00B5583A">
              <w:rPr>
                <w:rFonts w:eastAsia="Times New Roman" w:cs="Times New Roman"/>
                <w:b/>
                <w:bCs/>
                <w:color w:val="000000"/>
                <w:sz w:val="22"/>
                <w:lang w:eastAsia="lv-LV"/>
              </w:rPr>
              <w:t>2 000</w:t>
            </w:r>
          </w:p>
        </w:tc>
        <w:tc>
          <w:tcPr>
            <w:tcW w:w="1375"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353B4652" w14:textId="77777777" w:rsidR="00860B45" w:rsidRPr="00B5583A" w:rsidRDefault="00860B45" w:rsidP="000F652A">
            <w:pPr>
              <w:jc w:val="center"/>
              <w:rPr>
                <w:rFonts w:eastAsia="Times New Roman" w:cs="Times New Roman"/>
                <w:b/>
                <w:bCs/>
                <w:color w:val="00B050"/>
                <w:sz w:val="20"/>
                <w:szCs w:val="20"/>
                <w:lang w:eastAsia="lv-LV"/>
              </w:rPr>
            </w:pPr>
            <w:r w:rsidRPr="00B5583A">
              <w:rPr>
                <w:rFonts w:eastAsia="Times New Roman" w:cs="Times New Roman"/>
                <w:b/>
                <w:bCs/>
                <w:color w:val="00B050"/>
                <w:sz w:val="20"/>
                <w:szCs w:val="20"/>
                <w:lang w:eastAsia="lv-LV"/>
              </w:rPr>
              <w:t>24,9%</w:t>
            </w:r>
          </w:p>
        </w:tc>
        <w:tc>
          <w:tcPr>
            <w:tcW w:w="3119"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3E0583C4" w14:textId="77777777" w:rsidR="00860B45" w:rsidRPr="00B5583A" w:rsidRDefault="00860B45" w:rsidP="000F652A">
            <w:pPr>
              <w:jc w:val="center"/>
              <w:rPr>
                <w:rFonts w:eastAsia="Times New Roman" w:cs="Times New Roman"/>
                <w:b/>
                <w:bCs/>
                <w:color w:val="0070C0"/>
                <w:sz w:val="20"/>
                <w:szCs w:val="20"/>
                <w:lang w:eastAsia="lv-LV"/>
              </w:rPr>
            </w:pPr>
            <w:r w:rsidRPr="00B5583A">
              <w:rPr>
                <w:rFonts w:eastAsia="Times New Roman" w:cs="Times New Roman"/>
                <w:b/>
                <w:bCs/>
                <w:color w:val="0070C0"/>
                <w:sz w:val="20"/>
                <w:szCs w:val="20"/>
                <w:lang w:eastAsia="lv-LV"/>
              </w:rPr>
              <w:t>21,99</w:t>
            </w:r>
          </w:p>
        </w:tc>
      </w:tr>
      <w:tr w:rsidR="00860B45" w:rsidRPr="009437D1" w14:paraId="69FDA95D" w14:textId="77777777" w:rsidTr="000F652A">
        <w:trPr>
          <w:trHeight w:val="55"/>
          <w:jc w:val="center"/>
        </w:trPr>
        <w:tc>
          <w:tcPr>
            <w:tcW w:w="888"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3FF43B83" w14:textId="77777777" w:rsidR="00860B45" w:rsidRPr="00B5583A" w:rsidRDefault="00860B45" w:rsidP="000F652A">
            <w:pPr>
              <w:jc w:val="center"/>
              <w:rPr>
                <w:rFonts w:eastAsia="Times New Roman" w:cs="Times New Roman"/>
                <w:b/>
                <w:bCs/>
                <w:color w:val="000000"/>
                <w:sz w:val="22"/>
                <w:lang w:eastAsia="lv-LV"/>
              </w:rPr>
            </w:pPr>
            <w:r w:rsidRPr="00B5583A">
              <w:rPr>
                <w:rFonts w:eastAsia="Times New Roman" w:cs="Times New Roman"/>
                <w:b/>
                <w:bCs/>
                <w:color w:val="000000"/>
                <w:sz w:val="22"/>
                <w:lang w:eastAsia="lv-LV"/>
              </w:rPr>
              <w:t>3 000</w:t>
            </w:r>
          </w:p>
        </w:tc>
        <w:tc>
          <w:tcPr>
            <w:tcW w:w="1375"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179BE63C" w14:textId="77777777" w:rsidR="00860B45" w:rsidRPr="00B5583A" w:rsidRDefault="00860B45" w:rsidP="000F652A">
            <w:pPr>
              <w:jc w:val="center"/>
              <w:rPr>
                <w:rFonts w:eastAsia="Times New Roman" w:cs="Times New Roman"/>
                <w:b/>
                <w:bCs/>
                <w:color w:val="00B050"/>
                <w:sz w:val="20"/>
                <w:szCs w:val="20"/>
                <w:lang w:eastAsia="lv-LV"/>
              </w:rPr>
            </w:pPr>
            <w:r w:rsidRPr="00B5583A">
              <w:rPr>
                <w:rFonts w:eastAsia="Times New Roman" w:cs="Times New Roman"/>
                <w:b/>
                <w:bCs/>
                <w:color w:val="00B050"/>
                <w:sz w:val="20"/>
                <w:szCs w:val="20"/>
                <w:lang w:eastAsia="lv-LV"/>
              </w:rPr>
              <w:t>4,4%</w:t>
            </w:r>
          </w:p>
        </w:tc>
        <w:tc>
          <w:tcPr>
            <w:tcW w:w="3119"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52DC56E0" w14:textId="77777777" w:rsidR="00860B45" w:rsidRPr="00B5583A" w:rsidRDefault="00860B45" w:rsidP="000F652A">
            <w:pPr>
              <w:jc w:val="center"/>
              <w:rPr>
                <w:rFonts w:eastAsia="Times New Roman" w:cs="Times New Roman"/>
                <w:b/>
                <w:bCs/>
                <w:color w:val="0070C0"/>
                <w:sz w:val="20"/>
                <w:szCs w:val="20"/>
                <w:lang w:eastAsia="lv-LV"/>
              </w:rPr>
            </w:pPr>
            <w:r w:rsidRPr="00B5583A">
              <w:rPr>
                <w:rFonts w:eastAsia="Times New Roman" w:cs="Times New Roman"/>
                <w:b/>
                <w:bCs/>
                <w:color w:val="0070C0"/>
                <w:sz w:val="20"/>
                <w:szCs w:val="20"/>
                <w:lang w:eastAsia="lv-LV"/>
              </w:rPr>
              <w:t>1,99</w:t>
            </w:r>
          </w:p>
        </w:tc>
      </w:tr>
      <w:tr w:rsidR="00860B45" w:rsidRPr="009437D1" w14:paraId="2F224457" w14:textId="77777777" w:rsidTr="000F652A">
        <w:trPr>
          <w:trHeight w:val="55"/>
          <w:jc w:val="center"/>
        </w:trPr>
        <w:tc>
          <w:tcPr>
            <w:tcW w:w="888"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43573465" w14:textId="77777777" w:rsidR="00860B45" w:rsidRPr="00B5583A" w:rsidRDefault="00860B45" w:rsidP="000F652A">
            <w:pPr>
              <w:jc w:val="center"/>
              <w:rPr>
                <w:rFonts w:eastAsia="Times New Roman" w:cs="Times New Roman"/>
                <w:b/>
                <w:bCs/>
                <w:color w:val="000000"/>
                <w:sz w:val="22"/>
                <w:lang w:eastAsia="lv-LV"/>
              </w:rPr>
            </w:pPr>
            <w:r w:rsidRPr="00B5583A">
              <w:rPr>
                <w:rFonts w:eastAsia="Times New Roman" w:cs="Times New Roman"/>
                <w:b/>
                <w:bCs/>
                <w:color w:val="000000"/>
                <w:sz w:val="22"/>
                <w:lang w:eastAsia="lv-LV"/>
              </w:rPr>
              <w:t>4 000</w:t>
            </w:r>
          </w:p>
        </w:tc>
        <w:tc>
          <w:tcPr>
            <w:tcW w:w="1375"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0381D7D8" w14:textId="77777777" w:rsidR="00860B45" w:rsidRPr="00B5583A" w:rsidRDefault="00860B45" w:rsidP="000F652A">
            <w:pPr>
              <w:jc w:val="center"/>
              <w:rPr>
                <w:rFonts w:eastAsia="Times New Roman" w:cs="Times New Roman"/>
                <w:b/>
                <w:bCs/>
                <w:color w:val="00B050"/>
                <w:sz w:val="20"/>
                <w:szCs w:val="20"/>
                <w:lang w:eastAsia="lv-LV"/>
              </w:rPr>
            </w:pPr>
            <w:r w:rsidRPr="00B5583A">
              <w:rPr>
                <w:rFonts w:eastAsia="Times New Roman" w:cs="Times New Roman"/>
                <w:b/>
                <w:bCs/>
                <w:color w:val="00B050"/>
                <w:sz w:val="20"/>
                <w:szCs w:val="20"/>
                <w:lang w:eastAsia="lv-LV"/>
              </w:rPr>
              <w:t>1,6%</w:t>
            </w:r>
          </w:p>
        </w:tc>
        <w:tc>
          <w:tcPr>
            <w:tcW w:w="3119"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27422215" w14:textId="77777777" w:rsidR="00860B45" w:rsidRPr="00B5583A" w:rsidRDefault="00860B45" w:rsidP="000F652A">
            <w:pPr>
              <w:jc w:val="center"/>
              <w:rPr>
                <w:rFonts w:eastAsia="Times New Roman" w:cs="Times New Roman"/>
                <w:b/>
                <w:bCs/>
                <w:color w:val="FF0000"/>
                <w:sz w:val="20"/>
                <w:szCs w:val="20"/>
                <w:lang w:eastAsia="lv-LV"/>
              </w:rPr>
            </w:pPr>
            <w:r w:rsidRPr="00B5583A">
              <w:rPr>
                <w:rFonts w:eastAsia="Times New Roman" w:cs="Times New Roman"/>
                <w:b/>
                <w:bCs/>
                <w:color w:val="FF0000"/>
                <w:sz w:val="20"/>
                <w:szCs w:val="20"/>
                <w:lang w:eastAsia="lv-LV"/>
              </w:rPr>
              <w:t>-18,01</w:t>
            </w:r>
          </w:p>
        </w:tc>
      </w:tr>
      <w:tr w:rsidR="00860B45" w:rsidRPr="009437D1" w14:paraId="4B31639C" w14:textId="77777777" w:rsidTr="000F652A">
        <w:trPr>
          <w:trHeight w:val="55"/>
          <w:jc w:val="center"/>
        </w:trPr>
        <w:tc>
          <w:tcPr>
            <w:tcW w:w="888"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50A486BC" w14:textId="77777777" w:rsidR="00860B45" w:rsidRPr="00B5583A" w:rsidRDefault="00860B45" w:rsidP="000F652A">
            <w:pPr>
              <w:jc w:val="center"/>
              <w:rPr>
                <w:rFonts w:eastAsia="Times New Roman" w:cs="Times New Roman"/>
                <w:b/>
                <w:bCs/>
                <w:color w:val="000000"/>
                <w:sz w:val="22"/>
                <w:lang w:eastAsia="lv-LV"/>
              </w:rPr>
            </w:pPr>
            <w:r w:rsidRPr="00B5583A">
              <w:rPr>
                <w:rFonts w:eastAsia="Times New Roman" w:cs="Times New Roman"/>
                <w:b/>
                <w:bCs/>
                <w:color w:val="000000"/>
                <w:sz w:val="22"/>
                <w:lang w:eastAsia="lv-LV"/>
              </w:rPr>
              <w:t>5 000</w:t>
            </w:r>
          </w:p>
        </w:tc>
        <w:tc>
          <w:tcPr>
            <w:tcW w:w="1375"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52D1BEED" w14:textId="77777777" w:rsidR="00860B45" w:rsidRPr="00B5583A" w:rsidRDefault="00860B45" w:rsidP="000F652A">
            <w:pPr>
              <w:jc w:val="center"/>
              <w:rPr>
                <w:rFonts w:eastAsia="Times New Roman" w:cs="Times New Roman"/>
                <w:b/>
                <w:bCs/>
                <w:color w:val="00B050"/>
                <w:sz w:val="20"/>
                <w:szCs w:val="20"/>
                <w:lang w:eastAsia="lv-LV"/>
              </w:rPr>
            </w:pPr>
            <w:r w:rsidRPr="00B5583A">
              <w:rPr>
                <w:rFonts w:eastAsia="Times New Roman" w:cs="Times New Roman"/>
                <w:b/>
                <w:bCs/>
                <w:color w:val="00B050"/>
                <w:sz w:val="20"/>
                <w:szCs w:val="20"/>
                <w:lang w:eastAsia="lv-LV"/>
              </w:rPr>
              <w:t>0,4%</w:t>
            </w:r>
          </w:p>
        </w:tc>
        <w:tc>
          <w:tcPr>
            <w:tcW w:w="3119"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539661C3" w14:textId="77777777" w:rsidR="00860B45" w:rsidRPr="00B5583A" w:rsidRDefault="00860B45" w:rsidP="000F652A">
            <w:pPr>
              <w:jc w:val="center"/>
              <w:rPr>
                <w:rFonts w:eastAsia="Times New Roman" w:cs="Times New Roman"/>
                <w:b/>
                <w:bCs/>
                <w:color w:val="FF0000"/>
                <w:sz w:val="20"/>
                <w:szCs w:val="20"/>
                <w:lang w:eastAsia="lv-LV"/>
              </w:rPr>
            </w:pPr>
            <w:r w:rsidRPr="00B5583A">
              <w:rPr>
                <w:rFonts w:eastAsia="Times New Roman" w:cs="Times New Roman"/>
                <w:b/>
                <w:bCs/>
                <w:color w:val="FF0000"/>
                <w:sz w:val="20"/>
                <w:szCs w:val="20"/>
                <w:lang w:eastAsia="lv-LV"/>
              </w:rPr>
              <w:t>-148,01</w:t>
            </w:r>
          </w:p>
        </w:tc>
      </w:tr>
      <w:tr w:rsidR="00860B45" w:rsidRPr="009437D1" w14:paraId="5A8525E7" w14:textId="77777777" w:rsidTr="000F652A">
        <w:trPr>
          <w:trHeight w:val="55"/>
          <w:jc w:val="center"/>
        </w:trPr>
        <w:tc>
          <w:tcPr>
            <w:tcW w:w="888"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40C7357B" w14:textId="77777777" w:rsidR="00860B45" w:rsidRPr="00B5583A" w:rsidRDefault="00860B45" w:rsidP="000F652A">
            <w:pPr>
              <w:jc w:val="center"/>
              <w:rPr>
                <w:rFonts w:eastAsia="Times New Roman" w:cs="Times New Roman"/>
                <w:b/>
                <w:bCs/>
                <w:color w:val="000000"/>
                <w:sz w:val="22"/>
                <w:lang w:eastAsia="lv-LV"/>
              </w:rPr>
            </w:pPr>
            <w:r w:rsidRPr="00B5583A">
              <w:rPr>
                <w:rFonts w:eastAsia="Times New Roman" w:cs="Times New Roman"/>
                <w:b/>
                <w:bCs/>
                <w:color w:val="000000"/>
                <w:sz w:val="22"/>
                <w:lang w:eastAsia="lv-LV"/>
              </w:rPr>
              <w:t>6 000</w:t>
            </w:r>
          </w:p>
        </w:tc>
        <w:tc>
          <w:tcPr>
            <w:tcW w:w="1375"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355B9969" w14:textId="77777777" w:rsidR="00860B45" w:rsidRPr="00B5583A" w:rsidRDefault="00860B45" w:rsidP="000F652A">
            <w:pPr>
              <w:jc w:val="center"/>
              <w:rPr>
                <w:rFonts w:eastAsia="Times New Roman" w:cs="Times New Roman"/>
                <w:b/>
                <w:bCs/>
                <w:color w:val="00B050"/>
                <w:sz w:val="20"/>
                <w:szCs w:val="20"/>
                <w:lang w:eastAsia="lv-LV"/>
              </w:rPr>
            </w:pPr>
            <w:r w:rsidRPr="00B5583A">
              <w:rPr>
                <w:rFonts w:eastAsia="Times New Roman" w:cs="Times New Roman"/>
                <w:b/>
                <w:bCs/>
                <w:color w:val="00B050"/>
                <w:sz w:val="20"/>
                <w:szCs w:val="20"/>
                <w:lang w:eastAsia="lv-LV"/>
              </w:rPr>
              <w:t>0,2%</w:t>
            </w:r>
          </w:p>
        </w:tc>
        <w:tc>
          <w:tcPr>
            <w:tcW w:w="3119"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16190FF0" w14:textId="77777777" w:rsidR="00860B45" w:rsidRPr="00B5583A" w:rsidRDefault="00860B45" w:rsidP="000F652A">
            <w:pPr>
              <w:jc w:val="center"/>
              <w:rPr>
                <w:rFonts w:eastAsia="Times New Roman" w:cs="Times New Roman"/>
                <w:b/>
                <w:bCs/>
                <w:color w:val="FF0000"/>
                <w:sz w:val="20"/>
                <w:szCs w:val="20"/>
                <w:lang w:eastAsia="lv-LV"/>
              </w:rPr>
            </w:pPr>
            <w:r w:rsidRPr="00B5583A">
              <w:rPr>
                <w:rFonts w:eastAsia="Times New Roman" w:cs="Times New Roman"/>
                <w:b/>
                <w:bCs/>
                <w:color w:val="FF0000"/>
                <w:sz w:val="20"/>
                <w:szCs w:val="20"/>
                <w:lang w:eastAsia="lv-LV"/>
              </w:rPr>
              <w:t>-213,61</w:t>
            </w:r>
          </w:p>
        </w:tc>
      </w:tr>
      <w:tr w:rsidR="00860B45" w:rsidRPr="009437D1" w14:paraId="694D7713" w14:textId="77777777" w:rsidTr="000F652A">
        <w:trPr>
          <w:trHeight w:val="55"/>
          <w:jc w:val="center"/>
        </w:trPr>
        <w:tc>
          <w:tcPr>
            <w:tcW w:w="888"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410C0634" w14:textId="77777777" w:rsidR="00860B45" w:rsidRPr="00B5583A" w:rsidRDefault="00860B45" w:rsidP="000F652A">
            <w:pPr>
              <w:jc w:val="center"/>
              <w:rPr>
                <w:rFonts w:eastAsia="Times New Roman" w:cs="Times New Roman"/>
                <w:b/>
                <w:bCs/>
                <w:color w:val="000000"/>
                <w:sz w:val="22"/>
                <w:lang w:eastAsia="lv-LV"/>
              </w:rPr>
            </w:pPr>
            <w:r w:rsidRPr="00B5583A">
              <w:rPr>
                <w:rFonts w:eastAsia="Times New Roman" w:cs="Times New Roman"/>
                <w:b/>
                <w:bCs/>
                <w:color w:val="000000"/>
                <w:sz w:val="22"/>
                <w:lang w:eastAsia="lv-LV"/>
              </w:rPr>
              <w:t>8 000</w:t>
            </w:r>
          </w:p>
        </w:tc>
        <w:tc>
          <w:tcPr>
            <w:tcW w:w="1375"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0556D954" w14:textId="77777777" w:rsidR="00860B45" w:rsidRPr="00B5583A" w:rsidRDefault="00860B45" w:rsidP="000F652A">
            <w:pPr>
              <w:jc w:val="center"/>
              <w:rPr>
                <w:rFonts w:eastAsia="Times New Roman" w:cs="Times New Roman"/>
                <w:b/>
                <w:bCs/>
                <w:color w:val="00B050"/>
                <w:sz w:val="20"/>
                <w:szCs w:val="20"/>
                <w:lang w:eastAsia="lv-LV"/>
              </w:rPr>
            </w:pPr>
            <w:r w:rsidRPr="00B5583A">
              <w:rPr>
                <w:rFonts w:eastAsia="Times New Roman" w:cs="Times New Roman"/>
                <w:b/>
                <w:bCs/>
                <w:color w:val="00B050"/>
                <w:sz w:val="20"/>
                <w:szCs w:val="20"/>
                <w:lang w:eastAsia="lv-LV"/>
              </w:rPr>
              <w:t>0,2%</w:t>
            </w:r>
          </w:p>
        </w:tc>
        <w:tc>
          <w:tcPr>
            <w:tcW w:w="3119" w:type="dxa"/>
            <w:tcBorders>
              <w:top w:val="single" w:sz="4" w:space="0" w:color="A6A6A6"/>
              <w:left w:val="single" w:sz="4" w:space="0" w:color="595959"/>
              <w:bottom w:val="single" w:sz="4" w:space="0" w:color="A6A6A6"/>
              <w:right w:val="single" w:sz="4" w:space="0" w:color="595959"/>
            </w:tcBorders>
            <w:shd w:val="clear" w:color="auto" w:fill="FFFFFF"/>
            <w:tcMar>
              <w:top w:w="15" w:type="dxa"/>
              <w:left w:w="15" w:type="dxa"/>
              <w:bottom w:w="0" w:type="dxa"/>
              <w:right w:w="15" w:type="dxa"/>
            </w:tcMar>
            <w:vAlign w:val="bottom"/>
          </w:tcPr>
          <w:p w14:paraId="6FDC1639" w14:textId="77777777" w:rsidR="00860B45" w:rsidRPr="00B5583A" w:rsidRDefault="00860B45" w:rsidP="000F652A">
            <w:pPr>
              <w:jc w:val="center"/>
              <w:rPr>
                <w:rFonts w:eastAsia="Times New Roman" w:cs="Times New Roman"/>
                <w:b/>
                <w:bCs/>
                <w:color w:val="FF0000"/>
                <w:sz w:val="20"/>
                <w:szCs w:val="20"/>
                <w:lang w:eastAsia="lv-LV"/>
              </w:rPr>
            </w:pPr>
            <w:r w:rsidRPr="00B5583A">
              <w:rPr>
                <w:rFonts w:eastAsia="Times New Roman" w:cs="Times New Roman"/>
                <w:b/>
                <w:bCs/>
                <w:color w:val="FF0000"/>
                <w:sz w:val="20"/>
                <w:szCs w:val="20"/>
                <w:lang w:eastAsia="lv-LV"/>
              </w:rPr>
              <w:t>-305,61</w:t>
            </w:r>
          </w:p>
        </w:tc>
      </w:tr>
      <w:tr w:rsidR="00860B45" w:rsidRPr="009437D1" w14:paraId="0E1AEA61" w14:textId="77777777" w:rsidTr="000F652A">
        <w:trPr>
          <w:trHeight w:val="55"/>
          <w:jc w:val="center"/>
        </w:trPr>
        <w:tc>
          <w:tcPr>
            <w:tcW w:w="888" w:type="dxa"/>
            <w:tcBorders>
              <w:top w:val="single" w:sz="4" w:space="0" w:color="A6A6A6"/>
              <w:left w:val="single" w:sz="4" w:space="0" w:color="595959"/>
              <w:bottom w:val="single" w:sz="4" w:space="0" w:color="000000"/>
              <w:right w:val="single" w:sz="4" w:space="0" w:color="595959"/>
            </w:tcBorders>
            <w:shd w:val="clear" w:color="auto" w:fill="FFFFFF"/>
            <w:tcMar>
              <w:top w:w="15" w:type="dxa"/>
              <w:left w:w="15" w:type="dxa"/>
              <w:bottom w:w="0" w:type="dxa"/>
              <w:right w:w="15" w:type="dxa"/>
            </w:tcMar>
            <w:vAlign w:val="bottom"/>
            <w:hideMark/>
          </w:tcPr>
          <w:p w14:paraId="5BDE032B" w14:textId="77777777" w:rsidR="00860B45" w:rsidRPr="00B5583A" w:rsidRDefault="00860B45" w:rsidP="000F652A">
            <w:pPr>
              <w:jc w:val="center"/>
              <w:rPr>
                <w:rFonts w:eastAsia="Times New Roman" w:cs="Times New Roman"/>
                <w:b/>
                <w:bCs/>
                <w:color w:val="000000"/>
                <w:sz w:val="22"/>
                <w:lang w:eastAsia="lv-LV"/>
              </w:rPr>
            </w:pPr>
            <w:r w:rsidRPr="00B5583A">
              <w:rPr>
                <w:rFonts w:eastAsia="Times New Roman" w:cs="Times New Roman"/>
                <w:b/>
                <w:bCs/>
                <w:color w:val="000000"/>
                <w:sz w:val="22"/>
                <w:lang w:eastAsia="lv-LV"/>
              </w:rPr>
              <w:t>10 000</w:t>
            </w:r>
          </w:p>
        </w:tc>
        <w:tc>
          <w:tcPr>
            <w:tcW w:w="1375" w:type="dxa"/>
            <w:tcBorders>
              <w:top w:val="single" w:sz="4" w:space="0" w:color="A6A6A6"/>
              <w:left w:val="single" w:sz="4" w:space="0" w:color="595959"/>
              <w:bottom w:val="single" w:sz="4" w:space="0" w:color="000000"/>
              <w:right w:val="single" w:sz="4" w:space="0" w:color="595959"/>
            </w:tcBorders>
            <w:shd w:val="clear" w:color="auto" w:fill="FFFFFF"/>
            <w:tcMar>
              <w:top w:w="15" w:type="dxa"/>
              <w:left w:w="15" w:type="dxa"/>
              <w:bottom w:w="0" w:type="dxa"/>
              <w:right w:w="15" w:type="dxa"/>
            </w:tcMar>
            <w:vAlign w:val="bottom"/>
            <w:hideMark/>
          </w:tcPr>
          <w:p w14:paraId="6F2C7EB5" w14:textId="77777777" w:rsidR="00860B45" w:rsidRPr="00B5583A" w:rsidRDefault="00860B45" w:rsidP="000F652A">
            <w:pPr>
              <w:jc w:val="center"/>
              <w:rPr>
                <w:rFonts w:eastAsia="Times New Roman" w:cs="Times New Roman"/>
                <w:b/>
                <w:bCs/>
                <w:color w:val="00B050"/>
                <w:sz w:val="20"/>
                <w:szCs w:val="20"/>
                <w:lang w:eastAsia="lv-LV"/>
              </w:rPr>
            </w:pPr>
            <w:r w:rsidRPr="00B5583A">
              <w:rPr>
                <w:rFonts w:eastAsia="Times New Roman" w:cs="Times New Roman"/>
                <w:b/>
                <w:bCs/>
                <w:color w:val="00B050"/>
                <w:sz w:val="20"/>
                <w:szCs w:val="20"/>
                <w:lang w:eastAsia="lv-LV"/>
              </w:rPr>
              <w:t>0,1%</w:t>
            </w:r>
          </w:p>
        </w:tc>
        <w:tc>
          <w:tcPr>
            <w:tcW w:w="3119" w:type="dxa"/>
            <w:tcBorders>
              <w:top w:val="single" w:sz="4" w:space="0" w:color="A6A6A6"/>
              <w:left w:val="single" w:sz="4" w:space="0" w:color="595959"/>
              <w:bottom w:val="single" w:sz="4" w:space="0" w:color="000000"/>
              <w:right w:val="single" w:sz="4" w:space="0" w:color="595959"/>
            </w:tcBorders>
            <w:shd w:val="clear" w:color="auto" w:fill="FFFFFF"/>
            <w:tcMar>
              <w:top w:w="15" w:type="dxa"/>
              <w:left w:w="15" w:type="dxa"/>
              <w:bottom w:w="0" w:type="dxa"/>
              <w:right w:w="15" w:type="dxa"/>
            </w:tcMar>
            <w:vAlign w:val="bottom"/>
          </w:tcPr>
          <w:p w14:paraId="1905C9C9" w14:textId="77777777" w:rsidR="00860B45" w:rsidRPr="00B5583A" w:rsidRDefault="00860B45" w:rsidP="000F652A">
            <w:pPr>
              <w:jc w:val="center"/>
              <w:rPr>
                <w:rFonts w:eastAsia="Times New Roman" w:cs="Times New Roman"/>
                <w:b/>
                <w:bCs/>
                <w:color w:val="FF0000"/>
                <w:sz w:val="20"/>
                <w:szCs w:val="20"/>
                <w:lang w:eastAsia="lv-LV"/>
              </w:rPr>
            </w:pPr>
            <w:r w:rsidRPr="00B5583A">
              <w:rPr>
                <w:rFonts w:eastAsia="Times New Roman" w:cs="Times New Roman"/>
                <w:b/>
                <w:bCs/>
                <w:color w:val="FF0000"/>
                <w:sz w:val="20"/>
                <w:szCs w:val="20"/>
                <w:lang w:eastAsia="lv-LV"/>
              </w:rPr>
              <w:t>-397,61</w:t>
            </w:r>
          </w:p>
        </w:tc>
      </w:tr>
    </w:tbl>
    <w:p w14:paraId="399E5438" w14:textId="77777777" w:rsidR="00860B45" w:rsidRDefault="00860B45" w:rsidP="00860B45">
      <w:pPr>
        <w:jc w:val="center"/>
        <w:rPr>
          <w:b/>
          <w:sz w:val="26"/>
          <w:szCs w:val="26"/>
        </w:rPr>
      </w:pPr>
    </w:p>
    <w:p w14:paraId="0A11BF0A" w14:textId="77777777" w:rsidR="00860B45" w:rsidRPr="00F519AB" w:rsidRDefault="00860B45" w:rsidP="00362C28">
      <w:pPr>
        <w:spacing w:after="120"/>
        <w:jc w:val="center"/>
        <w:rPr>
          <w:b/>
          <w:sz w:val="26"/>
          <w:szCs w:val="26"/>
        </w:rPr>
      </w:pPr>
      <w:r w:rsidRPr="00F519AB">
        <w:rPr>
          <w:b/>
          <w:sz w:val="26"/>
          <w:szCs w:val="26"/>
        </w:rPr>
        <w:lastRenderedPageBreak/>
        <w:t>Informācijai</w:t>
      </w:r>
    </w:p>
    <w:p w14:paraId="65DA9C2D" w14:textId="77777777" w:rsidR="00362C28" w:rsidRPr="00362C28" w:rsidRDefault="00860B45" w:rsidP="00362C28">
      <w:pPr>
        <w:pStyle w:val="ListParagraph"/>
        <w:numPr>
          <w:ilvl w:val="0"/>
          <w:numId w:val="3"/>
        </w:numPr>
        <w:ind w:left="426" w:hanging="426"/>
        <w:rPr>
          <w:b/>
          <w:i/>
          <w:sz w:val="26"/>
          <w:szCs w:val="26"/>
        </w:rPr>
      </w:pPr>
      <w:r w:rsidRPr="00362C28">
        <w:rPr>
          <w:b/>
          <w:i/>
          <w:sz w:val="26"/>
          <w:szCs w:val="26"/>
        </w:rPr>
        <w:t>Visiem</w:t>
      </w:r>
      <w:r w:rsidRPr="00362C28">
        <w:rPr>
          <w:b/>
          <w:i/>
          <w:color w:val="FF0000"/>
          <w:sz w:val="26"/>
          <w:szCs w:val="26"/>
        </w:rPr>
        <w:t xml:space="preserve"> </w:t>
      </w:r>
      <w:r w:rsidRPr="00362C28">
        <w:rPr>
          <w:b/>
          <w:i/>
          <w:sz w:val="26"/>
          <w:szCs w:val="26"/>
        </w:rPr>
        <w:t>neapliekamais minimums</w:t>
      </w:r>
      <w:r w:rsidRPr="00362C28">
        <w:rPr>
          <w:i/>
          <w:sz w:val="26"/>
          <w:szCs w:val="26"/>
        </w:rPr>
        <w:t xml:space="preserve"> </w:t>
      </w:r>
      <w:r w:rsidRPr="00362C28">
        <w:rPr>
          <w:b/>
          <w:i/>
          <w:sz w:val="26"/>
          <w:szCs w:val="26"/>
        </w:rPr>
        <w:t>500 euro</w:t>
      </w:r>
      <w:r w:rsidRPr="00362C28">
        <w:rPr>
          <w:i/>
          <w:sz w:val="26"/>
          <w:szCs w:val="26"/>
        </w:rPr>
        <w:t xml:space="preserve"> mēnesī</w:t>
      </w:r>
      <w:r w:rsidR="00362C28">
        <w:rPr>
          <w:i/>
          <w:sz w:val="26"/>
          <w:szCs w:val="26"/>
        </w:rPr>
        <w:t>:</w:t>
      </w:r>
      <w:r w:rsidRPr="00362C28">
        <w:rPr>
          <w:i/>
          <w:sz w:val="26"/>
          <w:szCs w:val="26"/>
        </w:rPr>
        <w:t xml:space="preserve"> </w:t>
      </w:r>
      <w:r w:rsidR="00362C28" w:rsidRPr="00362C28">
        <w:rPr>
          <w:b/>
          <w:i/>
          <w:sz w:val="26"/>
          <w:szCs w:val="26"/>
        </w:rPr>
        <w:t xml:space="preserve">negatīva </w:t>
      </w:r>
      <w:r w:rsidRPr="00362C28">
        <w:rPr>
          <w:b/>
          <w:i/>
          <w:sz w:val="26"/>
          <w:szCs w:val="26"/>
        </w:rPr>
        <w:t xml:space="preserve">fiskālā ietekme </w:t>
      </w:r>
      <w:r w:rsidR="00362C28" w:rsidRPr="00362C28">
        <w:rPr>
          <w:b/>
          <w:i/>
          <w:sz w:val="26"/>
          <w:szCs w:val="26"/>
        </w:rPr>
        <w:t>no aptuveni</w:t>
      </w:r>
      <w:r w:rsidR="00362C28">
        <w:rPr>
          <w:b/>
          <w:i/>
          <w:sz w:val="26"/>
          <w:szCs w:val="26"/>
        </w:rPr>
        <w:t xml:space="preserve"> </w:t>
      </w:r>
      <w:r w:rsidR="00362C28" w:rsidRPr="00362C28">
        <w:rPr>
          <w:b/>
          <w:i/>
          <w:color w:val="FF0000"/>
          <w:sz w:val="26"/>
          <w:szCs w:val="26"/>
        </w:rPr>
        <w:t>-</w:t>
      </w:r>
      <w:r w:rsidRPr="00362C28">
        <w:rPr>
          <w:b/>
          <w:i/>
          <w:color w:val="FF0000"/>
          <w:sz w:val="26"/>
          <w:szCs w:val="26"/>
        </w:rPr>
        <w:t>430</w:t>
      </w:r>
      <w:r w:rsidR="00362C28">
        <w:rPr>
          <w:b/>
          <w:i/>
          <w:color w:val="FF0000"/>
          <w:sz w:val="26"/>
          <w:szCs w:val="26"/>
        </w:rPr>
        <w:t xml:space="preserve"> </w:t>
      </w:r>
      <w:r w:rsidR="00362C28" w:rsidRPr="00362C28">
        <w:rPr>
          <w:i/>
          <w:sz w:val="26"/>
          <w:szCs w:val="26"/>
        </w:rPr>
        <w:t>līdz</w:t>
      </w:r>
      <w:r w:rsidR="00362C28" w:rsidRPr="00362C28">
        <w:rPr>
          <w:b/>
          <w:i/>
          <w:sz w:val="26"/>
          <w:szCs w:val="26"/>
        </w:rPr>
        <w:t xml:space="preserve"> </w:t>
      </w:r>
      <w:r w:rsidR="00362C28" w:rsidRPr="00362C28">
        <w:rPr>
          <w:b/>
          <w:i/>
          <w:color w:val="FF0000"/>
          <w:sz w:val="26"/>
          <w:szCs w:val="26"/>
        </w:rPr>
        <w:t>-</w:t>
      </w:r>
      <w:r w:rsidRPr="00362C28">
        <w:rPr>
          <w:b/>
          <w:i/>
          <w:color w:val="FF0000"/>
          <w:sz w:val="26"/>
          <w:szCs w:val="26"/>
        </w:rPr>
        <w:t xml:space="preserve">450 </w:t>
      </w:r>
      <w:r w:rsidRPr="00362C28">
        <w:rPr>
          <w:b/>
          <w:i/>
          <w:sz w:val="26"/>
          <w:szCs w:val="26"/>
        </w:rPr>
        <w:t>milj.</w:t>
      </w:r>
      <w:r w:rsidRPr="00362C28">
        <w:rPr>
          <w:i/>
          <w:sz w:val="26"/>
          <w:szCs w:val="26"/>
        </w:rPr>
        <w:t xml:space="preserve"> euro</w:t>
      </w:r>
      <w:r w:rsidR="00362C28" w:rsidRPr="00362C28">
        <w:rPr>
          <w:b/>
          <w:i/>
          <w:sz w:val="26"/>
          <w:szCs w:val="26"/>
        </w:rPr>
        <w:t xml:space="preserve"> </w:t>
      </w:r>
      <w:r w:rsidR="00362C28" w:rsidRPr="00362C28">
        <w:rPr>
          <w:i/>
          <w:sz w:val="26"/>
          <w:szCs w:val="26"/>
        </w:rPr>
        <w:t>(pie nosacījuma, ka IIN likmes un solidaritātes nodoklis paliek nemainīgs</w:t>
      </w:r>
      <w:r w:rsidR="00362C28">
        <w:rPr>
          <w:i/>
          <w:sz w:val="26"/>
          <w:szCs w:val="26"/>
        </w:rPr>
        <w:t>)</w:t>
      </w:r>
    </w:p>
    <w:p w14:paraId="0EA6575F" w14:textId="77777777" w:rsidR="00860B45" w:rsidRPr="00362C28" w:rsidRDefault="00860B45" w:rsidP="00362C28">
      <w:pPr>
        <w:pStyle w:val="ListParagraph"/>
        <w:numPr>
          <w:ilvl w:val="0"/>
          <w:numId w:val="3"/>
        </w:numPr>
        <w:ind w:left="426" w:hanging="426"/>
        <w:rPr>
          <w:i/>
          <w:sz w:val="26"/>
          <w:szCs w:val="26"/>
        </w:rPr>
      </w:pPr>
      <w:r w:rsidRPr="00362C28">
        <w:rPr>
          <w:b/>
          <w:i/>
          <w:sz w:val="26"/>
          <w:szCs w:val="26"/>
        </w:rPr>
        <w:t>Solidaritātes nodokļa atcelšana</w:t>
      </w:r>
      <w:r w:rsidR="00362C28">
        <w:rPr>
          <w:b/>
          <w:i/>
          <w:sz w:val="26"/>
          <w:szCs w:val="26"/>
        </w:rPr>
        <w:t>:</w:t>
      </w:r>
      <w:r w:rsidRPr="00362C28">
        <w:rPr>
          <w:i/>
          <w:sz w:val="26"/>
          <w:szCs w:val="26"/>
        </w:rPr>
        <w:t xml:space="preserve"> </w:t>
      </w:r>
      <w:r w:rsidR="00362C28" w:rsidRPr="00362C28">
        <w:rPr>
          <w:b/>
          <w:i/>
          <w:sz w:val="26"/>
          <w:szCs w:val="26"/>
        </w:rPr>
        <w:t xml:space="preserve">negatīva </w:t>
      </w:r>
      <w:r w:rsidRPr="00362C28">
        <w:rPr>
          <w:b/>
          <w:i/>
          <w:sz w:val="26"/>
          <w:szCs w:val="26"/>
        </w:rPr>
        <w:t xml:space="preserve">fiskālā ietekme </w:t>
      </w:r>
      <w:r w:rsidR="00362C28" w:rsidRPr="00362C28">
        <w:rPr>
          <w:b/>
          <w:i/>
          <w:sz w:val="26"/>
          <w:szCs w:val="26"/>
        </w:rPr>
        <w:t>aptuveni</w:t>
      </w:r>
      <w:r w:rsidR="00362C28">
        <w:rPr>
          <w:b/>
          <w:i/>
          <w:sz w:val="26"/>
          <w:szCs w:val="26"/>
        </w:rPr>
        <w:t xml:space="preserve"> </w:t>
      </w:r>
      <w:r w:rsidRPr="00362C28">
        <w:rPr>
          <w:b/>
          <w:i/>
          <w:color w:val="FF0000"/>
          <w:sz w:val="26"/>
          <w:szCs w:val="26"/>
        </w:rPr>
        <w:t xml:space="preserve">-44,2 </w:t>
      </w:r>
      <w:r w:rsidRPr="00362C28">
        <w:rPr>
          <w:b/>
          <w:i/>
          <w:sz w:val="26"/>
          <w:szCs w:val="26"/>
        </w:rPr>
        <w:t>milj.</w:t>
      </w:r>
      <w:r w:rsidRPr="00362C28">
        <w:rPr>
          <w:i/>
          <w:sz w:val="26"/>
          <w:szCs w:val="26"/>
        </w:rPr>
        <w:t xml:space="preserve"> euro</w:t>
      </w:r>
      <w:r w:rsidR="00362C28" w:rsidRPr="00362C28">
        <w:rPr>
          <w:i/>
          <w:sz w:val="26"/>
          <w:szCs w:val="26"/>
        </w:rPr>
        <w:t xml:space="preserve"> (scenārijā B jau ierēķināts solidaritātes nodokļa atcelšanas efekts)</w:t>
      </w:r>
    </w:p>
    <w:p w14:paraId="1E729601" w14:textId="77777777" w:rsidR="007A6DAD" w:rsidRDefault="007A6DAD">
      <w:pPr>
        <w:rPr>
          <w:rFonts w:ascii="Times New Roman Bold" w:eastAsiaTheme="majorEastAsia" w:hAnsi="Times New Roman Bold" w:cstheme="majorBidi"/>
          <w:b/>
          <w:sz w:val="28"/>
          <w:szCs w:val="26"/>
        </w:rPr>
      </w:pPr>
      <w:r>
        <w:br w:type="page"/>
      </w:r>
    </w:p>
    <w:p w14:paraId="2CF16A93" w14:textId="77777777" w:rsidR="00E024EF" w:rsidRPr="006C5A20" w:rsidRDefault="00E024EF" w:rsidP="006C5A20">
      <w:pPr>
        <w:pStyle w:val="Heading2"/>
        <w:tabs>
          <w:tab w:val="left" w:pos="709"/>
        </w:tabs>
        <w:ind w:left="709" w:hanging="709"/>
        <w:jc w:val="both"/>
      </w:pPr>
      <w:bookmarkStart w:id="8" w:name="_Toc33186622"/>
      <w:r w:rsidRPr="00E92B00">
        <w:lastRenderedPageBreak/>
        <w:t>1.</w:t>
      </w:r>
      <w:r w:rsidR="008A30B3">
        <w:t>2</w:t>
      </w:r>
      <w:r w:rsidRPr="00E92B00">
        <w:t xml:space="preserve">. </w:t>
      </w:r>
      <w:r>
        <w:tab/>
      </w:r>
      <w:r w:rsidR="00F56C3F">
        <w:t xml:space="preserve">Atvieglojuma par apgādībā esošām personām </w:t>
      </w:r>
      <w:r w:rsidR="00F56C3F" w:rsidRPr="00F56C3F">
        <w:t>pārskatīšana</w:t>
      </w:r>
      <w:bookmarkEnd w:id="8"/>
      <w:r w:rsidR="00F56C3F" w:rsidRPr="00F56C3F">
        <w:t xml:space="preserve"> </w:t>
      </w:r>
      <w:r w:rsidR="00F56C3F">
        <w:rPr>
          <w:color w:val="FF0000"/>
        </w:rPr>
        <w:t xml:space="preserve"> </w:t>
      </w:r>
    </w:p>
    <w:p w14:paraId="44924472" w14:textId="77777777" w:rsidR="008375EC" w:rsidRPr="006F434D" w:rsidRDefault="008375EC" w:rsidP="008375EC">
      <w:pPr>
        <w:spacing w:after="120"/>
        <w:ind w:firstLine="709"/>
        <w:jc w:val="both"/>
        <w:rPr>
          <w:rFonts w:cs="Times New Roman"/>
          <w:sz w:val="26"/>
          <w:szCs w:val="26"/>
        </w:rPr>
      </w:pPr>
      <w:r w:rsidRPr="006F434D">
        <w:rPr>
          <w:rFonts w:cs="Times New Roman"/>
          <w:sz w:val="26"/>
          <w:szCs w:val="26"/>
          <w:lang w:eastAsia="lv-LV"/>
        </w:rPr>
        <w:t>Atvieglojuma par apgādībā esošu personu</w:t>
      </w:r>
      <w:r w:rsidRPr="006F434D">
        <w:rPr>
          <w:rFonts w:cs="Times New Roman"/>
          <w:b/>
          <w:bCs/>
          <w:sz w:val="26"/>
          <w:szCs w:val="26"/>
        </w:rPr>
        <w:t xml:space="preserve"> </w:t>
      </w:r>
      <w:r w:rsidRPr="006F434D">
        <w:rPr>
          <w:rFonts w:cs="Times New Roman"/>
          <w:bCs/>
          <w:sz w:val="26"/>
          <w:szCs w:val="26"/>
        </w:rPr>
        <w:t>paaugstināšanas</w:t>
      </w:r>
      <w:r w:rsidRPr="006F434D">
        <w:rPr>
          <w:rFonts w:cs="Times New Roman"/>
          <w:b/>
          <w:bCs/>
          <w:sz w:val="26"/>
          <w:szCs w:val="26"/>
        </w:rPr>
        <w:t xml:space="preserve"> mērķis</w:t>
      </w:r>
      <w:r w:rsidRPr="006F434D">
        <w:rPr>
          <w:rFonts w:cs="Times New Roman"/>
          <w:bCs/>
          <w:sz w:val="26"/>
          <w:szCs w:val="26"/>
        </w:rPr>
        <w:t xml:space="preserve"> ir samazināt darbaspēka nodokļa slogu strādājošajiem ar apgādībā esošām personām. </w:t>
      </w:r>
    </w:p>
    <w:p w14:paraId="3A58A859" w14:textId="77777777" w:rsidR="008375EC" w:rsidRPr="006F434D" w:rsidRDefault="008375EC" w:rsidP="008375EC">
      <w:pPr>
        <w:autoSpaceDE w:val="0"/>
        <w:autoSpaceDN w:val="0"/>
        <w:adjustRightInd w:val="0"/>
        <w:spacing w:after="80"/>
        <w:ind w:firstLine="720"/>
        <w:jc w:val="both"/>
        <w:rPr>
          <w:rFonts w:eastAsia="Times New Roman,Calibri" w:cs="Times New Roman"/>
          <w:sz w:val="26"/>
          <w:szCs w:val="26"/>
        </w:rPr>
      </w:pPr>
      <w:r w:rsidRPr="006F434D">
        <w:rPr>
          <w:rFonts w:eastAsia="Times New Roman,Calibri" w:cs="Times New Roman"/>
          <w:sz w:val="26"/>
          <w:szCs w:val="26"/>
        </w:rPr>
        <w:t xml:space="preserve">Atvieglojums par apgādībā esošu personu, kas lielākoties tiek piemērots par bērniem, ir valsts atbalsts mājsaimniecībām ar bērniem, kur vismaz viens no vecākiem strādā. Tādējādi tas ir viens no instrumentiem, kas veicina vecāku nodarbinātību. </w:t>
      </w:r>
    </w:p>
    <w:p w14:paraId="763F3D7D" w14:textId="77777777" w:rsidR="008375EC" w:rsidRPr="006F434D" w:rsidRDefault="008375EC" w:rsidP="006C5A20">
      <w:pPr>
        <w:pStyle w:val="ListParagraph"/>
        <w:spacing w:after="120"/>
        <w:ind w:left="0" w:firstLine="709"/>
        <w:rPr>
          <w:sz w:val="26"/>
          <w:szCs w:val="26"/>
        </w:rPr>
      </w:pPr>
      <w:r w:rsidRPr="006F434D">
        <w:rPr>
          <w:sz w:val="26"/>
          <w:szCs w:val="26"/>
        </w:rPr>
        <w:t xml:space="preserve">Tomēr pēc Finanšu ministrijas aprēķiniem, 2018.gadā aptuveni </w:t>
      </w:r>
      <w:r w:rsidRPr="006F434D">
        <w:rPr>
          <w:b/>
          <w:sz w:val="26"/>
          <w:szCs w:val="26"/>
        </w:rPr>
        <w:t xml:space="preserve">34,1% </w:t>
      </w:r>
      <w:r w:rsidRPr="006F434D">
        <w:rPr>
          <w:sz w:val="26"/>
          <w:szCs w:val="26"/>
        </w:rPr>
        <w:t>(2017.gadā 28,0%) no visiem nodokļu maksātājiem, kuriem ir apgādībā esošas personas, nevarēja pilnā apmērā izmantot atvieglojumu par apgādībā esošu personu, jo viņu darba alga bija mazāka par kopējo IIN atvieglojumu summu</w:t>
      </w:r>
      <w:r w:rsidRPr="006F434D">
        <w:rPr>
          <w:i/>
          <w:sz w:val="26"/>
          <w:szCs w:val="26"/>
        </w:rPr>
        <w:t>.</w:t>
      </w:r>
      <w:r w:rsidRPr="006F434D">
        <w:rPr>
          <w:sz w:val="26"/>
          <w:szCs w:val="26"/>
        </w:rPr>
        <w:t xml:space="preserve"> </w:t>
      </w:r>
      <w:r w:rsidR="00E61B4B">
        <w:rPr>
          <w:sz w:val="26"/>
          <w:szCs w:val="26"/>
        </w:rPr>
        <w:t>Šāda situācija izveidojusies, jo pēdējos gados diezgan strauji tika palielināts</w:t>
      </w:r>
      <w:r w:rsidR="00E61B4B" w:rsidRPr="00E61B4B">
        <w:rPr>
          <w:sz w:val="26"/>
          <w:szCs w:val="26"/>
        </w:rPr>
        <w:t xml:space="preserve"> </w:t>
      </w:r>
      <w:r w:rsidR="00E61B4B" w:rsidRPr="006F434D">
        <w:rPr>
          <w:sz w:val="26"/>
          <w:szCs w:val="26"/>
        </w:rPr>
        <w:t>atvieglojum</w:t>
      </w:r>
      <w:r w:rsidR="00E61B4B">
        <w:rPr>
          <w:sz w:val="26"/>
          <w:szCs w:val="26"/>
        </w:rPr>
        <w:t>s</w:t>
      </w:r>
      <w:r w:rsidR="00E61B4B" w:rsidRPr="006F434D">
        <w:rPr>
          <w:sz w:val="26"/>
          <w:szCs w:val="26"/>
        </w:rPr>
        <w:t xml:space="preserve"> par apgādībā esošu personu</w:t>
      </w:r>
      <w:r w:rsidR="00E61B4B">
        <w:rPr>
          <w:sz w:val="26"/>
          <w:szCs w:val="26"/>
        </w:rPr>
        <w:t xml:space="preserve"> – 2018.gadā no 175 uz 200 </w:t>
      </w:r>
      <w:r w:rsidR="00E61B4B" w:rsidRPr="00E61B4B">
        <w:rPr>
          <w:i/>
          <w:sz w:val="26"/>
          <w:szCs w:val="26"/>
        </w:rPr>
        <w:t>euro</w:t>
      </w:r>
      <w:r w:rsidR="00E61B4B">
        <w:rPr>
          <w:sz w:val="26"/>
          <w:szCs w:val="26"/>
        </w:rPr>
        <w:t xml:space="preserve"> mēnesī, 2019.gadā – uz 230 </w:t>
      </w:r>
      <w:r w:rsidR="00E61B4B" w:rsidRPr="00E61B4B">
        <w:rPr>
          <w:i/>
          <w:sz w:val="26"/>
          <w:szCs w:val="26"/>
        </w:rPr>
        <w:t>euro</w:t>
      </w:r>
      <w:r w:rsidR="00E61B4B">
        <w:rPr>
          <w:sz w:val="26"/>
          <w:szCs w:val="26"/>
        </w:rPr>
        <w:t xml:space="preserve"> mēnesī, bet 2020.gadā – uz 250 </w:t>
      </w:r>
      <w:r w:rsidR="00E61B4B" w:rsidRPr="00E61B4B">
        <w:rPr>
          <w:i/>
          <w:sz w:val="26"/>
          <w:szCs w:val="26"/>
        </w:rPr>
        <w:t>euro</w:t>
      </w:r>
      <w:r w:rsidR="00E61B4B">
        <w:rPr>
          <w:sz w:val="26"/>
          <w:szCs w:val="26"/>
        </w:rPr>
        <w:t xml:space="preserve"> mēnesī, savukārt strādājošā ienākumi pieauga proporcionāli mazāk. </w:t>
      </w:r>
    </w:p>
    <w:p w14:paraId="7326D879" w14:textId="77777777" w:rsidR="008375EC" w:rsidRPr="006F434D" w:rsidRDefault="008375EC" w:rsidP="002C4803">
      <w:pPr>
        <w:autoSpaceDE w:val="0"/>
        <w:autoSpaceDN w:val="0"/>
        <w:adjustRightInd w:val="0"/>
        <w:spacing w:after="120"/>
        <w:ind w:firstLine="720"/>
        <w:jc w:val="both"/>
        <w:rPr>
          <w:rFonts w:eastAsia="Calibri" w:cs="Times New Roman"/>
          <w:b/>
          <w:sz w:val="26"/>
          <w:szCs w:val="26"/>
        </w:rPr>
      </w:pPr>
      <w:r w:rsidRPr="006F434D">
        <w:rPr>
          <w:rFonts w:eastAsia="Calibri" w:cs="Times New Roman"/>
          <w:sz w:val="26"/>
          <w:szCs w:val="26"/>
        </w:rPr>
        <w:t xml:space="preserve">Jāatzīmē, ka šis nodokļa atvieglojums jāvērtē vienlaikus ar citiem no valsts budžeta izmaksājamiem pabalstiem par bērniem. </w:t>
      </w:r>
      <w:r w:rsidRPr="006F434D">
        <w:rPr>
          <w:rFonts w:cs="Times New Roman"/>
          <w:sz w:val="26"/>
          <w:szCs w:val="26"/>
        </w:rPr>
        <w:t xml:space="preserve">Pie tam, ja nodokļa atvieglojumu </w:t>
      </w:r>
      <w:r w:rsidRPr="006F434D">
        <w:rPr>
          <w:rFonts w:eastAsia="Calibri" w:cs="Times New Roman"/>
          <w:sz w:val="26"/>
          <w:szCs w:val="26"/>
        </w:rPr>
        <w:t>par apgādībā esošam personām</w:t>
      </w:r>
      <w:r w:rsidRPr="006F434D">
        <w:rPr>
          <w:rFonts w:cs="Times New Roman"/>
          <w:sz w:val="26"/>
          <w:szCs w:val="26"/>
        </w:rPr>
        <w:t xml:space="preserve"> </w:t>
      </w:r>
      <w:r w:rsidRPr="006F434D">
        <w:rPr>
          <w:rFonts w:eastAsia="Calibri" w:cs="Times New Roman"/>
          <w:sz w:val="26"/>
          <w:szCs w:val="26"/>
        </w:rPr>
        <w:t xml:space="preserve">var piemērot tikai strādājošie vecāki, tad </w:t>
      </w:r>
      <w:r w:rsidRPr="006F434D">
        <w:rPr>
          <w:rFonts w:cs="Times New Roman"/>
          <w:sz w:val="26"/>
          <w:szCs w:val="26"/>
        </w:rPr>
        <w:t>ģimenes valsts pabalstu var saņemt visi vecāki, neatkarīgi no tā, vai vecāks strādā, vai nē.</w:t>
      </w:r>
    </w:p>
    <w:tbl>
      <w:tblPr>
        <w:tblW w:w="8789" w:type="dxa"/>
        <w:tblInd w:w="-142" w:type="dxa"/>
        <w:tblLayout w:type="fixed"/>
        <w:tblLook w:val="04A0" w:firstRow="1" w:lastRow="0" w:firstColumn="1" w:lastColumn="0" w:noHBand="0" w:noVBand="1"/>
      </w:tblPr>
      <w:tblGrid>
        <w:gridCol w:w="993"/>
        <w:gridCol w:w="2551"/>
        <w:gridCol w:w="2410"/>
        <w:gridCol w:w="1701"/>
        <w:gridCol w:w="1134"/>
      </w:tblGrid>
      <w:tr w:rsidR="00E024EF" w:rsidRPr="00C96146" w14:paraId="19EFE395" w14:textId="77777777" w:rsidTr="006F434D">
        <w:trPr>
          <w:trHeight w:val="20"/>
        </w:trPr>
        <w:tc>
          <w:tcPr>
            <w:tcW w:w="8789" w:type="dxa"/>
            <w:gridSpan w:val="5"/>
            <w:shd w:val="clear" w:color="000000" w:fill="FFFFFF"/>
            <w:noWrap/>
            <w:vAlign w:val="bottom"/>
          </w:tcPr>
          <w:p w14:paraId="344B81BC" w14:textId="77777777" w:rsidR="00E61B4B" w:rsidRDefault="00F56C3F" w:rsidP="00E61B4B">
            <w:pPr>
              <w:jc w:val="center"/>
              <w:rPr>
                <w:rFonts w:cs="Times New Roman"/>
                <w:b/>
                <w:szCs w:val="40"/>
              </w:rPr>
            </w:pPr>
            <w:r w:rsidRPr="00F56C3F">
              <w:rPr>
                <w:rFonts w:cs="Times New Roman"/>
                <w:szCs w:val="40"/>
              </w:rPr>
              <w:t>7.tab.</w:t>
            </w:r>
            <w:r>
              <w:rPr>
                <w:rFonts w:cs="Times New Roman"/>
                <w:b/>
                <w:szCs w:val="40"/>
              </w:rPr>
              <w:t xml:space="preserve"> </w:t>
            </w:r>
            <w:r w:rsidRPr="00F56C3F">
              <w:rPr>
                <w:rFonts w:cs="Times New Roman"/>
                <w:b/>
                <w:szCs w:val="40"/>
              </w:rPr>
              <w:t>S</w:t>
            </w:r>
            <w:r w:rsidR="00E024EF" w:rsidRPr="00F56C3F">
              <w:rPr>
                <w:rFonts w:cs="Times New Roman"/>
                <w:b/>
                <w:szCs w:val="40"/>
              </w:rPr>
              <w:t>cenāriji atbalstam ģimenēm ar bērniem</w:t>
            </w:r>
          </w:p>
          <w:p w14:paraId="4FBCD2CD" w14:textId="77777777" w:rsidR="00E024EF" w:rsidRPr="00C96146" w:rsidRDefault="00E024EF" w:rsidP="00E61B4B">
            <w:pPr>
              <w:spacing w:after="120"/>
              <w:jc w:val="center"/>
              <w:rPr>
                <w:rFonts w:eastAsia="Times New Roman" w:cs="Times New Roman"/>
                <w:bCs/>
                <w:sz w:val="20"/>
                <w:szCs w:val="24"/>
              </w:rPr>
            </w:pPr>
            <w:r w:rsidRPr="00F56C3F">
              <w:rPr>
                <w:rFonts w:cs="Times New Roman"/>
                <w:b/>
                <w:szCs w:val="40"/>
              </w:rPr>
              <w:t xml:space="preserve"> </w:t>
            </w:r>
            <w:r w:rsidR="00F56C3F">
              <w:rPr>
                <w:rFonts w:cs="Times New Roman"/>
                <w:b/>
                <w:color w:val="0070C0"/>
                <w:szCs w:val="40"/>
              </w:rPr>
              <w:t>(L</w:t>
            </w:r>
            <w:r w:rsidR="00E61B4B">
              <w:rPr>
                <w:rFonts w:cs="Times New Roman"/>
                <w:b/>
                <w:color w:val="0070C0"/>
                <w:szCs w:val="40"/>
              </w:rPr>
              <w:t>abklājības ministrijas</w:t>
            </w:r>
            <w:r w:rsidR="00F56C3F">
              <w:rPr>
                <w:rFonts w:cs="Times New Roman"/>
                <w:b/>
                <w:color w:val="0070C0"/>
                <w:szCs w:val="40"/>
              </w:rPr>
              <w:t xml:space="preserve"> priekšlikumi)</w:t>
            </w:r>
          </w:p>
        </w:tc>
      </w:tr>
      <w:tr w:rsidR="00E024EF" w:rsidRPr="00C96146" w14:paraId="71652740" w14:textId="77777777" w:rsidTr="006F434D">
        <w:trPr>
          <w:cantSplit/>
          <w:trHeight w:val="1134"/>
        </w:trPr>
        <w:tc>
          <w:tcPr>
            <w:tcW w:w="993" w:type="dxa"/>
            <w:tcBorders>
              <w:top w:val="single" w:sz="8" w:space="0" w:color="auto"/>
              <w:left w:val="single" w:sz="8" w:space="0" w:color="auto"/>
              <w:right w:val="single" w:sz="8" w:space="0" w:color="FFFFFF" w:themeColor="background1"/>
            </w:tcBorders>
            <w:shd w:val="clear" w:color="000000" w:fill="002060"/>
            <w:textDirection w:val="btLr"/>
            <w:vAlign w:val="center"/>
          </w:tcPr>
          <w:p w14:paraId="22FA8E31" w14:textId="77777777" w:rsidR="00E024EF" w:rsidRPr="00E024EF" w:rsidRDefault="00E024EF" w:rsidP="00E024EF">
            <w:pPr>
              <w:ind w:left="113" w:right="113"/>
              <w:jc w:val="center"/>
              <w:rPr>
                <w:rFonts w:eastAsia="Times New Roman" w:cs="Times New Roman"/>
                <w:b/>
                <w:bCs/>
                <w:color w:val="FFFFFF"/>
                <w:sz w:val="22"/>
              </w:rPr>
            </w:pPr>
            <w:r w:rsidRPr="00E024EF">
              <w:rPr>
                <w:rFonts w:eastAsia="Times New Roman" w:cs="Times New Roman"/>
                <w:b/>
                <w:bCs/>
                <w:color w:val="FFFFFF"/>
                <w:sz w:val="22"/>
              </w:rPr>
              <w:t>Scenāriji</w:t>
            </w:r>
          </w:p>
        </w:tc>
        <w:tc>
          <w:tcPr>
            <w:tcW w:w="4961" w:type="dxa"/>
            <w:gridSpan w:val="2"/>
            <w:tcBorders>
              <w:top w:val="single" w:sz="8" w:space="0" w:color="auto"/>
              <w:left w:val="single" w:sz="8" w:space="0" w:color="FFFFFF" w:themeColor="background1"/>
              <w:right w:val="single" w:sz="4" w:space="0" w:color="FFFFFF" w:themeColor="background1"/>
            </w:tcBorders>
            <w:shd w:val="clear" w:color="000000" w:fill="002060"/>
            <w:noWrap/>
            <w:vAlign w:val="center"/>
          </w:tcPr>
          <w:p w14:paraId="012DB716" w14:textId="77777777" w:rsidR="00E024EF" w:rsidRDefault="00E024EF" w:rsidP="00E024EF">
            <w:pPr>
              <w:jc w:val="center"/>
              <w:rPr>
                <w:rFonts w:eastAsia="Times New Roman" w:cs="Times New Roman"/>
                <w:bCs/>
                <w:i/>
                <w:color w:val="FFFFFF"/>
                <w:sz w:val="22"/>
              </w:rPr>
            </w:pPr>
            <w:r>
              <w:rPr>
                <w:rFonts w:eastAsia="Times New Roman" w:cs="Times New Roman"/>
                <w:b/>
                <w:bCs/>
                <w:color w:val="FFFFFF"/>
                <w:sz w:val="22"/>
              </w:rPr>
              <w:t>Ģimenes valsts pabalsti (ĢVP),</w:t>
            </w:r>
            <w:r w:rsidRPr="00E024EF">
              <w:rPr>
                <w:rFonts w:eastAsia="Times New Roman" w:cs="Times New Roman"/>
                <w:bCs/>
                <w:i/>
                <w:color w:val="FFFFFF"/>
                <w:sz w:val="22"/>
              </w:rPr>
              <w:t xml:space="preserve"> </w:t>
            </w:r>
          </w:p>
          <w:p w14:paraId="51D56CD5" w14:textId="77777777" w:rsidR="00E024EF" w:rsidRPr="00E024EF" w:rsidRDefault="00E024EF" w:rsidP="00E024EF">
            <w:pPr>
              <w:jc w:val="center"/>
              <w:rPr>
                <w:rFonts w:eastAsia="Times New Roman" w:cs="Times New Roman"/>
                <w:b/>
                <w:bCs/>
                <w:color w:val="FFFFFF"/>
                <w:sz w:val="22"/>
              </w:rPr>
            </w:pPr>
            <w:r w:rsidRPr="00E024EF">
              <w:rPr>
                <w:rFonts w:eastAsia="Times New Roman" w:cs="Times New Roman"/>
                <w:bCs/>
                <w:i/>
                <w:color w:val="FFFFFF"/>
                <w:sz w:val="22"/>
              </w:rPr>
              <w:t>euro mēnesī</w:t>
            </w:r>
          </w:p>
        </w:tc>
        <w:tc>
          <w:tcPr>
            <w:tcW w:w="1701" w:type="dxa"/>
            <w:tcBorders>
              <w:top w:val="single" w:sz="8" w:space="0" w:color="auto"/>
              <w:left w:val="single" w:sz="8" w:space="0" w:color="FFFFFF" w:themeColor="background1"/>
              <w:right w:val="single" w:sz="4" w:space="0" w:color="FFFFFF" w:themeColor="background1"/>
            </w:tcBorders>
            <w:shd w:val="clear" w:color="000000" w:fill="002060"/>
            <w:vAlign w:val="center"/>
          </w:tcPr>
          <w:p w14:paraId="03BCF6CF" w14:textId="77777777" w:rsidR="00E024EF" w:rsidRPr="00E024EF" w:rsidRDefault="00E024EF" w:rsidP="00E024EF">
            <w:pPr>
              <w:jc w:val="center"/>
              <w:rPr>
                <w:rFonts w:eastAsia="Times New Roman" w:cs="Times New Roman"/>
                <w:b/>
                <w:bCs/>
                <w:color w:val="FFFFFF"/>
                <w:sz w:val="22"/>
              </w:rPr>
            </w:pPr>
            <w:r w:rsidRPr="00E024EF">
              <w:rPr>
                <w:rFonts w:eastAsia="Times New Roman" w:cs="Times New Roman"/>
                <w:b/>
                <w:bCs/>
                <w:color w:val="FFFFFF"/>
                <w:sz w:val="22"/>
              </w:rPr>
              <w:t>Atvieglojums par apgādībā esošu bērnu (strādājošiem)</w:t>
            </w:r>
            <w:r>
              <w:rPr>
                <w:rFonts w:eastAsia="Times New Roman" w:cs="Times New Roman"/>
                <w:b/>
                <w:bCs/>
                <w:color w:val="FFFFFF"/>
                <w:sz w:val="22"/>
              </w:rPr>
              <w:t xml:space="preserve">, </w:t>
            </w:r>
            <w:r w:rsidRPr="00E024EF">
              <w:rPr>
                <w:rFonts w:eastAsia="Times New Roman" w:cs="Times New Roman"/>
                <w:bCs/>
                <w:i/>
                <w:color w:val="FFFFFF"/>
                <w:sz w:val="22"/>
              </w:rPr>
              <w:t>euro mēnesī</w:t>
            </w:r>
          </w:p>
        </w:tc>
        <w:tc>
          <w:tcPr>
            <w:tcW w:w="1134" w:type="dxa"/>
            <w:tcBorders>
              <w:top w:val="single" w:sz="8" w:space="0" w:color="auto"/>
              <w:left w:val="single" w:sz="8" w:space="0" w:color="FFFFFF" w:themeColor="background1"/>
              <w:right w:val="single" w:sz="8" w:space="0" w:color="auto"/>
            </w:tcBorders>
            <w:shd w:val="clear" w:color="000000" w:fill="002060"/>
            <w:vAlign w:val="center"/>
          </w:tcPr>
          <w:p w14:paraId="03551076" w14:textId="77777777" w:rsidR="00E024EF" w:rsidRPr="00E024EF" w:rsidRDefault="00E024EF" w:rsidP="00E024EF">
            <w:pPr>
              <w:jc w:val="center"/>
              <w:rPr>
                <w:rFonts w:eastAsia="Times New Roman" w:cs="Times New Roman"/>
                <w:b/>
                <w:bCs/>
                <w:color w:val="FFFFFF"/>
                <w:sz w:val="22"/>
              </w:rPr>
            </w:pPr>
            <w:r>
              <w:rPr>
                <w:rFonts w:eastAsia="Times New Roman" w:cs="Times New Roman"/>
                <w:b/>
                <w:bCs/>
                <w:color w:val="FFFFFF"/>
                <w:sz w:val="22"/>
              </w:rPr>
              <w:t xml:space="preserve">Fiskālā ietekme, </w:t>
            </w:r>
            <w:r w:rsidRPr="00E024EF">
              <w:rPr>
                <w:rFonts w:eastAsia="Times New Roman" w:cs="Times New Roman"/>
                <w:bCs/>
                <w:i/>
                <w:color w:val="FFFFFF"/>
                <w:sz w:val="22"/>
              </w:rPr>
              <w:t>milj. euro</w:t>
            </w:r>
          </w:p>
        </w:tc>
      </w:tr>
      <w:tr w:rsidR="00E024EF" w:rsidRPr="00C96146" w14:paraId="10D879C9" w14:textId="77777777" w:rsidTr="006F434D">
        <w:trPr>
          <w:trHeight w:val="20"/>
        </w:trPr>
        <w:tc>
          <w:tcPr>
            <w:tcW w:w="993" w:type="dxa"/>
            <w:vMerge w:val="restart"/>
            <w:tcBorders>
              <w:top w:val="nil"/>
              <w:left w:val="single" w:sz="8" w:space="0" w:color="auto"/>
              <w:right w:val="single" w:sz="4" w:space="0" w:color="auto"/>
            </w:tcBorders>
            <w:shd w:val="clear" w:color="auto" w:fill="D9D9D9" w:themeFill="background1" w:themeFillShade="D9"/>
          </w:tcPr>
          <w:p w14:paraId="509FBEC8" w14:textId="77777777" w:rsidR="00E024EF" w:rsidRPr="00E024EF" w:rsidRDefault="00E024EF" w:rsidP="00E024EF">
            <w:pPr>
              <w:rPr>
                <w:rFonts w:eastAsia="Times New Roman" w:cs="Times New Roman"/>
                <w:b/>
                <w:bCs/>
                <w:sz w:val="22"/>
              </w:rPr>
            </w:pPr>
            <w:r w:rsidRPr="00E024EF">
              <w:rPr>
                <w:rFonts w:eastAsia="Times New Roman" w:cs="Times New Roman"/>
                <w:b/>
                <w:bCs/>
                <w:sz w:val="22"/>
              </w:rPr>
              <w:t>Pašlaik</w:t>
            </w:r>
          </w:p>
        </w:tc>
        <w:tc>
          <w:tcPr>
            <w:tcW w:w="2551" w:type="dxa"/>
            <w:tcBorders>
              <w:top w:val="nil"/>
              <w:left w:val="single" w:sz="8" w:space="0" w:color="auto"/>
              <w:bottom w:val="single" w:sz="4" w:space="0" w:color="auto"/>
              <w:right w:val="single" w:sz="4" w:space="0" w:color="auto"/>
            </w:tcBorders>
            <w:shd w:val="clear" w:color="auto" w:fill="D9D9D9" w:themeFill="background1" w:themeFillShade="D9"/>
            <w:noWrap/>
            <w:vAlign w:val="bottom"/>
          </w:tcPr>
          <w:p w14:paraId="1B66EB3B" w14:textId="77777777" w:rsidR="00E024EF" w:rsidRPr="00F56C3F" w:rsidRDefault="00E024EF" w:rsidP="00F56C3F">
            <w:pPr>
              <w:jc w:val="center"/>
              <w:rPr>
                <w:rFonts w:eastAsia="Times New Roman" w:cs="Times New Roman"/>
                <w:b/>
                <w:bCs/>
                <w:sz w:val="22"/>
              </w:rPr>
            </w:pPr>
            <w:r w:rsidRPr="00F56C3F">
              <w:rPr>
                <w:rFonts w:eastAsia="Times New Roman" w:cs="Times New Roman"/>
                <w:b/>
                <w:bCs/>
                <w:sz w:val="22"/>
              </w:rPr>
              <w:t>ĢVP</w:t>
            </w:r>
          </w:p>
        </w:tc>
        <w:tc>
          <w:tcPr>
            <w:tcW w:w="2410" w:type="dxa"/>
            <w:tcBorders>
              <w:top w:val="nil"/>
              <w:left w:val="single" w:sz="8" w:space="0" w:color="auto"/>
              <w:bottom w:val="single" w:sz="4" w:space="0" w:color="auto"/>
              <w:right w:val="single" w:sz="4" w:space="0" w:color="auto"/>
            </w:tcBorders>
            <w:shd w:val="clear" w:color="auto" w:fill="D9D9D9" w:themeFill="background1" w:themeFillShade="D9"/>
            <w:vAlign w:val="bottom"/>
          </w:tcPr>
          <w:p w14:paraId="565AF17A" w14:textId="77777777" w:rsidR="00E024EF" w:rsidRPr="00F56C3F" w:rsidRDefault="00E024EF" w:rsidP="00F56C3F">
            <w:pPr>
              <w:jc w:val="center"/>
              <w:rPr>
                <w:rFonts w:eastAsia="Times New Roman" w:cs="Times New Roman"/>
                <w:b/>
                <w:bCs/>
                <w:sz w:val="22"/>
              </w:rPr>
            </w:pPr>
            <w:r w:rsidRPr="00F56C3F">
              <w:rPr>
                <w:rFonts w:eastAsia="Times New Roman" w:cs="Times New Roman"/>
                <w:b/>
                <w:bCs/>
                <w:sz w:val="22"/>
              </w:rPr>
              <w:t>Piemaksas pie ĢVP</w:t>
            </w:r>
          </w:p>
        </w:tc>
        <w:tc>
          <w:tcPr>
            <w:tcW w:w="1701" w:type="dxa"/>
            <w:vMerge w:val="restart"/>
            <w:tcBorders>
              <w:top w:val="nil"/>
              <w:left w:val="single" w:sz="8" w:space="0" w:color="auto"/>
              <w:right w:val="single" w:sz="4" w:space="0" w:color="auto"/>
            </w:tcBorders>
            <w:shd w:val="clear" w:color="auto" w:fill="D9D9D9" w:themeFill="background1" w:themeFillShade="D9"/>
            <w:vAlign w:val="center"/>
          </w:tcPr>
          <w:p w14:paraId="79EEB440" w14:textId="77777777" w:rsidR="00E024EF" w:rsidRPr="00E024EF" w:rsidRDefault="00E024EF" w:rsidP="00E024EF">
            <w:pPr>
              <w:jc w:val="center"/>
              <w:rPr>
                <w:rFonts w:eastAsia="Times New Roman" w:cs="Times New Roman"/>
                <w:b/>
                <w:bCs/>
                <w:sz w:val="22"/>
              </w:rPr>
            </w:pPr>
            <w:r w:rsidRPr="00E024EF">
              <w:rPr>
                <w:rFonts w:eastAsia="Times New Roman" w:cs="Times New Roman"/>
                <w:b/>
                <w:bCs/>
                <w:sz w:val="22"/>
              </w:rPr>
              <w:t>250</w:t>
            </w:r>
          </w:p>
        </w:tc>
        <w:tc>
          <w:tcPr>
            <w:tcW w:w="1134" w:type="dxa"/>
            <w:vMerge w:val="restart"/>
            <w:tcBorders>
              <w:top w:val="nil"/>
              <w:left w:val="single" w:sz="8" w:space="0" w:color="auto"/>
              <w:right w:val="single" w:sz="8" w:space="0" w:color="auto"/>
            </w:tcBorders>
            <w:shd w:val="clear" w:color="auto" w:fill="D9D9D9" w:themeFill="background1" w:themeFillShade="D9"/>
            <w:vAlign w:val="center"/>
          </w:tcPr>
          <w:p w14:paraId="558600C5" w14:textId="77777777" w:rsidR="00E024EF" w:rsidRPr="00E024EF" w:rsidRDefault="00E024EF" w:rsidP="00E024EF">
            <w:pPr>
              <w:jc w:val="center"/>
              <w:rPr>
                <w:rFonts w:eastAsia="Times New Roman" w:cs="Times New Roman"/>
                <w:bCs/>
                <w:sz w:val="22"/>
              </w:rPr>
            </w:pPr>
          </w:p>
        </w:tc>
      </w:tr>
      <w:tr w:rsidR="00E024EF" w:rsidRPr="00C96146" w14:paraId="31B09C48" w14:textId="77777777" w:rsidTr="006F434D">
        <w:trPr>
          <w:trHeight w:val="20"/>
        </w:trPr>
        <w:tc>
          <w:tcPr>
            <w:tcW w:w="993" w:type="dxa"/>
            <w:vMerge/>
            <w:tcBorders>
              <w:left w:val="single" w:sz="8" w:space="0" w:color="auto"/>
              <w:bottom w:val="single" w:sz="4" w:space="0" w:color="auto"/>
              <w:right w:val="single" w:sz="4" w:space="0" w:color="auto"/>
            </w:tcBorders>
            <w:shd w:val="clear" w:color="000000" w:fill="FFFFFF"/>
          </w:tcPr>
          <w:p w14:paraId="5BC4BCEE" w14:textId="77777777" w:rsidR="00E024EF" w:rsidRPr="00E024EF" w:rsidRDefault="00E024EF" w:rsidP="00E024EF">
            <w:pPr>
              <w:rPr>
                <w:rFonts w:eastAsia="Times New Roman" w:cs="Times New Roman"/>
                <w:b/>
                <w:bCs/>
                <w:sz w:val="22"/>
              </w:rPr>
            </w:pPr>
          </w:p>
        </w:tc>
        <w:tc>
          <w:tcPr>
            <w:tcW w:w="2551" w:type="dxa"/>
            <w:tcBorders>
              <w:top w:val="nil"/>
              <w:left w:val="single" w:sz="8" w:space="0" w:color="auto"/>
              <w:bottom w:val="single" w:sz="4" w:space="0" w:color="auto"/>
              <w:right w:val="single" w:sz="4" w:space="0" w:color="auto"/>
            </w:tcBorders>
            <w:shd w:val="clear" w:color="auto" w:fill="D9D9D9" w:themeFill="background1" w:themeFillShade="D9"/>
            <w:noWrap/>
            <w:vAlign w:val="bottom"/>
          </w:tcPr>
          <w:p w14:paraId="2590D70C" w14:textId="77777777" w:rsidR="00E024EF" w:rsidRPr="00F56C3F" w:rsidRDefault="006F434D" w:rsidP="00E024EF">
            <w:pPr>
              <w:rPr>
                <w:rFonts w:eastAsia="Times New Roman" w:cs="Times New Roman"/>
                <w:b/>
                <w:bCs/>
                <w:sz w:val="22"/>
              </w:rPr>
            </w:pPr>
            <w:r>
              <w:rPr>
                <w:rFonts w:eastAsia="Times New Roman" w:cs="Times New Roman"/>
                <w:bCs/>
                <w:sz w:val="22"/>
              </w:rPr>
              <w:t xml:space="preserve">Par pirmo </w:t>
            </w:r>
            <w:r w:rsidR="00E024EF">
              <w:rPr>
                <w:rFonts w:eastAsia="Times New Roman" w:cs="Times New Roman"/>
                <w:bCs/>
                <w:sz w:val="22"/>
              </w:rPr>
              <w:t xml:space="preserve">bērnu </w:t>
            </w:r>
            <w:r w:rsidR="00F56C3F">
              <w:rPr>
                <w:rFonts w:eastAsia="Times New Roman" w:cs="Times New Roman"/>
                <w:bCs/>
                <w:sz w:val="22"/>
              </w:rPr>
              <w:t>–</w:t>
            </w:r>
            <w:r w:rsidR="00E024EF">
              <w:rPr>
                <w:rFonts w:eastAsia="Times New Roman" w:cs="Times New Roman"/>
                <w:bCs/>
                <w:sz w:val="22"/>
              </w:rPr>
              <w:t xml:space="preserve"> </w:t>
            </w:r>
            <w:r w:rsidR="00E024EF" w:rsidRPr="00F56C3F">
              <w:rPr>
                <w:rFonts w:eastAsia="Times New Roman" w:cs="Times New Roman"/>
                <w:b/>
                <w:bCs/>
                <w:sz w:val="22"/>
              </w:rPr>
              <w:t>11,38</w:t>
            </w:r>
          </w:p>
          <w:p w14:paraId="4096A001" w14:textId="77777777" w:rsidR="00E024EF" w:rsidRDefault="00E024EF" w:rsidP="00E024EF">
            <w:pPr>
              <w:rPr>
                <w:rFonts w:eastAsia="Times New Roman" w:cs="Times New Roman"/>
                <w:bCs/>
                <w:sz w:val="22"/>
              </w:rPr>
            </w:pPr>
            <w:r>
              <w:rPr>
                <w:rFonts w:eastAsia="Times New Roman" w:cs="Times New Roman"/>
                <w:bCs/>
                <w:sz w:val="22"/>
              </w:rPr>
              <w:t>P</w:t>
            </w:r>
            <w:r w:rsidRPr="00E024EF">
              <w:rPr>
                <w:rFonts w:eastAsia="Times New Roman" w:cs="Times New Roman"/>
                <w:bCs/>
                <w:sz w:val="22"/>
              </w:rPr>
              <w:t xml:space="preserve">ar </w:t>
            </w:r>
            <w:r w:rsidR="006F434D">
              <w:rPr>
                <w:rFonts w:eastAsia="Times New Roman" w:cs="Times New Roman"/>
                <w:bCs/>
                <w:sz w:val="22"/>
              </w:rPr>
              <w:t xml:space="preserve">otro </w:t>
            </w:r>
            <w:r w:rsidRPr="00E024EF">
              <w:rPr>
                <w:rFonts w:eastAsia="Times New Roman" w:cs="Times New Roman"/>
                <w:bCs/>
                <w:sz w:val="22"/>
              </w:rPr>
              <w:t xml:space="preserve">bērnu </w:t>
            </w:r>
            <w:r w:rsidR="00F56C3F">
              <w:rPr>
                <w:rFonts w:eastAsia="Times New Roman" w:cs="Times New Roman"/>
                <w:bCs/>
                <w:sz w:val="22"/>
              </w:rPr>
              <w:t>–</w:t>
            </w:r>
            <w:r>
              <w:rPr>
                <w:rFonts w:eastAsia="Times New Roman" w:cs="Times New Roman"/>
                <w:bCs/>
                <w:sz w:val="22"/>
              </w:rPr>
              <w:t xml:space="preserve"> </w:t>
            </w:r>
            <w:r w:rsidRPr="00F56C3F">
              <w:rPr>
                <w:rFonts w:eastAsia="Times New Roman" w:cs="Times New Roman"/>
                <w:b/>
                <w:bCs/>
                <w:sz w:val="22"/>
              </w:rPr>
              <w:t>22,76</w:t>
            </w:r>
          </w:p>
          <w:p w14:paraId="6D852C7D" w14:textId="77777777" w:rsidR="00E024EF" w:rsidRDefault="00E024EF" w:rsidP="00E024EF">
            <w:pPr>
              <w:rPr>
                <w:rFonts w:eastAsia="Times New Roman" w:cs="Times New Roman"/>
                <w:bCs/>
                <w:sz w:val="22"/>
              </w:rPr>
            </w:pPr>
            <w:r>
              <w:rPr>
                <w:rFonts w:eastAsia="Times New Roman" w:cs="Times New Roman"/>
                <w:bCs/>
                <w:sz w:val="22"/>
              </w:rPr>
              <w:t>P</w:t>
            </w:r>
            <w:r w:rsidRPr="00E024EF">
              <w:rPr>
                <w:rFonts w:eastAsia="Times New Roman" w:cs="Times New Roman"/>
                <w:bCs/>
                <w:sz w:val="22"/>
              </w:rPr>
              <w:t xml:space="preserve">ar </w:t>
            </w:r>
            <w:r w:rsidR="006F434D">
              <w:rPr>
                <w:rFonts w:eastAsia="Times New Roman" w:cs="Times New Roman"/>
                <w:bCs/>
                <w:sz w:val="22"/>
              </w:rPr>
              <w:t xml:space="preserve">trešo </w:t>
            </w:r>
            <w:r w:rsidRPr="00E024EF">
              <w:rPr>
                <w:rFonts w:eastAsia="Times New Roman" w:cs="Times New Roman"/>
                <w:bCs/>
                <w:sz w:val="22"/>
              </w:rPr>
              <w:t xml:space="preserve">bērnu </w:t>
            </w:r>
            <w:r w:rsidR="00F56C3F">
              <w:rPr>
                <w:rFonts w:eastAsia="Times New Roman" w:cs="Times New Roman"/>
                <w:bCs/>
                <w:sz w:val="22"/>
              </w:rPr>
              <w:t>–</w:t>
            </w:r>
            <w:r w:rsidRPr="00E024EF">
              <w:rPr>
                <w:rFonts w:eastAsia="Times New Roman" w:cs="Times New Roman"/>
                <w:bCs/>
                <w:sz w:val="22"/>
              </w:rPr>
              <w:t xml:space="preserve"> </w:t>
            </w:r>
            <w:r w:rsidRPr="00F56C3F">
              <w:rPr>
                <w:rFonts w:eastAsia="Times New Roman" w:cs="Times New Roman"/>
                <w:b/>
                <w:bCs/>
                <w:sz w:val="22"/>
              </w:rPr>
              <w:t>34,14</w:t>
            </w:r>
          </w:p>
          <w:p w14:paraId="2908A75B" w14:textId="77777777" w:rsidR="00E024EF" w:rsidRDefault="00E024EF" w:rsidP="006F434D">
            <w:pPr>
              <w:rPr>
                <w:rFonts w:eastAsia="Times New Roman" w:cs="Times New Roman"/>
                <w:bCs/>
                <w:sz w:val="22"/>
              </w:rPr>
            </w:pPr>
            <w:r>
              <w:rPr>
                <w:rFonts w:eastAsia="Times New Roman" w:cs="Times New Roman"/>
                <w:bCs/>
                <w:sz w:val="22"/>
              </w:rPr>
              <w:t>P</w:t>
            </w:r>
            <w:r w:rsidRPr="00E024EF">
              <w:rPr>
                <w:rFonts w:eastAsia="Times New Roman" w:cs="Times New Roman"/>
                <w:bCs/>
                <w:sz w:val="22"/>
              </w:rPr>
              <w:t xml:space="preserve">ar </w:t>
            </w:r>
            <w:r w:rsidR="006F434D">
              <w:rPr>
                <w:rFonts w:eastAsia="Times New Roman" w:cs="Times New Roman"/>
                <w:bCs/>
                <w:sz w:val="22"/>
              </w:rPr>
              <w:t xml:space="preserve">ceturto </w:t>
            </w:r>
            <w:r>
              <w:rPr>
                <w:rFonts w:eastAsia="Times New Roman" w:cs="Times New Roman"/>
                <w:bCs/>
                <w:sz w:val="22"/>
              </w:rPr>
              <w:t>bērnu</w:t>
            </w:r>
            <w:r w:rsidR="00F56C3F">
              <w:rPr>
                <w:rFonts w:eastAsia="Times New Roman" w:cs="Times New Roman"/>
                <w:bCs/>
                <w:sz w:val="22"/>
              </w:rPr>
              <w:t xml:space="preserve"> un katru nākamo bērnu</w:t>
            </w:r>
            <w:r>
              <w:rPr>
                <w:rFonts w:eastAsia="Times New Roman" w:cs="Times New Roman"/>
                <w:bCs/>
                <w:sz w:val="22"/>
              </w:rPr>
              <w:t xml:space="preserve"> </w:t>
            </w:r>
            <w:r w:rsidR="00F56C3F">
              <w:rPr>
                <w:rFonts w:eastAsia="Times New Roman" w:cs="Times New Roman"/>
                <w:bCs/>
                <w:sz w:val="22"/>
              </w:rPr>
              <w:t>–</w:t>
            </w:r>
            <w:r>
              <w:rPr>
                <w:rFonts w:eastAsia="Times New Roman" w:cs="Times New Roman"/>
                <w:bCs/>
                <w:sz w:val="22"/>
              </w:rPr>
              <w:t xml:space="preserve"> </w:t>
            </w:r>
            <w:r w:rsidRPr="00F56C3F">
              <w:rPr>
                <w:rFonts w:eastAsia="Times New Roman" w:cs="Times New Roman"/>
                <w:b/>
                <w:bCs/>
                <w:sz w:val="22"/>
              </w:rPr>
              <w:t>50,07</w:t>
            </w:r>
          </w:p>
        </w:tc>
        <w:tc>
          <w:tcPr>
            <w:tcW w:w="2410" w:type="dxa"/>
            <w:tcBorders>
              <w:top w:val="nil"/>
              <w:left w:val="single" w:sz="8" w:space="0" w:color="auto"/>
              <w:bottom w:val="single" w:sz="4" w:space="0" w:color="auto"/>
              <w:right w:val="single" w:sz="4" w:space="0" w:color="auto"/>
            </w:tcBorders>
            <w:shd w:val="clear" w:color="auto" w:fill="D9D9D9" w:themeFill="background1" w:themeFillShade="D9"/>
          </w:tcPr>
          <w:p w14:paraId="4C090FEC" w14:textId="77777777" w:rsidR="00E024EF" w:rsidRDefault="00E024EF" w:rsidP="00F56C3F">
            <w:pPr>
              <w:rPr>
                <w:rFonts w:eastAsia="Times New Roman" w:cs="Times New Roman"/>
                <w:bCs/>
                <w:sz w:val="22"/>
              </w:rPr>
            </w:pPr>
          </w:p>
          <w:p w14:paraId="12B49D9D" w14:textId="77777777" w:rsidR="00F56C3F" w:rsidRDefault="00F56C3F" w:rsidP="00F56C3F">
            <w:pPr>
              <w:rPr>
                <w:rFonts w:eastAsia="Times New Roman" w:cs="Times New Roman"/>
                <w:bCs/>
                <w:sz w:val="22"/>
              </w:rPr>
            </w:pPr>
            <w:r>
              <w:rPr>
                <w:rFonts w:eastAsia="Times New Roman" w:cs="Times New Roman"/>
                <w:bCs/>
                <w:sz w:val="22"/>
              </w:rPr>
              <w:t xml:space="preserve">Par </w:t>
            </w:r>
            <w:r w:rsidR="006F434D">
              <w:rPr>
                <w:rFonts w:eastAsia="Times New Roman" w:cs="Times New Roman"/>
                <w:bCs/>
                <w:sz w:val="22"/>
              </w:rPr>
              <w:t>diviem</w:t>
            </w:r>
            <w:r>
              <w:rPr>
                <w:rFonts w:eastAsia="Times New Roman" w:cs="Times New Roman"/>
                <w:bCs/>
                <w:sz w:val="22"/>
              </w:rPr>
              <w:t xml:space="preserve"> bērniem – </w:t>
            </w:r>
            <w:r w:rsidRPr="00F56C3F">
              <w:rPr>
                <w:rFonts w:eastAsia="Times New Roman" w:cs="Times New Roman"/>
                <w:b/>
                <w:bCs/>
                <w:sz w:val="22"/>
              </w:rPr>
              <w:t>10</w:t>
            </w:r>
          </w:p>
          <w:p w14:paraId="360F5173" w14:textId="77777777" w:rsidR="00F56C3F" w:rsidRDefault="00F56C3F" w:rsidP="00F56C3F">
            <w:pPr>
              <w:rPr>
                <w:rFonts w:eastAsia="Times New Roman" w:cs="Times New Roman"/>
                <w:b/>
                <w:bCs/>
                <w:sz w:val="22"/>
              </w:rPr>
            </w:pPr>
            <w:r>
              <w:rPr>
                <w:rFonts w:eastAsia="Times New Roman" w:cs="Times New Roman"/>
                <w:bCs/>
                <w:sz w:val="22"/>
              </w:rPr>
              <w:t xml:space="preserve">Par </w:t>
            </w:r>
            <w:r w:rsidR="006F434D">
              <w:rPr>
                <w:rFonts w:eastAsia="Times New Roman" w:cs="Times New Roman"/>
                <w:bCs/>
                <w:sz w:val="22"/>
              </w:rPr>
              <w:t xml:space="preserve">trīs </w:t>
            </w:r>
            <w:r>
              <w:rPr>
                <w:rFonts w:eastAsia="Times New Roman" w:cs="Times New Roman"/>
                <w:bCs/>
                <w:sz w:val="22"/>
              </w:rPr>
              <w:t xml:space="preserve">bērniem – </w:t>
            </w:r>
            <w:r w:rsidRPr="00F56C3F">
              <w:rPr>
                <w:rFonts w:eastAsia="Times New Roman" w:cs="Times New Roman"/>
                <w:b/>
                <w:bCs/>
                <w:sz w:val="22"/>
              </w:rPr>
              <w:t>66</w:t>
            </w:r>
          </w:p>
          <w:p w14:paraId="04B47236" w14:textId="77777777" w:rsidR="00F56C3F" w:rsidRPr="00E024EF" w:rsidRDefault="00F56C3F" w:rsidP="00F56C3F">
            <w:pPr>
              <w:rPr>
                <w:rFonts w:eastAsia="Times New Roman" w:cs="Times New Roman"/>
                <w:bCs/>
                <w:sz w:val="22"/>
              </w:rPr>
            </w:pPr>
            <w:r>
              <w:rPr>
                <w:rFonts w:eastAsia="Times New Roman" w:cs="Times New Roman"/>
                <w:bCs/>
                <w:sz w:val="22"/>
              </w:rPr>
              <w:t>Par katru nākamo bērnu +</w:t>
            </w:r>
            <w:r w:rsidRPr="00F56C3F">
              <w:rPr>
                <w:rFonts w:eastAsia="Times New Roman" w:cs="Times New Roman"/>
                <w:b/>
                <w:bCs/>
                <w:sz w:val="22"/>
              </w:rPr>
              <w:t>50</w:t>
            </w:r>
            <w:r>
              <w:rPr>
                <w:rFonts w:eastAsia="Times New Roman" w:cs="Times New Roman"/>
                <w:bCs/>
                <w:sz w:val="22"/>
              </w:rPr>
              <w:t xml:space="preserve"> </w:t>
            </w:r>
          </w:p>
        </w:tc>
        <w:tc>
          <w:tcPr>
            <w:tcW w:w="1701" w:type="dxa"/>
            <w:vMerge/>
            <w:tcBorders>
              <w:left w:val="single" w:sz="8" w:space="0" w:color="auto"/>
              <w:bottom w:val="single" w:sz="4" w:space="0" w:color="auto"/>
              <w:right w:val="single" w:sz="4" w:space="0" w:color="auto"/>
            </w:tcBorders>
            <w:shd w:val="clear" w:color="000000" w:fill="FFFFFF"/>
            <w:vAlign w:val="center"/>
          </w:tcPr>
          <w:p w14:paraId="198E3565" w14:textId="77777777" w:rsidR="00E024EF" w:rsidRPr="00E024EF" w:rsidRDefault="00E024EF" w:rsidP="00E024EF">
            <w:pPr>
              <w:jc w:val="center"/>
              <w:rPr>
                <w:rFonts w:eastAsia="Times New Roman" w:cs="Times New Roman"/>
                <w:b/>
                <w:bCs/>
                <w:sz w:val="22"/>
              </w:rPr>
            </w:pPr>
          </w:p>
        </w:tc>
        <w:tc>
          <w:tcPr>
            <w:tcW w:w="1134" w:type="dxa"/>
            <w:vMerge/>
            <w:tcBorders>
              <w:left w:val="single" w:sz="8" w:space="0" w:color="auto"/>
              <w:bottom w:val="single" w:sz="4" w:space="0" w:color="auto"/>
              <w:right w:val="single" w:sz="8" w:space="0" w:color="auto"/>
            </w:tcBorders>
            <w:shd w:val="clear" w:color="000000" w:fill="FFFFFF"/>
            <w:vAlign w:val="center"/>
          </w:tcPr>
          <w:p w14:paraId="7FA32ADF" w14:textId="77777777" w:rsidR="00E024EF" w:rsidRPr="00E024EF" w:rsidRDefault="00E024EF" w:rsidP="00E024EF">
            <w:pPr>
              <w:jc w:val="center"/>
              <w:rPr>
                <w:rFonts w:eastAsia="Times New Roman" w:cs="Times New Roman"/>
                <w:bCs/>
                <w:sz w:val="22"/>
              </w:rPr>
            </w:pPr>
          </w:p>
        </w:tc>
      </w:tr>
      <w:tr w:rsidR="00E024EF" w:rsidRPr="00C96146" w14:paraId="6A79EAA0" w14:textId="77777777" w:rsidTr="006F434D">
        <w:trPr>
          <w:trHeight w:val="403"/>
        </w:trPr>
        <w:tc>
          <w:tcPr>
            <w:tcW w:w="993" w:type="dxa"/>
            <w:tcBorders>
              <w:top w:val="single" w:sz="4" w:space="0" w:color="auto"/>
              <w:left w:val="single" w:sz="8" w:space="0" w:color="auto"/>
              <w:bottom w:val="single" w:sz="4" w:space="0" w:color="auto"/>
              <w:right w:val="single" w:sz="4" w:space="0" w:color="000000"/>
            </w:tcBorders>
          </w:tcPr>
          <w:p w14:paraId="5F6845F4" w14:textId="77777777" w:rsidR="00E024EF" w:rsidRPr="00E024EF" w:rsidRDefault="00D32DFE" w:rsidP="00975926">
            <w:pPr>
              <w:rPr>
                <w:rFonts w:eastAsia="Times New Roman" w:cs="Times New Roman"/>
                <w:b/>
                <w:bCs/>
                <w:sz w:val="22"/>
              </w:rPr>
            </w:pPr>
            <w:r>
              <w:rPr>
                <w:rFonts w:eastAsia="Times New Roman" w:cs="Times New Roman"/>
                <w:b/>
                <w:bCs/>
                <w:sz w:val="22"/>
              </w:rPr>
              <w:t>A</w:t>
            </w:r>
          </w:p>
        </w:tc>
        <w:tc>
          <w:tcPr>
            <w:tcW w:w="4961" w:type="dxa"/>
            <w:gridSpan w:val="2"/>
            <w:tcBorders>
              <w:top w:val="single" w:sz="4" w:space="0" w:color="auto"/>
              <w:left w:val="single" w:sz="8" w:space="0" w:color="auto"/>
              <w:bottom w:val="single" w:sz="4" w:space="0" w:color="auto"/>
              <w:right w:val="single" w:sz="4" w:space="0" w:color="000000"/>
            </w:tcBorders>
            <w:shd w:val="clear" w:color="auto" w:fill="auto"/>
            <w:noWrap/>
          </w:tcPr>
          <w:p w14:paraId="3E508CA3" w14:textId="77777777" w:rsidR="00F56C3F" w:rsidRDefault="00F56C3F" w:rsidP="00975926">
            <w:pPr>
              <w:rPr>
                <w:rFonts w:eastAsia="Times New Roman" w:cs="Times New Roman"/>
                <w:b/>
                <w:bCs/>
                <w:color w:val="FF0000"/>
                <w:sz w:val="22"/>
              </w:rPr>
            </w:pPr>
            <w:r>
              <w:rPr>
                <w:rFonts w:eastAsia="Times New Roman" w:cs="Times New Roman"/>
                <w:bCs/>
                <w:sz w:val="22"/>
              </w:rPr>
              <w:t>P</w:t>
            </w:r>
            <w:r w:rsidR="006F434D">
              <w:rPr>
                <w:rFonts w:eastAsia="Times New Roman" w:cs="Times New Roman"/>
                <w:bCs/>
                <w:sz w:val="22"/>
              </w:rPr>
              <w:t>ar vienu</w:t>
            </w:r>
            <w:r w:rsidRPr="00E024EF">
              <w:rPr>
                <w:rFonts w:eastAsia="Times New Roman" w:cs="Times New Roman"/>
                <w:bCs/>
                <w:sz w:val="22"/>
              </w:rPr>
              <w:t xml:space="preserve"> bērnu</w:t>
            </w:r>
            <w:r w:rsidRPr="00E024EF">
              <w:rPr>
                <w:rFonts w:eastAsia="Times New Roman" w:cs="Times New Roman"/>
                <w:b/>
                <w:bCs/>
                <w:color w:val="FF0000"/>
                <w:sz w:val="22"/>
              </w:rPr>
              <w:t xml:space="preserve"> </w:t>
            </w:r>
            <w:r w:rsidRPr="00F56C3F">
              <w:rPr>
                <w:rFonts w:eastAsia="Times New Roman" w:cs="Times New Roman"/>
                <w:b/>
                <w:bCs/>
                <w:sz w:val="22"/>
              </w:rPr>
              <w:t>–</w:t>
            </w:r>
            <w:r>
              <w:rPr>
                <w:rFonts w:eastAsia="Times New Roman" w:cs="Times New Roman"/>
                <w:b/>
                <w:bCs/>
                <w:color w:val="FF0000"/>
                <w:sz w:val="22"/>
              </w:rPr>
              <w:t xml:space="preserve"> </w:t>
            </w:r>
            <w:r w:rsidR="00E024EF" w:rsidRPr="00E024EF">
              <w:rPr>
                <w:rFonts w:eastAsia="Times New Roman" w:cs="Times New Roman"/>
                <w:b/>
                <w:bCs/>
                <w:color w:val="FF0000"/>
                <w:sz w:val="22"/>
              </w:rPr>
              <w:t>25</w:t>
            </w:r>
          </w:p>
          <w:p w14:paraId="333031BE" w14:textId="77777777" w:rsidR="00F56C3F" w:rsidRDefault="00F56C3F" w:rsidP="00975926">
            <w:pPr>
              <w:rPr>
                <w:rFonts w:eastAsia="Times New Roman" w:cs="Times New Roman"/>
                <w:b/>
                <w:bCs/>
                <w:color w:val="FF0000"/>
                <w:sz w:val="22"/>
              </w:rPr>
            </w:pPr>
            <w:r>
              <w:rPr>
                <w:rFonts w:eastAsia="Times New Roman" w:cs="Times New Roman"/>
                <w:bCs/>
                <w:sz w:val="22"/>
              </w:rPr>
              <w:t>P</w:t>
            </w:r>
            <w:r w:rsidRPr="00E024EF">
              <w:rPr>
                <w:rFonts w:eastAsia="Times New Roman" w:cs="Times New Roman"/>
                <w:bCs/>
                <w:sz w:val="22"/>
              </w:rPr>
              <w:t xml:space="preserve">ar </w:t>
            </w:r>
            <w:r w:rsidR="006F434D">
              <w:rPr>
                <w:rFonts w:eastAsia="Times New Roman" w:cs="Times New Roman"/>
                <w:bCs/>
                <w:sz w:val="22"/>
              </w:rPr>
              <w:t>diviem</w:t>
            </w:r>
            <w:r w:rsidRPr="00E024EF">
              <w:rPr>
                <w:rFonts w:eastAsia="Times New Roman" w:cs="Times New Roman"/>
                <w:bCs/>
                <w:sz w:val="22"/>
              </w:rPr>
              <w:t xml:space="preserve"> bērniem</w:t>
            </w:r>
            <w:r>
              <w:rPr>
                <w:rFonts w:eastAsia="Times New Roman" w:cs="Times New Roman"/>
                <w:bCs/>
                <w:sz w:val="22"/>
              </w:rPr>
              <w:t xml:space="preserve"> – </w:t>
            </w:r>
            <w:r w:rsidR="00E024EF" w:rsidRPr="00E024EF">
              <w:rPr>
                <w:rFonts w:eastAsia="Times New Roman" w:cs="Times New Roman"/>
                <w:b/>
                <w:bCs/>
                <w:color w:val="FF0000"/>
                <w:sz w:val="22"/>
              </w:rPr>
              <w:t>100</w:t>
            </w:r>
          </w:p>
          <w:p w14:paraId="5AF10869" w14:textId="77777777" w:rsidR="00F56C3F" w:rsidRDefault="00F56C3F" w:rsidP="00975926">
            <w:pPr>
              <w:rPr>
                <w:rFonts w:eastAsia="Times New Roman" w:cs="Times New Roman"/>
                <w:bCs/>
                <w:sz w:val="22"/>
              </w:rPr>
            </w:pPr>
            <w:r w:rsidRPr="00F56C3F">
              <w:rPr>
                <w:rFonts w:eastAsia="Times New Roman" w:cs="Times New Roman"/>
                <w:bCs/>
                <w:sz w:val="22"/>
              </w:rPr>
              <w:t>P</w:t>
            </w:r>
            <w:r w:rsidRPr="00E024EF">
              <w:rPr>
                <w:rFonts w:eastAsia="Times New Roman" w:cs="Times New Roman"/>
                <w:bCs/>
                <w:sz w:val="22"/>
              </w:rPr>
              <w:t xml:space="preserve">ar </w:t>
            </w:r>
            <w:r w:rsidR="006F434D">
              <w:rPr>
                <w:rFonts w:eastAsia="Times New Roman" w:cs="Times New Roman"/>
                <w:bCs/>
                <w:sz w:val="22"/>
              </w:rPr>
              <w:t>trīs</w:t>
            </w:r>
            <w:r w:rsidRPr="00E024EF">
              <w:rPr>
                <w:rFonts w:eastAsia="Times New Roman" w:cs="Times New Roman"/>
                <w:bCs/>
                <w:sz w:val="22"/>
              </w:rPr>
              <w:t xml:space="preserve"> bērniem </w:t>
            </w:r>
            <w:r>
              <w:rPr>
                <w:rFonts w:eastAsia="Times New Roman" w:cs="Times New Roman"/>
                <w:bCs/>
                <w:sz w:val="22"/>
              </w:rPr>
              <w:t xml:space="preserve">– </w:t>
            </w:r>
            <w:r w:rsidR="00E024EF" w:rsidRPr="00E024EF">
              <w:rPr>
                <w:rFonts w:eastAsia="Times New Roman" w:cs="Times New Roman"/>
                <w:b/>
                <w:bCs/>
                <w:color w:val="FF0000"/>
                <w:sz w:val="22"/>
              </w:rPr>
              <w:t>300</w:t>
            </w:r>
            <w:r w:rsidR="00E024EF" w:rsidRPr="00E024EF">
              <w:rPr>
                <w:rFonts w:eastAsia="Times New Roman" w:cs="Times New Roman"/>
                <w:bCs/>
                <w:sz w:val="22"/>
              </w:rPr>
              <w:t xml:space="preserve"> </w:t>
            </w:r>
          </w:p>
          <w:p w14:paraId="6BDC7B6F" w14:textId="77777777" w:rsidR="00E024EF" w:rsidRPr="00F56C3F" w:rsidRDefault="00F56C3F" w:rsidP="00975926">
            <w:pPr>
              <w:rPr>
                <w:rFonts w:eastAsia="Times New Roman" w:cs="Times New Roman"/>
                <w:b/>
                <w:bCs/>
                <w:color w:val="FF0000"/>
                <w:sz w:val="22"/>
              </w:rPr>
            </w:pPr>
            <w:r>
              <w:rPr>
                <w:rFonts w:eastAsia="Times New Roman" w:cs="Times New Roman"/>
                <w:bCs/>
                <w:sz w:val="22"/>
              </w:rPr>
              <w:t>P</w:t>
            </w:r>
            <w:r w:rsidRPr="00E024EF">
              <w:rPr>
                <w:rFonts w:eastAsia="Times New Roman" w:cs="Times New Roman"/>
                <w:bCs/>
                <w:sz w:val="22"/>
              </w:rPr>
              <w:t xml:space="preserve">ar katru nākamo </w:t>
            </w:r>
            <w:r w:rsidR="00E024EF" w:rsidRPr="00F56C3F">
              <w:rPr>
                <w:rFonts w:eastAsia="Times New Roman" w:cs="Times New Roman"/>
                <w:b/>
                <w:bCs/>
                <w:color w:val="FF0000"/>
                <w:sz w:val="22"/>
              </w:rPr>
              <w:t>+100</w:t>
            </w:r>
          </w:p>
        </w:tc>
        <w:tc>
          <w:tcPr>
            <w:tcW w:w="1701" w:type="dxa"/>
            <w:tcBorders>
              <w:top w:val="single" w:sz="4" w:space="0" w:color="auto"/>
              <w:left w:val="single" w:sz="8" w:space="0" w:color="auto"/>
              <w:bottom w:val="single" w:sz="4" w:space="0" w:color="auto"/>
              <w:right w:val="single" w:sz="4" w:space="0" w:color="000000"/>
            </w:tcBorders>
            <w:vAlign w:val="center"/>
          </w:tcPr>
          <w:p w14:paraId="0478429F" w14:textId="77777777" w:rsidR="00E024EF" w:rsidRPr="00E024EF" w:rsidRDefault="00E024EF" w:rsidP="00975926">
            <w:pPr>
              <w:jc w:val="center"/>
              <w:rPr>
                <w:rFonts w:eastAsia="Times New Roman" w:cs="Times New Roman"/>
                <w:bCs/>
                <w:color w:val="FF0000"/>
                <w:sz w:val="22"/>
              </w:rPr>
            </w:pPr>
            <w:r w:rsidRPr="00E024EF">
              <w:rPr>
                <w:rFonts w:eastAsia="Times New Roman" w:cs="Times New Roman"/>
                <w:b/>
                <w:bCs/>
                <w:color w:val="FF0000"/>
                <w:sz w:val="22"/>
              </w:rPr>
              <w:t>250</w:t>
            </w:r>
          </w:p>
        </w:tc>
        <w:tc>
          <w:tcPr>
            <w:tcW w:w="1134" w:type="dxa"/>
            <w:tcBorders>
              <w:top w:val="single" w:sz="4" w:space="0" w:color="auto"/>
              <w:left w:val="single" w:sz="8" w:space="0" w:color="auto"/>
              <w:bottom w:val="single" w:sz="4" w:space="0" w:color="auto"/>
              <w:right w:val="single" w:sz="8" w:space="0" w:color="auto"/>
            </w:tcBorders>
            <w:vAlign w:val="center"/>
          </w:tcPr>
          <w:p w14:paraId="14A07374" w14:textId="77777777" w:rsidR="00E024EF" w:rsidRPr="00E024EF" w:rsidRDefault="008B2E82" w:rsidP="00975926">
            <w:pPr>
              <w:jc w:val="center"/>
              <w:rPr>
                <w:rFonts w:eastAsia="Times New Roman" w:cs="Times New Roman"/>
                <w:b/>
                <w:bCs/>
                <w:color w:val="C00000"/>
                <w:sz w:val="22"/>
              </w:rPr>
            </w:pPr>
            <w:r>
              <w:rPr>
                <w:rFonts w:eastAsia="Times New Roman" w:cs="Times New Roman"/>
                <w:b/>
                <w:bCs/>
                <w:color w:val="C00000"/>
                <w:sz w:val="22"/>
              </w:rPr>
              <w:t>-97</w:t>
            </w:r>
          </w:p>
        </w:tc>
      </w:tr>
      <w:tr w:rsidR="00E024EF" w:rsidRPr="00C96146" w14:paraId="579DAFFD" w14:textId="77777777" w:rsidTr="006F434D">
        <w:trPr>
          <w:trHeight w:val="20"/>
        </w:trPr>
        <w:tc>
          <w:tcPr>
            <w:tcW w:w="993" w:type="dxa"/>
            <w:tcBorders>
              <w:top w:val="single" w:sz="4" w:space="0" w:color="auto"/>
              <w:left w:val="single" w:sz="8" w:space="0" w:color="auto"/>
              <w:bottom w:val="single" w:sz="4" w:space="0" w:color="auto"/>
              <w:right w:val="single" w:sz="4" w:space="0" w:color="000000"/>
            </w:tcBorders>
          </w:tcPr>
          <w:p w14:paraId="622AF2E2" w14:textId="77777777" w:rsidR="00E024EF" w:rsidRPr="00E024EF" w:rsidRDefault="00D32DFE" w:rsidP="00975926">
            <w:pPr>
              <w:rPr>
                <w:rFonts w:eastAsia="Times New Roman" w:cs="Times New Roman"/>
                <w:b/>
                <w:bCs/>
                <w:sz w:val="22"/>
              </w:rPr>
            </w:pPr>
            <w:r>
              <w:rPr>
                <w:rFonts w:eastAsia="Times New Roman" w:cs="Times New Roman"/>
                <w:b/>
                <w:bCs/>
                <w:sz w:val="22"/>
              </w:rPr>
              <w:t>B</w:t>
            </w:r>
          </w:p>
        </w:tc>
        <w:tc>
          <w:tcPr>
            <w:tcW w:w="4961" w:type="dxa"/>
            <w:gridSpan w:val="2"/>
            <w:tcBorders>
              <w:top w:val="single" w:sz="4" w:space="0" w:color="auto"/>
              <w:left w:val="single" w:sz="8" w:space="0" w:color="auto"/>
              <w:bottom w:val="single" w:sz="4" w:space="0" w:color="auto"/>
              <w:right w:val="single" w:sz="4" w:space="0" w:color="000000"/>
            </w:tcBorders>
            <w:shd w:val="clear" w:color="auto" w:fill="auto"/>
            <w:noWrap/>
          </w:tcPr>
          <w:p w14:paraId="24B4C47C" w14:textId="77777777" w:rsidR="00F56C3F" w:rsidRDefault="00F56C3F" w:rsidP="00975926">
            <w:pPr>
              <w:rPr>
                <w:rFonts w:eastAsia="Times New Roman" w:cs="Times New Roman"/>
                <w:b/>
                <w:bCs/>
                <w:color w:val="FF0000"/>
                <w:sz w:val="22"/>
              </w:rPr>
            </w:pPr>
            <w:r>
              <w:rPr>
                <w:rFonts w:eastAsia="Times New Roman" w:cs="Times New Roman"/>
                <w:bCs/>
                <w:sz w:val="22"/>
              </w:rPr>
              <w:t>P</w:t>
            </w:r>
            <w:r w:rsidRPr="00E024EF">
              <w:rPr>
                <w:rFonts w:eastAsia="Times New Roman" w:cs="Times New Roman"/>
                <w:bCs/>
                <w:sz w:val="22"/>
              </w:rPr>
              <w:t xml:space="preserve">ar </w:t>
            </w:r>
            <w:r w:rsidR="006F434D">
              <w:rPr>
                <w:rFonts w:eastAsia="Times New Roman" w:cs="Times New Roman"/>
                <w:bCs/>
                <w:sz w:val="22"/>
              </w:rPr>
              <w:t>vienu</w:t>
            </w:r>
            <w:r w:rsidRPr="00E024EF">
              <w:rPr>
                <w:rFonts w:eastAsia="Times New Roman" w:cs="Times New Roman"/>
                <w:bCs/>
                <w:sz w:val="22"/>
              </w:rPr>
              <w:t xml:space="preserve"> bērnu</w:t>
            </w:r>
            <w:r w:rsidRPr="00E024EF">
              <w:rPr>
                <w:rFonts w:eastAsia="Times New Roman" w:cs="Times New Roman"/>
                <w:b/>
                <w:bCs/>
                <w:color w:val="FF0000"/>
                <w:sz w:val="22"/>
              </w:rPr>
              <w:t xml:space="preserve"> </w:t>
            </w:r>
            <w:r w:rsidRPr="00F56C3F">
              <w:rPr>
                <w:rFonts w:eastAsia="Times New Roman" w:cs="Times New Roman"/>
                <w:b/>
                <w:bCs/>
                <w:sz w:val="22"/>
              </w:rPr>
              <w:t>–</w:t>
            </w:r>
            <w:r>
              <w:rPr>
                <w:rFonts w:eastAsia="Times New Roman" w:cs="Times New Roman"/>
                <w:b/>
                <w:bCs/>
                <w:color w:val="FF0000"/>
                <w:sz w:val="22"/>
              </w:rPr>
              <w:t xml:space="preserve"> </w:t>
            </w:r>
            <w:r w:rsidRPr="00E024EF">
              <w:rPr>
                <w:rFonts w:eastAsia="Times New Roman" w:cs="Times New Roman"/>
                <w:b/>
                <w:bCs/>
                <w:color w:val="FF0000"/>
                <w:sz w:val="22"/>
              </w:rPr>
              <w:t>25</w:t>
            </w:r>
          </w:p>
          <w:p w14:paraId="45E2909A" w14:textId="77777777" w:rsidR="00F56C3F" w:rsidRDefault="00F56C3F" w:rsidP="00975926">
            <w:pPr>
              <w:rPr>
                <w:rFonts w:eastAsia="Times New Roman" w:cs="Times New Roman"/>
                <w:b/>
                <w:bCs/>
                <w:color w:val="FF0000"/>
                <w:sz w:val="22"/>
              </w:rPr>
            </w:pPr>
            <w:r>
              <w:rPr>
                <w:rFonts w:eastAsia="Times New Roman" w:cs="Times New Roman"/>
                <w:bCs/>
                <w:sz w:val="22"/>
              </w:rPr>
              <w:t>P</w:t>
            </w:r>
            <w:r w:rsidRPr="00E024EF">
              <w:rPr>
                <w:rFonts w:eastAsia="Times New Roman" w:cs="Times New Roman"/>
                <w:bCs/>
                <w:sz w:val="22"/>
              </w:rPr>
              <w:t xml:space="preserve">ar </w:t>
            </w:r>
            <w:r w:rsidR="006F434D">
              <w:rPr>
                <w:rFonts w:eastAsia="Times New Roman" w:cs="Times New Roman"/>
                <w:bCs/>
                <w:sz w:val="22"/>
              </w:rPr>
              <w:t>diviem</w:t>
            </w:r>
            <w:r w:rsidRPr="00E024EF">
              <w:rPr>
                <w:rFonts w:eastAsia="Times New Roman" w:cs="Times New Roman"/>
                <w:bCs/>
                <w:sz w:val="22"/>
              </w:rPr>
              <w:t xml:space="preserve"> bērniem</w:t>
            </w:r>
            <w:r>
              <w:rPr>
                <w:rFonts w:eastAsia="Times New Roman" w:cs="Times New Roman"/>
                <w:bCs/>
                <w:sz w:val="22"/>
              </w:rPr>
              <w:t xml:space="preserve"> – </w:t>
            </w:r>
            <w:r w:rsidRPr="00E024EF">
              <w:rPr>
                <w:rFonts w:eastAsia="Times New Roman" w:cs="Times New Roman"/>
                <w:b/>
                <w:bCs/>
                <w:color w:val="FF0000"/>
                <w:sz w:val="22"/>
              </w:rPr>
              <w:t>100</w:t>
            </w:r>
          </w:p>
          <w:p w14:paraId="1CB9E53B" w14:textId="7A62A6B5" w:rsidR="003B5CEA" w:rsidRPr="003B5CEA" w:rsidRDefault="003B5CEA" w:rsidP="003B5CEA">
            <w:pPr>
              <w:autoSpaceDE w:val="0"/>
              <w:autoSpaceDN w:val="0"/>
              <w:adjustRightInd w:val="0"/>
              <w:rPr>
                <w:rFonts w:cs="Times New Roman"/>
                <w:b/>
                <w:bCs/>
                <w:sz w:val="22"/>
              </w:rPr>
            </w:pPr>
            <w:r w:rsidRPr="003B5CEA">
              <w:rPr>
                <w:rFonts w:cs="Times New Roman"/>
                <w:bCs/>
                <w:sz w:val="22"/>
              </w:rPr>
              <w:t xml:space="preserve">Par četriem bērniem </w:t>
            </w:r>
            <w:r>
              <w:rPr>
                <w:rFonts w:cs="Times New Roman"/>
                <w:bCs/>
                <w:sz w:val="22"/>
              </w:rPr>
              <w:t>–</w:t>
            </w:r>
            <w:r>
              <w:rPr>
                <w:rFonts w:cs="Times New Roman"/>
                <w:b/>
                <w:bCs/>
                <w:color w:val="37605E"/>
              </w:rPr>
              <w:t xml:space="preserve"> </w:t>
            </w:r>
            <w:r w:rsidRPr="003B5CEA">
              <w:rPr>
                <w:rFonts w:cs="Times New Roman"/>
                <w:b/>
                <w:bCs/>
                <w:color w:val="FF0000"/>
                <w:sz w:val="22"/>
              </w:rPr>
              <w:t>400</w:t>
            </w:r>
          </w:p>
          <w:p w14:paraId="62481AC8" w14:textId="0EB9C530" w:rsidR="00E024EF" w:rsidRPr="00F56C3F" w:rsidRDefault="003B5CEA" w:rsidP="00975926">
            <w:pPr>
              <w:rPr>
                <w:rFonts w:eastAsia="Times New Roman" w:cs="Times New Roman"/>
                <w:b/>
                <w:bCs/>
                <w:color w:val="FF0000"/>
                <w:sz w:val="22"/>
              </w:rPr>
            </w:pPr>
            <w:r w:rsidRPr="003B5CEA">
              <w:rPr>
                <w:rFonts w:cs="Times New Roman"/>
                <w:bCs/>
                <w:sz w:val="22"/>
              </w:rPr>
              <w:t xml:space="preserve">Par katru nākamo </w:t>
            </w:r>
            <w:r w:rsidRPr="003B5CEA">
              <w:rPr>
                <w:rFonts w:cs="Times New Roman"/>
                <w:b/>
                <w:bCs/>
                <w:color w:val="FF0000"/>
                <w:sz w:val="22"/>
              </w:rPr>
              <w:t>+100</w:t>
            </w:r>
            <w:r w:rsidRPr="003B5CEA">
              <w:rPr>
                <w:rFonts w:cs="Times New Roman"/>
                <w:b/>
                <w:bCs/>
                <w:color w:val="FF0000"/>
              </w:rPr>
              <w:t xml:space="preserve"> </w:t>
            </w:r>
          </w:p>
        </w:tc>
        <w:tc>
          <w:tcPr>
            <w:tcW w:w="1701" w:type="dxa"/>
            <w:tcBorders>
              <w:top w:val="single" w:sz="4" w:space="0" w:color="auto"/>
              <w:left w:val="single" w:sz="8" w:space="0" w:color="auto"/>
              <w:bottom w:val="single" w:sz="4" w:space="0" w:color="auto"/>
              <w:right w:val="single" w:sz="4" w:space="0" w:color="000000"/>
            </w:tcBorders>
            <w:vAlign w:val="center"/>
          </w:tcPr>
          <w:p w14:paraId="03385090" w14:textId="77777777" w:rsidR="00E024EF" w:rsidRPr="00E024EF" w:rsidRDefault="00E024EF" w:rsidP="00975926">
            <w:pPr>
              <w:jc w:val="center"/>
              <w:rPr>
                <w:rFonts w:eastAsia="Times New Roman" w:cs="Times New Roman"/>
                <w:bCs/>
                <w:color w:val="FF0000"/>
                <w:sz w:val="22"/>
              </w:rPr>
            </w:pPr>
            <w:r w:rsidRPr="00E024EF">
              <w:rPr>
                <w:rFonts w:eastAsia="Times New Roman" w:cs="Times New Roman"/>
                <w:b/>
                <w:bCs/>
                <w:color w:val="FF0000"/>
                <w:sz w:val="22"/>
              </w:rPr>
              <w:t>250</w:t>
            </w:r>
          </w:p>
        </w:tc>
        <w:tc>
          <w:tcPr>
            <w:tcW w:w="1134" w:type="dxa"/>
            <w:tcBorders>
              <w:top w:val="single" w:sz="4" w:space="0" w:color="auto"/>
              <w:left w:val="single" w:sz="8" w:space="0" w:color="auto"/>
              <w:bottom w:val="single" w:sz="4" w:space="0" w:color="auto"/>
              <w:right w:val="single" w:sz="8" w:space="0" w:color="auto"/>
            </w:tcBorders>
            <w:vAlign w:val="center"/>
          </w:tcPr>
          <w:p w14:paraId="227758FD" w14:textId="77777777" w:rsidR="00E024EF" w:rsidRPr="00E024EF" w:rsidRDefault="008B2E82" w:rsidP="008B2E82">
            <w:pPr>
              <w:jc w:val="center"/>
              <w:rPr>
                <w:rFonts w:eastAsia="Times New Roman" w:cs="Times New Roman"/>
                <w:b/>
                <w:bCs/>
                <w:color w:val="C00000"/>
                <w:sz w:val="22"/>
              </w:rPr>
            </w:pPr>
            <w:r>
              <w:rPr>
                <w:rFonts w:eastAsia="Times New Roman" w:cs="Times New Roman"/>
                <w:b/>
                <w:bCs/>
                <w:color w:val="C00000"/>
                <w:sz w:val="22"/>
              </w:rPr>
              <w:t>-81</w:t>
            </w:r>
          </w:p>
        </w:tc>
      </w:tr>
      <w:tr w:rsidR="00E024EF" w:rsidRPr="005E28D9" w14:paraId="38EF03BA" w14:textId="77777777" w:rsidTr="006F434D">
        <w:trPr>
          <w:trHeight w:val="329"/>
        </w:trPr>
        <w:tc>
          <w:tcPr>
            <w:tcW w:w="993" w:type="dxa"/>
            <w:tcBorders>
              <w:top w:val="single" w:sz="4" w:space="0" w:color="auto"/>
              <w:left w:val="single" w:sz="8" w:space="0" w:color="auto"/>
              <w:bottom w:val="single" w:sz="8" w:space="0" w:color="auto"/>
              <w:right w:val="single" w:sz="4" w:space="0" w:color="000000"/>
            </w:tcBorders>
            <w:shd w:val="clear" w:color="auto" w:fill="FFFF00"/>
            <w:vAlign w:val="center"/>
          </w:tcPr>
          <w:p w14:paraId="577551BA" w14:textId="77777777" w:rsidR="00E024EF" w:rsidRPr="00E024EF" w:rsidRDefault="00D32DFE" w:rsidP="00975926">
            <w:pPr>
              <w:rPr>
                <w:rFonts w:eastAsia="Times New Roman" w:cs="Times New Roman"/>
                <w:b/>
                <w:bCs/>
                <w:sz w:val="22"/>
              </w:rPr>
            </w:pPr>
            <w:r>
              <w:rPr>
                <w:rFonts w:eastAsia="Times New Roman" w:cs="Times New Roman"/>
                <w:b/>
                <w:bCs/>
                <w:sz w:val="22"/>
              </w:rPr>
              <w:t>C</w:t>
            </w:r>
          </w:p>
        </w:tc>
        <w:tc>
          <w:tcPr>
            <w:tcW w:w="4961" w:type="dxa"/>
            <w:gridSpan w:val="2"/>
            <w:tcBorders>
              <w:top w:val="single" w:sz="4" w:space="0" w:color="auto"/>
              <w:left w:val="single" w:sz="8" w:space="0" w:color="auto"/>
              <w:bottom w:val="single" w:sz="8" w:space="0" w:color="auto"/>
              <w:right w:val="single" w:sz="4" w:space="0" w:color="000000"/>
            </w:tcBorders>
            <w:shd w:val="clear" w:color="auto" w:fill="FFFF00"/>
            <w:noWrap/>
            <w:vAlign w:val="center"/>
          </w:tcPr>
          <w:p w14:paraId="4ACD3E16" w14:textId="77777777" w:rsidR="00E024EF" w:rsidRPr="00E024EF" w:rsidRDefault="00E024EF" w:rsidP="00975926">
            <w:pPr>
              <w:rPr>
                <w:rFonts w:eastAsia="Times New Roman" w:cs="Times New Roman"/>
                <w:b/>
                <w:bCs/>
                <w:sz w:val="22"/>
              </w:rPr>
            </w:pPr>
            <w:r w:rsidRPr="00E024EF">
              <w:rPr>
                <w:rFonts w:eastAsia="Times New Roman" w:cs="Times New Roman"/>
                <w:b/>
                <w:bCs/>
                <w:sz w:val="22"/>
              </w:rPr>
              <w:t>Kā pašreiz</w:t>
            </w:r>
            <w:r>
              <w:rPr>
                <w:rFonts w:eastAsia="Times New Roman" w:cs="Times New Roman"/>
                <w:b/>
                <w:bCs/>
                <w:sz w:val="22"/>
              </w:rPr>
              <w:t>,</w:t>
            </w:r>
            <w:r w:rsidRPr="00E024EF">
              <w:rPr>
                <w:rFonts w:eastAsia="Times New Roman" w:cs="Times New Roman"/>
                <w:b/>
                <w:bCs/>
                <w:sz w:val="22"/>
              </w:rPr>
              <w:t xml:space="preserve"> bet jauns </w:t>
            </w:r>
            <w:r w:rsidRPr="00D57433">
              <w:rPr>
                <w:rFonts w:eastAsia="Times New Roman" w:cs="Times New Roman"/>
                <w:b/>
                <w:bCs/>
                <w:color w:val="FF0000"/>
                <w:sz w:val="22"/>
              </w:rPr>
              <w:t xml:space="preserve">50 </w:t>
            </w:r>
            <w:r w:rsidRPr="00D57433">
              <w:rPr>
                <w:rFonts w:eastAsia="Times New Roman" w:cs="Times New Roman"/>
                <w:bCs/>
                <w:i/>
                <w:color w:val="FF0000"/>
                <w:sz w:val="22"/>
              </w:rPr>
              <w:t>euro</w:t>
            </w:r>
            <w:r w:rsidRPr="00D57433">
              <w:rPr>
                <w:rFonts w:eastAsia="Times New Roman" w:cs="Times New Roman"/>
                <w:b/>
                <w:bCs/>
                <w:color w:val="FF0000"/>
                <w:sz w:val="22"/>
              </w:rPr>
              <w:t xml:space="preserve"> </w:t>
            </w:r>
            <w:r w:rsidRPr="00E024EF">
              <w:rPr>
                <w:rFonts w:eastAsia="Times New Roman" w:cs="Times New Roman"/>
                <w:b/>
                <w:bCs/>
                <w:sz w:val="22"/>
              </w:rPr>
              <w:t>pabalsts</w:t>
            </w:r>
            <w:r>
              <w:rPr>
                <w:rFonts w:eastAsia="Times New Roman" w:cs="Times New Roman"/>
                <w:b/>
                <w:bCs/>
                <w:sz w:val="22"/>
              </w:rPr>
              <w:t xml:space="preserve"> strādājošajiem par bērniem</w:t>
            </w:r>
          </w:p>
        </w:tc>
        <w:tc>
          <w:tcPr>
            <w:tcW w:w="1701" w:type="dxa"/>
            <w:tcBorders>
              <w:top w:val="single" w:sz="4" w:space="0" w:color="auto"/>
              <w:left w:val="single" w:sz="8" w:space="0" w:color="auto"/>
              <w:bottom w:val="single" w:sz="8" w:space="0" w:color="auto"/>
              <w:right w:val="single" w:sz="4" w:space="0" w:color="000000"/>
            </w:tcBorders>
            <w:shd w:val="clear" w:color="auto" w:fill="FFFF00"/>
            <w:vAlign w:val="center"/>
          </w:tcPr>
          <w:p w14:paraId="3ED3B2F3" w14:textId="77777777" w:rsidR="00E024EF" w:rsidRPr="00E024EF" w:rsidRDefault="00E024EF" w:rsidP="00975926">
            <w:pPr>
              <w:jc w:val="center"/>
              <w:rPr>
                <w:rFonts w:eastAsia="Times New Roman" w:cs="Times New Roman"/>
                <w:b/>
                <w:bCs/>
                <w:sz w:val="22"/>
              </w:rPr>
            </w:pPr>
            <w:r w:rsidRPr="00E024EF">
              <w:rPr>
                <w:rFonts w:eastAsia="Times New Roman" w:cs="Times New Roman"/>
                <w:b/>
                <w:bCs/>
                <w:color w:val="FF0000"/>
                <w:sz w:val="22"/>
              </w:rPr>
              <w:t>0</w:t>
            </w:r>
          </w:p>
        </w:tc>
        <w:tc>
          <w:tcPr>
            <w:tcW w:w="1134" w:type="dxa"/>
            <w:tcBorders>
              <w:top w:val="single" w:sz="4" w:space="0" w:color="auto"/>
              <w:left w:val="single" w:sz="8" w:space="0" w:color="auto"/>
              <w:bottom w:val="single" w:sz="8" w:space="0" w:color="auto"/>
              <w:right w:val="single" w:sz="8" w:space="0" w:color="auto"/>
            </w:tcBorders>
            <w:shd w:val="clear" w:color="auto" w:fill="FFFF00"/>
            <w:vAlign w:val="center"/>
          </w:tcPr>
          <w:p w14:paraId="5A84EFC3" w14:textId="77777777" w:rsidR="00E024EF" w:rsidRPr="00E024EF" w:rsidRDefault="00E024EF" w:rsidP="00D75562">
            <w:pPr>
              <w:jc w:val="center"/>
              <w:rPr>
                <w:rFonts w:eastAsia="Times New Roman" w:cs="Times New Roman"/>
                <w:b/>
                <w:bCs/>
                <w:color w:val="C00000"/>
                <w:sz w:val="22"/>
              </w:rPr>
            </w:pPr>
            <w:r w:rsidRPr="00E024EF">
              <w:rPr>
                <w:rFonts w:eastAsia="Times New Roman" w:cs="Times New Roman"/>
                <w:b/>
                <w:bCs/>
                <w:color w:val="C00000"/>
                <w:sz w:val="22"/>
              </w:rPr>
              <w:t xml:space="preserve"> -</w:t>
            </w:r>
            <w:r w:rsidR="00D75562">
              <w:rPr>
                <w:rFonts w:eastAsia="Times New Roman" w:cs="Times New Roman"/>
                <w:b/>
                <w:bCs/>
                <w:color w:val="C00000"/>
                <w:sz w:val="22"/>
              </w:rPr>
              <w:t>30-45</w:t>
            </w:r>
          </w:p>
        </w:tc>
      </w:tr>
    </w:tbl>
    <w:p w14:paraId="446EC206" w14:textId="77777777" w:rsidR="008E27B2" w:rsidRDefault="008E27B2" w:rsidP="008E27B2">
      <w:pPr>
        <w:rPr>
          <w:sz w:val="26"/>
          <w:szCs w:val="26"/>
        </w:rPr>
      </w:pPr>
    </w:p>
    <w:p w14:paraId="681636A5" w14:textId="77777777" w:rsidR="00D57433" w:rsidRDefault="00975926" w:rsidP="00D57433">
      <w:pPr>
        <w:spacing w:after="120"/>
        <w:ind w:firstLine="709"/>
        <w:jc w:val="both"/>
        <w:rPr>
          <w:sz w:val="26"/>
          <w:szCs w:val="26"/>
        </w:rPr>
      </w:pPr>
      <w:r w:rsidRPr="00975926">
        <w:rPr>
          <w:b/>
          <w:sz w:val="26"/>
          <w:szCs w:val="26"/>
        </w:rPr>
        <w:lastRenderedPageBreak/>
        <w:t xml:space="preserve">Scenārijs </w:t>
      </w:r>
      <w:r w:rsidR="00D32DFE">
        <w:rPr>
          <w:b/>
          <w:sz w:val="26"/>
          <w:szCs w:val="26"/>
        </w:rPr>
        <w:t>A</w:t>
      </w:r>
      <w:r w:rsidRPr="00975926">
        <w:rPr>
          <w:b/>
          <w:sz w:val="26"/>
          <w:szCs w:val="26"/>
        </w:rPr>
        <w:t xml:space="preserve"> un </w:t>
      </w:r>
      <w:r w:rsidR="00D32DFE">
        <w:rPr>
          <w:b/>
          <w:sz w:val="26"/>
          <w:szCs w:val="26"/>
        </w:rPr>
        <w:t>B</w:t>
      </w:r>
      <w:r>
        <w:rPr>
          <w:sz w:val="26"/>
          <w:szCs w:val="26"/>
        </w:rPr>
        <w:t xml:space="preserve"> paredz ģ</w:t>
      </w:r>
      <w:r w:rsidRPr="00975926">
        <w:rPr>
          <w:sz w:val="26"/>
          <w:szCs w:val="26"/>
        </w:rPr>
        <w:t>imenes valsts pabalsta apmērs mēnesī tiek noteikts atkarībā no bērnu skaita ģimenē</w:t>
      </w:r>
      <w:r>
        <w:rPr>
          <w:sz w:val="26"/>
          <w:szCs w:val="26"/>
        </w:rPr>
        <w:t xml:space="preserve"> (š</w:t>
      </w:r>
      <w:r w:rsidRPr="00975926">
        <w:rPr>
          <w:sz w:val="26"/>
          <w:szCs w:val="26"/>
        </w:rPr>
        <w:t>obrīd ir atšķirīga bērnu uzskaite, aprēķinot ģimenes valsts pabalstu un piemaksu</w:t>
      </w:r>
      <w:r>
        <w:rPr>
          <w:sz w:val="26"/>
          <w:szCs w:val="26"/>
        </w:rPr>
        <w:t>)</w:t>
      </w:r>
      <w:r w:rsidRPr="00975926">
        <w:rPr>
          <w:sz w:val="26"/>
          <w:szCs w:val="26"/>
        </w:rPr>
        <w:t>.</w:t>
      </w:r>
      <w:r w:rsidR="00D57433">
        <w:rPr>
          <w:sz w:val="26"/>
          <w:szCs w:val="26"/>
        </w:rPr>
        <w:t xml:space="preserve"> </w:t>
      </w:r>
    </w:p>
    <w:p w14:paraId="373B494F" w14:textId="77777777" w:rsidR="00D57433" w:rsidRDefault="00D57433" w:rsidP="00D57433">
      <w:pPr>
        <w:ind w:firstLine="709"/>
        <w:jc w:val="both"/>
        <w:rPr>
          <w:sz w:val="26"/>
          <w:szCs w:val="26"/>
        </w:rPr>
      </w:pPr>
      <w:r w:rsidRPr="00D57433">
        <w:rPr>
          <w:sz w:val="26"/>
          <w:szCs w:val="26"/>
        </w:rPr>
        <w:t xml:space="preserve">Scenārija </w:t>
      </w:r>
      <w:r>
        <w:rPr>
          <w:rFonts w:eastAsia="Verdana"/>
          <w:color w:val="000000"/>
          <w:kern w:val="24"/>
          <w:sz w:val="26"/>
          <w:szCs w:val="26"/>
          <w:u w:val="single"/>
        </w:rPr>
        <w:t>pozitīvie</w:t>
      </w:r>
      <w:r w:rsidRPr="00D57433">
        <w:rPr>
          <w:rFonts w:eastAsia="Verdana"/>
          <w:color w:val="000000"/>
          <w:kern w:val="24"/>
          <w:sz w:val="26"/>
          <w:szCs w:val="26"/>
          <w:u w:val="single"/>
        </w:rPr>
        <w:t xml:space="preserve"> aspekti</w:t>
      </w:r>
      <w:r>
        <w:rPr>
          <w:sz w:val="26"/>
          <w:szCs w:val="26"/>
        </w:rPr>
        <w:t>:</w:t>
      </w:r>
    </w:p>
    <w:p w14:paraId="78782EB7" w14:textId="77777777" w:rsidR="00D57433" w:rsidRDefault="00D57433" w:rsidP="00D57433">
      <w:pPr>
        <w:tabs>
          <w:tab w:val="left" w:pos="1134"/>
        </w:tabs>
        <w:ind w:left="1134" w:hanging="425"/>
        <w:jc w:val="both"/>
        <w:rPr>
          <w:sz w:val="26"/>
          <w:szCs w:val="26"/>
        </w:rPr>
      </w:pPr>
      <w:r>
        <w:rPr>
          <w:sz w:val="26"/>
          <w:szCs w:val="26"/>
        </w:rPr>
        <w:t xml:space="preserve">- </w:t>
      </w:r>
      <w:r>
        <w:rPr>
          <w:sz w:val="26"/>
          <w:szCs w:val="26"/>
        </w:rPr>
        <w:tab/>
        <w:t>p</w:t>
      </w:r>
      <w:r w:rsidRPr="00D57433">
        <w:rPr>
          <w:sz w:val="26"/>
          <w:szCs w:val="26"/>
        </w:rPr>
        <w:t>alielināts atbalsts ģimenēm ar bērniem, jo īpaši, sākot no divu bērnu ģimenēm, mazinot nabadzības risku ģimenēm ar bērniem</w:t>
      </w:r>
      <w:r>
        <w:rPr>
          <w:sz w:val="26"/>
          <w:szCs w:val="26"/>
        </w:rPr>
        <w:t>;</w:t>
      </w:r>
    </w:p>
    <w:p w14:paraId="35A52C93" w14:textId="77777777" w:rsidR="00D57433" w:rsidRPr="00D57433" w:rsidRDefault="00D57433" w:rsidP="00D57433">
      <w:pPr>
        <w:tabs>
          <w:tab w:val="left" w:pos="1134"/>
        </w:tabs>
        <w:ind w:left="1134" w:hanging="425"/>
        <w:jc w:val="both"/>
        <w:rPr>
          <w:sz w:val="26"/>
          <w:szCs w:val="26"/>
        </w:rPr>
      </w:pPr>
      <w:r>
        <w:rPr>
          <w:sz w:val="26"/>
          <w:szCs w:val="26"/>
        </w:rPr>
        <w:t>-</w:t>
      </w:r>
      <w:r>
        <w:rPr>
          <w:sz w:val="26"/>
          <w:szCs w:val="26"/>
        </w:rPr>
        <w:tab/>
        <w:t>s</w:t>
      </w:r>
      <w:r w:rsidRPr="00D57433">
        <w:rPr>
          <w:sz w:val="26"/>
          <w:szCs w:val="26"/>
        </w:rPr>
        <w:t>ociālais taisnīgums – pabalstu apmēri ir vienādi ģimenēm atkarībā no aprūpējamo bērnu skaita</w:t>
      </w:r>
      <w:r>
        <w:rPr>
          <w:sz w:val="26"/>
          <w:szCs w:val="26"/>
        </w:rPr>
        <w:t>.</w:t>
      </w:r>
    </w:p>
    <w:p w14:paraId="1CABD441" w14:textId="77777777" w:rsidR="00975926" w:rsidRPr="00975926" w:rsidRDefault="00975926" w:rsidP="00975926">
      <w:pPr>
        <w:spacing w:after="120"/>
        <w:ind w:firstLine="709"/>
        <w:jc w:val="both"/>
        <w:rPr>
          <w:sz w:val="26"/>
          <w:szCs w:val="26"/>
        </w:rPr>
      </w:pPr>
    </w:p>
    <w:p w14:paraId="06FA74B8" w14:textId="77777777" w:rsidR="008E27B2" w:rsidRPr="008E27B2" w:rsidRDefault="00D57433" w:rsidP="00D57433">
      <w:pPr>
        <w:ind w:firstLine="709"/>
        <w:jc w:val="both"/>
        <w:rPr>
          <w:sz w:val="26"/>
          <w:szCs w:val="26"/>
        </w:rPr>
      </w:pPr>
      <w:r w:rsidRPr="00D57433">
        <w:rPr>
          <w:sz w:val="26"/>
          <w:szCs w:val="26"/>
        </w:rPr>
        <w:t xml:space="preserve">Scenārija </w:t>
      </w:r>
      <w:r w:rsidRPr="00D57433">
        <w:rPr>
          <w:rFonts w:eastAsia="Verdana"/>
          <w:color w:val="000000"/>
          <w:kern w:val="24"/>
          <w:sz w:val="26"/>
          <w:szCs w:val="26"/>
          <w:u w:val="single"/>
        </w:rPr>
        <w:t>negatīvie aspekti</w:t>
      </w:r>
      <w:r w:rsidR="008E27B2">
        <w:rPr>
          <w:sz w:val="26"/>
          <w:szCs w:val="26"/>
        </w:rPr>
        <w:t>:</w:t>
      </w:r>
    </w:p>
    <w:p w14:paraId="515C65AC" w14:textId="77777777" w:rsidR="008B2E82" w:rsidRPr="008B2E82" w:rsidRDefault="008B2E82" w:rsidP="008B2E82">
      <w:pPr>
        <w:pStyle w:val="ListParagraph"/>
        <w:numPr>
          <w:ilvl w:val="0"/>
          <w:numId w:val="30"/>
        </w:numPr>
        <w:ind w:left="1134"/>
        <w:contextualSpacing w:val="0"/>
        <w:jc w:val="left"/>
        <w:rPr>
          <w:sz w:val="26"/>
          <w:szCs w:val="26"/>
        </w:rPr>
      </w:pPr>
      <w:r>
        <w:rPr>
          <w:sz w:val="26"/>
          <w:szCs w:val="26"/>
        </w:rPr>
        <w:t>n</w:t>
      </w:r>
      <w:r w:rsidRPr="00E024EF">
        <w:rPr>
          <w:sz w:val="26"/>
          <w:szCs w:val="26"/>
        </w:rPr>
        <w:t>epieciešami papildus budžeta līdzekļi</w:t>
      </w:r>
      <w:r>
        <w:rPr>
          <w:iCs/>
          <w:sz w:val="26"/>
          <w:szCs w:val="26"/>
        </w:rPr>
        <w:t>;</w:t>
      </w:r>
    </w:p>
    <w:p w14:paraId="60B5657A" w14:textId="629BB2B5" w:rsidR="008B2E82" w:rsidRDefault="008B2E82" w:rsidP="008B2E82">
      <w:pPr>
        <w:pStyle w:val="ListParagraph"/>
        <w:numPr>
          <w:ilvl w:val="0"/>
          <w:numId w:val="30"/>
        </w:numPr>
        <w:ind w:left="1134"/>
        <w:contextualSpacing w:val="0"/>
        <w:jc w:val="left"/>
        <w:rPr>
          <w:sz w:val="26"/>
          <w:szCs w:val="26"/>
        </w:rPr>
      </w:pPr>
      <w:r w:rsidRPr="008B2E82">
        <w:rPr>
          <w:iCs/>
          <w:sz w:val="26"/>
          <w:szCs w:val="26"/>
        </w:rPr>
        <w:t>a</w:t>
      </w:r>
      <w:r>
        <w:rPr>
          <w:iCs/>
          <w:sz w:val="26"/>
          <w:szCs w:val="26"/>
        </w:rPr>
        <w:t>p</w:t>
      </w:r>
      <w:r w:rsidRPr="008B2E82">
        <w:rPr>
          <w:iCs/>
          <w:sz w:val="26"/>
          <w:szCs w:val="26"/>
        </w:rPr>
        <w:t>tuveni</w:t>
      </w:r>
      <w:r w:rsidRPr="008B2E82">
        <w:rPr>
          <w:i/>
          <w:iCs/>
          <w:sz w:val="26"/>
          <w:szCs w:val="26"/>
        </w:rPr>
        <w:t xml:space="preserve"> </w:t>
      </w:r>
      <w:r w:rsidRPr="008B2E82">
        <w:rPr>
          <w:sz w:val="26"/>
          <w:szCs w:val="26"/>
        </w:rPr>
        <w:t xml:space="preserve">16,4 tūkst. </w:t>
      </w:r>
      <w:r>
        <w:rPr>
          <w:sz w:val="26"/>
          <w:szCs w:val="26"/>
        </w:rPr>
        <w:t xml:space="preserve">iedzīvotāju </w:t>
      </w:r>
      <w:r w:rsidRPr="008B2E82">
        <w:rPr>
          <w:sz w:val="26"/>
          <w:szCs w:val="26"/>
        </w:rPr>
        <w:t>samazināsies atbalsta apmērs</w:t>
      </w:r>
      <w:r>
        <w:rPr>
          <w:sz w:val="26"/>
          <w:szCs w:val="26"/>
        </w:rPr>
        <w:t>;</w:t>
      </w:r>
    </w:p>
    <w:p w14:paraId="3EF1E031" w14:textId="77777777" w:rsidR="003B5CEA" w:rsidRPr="008B2E82" w:rsidRDefault="003B5CEA" w:rsidP="003B5CEA">
      <w:pPr>
        <w:pStyle w:val="ListParagraph"/>
        <w:numPr>
          <w:ilvl w:val="0"/>
          <w:numId w:val="30"/>
        </w:numPr>
        <w:tabs>
          <w:tab w:val="left" w:pos="1134"/>
        </w:tabs>
        <w:ind w:left="1134"/>
        <w:contextualSpacing w:val="0"/>
        <w:jc w:val="left"/>
        <w:rPr>
          <w:sz w:val="26"/>
          <w:szCs w:val="26"/>
        </w:rPr>
      </w:pPr>
      <w:r>
        <w:rPr>
          <w:sz w:val="26"/>
          <w:szCs w:val="26"/>
        </w:rPr>
        <w:t>neveicina vecākus ar daudz bērniem atgriezties darba tirgū;</w:t>
      </w:r>
    </w:p>
    <w:p w14:paraId="2A02EC0A" w14:textId="77777777" w:rsidR="008B2E82" w:rsidRPr="008B2E82" w:rsidRDefault="008B2E82" w:rsidP="008B2E82">
      <w:pPr>
        <w:pStyle w:val="ListParagraph"/>
        <w:numPr>
          <w:ilvl w:val="0"/>
          <w:numId w:val="30"/>
        </w:numPr>
        <w:ind w:left="1134"/>
        <w:contextualSpacing w:val="0"/>
        <w:jc w:val="left"/>
        <w:rPr>
          <w:sz w:val="26"/>
          <w:szCs w:val="26"/>
        </w:rPr>
      </w:pPr>
      <w:r>
        <w:rPr>
          <w:sz w:val="26"/>
          <w:szCs w:val="26"/>
        </w:rPr>
        <w:t>n</w:t>
      </w:r>
      <w:r w:rsidRPr="008B2E82">
        <w:rPr>
          <w:sz w:val="26"/>
          <w:szCs w:val="26"/>
        </w:rPr>
        <w:t>ebūs iespējams noteikt faktiskās aprūpes faktu ģimenēs, kurās ir dažādi vecāki</w:t>
      </w:r>
      <w:r>
        <w:rPr>
          <w:sz w:val="26"/>
          <w:szCs w:val="26"/>
        </w:rPr>
        <w:t>.</w:t>
      </w:r>
    </w:p>
    <w:p w14:paraId="4D25F2A1" w14:textId="77777777" w:rsidR="008B2E82" w:rsidRDefault="008B2E82" w:rsidP="008B2E82">
      <w:pPr>
        <w:pStyle w:val="ListParagraph"/>
        <w:ind w:left="1134"/>
        <w:contextualSpacing w:val="0"/>
        <w:jc w:val="left"/>
        <w:rPr>
          <w:sz w:val="26"/>
          <w:szCs w:val="26"/>
        </w:rPr>
      </w:pPr>
    </w:p>
    <w:p w14:paraId="43D9F0C4" w14:textId="77777777" w:rsidR="008B2E82" w:rsidRDefault="008B2E82" w:rsidP="008B2E82">
      <w:pPr>
        <w:spacing w:after="120"/>
        <w:ind w:firstLine="709"/>
        <w:jc w:val="both"/>
        <w:rPr>
          <w:bCs/>
          <w:sz w:val="26"/>
          <w:szCs w:val="26"/>
        </w:rPr>
      </w:pPr>
      <w:r w:rsidRPr="00975926">
        <w:rPr>
          <w:b/>
          <w:sz w:val="26"/>
          <w:szCs w:val="26"/>
        </w:rPr>
        <w:t xml:space="preserve">Scenārijs </w:t>
      </w:r>
      <w:r w:rsidR="00D32DFE">
        <w:rPr>
          <w:b/>
          <w:sz w:val="26"/>
          <w:szCs w:val="26"/>
        </w:rPr>
        <w:t>C</w:t>
      </w:r>
      <w:r>
        <w:rPr>
          <w:b/>
          <w:sz w:val="26"/>
          <w:szCs w:val="26"/>
        </w:rPr>
        <w:t xml:space="preserve"> </w:t>
      </w:r>
      <w:r w:rsidRPr="008B2E82">
        <w:rPr>
          <w:sz w:val="26"/>
          <w:szCs w:val="26"/>
        </w:rPr>
        <w:t xml:space="preserve">paredz </w:t>
      </w:r>
      <w:r>
        <w:rPr>
          <w:bCs/>
          <w:sz w:val="26"/>
          <w:szCs w:val="26"/>
        </w:rPr>
        <w:t xml:space="preserve">atcelt IIN atvieglojumu </w:t>
      </w:r>
      <w:r w:rsidRPr="008B2E82">
        <w:rPr>
          <w:bCs/>
          <w:sz w:val="26"/>
          <w:szCs w:val="26"/>
        </w:rPr>
        <w:t xml:space="preserve">par </w:t>
      </w:r>
      <w:r w:rsidRPr="00D57433">
        <w:rPr>
          <w:bCs/>
          <w:sz w:val="26"/>
          <w:szCs w:val="26"/>
        </w:rPr>
        <w:t>apgādībā esošām personām</w:t>
      </w:r>
      <w:r w:rsidRPr="008B2E82">
        <w:rPr>
          <w:bCs/>
          <w:sz w:val="26"/>
          <w:szCs w:val="26"/>
        </w:rPr>
        <w:t xml:space="preserve">, tā vietā piešķirot noteiktu </w:t>
      </w:r>
      <w:r>
        <w:rPr>
          <w:bCs/>
          <w:sz w:val="26"/>
          <w:szCs w:val="26"/>
        </w:rPr>
        <w:t xml:space="preserve">papildus </w:t>
      </w:r>
      <w:r w:rsidRPr="008B2E82">
        <w:rPr>
          <w:bCs/>
          <w:sz w:val="26"/>
          <w:szCs w:val="26"/>
        </w:rPr>
        <w:t xml:space="preserve">pabalstu 50 </w:t>
      </w:r>
      <w:r w:rsidRPr="008B2E82">
        <w:rPr>
          <w:bCs/>
          <w:i/>
          <w:iCs/>
          <w:sz w:val="26"/>
          <w:szCs w:val="26"/>
        </w:rPr>
        <w:t>euro</w:t>
      </w:r>
      <w:r w:rsidRPr="008B2E82">
        <w:rPr>
          <w:bCs/>
          <w:sz w:val="26"/>
          <w:szCs w:val="26"/>
        </w:rPr>
        <w:t xml:space="preserve"> apmērā (administrē VSAA</w:t>
      </w:r>
      <w:r>
        <w:rPr>
          <w:bCs/>
          <w:sz w:val="26"/>
          <w:szCs w:val="26"/>
        </w:rPr>
        <w:t>)</w:t>
      </w:r>
    </w:p>
    <w:p w14:paraId="1AF666B9" w14:textId="77777777" w:rsidR="008B2E82" w:rsidRDefault="008B2E82" w:rsidP="008B2E82">
      <w:pPr>
        <w:ind w:firstLine="709"/>
        <w:jc w:val="both"/>
        <w:rPr>
          <w:sz w:val="26"/>
          <w:szCs w:val="26"/>
        </w:rPr>
      </w:pPr>
      <w:r w:rsidRPr="008B2E82">
        <w:rPr>
          <w:sz w:val="26"/>
          <w:szCs w:val="26"/>
        </w:rPr>
        <w:t xml:space="preserve"> </w:t>
      </w:r>
      <w:r w:rsidRPr="00D57433">
        <w:rPr>
          <w:sz w:val="26"/>
          <w:szCs w:val="26"/>
        </w:rPr>
        <w:t xml:space="preserve">Scenārija </w:t>
      </w:r>
      <w:r>
        <w:rPr>
          <w:rFonts w:eastAsia="Verdana"/>
          <w:color w:val="000000"/>
          <w:kern w:val="24"/>
          <w:sz w:val="26"/>
          <w:szCs w:val="26"/>
          <w:u w:val="single"/>
        </w:rPr>
        <w:t>pozitīvie</w:t>
      </w:r>
      <w:r w:rsidRPr="00D57433">
        <w:rPr>
          <w:rFonts w:eastAsia="Verdana"/>
          <w:color w:val="000000"/>
          <w:kern w:val="24"/>
          <w:sz w:val="26"/>
          <w:szCs w:val="26"/>
          <w:u w:val="single"/>
        </w:rPr>
        <w:t xml:space="preserve"> aspekti</w:t>
      </w:r>
      <w:r>
        <w:rPr>
          <w:sz w:val="26"/>
          <w:szCs w:val="26"/>
        </w:rPr>
        <w:t>:</w:t>
      </w:r>
    </w:p>
    <w:p w14:paraId="79CF80AD" w14:textId="77777777" w:rsidR="008B2E82" w:rsidRDefault="008B2E82" w:rsidP="008B2E82">
      <w:pPr>
        <w:tabs>
          <w:tab w:val="left" w:pos="1134"/>
        </w:tabs>
        <w:ind w:left="1134" w:hanging="425"/>
        <w:jc w:val="both"/>
        <w:rPr>
          <w:sz w:val="26"/>
          <w:szCs w:val="26"/>
        </w:rPr>
      </w:pPr>
      <w:r>
        <w:rPr>
          <w:sz w:val="26"/>
          <w:szCs w:val="26"/>
        </w:rPr>
        <w:t xml:space="preserve">- </w:t>
      </w:r>
      <w:r>
        <w:rPr>
          <w:sz w:val="26"/>
          <w:szCs w:val="26"/>
        </w:rPr>
        <w:tab/>
        <w:t>a</w:t>
      </w:r>
      <w:r w:rsidRPr="008B2E82">
        <w:rPr>
          <w:sz w:val="26"/>
          <w:szCs w:val="26"/>
        </w:rPr>
        <w:t>tvieglojumu</w:t>
      </w:r>
      <w:r w:rsidRPr="00BB7B21">
        <w:rPr>
          <w:sz w:val="26"/>
          <w:szCs w:val="26"/>
        </w:rPr>
        <w:t xml:space="preserve"> </w:t>
      </w:r>
      <w:r w:rsidRPr="008B2E82">
        <w:rPr>
          <w:sz w:val="26"/>
          <w:szCs w:val="26"/>
        </w:rPr>
        <w:t>izmantošana pilnībā par visām apgādībā esošām personām</w:t>
      </w:r>
      <w:r>
        <w:rPr>
          <w:sz w:val="26"/>
          <w:szCs w:val="26"/>
        </w:rPr>
        <w:t>;</w:t>
      </w:r>
    </w:p>
    <w:p w14:paraId="288852E7" w14:textId="77777777" w:rsidR="008B2E82" w:rsidRDefault="008B2E82" w:rsidP="008B2E82">
      <w:pPr>
        <w:pStyle w:val="ListParagraph"/>
        <w:numPr>
          <w:ilvl w:val="0"/>
          <w:numId w:val="33"/>
        </w:numPr>
        <w:tabs>
          <w:tab w:val="left" w:pos="1134"/>
        </w:tabs>
        <w:ind w:left="1134" w:hanging="425"/>
        <w:rPr>
          <w:sz w:val="26"/>
          <w:szCs w:val="26"/>
        </w:rPr>
      </w:pPr>
      <w:r w:rsidRPr="008B2E82">
        <w:rPr>
          <w:sz w:val="26"/>
          <w:szCs w:val="26"/>
        </w:rPr>
        <w:t>materiālā</w:t>
      </w:r>
      <w:r w:rsidRPr="00BB7B21">
        <w:rPr>
          <w:sz w:val="26"/>
          <w:szCs w:val="26"/>
        </w:rPr>
        <w:t>s</w:t>
      </w:r>
      <w:r w:rsidRPr="008B2E82">
        <w:rPr>
          <w:sz w:val="26"/>
          <w:szCs w:val="26"/>
        </w:rPr>
        <w:t xml:space="preserve"> situācija</w:t>
      </w:r>
      <w:r w:rsidRPr="00BB7B21">
        <w:rPr>
          <w:sz w:val="26"/>
          <w:szCs w:val="26"/>
        </w:rPr>
        <w:t xml:space="preserve">s </w:t>
      </w:r>
      <w:r w:rsidRPr="008B2E82">
        <w:rPr>
          <w:sz w:val="26"/>
          <w:szCs w:val="26"/>
        </w:rPr>
        <w:t>uzlabošanās</w:t>
      </w:r>
      <w:r>
        <w:rPr>
          <w:sz w:val="26"/>
          <w:szCs w:val="26"/>
        </w:rPr>
        <w:t xml:space="preserve"> iedzīvotājiem, kuri IIN atvieglojumu</w:t>
      </w:r>
      <w:r w:rsidRPr="008B2E82">
        <w:rPr>
          <w:sz w:val="26"/>
          <w:szCs w:val="26"/>
        </w:rPr>
        <w:t xml:space="preserve"> par apgādībā esošām personām</w:t>
      </w:r>
      <w:r>
        <w:rPr>
          <w:sz w:val="26"/>
          <w:szCs w:val="26"/>
        </w:rPr>
        <w:t xml:space="preserve"> </w:t>
      </w:r>
      <w:r w:rsidRPr="00E024EF">
        <w:rPr>
          <w:sz w:val="26"/>
          <w:szCs w:val="26"/>
        </w:rPr>
        <w:t>ne</w:t>
      </w:r>
      <w:r>
        <w:rPr>
          <w:sz w:val="26"/>
          <w:szCs w:val="26"/>
        </w:rPr>
        <w:t>varē</w:t>
      </w:r>
      <w:r w:rsidRPr="00E024EF">
        <w:rPr>
          <w:sz w:val="26"/>
          <w:szCs w:val="26"/>
        </w:rPr>
        <w:t>j</w:t>
      </w:r>
      <w:r>
        <w:rPr>
          <w:sz w:val="26"/>
          <w:szCs w:val="26"/>
        </w:rPr>
        <w:t>a</w:t>
      </w:r>
      <w:r w:rsidRPr="00E024EF">
        <w:rPr>
          <w:sz w:val="26"/>
          <w:szCs w:val="26"/>
        </w:rPr>
        <w:t xml:space="preserve"> izmantot </w:t>
      </w:r>
      <w:r>
        <w:rPr>
          <w:sz w:val="26"/>
          <w:szCs w:val="26"/>
        </w:rPr>
        <w:t>zemo ienākumu dēļ.</w:t>
      </w:r>
    </w:p>
    <w:p w14:paraId="10E12AAF" w14:textId="77777777" w:rsidR="008B2E82" w:rsidRPr="008B2E82" w:rsidRDefault="008B2E82" w:rsidP="008B2E82">
      <w:pPr>
        <w:pStyle w:val="ListParagraph"/>
        <w:tabs>
          <w:tab w:val="left" w:pos="1134"/>
        </w:tabs>
        <w:ind w:left="1134"/>
        <w:rPr>
          <w:sz w:val="26"/>
          <w:szCs w:val="26"/>
        </w:rPr>
      </w:pPr>
    </w:p>
    <w:p w14:paraId="292F28FC" w14:textId="77777777" w:rsidR="008B2E82" w:rsidRPr="008E27B2" w:rsidRDefault="008B2E82" w:rsidP="008B2E82">
      <w:pPr>
        <w:ind w:firstLine="709"/>
        <w:jc w:val="both"/>
        <w:rPr>
          <w:sz w:val="26"/>
          <w:szCs w:val="26"/>
        </w:rPr>
      </w:pPr>
      <w:r w:rsidRPr="00D57433">
        <w:rPr>
          <w:sz w:val="26"/>
          <w:szCs w:val="26"/>
        </w:rPr>
        <w:t xml:space="preserve">Scenārija </w:t>
      </w:r>
      <w:r w:rsidRPr="00D57433">
        <w:rPr>
          <w:rFonts w:eastAsia="Verdana"/>
          <w:color w:val="000000"/>
          <w:kern w:val="24"/>
          <w:sz w:val="26"/>
          <w:szCs w:val="26"/>
          <w:u w:val="single"/>
        </w:rPr>
        <w:t>negatīvie aspekti</w:t>
      </w:r>
      <w:r>
        <w:rPr>
          <w:sz w:val="26"/>
          <w:szCs w:val="26"/>
        </w:rPr>
        <w:t>:</w:t>
      </w:r>
    </w:p>
    <w:p w14:paraId="114401E0" w14:textId="77777777" w:rsidR="008B2E82" w:rsidRDefault="008B2E82" w:rsidP="00B44B24">
      <w:pPr>
        <w:pStyle w:val="ListParagraph"/>
        <w:numPr>
          <w:ilvl w:val="0"/>
          <w:numId w:val="30"/>
        </w:numPr>
        <w:tabs>
          <w:tab w:val="left" w:pos="1134"/>
        </w:tabs>
        <w:ind w:left="1134"/>
        <w:contextualSpacing w:val="0"/>
        <w:jc w:val="left"/>
        <w:rPr>
          <w:sz w:val="26"/>
          <w:szCs w:val="26"/>
        </w:rPr>
      </w:pPr>
      <w:r>
        <w:rPr>
          <w:sz w:val="26"/>
          <w:szCs w:val="26"/>
        </w:rPr>
        <w:t>n</w:t>
      </w:r>
      <w:r w:rsidRPr="00E024EF">
        <w:rPr>
          <w:sz w:val="26"/>
          <w:szCs w:val="26"/>
        </w:rPr>
        <w:t>epieciešami papildus budžeta līdzekļi</w:t>
      </w:r>
      <w:r>
        <w:rPr>
          <w:sz w:val="26"/>
          <w:szCs w:val="26"/>
        </w:rPr>
        <w:t>;</w:t>
      </w:r>
    </w:p>
    <w:p w14:paraId="790895EF" w14:textId="77777777" w:rsidR="00E024EF" w:rsidRDefault="008B2E82" w:rsidP="00B44B24">
      <w:pPr>
        <w:pStyle w:val="ListParagraph"/>
        <w:numPr>
          <w:ilvl w:val="0"/>
          <w:numId w:val="30"/>
        </w:numPr>
        <w:tabs>
          <w:tab w:val="left" w:pos="1134"/>
        </w:tabs>
        <w:ind w:left="1134"/>
        <w:contextualSpacing w:val="0"/>
        <w:jc w:val="left"/>
        <w:rPr>
          <w:sz w:val="26"/>
          <w:szCs w:val="26"/>
        </w:rPr>
      </w:pPr>
      <w:r w:rsidRPr="008B2E82">
        <w:rPr>
          <w:sz w:val="26"/>
          <w:szCs w:val="26"/>
        </w:rPr>
        <w:t>komplicēta administrēšana nestandarta gadījumiem (nepilna slodze, nepilna nodarbinātība mēneša ietvaros, zemi ienākumi, vairākkārtīga nodokļu maksātāja statusa maiņa);</w:t>
      </w:r>
    </w:p>
    <w:p w14:paraId="4303CE7F" w14:textId="77777777" w:rsidR="00E024EF" w:rsidRPr="008B2E82" w:rsidRDefault="008E27B2" w:rsidP="008B2E82">
      <w:pPr>
        <w:pStyle w:val="ListParagraph"/>
        <w:numPr>
          <w:ilvl w:val="0"/>
          <w:numId w:val="30"/>
        </w:numPr>
        <w:ind w:left="1134"/>
        <w:contextualSpacing w:val="0"/>
        <w:jc w:val="left"/>
        <w:rPr>
          <w:sz w:val="26"/>
          <w:szCs w:val="26"/>
        </w:rPr>
      </w:pPr>
      <w:r>
        <w:rPr>
          <w:sz w:val="26"/>
          <w:szCs w:val="26"/>
        </w:rPr>
        <w:t>v</w:t>
      </w:r>
      <w:r w:rsidR="00E024EF" w:rsidRPr="00E024EF">
        <w:rPr>
          <w:sz w:val="26"/>
          <w:szCs w:val="26"/>
        </w:rPr>
        <w:t>ar veicināt “aplokšņu” algu pieaugumu</w:t>
      </w:r>
      <w:r w:rsidRPr="008B2E82">
        <w:rPr>
          <w:sz w:val="26"/>
          <w:szCs w:val="26"/>
        </w:rPr>
        <w:t>.</w:t>
      </w:r>
    </w:p>
    <w:p w14:paraId="0415C47E" w14:textId="77777777" w:rsidR="006F434D" w:rsidRDefault="006F434D" w:rsidP="006F434D">
      <w:pPr>
        <w:pStyle w:val="Default"/>
        <w:ind w:firstLine="709"/>
      </w:pPr>
    </w:p>
    <w:p w14:paraId="521FCDE5" w14:textId="77777777" w:rsidR="006F434D" w:rsidRPr="006F434D" w:rsidRDefault="006F434D" w:rsidP="006F434D">
      <w:pPr>
        <w:pStyle w:val="Default"/>
        <w:ind w:firstLine="709"/>
        <w:jc w:val="both"/>
        <w:rPr>
          <w:rFonts w:ascii="Times New Roman" w:hAnsi="Times New Roman" w:cs="Times New Roman"/>
          <w:sz w:val="26"/>
          <w:szCs w:val="26"/>
        </w:rPr>
      </w:pPr>
      <w:r w:rsidRPr="006F434D">
        <w:rPr>
          <w:rFonts w:ascii="Times New Roman" w:hAnsi="Times New Roman" w:cs="Times New Roman"/>
          <w:b/>
          <w:sz w:val="26"/>
          <w:szCs w:val="26"/>
        </w:rPr>
        <w:t>L</w:t>
      </w:r>
      <w:r w:rsidR="00E61B4B">
        <w:rPr>
          <w:rFonts w:ascii="Times New Roman" w:hAnsi="Times New Roman" w:cs="Times New Roman"/>
          <w:b/>
          <w:sz w:val="26"/>
          <w:szCs w:val="26"/>
        </w:rPr>
        <w:t xml:space="preserve">atvijas </w:t>
      </w:r>
      <w:r w:rsidRPr="006F434D">
        <w:rPr>
          <w:rFonts w:ascii="Times New Roman" w:hAnsi="Times New Roman" w:cs="Times New Roman"/>
          <w:b/>
          <w:sz w:val="26"/>
          <w:szCs w:val="26"/>
        </w:rPr>
        <w:t>B</w:t>
      </w:r>
      <w:r w:rsidR="00E61B4B">
        <w:rPr>
          <w:rFonts w:ascii="Times New Roman" w:hAnsi="Times New Roman" w:cs="Times New Roman"/>
          <w:b/>
          <w:sz w:val="26"/>
          <w:szCs w:val="26"/>
        </w:rPr>
        <w:t>anka</w:t>
      </w:r>
      <w:r w:rsidR="000E77AE">
        <w:rPr>
          <w:rFonts w:ascii="Times New Roman" w:hAnsi="Times New Roman" w:cs="Times New Roman"/>
          <w:b/>
          <w:sz w:val="26"/>
          <w:szCs w:val="26"/>
        </w:rPr>
        <w:t xml:space="preserve"> </w:t>
      </w:r>
      <w:r w:rsidRPr="006F434D">
        <w:rPr>
          <w:rFonts w:ascii="Times New Roman" w:hAnsi="Times New Roman" w:cs="Times New Roman"/>
          <w:b/>
          <w:sz w:val="26"/>
          <w:szCs w:val="26"/>
        </w:rPr>
        <w:t>ir secinājusi</w:t>
      </w:r>
      <w:r>
        <w:rPr>
          <w:rFonts w:ascii="Times New Roman" w:hAnsi="Times New Roman" w:cs="Times New Roman"/>
          <w:sz w:val="26"/>
          <w:szCs w:val="26"/>
        </w:rPr>
        <w:t xml:space="preserve">, ka </w:t>
      </w:r>
      <w:r w:rsidR="00E768C3" w:rsidRPr="00E768C3">
        <w:rPr>
          <w:rFonts w:ascii="Times New Roman" w:hAnsi="Times New Roman" w:cs="Times New Roman"/>
          <w:sz w:val="26"/>
          <w:szCs w:val="26"/>
        </w:rPr>
        <w:t>ģimenes valsts pabalsta apmēr</w:t>
      </w:r>
      <w:r w:rsidR="00E768C3">
        <w:rPr>
          <w:rFonts w:ascii="Times New Roman" w:hAnsi="Times New Roman" w:cs="Times New Roman"/>
          <w:sz w:val="26"/>
          <w:szCs w:val="26"/>
        </w:rPr>
        <w:t>a</w:t>
      </w:r>
      <w:r w:rsidR="00E768C3" w:rsidRPr="00E768C3">
        <w:rPr>
          <w:rFonts w:ascii="Times New Roman" w:hAnsi="Times New Roman" w:cs="Times New Roman"/>
          <w:sz w:val="26"/>
          <w:szCs w:val="26"/>
        </w:rPr>
        <w:t xml:space="preserve"> noteik</w:t>
      </w:r>
      <w:r w:rsidR="00E768C3">
        <w:rPr>
          <w:rFonts w:ascii="Times New Roman" w:hAnsi="Times New Roman" w:cs="Times New Roman"/>
          <w:sz w:val="26"/>
          <w:szCs w:val="26"/>
        </w:rPr>
        <w:t>šana</w:t>
      </w:r>
      <w:r w:rsidR="00E768C3" w:rsidRPr="00E768C3">
        <w:rPr>
          <w:rFonts w:ascii="Times New Roman" w:hAnsi="Times New Roman" w:cs="Times New Roman"/>
          <w:sz w:val="26"/>
          <w:szCs w:val="26"/>
        </w:rPr>
        <w:t xml:space="preserve"> atkarībā no bērnu skaita ģimenē</w:t>
      </w:r>
      <w:r w:rsidRPr="006F434D">
        <w:rPr>
          <w:rFonts w:ascii="Times New Roman" w:hAnsi="Times New Roman" w:cs="Times New Roman"/>
          <w:bCs/>
          <w:sz w:val="26"/>
          <w:szCs w:val="26"/>
        </w:rPr>
        <w:t xml:space="preserve"> un IIN atvieglojum</w:t>
      </w:r>
      <w:r>
        <w:rPr>
          <w:rFonts w:ascii="Times New Roman" w:hAnsi="Times New Roman" w:cs="Times New Roman"/>
          <w:bCs/>
          <w:sz w:val="26"/>
          <w:szCs w:val="26"/>
        </w:rPr>
        <w:t>a</w:t>
      </w:r>
      <w:r w:rsidRPr="006F434D">
        <w:rPr>
          <w:rFonts w:ascii="Times New Roman" w:hAnsi="Times New Roman" w:cs="Times New Roman"/>
          <w:bCs/>
          <w:sz w:val="26"/>
          <w:szCs w:val="26"/>
        </w:rPr>
        <w:t xml:space="preserve"> par apgādībā esošām personām aizstāšana</w:t>
      </w:r>
      <w:r>
        <w:rPr>
          <w:rFonts w:ascii="Times New Roman" w:hAnsi="Times New Roman" w:cs="Times New Roman"/>
          <w:bCs/>
          <w:sz w:val="26"/>
          <w:szCs w:val="26"/>
        </w:rPr>
        <w:t xml:space="preserve"> </w:t>
      </w:r>
      <w:r w:rsidR="00E768C3">
        <w:rPr>
          <w:rFonts w:ascii="Times New Roman" w:hAnsi="Times New Roman" w:cs="Times New Roman"/>
          <w:bCs/>
          <w:sz w:val="26"/>
          <w:szCs w:val="26"/>
        </w:rPr>
        <w:t>ar</w:t>
      </w:r>
      <w:r w:rsidRPr="006F434D">
        <w:rPr>
          <w:rFonts w:ascii="Times New Roman" w:hAnsi="Times New Roman" w:cs="Times New Roman"/>
          <w:bCs/>
          <w:sz w:val="26"/>
          <w:szCs w:val="26"/>
        </w:rPr>
        <w:t xml:space="preserve"> </w:t>
      </w:r>
      <w:r w:rsidR="00AE2E17">
        <w:rPr>
          <w:rFonts w:ascii="Times New Roman" w:hAnsi="Times New Roman" w:cs="Times New Roman"/>
          <w:bCs/>
          <w:sz w:val="26"/>
          <w:szCs w:val="26"/>
        </w:rPr>
        <w:t>strādājošā</w:t>
      </w:r>
      <w:r w:rsidR="00AE2E17" w:rsidRPr="006F434D" w:rsidDel="00AE2E17">
        <w:rPr>
          <w:rFonts w:ascii="Times New Roman" w:hAnsi="Times New Roman" w:cs="Times New Roman"/>
          <w:bCs/>
          <w:sz w:val="26"/>
          <w:szCs w:val="26"/>
        </w:rPr>
        <w:t xml:space="preserve"> </w:t>
      </w:r>
      <w:r w:rsidRPr="006F434D">
        <w:rPr>
          <w:rFonts w:ascii="Times New Roman" w:hAnsi="Times New Roman" w:cs="Times New Roman"/>
          <w:bCs/>
          <w:sz w:val="26"/>
          <w:szCs w:val="26"/>
        </w:rPr>
        <w:t xml:space="preserve">pabalstu </w:t>
      </w:r>
      <w:r w:rsidR="00E768C3">
        <w:rPr>
          <w:rFonts w:ascii="Times New Roman" w:hAnsi="Times New Roman" w:cs="Times New Roman"/>
          <w:bCs/>
          <w:sz w:val="26"/>
          <w:szCs w:val="26"/>
        </w:rPr>
        <w:t>p</w:t>
      </w:r>
      <w:r w:rsidRPr="006F434D">
        <w:rPr>
          <w:rFonts w:ascii="Times New Roman" w:hAnsi="Times New Roman" w:cs="Times New Roman"/>
          <w:bCs/>
          <w:sz w:val="26"/>
          <w:szCs w:val="26"/>
        </w:rPr>
        <w:t>ar</w:t>
      </w:r>
      <w:r w:rsidR="00E768C3">
        <w:rPr>
          <w:rFonts w:ascii="Times New Roman" w:hAnsi="Times New Roman" w:cs="Times New Roman"/>
          <w:bCs/>
          <w:sz w:val="26"/>
          <w:szCs w:val="26"/>
        </w:rPr>
        <w:t xml:space="preserve"> </w:t>
      </w:r>
      <w:r w:rsidR="000854D0">
        <w:rPr>
          <w:rFonts w:ascii="Times New Roman" w:hAnsi="Times New Roman" w:cs="Times New Roman"/>
          <w:bCs/>
          <w:sz w:val="26"/>
          <w:szCs w:val="26"/>
        </w:rPr>
        <w:t xml:space="preserve">katru </w:t>
      </w:r>
      <w:r w:rsidR="00E768C3">
        <w:rPr>
          <w:rFonts w:ascii="Times New Roman" w:hAnsi="Times New Roman" w:cs="Times New Roman"/>
          <w:bCs/>
          <w:sz w:val="26"/>
          <w:szCs w:val="26"/>
        </w:rPr>
        <w:t>bērn</w:t>
      </w:r>
      <w:r w:rsidR="00AE2E17">
        <w:rPr>
          <w:rFonts w:ascii="Times New Roman" w:hAnsi="Times New Roman" w:cs="Times New Roman"/>
          <w:bCs/>
          <w:sz w:val="26"/>
          <w:szCs w:val="26"/>
        </w:rPr>
        <w:t>u</w:t>
      </w:r>
      <w:r w:rsidRPr="006F434D">
        <w:rPr>
          <w:rFonts w:ascii="Times New Roman" w:hAnsi="Times New Roman" w:cs="Times New Roman"/>
          <w:bCs/>
          <w:sz w:val="26"/>
          <w:szCs w:val="26"/>
        </w:rPr>
        <w:t xml:space="preserve"> ir efektīvāki </w:t>
      </w:r>
      <w:r w:rsidR="00E768C3">
        <w:rPr>
          <w:rFonts w:ascii="Times New Roman" w:hAnsi="Times New Roman" w:cs="Times New Roman"/>
          <w:bCs/>
          <w:sz w:val="26"/>
          <w:szCs w:val="26"/>
        </w:rPr>
        <w:t>risinājumi</w:t>
      </w:r>
      <w:r w:rsidRPr="006F434D">
        <w:rPr>
          <w:rFonts w:ascii="Times New Roman" w:hAnsi="Times New Roman" w:cs="Times New Roman"/>
          <w:bCs/>
          <w:sz w:val="26"/>
          <w:szCs w:val="26"/>
        </w:rPr>
        <w:t>, lai:</w:t>
      </w:r>
    </w:p>
    <w:p w14:paraId="292AA5E8" w14:textId="77777777" w:rsidR="006F434D" w:rsidRPr="006F434D" w:rsidRDefault="00E768C3" w:rsidP="006F434D">
      <w:pPr>
        <w:pStyle w:val="Default"/>
        <w:numPr>
          <w:ilvl w:val="0"/>
          <w:numId w:val="30"/>
        </w:numPr>
        <w:ind w:left="1134" w:hanging="425"/>
        <w:jc w:val="both"/>
        <w:rPr>
          <w:rFonts w:ascii="Times New Roman" w:hAnsi="Times New Roman" w:cs="Times New Roman"/>
          <w:sz w:val="26"/>
          <w:szCs w:val="26"/>
        </w:rPr>
      </w:pPr>
      <w:r>
        <w:rPr>
          <w:rFonts w:ascii="Times New Roman" w:hAnsi="Times New Roman" w:cs="Times New Roman"/>
          <w:sz w:val="26"/>
          <w:szCs w:val="26"/>
        </w:rPr>
        <w:t>p</w:t>
      </w:r>
      <w:r w:rsidR="006F434D" w:rsidRPr="006F434D">
        <w:rPr>
          <w:rFonts w:ascii="Times New Roman" w:hAnsi="Times New Roman" w:cs="Times New Roman"/>
          <w:sz w:val="26"/>
          <w:szCs w:val="26"/>
        </w:rPr>
        <w:t>alielinātu rīcībā esošos ienākumus nabadzības riskam pakļautajām mājsaimniecībām ar bērniem.</w:t>
      </w:r>
    </w:p>
    <w:p w14:paraId="642B7558" w14:textId="77777777" w:rsidR="006F434D" w:rsidRDefault="00E768C3" w:rsidP="006F434D">
      <w:pPr>
        <w:pStyle w:val="Default"/>
        <w:numPr>
          <w:ilvl w:val="0"/>
          <w:numId w:val="30"/>
        </w:numPr>
        <w:ind w:left="1134" w:hanging="425"/>
        <w:jc w:val="both"/>
        <w:rPr>
          <w:rFonts w:ascii="Times New Roman" w:hAnsi="Times New Roman" w:cs="Times New Roman"/>
          <w:sz w:val="26"/>
          <w:szCs w:val="26"/>
        </w:rPr>
      </w:pPr>
      <w:r>
        <w:rPr>
          <w:rFonts w:ascii="Times New Roman" w:hAnsi="Times New Roman" w:cs="Times New Roman"/>
          <w:sz w:val="26"/>
          <w:szCs w:val="26"/>
        </w:rPr>
        <w:t>s</w:t>
      </w:r>
      <w:r w:rsidR="006F434D" w:rsidRPr="006F434D">
        <w:rPr>
          <w:rFonts w:ascii="Times New Roman" w:hAnsi="Times New Roman" w:cs="Times New Roman"/>
          <w:sz w:val="26"/>
          <w:szCs w:val="26"/>
        </w:rPr>
        <w:t>niegtu virsproporcionālu</w:t>
      </w:r>
      <w:r>
        <w:rPr>
          <w:rFonts w:ascii="Times New Roman" w:hAnsi="Times New Roman" w:cs="Times New Roman"/>
          <w:sz w:val="26"/>
          <w:szCs w:val="26"/>
        </w:rPr>
        <w:t xml:space="preserve"> </w:t>
      </w:r>
      <w:r w:rsidR="006F434D" w:rsidRPr="006F434D">
        <w:rPr>
          <w:rFonts w:ascii="Times New Roman" w:hAnsi="Times New Roman" w:cs="Times New Roman"/>
          <w:sz w:val="26"/>
          <w:szCs w:val="26"/>
        </w:rPr>
        <w:t>atbalstu daudzbērnu ģimenēm.</w:t>
      </w:r>
    </w:p>
    <w:p w14:paraId="7241966B" w14:textId="77777777" w:rsidR="00330C56" w:rsidRPr="006F434D" w:rsidRDefault="00330C56">
      <w:pPr>
        <w:rPr>
          <w:rFonts w:eastAsia="Times New Roman" w:cs="Times New Roman"/>
          <w:b/>
          <w:sz w:val="26"/>
          <w:szCs w:val="26"/>
          <w:lang w:eastAsia="lv-LV"/>
        </w:rPr>
      </w:pPr>
      <w:r w:rsidRPr="006F434D">
        <w:rPr>
          <w:rFonts w:cs="Times New Roman"/>
          <w:sz w:val="26"/>
          <w:szCs w:val="26"/>
        </w:rPr>
        <w:br w:type="page"/>
      </w:r>
    </w:p>
    <w:p w14:paraId="593484D3" w14:textId="77777777" w:rsidR="004A630A" w:rsidRDefault="004A630A" w:rsidP="004A630A">
      <w:pPr>
        <w:pStyle w:val="Heading1"/>
      </w:pPr>
      <w:bookmarkStart w:id="9" w:name="_Toc33186623"/>
      <w:r>
        <w:lastRenderedPageBreak/>
        <w:t>2.</w:t>
      </w:r>
      <w:r w:rsidRPr="00B44B24">
        <w:t xml:space="preserve"> </w:t>
      </w:r>
      <w:r>
        <w:t>S</w:t>
      </w:r>
      <w:r w:rsidRPr="00B44B24">
        <w:t>olidaritātes nodokli</w:t>
      </w:r>
      <w:r>
        <w:t>s</w:t>
      </w:r>
      <w:bookmarkEnd w:id="9"/>
    </w:p>
    <w:p w14:paraId="4ED87987" w14:textId="77777777" w:rsidR="004A630A" w:rsidRPr="00B44B24" w:rsidRDefault="004A630A" w:rsidP="004A630A">
      <w:pPr>
        <w:spacing w:after="120"/>
        <w:ind w:firstLine="709"/>
        <w:jc w:val="both"/>
        <w:rPr>
          <w:rFonts w:eastAsia="Times New Roman"/>
          <w:sz w:val="26"/>
          <w:szCs w:val="26"/>
        </w:rPr>
      </w:pPr>
      <w:r w:rsidRPr="00B44B24">
        <w:rPr>
          <w:rFonts w:eastAsia="Times New Roman"/>
          <w:sz w:val="26"/>
          <w:szCs w:val="26"/>
        </w:rPr>
        <w:t xml:space="preserve">No 2019. gada 3. janvāra </w:t>
      </w:r>
      <w:r w:rsidRPr="004A630A">
        <w:rPr>
          <w:rFonts w:eastAsia="Times New Roman"/>
          <w:i/>
          <w:sz w:val="26"/>
          <w:szCs w:val="26"/>
        </w:rPr>
        <w:t>Solidaritātes nodokļa likums</w:t>
      </w:r>
      <w:r w:rsidRPr="00B44B24">
        <w:rPr>
          <w:rFonts w:eastAsia="Times New Roman"/>
          <w:sz w:val="26"/>
          <w:szCs w:val="26"/>
        </w:rPr>
        <w:t xml:space="preserve"> paredz, ka </w:t>
      </w:r>
      <w:r w:rsidRPr="004A630A">
        <w:rPr>
          <w:rFonts w:eastAsia="Times New Roman"/>
          <w:b/>
          <w:sz w:val="26"/>
          <w:szCs w:val="26"/>
        </w:rPr>
        <w:t>14</w:t>
      </w:r>
      <w:r w:rsidRPr="00B44B24">
        <w:rPr>
          <w:rFonts w:eastAsia="Times New Roman"/>
          <w:sz w:val="26"/>
          <w:szCs w:val="26"/>
        </w:rPr>
        <w:t xml:space="preserve"> procentpunkti no solidaritātes nodokļa tiek ieskaitīti valsts pensiju speciālajā budžetā, tos reģistrējot </w:t>
      </w:r>
      <w:r w:rsidRPr="004A630A">
        <w:rPr>
          <w:rFonts w:eastAsia="Times New Roman"/>
          <w:b/>
          <w:sz w:val="26"/>
          <w:szCs w:val="26"/>
        </w:rPr>
        <w:t>nodokļa maksātāja personīgajā kontā</w:t>
      </w:r>
      <w:r w:rsidRPr="00B44B24">
        <w:rPr>
          <w:rFonts w:eastAsia="Times New Roman"/>
          <w:sz w:val="26"/>
          <w:szCs w:val="26"/>
        </w:rPr>
        <w:t xml:space="preserve"> saskaņā ar likumu </w:t>
      </w:r>
      <w:r w:rsidRPr="004A630A">
        <w:rPr>
          <w:rFonts w:eastAsia="Times New Roman"/>
          <w:i/>
          <w:sz w:val="26"/>
          <w:szCs w:val="26"/>
        </w:rPr>
        <w:t>„Par valsts pensijām”</w:t>
      </w:r>
      <w:r w:rsidRPr="00B44B24">
        <w:rPr>
          <w:rFonts w:eastAsia="Times New Roman"/>
          <w:sz w:val="26"/>
          <w:szCs w:val="26"/>
        </w:rPr>
        <w:t xml:space="preserve">. Līdz ar to ir mainījusies solidaritātes nodokļa būtība. Atceļot personām, kuru ienākumi pārsniedz VSAOI objekta maksimālo apmēru, solidaritātes nodokļa veikšanu valsts pensiju speciālajā budžetā solidaritātei un tā vietā ieviešot personificētu nodokli, tiek nodrošināta šīm </w:t>
      </w:r>
      <w:bookmarkStart w:id="10" w:name="_Hlk31977777"/>
      <w:r w:rsidR="00281B3C">
        <w:rPr>
          <w:rFonts w:eastAsia="Times New Roman"/>
          <w:sz w:val="26"/>
          <w:szCs w:val="26"/>
        </w:rPr>
        <w:t>personām neierobežota 1.</w:t>
      </w:r>
      <w:r w:rsidRPr="00B44B24">
        <w:rPr>
          <w:rFonts w:eastAsia="Times New Roman"/>
          <w:sz w:val="26"/>
          <w:szCs w:val="26"/>
        </w:rPr>
        <w:t>pensiju līmeņa kapitāla uzkrāšana</w:t>
      </w:r>
      <w:bookmarkEnd w:id="10"/>
      <w:r w:rsidRPr="00B44B24">
        <w:rPr>
          <w:rFonts w:eastAsia="Times New Roman"/>
          <w:sz w:val="26"/>
          <w:szCs w:val="26"/>
        </w:rPr>
        <w:t xml:space="preserve">, kas nozīmē, ka turpmāk valsts vecuma pensijas, apgādnieka zaudējuma pensijas, pārdzīvojušā laulātā pabalsti un apbedīšanas pabalsti vecuma pensijas saņēmēja nāves gadījumā tiks piešķirti bez apmēra ierobežojuma (t.i. ir atcelti apmēru „griesti”). Līdz šim šos pakalpojumus ierobežoja VSAOI objekta maksimālais apmērs. </w:t>
      </w:r>
    </w:p>
    <w:p w14:paraId="61BB18F1" w14:textId="77777777" w:rsidR="004A630A" w:rsidRPr="00B44B24" w:rsidRDefault="00281B3C" w:rsidP="004A630A">
      <w:pPr>
        <w:spacing w:after="120"/>
        <w:ind w:firstLine="709"/>
        <w:jc w:val="both"/>
        <w:rPr>
          <w:rFonts w:eastAsia="Times New Roman"/>
          <w:sz w:val="26"/>
          <w:szCs w:val="26"/>
        </w:rPr>
      </w:pPr>
      <w:r>
        <w:rPr>
          <w:rFonts w:eastAsia="Times New Roman"/>
          <w:sz w:val="26"/>
          <w:szCs w:val="26"/>
        </w:rPr>
        <w:t>Ņemot vērā arī to, ka 1.</w:t>
      </w:r>
      <w:r w:rsidR="004A630A" w:rsidRPr="00B44B24">
        <w:rPr>
          <w:rFonts w:eastAsia="Times New Roman"/>
          <w:sz w:val="26"/>
          <w:szCs w:val="26"/>
        </w:rPr>
        <w:t>līmeņa pensijas kapitālam tiek piemēroti ikgadējie apdrošināšanas iemaksu algas indeksi, jau tuvākā nākotnē solidari</w:t>
      </w:r>
      <w:r>
        <w:rPr>
          <w:rFonts w:eastAsia="Times New Roman"/>
          <w:sz w:val="26"/>
          <w:szCs w:val="26"/>
        </w:rPr>
        <w:t>tātes nodokļa maksātājiem ar 1.</w:t>
      </w:r>
      <w:r w:rsidR="004A630A" w:rsidRPr="00B44B24">
        <w:rPr>
          <w:rFonts w:eastAsia="Times New Roman"/>
          <w:sz w:val="26"/>
          <w:szCs w:val="26"/>
        </w:rPr>
        <w:t xml:space="preserve">pensiju līmeņa kapitālu saistītie sociālās apdrošināšanas pakalpojumi būs desmitos vai pat simtos tūkstošu </w:t>
      </w:r>
      <w:r w:rsidR="004A630A" w:rsidRPr="004A630A">
        <w:rPr>
          <w:rFonts w:eastAsia="Times New Roman"/>
          <w:i/>
          <w:sz w:val="26"/>
          <w:szCs w:val="26"/>
        </w:rPr>
        <w:t>euro</w:t>
      </w:r>
      <w:r w:rsidR="004A630A" w:rsidRPr="00B44B24">
        <w:rPr>
          <w:rFonts w:eastAsia="Times New Roman"/>
          <w:sz w:val="26"/>
          <w:szCs w:val="26"/>
        </w:rPr>
        <w:t xml:space="preserve"> apmērā vienai personai mēnesī, ko būs jāspēj samaksāt no esošo maksātāju veiktajām VSAOI.</w:t>
      </w:r>
    </w:p>
    <w:p w14:paraId="61B8BAC7" w14:textId="77777777" w:rsidR="004A630A" w:rsidRPr="00B44B24" w:rsidRDefault="004A630A" w:rsidP="004A630A">
      <w:pPr>
        <w:spacing w:after="120"/>
        <w:ind w:firstLine="709"/>
        <w:jc w:val="both"/>
        <w:rPr>
          <w:rFonts w:eastAsia="Times New Roman"/>
          <w:sz w:val="26"/>
          <w:szCs w:val="26"/>
        </w:rPr>
      </w:pPr>
      <w:r w:rsidRPr="00B44B24">
        <w:rPr>
          <w:rFonts w:eastAsia="Times New Roman"/>
          <w:sz w:val="26"/>
          <w:szCs w:val="26"/>
        </w:rPr>
        <w:t>Piemēram, lai nodrošinātu personai viena mēneša vecuma pensijas izmaksu 10 000 </w:t>
      </w:r>
      <w:r w:rsidRPr="004A630A">
        <w:rPr>
          <w:rFonts w:eastAsia="Times New Roman"/>
          <w:i/>
          <w:sz w:val="26"/>
          <w:szCs w:val="26"/>
        </w:rPr>
        <w:t>euro</w:t>
      </w:r>
      <w:r w:rsidRPr="00B44B24">
        <w:rPr>
          <w:rFonts w:eastAsia="Times New Roman"/>
          <w:sz w:val="26"/>
          <w:szCs w:val="26"/>
        </w:rPr>
        <w:t xml:space="preserve"> apmērā, nepieciešamas VSAOI pensiju apdrošināšanai par, apmēram, 110 personām, kuras saņem minimālo darba algu, vai par, apmēram, 60 personām, kuras VSAOI veic no vidējās apdrošināšanas iemaksu algas valstī. </w:t>
      </w:r>
    </w:p>
    <w:p w14:paraId="06E24D59" w14:textId="77777777" w:rsidR="004A630A" w:rsidRPr="00B44B24" w:rsidRDefault="004A630A" w:rsidP="004A630A">
      <w:pPr>
        <w:spacing w:after="120"/>
        <w:ind w:firstLine="709"/>
        <w:jc w:val="both"/>
        <w:rPr>
          <w:rFonts w:eastAsia="Times New Roman"/>
          <w:sz w:val="26"/>
          <w:szCs w:val="26"/>
        </w:rPr>
      </w:pPr>
      <w:r w:rsidRPr="00B44B24">
        <w:rPr>
          <w:rFonts w:eastAsia="Times New Roman"/>
          <w:sz w:val="26"/>
          <w:szCs w:val="26"/>
        </w:rPr>
        <w:t>Ņemot vērā iepriekš minēto, prognozējams vēl straujāks valsts pensiju speciālā budžeta izdevumu pieaugums tuvākajā nākotnē, kā arī pensionāru nevienlīdzības palielināšanās. Straujas demogrāfiskās novecošanās apstākļos, vēl vairāk palielinot valsts pensiju speciālā budžeta finanšu saistības pret nākotnes pensionāriem, var tikt apdraudēta pensiju sistēmas ilgtermiņa stabilitāte.</w:t>
      </w:r>
    </w:p>
    <w:p w14:paraId="32BDF5C5" w14:textId="77777777" w:rsidR="004A630A" w:rsidRPr="00B44B24" w:rsidRDefault="004A630A" w:rsidP="004A630A">
      <w:pPr>
        <w:jc w:val="both"/>
        <w:rPr>
          <w:rFonts w:eastAsia="Times New Roman"/>
          <w:sz w:val="26"/>
          <w:szCs w:val="26"/>
        </w:rPr>
      </w:pPr>
    </w:p>
    <w:p w14:paraId="3C8A6760" w14:textId="77777777" w:rsidR="004A630A" w:rsidRPr="00B44B24" w:rsidRDefault="004A630A" w:rsidP="004A630A">
      <w:pPr>
        <w:ind w:firstLine="709"/>
        <w:jc w:val="both"/>
        <w:rPr>
          <w:rFonts w:eastAsia="Times New Roman"/>
          <w:sz w:val="26"/>
          <w:szCs w:val="26"/>
        </w:rPr>
      </w:pPr>
      <w:r>
        <w:rPr>
          <w:rFonts w:eastAsia="Times New Roman"/>
          <w:b/>
          <w:sz w:val="26"/>
          <w:szCs w:val="26"/>
        </w:rPr>
        <w:t>LM p</w:t>
      </w:r>
      <w:r w:rsidRPr="00B44B24">
        <w:rPr>
          <w:rFonts w:eastAsia="Times New Roman"/>
          <w:b/>
          <w:sz w:val="26"/>
          <w:szCs w:val="26"/>
        </w:rPr>
        <w:t>riekšlikums</w:t>
      </w:r>
      <w:r w:rsidRPr="00B44B24">
        <w:rPr>
          <w:rFonts w:eastAsia="Times New Roman"/>
          <w:sz w:val="26"/>
          <w:szCs w:val="26"/>
        </w:rPr>
        <w:t xml:space="preserve"> -  </w:t>
      </w:r>
      <w:r w:rsidR="00601B55">
        <w:rPr>
          <w:rFonts w:eastAsia="Times New Roman"/>
          <w:b/>
          <w:color w:val="FF0000"/>
          <w:sz w:val="26"/>
          <w:szCs w:val="26"/>
        </w:rPr>
        <w:t xml:space="preserve">14 procentpunkti, kas šobrīd novirzīti </w:t>
      </w:r>
      <w:r w:rsidR="00601B55" w:rsidRPr="006C5A20">
        <w:rPr>
          <w:rFonts w:eastAsia="Times New Roman"/>
          <w:b/>
          <w:color w:val="FF0000"/>
          <w:sz w:val="26"/>
          <w:szCs w:val="26"/>
        </w:rPr>
        <w:t>personām 1. pensiju līmeņa kapitāla uzkrāšanai</w:t>
      </w:r>
      <w:r w:rsidR="00601B55">
        <w:rPr>
          <w:rFonts w:eastAsia="Times New Roman"/>
          <w:b/>
          <w:color w:val="FF0000"/>
          <w:sz w:val="26"/>
          <w:szCs w:val="26"/>
        </w:rPr>
        <w:t>,</w:t>
      </w:r>
      <w:r w:rsidR="00601B55" w:rsidRPr="006C5A20">
        <w:rPr>
          <w:rFonts w:eastAsia="Times New Roman"/>
          <w:b/>
          <w:color w:val="FF0000"/>
          <w:sz w:val="26"/>
          <w:szCs w:val="26"/>
        </w:rPr>
        <w:t xml:space="preserve"> būtu novirzāmi </w:t>
      </w:r>
      <w:r w:rsidR="00601B55">
        <w:rPr>
          <w:rFonts w:eastAsia="Times New Roman"/>
          <w:b/>
          <w:color w:val="FF0000"/>
          <w:sz w:val="26"/>
          <w:szCs w:val="26"/>
        </w:rPr>
        <w:t>solidaritātei</w:t>
      </w:r>
      <w:r w:rsidRPr="00B44B24">
        <w:rPr>
          <w:rFonts w:eastAsia="Times New Roman"/>
          <w:sz w:val="26"/>
          <w:szCs w:val="26"/>
        </w:rPr>
        <w:t>.</w:t>
      </w:r>
    </w:p>
    <w:p w14:paraId="24AC9B6E" w14:textId="77777777" w:rsidR="004A630A" w:rsidRDefault="004A630A">
      <w:pPr>
        <w:rPr>
          <w:rFonts w:ascii="Times New Roman Bold" w:eastAsia="Times New Roman" w:hAnsi="Times New Roman Bold" w:cs="Times New Roman"/>
          <w:b/>
          <w:sz w:val="40"/>
          <w:szCs w:val="40"/>
          <w:shd w:val="clear" w:color="auto" w:fill="FAFAFA"/>
          <w:lang w:eastAsia="lv-LV"/>
        </w:rPr>
      </w:pPr>
      <w:r>
        <w:rPr>
          <w:szCs w:val="40"/>
          <w:shd w:val="clear" w:color="auto" w:fill="FAFAFA"/>
        </w:rPr>
        <w:br w:type="page"/>
      </w:r>
    </w:p>
    <w:p w14:paraId="0CD37E5D" w14:textId="77777777" w:rsidR="00B44B24" w:rsidRPr="00210441" w:rsidRDefault="00DF6AAE" w:rsidP="00B44B24">
      <w:pPr>
        <w:pStyle w:val="Heading1"/>
        <w:spacing w:after="0" w:afterAutospacing="0"/>
        <w:rPr>
          <w:szCs w:val="40"/>
          <w:shd w:val="clear" w:color="auto" w:fill="FAFAFA"/>
        </w:rPr>
      </w:pPr>
      <w:bookmarkStart w:id="11" w:name="_Toc33186624"/>
      <w:r>
        <w:rPr>
          <w:szCs w:val="40"/>
          <w:shd w:val="clear" w:color="auto" w:fill="FAFAFA"/>
        </w:rPr>
        <w:lastRenderedPageBreak/>
        <w:t>3</w:t>
      </w:r>
      <w:r w:rsidR="00B44B24" w:rsidRPr="00210441">
        <w:rPr>
          <w:szCs w:val="40"/>
          <w:shd w:val="clear" w:color="auto" w:fill="FAFAFA"/>
        </w:rPr>
        <w:t>. Minimālās mēneša darba algas pārskatīšana</w:t>
      </w:r>
      <w:bookmarkEnd w:id="11"/>
    </w:p>
    <w:p w14:paraId="28A3807E" w14:textId="77777777" w:rsidR="00B44B24" w:rsidRPr="00FE1E37" w:rsidRDefault="00B44B24" w:rsidP="00B44B24">
      <w:pPr>
        <w:jc w:val="center"/>
        <w:rPr>
          <w:b/>
          <w:sz w:val="40"/>
          <w:szCs w:val="40"/>
        </w:rPr>
      </w:pPr>
      <w:r w:rsidRPr="00FE1E37">
        <w:rPr>
          <w:b/>
          <w:sz w:val="40"/>
          <w:szCs w:val="40"/>
        </w:rPr>
        <w:t>(</w:t>
      </w:r>
      <w:r>
        <w:rPr>
          <w:b/>
          <w:sz w:val="40"/>
          <w:szCs w:val="40"/>
        </w:rPr>
        <w:t>L</w:t>
      </w:r>
      <w:r w:rsidR="00E022E1">
        <w:rPr>
          <w:b/>
          <w:sz w:val="40"/>
          <w:szCs w:val="40"/>
        </w:rPr>
        <w:t>abklājības ministrijas</w:t>
      </w:r>
      <w:r w:rsidRPr="00FE1E37">
        <w:rPr>
          <w:b/>
          <w:sz w:val="40"/>
          <w:szCs w:val="40"/>
        </w:rPr>
        <w:t xml:space="preserve"> priekšlikum</w:t>
      </w:r>
      <w:r w:rsidR="00D32DFE">
        <w:rPr>
          <w:b/>
          <w:sz w:val="40"/>
          <w:szCs w:val="40"/>
        </w:rPr>
        <w:t>s</w:t>
      </w:r>
      <w:r w:rsidRPr="00FE1E37">
        <w:rPr>
          <w:b/>
          <w:sz w:val="40"/>
          <w:szCs w:val="40"/>
        </w:rPr>
        <w:t>)</w:t>
      </w:r>
    </w:p>
    <w:p w14:paraId="238518EC" w14:textId="77777777" w:rsidR="00B44B24" w:rsidRPr="00210441" w:rsidRDefault="00B44B24" w:rsidP="00B44B24">
      <w:pPr>
        <w:rPr>
          <w:lang w:eastAsia="lv-LV"/>
        </w:rPr>
      </w:pPr>
    </w:p>
    <w:p w14:paraId="4419E396" w14:textId="77777777" w:rsidR="00B44B24" w:rsidRDefault="00B44B24" w:rsidP="00B44B24">
      <w:pPr>
        <w:spacing w:after="120"/>
        <w:ind w:firstLine="709"/>
        <w:jc w:val="both"/>
        <w:rPr>
          <w:rFonts w:cs="Times New Roman"/>
          <w:sz w:val="26"/>
          <w:szCs w:val="26"/>
        </w:rPr>
      </w:pPr>
      <w:r w:rsidRPr="00210441">
        <w:rPr>
          <w:rFonts w:cs="Times New Roman"/>
          <w:sz w:val="26"/>
          <w:szCs w:val="26"/>
        </w:rPr>
        <w:t>Minimālā mēneša darba alga ir instruments mazkvalificētu darbinieku aizsardzībai (nosakot minimālo cenu šāda veida darbam), nevienlīdzības mazināšanai un vienlaicīgi darbojas arī kā kopējā pieprasījuma uzturētājs. Tāpat minimālās mēneša darba algas paaugstināšana ir būtiska ne tikai nevienlīdzības mazināšanai un ienākumu palielināšanai, bet vienlaikus minimālās algas palielinājums var mazināt ēnu ekonomiku un palielināt valsts budžeta ienākumus.  </w:t>
      </w:r>
      <w:r w:rsidR="00CE0114" w:rsidRPr="00210441">
        <w:rPr>
          <w:rFonts w:cs="Times New Roman"/>
          <w:sz w:val="26"/>
          <w:szCs w:val="26"/>
        </w:rPr>
        <w:t xml:space="preserve">Šobrīd Latvijā minimālā alga ir </w:t>
      </w:r>
      <w:r w:rsidR="00CE0114" w:rsidRPr="00210441">
        <w:rPr>
          <w:rFonts w:cs="Times New Roman"/>
          <w:b/>
          <w:color w:val="C00000"/>
          <w:sz w:val="26"/>
          <w:szCs w:val="26"/>
        </w:rPr>
        <w:t>430</w:t>
      </w:r>
      <w:r w:rsidR="00CE0114" w:rsidRPr="00210441">
        <w:rPr>
          <w:rFonts w:cs="Times New Roman"/>
          <w:sz w:val="26"/>
          <w:szCs w:val="26"/>
        </w:rPr>
        <w:t xml:space="preserve"> </w:t>
      </w:r>
      <w:r w:rsidR="00CE0114" w:rsidRPr="00210441">
        <w:rPr>
          <w:rFonts w:cs="Times New Roman"/>
          <w:i/>
          <w:sz w:val="26"/>
          <w:szCs w:val="26"/>
        </w:rPr>
        <w:t>euro</w:t>
      </w:r>
      <w:r w:rsidR="00CE0114">
        <w:rPr>
          <w:rFonts w:cs="Times New Roman"/>
          <w:i/>
          <w:sz w:val="26"/>
          <w:szCs w:val="26"/>
        </w:rPr>
        <w:t>.</w:t>
      </w:r>
    </w:p>
    <w:p w14:paraId="303CC0C5" w14:textId="77777777" w:rsidR="00B44B24" w:rsidRDefault="00B44B24" w:rsidP="00B44B24">
      <w:pPr>
        <w:spacing w:after="120"/>
        <w:ind w:firstLine="709"/>
        <w:jc w:val="both"/>
        <w:rPr>
          <w:rFonts w:cs="Times New Roman"/>
          <w:sz w:val="26"/>
          <w:szCs w:val="26"/>
        </w:rPr>
      </w:pPr>
      <w:r w:rsidRPr="00210441">
        <w:rPr>
          <w:rFonts w:cs="Times New Roman"/>
          <w:sz w:val="26"/>
          <w:szCs w:val="26"/>
        </w:rPr>
        <w:t xml:space="preserve">Lai uzlabotu konkurētspēju un mazinātu ēnu ekonomiku saskaņā ar  Ministru kabineta 2019.gada 13.septembra (prot. Nr.41, 1.§ 19.p.) sēdē lemto, izskatot </w:t>
      </w:r>
      <w:r w:rsidRPr="00210441">
        <w:rPr>
          <w:rFonts w:cs="Times New Roman"/>
          <w:i/>
          <w:sz w:val="26"/>
          <w:szCs w:val="26"/>
        </w:rPr>
        <w:t>Informatīvo ziņojumu "Par fiskālās telpas pasākumiem un izdevumiem prioritārajiem pasākumiem valsts budžetam 2020.gadam un ietvaram 2020.–2022.gadam"</w:t>
      </w:r>
      <w:r w:rsidRPr="00210441">
        <w:rPr>
          <w:rFonts w:cs="Times New Roman"/>
          <w:sz w:val="26"/>
          <w:szCs w:val="26"/>
        </w:rPr>
        <w:t xml:space="preserve">, atbalstīja minimālās mēneša darba algas paaugstināšanu </w:t>
      </w:r>
      <w:r>
        <w:rPr>
          <w:rFonts w:cs="Times New Roman"/>
          <w:sz w:val="26"/>
          <w:szCs w:val="26"/>
        </w:rPr>
        <w:t>uz</w:t>
      </w:r>
      <w:r w:rsidRPr="00210441">
        <w:rPr>
          <w:rFonts w:cs="Times New Roman"/>
          <w:sz w:val="26"/>
          <w:szCs w:val="26"/>
        </w:rPr>
        <w:t xml:space="preserve"> </w:t>
      </w:r>
      <w:r w:rsidRPr="00210441">
        <w:rPr>
          <w:rFonts w:cs="Times New Roman"/>
          <w:b/>
          <w:color w:val="C00000"/>
          <w:sz w:val="26"/>
          <w:szCs w:val="26"/>
        </w:rPr>
        <w:t>500</w:t>
      </w:r>
      <w:r w:rsidRPr="00210441">
        <w:rPr>
          <w:rFonts w:cs="Times New Roman"/>
          <w:color w:val="C00000"/>
          <w:sz w:val="26"/>
          <w:szCs w:val="26"/>
        </w:rPr>
        <w:t xml:space="preserve"> </w:t>
      </w:r>
      <w:r w:rsidRPr="00210441">
        <w:rPr>
          <w:rFonts w:cs="Times New Roman"/>
          <w:i/>
          <w:sz w:val="26"/>
          <w:szCs w:val="26"/>
        </w:rPr>
        <w:t>euro</w:t>
      </w:r>
      <w:r w:rsidRPr="00210441">
        <w:rPr>
          <w:rFonts w:cs="Times New Roman"/>
          <w:sz w:val="26"/>
          <w:szCs w:val="26"/>
        </w:rPr>
        <w:t xml:space="preserve"> ar 2021.gadu. </w:t>
      </w:r>
    </w:p>
    <w:p w14:paraId="25BBFFCA" w14:textId="77777777" w:rsidR="00B44B24" w:rsidRPr="00210441" w:rsidRDefault="00B44B24" w:rsidP="00B44B24">
      <w:pPr>
        <w:spacing w:after="120"/>
        <w:ind w:firstLine="709"/>
        <w:jc w:val="both"/>
        <w:rPr>
          <w:rFonts w:cs="Times New Roman"/>
          <w:b/>
          <w:sz w:val="26"/>
          <w:szCs w:val="26"/>
        </w:rPr>
      </w:pPr>
      <w:r>
        <w:rPr>
          <w:rFonts w:cs="Times New Roman"/>
          <w:b/>
          <w:sz w:val="26"/>
          <w:szCs w:val="26"/>
        </w:rPr>
        <w:t>L</w:t>
      </w:r>
      <w:r w:rsidR="00E022E1">
        <w:rPr>
          <w:rFonts w:cs="Times New Roman"/>
          <w:b/>
          <w:sz w:val="26"/>
          <w:szCs w:val="26"/>
        </w:rPr>
        <w:t>abklājības ministrija</w:t>
      </w:r>
      <w:r>
        <w:rPr>
          <w:rFonts w:cs="Times New Roman"/>
          <w:b/>
          <w:sz w:val="26"/>
          <w:szCs w:val="26"/>
        </w:rPr>
        <w:t xml:space="preserve"> piedāvā j</w:t>
      </w:r>
      <w:r w:rsidRPr="00210441">
        <w:rPr>
          <w:rFonts w:cs="Times New Roman"/>
          <w:b/>
          <w:sz w:val="26"/>
          <w:szCs w:val="26"/>
        </w:rPr>
        <w:t>autājum</w:t>
      </w:r>
      <w:r>
        <w:rPr>
          <w:rFonts w:cs="Times New Roman"/>
          <w:b/>
          <w:sz w:val="26"/>
          <w:szCs w:val="26"/>
        </w:rPr>
        <w:t>u</w:t>
      </w:r>
      <w:r w:rsidRPr="00210441">
        <w:rPr>
          <w:rFonts w:cs="Times New Roman"/>
          <w:b/>
          <w:sz w:val="26"/>
          <w:szCs w:val="26"/>
        </w:rPr>
        <w:t xml:space="preserve"> par minimālās mēneša darba algas turpmāku regulāru pārskatīšanu iekļaujams ikgadējā un vidēja termiņa budžeta ietvarā, pirms tam jautājumu izskatot NTSP. </w:t>
      </w:r>
    </w:p>
    <w:p w14:paraId="3850A108" w14:textId="77777777" w:rsidR="00B44B24" w:rsidRDefault="00B44B24">
      <w:pPr>
        <w:rPr>
          <w:rFonts w:ascii="Times New Roman Bold" w:eastAsia="Times New Roman" w:hAnsi="Times New Roman Bold" w:cs="Times New Roman"/>
          <w:b/>
          <w:sz w:val="40"/>
          <w:szCs w:val="24"/>
          <w:lang w:eastAsia="lv-LV"/>
        </w:rPr>
      </w:pPr>
      <w:r>
        <w:br w:type="page"/>
      </w:r>
    </w:p>
    <w:p w14:paraId="083E6FAD" w14:textId="77777777" w:rsidR="00860B45" w:rsidRDefault="00DF6AAE" w:rsidP="00D46FA1">
      <w:pPr>
        <w:pStyle w:val="Heading1"/>
      </w:pPr>
      <w:bookmarkStart w:id="12" w:name="_Toc33186625"/>
      <w:r>
        <w:lastRenderedPageBreak/>
        <w:t>4</w:t>
      </w:r>
      <w:r w:rsidR="00D46FA1">
        <w:t xml:space="preserve">. </w:t>
      </w:r>
      <w:r w:rsidR="00860B45">
        <w:t>Alternatīvie nodokļu maksāšanas režīmi</w:t>
      </w:r>
      <w:bookmarkEnd w:id="12"/>
    </w:p>
    <w:p w14:paraId="5E4EE310" w14:textId="77777777" w:rsidR="00860B45" w:rsidRDefault="00DF6AAE" w:rsidP="00D46FA1">
      <w:pPr>
        <w:pStyle w:val="Heading2"/>
        <w:tabs>
          <w:tab w:val="left" w:pos="567"/>
        </w:tabs>
        <w:ind w:left="567" w:hanging="567"/>
      </w:pPr>
      <w:bookmarkStart w:id="13" w:name="_Toc33186626"/>
      <w:r>
        <w:t>4</w:t>
      </w:r>
      <w:r w:rsidR="00860B45">
        <w:t>.1.</w:t>
      </w:r>
      <w:r w:rsidR="00860B45">
        <w:tab/>
      </w:r>
      <w:r w:rsidR="00860B45" w:rsidRPr="00CC0A51">
        <w:t>Mikrou</w:t>
      </w:r>
      <w:r w:rsidR="00C36773">
        <w:t>z</w:t>
      </w:r>
      <w:r w:rsidR="00860B45" w:rsidRPr="00CC0A51">
        <w:t>ņēmumu nodok</w:t>
      </w:r>
      <w:r w:rsidR="00860B45">
        <w:t>ļa režīma pakāpeniska</w:t>
      </w:r>
      <w:r w:rsidR="00C25432">
        <w:t>s</w:t>
      </w:r>
      <w:r w:rsidR="00860B45">
        <w:t xml:space="preserve"> </w:t>
      </w:r>
      <w:r w:rsidR="00402430">
        <w:t xml:space="preserve">ierobežošana un pielīdzināšana vispārējam </w:t>
      </w:r>
      <w:r w:rsidR="00E82ACE">
        <w:t xml:space="preserve">darbaspēka nodokļu </w:t>
      </w:r>
      <w:r w:rsidR="00402430">
        <w:t>režīmam</w:t>
      </w:r>
      <w:bookmarkEnd w:id="13"/>
      <w:r w:rsidR="00C25432">
        <w:t xml:space="preserve"> </w:t>
      </w:r>
    </w:p>
    <w:p w14:paraId="1369C4E4" w14:textId="77777777" w:rsidR="00860B45" w:rsidRPr="00F519AB" w:rsidRDefault="00860B45" w:rsidP="00860B45">
      <w:pPr>
        <w:spacing w:after="120"/>
        <w:ind w:firstLine="709"/>
        <w:jc w:val="both"/>
        <w:rPr>
          <w:color w:val="000000" w:themeColor="text1"/>
          <w:sz w:val="26"/>
          <w:szCs w:val="26"/>
        </w:rPr>
      </w:pPr>
      <w:r w:rsidRPr="00CC0A51">
        <w:rPr>
          <w:rFonts w:cs="Times New Roman"/>
          <w:sz w:val="26"/>
          <w:szCs w:val="26"/>
        </w:rPr>
        <w:t>Mikrou</w:t>
      </w:r>
      <w:r w:rsidR="00C36773">
        <w:rPr>
          <w:rFonts w:cs="Times New Roman"/>
          <w:sz w:val="26"/>
          <w:szCs w:val="26"/>
        </w:rPr>
        <w:t>z</w:t>
      </w:r>
      <w:r w:rsidRPr="00CC0A51">
        <w:rPr>
          <w:rFonts w:cs="Times New Roman"/>
          <w:sz w:val="26"/>
          <w:szCs w:val="26"/>
        </w:rPr>
        <w:t>ņēmumu nodok</w:t>
      </w:r>
      <w:r>
        <w:rPr>
          <w:rFonts w:cs="Times New Roman"/>
          <w:sz w:val="26"/>
          <w:szCs w:val="26"/>
        </w:rPr>
        <w:t>ļa</w:t>
      </w:r>
      <w:r w:rsidRPr="00CC0A51">
        <w:rPr>
          <w:b/>
          <w:bCs/>
          <w:color w:val="000000" w:themeColor="text1"/>
          <w:sz w:val="26"/>
          <w:szCs w:val="26"/>
        </w:rPr>
        <w:t xml:space="preserve"> </w:t>
      </w:r>
      <w:r w:rsidRPr="00CC0A51">
        <w:rPr>
          <w:bCs/>
          <w:color w:val="000000" w:themeColor="text1"/>
          <w:sz w:val="26"/>
          <w:szCs w:val="26"/>
        </w:rPr>
        <w:t xml:space="preserve">(turpmāk – MUN) </w:t>
      </w:r>
      <w:r w:rsidRPr="00CC0A51">
        <w:rPr>
          <w:b/>
          <w:color w:val="000000" w:themeColor="text1"/>
          <w:sz w:val="26"/>
          <w:szCs w:val="26"/>
        </w:rPr>
        <w:t xml:space="preserve">sākotnējais </w:t>
      </w:r>
      <w:r w:rsidRPr="00CC0A51">
        <w:rPr>
          <w:b/>
          <w:bCs/>
          <w:color w:val="000000" w:themeColor="text1"/>
          <w:sz w:val="26"/>
          <w:szCs w:val="26"/>
        </w:rPr>
        <w:t xml:space="preserve">mērķis </w:t>
      </w:r>
      <w:r w:rsidRPr="00CC0A51">
        <w:rPr>
          <w:color w:val="000000" w:themeColor="text1"/>
          <w:sz w:val="26"/>
          <w:szCs w:val="26"/>
        </w:rPr>
        <w:t>bija radīt nepieciešamos priekšnoteikumus krīzes laikā bez darba palikušajiem iedzīvotājiem uzsākt uzņēmējdarbību, samazināt administratīvās prasības un vienkāršot nodokļu nomaksas kārtību.</w:t>
      </w:r>
      <w:r w:rsidRPr="00F519AB">
        <w:rPr>
          <w:color w:val="000000" w:themeColor="text1"/>
          <w:sz w:val="26"/>
          <w:szCs w:val="26"/>
        </w:rPr>
        <w:t xml:space="preserve"> </w:t>
      </w:r>
      <w:r w:rsidRPr="00F519AB">
        <w:rPr>
          <w:b/>
          <w:color w:val="000000" w:themeColor="text1"/>
          <w:sz w:val="26"/>
          <w:szCs w:val="26"/>
        </w:rPr>
        <w:t>MUN mērķis šobrīd</w:t>
      </w:r>
      <w:r w:rsidRPr="00F519AB">
        <w:rPr>
          <w:color w:val="000000" w:themeColor="text1"/>
          <w:sz w:val="26"/>
          <w:szCs w:val="26"/>
        </w:rPr>
        <w:t xml:space="preserve"> ir mazināt administratīvo un nodokļu slogu, it īpaši saim</w:t>
      </w:r>
      <w:r w:rsidRPr="00F519AB">
        <w:rPr>
          <w:color w:val="000000" w:themeColor="text1"/>
          <w:sz w:val="26"/>
          <w:szCs w:val="26"/>
        </w:rPr>
        <w:softHyphen/>
        <w:t>nie</w:t>
      </w:r>
      <w:r w:rsidRPr="00F519AB">
        <w:rPr>
          <w:color w:val="000000" w:themeColor="text1"/>
          <w:sz w:val="26"/>
          <w:szCs w:val="26"/>
        </w:rPr>
        <w:softHyphen/>
        <w:t>cis</w:t>
      </w:r>
      <w:r w:rsidRPr="00F519AB">
        <w:rPr>
          <w:color w:val="000000" w:themeColor="text1"/>
          <w:sz w:val="26"/>
          <w:szCs w:val="26"/>
        </w:rPr>
        <w:softHyphen/>
        <w:t>kās darbības uzsākšanas periodā, kā arī nozarēs ar zemu ienākuma līmeņa potenciālu, vien</w:t>
      </w:r>
      <w:r w:rsidRPr="00F519AB">
        <w:rPr>
          <w:color w:val="000000" w:themeColor="text1"/>
          <w:sz w:val="26"/>
          <w:szCs w:val="26"/>
        </w:rPr>
        <w:softHyphen/>
        <w:t>laikus ievērojot sabiedrības kopējās intereses godīgas konkurences un sociālās drošības jomā.</w:t>
      </w:r>
    </w:p>
    <w:p w14:paraId="5BB31DC4" w14:textId="77777777" w:rsidR="00860B45" w:rsidRPr="00F519AB" w:rsidRDefault="00860B45" w:rsidP="00860B45">
      <w:pPr>
        <w:pStyle w:val="Default"/>
        <w:spacing w:after="120"/>
        <w:ind w:firstLine="709"/>
        <w:jc w:val="both"/>
        <w:rPr>
          <w:rFonts w:ascii="Times New Roman" w:hAnsi="Times New Roman" w:cs="Times New Roman"/>
          <w:sz w:val="26"/>
          <w:szCs w:val="26"/>
        </w:rPr>
      </w:pPr>
      <w:r w:rsidRPr="00F519AB">
        <w:rPr>
          <w:rFonts w:ascii="Times New Roman" w:hAnsi="Times New Roman" w:cs="Times New Roman"/>
          <w:color w:val="000000" w:themeColor="text1"/>
          <w:sz w:val="26"/>
          <w:szCs w:val="26"/>
        </w:rPr>
        <w:t>Tomēr</w:t>
      </w:r>
      <w:r w:rsidRPr="00F519AB">
        <w:rPr>
          <w:rFonts w:ascii="Times New Roman" w:hAnsi="Times New Roman" w:cs="Times New Roman"/>
          <w:sz w:val="26"/>
          <w:szCs w:val="26"/>
        </w:rPr>
        <w:t xml:space="preserve"> MUN režīms joprojām nesasniedz vēlamos rezultātus</w:t>
      </w:r>
      <w:r>
        <w:rPr>
          <w:rFonts w:ascii="Times New Roman" w:hAnsi="Times New Roman" w:cs="Times New Roman"/>
          <w:sz w:val="26"/>
          <w:szCs w:val="26"/>
        </w:rPr>
        <w:t>, jo</w:t>
      </w:r>
      <w:r w:rsidRPr="00F519AB">
        <w:rPr>
          <w:rFonts w:ascii="Times New Roman" w:hAnsi="Times New Roman" w:cs="Times New Roman"/>
          <w:sz w:val="26"/>
          <w:szCs w:val="26"/>
        </w:rPr>
        <w:t xml:space="preserve">: </w:t>
      </w:r>
    </w:p>
    <w:p w14:paraId="0189D83A" w14:textId="77777777" w:rsidR="00860B45" w:rsidRPr="00F519AB" w:rsidRDefault="00860B45" w:rsidP="000223DA">
      <w:pPr>
        <w:pStyle w:val="Default"/>
        <w:numPr>
          <w:ilvl w:val="0"/>
          <w:numId w:val="5"/>
        </w:numPr>
        <w:spacing w:after="120"/>
        <w:jc w:val="both"/>
        <w:rPr>
          <w:rFonts w:ascii="Times New Roman" w:hAnsi="Times New Roman" w:cs="Times New Roman"/>
          <w:sz w:val="26"/>
          <w:szCs w:val="26"/>
        </w:rPr>
      </w:pPr>
      <w:r w:rsidRPr="00F519AB">
        <w:rPr>
          <w:rFonts w:ascii="Times New Roman" w:hAnsi="Times New Roman" w:cs="Times New Roman"/>
          <w:color w:val="000000" w:themeColor="text1"/>
          <w:sz w:val="26"/>
          <w:szCs w:val="26"/>
        </w:rPr>
        <w:t xml:space="preserve">MUN režīms </w:t>
      </w:r>
      <w:r w:rsidRPr="00F519AB">
        <w:rPr>
          <w:rFonts w:ascii="Times New Roman" w:hAnsi="Times New Roman" w:cs="Times New Roman"/>
          <w:b/>
          <w:color w:val="000000" w:themeColor="text1"/>
          <w:sz w:val="26"/>
          <w:szCs w:val="26"/>
        </w:rPr>
        <w:t>tiek plaši izmantots nodokļu optimizācijas nolūkos</w:t>
      </w:r>
      <w:r w:rsidRPr="00F519AB">
        <w:rPr>
          <w:rFonts w:ascii="Times New Roman" w:hAnsi="Times New Roman" w:cs="Times New Roman"/>
          <w:color w:val="000000" w:themeColor="text1"/>
          <w:sz w:val="26"/>
          <w:szCs w:val="26"/>
        </w:rPr>
        <w:t>, jo MUN tiek maksāts no uzņēmuma apgrozījuma nevis no faktiskās darba algas. Pie tam, la</w:t>
      </w:r>
      <w:r w:rsidRPr="00F519AB">
        <w:rPr>
          <w:rFonts w:ascii="Times New Roman" w:hAnsi="Times New Roman" w:cs="Times New Roman"/>
          <w:sz w:val="26"/>
          <w:szCs w:val="26"/>
        </w:rPr>
        <w:t xml:space="preserve">i kvalificētos </w:t>
      </w:r>
      <w:r w:rsidRPr="00F519AB">
        <w:rPr>
          <w:rFonts w:ascii="Times New Roman" w:hAnsi="Times New Roman" w:cs="Times New Roman"/>
          <w:color w:val="000000" w:themeColor="text1"/>
          <w:sz w:val="26"/>
          <w:szCs w:val="26"/>
        </w:rPr>
        <w:t xml:space="preserve">MUN </w:t>
      </w:r>
      <w:r w:rsidRPr="00F519AB">
        <w:rPr>
          <w:rFonts w:ascii="Times New Roman" w:hAnsi="Times New Roman" w:cs="Times New Roman"/>
          <w:sz w:val="26"/>
          <w:szCs w:val="26"/>
        </w:rPr>
        <w:t xml:space="preserve">režīmam, </w:t>
      </w:r>
      <w:r w:rsidR="00E022E1">
        <w:rPr>
          <w:rFonts w:ascii="Times New Roman" w:hAnsi="Times New Roman" w:cs="Times New Roman"/>
          <w:sz w:val="26"/>
          <w:szCs w:val="26"/>
        </w:rPr>
        <w:t xml:space="preserve">tas var stimulēt </w:t>
      </w:r>
      <w:r w:rsidRPr="00F519AB">
        <w:rPr>
          <w:rFonts w:ascii="Times New Roman" w:hAnsi="Times New Roman" w:cs="Times New Roman"/>
          <w:sz w:val="26"/>
          <w:szCs w:val="26"/>
        </w:rPr>
        <w:t>uzrād</w:t>
      </w:r>
      <w:r w:rsidR="00E022E1">
        <w:rPr>
          <w:rFonts w:ascii="Times New Roman" w:hAnsi="Times New Roman" w:cs="Times New Roman"/>
          <w:sz w:val="26"/>
          <w:szCs w:val="26"/>
        </w:rPr>
        <w:t>īt</w:t>
      </w:r>
      <w:r w:rsidRPr="00F519AB">
        <w:rPr>
          <w:rFonts w:ascii="Times New Roman" w:hAnsi="Times New Roman" w:cs="Times New Roman"/>
          <w:sz w:val="26"/>
          <w:szCs w:val="26"/>
        </w:rPr>
        <w:t xml:space="preserve"> nepatiesus algas apmērus;</w:t>
      </w:r>
    </w:p>
    <w:p w14:paraId="2038CB64" w14:textId="77777777" w:rsidR="00860B45" w:rsidRPr="00F519AB" w:rsidRDefault="00860B45" w:rsidP="000223DA">
      <w:pPr>
        <w:pStyle w:val="Default"/>
        <w:numPr>
          <w:ilvl w:val="0"/>
          <w:numId w:val="5"/>
        </w:numPr>
        <w:spacing w:after="120"/>
        <w:jc w:val="both"/>
        <w:rPr>
          <w:rFonts w:ascii="Times New Roman" w:hAnsi="Times New Roman" w:cs="Times New Roman"/>
          <w:sz w:val="26"/>
          <w:szCs w:val="26"/>
        </w:rPr>
      </w:pPr>
      <w:r w:rsidRPr="00F519AB">
        <w:rPr>
          <w:rFonts w:ascii="Times New Roman" w:hAnsi="Times New Roman" w:cs="Times New Roman"/>
          <w:color w:val="000000" w:themeColor="text1"/>
          <w:sz w:val="26"/>
          <w:szCs w:val="26"/>
        </w:rPr>
        <w:t xml:space="preserve">MUN režīmā strādājošo </w:t>
      </w:r>
      <w:r w:rsidRPr="00CC0A51">
        <w:rPr>
          <w:rFonts w:ascii="Times New Roman" w:hAnsi="Times New Roman" w:cs="Times New Roman"/>
          <w:b/>
          <w:bCs/>
          <w:color w:val="000000" w:themeColor="text1"/>
          <w:sz w:val="26"/>
          <w:szCs w:val="26"/>
        </w:rPr>
        <w:t>sociālās iemaksas</w:t>
      </w:r>
      <w:r w:rsidRPr="00CC0A51">
        <w:rPr>
          <w:rFonts w:ascii="Times New Roman" w:hAnsi="Times New Roman" w:cs="Times New Roman"/>
          <w:color w:val="000000" w:themeColor="text1"/>
          <w:sz w:val="26"/>
          <w:szCs w:val="26"/>
        </w:rPr>
        <w:t xml:space="preserve"> </w:t>
      </w:r>
      <w:r w:rsidRPr="00CC0A51">
        <w:rPr>
          <w:rFonts w:ascii="Times New Roman" w:hAnsi="Times New Roman" w:cs="Times New Roman"/>
          <w:b/>
          <w:color w:val="000000" w:themeColor="text1"/>
          <w:sz w:val="26"/>
          <w:szCs w:val="26"/>
        </w:rPr>
        <w:t>ir</w:t>
      </w:r>
      <w:r w:rsidRPr="00CC0A51">
        <w:rPr>
          <w:rFonts w:ascii="Times New Roman" w:hAnsi="Times New Roman" w:cs="Times New Roman"/>
          <w:color w:val="000000" w:themeColor="text1"/>
          <w:sz w:val="26"/>
          <w:szCs w:val="26"/>
        </w:rPr>
        <w:t xml:space="preserve"> </w:t>
      </w:r>
      <w:r w:rsidRPr="00CC0A51">
        <w:rPr>
          <w:rFonts w:ascii="Times New Roman" w:hAnsi="Times New Roman" w:cs="Times New Roman"/>
          <w:b/>
          <w:bCs/>
          <w:color w:val="000000" w:themeColor="text1"/>
          <w:sz w:val="26"/>
          <w:szCs w:val="26"/>
        </w:rPr>
        <w:t xml:space="preserve">zemas, </w:t>
      </w:r>
      <w:r w:rsidRPr="00CC0A51">
        <w:rPr>
          <w:rFonts w:ascii="Times New Roman" w:hAnsi="Times New Roman" w:cs="Times New Roman"/>
          <w:b/>
          <w:sz w:val="26"/>
          <w:szCs w:val="26"/>
        </w:rPr>
        <w:t xml:space="preserve">palielinot iedzīvotāju skaitu, kuri nākotnē var nebūt sociāli nodrošināti </w:t>
      </w:r>
      <w:r w:rsidRPr="00CC0A51">
        <w:rPr>
          <w:rFonts w:ascii="Times New Roman" w:hAnsi="Times New Roman" w:cs="Times New Roman"/>
          <w:sz w:val="26"/>
          <w:szCs w:val="26"/>
        </w:rPr>
        <w:t xml:space="preserve">(Latvijā aptuveni 1/3 no personām, kas gūst ienākumus, nākotnē var nebūt pietiekami sociāli apdrošinātas, jo to </w:t>
      </w:r>
      <w:r w:rsidRPr="00BE7B49">
        <w:rPr>
          <w:rFonts w:ascii="Times New Roman" w:hAnsi="Times New Roman" w:cs="Times New Roman"/>
          <w:color w:val="auto"/>
          <w:sz w:val="26"/>
          <w:szCs w:val="26"/>
        </w:rPr>
        <w:t>valsts sociālās apdrošināšanas obligāto iemaksu</w:t>
      </w:r>
      <w:r w:rsidRPr="00CC0A51">
        <w:rPr>
          <w:rFonts w:ascii="Times New Roman" w:hAnsi="Times New Roman" w:cs="Times New Roman"/>
          <w:sz w:val="26"/>
          <w:szCs w:val="26"/>
        </w:rPr>
        <w:t xml:space="preserve"> objekts ir mazāks par minimālo algu)</w:t>
      </w:r>
      <w:r w:rsidRPr="00CC0A51">
        <w:rPr>
          <w:rFonts w:ascii="Times New Roman" w:hAnsi="Times New Roman" w:cs="Times New Roman"/>
          <w:bCs/>
          <w:color w:val="000000" w:themeColor="text1"/>
          <w:sz w:val="26"/>
          <w:szCs w:val="26"/>
        </w:rPr>
        <w:t>.</w:t>
      </w:r>
      <w:r w:rsidRPr="00F519AB">
        <w:rPr>
          <w:rFonts w:ascii="Times New Roman" w:hAnsi="Times New Roman" w:cs="Times New Roman"/>
          <w:b/>
          <w:bCs/>
          <w:color w:val="000000" w:themeColor="text1"/>
          <w:sz w:val="26"/>
          <w:szCs w:val="26"/>
        </w:rPr>
        <w:t xml:space="preserve"> </w:t>
      </w:r>
      <w:r w:rsidRPr="00F519AB">
        <w:rPr>
          <w:rFonts w:ascii="Times New Roman" w:hAnsi="Times New Roman" w:cs="Times New Roman"/>
          <w:color w:val="000000" w:themeColor="text1"/>
          <w:sz w:val="26"/>
          <w:szCs w:val="26"/>
        </w:rPr>
        <w:t xml:space="preserve">Tā rezultātā valstij nākotnē būs jāuzņemas atbildība par šo </w:t>
      </w:r>
      <w:r>
        <w:rPr>
          <w:rFonts w:ascii="Times New Roman" w:hAnsi="Times New Roman" w:cs="Times New Roman"/>
          <w:color w:val="000000" w:themeColor="text1"/>
          <w:sz w:val="26"/>
          <w:szCs w:val="26"/>
        </w:rPr>
        <w:t>iedzīvotāju</w:t>
      </w:r>
      <w:r w:rsidRPr="00F519AB">
        <w:rPr>
          <w:rFonts w:ascii="Times New Roman" w:hAnsi="Times New Roman" w:cs="Times New Roman"/>
          <w:color w:val="000000" w:themeColor="text1"/>
          <w:sz w:val="26"/>
          <w:szCs w:val="26"/>
        </w:rPr>
        <w:t xml:space="preserve"> nodrošinājumu vecumdienās. Ja netiks rasts atbilstošs risinājums, tas zināmā mērā notiks uz to nodokļu maksātāju</w:t>
      </w:r>
      <w:r>
        <w:rPr>
          <w:rFonts w:ascii="Times New Roman" w:hAnsi="Times New Roman" w:cs="Times New Roman"/>
          <w:color w:val="000000" w:themeColor="text1"/>
          <w:sz w:val="26"/>
          <w:szCs w:val="26"/>
        </w:rPr>
        <w:t xml:space="preserve"> rēķina</w:t>
      </w:r>
      <w:r w:rsidRPr="00F519AB">
        <w:rPr>
          <w:rFonts w:ascii="Times New Roman" w:hAnsi="Times New Roman" w:cs="Times New Roman"/>
          <w:color w:val="000000" w:themeColor="text1"/>
          <w:sz w:val="26"/>
          <w:szCs w:val="26"/>
        </w:rPr>
        <w:t>, kuri nodokļu nomaksu veic vispārējā kārtībā;</w:t>
      </w:r>
    </w:p>
    <w:p w14:paraId="3DDF7626" w14:textId="77777777" w:rsidR="00860B45" w:rsidRPr="00F519AB" w:rsidRDefault="00860B45" w:rsidP="000223DA">
      <w:pPr>
        <w:pStyle w:val="Default"/>
        <w:numPr>
          <w:ilvl w:val="0"/>
          <w:numId w:val="5"/>
        </w:numPr>
        <w:spacing w:after="120"/>
        <w:jc w:val="both"/>
        <w:rPr>
          <w:rFonts w:ascii="Times New Roman" w:hAnsi="Times New Roman" w:cs="Times New Roman"/>
          <w:sz w:val="26"/>
          <w:szCs w:val="26"/>
        </w:rPr>
      </w:pPr>
      <w:r w:rsidRPr="00F519AB">
        <w:rPr>
          <w:rFonts w:ascii="Times New Roman" w:hAnsi="Times New Roman" w:cs="Times New Roman"/>
          <w:color w:val="000000" w:themeColor="text1"/>
          <w:sz w:val="26"/>
          <w:szCs w:val="26"/>
        </w:rPr>
        <w:t xml:space="preserve">MUN režīms </w:t>
      </w:r>
      <w:r w:rsidRPr="00F519AB">
        <w:rPr>
          <w:rFonts w:ascii="Times New Roman" w:hAnsi="Times New Roman" w:cs="Times New Roman"/>
          <w:b/>
          <w:color w:val="000000" w:themeColor="text1"/>
          <w:sz w:val="26"/>
          <w:szCs w:val="26"/>
        </w:rPr>
        <w:t>kropļo tirgus konkurenci</w:t>
      </w:r>
      <w:r w:rsidRPr="00F519AB">
        <w:rPr>
          <w:rFonts w:ascii="Times New Roman" w:hAnsi="Times New Roman" w:cs="Times New Roman"/>
          <w:color w:val="000000" w:themeColor="text1"/>
          <w:sz w:val="26"/>
          <w:szCs w:val="26"/>
        </w:rPr>
        <w:t>. Pateicoties zemākām nodokļu izmaksām, mikrouzņēmumi savas preces un pakalpojumus var pārdot par zemāku cenu nekā vispārējā režīmā strādājošie uzņēmumi;</w:t>
      </w:r>
    </w:p>
    <w:p w14:paraId="40C46556" w14:textId="77777777" w:rsidR="00860B45" w:rsidRPr="00F519AB" w:rsidRDefault="00860B45" w:rsidP="000223DA">
      <w:pPr>
        <w:pStyle w:val="Default"/>
        <w:numPr>
          <w:ilvl w:val="0"/>
          <w:numId w:val="5"/>
        </w:numPr>
        <w:spacing w:after="120"/>
        <w:jc w:val="both"/>
        <w:rPr>
          <w:rFonts w:ascii="Times New Roman" w:hAnsi="Times New Roman" w:cs="Times New Roman"/>
          <w:sz w:val="26"/>
          <w:szCs w:val="26"/>
        </w:rPr>
      </w:pPr>
      <w:r w:rsidRPr="00F519AB">
        <w:rPr>
          <w:rFonts w:ascii="Times New Roman" w:hAnsi="Times New Roman" w:cs="Times New Roman"/>
          <w:color w:val="000000" w:themeColor="text1"/>
          <w:sz w:val="26"/>
          <w:szCs w:val="26"/>
        </w:rPr>
        <w:t xml:space="preserve">MUN </w:t>
      </w:r>
      <w:r w:rsidRPr="00F519AB">
        <w:rPr>
          <w:rFonts w:ascii="Times New Roman" w:hAnsi="Times New Roman" w:cs="Times New Roman"/>
          <w:sz w:val="26"/>
          <w:szCs w:val="26"/>
        </w:rPr>
        <w:t xml:space="preserve">režīms </w:t>
      </w:r>
      <w:r w:rsidRPr="00F519AB">
        <w:rPr>
          <w:rFonts w:ascii="Times New Roman" w:hAnsi="Times New Roman" w:cs="Times New Roman"/>
          <w:b/>
          <w:sz w:val="26"/>
          <w:szCs w:val="26"/>
        </w:rPr>
        <w:t>nesekmē inovāciju veicināšanu</w:t>
      </w:r>
      <w:r w:rsidRPr="00F519AB">
        <w:rPr>
          <w:rFonts w:ascii="Times New Roman" w:hAnsi="Times New Roman" w:cs="Times New Roman"/>
          <w:sz w:val="26"/>
          <w:szCs w:val="26"/>
        </w:rPr>
        <w:t>, jo pavisam neliels skaits MUN maksātāju pāriet uz vispārējo nodokļu maksāšanas režīmu;</w:t>
      </w:r>
    </w:p>
    <w:p w14:paraId="49706803" w14:textId="77777777" w:rsidR="00860B45" w:rsidRPr="00F519AB" w:rsidRDefault="00860B45" w:rsidP="000223DA">
      <w:pPr>
        <w:pStyle w:val="Default"/>
        <w:numPr>
          <w:ilvl w:val="0"/>
          <w:numId w:val="5"/>
        </w:numPr>
        <w:spacing w:after="120"/>
        <w:jc w:val="both"/>
        <w:rPr>
          <w:rFonts w:ascii="Times New Roman" w:hAnsi="Times New Roman" w:cs="Times New Roman"/>
          <w:sz w:val="26"/>
          <w:szCs w:val="26"/>
        </w:rPr>
      </w:pPr>
      <w:r w:rsidRPr="00F519AB">
        <w:rPr>
          <w:rFonts w:ascii="Times New Roman" w:hAnsi="Times New Roman" w:cs="Times New Roman"/>
          <w:sz w:val="26"/>
          <w:szCs w:val="26"/>
        </w:rPr>
        <w:t xml:space="preserve">MUN režīms </w:t>
      </w:r>
      <w:r w:rsidRPr="00F519AB">
        <w:rPr>
          <w:rFonts w:ascii="Times New Roman" w:hAnsi="Times New Roman" w:cs="Times New Roman"/>
          <w:b/>
          <w:sz w:val="26"/>
          <w:szCs w:val="26"/>
        </w:rPr>
        <w:t>nesekmē nodarbinātības pieaugumu</w:t>
      </w:r>
      <w:r w:rsidRPr="00CC0A51">
        <w:rPr>
          <w:rFonts w:ascii="Times New Roman" w:hAnsi="Times New Roman" w:cs="Times New Roman"/>
          <w:b/>
          <w:sz w:val="26"/>
          <w:szCs w:val="26"/>
        </w:rPr>
        <w:t xml:space="preserve"> </w:t>
      </w:r>
      <w:r>
        <w:rPr>
          <w:rFonts w:ascii="Times New Roman" w:hAnsi="Times New Roman" w:cs="Times New Roman"/>
          <w:b/>
          <w:sz w:val="26"/>
          <w:szCs w:val="26"/>
        </w:rPr>
        <w:t>un produktivitāti</w:t>
      </w:r>
      <w:r w:rsidRPr="00F519AB">
        <w:rPr>
          <w:rFonts w:ascii="Times New Roman" w:hAnsi="Times New Roman" w:cs="Times New Roman"/>
          <w:sz w:val="26"/>
          <w:szCs w:val="26"/>
        </w:rPr>
        <w:t>, jo MUN nodarbināto skaita pieaugums norāda nevis uz nodarbinātības kāpumu Latvijā, bet gan pāreju no vispārējā nodokļu maksāšanas režīma uz MUN režīmu</w:t>
      </w:r>
      <w:r>
        <w:rPr>
          <w:rFonts w:ascii="Times New Roman" w:hAnsi="Times New Roman" w:cs="Times New Roman"/>
          <w:sz w:val="26"/>
          <w:szCs w:val="26"/>
        </w:rPr>
        <w:t>. Pie tam mikrouzņēmumos nodarbināto atalgojums ir krietni zem vidējās darba algas valstī</w:t>
      </w:r>
      <w:r w:rsidRPr="00F519AB">
        <w:rPr>
          <w:rFonts w:ascii="Times New Roman" w:hAnsi="Times New Roman" w:cs="Times New Roman"/>
          <w:sz w:val="26"/>
          <w:szCs w:val="26"/>
        </w:rPr>
        <w:t>;</w:t>
      </w:r>
      <w:r w:rsidRPr="00F519AB">
        <w:rPr>
          <w:rFonts w:ascii="Times New Roman" w:hAnsi="Times New Roman" w:cs="Times New Roman"/>
          <w:bCs/>
          <w:sz w:val="26"/>
          <w:szCs w:val="26"/>
        </w:rPr>
        <w:t xml:space="preserve"> </w:t>
      </w:r>
    </w:p>
    <w:p w14:paraId="785317C6" w14:textId="77777777" w:rsidR="00860B45" w:rsidRPr="00F519AB" w:rsidRDefault="00860B45" w:rsidP="000223DA">
      <w:pPr>
        <w:pStyle w:val="Default"/>
        <w:numPr>
          <w:ilvl w:val="0"/>
          <w:numId w:val="5"/>
        </w:numPr>
        <w:jc w:val="both"/>
        <w:rPr>
          <w:rFonts w:ascii="Times New Roman" w:hAnsi="Times New Roman" w:cs="Times New Roman"/>
          <w:b/>
          <w:sz w:val="26"/>
          <w:szCs w:val="26"/>
        </w:rPr>
      </w:pPr>
      <w:r w:rsidRPr="00F519AB">
        <w:rPr>
          <w:rFonts w:ascii="Times New Roman" w:hAnsi="Times New Roman" w:cs="Times New Roman"/>
          <w:b/>
          <w:bCs/>
          <w:sz w:val="26"/>
          <w:szCs w:val="26"/>
        </w:rPr>
        <w:t>nozarēs ar augstu MUN īpatsvaru samazinās nodarbinātība un bremzējas ekonomiskā aktivitāte.</w:t>
      </w:r>
    </w:p>
    <w:p w14:paraId="26C3FB38" w14:textId="77777777" w:rsidR="00860B45" w:rsidRDefault="00860B45" w:rsidP="00860B45">
      <w:pPr>
        <w:pStyle w:val="ListParagraph"/>
        <w:ind w:left="0" w:firstLine="709"/>
        <w:rPr>
          <w:sz w:val="26"/>
          <w:szCs w:val="26"/>
        </w:rPr>
      </w:pPr>
    </w:p>
    <w:p w14:paraId="47896996" w14:textId="77777777" w:rsidR="00860B45" w:rsidRDefault="00860B45" w:rsidP="00860B45">
      <w:pPr>
        <w:pStyle w:val="ListParagraph"/>
        <w:ind w:left="0" w:firstLine="709"/>
        <w:rPr>
          <w:sz w:val="26"/>
          <w:szCs w:val="26"/>
        </w:rPr>
      </w:pPr>
      <w:r w:rsidRPr="00F519AB">
        <w:rPr>
          <w:sz w:val="26"/>
          <w:szCs w:val="26"/>
        </w:rPr>
        <w:lastRenderedPageBreak/>
        <w:t xml:space="preserve">Ņemot vērā </w:t>
      </w:r>
      <w:r>
        <w:rPr>
          <w:sz w:val="26"/>
          <w:szCs w:val="26"/>
        </w:rPr>
        <w:t xml:space="preserve">šos </w:t>
      </w:r>
      <w:r w:rsidRPr="00F519AB">
        <w:rPr>
          <w:sz w:val="26"/>
          <w:szCs w:val="26"/>
        </w:rPr>
        <w:t>apstāk</w:t>
      </w:r>
      <w:r>
        <w:rPr>
          <w:sz w:val="26"/>
          <w:szCs w:val="26"/>
        </w:rPr>
        <w:t>ļus</w:t>
      </w:r>
      <w:r w:rsidRPr="00F519AB">
        <w:rPr>
          <w:sz w:val="26"/>
          <w:szCs w:val="26"/>
        </w:rPr>
        <w:t xml:space="preserve">, </w:t>
      </w:r>
      <w:r>
        <w:rPr>
          <w:sz w:val="26"/>
          <w:szCs w:val="26"/>
        </w:rPr>
        <w:t>n</w:t>
      </w:r>
      <w:r w:rsidRPr="00F519AB">
        <w:rPr>
          <w:sz w:val="26"/>
          <w:szCs w:val="26"/>
        </w:rPr>
        <w:t>epieciešams lēmums par MUN modeļa nākotni (iespējams risinājums vairākos posmos</w:t>
      </w:r>
      <w:r>
        <w:rPr>
          <w:sz w:val="26"/>
          <w:szCs w:val="26"/>
        </w:rPr>
        <w:t xml:space="preserve"> – skat. tabulu zemāk</w:t>
      </w:r>
      <w:r w:rsidRPr="00F519AB">
        <w:rPr>
          <w:sz w:val="26"/>
          <w:szCs w:val="26"/>
        </w:rPr>
        <w:t>)</w:t>
      </w:r>
      <w:r>
        <w:rPr>
          <w:sz w:val="26"/>
          <w:szCs w:val="26"/>
        </w:rPr>
        <w:t>.</w:t>
      </w:r>
    </w:p>
    <w:p w14:paraId="7DA47BF3" w14:textId="77777777" w:rsidR="00860B45" w:rsidRDefault="00860B45" w:rsidP="00860B45">
      <w:pPr>
        <w:pStyle w:val="ListParagraph"/>
        <w:spacing w:after="120"/>
        <w:ind w:left="0"/>
        <w:jc w:val="center"/>
        <w:rPr>
          <w:szCs w:val="24"/>
        </w:rPr>
      </w:pPr>
    </w:p>
    <w:p w14:paraId="2A341F07" w14:textId="77777777" w:rsidR="00860B45" w:rsidRPr="00F519AB" w:rsidRDefault="006C5A20" w:rsidP="00860B45">
      <w:pPr>
        <w:pStyle w:val="ListParagraph"/>
        <w:spacing w:after="120"/>
        <w:ind w:left="0"/>
        <w:jc w:val="center"/>
        <w:rPr>
          <w:b/>
          <w:szCs w:val="24"/>
        </w:rPr>
      </w:pPr>
      <w:r>
        <w:rPr>
          <w:szCs w:val="24"/>
        </w:rPr>
        <w:t>8</w:t>
      </w:r>
      <w:r w:rsidR="00860B45" w:rsidRPr="00B5583A">
        <w:rPr>
          <w:szCs w:val="24"/>
        </w:rPr>
        <w:t>.tab.</w:t>
      </w:r>
      <w:r w:rsidR="00860B45">
        <w:rPr>
          <w:b/>
          <w:szCs w:val="24"/>
        </w:rPr>
        <w:t xml:space="preserve"> </w:t>
      </w:r>
      <w:r w:rsidR="00DF11C4" w:rsidRPr="00DF11C4">
        <w:rPr>
          <w:b/>
          <w:szCs w:val="24"/>
        </w:rPr>
        <w:t>MUN režīm</w:t>
      </w:r>
      <w:r w:rsidR="00DF11C4">
        <w:rPr>
          <w:b/>
          <w:szCs w:val="24"/>
        </w:rPr>
        <w:t>a</w:t>
      </w:r>
      <w:r w:rsidR="00DF11C4" w:rsidRPr="00F519AB">
        <w:rPr>
          <w:sz w:val="26"/>
          <w:szCs w:val="26"/>
        </w:rPr>
        <w:t xml:space="preserve"> </w:t>
      </w:r>
      <w:r w:rsidR="00860B45" w:rsidRPr="00F519AB">
        <w:rPr>
          <w:b/>
          <w:szCs w:val="24"/>
        </w:rPr>
        <w:t xml:space="preserve">pakāpeniskas </w:t>
      </w:r>
      <w:r w:rsidR="00402430">
        <w:rPr>
          <w:b/>
          <w:szCs w:val="24"/>
        </w:rPr>
        <w:t>ierobežošanas</w:t>
      </w:r>
      <w:r w:rsidR="00860B45" w:rsidRPr="00F519AB">
        <w:rPr>
          <w:b/>
          <w:szCs w:val="24"/>
        </w:rPr>
        <w:t xml:space="preserve"> scenārijs</w:t>
      </w:r>
    </w:p>
    <w:p w14:paraId="2C970BDD" w14:textId="77777777" w:rsidR="00860B45" w:rsidRPr="00402430" w:rsidRDefault="00860B45" w:rsidP="00402430">
      <w:pPr>
        <w:pStyle w:val="ListParagraph"/>
        <w:spacing w:before="80" w:after="80"/>
        <w:ind w:left="0"/>
        <w:rPr>
          <w:rFonts w:eastAsiaTheme="minorHAnsi" w:cstheme="minorBidi"/>
          <w:b/>
          <w:sz w:val="22"/>
        </w:rPr>
      </w:pPr>
    </w:p>
    <w:tbl>
      <w:tblPr>
        <w:tblStyle w:val="TableGrid"/>
        <w:tblpPr w:leftFromText="180" w:rightFromText="180" w:vertAnchor="text" w:horzAnchor="margin" w:tblpY="-64"/>
        <w:tblW w:w="0" w:type="auto"/>
        <w:tblLook w:val="04A0" w:firstRow="1" w:lastRow="0" w:firstColumn="1" w:lastColumn="0" w:noHBand="0" w:noVBand="1"/>
      </w:tblPr>
      <w:tblGrid>
        <w:gridCol w:w="3143"/>
        <w:gridCol w:w="1451"/>
        <w:gridCol w:w="1490"/>
        <w:gridCol w:w="1106"/>
        <w:gridCol w:w="1106"/>
      </w:tblGrid>
      <w:tr w:rsidR="00402430" w:rsidRPr="00923522" w14:paraId="33180E53" w14:textId="77777777" w:rsidTr="00402430">
        <w:tc>
          <w:tcPr>
            <w:tcW w:w="3143" w:type="dxa"/>
            <w:vMerge w:val="restart"/>
            <w:tcBorders>
              <w:right w:val="single" w:sz="4" w:space="0" w:color="FFFFFF" w:themeColor="background1"/>
            </w:tcBorders>
            <w:shd w:val="clear" w:color="auto" w:fill="002060"/>
            <w:vAlign w:val="center"/>
          </w:tcPr>
          <w:p w14:paraId="39AED93A" w14:textId="77777777" w:rsidR="00402430" w:rsidRPr="00F519AB" w:rsidRDefault="00402430" w:rsidP="000F652A">
            <w:pPr>
              <w:jc w:val="center"/>
              <w:rPr>
                <w:b/>
                <w:sz w:val="22"/>
              </w:rPr>
            </w:pPr>
            <w:r w:rsidRPr="00F519AB">
              <w:rPr>
                <w:b/>
                <w:sz w:val="22"/>
              </w:rPr>
              <w:t xml:space="preserve">Kritēriji </w:t>
            </w:r>
          </w:p>
        </w:tc>
        <w:tc>
          <w:tcPr>
            <w:tcW w:w="1451" w:type="dxa"/>
            <w:vMerge w:val="restart"/>
            <w:tcBorders>
              <w:left w:val="single" w:sz="4" w:space="0" w:color="FFFFFF" w:themeColor="background1"/>
              <w:right w:val="single" w:sz="4" w:space="0" w:color="FFFFFF" w:themeColor="background1"/>
            </w:tcBorders>
            <w:shd w:val="clear" w:color="auto" w:fill="002060"/>
            <w:vAlign w:val="center"/>
          </w:tcPr>
          <w:p w14:paraId="03D06BE7" w14:textId="77777777" w:rsidR="00402430" w:rsidRPr="00F519AB" w:rsidRDefault="00402430" w:rsidP="000F652A">
            <w:pPr>
              <w:jc w:val="center"/>
              <w:rPr>
                <w:b/>
                <w:sz w:val="22"/>
              </w:rPr>
            </w:pPr>
            <w:r w:rsidRPr="00F519AB">
              <w:rPr>
                <w:b/>
                <w:sz w:val="22"/>
              </w:rPr>
              <w:t>Esošā situācija</w:t>
            </w:r>
            <w:r>
              <w:rPr>
                <w:b/>
                <w:sz w:val="22"/>
              </w:rPr>
              <w:t xml:space="preserve"> 2020</w:t>
            </w:r>
          </w:p>
        </w:tc>
        <w:tc>
          <w:tcPr>
            <w:tcW w:w="3702" w:type="dxa"/>
            <w:gridSpan w:val="3"/>
            <w:tcBorders>
              <w:left w:val="single" w:sz="4" w:space="0" w:color="FFFFFF" w:themeColor="background1"/>
              <w:bottom w:val="single" w:sz="4" w:space="0" w:color="FFFFFF" w:themeColor="background1"/>
            </w:tcBorders>
            <w:shd w:val="clear" w:color="auto" w:fill="002060"/>
            <w:vAlign w:val="center"/>
          </w:tcPr>
          <w:p w14:paraId="6DC82A9F" w14:textId="77777777" w:rsidR="00402430" w:rsidRPr="00F519AB" w:rsidRDefault="00402430" w:rsidP="00543E31">
            <w:pPr>
              <w:jc w:val="center"/>
              <w:rPr>
                <w:b/>
                <w:sz w:val="22"/>
              </w:rPr>
            </w:pPr>
            <w:r w:rsidRPr="00F519AB">
              <w:rPr>
                <w:b/>
                <w:sz w:val="22"/>
              </w:rPr>
              <w:t xml:space="preserve">MUN </w:t>
            </w:r>
            <w:r w:rsidR="00543E31">
              <w:rPr>
                <w:b/>
                <w:sz w:val="22"/>
              </w:rPr>
              <w:t>ierobežošanas</w:t>
            </w:r>
            <w:r w:rsidRPr="00F519AB">
              <w:rPr>
                <w:b/>
                <w:sz w:val="22"/>
              </w:rPr>
              <w:t xml:space="preserve"> scenārijs</w:t>
            </w:r>
          </w:p>
        </w:tc>
      </w:tr>
      <w:tr w:rsidR="00402430" w:rsidRPr="00923522" w14:paraId="39EFE8B0" w14:textId="77777777" w:rsidTr="00402430">
        <w:tc>
          <w:tcPr>
            <w:tcW w:w="3143" w:type="dxa"/>
            <w:vMerge/>
            <w:tcBorders>
              <w:right w:val="single" w:sz="4" w:space="0" w:color="FFFFFF" w:themeColor="background1"/>
            </w:tcBorders>
            <w:shd w:val="clear" w:color="auto" w:fill="002060"/>
          </w:tcPr>
          <w:p w14:paraId="3CEA43AB" w14:textId="77777777" w:rsidR="00402430" w:rsidRPr="00F519AB" w:rsidRDefault="00402430" w:rsidP="000F652A">
            <w:pPr>
              <w:rPr>
                <w:b/>
                <w:sz w:val="22"/>
              </w:rPr>
            </w:pPr>
          </w:p>
        </w:tc>
        <w:tc>
          <w:tcPr>
            <w:tcW w:w="1451" w:type="dxa"/>
            <w:vMerge/>
            <w:tcBorders>
              <w:left w:val="single" w:sz="4" w:space="0" w:color="FFFFFF" w:themeColor="background1"/>
              <w:right w:val="single" w:sz="4" w:space="0" w:color="FFFFFF" w:themeColor="background1"/>
            </w:tcBorders>
            <w:shd w:val="clear" w:color="auto" w:fill="002060"/>
            <w:vAlign w:val="center"/>
          </w:tcPr>
          <w:p w14:paraId="0232D5D6" w14:textId="77777777" w:rsidR="00402430" w:rsidRPr="00F519AB" w:rsidRDefault="00402430" w:rsidP="00402430">
            <w:pPr>
              <w:jc w:val="center"/>
              <w:rPr>
                <w:b/>
                <w:sz w:val="22"/>
              </w:rPr>
            </w:pPr>
          </w:p>
        </w:tc>
        <w:tc>
          <w:tcPr>
            <w:tcW w:w="1490"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734216A1" w14:textId="77777777" w:rsidR="00402430" w:rsidRPr="00F519AB" w:rsidRDefault="00402430" w:rsidP="00402430">
            <w:pPr>
              <w:jc w:val="center"/>
              <w:rPr>
                <w:b/>
                <w:sz w:val="22"/>
              </w:rPr>
            </w:pPr>
            <w:r>
              <w:rPr>
                <w:b/>
                <w:sz w:val="22"/>
              </w:rPr>
              <w:t>2021</w:t>
            </w:r>
          </w:p>
        </w:tc>
        <w:tc>
          <w:tcPr>
            <w:tcW w:w="1106"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496B1EEB" w14:textId="77777777" w:rsidR="00402430" w:rsidRPr="00F519AB" w:rsidRDefault="00402430" w:rsidP="00402430">
            <w:pPr>
              <w:jc w:val="center"/>
              <w:rPr>
                <w:b/>
                <w:sz w:val="22"/>
              </w:rPr>
            </w:pPr>
            <w:r>
              <w:rPr>
                <w:b/>
                <w:sz w:val="22"/>
              </w:rPr>
              <w:t>2022</w:t>
            </w:r>
          </w:p>
        </w:tc>
        <w:tc>
          <w:tcPr>
            <w:tcW w:w="1106" w:type="dxa"/>
            <w:tcBorders>
              <w:top w:val="single" w:sz="4" w:space="0" w:color="FFFFFF" w:themeColor="background1"/>
              <w:left w:val="single" w:sz="4" w:space="0" w:color="FFFFFF" w:themeColor="background1"/>
              <w:bottom w:val="single" w:sz="4" w:space="0" w:color="auto"/>
            </w:tcBorders>
            <w:shd w:val="clear" w:color="auto" w:fill="002060"/>
            <w:vAlign w:val="center"/>
          </w:tcPr>
          <w:p w14:paraId="2D8DF4AA" w14:textId="77777777" w:rsidR="00402430" w:rsidRPr="00F519AB" w:rsidRDefault="00402430" w:rsidP="00402430">
            <w:pPr>
              <w:jc w:val="center"/>
              <w:rPr>
                <w:b/>
                <w:sz w:val="22"/>
              </w:rPr>
            </w:pPr>
            <w:r>
              <w:rPr>
                <w:b/>
                <w:sz w:val="22"/>
              </w:rPr>
              <w:t>2023</w:t>
            </w:r>
            <w:r w:rsidRPr="00402430">
              <w:rPr>
                <w:b/>
                <w:sz w:val="22"/>
                <w:vertAlign w:val="superscript"/>
              </w:rPr>
              <w:t>*</w:t>
            </w:r>
          </w:p>
        </w:tc>
      </w:tr>
      <w:tr w:rsidR="00402430" w:rsidRPr="00923522" w14:paraId="1D109158" w14:textId="77777777" w:rsidTr="00402430">
        <w:tc>
          <w:tcPr>
            <w:tcW w:w="3143" w:type="dxa"/>
          </w:tcPr>
          <w:p w14:paraId="43BE73FD" w14:textId="77777777" w:rsidR="00402430" w:rsidRPr="00F519AB" w:rsidRDefault="00402430" w:rsidP="00402430">
            <w:pPr>
              <w:rPr>
                <w:b/>
                <w:sz w:val="22"/>
              </w:rPr>
            </w:pPr>
            <w:r w:rsidRPr="00F519AB">
              <w:rPr>
                <w:b/>
                <w:sz w:val="22"/>
              </w:rPr>
              <w:t>Apgrozījums EUR</w:t>
            </w:r>
          </w:p>
        </w:tc>
        <w:tc>
          <w:tcPr>
            <w:tcW w:w="1451" w:type="dxa"/>
            <w:shd w:val="clear" w:color="auto" w:fill="D9D9D9" w:themeFill="background1" w:themeFillShade="D9"/>
            <w:vAlign w:val="center"/>
          </w:tcPr>
          <w:p w14:paraId="7C7498C2" w14:textId="77777777" w:rsidR="00402430" w:rsidRPr="00F519AB" w:rsidRDefault="00402430" w:rsidP="00402430">
            <w:pPr>
              <w:jc w:val="center"/>
              <w:rPr>
                <w:b/>
                <w:sz w:val="22"/>
              </w:rPr>
            </w:pPr>
            <w:r w:rsidRPr="00F519AB">
              <w:rPr>
                <w:b/>
                <w:sz w:val="22"/>
              </w:rPr>
              <w:t>40 000</w:t>
            </w:r>
          </w:p>
        </w:tc>
        <w:tc>
          <w:tcPr>
            <w:tcW w:w="1490" w:type="dxa"/>
            <w:vAlign w:val="center"/>
          </w:tcPr>
          <w:p w14:paraId="2015413D" w14:textId="77777777" w:rsidR="00402430" w:rsidRPr="00F519AB" w:rsidRDefault="00402430" w:rsidP="00402430">
            <w:pPr>
              <w:jc w:val="center"/>
              <w:rPr>
                <w:b/>
                <w:color w:val="FF0000"/>
                <w:sz w:val="22"/>
              </w:rPr>
            </w:pPr>
            <w:r w:rsidRPr="00F519AB">
              <w:rPr>
                <w:b/>
                <w:color w:val="FF0000"/>
                <w:sz w:val="22"/>
              </w:rPr>
              <w:t>20 000</w:t>
            </w:r>
          </w:p>
        </w:tc>
        <w:tc>
          <w:tcPr>
            <w:tcW w:w="1106" w:type="dxa"/>
            <w:vAlign w:val="center"/>
          </w:tcPr>
          <w:p w14:paraId="6A749740" w14:textId="77777777" w:rsidR="00402430" w:rsidRPr="00F519AB" w:rsidRDefault="00402430" w:rsidP="00402430">
            <w:pPr>
              <w:jc w:val="center"/>
              <w:rPr>
                <w:b/>
                <w:color w:val="FF0000"/>
                <w:sz w:val="22"/>
              </w:rPr>
            </w:pPr>
            <w:r w:rsidRPr="00F519AB">
              <w:rPr>
                <w:b/>
                <w:color w:val="FF0000"/>
                <w:sz w:val="22"/>
              </w:rPr>
              <w:t>20 000</w:t>
            </w:r>
          </w:p>
        </w:tc>
        <w:tc>
          <w:tcPr>
            <w:tcW w:w="1106" w:type="dxa"/>
            <w:tcBorders>
              <w:tl2br w:val="nil"/>
              <w:tr2bl w:val="nil"/>
            </w:tcBorders>
            <w:vAlign w:val="center"/>
          </w:tcPr>
          <w:p w14:paraId="15DB6724" w14:textId="77777777" w:rsidR="00402430" w:rsidRPr="00117E4C" w:rsidRDefault="00402430" w:rsidP="00402430">
            <w:pPr>
              <w:jc w:val="center"/>
              <w:rPr>
                <w:b/>
                <w:sz w:val="22"/>
              </w:rPr>
            </w:pPr>
            <w:r w:rsidRPr="00117E4C">
              <w:rPr>
                <w:b/>
                <w:sz w:val="22"/>
              </w:rPr>
              <w:t>20 000</w:t>
            </w:r>
          </w:p>
        </w:tc>
      </w:tr>
      <w:tr w:rsidR="00402430" w:rsidRPr="00923522" w14:paraId="65035D88" w14:textId="77777777" w:rsidTr="00402430">
        <w:tc>
          <w:tcPr>
            <w:tcW w:w="3143" w:type="dxa"/>
          </w:tcPr>
          <w:p w14:paraId="1FA49877" w14:textId="77777777" w:rsidR="00402430" w:rsidRPr="00F519AB" w:rsidRDefault="00402430" w:rsidP="00402430">
            <w:pPr>
              <w:rPr>
                <w:b/>
                <w:sz w:val="22"/>
              </w:rPr>
            </w:pPr>
            <w:r w:rsidRPr="00F519AB">
              <w:rPr>
                <w:b/>
                <w:sz w:val="22"/>
              </w:rPr>
              <w:t>MUN darbinieku sk.</w:t>
            </w:r>
          </w:p>
        </w:tc>
        <w:tc>
          <w:tcPr>
            <w:tcW w:w="1451" w:type="dxa"/>
            <w:shd w:val="clear" w:color="auto" w:fill="D9D9D9" w:themeFill="background1" w:themeFillShade="D9"/>
            <w:vAlign w:val="center"/>
          </w:tcPr>
          <w:p w14:paraId="0879C940" w14:textId="77777777" w:rsidR="00402430" w:rsidRPr="00F519AB" w:rsidRDefault="00402430" w:rsidP="00402430">
            <w:pPr>
              <w:jc w:val="center"/>
              <w:rPr>
                <w:b/>
                <w:sz w:val="22"/>
              </w:rPr>
            </w:pPr>
            <w:r w:rsidRPr="00F519AB">
              <w:rPr>
                <w:b/>
                <w:sz w:val="22"/>
              </w:rPr>
              <w:t>5</w:t>
            </w:r>
          </w:p>
        </w:tc>
        <w:tc>
          <w:tcPr>
            <w:tcW w:w="1490" w:type="dxa"/>
            <w:vAlign w:val="center"/>
          </w:tcPr>
          <w:p w14:paraId="432A62AF" w14:textId="77777777" w:rsidR="00402430" w:rsidRPr="00F519AB" w:rsidRDefault="00402430" w:rsidP="00402430">
            <w:pPr>
              <w:jc w:val="center"/>
              <w:rPr>
                <w:b/>
                <w:sz w:val="22"/>
              </w:rPr>
            </w:pPr>
            <w:r w:rsidRPr="00F519AB">
              <w:rPr>
                <w:b/>
                <w:color w:val="FF0000"/>
                <w:sz w:val="22"/>
              </w:rPr>
              <w:t>1</w:t>
            </w:r>
            <w:r w:rsidRPr="00F519AB">
              <w:rPr>
                <w:b/>
                <w:sz w:val="22"/>
              </w:rPr>
              <w:t xml:space="preserve"> darbinieks</w:t>
            </w:r>
            <w:r w:rsidRPr="00F519AB">
              <w:rPr>
                <w:sz w:val="22"/>
              </w:rPr>
              <w:t xml:space="preserve"> </w:t>
            </w:r>
            <w:r w:rsidRPr="00F519AB">
              <w:rPr>
                <w:sz w:val="18"/>
                <w:szCs w:val="18"/>
              </w:rPr>
              <w:t>(no 01.07.)</w:t>
            </w:r>
          </w:p>
        </w:tc>
        <w:tc>
          <w:tcPr>
            <w:tcW w:w="1106" w:type="dxa"/>
            <w:vAlign w:val="center"/>
          </w:tcPr>
          <w:p w14:paraId="4C18A386" w14:textId="77777777" w:rsidR="00402430" w:rsidRPr="00F519AB" w:rsidRDefault="00402430" w:rsidP="00402430">
            <w:pPr>
              <w:jc w:val="center"/>
              <w:rPr>
                <w:b/>
                <w:sz w:val="22"/>
              </w:rPr>
            </w:pPr>
            <w:r w:rsidRPr="00F519AB">
              <w:rPr>
                <w:b/>
                <w:color w:val="FF0000"/>
                <w:sz w:val="22"/>
              </w:rPr>
              <w:t>1</w:t>
            </w:r>
          </w:p>
        </w:tc>
        <w:tc>
          <w:tcPr>
            <w:tcW w:w="1106" w:type="dxa"/>
            <w:tcBorders>
              <w:tl2br w:val="nil"/>
              <w:tr2bl w:val="nil"/>
            </w:tcBorders>
            <w:vAlign w:val="center"/>
          </w:tcPr>
          <w:p w14:paraId="68461E40" w14:textId="77777777" w:rsidR="00402430" w:rsidRPr="00117E4C" w:rsidRDefault="00402430" w:rsidP="00402430">
            <w:pPr>
              <w:jc w:val="center"/>
              <w:rPr>
                <w:b/>
                <w:sz w:val="22"/>
              </w:rPr>
            </w:pPr>
            <w:r w:rsidRPr="00117E4C">
              <w:rPr>
                <w:b/>
                <w:sz w:val="22"/>
              </w:rPr>
              <w:t>1</w:t>
            </w:r>
          </w:p>
        </w:tc>
      </w:tr>
      <w:tr w:rsidR="00402430" w:rsidRPr="00923522" w14:paraId="2BD4C6C7" w14:textId="77777777" w:rsidTr="00402430">
        <w:tc>
          <w:tcPr>
            <w:tcW w:w="3143" w:type="dxa"/>
          </w:tcPr>
          <w:p w14:paraId="4D2813E8" w14:textId="77777777" w:rsidR="00402430" w:rsidRPr="00F519AB" w:rsidRDefault="00402430" w:rsidP="00402430">
            <w:pPr>
              <w:rPr>
                <w:b/>
                <w:sz w:val="22"/>
              </w:rPr>
            </w:pPr>
            <w:r w:rsidRPr="00F519AB">
              <w:rPr>
                <w:b/>
                <w:sz w:val="22"/>
              </w:rPr>
              <w:t xml:space="preserve">MUN likme </w:t>
            </w:r>
          </w:p>
        </w:tc>
        <w:tc>
          <w:tcPr>
            <w:tcW w:w="1451" w:type="dxa"/>
            <w:shd w:val="clear" w:color="auto" w:fill="D9D9D9" w:themeFill="background1" w:themeFillShade="D9"/>
            <w:vAlign w:val="center"/>
          </w:tcPr>
          <w:p w14:paraId="15907B88" w14:textId="77777777" w:rsidR="00402430" w:rsidRPr="00F519AB" w:rsidRDefault="00402430" w:rsidP="00402430">
            <w:pPr>
              <w:jc w:val="center"/>
              <w:rPr>
                <w:b/>
                <w:sz w:val="22"/>
              </w:rPr>
            </w:pPr>
            <w:r w:rsidRPr="00F519AB">
              <w:rPr>
                <w:b/>
                <w:sz w:val="22"/>
              </w:rPr>
              <w:t>15%</w:t>
            </w:r>
          </w:p>
        </w:tc>
        <w:tc>
          <w:tcPr>
            <w:tcW w:w="1490" w:type="dxa"/>
            <w:vAlign w:val="center"/>
          </w:tcPr>
          <w:p w14:paraId="62DFD87C" w14:textId="77777777" w:rsidR="00402430" w:rsidRPr="00F519AB" w:rsidRDefault="00402430" w:rsidP="00402430">
            <w:pPr>
              <w:jc w:val="center"/>
              <w:rPr>
                <w:b/>
                <w:color w:val="FF0000"/>
                <w:sz w:val="22"/>
              </w:rPr>
            </w:pPr>
            <w:r w:rsidRPr="00F519AB">
              <w:rPr>
                <w:b/>
                <w:color w:val="FF0000"/>
                <w:sz w:val="22"/>
              </w:rPr>
              <w:t>25%</w:t>
            </w:r>
          </w:p>
        </w:tc>
        <w:tc>
          <w:tcPr>
            <w:tcW w:w="1106" w:type="dxa"/>
            <w:vAlign w:val="center"/>
          </w:tcPr>
          <w:p w14:paraId="40810336" w14:textId="77777777" w:rsidR="00402430" w:rsidRPr="00F519AB" w:rsidRDefault="00402430" w:rsidP="00402430">
            <w:pPr>
              <w:jc w:val="center"/>
              <w:rPr>
                <w:b/>
                <w:color w:val="FF0000"/>
                <w:sz w:val="22"/>
              </w:rPr>
            </w:pPr>
            <w:r w:rsidRPr="00F519AB">
              <w:rPr>
                <w:b/>
                <w:color w:val="FF0000"/>
                <w:sz w:val="22"/>
              </w:rPr>
              <w:t>25%</w:t>
            </w:r>
          </w:p>
        </w:tc>
        <w:tc>
          <w:tcPr>
            <w:tcW w:w="1106" w:type="dxa"/>
            <w:tcBorders>
              <w:tl2br w:val="nil"/>
              <w:tr2bl w:val="nil"/>
            </w:tcBorders>
            <w:vAlign w:val="center"/>
          </w:tcPr>
          <w:p w14:paraId="3064F341" w14:textId="77777777" w:rsidR="00402430" w:rsidRPr="00117E4C" w:rsidRDefault="00402430" w:rsidP="00402430">
            <w:pPr>
              <w:jc w:val="center"/>
              <w:rPr>
                <w:b/>
                <w:sz w:val="22"/>
              </w:rPr>
            </w:pPr>
            <w:r w:rsidRPr="00117E4C">
              <w:rPr>
                <w:b/>
                <w:sz w:val="22"/>
              </w:rPr>
              <w:t>25%</w:t>
            </w:r>
          </w:p>
        </w:tc>
      </w:tr>
      <w:tr w:rsidR="00402430" w:rsidRPr="00923522" w14:paraId="7D01D0C3" w14:textId="77777777" w:rsidTr="00402430">
        <w:tc>
          <w:tcPr>
            <w:tcW w:w="3143" w:type="dxa"/>
          </w:tcPr>
          <w:p w14:paraId="1CDA82AF" w14:textId="77777777" w:rsidR="00402430" w:rsidRPr="00F519AB" w:rsidRDefault="00402430" w:rsidP="00402430">
            <w:pPr>
              <w:rPr>
                <w:b/>
                <w:sz w:val="22"/>
              </w:rPr>
            </w:pPr>
            <w:r w:rsidRPr="00F519AB">
              <w:rPr>
                <w:b/>
                <w:sz w:val="22"/>
              </w:rPr>
              <w:t>MUN likme apgrozījuma pārsniegumam</w:t>
            </w:r>
          </w:p>
        </w:tc>
        <w:tc>
          <w:tcPr>
            <w:tcW w:w="1451" w:type="dxa"/>
            <w:tcBorders>
              <w:bottom w:val="single" w:sz="4" w:space="0" w:color="auto"/>
            </w:tcBorders>
            <w:shd w:val="clear" w:color="auto" w:fill="D9D9D9" w:themeFill="background1" w:themeFillShade="D9"/>
            <w:vAlign w:val="center"/>
          </w:tcPr>
          <w:p w14:paraId="05D42482" w14:textId="77777777" w:rsidR="00402430" w:rsidRPr="00F519AB" w:rsidRDefault="00402430" w:rsidP="00402430">
            <w:pPr>
              <w:jc w:val="center"/>
              <w:rPr>
                <w:b/>
                <w:sz w:val="22"/>
              </w:rPr>
            </w:pPr>
            <w:r w:rsidRPr="00F519AB">
              <w:rPr>
                <w:b/>
                <w:sz w:val="22"/>
              </w:rPr>
              <w:t>20%</w:t>
            </w:r>
          </w:p>
        </w:tc>
        <w:tc>
          <w:tcPr>
            <w:tcW w:w="1490" w:type="dxa"/>
            <w:tcBorders>
              <w:bottom w:val="single" w:sz="4" w:space="0" w:color="auto"/>
            </w:tcBorders>
            <w:vAlign w:val="center"/>
          </w:tcPr>
          <w:p w14:paraId="368933CB" w14:textId="77777777" w:rsidR="00402430" w:rsidRPr="00F519AB" w:rsidRDefault="00402430" w:rsidP="00402430">
            <w:pPr>
              <w:jc w:val="center"/>
              <w:rPr>
                <w:b/>
                <w:color w:val="FF0000"/>
                <w:sz w:val="22"/>
              </w:rPr>
            </w:pPr>
            <w:r w:rsidRPr="00F519AB">
              <w:rPr>
                <w:b/>
                <w:color w:val="FF0000"/>
                <w:sz w:val="22"/>
              </w:rPr>
              <w:t>40%</w:t>
            </w:r>
          </w:p>
        </w:tc>
        <w:tc>
          <w:tcPr>
            <w:tcW w:w="1106" w:type="dxa"/>
            <w:vAlign w:val="center"/>
          </w:tcPr>
          <w:p w14:paraId="4894BECC" w14:textId="77777777" w:rsidR="00402430" w:rsidRPr="00F519AB" w:rsidRDefault="00402430" w:rsidP="00402430">
            <w:pPr>
              <w:jc w:val="center"/>
              <w:rPr>
                <w:b/>
                <w:color w:val="FF0000"/>
                <w:sz w:val="22"/>
              </w:rPr>
            </w:pPr>
            <w:r w:rsidRPr="00F519AB">
              <w:rPr>
                <w:b/>
                <w:color w:val="FF0000"/>
                <w:sz w:val="22"/>
              </w:rPr>
              <w:t>40%</w:t>
            </w:r>
          </w:p>
        </w:tc>
        <w:tc>
          <w:tcPr>
            <w:tcW w:w="1106" w:type="dxa"/>
            <w:tcBorders>
              <w:tl2br w:val="nil"/>
              <w:tr2bl w:val="nil"/>
            </w:tcBorders>
            <w:vAlign w:val="center"/>
          </w:tcPr>
          <w:p w14:paraId="0D687FF7" w14:textId="77777777" w:rsidR="00402430" w:rsidRPr="00117E4C" w:rsidRDefault="00402430" w:rsidP="00402430">
            <w:pPr>
              <w:jc w:val="center"/>
              <w:rPr>
                <w:b/>
                <w:sz w:val="22"/>
              </w:rPr>
            </w:pPr>
            <w:r w:rsidRPr="00117E4C">
              <w:rPr>
                <w:b/>
                <w:sz w:val="22"/>
              </w:rPr>
              <w:t>40%</w:t>
            </w:r>
          </w:p>
        </w:tc>
      </w:tr>
      <w:tr w:rsidR="00402430" w:rsidRPr="00923522" w14:paraId="67A1B3D4" w14:textId="77777777" w:rsidTr="00402430">
        <w:tc>
          <w:tcPr>
            <w:tcW w:w="3143" w:type="dxa"/>
          </w:tcPr>
          <w:p w14:paraId="49B2C538" w14:textId="77777777" w:rsidR="00402430" w:rsidRPr="00F519AB" w:rsidRDefault="00402430" w:rsidP="00402430">
            <w:pPr>
              <w:rPr>
                <w:b/>
                <w:sz w:val="22"/>
              </w:rPr>
            </w:pPr>
            <w:r w:rsidRPr="00F519AB">
              <w:rPr>
                <w:b/>
                <w:sz w:val="22"/>
              </w:rPr>
              <w:t>Papildu likme juridiskai personai maksājot MUN par pakalpojumu</w:t>
            </w:r>
          </w:p>
        </w:tc>
        <w:tc>
          <w:tcPr>
            <w:tcW w:w="1451" w:type="dxa"/>
            <w:tcBorders>
              <w:tl2br w:val="single" w:sz="4" w:space="0" w:color="auto"/>
              <w:tr2bl w:val="single" w:sz="4" w:space="0" w:color="auto"/>
            </w:tcBorders>
            <w:shd w:val="clear" w:color="auto" w:fill="D9D9D9" w:themeFill="background1" w:themeFillShade="D9"/>
          </w:tcPr>
          <w:p w14:paraId="6A44E343" w14:textId="77777777" w:rsidR="00402430" w:rsidRPr="00F519AB" w:rsidRDefault="00402430" w:rsidP="00402430">
            <w:pPr>
              <w:jc w:val="center"/>
              <w:rPr>
                <w:sz w:val="22"/>
              </w:rPr>
            </w:pPr>
          </w:p>
        </w:tc>
        <w:tc>
          <w:tcPr>
            <w:tcW w:w="1490" w:type="dxa"/>
            <w:tcBorders>
              <w:tl2br w:val="single" w:sz="4" w:space="0" w:color="auto"/>
              <w:tr2bl w:val="single" w:sz="4" w:space="0" w:color="auto"/>
            </w:tcBorders>
          </w:tcPr>
          <w:p w14:paraId="6FCF6D16" w14:textId="77777777" w:rsidR="00402430" w:rsidRPr="00F519AB" w:rsidRDefault="00402430" w:rsidP="00402430">
            <w:pPr>
              <w:jc w:val="center"/>
              <w:rPr>
                <w:sz w:val="22"/>
              </w:rPr>
            </w:pPr>
          </w:p>
        </w:tc>
        <w:tc>
          <w:tcPr>
            <w:tcW w:w="1106" w:type="dxa"/>
            <w:vAlign w:val="center"/>
          </w:tcPr>
          <w:p w14:paraId="0398C67A" w14:textId="77777777" w:rsidR="00402430" w:rsidRPr="00F519AB" w:rsidRDefault="00402430" w:rsidP="00402430">
            <w:pPr>
              <w:jc w:val="center"/>
              <w:rPr>
                <w:b/>
                <w:color w:val="FF0000"/>
                <w:sz w:val="22"/>
              </w:rPr>
            </w:pPr>
            <w:r w:rsidRPr="00F519AB">
              <w:rPr>
                <w:b/>
                <w:color w:val="FF0000"/>
                <w:sz w:val="22"/>
              </w:rPr>
              <w:t>20%</w:t>
            </w:r>
          </w:p>
        </w:tc>
        <w:tc>
          <w:tcPr>
            <w:tcW w:w="1106" w:type="dxa"/>
            <w:tcBorders>
              <w:bottom w:val="single" w:sz="4" w:space="0" w:color="auto"/>
              <w:tl2br w:val="nil"/>
              <w:tr2bl w:val="nil"/>
            </w:tcBorders>
            <w:vAlign w:val="center"/>
          </w:tcPr>
          <w:p w14:paraId="1702F5F0" w14:textId="77777777" w:rsidR="00402430" w:rsidRPr="00117E4C" w:rsidRDefault="00402430" w:rsidP="00402430">
            <w:pPr>
              <w:jc w:val="center"/>
              <w:rPr>
                <w:b/>
                <w:sz w:val="22"/>
              </w:rPr>
            </w:pPr>
            <w:r w:rsidRPr="00117E4C">
              <w:rPr>
                <w:b/>
                <w:sz w:val="22"/>
              </w:rPr>
              <w:t>20%</w:t>
            </w:r>
          </w:p>
        </w:tc>
      </w:tr>
      <w:tr w:rsidR="00402430" w:rsidRPr="00923522" w14:paraId="332F3631" w14:textId="77777777" w:rsidTr="00402430">
        <w:trPr>
          <w:trHeight w:val="474"/>
        </w:trPr>
        <w:tc>
          <w:tcPr>
            <w:tcW w:w="3143" w:type="dxa"/>
            <w:shd w:val="clear" w:color="auto" w:fill="FFE599" w:themeFill="accent4" w:themeFillTint="66"/>
            <w:vAlign w:val="center"/>
          </w:tcPr>
          <w:p w14:paraId="417CBC55" w14:textId="77777777" w:rsidR="00402430" w:rsidRPr="00F519AB" w:rsidRDefault="00402430" w:rsidP="00402430">
            <w:pPr>
              <w:rPr>
                <w:b/>
                <w:sz w:val="22"/>
              </w:rPr>
            </w:pPr>
            <w:r w:rsidRPr="00F519AB">
              <w:rPr>
                <w:b/>
                <w:sz w:val="22"/>
              </w:rPr>
              <w:t xml:space="preserve">Fiskālā ietekme, </w:t>
            </w:r>
            <w:r w:rsidRPr="00F519AB">
              <w:rPr>
                <w:i/>
                <w:sz w:val="22"/>
              </w:rPr>
              <w:t>milj. euro</w:t>
            </w:r>
          </w:p>
        </w:tc>
        <w:tc>
          <w:tcPr>
            <w:tcW w:w="1451" w:type="dxa"/>
            <w:shd w:val="clear" w:color="auto" w:fill="D9D9D9" w:themeFill="background1" w:themeFillShade="D9"/>
            <w:vAlign w:val="center"/>
          </w:tcPr>
          <w:p w14:paraId="6951ED6E" w14:textId="77777777" w:rsidR="00402430" w:rsidRPr="00F519AB" w:rsidRDefault="00402430" w:rsidP="00402430">
            <w:pPr>
              <w:jc w:val="center"/>
              <w:rPr>
                <w:sz w:val="22"/>
              </w:rPr>
            </w:pPr>
          </w:p>
        </w:tc>
        <w:tc>
          <w:tcPr>
            <w:tcW w:w="1490" w:type="dxa"/>
            <w:shd w:val="clear" w:color="auto" w:fill="FFE599" w:themeFill="accent4" w:themeFillTint="66"/>
            <w:vAlign w:val="center"/>
          </w:tcPr>
          <w:p w14:paraId="070E8C07" w14:textId="77777777" w:rsidR="00402430" w:rsidRPr="004252E4" w:rsidRDefault="00402430" w:rsidP="00402430">
            <w:pPr>
              <w:jc w:val="center"/>
              <w:rPr>
                <w:b/>
                <w:color w:val="00B050"/>
                <w:sz w:val="22"/>
              </w:rPr>
            </w:pPr>
            <w:r w:rsidRPr="004252E4">
              <w:rPr>
                <w:b/>
                <w:color w:val="00B050"/>
                <w:sz w:val="22"/>
              </w:rPr>
              <w:t>+50-60</w:t>
            </w:r>
          </w:p>
        </w:tc>
        <w:tc>
          <w:tcPr>
            <w:tcW w:w="2212" w:type="dxa"/>
            <w:gridSpan w:val="2"/>
            <w:shd w:val="clear" w:color="auto" w:fill="FFE599" w:themeFill="accent4" w:themeFillTint="66"/>
            <w:vAlign w:val="center"/>
          </w:tcPr>
          <w:p w14:paraId="541E8DB5" w14:textId="77777777" w:rsidR="00402430" w:rsidRPr="004252E4" w:rsidRDefault="00402430" w:rsidP="00402430">
            <w:pPr>
              <w:jc w:val="center"/>
              <w:rPr>
                <w:color w:val="00B050"/>
                <w:sz w:val="22"/>
              </w:rPr>
            </w:pPr>
            <w:r w:rsidRPr="004252E4">
              <w:rPr>
                <w:b/>
                <w:color w:val="00B050"/>
                <w:sz w:val="22"/>
              </w:rPr>
              <w:t>+60-70</w:t>
            </w:r>
          </w:p>
        </w:tc>
      </w:tr>
      <w:tr w:rsidR="00402430" w:rsidRPr="00923522" w14:paraId="77B1F73B" w14:textId="77777777" w:rsidTr="00402430">
        <w:tc>
          <w:tcPr>
            <w:tcW w:w="3143" w:type="dxa"/>
            <w:shd w:val="clear" w:color="auto" w:fill="FFFFFF" w:themeFill="background1"/>
          </w:tcPr>
          <w:p w14:paraId="353EBCAF" w14:textId="77777777" w:rsidR="00402430" w:rsidRPr="00F519AB" w:rsidRDefault="00402430" w:rsidP="00402430">
            <w:pPr>
              <w:rPr>
                <w:rFonts w:cs="Times New Roman"/>
                <w:b/>
                <w:i/>
                <w:sz w:val="22"/>
              </w:rPr>
            </w:pPr>
            <w:r w:rsidRPr="00F519AB">
              <w:rPr>
                <w:rFonts w:cs="Times New Roman"/>
                <w:i/>
                <w:iCs/>
                <w:color w:val="000000" w:themeColor="text1"/>
                <w:kern w:val="24"/>
                <w:sz w:val="22"/>
              </w:rPr>
              <w:t>MU skaita izmaiņas</w:t>
            </w:r>
          </w:p>
        </w:tc>
        <w:tc>
          <w:tcPr>
            <w:tcW w:w="1451" w:type="dxa"/>
            <w:shd w:val="clear" w:color="auto" w:fill="D9D9D9" w:themeFill="background1" w:themeFillShade="D9"/>
          </w:tcPr>
          <w:p w14:paraId="42D958F8" w14:textId="77777777" w:rsidR="00402430" w:rsidRPr="00F519AB" w:rsidRDefault="00402430" w:rsidP="00402430">
            <w:pPr>
              <w:rPr>
                <w:rFonts w:cs="Times New Roman"/>
                <w:i/>
                <w:sz w:val="22"/>
              </w:rPr>
            </w:pPr>
          </w:p>
        </w:tc>
        <w:tc>
          <w:tcPr>
            <w:tcW w:w="1490" w:type="dxa"/>
            <w:shd w:val="clear" w:color="auto" w:fill="FFFFFF" w:themeFill="background1"/>
          </w:tcPr>
          <w:p w14:paraId="2737024E" w14:textId="77777777" w:rsidR="00402430" w:rsidRPr="00F519AB" w:rsidRDefault="00402430" w:rsidP="00402430">
            <w:pPr>
              <w:jc w:val="center"/>
              <w:rPr>
                <w:rFonts w:cs="Times New Roman"/>
                <w:i/>
                <w:sz w:val="22"/>
              </w:rPr>
            </w:pPr>
            <w:r w:rsidRPr="00F519AB">
              <w:rPr>
                <w:rFonts w:cs="Times New Roman"/>
                <w:i/>
                <w:sz w:val="22"/>
              </w:rPr>
              <w:t>-65%</w:t>
            </w:r>
          </w:p>
        </w:tc>
        <w:tc>
          <w:tcPr>
            <w:tcW w:w="2212" w:type="dxa"/>
            <w:gridSpan w:val="2"/>
            <w:shd w:val="clear" w:color="auto" w:fill="FFFFFF" w:themeFill="background1"/>
          </w:tcPr>
          <w:p w14:paraId="04602682" w14:textId="77777777" w:rsidR="00402430" w:rsidRPr="00F519AB" w:rsidRDefault="00402430" w:rsidP="00402430">
            <w:pPr>
              <w:jc w:val="center"/>
              <w:rPr>
                <w:rFonts w:cs="Times New Roman"/>
                <w:i/>
                <w:sz w:val="22"/>
              </w:rPr>
            </w:pPr>
            <w:r w:rsidRPr="00F519AB">
              <w:rPr>
                <w:rFonts w:cs="Times New Roman"/>
                <w:i/>
                <w:sz w:val="22"/>
              </w:rPr>
              <w:t>-75%</w:t>
            </w:r>
          </w:p>
        </w:tc>
      </w:tr>
      <w:tr w:rsidR="00402430" w:rsidRPr="00923522" w14:paraId="38EA1FE5" w14:textId="77777777" w:rsidTr="00402430">
        <w:tc>
          <w:tcPr>
            <w:tcW w:w="3143" w:type="dxa"/>
            <w:shd w:val="clear" w:color="auto" w:fill="FFFFFF" w:themeFill="background1"/>
          </w:tcPr>
          <w:p w14:paraId="01668082" w14:textId="77777777" w:rsidR="00402430" w:rsidRPr="00F519AB" w:rsidRDefault="00402430" w:rsidP="00402430">
            <w:pPr>
              <w:rPr>
                <w:rFonts w:cs="Times New Roman"/>
                <w:i/>
                <w:iCs/>
                <w:color w:val="000000" w:themeColor="text1"/>
                <w:kern w:val="24"/>
                <w:sz w:val="22"/>
              </w:rPr>
            </w:pPr>
            <w:r w:rsidRPr="00F519AB">
              <w:rPr>
                <w:rFonts w:cs="Times New Roman"/>
                <w:i/>
                <w:iCs/>
                <w:color w:val="000000" w:themeColor="text1"/>
                <w:kern w:val="24"/>
                <w:sz w:val="22"/>
              </w:rPr>
              <w:t>MU darbinieku  skaita izmaiņas</w:t>
            </w:r>
          </w:p>
        </w:tc>
        <w:tc>
          <w:tcPr>
            <w:tcW w:w="1451" w:type="dxa"/>
            <w:shd w:val="clear" w:color="auto" w:fill="D9D9D9" w:themeFill="background1" w:themeFillShade="D9"/>
          </w:tcPr>
          <w:p w14:paraId="545CA842" w14:textId="77777777" w:rsidR="00402430" w:rsidRPr="00F519AB" w:rsidRDefault="00402430" w:rsidP="00402430">
            <w:pPr>
              <w:rPr>
                <w:rFonts w:cs="Times New Roman"/>
                <w:i/>
                <w:sz w:val="22"/>
              </w:rPr>
            </w:pPr>
          </w:p>
        </w:tc>
        <w:tc>
          <w:tcPr>
            <w:tcW w:w="1490" w:type="dxa"/>
            <w:shd w:val="clear" w:color="auto" w:fill="FFFFFF" w:themeFill="background1"/>
          </w:tcPr>
          <w:p w14:paraId="01AFCC31" w14:textId="77777777" w:rsidR="00402430" w:rsidRPr="00F519AB" w:rsidRDefault="00402430" w:rsidP="00402430">
            <w:pPr>
              <w:jc w:val="center"/>
              <w:rPr>
                <w:rFonts w:cs="Times New Roman"/>
                <w:i/>
                <w:sz w:val="22"/>
              </w:rPr>
            </w:pPr>
            <w:r w:rsidRPr="00F519AB">
              <w:rPr>
                <w:rFonts w:cs="Times New Roman"/>
                <w:i/>
                <w:sz w:val="22"/>
              </w:rPr>
              <w:t>-73%</w:t>
            </w:r>
          </w:p>
        </w:tc>
        <w:tc>
          <w:tcPr>
            <w:tcW w:w="2212" w:type="dxa"/>
            <w:gridSpan w:val="2"/>
            <w:shd w:val="clear" w:color="auto" w:fill="FFFFFF" w:themeFill="background1"/>
          </w:tcPr>
          <w:p w14:paraId="50391511" w14:textId="77777777" w:rsidR="00402430" w:rsidRPr="00F519AB" w:rsidRDefault="00402430" w:rsidP="00402430">
            <w:pPr>
              <w:jc w:val="center"/>
              <w:rPr>
                <w:rFonts w:cs="Times New Roman"/>
                <w:i/>
                <w:sz w:val="22"/>
              </w:rPr>
            </w:pPr>
            <w:r w:rsidRPr="00F519AB">
              <w:rPr>
                <w:rFonts w:cs="Times New Roman"/>
                <w:i/>
                <w:sz w:val="22"/>
              </w:rPr>
              <w:t>-80%</w:t>
            </w:r>
          </w:p>
        </w:tc>
      </w:tr>
    </w:tbl>
    <w:p w14:paraId="08D66232" w14:textId="77777777" w:rsidR="00402430" w:rsidRPr="003F660B" w:rsidRDefault="00402430" w:rsidP="00402430">
      <w:pPr>
        <w:pStyle w:val="Default"/>
        <w:tabs>
          <w:tab w:val="left" w:pos="284"/>
        </w:tabs>
        <w:spacing w:before="80" w:after="120"/>
        <w:jc w:val="both"/>
        <w:rPr>
          <w:rFonts w:ascii="Times New Roman" w:hAnsi="Times New Roman" w:cs="Times New Roman"/>
          <w:b/>
          <w:color w:val="FF0000"/>
          <w:sz w:val="18"/>
          <w:szCs w:val="18"/>
        </w:rPr>
      </w:pPr>
      <w:r w:rsidRPr="003F660B">
        <w:rPr>
          <w:rFonts w:ascii="Times New Roman" w:hAnsi="Times New Roman" w:cs="Times New Roman"/>
          <w:b/>
          <w:color w:val="FF0000"/>
          <w:sz w:val="18"/>
          <w:szCs w:val="18"/>
        </w:rPr>
        <w:t>*</w:t>
      </w:r>
      <w:r w:rsidRPr="003F660B">
        <w:rPr>
          <w:rFonts w:ascii="Times New Roman" w:hAnsi="Times New Roman" w:cs="Times New Roman"/>
          <w:b/>
          <w:color w:val="FF0000"/>
          <w:sz w:val="18"/>
          <w:szCs w:val="18"/>
        </w:rPr>
        <w:tab/>
        <w:t xml:space="preserve">2023.gada pirmajā pusē </w:t>
      </w:r>
      <w:r w:rsidR="003F660B" w:rsidRPr="003F660B">
        <w:rPr>
          <w:rFonts w:ascii="Times New Roman" w:hAnsi="Times New Roman" w:cs="Times New Roman"/>
          <w:b/>
          <w:color w:val="FF0000"/>
          <w:sz w:val="18"/>
          <w:szCs w:val="18"/>
        </w:rPr>
        <w:t>izvērtēt MUN režīma efektivitāti un tālāko nākotni.</w:t>
      </w:r>
    </w:p>
    <w:p w14:paraId="2381CF03" w14:textId="77777777" w:rsidR="00860B45" w:rsidRPr="00F519AB" w:rsidRDefault="003A2394" w:rsidP="00860B45">
      <w:pPr>
        <w:pStyle w:val="Default"/>
        <w:spacing w:after="120"/>
        <w:ind w:firstLine="709"/>
        <w:jc w:val="both"/>
        <w:rPr>
          <w:rFonts w:ascii="Times New Roman" w:hAnsi="Times New Roman" w:cs="Times New Roman"/>
          <w:sz w:val="26"/>
          <w:szCs w:val="26"/>
        </w:rPr>
      </w:pPr>
      <w:r>
        <w:rPr>
          <w:rFonts w:ascii="Times New Roman" w:hAnsi="Times New Roman" w:cs="Times New Roman"/>
          <w:sz w:val="26"/>
          <w:szCs w:val="26"/>
        </w:rPr>
        <w:t>Ierobežojot</w:t>
      </w:r>
      <w:r w:rsidR="00860B45" w:rsidRPr="00F519AB">
        <w:rPr>
          <w:rFonts w:ascii="Times New Roman" w:hAnsi="Times New Roman" w:cs="Times New Roman"/>
          <w:sz w:val="26"/>
          <w:szCs w:val="26"/>
        </w:rPr>
        <w:t xml:space="preserve"> MUN režīmu, būtu </w:t>
      </w:r>
      <w:r w:rsidR="00860B45" w:rsidRPr="00F519AB">
        <w:rPr>
          <w:rFonts w:ascii="Times New Roman" w:hAnsi="Times New Roman" w:cs="Times New Roman"/>
          <w:b/>
          <w:sz w:val="26"/>
          <w:szCs w:val="26"/>
        </w:rPr>
        <w:t>šādi ieguvumi</w:t>
      </w:r>
      <w:r w:rsidR="00860B45" w:rsidRPr="00F519AB">
        <w:rPr>
          <w:rFonts w:ascii="Times New Roman" w:hAnsi="Times New Roman" w:cs="Times New Roman"/>
          <w:sz w:val="26"/>
          <w:szCs w:val="26"/>
        </w:rPr>
        <w:t>:</w:t>
      </w:r>
    </w:p>
    <w:p w14:paraId="45EF7E6E" w14:textId="77777777" w:rsidR="00860B45" w:rsidRPr="00F519AB" w:rsidRDefault="00860B45" w:rsidP="00912814">
      <w:pPr>
        <w:pStyle w:val="Default"/>
        <w:numPr>
          <w:ilvl w:val="0"/>
          <w:numId w:val="6"/>
        </w:numPr>
        <w:spacing w:after="120"/>
        <w:ind w:left="993" w:hanging="284"/>
        <w:jc w:val="both"/>
        <w:rPr>
          <w:rFonts w:ascii="Times New Roman" w:hAnsi="Times New Roman" w:cs="Times New Roman"/>
          <w:sz w:val="26"/>
          <w:szCs w:val="26"/>
        </w:rPr>
      </w:pPr>
      <w:r w:rsidRPr="00F519AB">
        <w:rPr>
          <w:rFonts w:ascii="Times New Roman" w:hAnsi="Times New Roman" w:cs="Times New Roman"/>
          <w:sz w:val="26"/>
          <w:szCs w:val="26"/>
        </w:rPr>
        <w:t>pieaugs taisnīgums, jo visiem strādājošiem būs vienāds nodokļu slogs;</w:t>
      </w:r>
    </w:p>
    <w:p w14:paraId="0FD221B9" w14:textId="77777777" w:rsidR="00860B45" w:rsidRPr="00F519AB" w:rsidRDefault="00860B45" w:rsidP="00912814">
      <w:pPr>
        <w:pStyle w:val="Default"/>
        <w:numPr>
          <w:ilvl w:val="0"/>
          <w:numId w:val="6"/>
        </w:numPr>
        <w:spacing w:after="120"/>
        <w:ind w:left="993" w:hanging="284"/>
        <w:jc w:val="both"/>
        <w:rPr>
          <w:rFonts w:ascii="Times New Roman" w:hAnsi="Times New Roman" w:cs="Times New Roman"/>
          <w:sz w:val="26"/>
          <w:szCs w:val="26"/>
        </w:rPr>
      </w:pPr>
      <w:r w:rsidRPr="00F519AB">
        <w:rPr>
          <w:rFonts w:ascii="Times New Roman" w:hAnsi="Times New Roman" w:cs="Times New Roman"/>
          <w:sz w:val="26"/>
          <w:szCs w:val="26"/>
        </w:rPr>
        <w:t xml:space="preserve">pieaugs strādājošo </w:t>
      </w:r>
      <w:r w:rsidRPr="00F519AB">
        <w:rPr>
          <w:rFonts w:ascii="Times New Roman" w:hAnsi="Times New Roman" w:cs="Times New Roman"/>
          <w:bCs/>
          <w:color w:val="000000" w:themeColor="text1"/>
          <w:sz w:val="26"/>
          <w:szCs w:val="26"/>
        </w:rPr>
        <w:t>sociālās iemaksas</w:t>
      </w:r>
      <w:r w:rsidRPr="00F519AB">
        <w:rPr>
          <w:rFonts w:ascii="Times New Roman" w:hAnsi="Times New Roman" w:cs="Times New Roman"/>
          <w:color w:val="000000" w:themeColor="text1"/>
          <w:sz w:val="26"/>
          <w:szCs w:val="26"/>
        </w:rPr>
        <w:t>, kā rezultātā</w:t>
      </w:r>
      <w:r w:rsidRPr="00F519AB">
        <w:rPr>
          <w:rFonts w:ascii="Times New Roman" w:hAnsi="Times New Roman" w:cs="Times New Roman"/>
          <w:b/>
          <w:bCs/>
          <w:color w:val="000000" w:themeColor="text1"/>
          <w:sz w:val="26"/>
          <w:szCs w:val="26"/>
        </w:rPr>
        <w:t xml:space="preserve"> </w:t>
      </w:r>
      <w:r w:rsidR="00E022E1">
        <w:rPr>
          <w:rFonts w:ascii="Times New Roman" w:hAnsi="Times New Roman" w:cs="Times New Roman"/>
          <w:color w:val="000000" w:themeColor="text1"/>
          <w:sz w:val="26"/>
          <w:szCs w:val="26"/>
        </w:rPr>
        <w:t>pieaugs iedzīvotāju</w:t>
      </w:r>
      <w:r w:rsidRPr="00F519AB">
        <w:rPr>
          <w:rFonts w:ascii="Times New Roman" w:hAnsi="Times New Roman" w:cs="Times New Roman"/>
          <w:color w:val="000000" w:themeColor="text1"/>
          <w:sz w:val="26"/>
          <w:szCs w:val="26"/>
        </w:rPr>
        <w:t xml:space="preserve"> </w:t>
      </w:r>
      <w:r w:rsidR="00E022E1">
        <w:rPr>
          <w:rFonts w:ascii="Times New Roman" w:hAnsi="Times New Roman" w:cs="Times New Roman"/>
          <w:color w:val="000000" w:themeColor="text1"/>
          <w:sz w:val="26"/>
          <w:szCs w:val="26"/>
        </w:rPr>
        <w:t>sociālais</w:t>
      </w:r>
      <w:r w:rsidRPr="00F519AB">
        <w:rPr>
          <w:rFonts w:ascii="Times New Roman" w:hAnsi="Times New Roman" w:cs="Times New Roman"/>
          <w:color w:val="000000" w:themeColor="text1"/>
          <w:sz w:val="26"/>
          <w:szCs w:val="26"/>
        </w:rPr>
        <w:t xml:space="preserve"> nodrošinājum</w:t>
      </w:r>
      <w:r w:rsidR="00E022E1">
        <w:rPr>
          <w:rFonts w:ascii="Times New Roman" w:hAnsi="Times New Roman" w:cs="Times New Roman"/>
          <w:color w:val="000000" w:themeColor="text1"/>
          <w:sz w:val="26"/>
          <w:szCs w:val="26"/>
        </w:rPr>
        <w:t>s</w:t>
      </w:r>
      <w:r w:rsidRPr="00F519AB">
        <w:rPr>
          <w:rFonts w:ascii="Times New Roman" w:hAnsi="Times New Roman" w:cs="Times New Roman"/>
          <w:color w:val="000000" w:themeColor="text1"/>
          <w:sz w:val="26"/>
          <w:szCs w:val="26"/>
        </w:rPr>
        <w:t xml:space="preserve"> vecumdienās; </w:t>
      </w:r>
    </w:p>
    <w:p w14:paraId="0B646EEE" w14:textId="77777777" w:rsidR="00860B45" w:rsidRPr="00F519AB" w:rsidRDefault="00860B45" w:rsidP="00912814">
      <w:pPr>
        <w:pStyle w:val="Default"/>
        <w:numPr>
          <w:ilvl w:val="0"/>
          <w:numId w:val="6"/>
        </w:numPr>
        <w:spacing w:after="120"/>
        <w:ind w:left="993" w:hanging="284"/>
        <w:jc w:val="both"/>
        <w:rPr>
          <w:rFonts w:ascii="Times New Roman" w:hAnsi="Times New Roman" w:cs="Times New Roman"/>
          <w:sz w:val="26"/>
          <w:szCs w:val="26"/>
        </w:rPr>
      </w:pPr>
      <w:r w:rsidRPr="00F519AB">
        <w:rPr>
          <w:rFonts w:ascii="Times New Roman" w:hAnsi="Times New Roman" w:cs="Times New Roman"/>
          <w:bCs/>
          <w:sz w:val="26"/>
          <w:szCs w:val="26"/>
        </w:rPr>
        <w:t>tiks veicināta darbaspēka plūsma uz darbavietām ar augstāku darba ražīgumu (it īpaši ierobežotas darbaspēka pieejamības apstākļos);</w:t>
      </w:r>
    </w:p>
    <w:p w14:paraId="27006732" w14:textId="77777777" w:rsidR="00860B45" w:rsidRPr="00F519AB" w:rsidRDefault="00860B45" w:rsidP="00912814">
      <w:pPr>
        <w:pStyle w:val="Default"/>
        <w:numPr>
          <w:ilvl w:val="0"/>
          <w:numId w:val="6"/>
        </w:numPr>
        <w:spacing w:after="120"/>
        <w:ind w:left="993" w:hanging="284"/>
        <w:jc w:val="both"/>
        <w:rPr>
          <w:rFonts w:ascii="Times New Roman" w:hAnsi="Times New Roman" w:cs="Times New Roman"/>
          <w:sz w:val="26"/>
          <w:szCs w:val="26"/>
        </w:rPr>
      </w:pPr>
      <w:r w:rsidRPr="00F519AB">
        <w:rPr>
          <w:rFonts w:ascii="Times New Roman" w:hAnsi="Times New Roman" w:cs="Times New Roman"/>
          <w:bCs/>
          <w:sz w:val="26"/>
          <w:szCs w:val="26"/>
        </w:rPr>
        <w:t>papildu nodokļu ieņēmumi, kas var veicināt ekonomiskās aktivitātes pieaugumu.</w:t>
      </w:r>
    </w:p>
    <w:p w14:paraId="5583AE9F" w14:textId="77777777" w:rsidR="00860B45" w:rsidRDefault="00860B45" w:rsidP="00860B45">
      <w:pPr>
        <w:pStyle w:val="ListParagraph"/>
        <w:ind w:left="0"/>
        <w:jc w:val="center"/>
        <w:rPr>
          <w:b/>
          <w:sz w:val="26"/>
          <w:szCs w:val="26"/>
        </w:rPr>
      </w:pPr>
    </w:p>
    <w:p w14:paraId="37CEF236" w14:textId="77777777" w:rsidR="00860B45" w:rsidRDefault="00860B45" w:rsidP="00860B45">
      <w:pPr>
        <w:pStyle w:val="ListParagraph"/>
        <w:ind w:left="0"/>
        <w:jc w:val="center"/>
        <w:rPr>
          <w:b/>
          <w:sz w:val="26"/>
          <w:szCs w:val="26"/>
        </w:rPr>
      </w:pPr>
      <w:r w:rsidRPr="002C4523">
        <w:rPr>
          <w:b/>
          <w:sz w:val="26"/>
          <w:szCs w:val="26"/>
        </w:rPr>
        <w:t>Informācijai</w:t>
      </w:r>
    </w:p>
    <w:p w14:paraId="192EE367" w14:textId="77777777" w:rsidR="00860B45" w:rsidRDefault="00860B45" w:rsidP="00860B45">
      <w:pPr>
        <w:pStyle w:val="ListParagraph"/>
        <w:ind w:left="0"/>
        <w:jc w:val="center"/>
        <w:rPr>
          <w:b/>
          <w:sz w:val="26"/>
          <w:szCs w:val="26"/>
        </w:rPr>
      </w:pPr>
    </w:p>
    <w:p w14:paraId="36D69B78" w14:textId="77777777" w:rsidR="00860B45" w:rsidRPr="00F519AB" w:rsidRDefault="00860B45" w:rsidP="00E022E1">
      <w:pPr>
        <w:pStyle w:val="ListParagraph"/>
        <w:spacing w:after="120"/>
        <w:ind w:left="0" w:firstLine="709"/>
        <w:rPr>
          <w:sz w:val="26"/>
          <w:szCs w:val="26"/>
        </w:rPr>
      </w:pPr>
      <w:r w:rsidRPr="00F519AB">
        <w:rPr>
          <w:sz w:val="26"/>
          <w:szCs w:val="26"/>
        </w:rPr>
        <w:t xml:space="preserve">Gan </w:t>
      </w:r>
      <w:r w:rsidR="00E022E1">
        <w:rPr>
          <w:sz w:val="26"/>
          <w:szCs w:val="26"/>
        </w:rPr>
        <w:t>mikrouzņēmumu</w:t>
      </w:r>
      <w:r w:rsidRPr="00F519AB">
        <w:rPr>
          <w:sz w:val="26"/>
          <w:szCs w:val="26"/>
        </w:rPr>
        <w:t>, gan to darbinieku skaitam ir tendence samazināties (2019.gada 3</w:t>
      </w:r>
      <w:r w:rsidR="00C36773">
        <w:rPr>
          <w:sz w:val="26"/>
          <w:szCs w:val="26"/>
        </w:rPr>
        <w:t>.</w:t>
      </w:r>
      <w:r w:rsidRPr="00F519AB">
        <w:rPr>
          <w:sz w:val="26"/>
          <w:szCs w:val="26"/>
        </w:rPr>
        <w:t>cet</w:t>
      </w:r>
      <w:r w:rsidR="00C36773">
        <w:rPr>
          <w:sz w:val="26"/>
          <w:szCs w:val="26"/>
        </w:rPr>
        <w:t>urksnī</w:t>
      </w:r>
      <w:r w:rsidRPr="00F519AB">
        <w:rPr>
          <w:sz w:val="26"/>
          <w:szCs w:val="26"/>
        </w:rPr>
        <w:t xml:space="preserve"> par aptuveni 11%, salīdzinot ar iepriekšējā gada attiecīgo periodu). To ietekmēja iepriekš veiktās izmaiņām MUN režīmā – ar 2018.gadu samazināts apgrozījuma slieksnis līdz 40 tūkst.</w:t>
      </w:r>
      <w:r w:rsidR="000F19DE">
        <w:rPr>
          <w:sz w:val="26"/>
          <w:szCs w:val="26"/>
        </w:rPr>
        <w:t xml:space="preserve"> </w:t>
      </w:r>
      <w:r w:rsidRPr="00F519AB">
        <w:rPr>
          <w:i/>
          <w:sz w:val="26"/>
          <w:szCs w:val="26"/>
        </w:rPr>
        <w:t>euro</w:t>
      </w:r>
      <w:r w:rsidRPr="00F519AB">
        <w:rPr>
          <w:sz w:val="26"/>
          <w:szCs w:val="26"/>
        </w:rPr>
        <w:t xml:space="preserve"> un no 2019.gada persona var tikt nodarbināta tikai vienā </w:t>
      </w:r>
      <w:r w:rsidR="00E022E1">
        <w:rPr>
          <w:sz w:val="26"/>
          <w:szCs w:val="26"/>
        </w:rPr>
        <w:t>mikrouzņēmumā</w:t>
      </w:r>
      <w:r w:rsidRPr="00F519AB">
        <w:rPr>
          <w:sz w:val="26"/>
          <w:szCs w:val="26"/>
        </w:rPr>
        <w:t xml:space="preserve">. Samazinājums ir straujāks tieši 2019.gadā, jo nosacījumam, ka persona var tikt nodarbināta tikai vienā </w:t>
      </w:r>
      <w:r w:rsidR="00E022E1">
        <w:rPr>
          <w:sz w:val="26"/>
          <w:szCs w:val="26"/>
        </w:rPr>
        <w:t>mikrouzņēmumā</w:t>
      </w:r>
      <w:r w:rsidR="00E022E1" w:rsidRPr="00F519AB">
        <w:rPr>
          <w:sz w:val="26"/>
          <w:szCs w:val="26"/>
        </w:rPr>
        <w:t xml:space="preserve"> </w:t>
      </w:r>
      <w:r w:rsidRPr="00F519AB">
        <w:rPr>
          <w:sz w:val="26"/>
          <w:szCs w:val="26"/>
        </w:rPr>
        <w:t>ir būtiskāka ietekme kā apgrozījuma samazinājumam. Jāpiebilst, ka samazinājuma apmērs tika sagaidīts aptuveni 20% apmērā.</w:t>
      </w:r>
    </w:p>
    <w:p w14:paraId="62171525" w14:textId="77777777" w:rsidR="00860B45" w:rsidRPr="002C4523" w:rsidRDefault="00860B45" w:rsidP="00860B45">
      <w:pPr>
        <w:pStyle w:val="ListParagraph"/>
        <w:ind w:left="0"/>
        <w:jc w:val="center"/>
        <w:rPr>
          <w:b/>
          <w:sz w:val="26"/>
          <w:szCs w:val="26"/>
        </w:rPr>
      </w:pPr>
    </w:p>
    <w:p w14:paraId="2A932261" w14:textId="77777777" w:rsidR="00860B45" w:rsidRDefault="00A65F8D" w:rsidP="00B748F4">
      <w:pPr>
        <w:pStyle w:val="ListParagraph"/>
        <w:ind w:left="0"/>
        <w:jc w:val="center"/>
        <w:rPr>
          <w:b/>
          <w:sz w:val="32"/>
          <w:szCs w:val="28"/>
        </w:rPr>
      </w:pPr>
      <w:r w:rsidRPr="00D81B26">
        <w:rPr>
          <w:b/>
          <w:noProof/>
          <w:sz w:val="28"/>
          <w:szCs w:val="28"/>
          <w:lang w:eastAsia="lv-LV"/>
        </w:rPr>
        <w:lastRenderedPageBreak/>
        <w:drawing>
          <wp:anchor distT="0" distB="0" distL="114300" distR="114300" simplePos="0" relativeHeight="251660288" behindDoc="0" locked="0" layoutInCell="1" allowOverlap="1" wp14:anchorId="0C1A5D0D" wp14:editId="6A70854D">
            <wp:simplePos x="0" y="0"/>
            <wp:positionH relativeFrom="column">
              <wp:posOffset>19050</wp:posOffset>
            </wp:positionH>
            <wp:positionV relativeFrom="paragraph">
              <wp:posOffset>0</wp:posOffset>
            </wp:positionV>
            <wp:extent cx="5368925" cy="2409825"/>
            <wp:effectExtent l="0" t="0" r="3175" b="0"/>
            <wp:wrapThrough wrapText="bothSides">
              <wp:wrapPolygon edited="0">
                <wp:start x="383" y="0"/>
                <wp:lineTo x="383" y="1025"/>
                <wp:lineTo x="2529" y="3074"/>
                <wp:lineTo x="613" y="3074"/>
                <wp:lineTo x="690" y="4098"/>
                <wp:lineTo x="20233" y="5806"/>
                <wp:lineTo x="690" y="5806"/>
                <wp:lineTo x="690" y="6830"/>
                <wp:lineTo x="19160" y="8538"/>
                <wp:lineTo x="843" y="8538"/>
                <wp:lineTo x="536" y="9221"/>
                <wp:lineTo x="2836" y="11270"/>
                <wp:lineTo x="690" y="11440"/>
                <wp:lineTo x="690" y="12294"/>
                <wp:lineTo x="2836" y="14002"/>
                <wp:lineTo x="1839" y="14172"/>
                <wp:lineTo x="1839" y="15197"/>
                <wp:lineTo x="3066" y="16734"/>
                <wp:lineTo x="2989" y="17075"/>
                <wp:lineTo x="5365" y="18441"/>
                <wp:lineTo x="10806" y="19466"/>
                <wp:lineTo x="6285" y="19807"/>
                <wp:lineTo x="6285" y="20490"/>
                <wp:lineTo x="9197" y="21173"/>
                <wp:lineTo x="15252" y="21173"/>
                <wp:lineTo x="17244" y="20661"/>
                <wp:lineTo x="17014" y="19636"/>
                <wp:lineTo x="13489" y="19466"/>
                <wp:lineTo x="20540" y="17417"/>
                <wp:lineTo x="20463" y="16734"/>
                <wp:lineTo x="20923" y="15880"/>
                <wp:lineTo x="21000" y="14685"/>
                <wp:lineTo x="20693" y="14002"/>
                <wp:lineTo x="21000" y="13148"/>
                <wp:lineTo x="21000" y="11953"/>
                <wp:lineTo x="20693" y="11270"/>
                <wp:lineTo x="21153" y="8538"/>
                <wp:lineTo x="21076" y="6318"/>
                <wp:lineTo x="21000" y="5806"/>
                <wp:lineTo x="21536" y="3415"/>
                <wp:lineTo x="20923" y="3244"/>
                <wp:lineTo x="9810" y="3074"/>
                <wp:lineTo x="21076" y="2391"/>
                <wp:lineTo x="21000" y="683"/>
                <wp:lineTo x="2223" y="0"/>
                <wp:lineTo x="383" y="0"/>
              </wp:wrapPolygon>
            </wp:wrapThrough>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DE58EC">
        <w:rPr>
          <w:noProof/>
          <w:lang w:eastAsia="lv-LV"/>
        </w:rPr>
        <mc:AlternateContent>
          <mc:Choice Requires="wps">
            <w:drawing>
              <wp:anchor distT="0" distB="0" distL="114300" distR="114300" simplePos="0" relativeHeight="251663360" behindDoc="0" locked="0" layoutInCell="1" allowOverlap="1" wp14:anchorId="79B6C30B" wp14:editId="736588A9">
                <wp:simplePos x="0" y="0"/>
                <wp:positionH relativeFrom="margin">
                  <wp:align>right</wp:align>
                </wp:positionH>
                <wp:positionV relativeFrom="paragraph">
                  <wp:posOffset>548640</wp:posOffset>
                </wp:positionV>
                <wp:extent cx="1860698" cy="255181"/>
                <wp:effectExtent l="0" t="0" r="0" b="0"/>
                <wp:wrapNone/>
                <wp:docPr id="10" name="Text Box 1"/>
                <wp:cNvGraphicFramePr/>
                <a:graphic xmlns:a="http://schemas.openxmlformats.org/drawingml/2006/main">
                  <a:graphicData uri="http://schemas.microsoft.com/office/word/2010/wordprocessingShape">
                    <wps:wsp>
                      <wps:cNvSpPr txBox="1"/>
                      <wps:spPr>
                        <a:xfrm>
                          <a:off x="0" y="0"/>
                          <a:ext cx="1860698" cy="255181"/>
                        </a:xfrm>
                        <a:prstGeom prst="rect">
                          <a:avLst/>
                        </a:prstGeom>
                      </wps:spPr>
                      <wps:txbx>
                        <w:txbxContent>
                          <w:p w14:paraId="1AEB05A7" w14:textId="77777777" w:rsidR="00FE0BFA" w:rsidRDefault="00FE0BFA" w:rsidP="00860B45">
                            <w:pPr>
                              <w:pStyle w:val="NormalWeb"/>
                              <w:spacing w:before="0" w:beforeAutospacing="0" w:after="0" w:afterAutospacing="0"/>
                            </w:pPr>
                            <w:r w:rsidRPr="00DE58EC">
                              <w:rPr>
                                <w:b/>
                                <w:bCs/>
                                <w:sz w:val="20"/>
                                <w:szCs w:val="20"/>
                              </w:rPr>
                              <w:t>-10,6% vidēji 3.cet</w:t>
                            </w:r>
                            <w:r>
                              <w:rPr>
                                <w:b/>
                                <w:bCs/>
                              </w:rPr>
                              <w:t>.</w:t>
                            </w:r>
                          </w:p>
                        </w:txbxContent>
                      </wps:txbx>
                      <wps:bodyPr vertOverflow="clip" wrap="square" rtlCol="0"/>
                    </wps:wsp>
                  </a:graphicData>
                </a:graphic>
              </wp:anchor>
            </w:drawing>
          </mc:Choice>
          <mc:Fallback>
            <w:pict>
              <v:shapetype w14:anchorId="79B6C30B" id="_x0000_t202" coordsize="21600,21600" o:spt="202" path="m,l,21600r21600,l21600,xe">
                <v:stroke joinstyle="miter"/>
                <v:path gradientshapeok="t" o:connecttype="rect"/>
              </v:shapetype>
              <v:shape id="Text Box 1" o:spid="_x0000_s1026" type="#_x0000_t202" style="position:absolute;left:0;text-align:left;margin-left:95.3pt;margin-top:43.2pt;width:146.5pt;height:20.1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" filled="f" stroked="f">
                <v:textbox>
                  <w:txbxContent>
                    <w:p w14:paraId="1AEB05A7" w14:textId="77777777" w:rsidR="00FE0BFA" w:rsidRDefault="00FE0BFA" w:rsidP="00860B45">
                      <w:pPr>
                        <w:pStyle w:val="NormalWeb"/>
                        <w:spacing w:before="0" w:beforeAutospacing="0" w:after="0" w:afterAutospacing="0"/>
                      </w:pPr>
                      <w:r w:rsidRPr="00DE58EC">
                        <w:rPr>
                          <w:b/>
                          <w:bCs/>
                          <w:sz w:val="20"/>
                          <w:szCs w:val="20"/>
                        </w:rPr>
                        <w:t>-10,6% vidēji 3.cet</w:t>
                      </w:r>
                      <w:r>
                        <w:rPr>
                          <w:b/>
                          <w:bCs/>
                        </w:rPr>
                        <w:t>.</w:t>
                      </w:r>
                    </w:p>
                  </w:txbxContent>
                </v:textbox>
                <w10:wrap anchorx="margin"/>
              </v:shape>
            </w:pict>
          </mc:Fallback>
        </mc:AlternateContent>
      </w:r>
      <w:r w:rsidR="00860B45">
        <w:rPr>
          <w:noProof/>
          <w:lang w:eastAsia="lv-LV"/>
        </w:rPr>
        <mc:AlternateContent>
          <mc:Choice Requires="wps">
            <w:drawing>
              <wp:anchor distT="0" distB="0" distL="114300" distR="114300" simplePos="0" relativeHeight="251661312" behindDoc="0" locked="0" layoutInCell="1" allowOverlap="1" wp14:anchorId="1938AB6A" wp14:editId="2E14CA44">
                <wp:simplePos x="0" y="0"/>
                <wp:positionH relativeFrom="column">
                  <wp:posOffset>5063002</wp:posOffset>
                </wp:positionH>
                <wp:positionV relativeFrom="paragraph">
                  <wp:posOffset>40640</wp:posOffset>
                </wp:positionV>
                <wp:extent cx="191080" cy="235211"/>
                <wp:effectExtent l="19050" t="0" r="19050" b="31750"/>
                <wp:wrapNone/>
                <wp:docPr id="6" name="Down Arrow 1"/>
                <wp:cNvGraphicFramePr/>
                <a:graphic xmlns:a="http://schemas.openxmlformats.org/drawingml/2006/main">
                  <a:graphicData uri="http://schemas.microsoft.com/office/word/2010/wordprocessingShape">
                    <wps:wsp>
                      <wps:cNvSpPr/>
                      <wps:spPr>
                        <a:xfrm>
                          <a:off x="0" y="0"/>
                          <a:ext cx="191080" cy="235211"/>
                        </a:xfrm>
                        <a:prstGeom prst="downArrow">
                          <a:avLst/>
                        </a:prstGeom>
                        <a:solidFill>
                          <a:srgbClr val="C0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8026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8.65pt;margin-top:3.2pt;width:15.05pt;height: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" adj="12826" fillcolor="#c00000" strokecolor="red" strokeweight="1pt"/>
            </w:pict>
          </mc:Fallback>
        </mc:AlternateContent>
      </w:r>
    </w:p>
    <w:p w14:paraId="699AB954" w14:textId="77777777" w:rsidR="00860B45" w:rsidRPr="00DA0158" w:rsidRDefault="00860B45" w:rsidP="00860B45">
      <w:pPr>
        <w:pStyle w:val="ListParagraph"/>
        <w:ind w:hanging="360"/>
        <w:jc w:val="center"/>
        <w:rPr>
          <w:b/>
          <w:sz w:val="32"/>
          <w:szCs w:val="28"/>
        </w:rPr>
      </w:pPr>
    </w:p>
    <w:p w14:paraId="6FC4C067" w14:textId="77777777" w:rsidR="00B748F4" w:rsidRDefault="00B748F4" w:rsidP="00860B45">
      <w:pPr>
        <w:spacing w:before="80" w:after="80"/>
        <w:rPr>
          <w:rFonts w:cs="Times New Roman"/>
          <w:szCs w:val="24"/>
        </w:rPr>
      </w:pPr>
    </w:p>
    <w:p w14:paraId="6A16170B" w14:textId="77777777" w:rsidR="00860B45" w:rsidRPr="00281B3C" w:rsidRDefault="00860B45" w:rsidP="00E022E1">
      <w:pPr>
        <w:tabs>
          <w:tab w:val="left" w:pos="567"/>
        </w:tabs>
        <w:spacing w:before="80" w:after="80"/>
        <w:ind w:left="567" w:hanging="567"/>
        <w:rPr>
          <w:rFonts w:cs="Times New Roman"/>
          <w:b/>
          <w:sz w:val="22"/>
        </w:rPr>
      </w:pPr>
      <w:r w:rsidRPr="00281B3C">
        <w:rPr>
          <w:rFonts w:cs="Times New Roman"/>
          <w:sz w:val="22"/>
        </w:rPr>
        <w:t>3.att.</w:t>
      </w:r>
      <w:r w:rsidRPr="00281B3C">
        <w:rPr>
          <w:rFonts w:cs="Times New Roman"/>
          <w:b/>
          <w:sz w:val="22"/>
        </w:rPr>
        <w:t xml:space="preserve"> M</w:t>
      </w:r>
      <w:r w:rsidR="00A65F8D" w:rsidRPr="00281B3C">
        <w:rPr>
          <w:rFonts w:cs="Times New Roman"/>
          <w:b/>
          <w:sz w:val="22"/>
        </w:rPr>
        <w:t>ikrouzņēmumu</w:t>
      </w:r>
      <w:r w:rsidRPr="00281B3C">
        <w:rPr>
          <w:rFonts w:cs="Times New Roman"/>
          <w:b/>
          <w:sz w:val="22"/>
        </w:rPr>
        <w:t xml:space="preserve"> iesniegto deklarāciju skaits un kopējais nodarbināto skaits</w:t>
      </w:r>
    </w:p>
    <w:p w14:paraId="6C7EE2ED" w14:textId="77777777" w:rsidR="00860B45" w:rsidRPr="00923522" w:rsidRDefault="00860B45" w:rsidP="00860B45">
      <w:pPr>
        <w:rPr>
          <w:rFonts w:cs="Times New Roman"/>
          <w:b/>
          <w:sz w:val="22"/>
        </w:rPr>
      </w:pPr>
    </w:p>
    <w:p w14:paraId="5AD48772" w14:textId="77777777" w:rsidR="00860B45" w:rsidRDefault="00860B45" w:rsidP="00860B45">
      <w:pPr>
        <w:pStyle w:val="ListParagraph"/>
        <w:spacing w:after="120"/>
        <w:ind w:left="0" w:firstLine="709"/>
        <w:rPr>
          <w:sz w:val="26"/>
          <w:szCs w:val="26"/>
        </w:rPr>
      </w:pPr>
      <w:r w:rsidRPr="00F519AB">
        <w:rPr>
          <w:sz w:val="26"/>
          <w:szCs w:val="26"/>
        </w:rPr>
        <w:t>Vidējais apgrozījums veido aptuveni 15 tūkst.</w:t>
      </w:r>
      <w:r>
        <w:rPr>
          <w:sz w:val="26"/>
          <w:szCs w:val="26"/>
        </w:rPr>
        <w:t xml:space="preserve"> </w:t>
      </w:r>
      <w:r w:rsidRPr="00F519AB">
        <w:rPr>
          <w:i/>
          <w:sz w:val="26"/>
          <w:szCs w:val="26"/>
        </w:rPr>
        <w:t>euro</w:t>
      </w:r>
      <w:r w:rsidRPr="00F519AB">
        <w:rPr>
          <w:sz w:val="26"/>
          <w:szCs w:val="26"/>
        </w:rPr>
        <w:t xml:space="preserve"> (maksimālais apgrozījums 40 tūkst.</w:t>
      </w:r>
      <w:r>
        <w:rPr>
          <w:sz w:val="26"/>
          <w:szCs w:val="26"/>
        </w:rPr>
        <w:t xml:space="preserve"> </w:t>
      </w:r>
      <w:r w:rsidRPr="00F519AB">
        <w:rPr>
          <w:i/>
          <w:sz w:val="26"/>
          <w:szCs w:val="26"/>
        </w:rPr>
        <w:t>euro</w:t>
      </w:r>
      <w:r w:rsidRPr="00F519AB">
        <w:rPr>
          <w:sz w:val="26"/>
          <w:szCs w:val="26"/>
        </w:rPr>
        <w:t>) un vidējais darbinieku skaits 2 (maksimālais skaits</w:t>
      </w:r>
      <w:r w:rsidRPr="00F519AB">
        <w:rPr>
          <w:b/>
          <w:sz w:val="26"/>
          <w:szCs w:val="26"/>
        </w:rPr>
        <w:t xml:space="preserve"> </w:t>
      </w:r>
      <w:r w:rsidR="00281B3C">
        <w:rPr>
          <w:b/>
          <w:sz w:val="26"/>
          <w:szCs w:val="26"/>
        </w:rPr>
        <w:t xml:space="preserve">– </w:t>
      </w:r>
      <w:r w:rsidRPr="00F519AB">
        <w:rPr>
          <w:sz w:val="26"/>
          <w:szCs w:val="26"/>
        </w:rPr>
        <w:t>5), šie rādītāji saglabājas konstantā apmērā pēdējo pāris gadu laikā. Salīdzinoši nemainīgs ir arī darbinieku vidējais atalgojums (kuriem algas</w:t>
      </w:r>
      <w:r w:rsidR="00281B3C">
        <w:rPr>
          <w:sz w:val="26"/>
          <w:szCs w:val="26"/>
        </w:rPr>
        <w:t xml:space="preserve"> lielākas par </w:t>
      </w:r>
      <w:r w:rsidRPr="00F519AB">
        <w:rPr>
          <w:sz w:val="26"/>
          <w:szCs w:val="26"/>
        </w:rPr>
        <w:t xml:space="preserve">0), aptuveni 530 </w:t>
      </w:r>
      <w:r w:rsidRPr="00F519AB">
        <w:rPr>
          <w:i/>
          <w:sz w:val="26"/>
          <w:szCs w:val="26"/>
        </w:rPr>
        <w:t xml:space="preserve">euro </w:t>
      </w:r>
      <w:r w:rsidRPr="00F519AB">
        <w:rPr>
          <w:sz w:val="26"/>
          <w:szCs w:val="26"/>
        </w:rPr>
        <w:t xml:space="preserve">(maksimālā alga 720 </w:t>
      </w:r>
      <w:r w:rsidRPr="00F519AB">
        <w:rPr>
          <w:i/>
          <w:sz w:val="26"/>
          <w:szCs w:val="26"/>
        </w:rPr>
        <w:t>euro</w:t>
      </w:r>
      <w:r w:rsidRPr="00F519AB">
        <w:rPr>
          <w:sz w:val="26"/>
          <w:szCs w:val="26"/>
        </w:rPr>
        <w:t xml:space="preserve"> mēnesī), pie kam pieauguma tendence pēdējā laikā ir ļoti nebūtiska, vien nepilna procenta apmērā.</w:t>
      </w:r>
    </w:p>
    <w:p w14:paraId="265D093E" w14:textId="77777777" w:rsidR="00860B45" w:rsidRDefault="00860B45" w:rsidP="00860B45">
      <w:pPr>
        <w:spacing w:after="160" w:line="20" w:lineRule="atLeast"/>
        <w:ind w:firstLine="709"/>
        <w:jc w:val="both"/>
        <w:rPr>
          <w:sz w:val="26"/>
          <w:szCs w:val="26"/>
        </w:rPr>
      </w:pPr>
      <w:r w:rsidRPr="00F519AB">
        <w:rPr>
          <w:sz w:val="26"/>
          <w:szCs w:val="26"/>
        </w:rPr>
        <w:t>Ieņēmumi no MUN 2019.gadā bija 81 milj.</w:t>
      </w:r>
      <w:r>
        <w:rPr>
          <w:sz w:val="26"/>
          <w:szCs w:val="26"/>
        </w:rPr>
        <w:t xml:space="preserve"> </w:t>
      </w:r>
      <w:r w:rsidRPr="00F519AB">
        <w:rPr>
          <w:i/>
          <w:sz w:val="26"/>
          <w:szCs w:val="26"/>
        </w:rPr>
        <w:t>euro</w:t>
      </w:r>
      <w:r w:rsidRPr="00F519AB">
        <w:rPr>
          <w:sz w:val="26"/>
          <w:szCs w:val="26"/>
        </w:rPr>
        <w:t>, kas ir par 10% mazāk kā iepriekšējā gadā, kad tie bija 90 milj.</w:t>
      </w:r>
      <w:r>
        <w:rPr>
          <w:sz w:val="26"/>
          <w:szCs w:val="26"/>
        </w:rPr>
        <w:t xml:space="preserve"> </w:t>
      </w:r>
      <w:r w:rsidRPr="00F519AB">
        <w:rPr>
          <w:i/>
          <w:sz w:val="26"/>
          <w:szCs w:val="26"/>
        </w:rPr>
        <w:t>euro.</w:t>
      </w:r>
      <w:r w:rsidRPr="00F519AB">
        <w:rPr>
          <w:sz w:val="26"/>
          <w:szCs w:val="26"/>
        </w:rPr>
        <w:t xml:space="preserve"> Neskatoties uz minēto ieņēmumu samazinājumu, kopējais fiskālais efekts vērtējams kā pozitīvs, jo </w:t>
      </w:r>
      <w:r w:rsidR="00E022E1">
        <w:rPr>
          <w:sz w:val="26"/>
          <w:szCs w:val="26"/>
        </w:rPr>
        <w:t>mikrouzņēmumu</w:t>
      </w:r>
      <w:r w:rsidR="00E022E1" w:rsidRPr="00F519AB">
        <w:rPr>
          <w:sz w:val="26"/>
          <w:szCs w:val="26"/>
        </w:rPr>
        <w:t xml:space="preserve"> </w:t>
      </w:r>
      <w:r w:rsidRPr="00F519AB">
        <w:rPr>
          <w:sz w:val="26"/>
          <w:szCs w:val="26"/>
        </w:rPr>
        <w:t>darbinieki pāriet uz darbu vispārējā nodokļu režīmā, maksājot lielāku darbaspēka nodokļu apmēru, kā arī nodrošina sev sociālās garantijas pilnā apmērā.</w:t>
      </w:r>
    </w:p>
    <w:p w14:paraId="5A38476B" w14:textId="77777777" w:rsidR="00860B45" w:rsidRPr="00F519AB" w:rsidRDefault="00860B45" w:rsidP="00860B45">
      <w:pPr>
        <w:pStyle w:val="ListParagraph"/>
        <w:spacing w:after="120"/>
        <w:ind w:left="0" w:firstLine="709"/>
        <w:rPr>
          <w:b/>
          <w:sz w:val="26"/>
          <w:szCs w:val="26"/>
        </w:rPr>
      </w:pPr>
    </w:p>
    <w:p w14:paraId="3C18C10B" w14:textId="77777777" w:rsidR="00860B45" w:rsidRDefault="00860B45" w:rsidP="00B748F4">
      <w:pPr>
        <w:pStyle w:val="ListParagraph"/>
        <w:ind w:left="0"/>
        <w:rPr>
          <w:b/>
          <w:sz w:val="28"/>
          <w:szCs w:val="28"/>
        </w:rPr>
      </w:pPr>
      <w:r w:rsidRPr="00D81B26">
        <w:rPr>
          <w:b/>
          <w:noProof/>
          <w:lang w:eastAsia="lv-LV"/>
        </w:rPr>
        <w:drawing>
          <wp:anchor distT="0" distB="0" distL="114300" distR="114300" simplePos="0" relativeHeight="251659264" behindDoc="0" locked="0" layoutInCell="1" allowOverlap="1" wp14:anchorId="6EA0547D" wp14:editId="17D62BAF">
            <wp:simplePos x="0" y="0"/>
            <wp:positionH relativeFrom="margin">
              <wp:posOffset>118110</wp:posOffset>
            </wp:positionH>
            <wp:positionV relativeFrom="paragraph">
              <wp:posOffset>29845</wp:posOffset>
            </wp:positionV>
            <wp:extent cx="5000625" cy="1885950"/>
            <wp:effectExtent l="0" t="0" r="0" b="0"/>
            <wp:wrapThrough wrapText="bothSides">
              <wp:wrapPolygon edited="0">
                <wp:start x="247" y="218"/>
                <wp:lineTo x="411" y="10691"/>
                <wp:lineTo x="823" y="11127"/>
                <wp:lineTo x="3127" y="11127"/>
                <wp:lineTo x="576" y="13309"/>
                <wp:lineTo x="576" y="14182"/>
                <wp:lineTo x="3127" y="14618"/>
                <wp:lineTo x="741" y="16582"/>
                <wp:lineTo x="823" y="17455"/>
                <wp:lineTo x="4114" y="18109"/>
                <wp:lineTo x="4114" y="18982"/>
                <wp:lineTo x="7159" y="20291"/>
                <wp:lineTo x="8887" y="20727"/>
                <wp:lineTo x="13413" y="20727"/>
                <wp:lineTo x="15058" y="20291"/>
                <wp:lineTo x="18432" y="18764"/>
                <wp:lineTo x="18350" y="18109"/>
                <wp:lineTo x="20983" y="17236"/>
                <wp:lineTo x="21065" y="17018"/>
                <wp:lineTo x="19255" y="14618"/>
                <wp:lineTo x="21065" y="13964"/>
                <wp:lineTo x="21065" y="13527"/>
                <wp:lineTo x="19255" y="11127"/>
                <wp:lineTo x="21065" y="11127"/>
                <wp:lineTo x="21065" y="10691"/>
                <wp:lineTo x="19255" y="7636"/>
                <wp:lineTo x="21065" y="7636"/>
                <wp:lineTo x="21065" y="4145"/>
                <wp:lineTo x="19255" y="4145"/>
                <wp:lineTo x="21230" y="873"/>
                <wp:lineTo x="1234" y="218"/>
                <wp:lineTo x="247" y="218"/>
              </wp:wrapPolygon>
            </wp:wrapThrough>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1CB28F6D" w14:textId="77777777" w:rsidR="00860B45" w:rsidRDefault="00860B45" w:rsidP="00860B45">
      <w:pPr>
        <w:pStyle w:val="ListParagraph"/>
        <w:rPr>
          <w:b/>
          <w:sz w:val="28"/>
          <w:szCs w:val="28"/>
        </w:rPr>
      </w:pPr>
    </w:p>
    <w:p w14:paraId="09350691" w14:textId="77777777" w:rsidR="00860B45" w:rsidRPr="00281B3C" w:rsidRDefault="00860B45" w:rsidP="00281B3C">
      <w:pPr>
        <w:spacing w:after="80"/>
        <w:rPr>
          <w:b/>
          <w:sz w:val="22"/>
        </w:rPr>
      </w:pPr>
      <w:r w:rsidRPr="00281B3C">
        <w:rPr>
          <w:bCs/>
          <w:sz w:val="22"/>
        </w:rPr>
        <w:t>4.att.</w:t>
      </w:r>
      <w:r w:rsidRPr="00281B3C">
        <w:rPr>
          <w:b/>
          <w:bCs/>
          <w:sz w:val="22"/>
        </w:rPr>
        <w:t xml:space="preserve"> MUN ieņēmumi</w:t>
      </w:r>
      <w:r w:rsidR="00750BF3" w:rsidRPr="00281B3C">
        <w:rPr>
          <w:b/>
          <w:bCs/>
          <w:sz w:val="22"/>
        </w:rPr>
        <w:t>*</w:t>
      </w:r>
      <w:r w:rsidRPr="00281B3C">
        <w:rPr>
          <w:b/>
          <w:bCs/>
          <w:sz w:val="22"/>
        </w:rPr>
        <w:t xml:space="preserve"> </w:t>
      </w:r>
      <w:r w:rsidRPr="00281B3C">
        <w:rPr>
          <w:i/>
          <w:iCs/>
          <w:sz w:val="22"/>
        </w:rPr>
        <w:t>milj. euro</w:t>
      </w:r>
    </w:p>
    <w:p w14:paraId="5249A478" w14:textId="77777777" w:rsidR="00860B45" w:rsidRPr="00281B3C" w:rsidRDefault="00750BF3" w:rsidP="00750BF3">
      <w:pPr>
        <w:rPr>
          <w:rFonts w:cs="Times New Roman"/>
          <w:i/>
          <w:sz w:val="18"/>
          <w:szCs w:val="18"/>
        </w:rPr>
      </w:pPr>
      <w:r w:rsidRPr="00281B3C">
        <w:rPr>
          <w:b/>
          <w:i/>
          <w:sz w:val="18"/>
          <w:szCs w:val="18"/>
        </w:rPr>
        <w:t xml:space="preserve">* </w:t>
      </w:r>
      <w:r w:rsidRPr="00281B3C">
        <w:rPr>
          <w:rFonts w:cs="Times New Roman"/>
          <w:i/>
          <w:sz w:val="18"/>
          <w:szCs w:val="18"/>
        </w:rPr>
        <w:t>80% no MUN ieņēmumiem tiek ieskaitīti valsts sociālās apdrošināšanas obligāto iemaksu kontā</w:t>
      </w:r>
    </w:p>
    <w:p w14:paraId="6E37677B" w14:textId="77777777" w:rsidR="00750BF3" w:rsidRPr="00750BF3" w:rsidRDefault="00750BF3" w:rsidP="00750BF3">
      <w:pPr>
        <w:rPr>
          <w:b/>
          <w:sz w:val="20"/>
          <w:szCs w:val="20"/>
        </w:rPr>
      </w:pPr>
    </w:p>
    <w:p w14:paraId="5E89DC5B" w14:textId="77777777" w:rsidR="00860B45" w:rsidRDefault="00E022E1" w:rsidP="00E022E1">
      <w:pPr>
        <w:spacing w:after="120"/>
        <w:ind w:firstLine="709"/>
        <w:jc w:val="both"/>
        <w:rPr>
          <w:sz w:val="26"/>
          <w:szCs w:val="26"/>
        </w:rPr>
      </w:pPr>
      <w:r>
        <w:rPr>
          <w:sz w:val="26"/>
          <w:szCs w:val="26"/>
        </w:rPr>
        <w:t>Mikrouzņēmumu</w:t>
      </w:r>
      <w:r w:rsidRPr="00F519AB">
        <w:rPr>
          <w:sz w:val="26"/>
          <w:szCs w:val="26"/>
        </w:rPr>
        <w:t xml:space="preserve"> </w:t>
      </w:r>
      <w:r w:rsidR="00860B45" w:rsidRPr="00F519AB">
        <w:rPr>
          <w:sz w:val="26"/>
          <w:szCs w:val="26"/>
        </w:rPr>
        <w:t xml:space="preserve">īpatsvars dominē tieši pakalpojumu nozarēs (ēku tīrīšana, ielu slaucīšana, dizaina pakalpojumi, konsultācijas u.tml.). Piemēram, ēku uzkopšanā </w:t>
      </w:r>
      <w:r>
        <w:rPr>
          <w:sz w:val="26"/>
          <w:szCs w:val="26"/>
        </w:rPr>
        <w:t>mikrouzņēmumu</w:t>
      </w:r>
      <w:r w:rsidRPr="00F519AB">
        <w:rPr>
          <w:sz w:val="26"/>
          <w:szCs w:val="26"/>
        </w:rPr>
        <w:t xml:space="preserve"> </w:t>
      </w:r>
      <w:r w:rsidR="00860B45" w:rsidRPr="00F519AB">
        <w:rPr>
          <w:sz w:val="26"/>
          <w:szCs w:val="26"/>
        </w:rPr>
        <w:t xml:space="preserve">īpatsvars sasniedz gandrīz pusi no visiem minētās sfēras uzņēmumiem. Minētais tiešā veidā liecina par darbaspēka </w:t>
      </w:r>
      <w:r w:rsidR="00860B45" w:rsidRPr="00F519AB">
        <w:rPr>
          <w:sz w:val="26"/>
          <w:szCs w:val="26"/>
        </w:rPr>
        <w:lastRenderedPageBreak/>
        <w:t xml:space="preserve">nodokļu optimizāciju, jo pakalpojumu sniegšanā ir daudz mazākas cita veida izmaksas (gan tiešās, gan netiešās), kā, piemēram, ražojošās nozarēs. Minēto apstiprina arī fakts, ka aptuveni 70% no </w:t>
      </w:r>
      <w:r>
        <w:rPr>
          <w:sz w:val="26"/>
          <w:szCs w:val="26"/>
        </w:rPr>
        <w:t>mikrouzņēmumu</w:t>
      </w:r>
      <w:r w:rsidRPr="00F519AB">
        <w:rPr>
          <w:sz w:val="26"/>
          <w:szCs w:val="26"/>
        </w:rPr>
        <w:t xml:space="preserve"> </w:t>
      </w:r>
      <w:r w:rsidR="00860B45" w:rsidRPr="00F519AB">
        <w:rPr>
          <w:sz w:val="26"/>
          <w:szCs w:val="26"/>
        </w:rPr>
        <w:t>apgrozījuma tiek novirzīti darbaspēka izmaksās.</w:t>
      </w:r>
    </w:p>
    <w:p w14:paraId="69D786DE" w14:textId="77777777" w:rsidR="00860B45" w:rsidRPr="00BD55FB" w:rsidRDefault="00860B45" w:rsidP="00860B45">
      <w:pPr>
        <w:pStyle w:val="ListParagraph"/>
        <w:ind w:left="0"/>
        <w:jc w:val="center"/>
        <w:rPr>
          <w:b/>
          <w:sz w:val="28"/>
          <w:szCs w:val="28"/>
        </w:rPr>
      </w:pPr>
      <w:r>
        <w:rPr>
          <w:noProof/>
          <w:lang w:eastAsia="lv-LV"/>
        </w:rPr>
        <w:drawing>
          <wp:inline distT="0" distB="0" distL="0" distR="0" wp14:anchorId="0E569E30" wp14:editId="2BFF4119">
            <wp:extent cx="5419725" cy="278701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30564" cy="2792589"/>
                    </a:xfrm>
                    <a:prstGeom prst="rect">
                      <a:avLst/>
                    </a:prstGeom>
                  </pic:spPr>
                </pic:pic>
              </a:graphicData>
            </a:graphic>
          </wp:inline>
        </w:drawing>
      </w:r>
    </w:p>
    <w:p w14:paraId="0C5DDD80" w14:textId="77777777" w:rsidR="00281B3C" w:rsidRPr="00281B3C" w:rsidRDefault="00860B45" w:rsidP="00281B3C">
      <w:pPr>
        <w:pStyle w:val="ListParagraph"/>
        <w:spacing w:after="80"/>
        <w:ind w:left="0"/>
        <w:rPr>
          <w:b/>
          <w:sz w:val="22"/>
        </w:rPr>
      </w:pPr>
      <w:r w:rsidRPr="00281B3C">
        <w:rPr>
          <w:bCs/>
          <w:sz w:val="22"/>
        </w:rPr>
        <w:t>5.att.</w:t>
      </w:r>
      <w:r w:rsidRPr="00281B3C">
        <w:rPr>
          <w:b/>
          <w:bCs/>
          <w:sz w:val="22"/>
        </w:rPr>
        <w:t xml:space="preserve"> </w:t>
      </w:r>
      <w:r w:rsidRPr="00281B3C">
        <w:rPr>
          <w:b/>
          <w:sz w:val="22"/>
        </w:rPr>
        <w:t>MUN pievilcība īpaši izteikta pakalpojumu nozarēs</w:t>
      </w:r>
      <w:r w:rsidR="00543E31" w:rsidRPr="00281B3C">
        <w:rPr>
          <w:b/>
          <w:sz w:val="22"/>
        </w:rPr>
        <w:t xml:space="preserve"> </w:t>
      </w:r>
    </w:p>
    <w:p w14:paraId="08072BBB" w14:textId="77777777" w:rsidR="00860B45" w:rsidRPr="00281B3C" w:rsidRDefault="00281B3C" w:rsidP="00860B45">
      <w:pPr>
        <w:pStyle w:val="ListParagraph"/>
        <w:ind w:left="0"/>
        <w:rPr>
          <w:sz w:val="20"/>
          <w:szCs w:val="20"/>
        </w:rPr>
      </w:pPr>
      <w:r w:rsidRPr="00281B3C">
        <w:rPr>
          <w:b/>
          <w:sz w:val="20"/>
          <w:szCs w:val="20"/>
        </w:rPr>
        <w:t xml:space="preserve">Avots: </w:t>
      </w:r>
      <w:r w:rsidR="00A46760" w:rsidRPr="00281B3C">
        <w:rPr>
          <w:sz w:val="20"/>
          <w:szCs w:val="20"/>
        </w:rPr>
        <w:t xml:space="preserve">Latvijas Bankas  </w:t>
      </w:r>
      <w:r w:rsidRPr="00281B3C">
        <w:rPr>
          <w:sz w:val="20"/>
          <w:szCs w:val="20"/>
        </w:rPr>
        <w:t>prezentācija</w:t>
      </w:r>
    </w:p>
    <w:p w14:paraId="16254934" w14:textId="77777777" w:rsidR="00860B45" w:rsidRPr="002F78E2" w:rsidRDefault="00860B45" w:rsidP="00860B45">
      <w:pPr>
        <w:rPr>
          <w:sz w:val="16"/>
          <w:szCs w:val="16"/>
        </w:rPr>
      </w:pPr>
    </w:p>
    <w:p w14:paraId="2F760012" w14:textId="77777777" w:rsidR="00860B45" w:rsidRPr="00F519AB" w:rsidRDefault="00860B45" w:rsidP="00860B45">
      <w:pPr>
        <w:pStyle w:val="ListParagraph"/>
        <w:spacing w:after="120"/>
        <w:ind w:left="0" w:firstLine="709"/>
        <w:rPr>
          <w:sz w:val="26"/>
          <w:szCs w:val="26"/>
        </w:rPr>
      </w:pPr>
      <w:r w:rsidRPr="00F519AB">
        <w:rPr>
          <w:sz w:val="26"/>
          <w:szCs w:val="26"/>
        </w:rPr>
        <w:t xml:space="preserve">Ir arī atsevišķas nozares, kurās </w:t>
      </w:r>
      <w:r w:rsidR="00E022E1">
        <w:rPr>
          <w:sz w:val="26"/>
          <w:szCs w:val="26"/>
        </w:rPr>
        <w:t>mikrouzņēmumu</w:t>
      </w:r>
      <w:r w:rsidR="00E022E1" w:rsidRPr="00F519AB">
        <w:rPr>
          <w:sz w:val="26"/>
          <w:szCs w:val="26"/>
        </w:rPr>
        <w:t xml:space="preserve"> </w:t>
      </w:r>
      <w:r w:rsidRPr="00F519AB">
        <w:rPr>
          <w:sz w:val="26"/>
          <w:szCs w:val="26"/>
        </w:rPr>
        <w:t xml:space="preserve">skaita samazinājums ir bijis lielāks nekā vidējie 11%. Trīs lielākie </w:t>
      </w:r>
      <w:r w:rsidR="00E022E1">
        <w:rPr>
          <w:sz w:val="26"/>
          <w:szCs w:val="26"/>
        </w:rPr>
        <w:t>mikrouzņēmumu</w:t>
      </w:r>
      <w:r w:rsidR="00E022E1" w:rsidRPr="00F519AB">
        <w:rPr>
          <w:sz w:val="26"/>
          <w:szCs w:val="26"/>
        </w:rPr>
        <w:t xml:space="preserve"> </w:t>
      </w:r>
      <w:r w:rsidRPr="00F519AB">
        <w:rPr>
          <w:sz w:val="26"/>
          <w:szCs w:val="26"/>
        </w:rPr>
        <w:t xml:space="preserve">skaita samazinājumi (nozarēs, kurās </w:t>
      </w:r>
      <w:r w:rsidR="00E022E1">
        <w:rPr>
          <w:sz w:val="26"/>
          <w:szCs w:val="26"/>
        </w:rPr>
        <w:t>mikrouzņēmumu</w:t>
      </w:r>
      <w:r w:rsidR="00E022E1" w:rsidRPr="00F519AB">
        <w:rPr>
          <w:sz w:val="26"/>
          <w:szCs w:val="26"/>
        </w:rPr>
        <w:t xml:space="preserve"> </w:t>
      </w:r>
      <w:r w:rsidRPr="00F519AB">
        <w:rPr>
          <w:sz w:val="26"/>
          <w:szCs w:val="26"/>
        </w:rPr>
        <w:t>skaits</w:t>
      </w:r>
      <w:r w:rsidR="00E022E1">
        <w:rPr>
          <w:sz w:val="26"/>
          <w:szCs w:val="26"/>
        </w:rPr>
        <w:t xml:space="preserve"> lielāks par </w:t>
      </w:r>
      <w:r w:rsidRPr="00F519AB">
        <w:rPr>
          <w:sz w:val="26"/>
          <w:szCs w:val="26"/>
        </w:rPr>
        <w:t>250) vērojami vairumtirdzniecības, veselības aizsardzības, kā arī augkopības un lopkopības nozarēs ar attiecīgi -22%, -18% un -16% samazinājumu.</w:t>
      </w:r>
    </w:p>
    <w:p w14:paraId="5CED8482" w14:textId="77777777" w:rsidR="00860B45" w:rsidRPr="00F519AB" w:rsidRDefault="00860B45" w:rsidP="00860B45">
      <w:pPr>
        <w:ind w:firstLine="709"/>
        <w:jc w:val="both"/>
        <w:rPr>
          <w:sz w:val="26"/>
          <w:szCs w:val="26"/>
        </w:rPr>
      </w:pPr>
      <w:r w:rsidRPr="00F519AB">
        <w:rPr>
          <w:sz w:val="26"/>
          <w:szCs w:val="26"/>
        </w:rPr>
        <w:t xml:space="preserve">Lai arī </w:t>
      </w:r>
      <w:r w:rsidR="00E022E1">
        <w:rPr>
          <w:sz w:val="26"/>
          <w:szCs w:val="26"/>
        </w:rPr>
        <w:t>mikrouzņēmumi</w:t>
      </w:r>
      <w:r w:rsidR="00E022E1" w:rsidRPr="00F519AB">
        <w:rPr>
          <w:sz w:val="26"/>
          <w:szCs w:val="26"/>
        </w:rPr>
        <w:t xml:space="preserve"> </w:t>
      </w:r>
      <w:r w:rsidRPr="00F519AB">
        <w:rPr>
          <w:sz w:val="26"/>
          <w:szCs w:val="26"/>
        </w:rPr>
        <w:t xml:space="preserve">veido būtisku īpatsvaru jeb 12% kopējā uzņēmumu skaitā un to darbinieku skaits ir aptuveni 10% no visiem nodarbinātajiem, veiktās </w:t>
      </w:r>
      <w:r w:rsidR="00E022E1">
        <w:rPr>
          <w:sz w:val="26"/>
          <w:szCs w:val="26"/>
        </w:rPr>
        <w:t>sociālās</w:t>
      </w:r>
      <w:r w:rsidRPr="00F519AB">
        <w:rPr>
          <w:sz w:val="26"/>
          <w:szCs w:val="26"/>
        </w:rPr>
        <w:t xml:space="preserve"> iemaksas pret minētajiem rādītājiem ir neproporcionāli mazas –  tikai 2,2% no kopējā veikto iemaksu apmēra, kas ietekmē ne tikai speciālā budžeta ieņēmumus un tā ilgtspējību, bet arī </w:t>
      </w:r>
      <w:r w:rsidR="00E022E1">
        <w:rPr>
          <w:sz w:val="26"/>
          <w:szCs w:val="26"/>
        </w:rPr>
        <w:t>mikrouzņēmumu</w:t>
      </w:r>
      <w:r w:rsidR="00E022E1" w:rsidRPr="00F519AB">
        <w:rPr>
          <w:sz w:val="26"/>
          <w:szCs w:val="26"/>
        </w:rPr>
        <w:t xml:space="preserve"> </w:t>
      </w:r>
      <w:r w:rsidRPr="00F519AB">
        <w:rPr>
          <w:sz w:val="26"/>
          <w:szCs w:val="26"/>
        </w:rPr>
        <w:t>nodarbināto sociālās garantijas un pensiju uzkrājumus.</w:t>
      </w:r>
    </w:p>
    <w:p w14:paraId="1F01647E" w14:textId="77777777" w:rsidR="00860B45" w:rsidRDefault="00860B45" w:rsidP="00B748F4">
      <w:pPr>
        <w:pStyle w:val="ListParagraph"/>
        <w:ind w:left="0"/>
        <w:jc w:val="center"/>
        <w:rPr>
          <w:b/>
          <w:sz w:val="32"/>
          <w:szCs w:val="28"/>
        </w:rPr>
      </w:pPr>
      <w:r w:rsidRPr="00AA12A1">
        <w:rPr>
          <w:b/>
          <w:noProof/>
          <w:sz w:val="32"/>
          <w:szCs w:val="28"/>
          <w:lang w:eastAsia="lv-LV"/>
        </w:rPr>
        <w:drawing>
          <wp:inline distT="0" distB="0" distL="0" distR="0" wp14:anchorId="7A71359E" wp14:editId="6422F0EC">
            <wp:extent cx="5274310" cy="231072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5279164" cy="2312856"/>
                    </a:xfrm>
                    <a:prstGeom prst="rect">
                      <a:avLst/>
                    </a:prstGeom>
                  </pic:spPr>
                </pic:pic>
              </a:graphicData>
            </a:graphic>
          </wp:inline>
        </w:drawing>
      </w:r>
    </w:p>
    <w:p w14:paraId="1378F384" w14:textId="77777777" w:rsidR="00281B3C" w:rsidRPr="00281B3C" w:rsidRDefault="00860B45" w:rsidP="00543E31">
      <w:pPr>
        <w:pStyle w:val="ListParagraph"/>
        <w:ind w:left="0"/>
        <w:rPr>
          <w:b/>
          <w:sz w:val="22"/>
        </w:rPr>
      </w:pPr>
      <w:r w:rsidRPr="00281B3C">
        <w:rPr>
          <w:bCs/>
          <w:sz w:val="22"/>
        </w:rPr>
        <w:t>6.att.</w:t>
      </w:r>
      <w:r w:rsidRPr="00281B3C">
        <w:rPr>
          <w:b/>
          <w:bCs/>
          <w:sz w:val="22"/>
        </w:rPr>
        <w:t xml:space="preserve"> </w:t>
      </w:r>
      <w:r w:rsidRPr="00281B3C">
        <w:rPr>
          <w:b/>
          <w:sz w:val="22"/>
        </w:rPr>
        <w:t>MUN iemaksu objekts</w:t>
      </w:r>
      <w:r w:rsidR="00543E31" w:rsidRPr="00281B3C">
        <w:rPr>
          <w:b/>
          <w:sz w:val="22"/>
        </w:rPr>
        <w:t xml:space="preserve"> </w:t>
      </w:r>
    </w:p>
    <w:p w14:paraId="2222DC35" w14:textId="77777777" w:rsidR="00543E31" w:rsidRPr="00281B3C" w:rsidRDefault="00281B3C" w:rsidP="00543E31">
      <w:pPr>
        <w:pStyle w:val="ListParagraph"/>
        <w:ind w:left="0"/>
        <w:rPr>
          <w:b/>
          <w:sz w:val="20"/>
          <w:szCs w:val="20"/>
        </w:rPr>
      </w:pPr>
      <w:r w:rsidRPr="00281B3C">
        <w:rPr>
          <w:b/>
          <w:sz w:val="20"/>
          <w:szCs w:val="20"/>
        </w:rPr>
        <w:t xml:space="preserve">Avots: </w:t>
      </w:r>
      <w:r w:rsidR="00543E31" w:rsidRPr="00281B3C">
        <w:rPr>
          <w:sz w:val="20"/>
          <w:szCs w:val="20"/>
        </w:rPr>
        <w:t>L</w:t>
      </w:r>
      <w:r w:rsidRPr="00281B3C">
        <w:rPr>
          <w:sz w:val="20"/>
          <w:szCs w:val="20"/>
        </w:rPr>
        <w:t xml:space="preserve">abklājības ministrijas </w:t>
      </w:r>
      <w:r w:rsidR="00543E31" w:rsidRPr="00281B3C">
        <w:rPr>
          <w:sz w:val="20"/>
          <w:szCs w:val="20"/>
        </w:rPr>
        <w:t>prezentācija</w:t>
      </w:r>
    </w:p>
    <w:p w14:paraId="2E669B25" w14:textId="77777777" w:rsidR="00860B45" w:rsidRDefault="00860B45" w:rsidP="00860B45">
      <w:pPr>
        <w:pStyle w:val="ListParagraph"/>
        <w:ind w:left="0" w:firstLine="709"/>
        <w:rPr>
          <w:sz w:val="26"/>
          <w:szCs w:val="26"/>
        </w:rPr>
      </w:pPr>
    </w:p>
    <w:p w14:paraId="315AB5A1" w14:textId="77777777" w:rsidR="00860B45" w:rsidRDefault="00860B45" w:rsidP="00860B45">
      <w:pPr>
        <w:pStyle w:val="ListParagraph"/>
        <w:ind w:left="0" w:firstLine="709"/>
        <w:rPr>
          <w:sz w:val="26"/>
          <w:szCs w:val="26"/>
        </w:rPr>
      </w:pPr>
      <w:r w:rsidRPr="00F519AB">
        <w:rPr>
          <w:sz w:val="26"/>
          <w:szCs w:val="26"/>
        </w:rPr>
        <w:t xml:space="preserve">Vidējais </w:t>
      </w:r>
      <w:r w:rsidR="00E022E1">
        <w:rPr>
          <w:sz w:val="26"/>
          <w:szCs w:val="26"/>
        </w:rPr>
        <w:t>sociālo</w:t>
      </w:r>
      <w:r w:rsidRPr="00F519AB">
        <w:rPr>
          <w:sz w:val="26"/>
          <w:szCs w:val="26"/>
        </w:rPr>
        <w:t xml:space="preserve"> iemaksu objekts </w:t>
      </w:r>
      <w:r w:rsidR="00E022E1">
        <w:rPr>
          <w:sz w:val="26"/>
          <w:szCs w:val="26"/>
        </w:rPr>
        <w:t>mikrouzņēmumu</w:t>
      </w:r>
      <w:r w:rsidR="00E022E1" w:rsidRPr="00F519AB">
        <w:rPr>
          <w:sz w:val="26"/>
          <w:szCs w:val="26"/>
        </w:rPr>
        <w:t xml:space="preserve"> </w:t>
      </w:r>
      <w:r w:rsidRPr="00F519AB">
        <w:rPr>
          <w:sz w:val="26"/>
          <w:szCs w:val="26"/>
        </w:rPr>
        <w:t xml:space="preserve">darbiniekam 211 </w:t>
      </w:r>
      <w:r w:rsidRPr="00F519AB">
        <w:rPr>
          <w:i/>
          <w:sz w:val="26"/>
          <w:szCs w:val="26"/>
        </w:rPr>
        <w:t xml:space="preserve">euro </w:t>
      </w:r>
      <w:r w:rsidRPr="00F519AB">
        <w:rPr>
          <w:sz w:val="26"/>
          <w:szCs w:val="26"/>
        </w:rPr>
        <w:t xml:space="preserve">mēnesī ir nepilnas četras reizes mazāks kā darba ņēmēja statusā un gandrīz uz pusi mazāks kā pašnodarbinātajam. Jāpiebilst, ka aptuveni puse </w:t>
      </w:r>
      <w:r w:rsidR="00E022E1">
        <w:rPr>
          <w:sz w:val="26"/>
          <w:szCs w:val="26"/>
        </w:rPr>
        <w:t>mikrouzņēmumu</w:t>
      </w:r>
      <w:r w:rsidR="00E022E1" w:rsidRPr="00F519AB">
        <w:rPr>
          <w:sz w:val="26"/>
          <w:szCs w:val="26"/>
        </w:rPr>
        <w:t xml:space="preserve"> </w:t>
      </w:r>
      <w:r w:rsidRPr="00F519AB">
        <w:rPr>
          <w:sz w:val="26"/>
          <w:szCs w:val="26"/>
        </w:rPr>
        <w:t>darbiniek</w:t>
      </w:r>
      <w:r w:rsidR="00E022E1">
        <w:rPr>
          <w:sz w:val="26"/>
          <w:szCs w:val="26"/>
        </w:rPr>
        <w:t>iem</w:t>
      </w:r>
      <w:r w:rsidRPr="00F519AB">
        <w:rPr>
          <w:sz w:val="26"/>
          <w:szCs w:val="26"/>
        </w:rPr>
        <w:t xml:space="preserve"> vienlaikus tiek nodarbināti arī vispārīgā nodokļa režīmā.</w:t>
      </w:r>
    </w:p>
    <w:p w14:paraId="7FF6BD7F" w14:textId="77777777" w:rsidR="00E022E1" w:rsidRDefault="00E022E1" w:rsidP="00860B45">
      <w:pPr>
        <w:pStyle w:val="ListParagraph"/>
        <w:ind w:left="0" w:firstLine="709"/>
        <w:rPr>
          <w:sz w:val="26"/>
          <w:szCs w:val="26"/>
        </w:rPr>
      </w:pPr>
    </w:p>
    <w:p w14:paraId="37D0B370" w14:textId="77777777" w:rsidR="00860B45" w:rsidRPr="001809BE" w:rsidRDefault="00DF6AAE" w:rsidP="00D46FA1">
      <w:pPr>
        <w:pStyle w:val="Heading2"/>
        <w:tabs>
          <w:tab w:val="left" w:pos="709"/>
        </w:tabs>
        <w:ind w:left="709" w:hanging="709"/>
        <w:jc w:val="both"/>
      </w:pPr>
      <w:bookmarkStart w:id="14" w:name="_Toc33186627"/>
      <w:r>
        <w:t>4</w:t>
      </w:r>
      <w:r w:rsidR="00860B45" w:rsidRPr="001809BE">
        <w:t>.</w:t>
      </w:r>
      <w:r w:rsidR="00860B45">
        <w:t>2</w:t>
      </w:r>
      <w:r w:rsidR="00860B45" w:rsidRPr="001809BE">
        <w:t>. Minimālo valsts sociālās apdrošināšanas obligāto iemaksu ieviešana</w:t>
      </w:r>
      <w:bookmarkEnd w:id="14"/>
      <w:r w:rsidR="00C25432">
        <w:t xml:space="preserve"> </w:t>
      </w:r>
    </w:p>
    <w:p w14:paraId="5C80A4BB" w14:textId="77777777" w:rsidR="00860B45" w:rsidRDefault="00860B45" w:rsidP="00860B45">
      <w:pPr>
        <w:spacing w:after="120"/>
        <w:ind w:firstLine="709"/>
        <w:jc w:val="both"/>
        <w:rPr>
          <w:color w:val="000000" w:themeColor="text1"/>
          <w:sz w:val="26"/>
          <w:szCs w:val="26"/>
        </w:rPr>
      </w:pPr>
      <w:r>
        <w:rPr>
          <w:color w:val="000000" w:themeColor="text1"/>
          <w:sz w:val="26"/>
          <w:szCs w:val="26"/>
        </w:rPr>
        <w:t xml:space="preserve">Līdzīgi kā </w:t>
      </w:r>
      <w:r w:rsidRPr="001809BE">
        <w:rPr>
          <w:color w:val="000000" w:themeColor="text1"/>
          <w:sz w:val="26"/>
          <w:szCs w:val="26"/>
        </w:rPr>
        <w:t>MUN režīmā</w:t>
      </w:r>
      <w:r>
        <w:rPr>
          <w:color w:val="000000" w:themeColor="text1"/>
          <w:sz w:val="26"/>
          <w:szCs w:val="26"/>
        </w:rPr>
        <w:t xml:space="preserve">, arī citos alternatīvajos režīmos (piemēram, pašnodarbināto, patentmaksu un autoratlīdzību saņēmēju), </w:t>
      </w:r>
      <w:r w:rsidRPr="001809BE">
        <w:rPr>
          <w:color w:val="000000" w:themeColor="text1"/>
          <w:sz w:val="26"/>
          <w:szCs w:val="26"/>
        </w:rPr>
        <w:t xml:space="preserve">strādājošo </w:t>
      </w:r>
      <w:r w:rsidRPr="001809BE">
        <w:rPr>
          <w:b/>
          <w:bCs/>
          <w:color w:val="000000" w:themeColor="text1"/>
          <w:sz w:val="26"/>
          <w:szCs w:val="26"/>
        </w:rPr>
        <w:t>sociālās iemaksas</w:t>
      </w:r>
      <w:r w:rsidRPr="001809BE">
        <w:rPr>
          <w:color w:val="000000" w:themeColor="text1"/>
          <w:sz w:val="26"/>
          <w:szCs w:val="26"/>
        </w:rPr>
        <w:t xml:space="preserve"> </w:t>
      </w:r>
      <w:r w:rsidRPr="001809BE">
        <w:rPr>
          <w:b/>
          <w:color w:val="000000" w:themeColor="text1"/>
          <w:sz w:val="26"/>
          <w:szCs w:val="26"/>
        </w:rPr>
        <w:t>ir</w:t>
      </w:r>
      <w:r w:rsidRPr="001809BE">
        <w:rPr>
          <w:color w:val="000000" w:themeColor="text1"/>
          <w:sz w:val="26"/>
          <w:szCs w:val="26"/>
        </w:rPr>
        <w:t xml:space="preserve"> </w:t>
      </w:r>
      <w:r w:rsidRPr="001809BE">
        <w:rPr>
          <w:b/>
          <w:bCs/>
          <w:color w:val="000000" w:themeColor="text1"/>
          <w:sz w:val="26"/>
          <w:szCs w:val="26"/>
        </w:rPr>
        <w:t xml:space="preserve">zemas, </w:t>
      </w:r>
      <w:r w:rsidRPr="001809BE">
        <w:rPr>
          <w:b/>
          <w:sz w:val="26"/>
          <w:szCs w:val="26"/>
        </w:rPr>
        <w:t>palielinot iedzīvotāju skaitu, kuri nākotnē var nebūt sociāli nodrošināti</w:t>
      </w:r>
      <w:r>
        <w:rPr>
          <w:b/>
          <w:sz w:val="26"/>
          <w:szCs w:val="26"/>
        </w:rPr>
        <w:t>.</w:t>
      </w:r>
      <w:r w:rsidRPr="001809BE">
        <w:rPr>
          <w:b/>
          <w:sz w:val="26"/>
          <w:szCs w:val="26"/>
        </w:rPr>
        <w:t xml:space="preserve"> </w:t>
      </w:r>
      <w:r w:rsidRPr="001809BE">
        <w:rPr>
          <w:sz w:val="26"/>
          <w:szCs w:val="26"/>
        </w:rPr>
        <w:t xml:space="preserve">Latvijā aptuveni 1/3 no personām, kas gūst ienākumus, nākotnē var nebūt pietiekami sociāli apdrošinātas, jo to </w:t>
      </w:r>
      <w:r w:rsidRPr="00BE7B49">
        <w:rPr>
          <w:rFonts w:cs="Times New Roman"/>
          <w:sz w:val="26"/>
          <w:szCs w:val="26"/>
        </w:rPr>
        <w:t>valsts sociālās apdrošināšanas obligāto iemaksu</w:t>
      </w:r>
      <w:r w:rsidRPr="001809BE">
        <w:rPr>
          <w:rFonts w:cs="Times New Roman"/>
          <w:b/>
          <w:sz w:val="28"/>
          <w:szCs w:val="28"/>
        </w:rPr>
        <w:t xml:space="preserve"> </w:t>
      </w:r>
      <w:r w:rsidRPr="00BE7B49">
        <w:rPr>
          <w:rFonts w:cs="Times New Roman"/>
          <w:sz w:val="26"/>
          <w:szCs w:val="26"/>
        </w:rPr>
        <w:t xml:space="preserve">(turpmāk – </w:t>
      </w:r>
      <w:r w:rsidRPr="00BE7B49">
        <w:rPr>
          <w:sz w:val="26"/>
          <w:szCs w:val="26"/>
        </w:rPr>
        <w:t xml:space="preserve">VSAOI) </w:t>
      </w:r>
      <w:r w:rsidR="00B748F4">
        <w:rPr>
          <w:sz w:val="26"/>
          <w:szCs w:val="26"/>
        </w:rPr>
        <w:t>apmērs</w:t>
      </w:r>
      <w:r w:rsidRPr="001809BE">
        <w:rPr>
          <w:sz w:val="26"/>
          <w:szCs w:val="26"/>
        </w:rPr>
        <w:t xml:space="preserve"> ir mazāks par minimālo algu</w:t>
      </w:r>
      <w:r w:rsidRPr="001809BE">
        <w:rPr>
          <w:bCs/>
          <w:color w:val="000000" w:themeColor="text1"/>
          <w:sz w:val="26"/>
          <w:szCs w:val="26"/>
        </w:rPr>
        <w:t>.</w:t>
      </w:r>
      <w:r w:rsidRPr="001809BE">
        <w:rPr>
          <w:b/>
          <w:bCs/>
          <w:color w:val="000000" w:themeColor="text1"/>
          <w:sz w:val="26"/>
          <w:szCs w:val="26"/>
        </w:rPr>
        <w:t xml:space="preserve"> </w:t>
      </w:r>
      <w:r w:rsidRPr="001809BE">
        <w:rPr>
          <w:color w:val="000000" w:themeColor="text1"/>
          <w:sz w:val="26"/>
          <w:szCs w:val="26"/>
        </w:rPr>
        <w:t>Tā rezultātā valstij nākotnē būs jāuzņemas atbildība par šo iedzīvotāju nodrošinājumu vecumdienās. Ja netiks rasts atbilstošs risinājums, tas zināmā mērā notiks uz to nodokļu maksātāju rēķina, kuri nodokļu nomaksu veic vispārējā kārtībā</w:t>
      </w:r>
      <w:r>
        <w:rPr>
          <w:color w:val="000000" w:themeColor="text1"/>
          <w:sz w:val="26"/>
          <w:szCs w:val="26"/>
        </w:rPr>
        <w:t>.</w:t>
      </w:r>
    </w:p>
    <w:p w14:paraId="4E3C79FE" w14:textId="77777777" w:rsidR="00860B45" w:rsidRPr="002B4F8E" w:rsidRDefault="006C5A20" w:rsidP="00DA16D3">
      <w:pPr>
        <w:pStyle w:val="ListParagraph"/>
        <w:spacing w:after="120"/>
        <w:ind w:left="0"/>
        <w:jc w:val="center"/>
        <w:rPr>
          <w:b/>
          <w:szCs w:val="24"/>
        </w:rPr>
      </w:pPr>
      <w:r>
        <w:rPr>
          <w:szCs w:val="24"/>
        </w:rPr>
        <w:t>9</w:t>
      </w:r>
      <w:r w:rsidR="00860B45" w:rsidRPr="002B4F8E">
        <w:rPr>
          <w:szCs w:val="24"/>
        </w:rPr>
        <w:t>.tab.</w:t>
      </w:r>
      <w:r w:rsidR="00860B45" w:rsidRPr="002B4F8E">
        <w:rPr>
          <w:b/>
          <w:szCs w:val="24"/>
        </w:rPr>
        <w:t xml:space="preserve"> Minimālā VSAOI </w:t>
      </w:r>
      <w:r w:rsidR="00B748F4" w:rsidRPr="002B4F8E">
        <w:rPr>
          <w:b/>
          <w:szCs w:val="24"/>
        </w:rPr>
        <w:t>apmēra</w:t>
      </w:r>
      <w:r w:rsidR="004610C9" w:rsidRPr="002B4F8E">
        <w:rPr>
          <w:b/>
          <w:szCs w:val="24"/>
        </w:rPr>
        <w:t xml:space="preserve"> ieviešanas scenāriji</w:t>
      </w:r>
    </w:p>
    <w:p w14:paraId="0120D9DF" w14:textId="77777777" w:rsidR="00860B45" w:rsidRDefault="00860B45" w:rsidP="00860B45">
      <w:pPr>
        <w:pStyle w:val="ListParagraph"/>
        <w:rPr>
          <w:b/>
          <w:szCs w:val="24"/>
        </w:rPr>
      </w:pPr>
    </w:p>
    <w:tbl>
      <w:tblPr>
        <w:tblStyle w:val="TableGrid"/>
        <w:tblpPr w:leftFromText="180" w:rightFromText="180" w:vertAnchor="text" w:horzAnchor="margin" w:tblpY="-64"/>
        <w:tblW w:w="0" w:type="auto"/>
        <w:tblLayout w:type="fixed"/>
        <w:tblLook w:val="04A0" w:firstRow="1" w:lastRow="0" w:firstColumn="1" w:lastColumn="0" w:noHBand="0" w:noVBand="1"/>
      </w:tblPr>
      <w:tblGrid>
        <w:gridCol w:w="5524"/>
        <w:gridCol w:w="1417"/>
        <w:gridCol w:w="1355"/>
      </w:tblGrid>
      <w:tr w:rsidR="00D55A58" w:rsidRPr="00F27669" w14:paraId="21CC08C2" w14:textId="77777777" w:rsidTr="00D55A58">
        <w:trPr>
          <w:trHeight w:val="516"/>
        </w:trPr>
        <w:tc>
          <w:tcPr>
            <w:tcW w:w="5524" w:type="dxa"/>
            <w:vMerge w:val="restart"/>
            <w:tcBorders>
              <w:right w:val="single" w:sz="4" w:space="0" w:color="FFFFFF" w:themeColor="background1"/>
            </w:tcBorders>
            <w:shd w:val="clear" w:color="auto" w:fill="002060"/>
            <w:vAlign w:val="center"/>
          </w:tcPr>
          <w:p w14:paraId="6452F642" w14:textId="77777777" w:rsidR="00D55A58" w:rsidRPr="00F27669" w:rsidRDefault="00D55A58" w:rsidP="002A3E75">
            <w:pPr>
              <w:jc w:val="center"/>
              <w:rPr>
                <w:b/>
                <w:sz w:val="22"/>
              </w:rPr>
            </w:pPr>
          </w:p>
        </w:tc>
        <w:tc>
          <w:tcPr>
            <w:tcW w:w="2772" w:type="dxa"/>
            <w:gridSpan w:val="2"/>
            <w:tcBorders>
              <w:left w:val="single" w:sz="4" w:space="0" w:color="FFFFFF" w:themeColor="background1"/>
              <w:bottom w:val="single" w:sz="4" w:space="0" w:color="FFFFFF" w:themeColor="background1"/>
            </w:tcBorders>
            <w:shd w:val="clear" w:color="auto" w:fill="002060"/>
            <w:vAlign w:val="center"/>
          </w:tcPr>
          <w:p w14:paraId="5DBE2F4C" w14:textId="77777777" w:rsidR="00D55A58" w:rsidRDefault="00D55A58" w:rsidP="000F652A">
            <w:pPr>
              <w:jc w:val="center"/>
              <w:rPr>
                <w:sz w:val="22"/>
              </w:rPr>
            </w:pPr>
            <w:r w:rsidRPr="00D55A58">
              <w:rPr>
                <w:b/>
                <w:sz w:val="22"/>
              </w:rPr>
              <w:t>Minimālā darba alga</w:t>
            </w:r>
            <w:r>
              <w:rPr>
                <w:sz w:val="22"/>
              </w:rPr>
              <w:t>,</w:t>
            </w:r>
          </w:p>
          <w:p w14:paraId="64295C6F" w14:textId="77777777" w:rsidR="00D55A58" w:rsidRDefault="00D55A58" w:rsidP="000F652A">
            <w:pPr>
              <w:jc w:val="center"/>
              <w:rPr>
                <w:b/>
                <w:sz w:val="22"/>
              </w:rPr>
            </w:pPr>
            <w:r w:rsidRPr="00F27669">
              <w:rPr>
                <w:i/>
                <w:sz w:val="22"/>
              </w:rPr>
              <w:t xml:space="preserve"> euro mēnesī</w:t>
            </w:r>
          </w:p>
        </w:tc>
      </w:tr>
      <w:tr w:rsidR="00D55A58" w:rsidRPr="00F27669" w14:paraId="0FC3B481" w14:textId="77777777" w:rsidTr="00D55A58">
        <w:trPr>
          <w:trHeight w:val="313"/>
        </w:trPr>
        <w:tc>
          <w:tcPr>
            <w:tcW w:w="5524" w:type="dxa"/>
            <w:vMerge/>
            <w:tcBorders>
              <w:right w:val="single" w:sz="4" w:space="0" w:color="FFFFFF" w:themeColor="background1"/>
            </w:tcBorders>
            <w:shd w:val="clear" w:color="auto" w:fill="002060"/>
            <w:vAlign w:val="center"/>
          </w:tcPr>
          <w:p w14:paraId="2B78CCAD" w14:textId="77777777" w:rsidR="00D55A58" w:rsidRPr="00F27669" w:rsidRDefault="00D55A58" w:rsidP="000F652A">
            <w:pPr>
              <w:jc w:val="center"/>
              <w:rPr>
                <w:b/>
                <w:sz w:val="22"/>
              </w:rPr>
            </w:pP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5450C64A" w14:textId="77777777" w:rsidR="00D55A58" w:rsidRPr="00D55A58" w:rsidRDefault="00D55A58" w:rsidP="003038A2">
            <w:pPr>
              <w:jc w:val="center"/>
              <w:rPr>
                <w:b/>
                <w:sz w:val="22"/>
              </w:rPr>
            </w:pPr>
            <w:r w:rsidRPr="00D55A58">
              <w:rPr>
                <w:b/>
                <w:sz w:val="22"/>
              </w:rPr>
              <w:t>430,00</w:t>
            </w:r>
          </w:p>
        </w:tc>
        <w:tc>
          <w:tcPr>
            <w:tcW w:w="1355" w:type="dxa"/>
            <w:tcBorders>
              <w:top w:val="single" w:sz="4" w:space="0" w:color="FFFFFF" w:themeColor="background1"/>
              <w:left w:val="single" w:sz="4" w:space="0" w:color="FFFFFF" w:themeColor="background1"/>
            </w:tcBorders>
            <w:shd w:val="clear" w:color="auto" w:fill="002060"/>
            <w:vAlign w:val="center"/>
          </w:tcPr>
          <w:p w14:paraId="39D3DCA0" w14:textId="77777777" w:rsidR="00D55A58" w:rsidRPr="00D55A58" w:rsidRDefault="00D55A58" w:rsidP="00D55A58">
            <w:pPr>
              <w:jc w:val="center"/>
              <w:rPr>
                <w:b/>
                <w:sz w:val="22"/>
              </w:rPr>
            </w:pPr>
            <w:r w:rsidRPr="00D55A58">
              <w:rPr>
                <w:b/>
                <w:sz w:val="22"/>
              </w:rPr>
              <w:t>500,00</w:t>
            </w:r>
          </w:p>
        </w:tc>
      </w:tr>
      <w:tr w:rsidR="00860B45" w:rsidRPr="00F27669" w14:paraId="6D9FB0E4" w14:textId="77777777" w:rsidTr="003038A2">
        <w:tc>
          <w:tcPr>
            <w:tcW w:w="5524" w:type="dxa"/>
          </w:tcPr>
          <w:p w14:paraId="61F06C30" w14:textId="77777777" w:rsidR="00860B45" w:rsidRPr="00F27669" w:rsidRDefault="00860B45" w:rsidP="00B748F4">
            <w:pPr>
              <w:rPr>
                <w:b/>
                <w:sz w:val="22"/>
              </w:rPr>
            </w:pPr>
            <w:r>
              <w:rPr>
                <w:sz w:val="22"/>
              </w:rPr>
              <w:t>M</w:t>
            </w:r>
            <w:r w:rsidRPr="00F27669">
              <w:rPr>
                <w:sz w:val="22"/>
              </w:rPr>
              <w:t xml:space="preserve">inimālais VSAOI  </w:t>
            </w:r>
            <w:r w:rsidR="00B748F4">
              <w:rPr>
                <w:sz w:val="22"/>
              </w:rPr>
              <w:t>apmērs</w:t>
            </w:r>
            <w:r w:rsidRPr="00580509">
              <w:rPr>
                <w:sz w:val="22"/>
              </w:rPr>
              <w:t xml:space="preserve">, </w:t>
            </w:r>
            <w:r w:rsidRPr="00F27669">
              <w:rPr>
                <w:i/>
                <w:sz w:val="22"/>
              </w:rPr>
              <w:t>euro mēnesī</w:t>
            </w:r>
          </w:p>
        </w:tc>
        <w:tc>
          <w:tcPr>
            <w:tcW w:w="1417" w:type="dxa"/>
            <w:shd w:val="clear" w:color="auto" w:fill="auto"/>
            <w:vAlign w:val="center"/>
          </w:tcPr>
          <w:p w14:paraId="5F735789" w14:textId="77777777" w:rsidR="00860B45" w:rsidRPr="00B748F4" w:rsidRDefault="00860B45" w:rsidP="000F652A">
            <w:pPr>
              <w:jc w:val="center"/>
              <w:rPr>
                <w:b/>
                <w:color w:val="FF0000"/>
                <w:sz w:val="22"/>
              </w:rPr>
            </w:pPr>
            <w:r w:rsidRPr="00B748F4">
              <w:rPr>
                <w:b/>
                <w:color w:val="FF0000"/>
                <w:sz w:val="22"/>
              </w:rPr>
              <w:t>150,89</w:t>
            </w:r>
          </w:p>
        </w:tc>
        <w:tc>
          <w:tcPr>
            <w:tcW w:w="1355" w:type="dxa"/>
            <w:vAlign w:val="center"/>
          </w:tcPr>
          <w:p w14:paraId="66F20466" w14:textId="77777777" w:rsidR="00860B45" w:rsidRPr="00B748F4" w:rsidRDefault="00860B45" w:rsidP="000F652A">
            <w:pPr>
              <w:jc w:val="center"/>
              <w:rPr>
                <w:b/>
                <w:color w:val="FF0000"/>
                <w:sz w:val="22"/>
              </w:rPr>
            </w:pPr>
            <w:r w:rsidRPr="00B748F4">
              <w:rPr>
                <w:b/>
                <w:color w:val="FF0000"/>
                <w:sz w:val="22"/>
              </w:rPr>
              <w:t>175,45</w:t>
            </w:r>
          </w:p>
        </w:tc>
      </w:tr>
      <w:tr w:rsidR="00860B45" w:rsidRPr="00F27669" w14:paraId="06BEF997" w14:textId="77777777" w:rsidTr="003038A2">
        <w:trPr>
          <w:trHeight w:val="368"/>
        </w:trPr>
        <w:tc>
          <w:tcPr>
            <w:tcW w:w="5524" w:type="dxa"/>
            <w:shd w:val="clear" w:color="auto" w:fill="FFE599" w:themeFill="accent4" w:themeFillTint="66"/>
            <w:vAlign w:val="center"/>
          </w:tcPr>
          <w:p w14:paraId="225213FD" w14:textId="77777777" w:rsidR="00860B45" w:rsidRDefault="00860B45" w:rsidP="000F652A">
            <w:pPr>
              <w:rPr>
                <w:sz w:val="22"/>
              </w:rPr>
            </w:pPr>
            <w:r w:rsidRPr="00F519AB">
              <w:rPr>
                <w:b/>
                <w:sz w:val="22"/>
              </w:rPr>
              <w:t xml:space="preserve">Fiskālā ietekme, </w:t>
            </w:r>
            <w:r w:rsidRPr="00F519AB">
              <w:rPr>
                <w:i/>
                <w:sz w:val="22"/>
              </w:rPr>
              <w:t>milj. euro</w:t>
            </w:r>
          </w:p>
        </w:tc>
        <w:tc>
          <w:tcPr>
            <w:tcW w:w="1417" w:type="dxa"/>
            <w:shd w:val="clear" w:color="auto" w:fill="FFE599" w:themeFill="accent4" w:themeFillTint="66"/>
            <w:vAlign w:val="center"/>
          </w:tcPr>
          <w:p w14:paraId="41D59FCF" w14:textId="77777777" w:rsidR="00860B45" w:rsidRPr="004252E4" w:rsidRDefault="00860B45" w:rsidP="00B748F4">
            <w:pPr>
              <w:jc w:val="center"/>
              <w:rPr>
                <w:b/>
                <w:color w:val="00B050"/>
                <w:sz w:val="22"/>
              </w:rPr>
            </w:pPr>
            <w:r w:rsidRPr="004252E4">
              <w:rPr>
                <w:b/>
                <w:color w:val="00B050"/>
                <w:sz w:val="22"/>
              </w:rPr>
              <w:t>+75</w:t>
            </w:r>
            <w:r w:rsidR="00B748F4" w:rsidRPr="004252E4">
              <w:rPr>
                <w:b/>
                <w:color w:val="00B050"/>
                <w:sz w:val="22"/>
              </w:rPr>
              <w:t>-</w:t>
            </w:r>
            <w:r w:rsidRPr="004252E4">
              <w:rPr>
                <w:b/>
                <w:color w:val="00B050"/>
                <w:sz w:val="22"/>
              </w:rPr>
              <w:t>90 </w:t>
            </w:r>
          </w:p>
        </w:tc>
        <w:tc>
          <w:tcPr>
            <w:tcW w:w="1355" w:type="dxa"/>
            <w:shd w:val="clear" w:color="auto" w:fill="FFE599" w:themeFill="accent4" w:themeFillTint="66"/>
            <w:vAlign w:val="center"/>
          </w:tcPr>
          <w:p w14:paraId="3B60AC4E" w14:textId="77777777" w:rsidR="00860B45" w:rsidRPr="004252E4" w:rsidRDefault="00860B45" w:rsidP="00B748F4">
            <w:pPr>
              <w:jc w:val="center"/>
              <w:rPr>
                <w:b/>
                <w:color w:val="00B050"/>
                <w:sz w:val="22"/>
              </w:rPr>
            </w:pPr>
            <w:r w:rsidRPr="004252E4">
              <w:rPr>
                <w:b/>
                <w:color w:val="00B050"/>
                <w:sz w:val="22"/>
              </w:rPr>
              <w:t>+100</w:t>
            </w:r>
            <w:r w:rsidR="00B748F4" w:rsidRPr="004252E4">
              <w:rPr>
                <w:b/>
                <w:color w:val="00B050"/>
                <w:sz w:val="22"/>
              </w:rPr>
              <w:t>-</w:t>
            </w:r>
            <w:r w:rsidRPr="004252E4">
              <w:rPr>
                <w:b/>
                <w:color w:val="00B050"/>
                <w:sz w:val="22"/>
              </w:rPr>
              <w:t>116</w:t>
            </w:r>
          </w:p>
        </w:tc>
      </w:tr>
    </w:tbl>
    <w:p w14:paraId="6779D3BF" w14:textId="77777777" w:rsidR="003038A2" w:rsidRPr="001809BE" w:rsidRDefault="003038A2" w:rsidP="003038A2">
      <w:pPr>
        <w:spacing w:after="120"/>
        <w:ind w:firstLine="709"/>
        <w:jc w:val="both"/>
        <w:rPr>
          <w:b/>
          <w:sz w:val="26"/>
          <w:szCs w:val="26"/>
        </w:rPr>
      </w:pPr>
      <w:r>
        <w:rPr>
          <w:sz w:val="26"/>
          <w:szCs w:val="26"/>
        </w:rPr>
        <w:t xml:space="preserve">Ir divi risinājumi kā </w:t>
      </w:r>
      <w:r w:rsidRPr="00F063CD">
        <w:rPr>
          <w:sz w:val="26"/>
          <w:szCs w:val="26"/>
        </w:rPr>
        <w:t>minimāl</w:t>
      </w:r>
      <w:r>
        <w:rPr>
          <w:sz w:val="26"/>
          <w:szCs w:val="26"/>
        </w:rPr>
        <w:t>ais</w:t>
      </w:r>
      <w:r w:rsidRPr="00F063CD">
        <w:rPr>
          <w:sz w:val="26"/>
          <w:szCs w:val="26"/>
        </w:rPr>
        <w:t xml:space="preserve"> VSAOI </w:t>
      </w:r>
      <w:r>
        <w:rPr>
          <w:sz w:val="26"/>
          <w:szCs w:val="26"/>
        </w:rPr>
        <w:t>apmērs,</w:t>
      </w:r>
      <w:r w:rsidRPr="00011F07">
        <w:rPr>
          <w:sz w:val="26"/>
          <w:szCs w:val="26"/>
        </w:rPr>
        <w:t xml:space="preserve"> </w:t>
      </w:r>
      <w:r w:rsidRPr="00141E1E">
        <w:rPr>
          <w:sz w:val="26"/>
          <w:szCs w:val="26"/>
        </w:rPr>
        <w:t>ja personas VSAOI objekta apmērs nesasniedz minimālo algu</w:t>
      </w:r>
      <w:r>
        <w:rPr>
          <w:sz w:val="26"/>
          <w:szCs w:val="26"/>
        </w:rPr>
        <w:t>, varētu tikt ieviests</w:t>
      </w:r>
      <w:r w:rsidRPr="003038A2">
        <w:rPr>
          <w:sz w:val="26"/>
          <w:szCs w:val="26"/>
        </w:rPr>
        <w:t>:</w:t>
      </w:r>
    </w:p>
    <w:p w14:paraId="47BD2193" w14:textId="77777777" w:rsidR="003038A2" w:rsidRDefault="003038A2" w:rsidP="000223DA">
      <w:pPr>
        <w:pStyle w:val="ListParagraph"/>
        <w:numPr>
          <w:ilvl w:val="0"/>
          <w:numId w:val="7"/>
        </w:numPr>
        <w:ind w:left="1134" w:hanging="425"/>
        <w:rPr>
          <w:sz w:val="26"/>
          <w:szCs w:val="26"/>
        </w:rPr>
      </w:pPr>
      <w:r w:rsidRPr="008F5178">
        <w:rPr>
          <w:sz w:val="26"/>
          <w:szCs w:val="26"/>
        </w:rPr>
        <w:t xml:space="preserve">ieviest minimālo VSAOI </w:t>
      </w:r>
      <w:r>
        <w:rPr>
          <w:sz w:val="26"/>
          <w:szCs w:val="26"/>
        </w:rPr>
        <w:t>apmērs</w:t>
      </w:r>
      <w:r w:rsidRPr="00141E1E">
        <w:rPr>
          <w:sz w:val="26"/>
          <w:szCs w:val="26"/>
        </w:rPr>
        <w:t xml:space="preserve">, </w:t>
      </w:r>
      <w:r>
        <w:rPr>
          <w:sz w:val="26"/>
          <w:szCs w:val="26"/>
        </w:rPr>
        <w:t>p</w:t>
      </w:r>
      <w:r w:rsidRPr="00141E1E">
        <w:rPr>
          <w:sz w:val="26"/>
          <w:szCs w:val="26"/>
        </w:rPr>
        <w:t xml:space="preserve">aredzot, ka </w:t>
      </w:r>
      <w:r w:rsidRPr="008F5178">
        <w:rPr>
          <w:b/>
          <w:sz w:val="26"/>
          <w:szCs w:val="26"/>
        </w:rPr>
        <w:t xml:space="preserve">personai vismaz vienā darba vietā ir jābūt minimāli sociāli apdrošinātai un VSAOI līdz minimālajam VSAOI apmēram piemaksā darba devējs </w:t>
      </w:r>
      <w:r w:rsidR="003D143A">
        <w:rPr>
          <w:sz w:val="26"/>
          <w:szCs w:val="26"/>
        </w:rPr>
        <w:t>(darba attiecību gadījumā)</w:t>
      </w:r>
      <w:r>
        <w:rPr>
          <w:sz w:val="26"/>
          <w:szCs w:val="26"/>
        </w:rPr>
        <w:t>;</w:t>
      </w:r>
      <w:r w:rsidRPr="008F5178">
        <w:rPr>
          <w:sz w:val="26"/>
          <w:szCs w:val="26"/>
        </w:rPr>
        <w:t xml:space="preserve"> </w:t>
      </w:r>
    </w:p>
    <w:p w14:paraId="3DBDE06A" w14:textId="77777777" w:rsidR="003038A2" w:rsidRPr="00F27669" w:rsidRDefault="003038A2" w:rsidP="000223DA">
      <w:pPr>
        <w:pStyle w:val="ListParagraph"/>
        <w:numPr>
          <w:ilvl w:val="0"/>
          <w:numId w:val="7"/>
        </w:numPr>
        <w:ind w:left="1134" w:hanging="425"/>
        <w:rPr>
          <w:sz w:val="26"/>
          <w:szCs w:val="26"/>
        </w:rPr>
      </w:pPr>
      <w:r w:rsidRPr="00011F07">
        <w:rPr>
          <w:sz w:val="26"/>
          <w:szCs w:val="26"/>
        </w:rPr>
        <w:t>v</w:t>
      </w:r>
      <w:r w:rsidRPr="008F5178">
        <w:rPr>
          <w:sz w:val="26"/>
          <w:szCs w:val="26"/>
        </w:rPr>
        <w:t>idējā termiņā ieviest minimālo VSAOI</w:t>
      </w:r>
      <w:r w:rsidRPr="008F5178">
        <w:rPr>
          <w:sz w:val="22"/>
        </w:rPr>
        <w:t xml:space="preserve"> </w:t>
      </w:r>
      <w:r>
        <w:rPr>
          <w:sz w:val="26"/>
          <w:szCs w:val="26"/>
        </w:rPr>
        <w:t>apmēru</w:t>
      </w:r>
      <w:r w:rsidRPr="00F27669">
        <w:rPr>
          <w:sz w:val="26"/>
          <w:szCs w:val="26"/>
        </w:rPr>
        <w:t xml:space="preserve">, </w:t>
      </w:r>
      <w:r w:rsidRPr="00011F07">
        <w:rPr>
          <w:b/>
          <w:sz w:val="26"/>
          <w:szCs w:val="26"/>
        </w:rPr>
        <w:t>pirms minimālā VSAOI apmēra piemērošanas</w:t>
      </w:r>
      <w:r>
        <w:rPr>
          <w:b/>
          <w:sz w:val="26"/>
          <w:szCs w:val="26"/>
        </w:rPr>
        <w:t>,</w:t>
      </w:r>
      <w:r w:rsidRPr="00011F07">
        <w:rPr>
          <w:b/>
          <w:sz w:val="26"/>
          <w:szCs w:val="26"/>
        </w:rPr>
        <w:t xml:space="preserve"> summējot personas VSAOI apmērus visās ienākumu gūšanas vietās</w:t>
      </w:r>
      <w:r w:rsidRPr="00F27669">
        <w:rPr>
          <w:sz w:val="26"/>
          <w:szCs w:val="26"/>
        </w:rPr>
        <w:t>.</w:t>
      </w:r>
    </w:p>
    <w:p w14:paraId="38571E72" w14:textId="77777777" w:rsidR="0005683E" w:rsidRPr="00543E31" w:rsidRDefault="0005683E" w:rsidP="00860B45">
      <w:pPr>
        <w:pStyle w:val="ListParagraph"/>
        <w:ind w:left="0" w:firstLine="567"/>
        <w:rPr>
          <w:sz w:val="20"/>
          <w:szCs w:val="20"/>
        </w:rPr>
      </w:pPr>
    </w:p>
    <w:p w14:paraId="0137D063" w14:textId="77777777" w:rsidR="00860B45" w:rsidRDefault="00860B45" w:rsidP="00860B45">
      <w:pPr>
        <w:pStyle w:val="ListParagraph"/>
        <w:ind w:left="0" w:firstLine="567"/>
        <w:rPr>
          <w:sz w:val="26"/>
          <w:szCs w:val="26"/>
        </w:rPr>
      </w:pPr>
      <w:r w:rsidRPr="001809BE">
        <w:rPr>
          <w:sz w:val="26"/>
          <w:szCs w:val="26"/>
        </w:rPr>
        <w:t xml:space="preserve">Ja tiek ieviests minimālais VSAOI </w:t>
      </w:r>
      <w:r w:rsidR="00B748F4">
        <w:rPr>
          <w:sz w:val="26"/>
          <w:szCs w:val="26"/>
        </w:rPr>
        <w:t>apmērs</w:t>
      </w:r>
      <w:r w:rsidRPr="001809BE">
        <w:rPr>
          <w:sz w:val="26"/>
          <w:szCs w:val="26"/>
        </w:rPr>
        <w:t xml:space="preserve">, tad no visiem vienkāršotajiem IIN režīmiem var nodalīt VSAOI daļu, atstājot tikai IIN daļu. </w:t>
      </w:r>
    </w:p>
    <w:p w14:paraId="554218B1" w14:textId="77777777" w:rsidR="00860B45" w:rsidRDefault="00860B45" w:rsidP="00860B45">
      <w:pPr>
        <w:pStyle w:val="ListParagraph"/>
        <w:ind w:left="567"/>
        <w:rPr>
          <w:sz w:val="26"/>
          <w:szCs w:val="26"/>
        </w:rPr>
      </w:pPr>
    </w:p>
    <w:p w14:paraId="63BA1704" w14:textId="77777777" w:rsidR="00E022E1" w:rsidRDefault="00E022E1">
      <w:pPr>
        <w:rPr>
          <w:rFonts w:eastAsia="Calibri" w:cs="Times New Roman"/>
          <w:b/>
          <w:sz w:val="26"/>
          <w:szCs w:val="26"/>
        </w:rPr>
      </w:pPr>
      <w:r>
        <w:rPr>
          <w:b/>
          <w:sz w:val="26"/>
          <w:szCs w:val="26"/>
        </w:rPr>
        <w:br w:type="page"/>
      </w:r>
    </w:p>
    <w:p w14:paraId="7511DC27" w14:textId="77777777" w:rsidR="00A52AB5" w:rsidRDefault="00A52AB5" w:rsidP="00543E31">
      <w:pPr>
        <w:pStyle w:val="ListParagraph"/>
        <w:spacing w:after="120"/>
        <w:ind w:left="0"/>
        <w:jc w:val="center"/>
        <w:rPr>
          <w:b/>
          <w:sz w:val="26"/>
          <w:szCs w:val="26"/>
        </w:rPr>
      </w:pPr>
      <w:r w:rsidRPr="002C4523">
        <w:rPr>
          <w:b/>
          <w:sz w:val="26"/>
          <w:szCs w:val="26"/>
        </w:rPr>
        <w:lastRenderedPageBreak/>
        <w:t>Informācijai</w:t>
      </w:r>
    </w:p>
    <w:p w14:paraId="4937ACFE" w14:textId="77777777" w:rsidR="00A52AB5" w:rsidRDefault="00A52AB5" w:rsidP="00A52AB5">
      <w:pPr>
        <w:ind w:firstLine="720"/>
        <w:jc w:val="both"/>
        <w:rPr>
          <w:sz w:val="26"/>
          <w:szCs w:val="26"/>
        </w:rPr>
      </w:pPr>
      <w:r w:rsidRPr="00A52AB5">
        <w:rPr>
          <w:sz w:val="26"/>
          <w:szCs w:val="26"/>
        </w:rPr>
        <w:t xml:space="preserve">Saskaņā ar Valsts sociālās apdrošināšanas aģentūras datiem uz 2020.gada 31.janvāri vidējais darba ņēmēju un pašnodarbināto personu </w:t>
      </w:r>
      <w:r w:rsidRPr="00A52AB5">
        <w:rPr>
          <w:rFonts w:eastAsia="Times New Roman"/>
          <w:bCs/>
          <w:sz w:val="26"/>
          <w:szCs w:val="26"/>
          <w:lang w:eastAsia="lv-LV"/>
        </w:rPr>
        <w:t>(</w:t>
      </w:r>
      <w:r w:rsidRPr="00A52AB5">
        <w:rPr>
          <w:sz w:val="26"/>
          <w:szCs w:val="26"/>
        </w:rPr>
        <w:t>ieskaitot patentmaksātājus un autoratlīdzības saņēmējus)</w:t>
      </w:r>
      <w:r w:rsidRPr="00A52AB5">
        <w:rPr>
          <w:rFonts w:eastAsia="Times New Roman"/>
          <w:bCs/>
          <w:sz w:val="26"/>
          <w:szCs w:val="26"/>
          <w:lang w:eastAsia="lv-LV"/>
        </w:rPr>
        <w:t xml:space="preserve"> </w:t>
      </w:r>
      <w:r w:rsidRPr="00A52AB5">
        <w:rPr>
          <w:sz w:val="26"/>
          <w:szCs w:val="26"/>
        </w:rPr>
        <w:t>skaits, kuru ienākumi bija no 0,01 līdz 429,99 </w:t>
      </w:r>
      <w:r w:rsidRPr="00A52AB5">
        <w:rPr>
          <w:i/>
          <w:sz w:val="26"/>
          <w:szCs w:val="26"/>
        </w:rPr>
        <w:t>euro</w:t>
      </w:r>
      <w:r w:rsidRPr="00A52AB5">
        <w:rPr>
          <w:sz w:val="26"/>
          <w:szCs w:val="26"/>
        </w:rPr>
        <w:t>, 2018.gadā bija ap 119,4 tūkst. (skaits norādīts neieskaitot mikrouzņēmuma režīmā strādājošos, darba ņēmējus, kuri tiek nodarbināti brīvības atņemšanas soda izciešanas laikā; obligāti sociāli apdrošinātās personas vecumā no 63 gadiem un obligāti sociāli apdrošinātās personas ar I un II grupas invaliditāti). Šo personu vidējais veicamo iemaksu objekts 2018.gadā bija ap 223 </w:t>
      </w:r>
      <w:r w:rsidRPr="00A52AB5">
        <w:rPr>
          <w:i/>
          <w:sz w:val="26"/>
          <w:szCs w:val="26"/>
        </w:rPr>
        <w:t>euro</w:t>
      </w:r>
      <w:r w:rsidRPr="00A52AB5">
        <w:rPr>
          <w:sz w:val="26"/>
          <w:szCs w:val="26"/>
        </w:rPr>
        <w:t xml:space="preserve"> mēnesī. </w:t>
      </w:r>
    </w:p>
    <w:p w14:paraId="1728828A" w14:textId="7093C4A6" w:rsidR="00B44B24" w:rsidRPr="003D143A" w:rsidRDefault="00DF6AAE" w:rsidP="00006632">
      <w:pPr>
        <w:pStyle w:val="Heading2"/>
        <w:tabs>
          <w:tab w:val="left" w:pos="709"/>
        </w:tabs>
        <w:ind w:left="709" w:hanging="709"/>
        <w:jc w:val="both"/>
        <w:rPr>
          <w:szCs w:val="28"/>
        </w:rPr>
      </w:pPr>
      <w:bookmarkStart w:id="15" w:name="_Toc33186628"/>
      <w:r w:rsidRPr="003D143A">
        <w:rPr>
          <w:szCs w:val="28"/>
        </w:rPr>
        <w:t>4</w:t>
      </w:r>
      <w:r w:rsidR="00B44B24" w:rsidRPr="003D143A">
        <w:rPr>
          <w:szCs w:val="28"/>
        </w:rPr>
        <w:t>.</w:t>
      </w:r>
      <w:r w:rsidR="00AA606C">
        <w:rPr>
          <w:szCs w:val="28"/>
        </w:rPr>
        <w:t>3</w:t>
      </w:r>
      <w:r w:rsidR="00B44B24" w:rsidRPr="003D143A">
        <w:rPr>
          <w:szCs w:val="28"/>
        </w:rPr>
        <w:t xml:space="preserve">. </w:t>
      </w:r>
      <w:r w:rsidR="00006632" w:rsidRPr="003D143A">
        <w:rPr>
          <w:szCs w:val="28"/>
        </w:rPr>
        <w:t>Vienāda VSAOI veikšana</w:t>
      </w:r>
      <w:r w:rsidR="003D143A">
        <w:rPr>
          <w:szCs w:val="28"/>
        </w:rPr>
        <w:t>s</w:t>
      </w:r>
      <w:r w:rsidR="00006632" w:rsidRPr="003D143A">
        <w:rPr>
          <w:szCs w:val="28"/>
        </w:rPr>
        <w:t xml:space="preserve"> kārtība pašnodarbinātaj</w:t>
      </w:r>
      <w:r w:rsidR="006F6388" w:rsidRPr="003D143A">
        <w:rPr>
          <w:szCs w:val="28"/>
        </w:rPr>
        <w:t>i</w:t>
      </w:r>
      <w:r w:rsidR="00006632" w:rsidRPr="003D143A">
        <w:rPr>
          <w:szCs w:val="28"/>
        </w:rPr>
        <w:t>em</w:t>
      </w:r>
      <w:bookmarkEnd w:id="15"/>
      <w:r w:rsidR="00B44B24" w:rsidRPr="003D143A">
        <w:rPr>
          <w:szCs w:val="28"/>
        </w:rPr>
        <w:t xml:space="preserve"> </w:t>
      </w:r>
    </w:p>
    <w:p w14:paraId="0824994A" w14:textId="77777777" w:rsidR="00B44B24" w:rsidRPr="00B44B24" w:rsidRDefault="00B44B24" w:rsidP="00B44B24">
      <w:pPr>
        <w:ind w:firstLine="709"/>
        <w:jc w:val="both"/>
        <w:rPr>
          <w:rFonts w:cs="Times New Roman"/>
          <w:sz w:val="26"/>
          <w:szCs w:val="26"/>
        </w:rPr>
      </w:pPr>
      <w:r w:rsidRPr="00B44B24">
        <w:rPr>
          <w:rFonts w:cs="Times New Roman"/>
          <w:sz w:val="26"/>
          <w:szCs w:val="26"/>
        </w:rPr>
        <w:t xml:space="preserve">Pašreiz likums </w:t>
      </w:r>
      <w:r w:rsidRPr="00B44B24">
        <w:rPr>
          <w:rFonts w:cs="Times New Roman"/>
          <w:i/>
          <w:sz w:val="26"/>
          <w:szCs w:val="26"/>
        </w:rPr>
        <w:t>“Par valsts sociālo apdrošināšanu</w:t>
      </w:r>
      <w:r>
        <w:rPr>
          <w:rFonts w:cs="Times New Roman"/>
          <w:i/>
          <w:sz w:val="26"/>
          <w:szCs w:val="26"/>
        </w:rPr>
        <w:t>”</w:t>
      </w:r>
      <w:r w:rsidRPr="00B44B24">
        <w:rPr>
          <w:rFonts w:cs="Times New Roman"/>
          <w:sz w:val="26"/>
          <w:szCs w:val="26"/>
        </w:rPr>
        <w:t xml:space="preserve"> nosaka, ka: </w:t>
      </w:r>
    </w:p>
    <w:p w14:paraId="7F196559" w14:textId="77777777" w:rsidR="00B44B24" w:rsidRDefault="00B44B24" w:rsidP="00B44B24">
      <w:pPr>
        <w:spacing w:after="120"/>
        <w:ind w:left="1134" w:hanging="425"/>
        <w:jc w:val="both"/>
        <w:rPr>
          <w:rFonts w:cs="Times New Roman"/>
          <w:sz w:val="26"/>
          <w:szCs w:val="26"/>
        </w:rPr>
      </w:pPr>
      <w:r w:rsidRPr="00B44B24">
        <w:rPr>
          <w:rFonts w:cs="Times New Roman"/>
          <w:sz w:val="26"/>
          <w:szCs w:val="26"/>
        </w:rPr>
        <w:t xml:space="preserve">- </w:t>
      </w:r>
      <w:r>
        <w:rPr>
          <w:rFonts w:cs="Times New Roman"/>
          <w:sz w:val="26"/>
          <w:szCs w:val="26"/>
        </w:rPr>
        <w:tab/>
      </w:r>
      <w:r w:rsidRPr="00B44B24">
        <w:rPr>
          <w:rFonts w:cs="Times New Roman"/>
          <w:sz w:val="26"/>
          <w:szCs w:val="26"/>
        </w:rPr>
        <w:t xml:space="preserve">pašnodarbinātajiem, kuru ienākums mēnesī nesasniedz minimālās algas apmēru, no ienākumiem jāveic VSAOI 5% </w:t>
      </w:r>
      <w:r>
        <w:rPr>
          <w:rFonts w:cs="Times New Roman"/>
          <w:sz w:val="26"/>
          <w:szCs w:val="26"/>
        </w:rPr>
        <w:t xml:space="preserve">apmērā </w:t>
      </w:r>
      <w:r w:rsidRPr="00B44B24">
        <w:rPr>
          <w:rFonts w:cs="Times New Roman"/>
          <w:sz w:val="26"/>
          <w:szCs w:val="26"/>
        </w:rPr>
        <w:t xml:space="preserve">(pensiju apdrošināšanai). </w:t>
      </w:r>
    </w:p>
    <w:p w14:paraId="0C5213C0" w14:textId="77777777" w:rsidR="00B44B24" w:rsidRPr="00B44B24" w:rsidRDefault="00B44B24" w:rsidP="00B44B24">
      <w:pPr>
        <w:spacing w:after="120"/>
        <w:ind w:left="1134"/>
        <w:jc w:val="both"/>
        <w:rPr>
          <w:rFonts w:cs="Times New Roman"/>
          <w:sz w:val="26"/>
          <w:szCs w:val="26"/>
        </w:rPr>
      </w:pPr>
      <w:r w:rsidRPr="00B44B24">
        <w:rPr>
          <w:rFonts w:cs="Times New Roman"/>
          <w:sz w:val="26"/>
          <w:szCs w:val="26"/>
        </w:rPr>
        <w:t xml:space="preserve">Ja pašnodarbinātā ienākums visa kalendāra gada laikā nesasniedz 50 </w:t>
      </w:r>
      <w:r w:rsidRPr="00B44B24">
        <w:rPr>
          <w:rFonts w:cs="Times New Roman"/>
          <w:i/>
          <w:sz w:val="26"/>
          <w:szCs w:val="26"/>
        </w:rPr>
        <w:t>euro</w:t>
      </w:r>
      <w:r w:rsidRPr="00B44B24">
        <w:rPr>
          <w:rFonts w:cs="Times New Roman"/>
          <w:sz w:val="26"/>
          <w:szCs w:val="26"/>
        </w:rPr>
        <w:t xml:space="preserve">, tad VSAOI 5% apmērā var neveikt. VSAOI jāveic </w:t>
      </w:r>
      <w:r>
        <w:rPr>
          <w:rFonts w:cs="Times New Roman"/>
          <w:sz w:val="26"/>
          <w:szCs w:val="26"/>
        </w:rPr>
        <w:t>–</w:t>
      </w:r>
      <w:r w:rsidRPr="00B44B24">
        <w:rPr>
          <w:rFonts w:cs="Times New Roman"/>
          <w:sz w:val="26"/>
          <w:szCs w:val="26"/>
        </w:rPr>
        <w:t xml:space="preserve"> par iepriekšējo ceturksni līdz sekojošā mēneša 15.datumam;</w:t>
      </w:r>
    </w:p>
    <w:p w14:paraId="43CC6F83" w14:textId="77777777" w:rsidR="00B44B24" w:rsidRPr="00B44B24" w:rsidRDefault="00B44B24" w:rsidP="00B44B24">
      <w:pPr>
        <w:spacing w:after="120"/>
        <w:ind w:left="1134" w:hanging="425"/>
        <w:jc w:val="both"/>
        <w:rPr>
          <w:rFonts w:cs="Times New Roman"/>
          <w:sz w:val="26"/>
          <w:szCs w:val="26"/>
        </w:rPr>
      </w:pPr>
      <w:r w:rsidRPr="00B44B24">
        <w:rPr>
          <w:rFonts w:cs="Times New Roman"/>
          <w:sz w:val="26"/>
          <w:szCs w:val="26"/>
        </w:rPr>
        <w:t xml:space="preserve">- </w:t>
      </w:r>
      <w:r>
        <w:rPr>
          <w:rFonts w:cs="Times New Roman"/>
          <w:sz w:val="26"/>
          <w:szCs w:val="26"/>
        </w:rPr>
        <w:tab/>
      </w:r>
      <w:r w:rsidRPr="00B44B24">
        <w:rPr>
          <w:rFonts w:cs="Times New Roman"/>
          <w:sz w:val="26"/>
          <w:szCs w:val="26"/>
        </w:rPr>
        <w:t>pašnodarbinātajiem, kuru ienākums mēnesī sasniedz vai pārsniedz minimālās algas apmēru, no brīvi izraudzīta objekta, kas nav mazāks par minimālās algas apmēru, veic VSAOI vispārējā apmērā (2020.gadā VSAOI likme vispārējā gadījumā pašnodarbinātajam 32,15%, un persona ir pakļauta pensiju apdrošināšanai, invaliditātes apdrošināšanai, vecāku apdrošināšanai, maternitātes un slimības apdrošināšanai un veselības apdrošināšanai) un no starpības starp ienākumiem un brīvi izraudzītā objekta, veic VSAOI 5% apmērā (pensiju apdrošināšanai);</w:t>
      </w:r>
    </w:p>
    <w:p w14:paraId="14DEC85D" w14:textId="77777777" w:rsidR="00B44B24" w:rsidRPr="00B44B24" w:rsidRDefault="00B44B24" w:rsidP="00B44B24">
      <w:pPr>
        <w:pStyle w:val="NormalWeb"/>
        <w:shd w:val="clear" w:color="auto" w:fill="FFFFFF"/>
        <w:spacing w:before="0" w:beforeAutospacing="0" w:after="120" w:afterAutospacing="0"/>
        <w:ind w:left="1134" w:hanging="425"/>
        <w:rPr>
          <w:sz w:val="26"/>
          <w:szCs w:val="26"/>
        </w:rPr>
      </w:pPr>
      <w:r w:rsidRPr="00B44B24">
        <w:rPr>
          <w:sz w:val="26"/>
          <w:szCs w:val="26"/>
        </w:rPr>
        <w:t xml:space="preserve">- </w:t>
      </w:r>
      <w:r>
        <w:rPr>
          <w:sz w:val="26"/>
          <w:szCs w:val="26"/>
        </w:rPr>
        <w:tab/>
      </w:r>
      <w:r w:rsidRPr="00B44B24">
        <w:rPr>
          <w:sz w:val="26"/>
          <w:szCs w:val="26"/>
        </w:rPr>
        <w:t>pašnodarbinātajiem, kuri gūst ienākumu no lauksaimnieciskās ražošanas un kuru ienākums mēnesī sasniedz vai pārsniedz minimālās algas apmēru, veic VSAOI vispārējā apmērā (2020.gadā VSAOI likme vispārējā gadījumā pašnodarbinātajam 32,15% un persona ir pakļauta pensiju apdrošināšanai, invaliditātes apdrošināšanai, vecāku apdrošināšanai, maternitātes un slimības apdrošināšanai un veselības apdrošināšanai) no brīvi izraudzīta objekta, kas nav mazāks par minimālās algas apmēru. VSAOI jāveic - par iepriekšējo ceturksni līdz sekojošā mēneša 15.datumam.</w:t>
      </w:r>
    </w:p>
    <w:p w14:paraId="41B94E1C" w14:textId="77777777" w:rsidR="00B44B24" w:rsidRDefault="00B44B24" w:rsidP="00B44B24">
      <w:pPr>
        <w:pStyle w:val="NormalWeb"/>
        <w:shd w:val="clear" w:color="auto" w:fill="FFFFFF"/>
        <w:spacing w:before="0" w:beforeAutospacing="0" w:after="0" w:afterAutospacing="0"/>
        <w:rPr>
          <w:sz w:val="26"/>
          <w:szCs w:val="26"/>
        </w:rPr>
      </w:pPr>
    </w:p>
    <w:p w14:paraId="7CF65618" w14:textId="77777777" w:rsidR="00B44B24" w:rsidRPr="00B44B24" w:rsidRDefault="00B44B24" w:rsidP="00006632">
      <w:pPr>
        <w:pStyle w:val="NormalWeb"/>
        <w:shd w:val="clear" w:color="auto" w:fill="FFFFFF"/>
        <w:spacing w:before="0" w:beforeAutospacing="0" w:after="0" w:afterAutospacing="0"/>
        <w:ind w:left="1134"/>
        <w:rPr>
          <w:sz w:val="26"/>
          <w:szCs w:val="26"/>
        </w:rPr>
      </w:pPr>
      <w:r w:rsidRPr="00B44B24">
        <w:rPr>
          <w:sz w:val="26"/>
          <w:szCs w:val="26"/>
        </w:rPr>
        <w:t xml:space="preserve">Savukārt no starpības starp ienākumiem un brīvi izraudzītā objekta, VSAOI 5% apmērā jāaprēķina par visu kalendāra gadu (visa gada ienākumu no lauksaimnieciskās ražošanas un visa gada izdevumu, kas saistīti ar lauksaimniecisko ražošanu, starpības) un jāveic VSAOI </w:t>
      </w:r>
      <w:r w:rsidRPr="00B44B24">
        <w:rPr>
          <w:sz w:val="26"/>
          <w:szCs w:val="26"/>
        </w:rPr>
        <w:lastRenderedPageBreak/>
        <w:t>5% apmērā (pensiju apdrošināšanai) par iepriekšējo gadu līdz kārtējā gada 15.aprīlim.</w:t>
      </w:r>
    </w:p>
    <w:p w14:paraId="1151D354" w14:textId="77777777" w:rsidR="00B44B24" w:rsidRPr="00B44B24" w:rsidRDefault="00B44B24" w:rsidP="00B44B24">
      <w:pPr>
        <w:pStyle w:val="NormalWeb"/>
        <w:shd w:val="clear" w:color="auto" w:fill="FFFFFF"/>
        <w:spacing w:before="0" w:beforeAutospacing="0" w:after="0" w:afterAutospacing="0"/>
        <w:rPr>
          <w:sz w:val="26"/>
          <w:szCs w:val="26"/>
        </w:rPr>
      </w:pPr>
    </w:p>
    <w:p w14:paraId="0B24F3B1" w14:textId="77777777" w:rsidR="00B44B24" w:rsidRPr="00B44B24" w:rsidRDefault="00006632" w:rsidP="00006632">
      <w:pPr>
        <w:pStyle w:val="NormalWeb"/>
        <w:shd w:val="clear" w:color="auto" w:fill="FFFFFF"/>
        <w:spacing w:before="0" w:beforeAutospacing="0" w:after="0" w:afterAutospacing="0"/>
        <w:ind w:firstLine="709"/>
        <w:rPr>
          <w:sz w:val="26"/>
          <w:szCs w:val="26"/>
        </w:rPr>
      </w:pPr>
      <w:r>
        <w:rPr>
          <w:b/>
          <w:sz w:val="26"/>
          <w:szCs w:val="26"/>
        </w:rPr>
        <w:t>L</w:t>
      </w:r>
      <w:r w:rsidR="00E022E1">
        <w:rPr>
          <w:b/>
          <w:sz w:val="26"/>
          <w:szCs w:val="26"/>
        </w:rPr>
        <w:t>abklājības ministrijas</w:t>
      </w:r>
      <w:r>
        <w:rPr>
          <w:b/>
          <w:sz w:val="26"/>
          <w:szCs w:val="26"/>
        </w:rPr>
        <w:t xml:space="preserve"> p</w:t>
      </w:r>
      <w:r w:rsidR="00B44B24" w:rsidRPr="00B44B24">
        <w:rPr>
          <w:b/>
          <w:sz w:val="26"/>
          <w:szCs w:val="26"/>
        </w:rPr>
        <w:t>riekšlikums</w:t>
      </w:r>
      <w:r>
        <w:rPr>
          <w:sz w:val="26"/>
          <w:szCs w:val="26"/>
        </w:rPr>
        <w:t xml:space="preserve"> – i</w:t>
      </w:r>
      <w:r w:rsidR="00B44B24" w:rsidRPr="00B44B24">
        <w:rPr>
          <w:sz w:val="26"/>
          <w:szCs w:val="26"/>
        </w:rPr>
        <w:t>zvērtējot tiesisko regulējumu, ir jānosaka vienāda kārtība VSAOI veikšanai pašnodarbinātaj</w:t>
      </w:r>
      <w:r>
        <w:rPr>
          <w:sz w:val="26"/>
          <w:szCs w:val="26"/>
        </w:rPr>
        <w:t>i</w:t>
      </w:r>
      <w:r w:rsidR="00B44B24" w:rsidRPr="00B44B24">
        <w:rPr>
          <w:sz w:val="26"/>
          <w:szCs w:val="26"/>
        </w:rPr>
        <w:t>em, neatkarīgi no ienākumu gūšanas veida, t.i., 5% VSAOI objektu rēķina un deklarē no gada ienākumiem (kā pašlaik no lauksaimnieciskās ražošanas ienākuma), tādejādi arī mazinot administratīvo slogu un nepalielinot VSAOI slogu.</w:t>
      </w:r>
    </w:p>
    <w:p w14:paraId="23A58D4B" w14:textId="35C5632E" w:rsidR="00860B45" w:rsidRDefault="00860B45" w:rsidP="00860B45">
      <w:pPr>
        <w:pStyle w:val="ListParagraph"/>
        <w:ind w:hanging="360"/>
        <w:jc w:val="center"/>
        <w:rPr>
          <w:b/>
          <w:sz w:val="32"/>
          <w:szCs w:val="28"/>
        </w:rPr>
      </w:pPr>
    </w:p>
    <w:p w14:paraId="707AAD15" w14:textId="6064E017" w:rsidR="00AA606C" w:rsidRDefault="00AA606C" w:rsidP="00AA606C">
      <w:pPr>
        <w:pStyle w:val="Heading2"/>
      </w:pPr>
      <w:bookmarkStart w:id="16" w:name="_Toc33186629"/>
      <w:r>
        <w:t>4.4.</w:t>
      </w:r>
      <w:r>
        <w:tab/>
        <w:t>VSAOI likmes pārdale starp darba devēju un darba ņēmēju</w:t>
      </w:r>
      <w:bookmarkEnd w:id="16"/>
    </w:p>
    <w:p w14:paraId="18F5CD8A" w14:textId="0DD61990" w:rsidR="00AA606C" w:rsidRPr="00AA606C" w:rsidRDefault="00AA606C" w:rsidP="00AA606C">
      <w:pPr>
        <w:ind w:firstLine="709"/>
        <w:jc w:val="both"/>
        <w:rPr>
          <w:sz w:val="26"/>
          <w:szCs w:val="26"/>
        </w:rPr>
      </w:pPr>
      <w:r>
        <w:rPr>
          <w:sz w:val="26"/>
          <w:szCs w:val="26"/>
        </w:rPr>
        <w:t>Nepieciešams turpināt diskusiju par VSAOI likmes pārdali starp darba devēju un darba ņēmēju</w:t>
      </w:r>
      <w:r w:rsidR="00E7036F">
        <w:rPr>
          <w:sz w:val="26"/>
          <w:szCs w:val="26"/>
        </w:rPr>
        <w:t xml:space="preserve"> un saturu</w:t>
      </w:r>
      <w:bookmarkStart w:id="17" w:name="_GoBack"/>
      <w:bookmarkEnd w:id="17"/>
      <w:r>
        <w:rPr>
          <w:sz w:val="26"/>
          <w:szCs w:val="26"/>
        </w:rPr>
        <w:t xml:space="preserve">, lai nodrošinātu līdzekļus veselības aprūpes finansēšanai.  </w:t>
      </w:r>
    </w:p>
    <w:p w14:paraId="6895F977" w14:textId="05E330FA" w:rsidR="00AA606C" w:rsidRDefault="00AA606C" w:rsidP="00AA606C">
      <w:pPr>
        <w:pStyle w:val="Heading2"/>
      </w:pPr>
      <w:bookmarkStart w:id="18" w:name="_Toc33186630"/>
      <w:r>
        <w:t>4.5</w:t>
      </w:r>
      <w:r w:rsidRPr="00CC0A51">
        <w:t xml:space="preserve">. </w:t>
      </w:r>
      <w:r>
        <w:t>Autoratlīdzību saņēmēju loka sašaurināšana</w:t>
      </w:r>
      <w:bookmarkEnd w:id="18"/>
    </w:p>
    <w:p w14:paraId="5C90323B" w14:textId="77777777" w:rsidR="00AA606C" w:rsidRPr="00CC0A51" w:rsidRDefault="00AA606C" w:rsidP="00AA606C">
      <w:pPr>
        <w:pStyle w:val="ListParagraph"/>
        <w:ind w:left="0" w:firstLine="709"/>
        <w:rPr>
          <w:b/>
          <w:sz w:val="26"/>
          <w:szCs w:val="26"/>
        </w:rPr>
      </w:pPr>
      <w:r>
        <w:rPr>
          <w:b/>
          <w:sz w:val="26"/>
          <w:szCs w:val="26"/>
        </w:rPr>
        <w:t xml:space="preserve">Priekšlikums: </w:t>
      </w:r>
      <w:r w:rsidRPr="00E82ACE">
        <w:rPr>
          <w:b/>
          <w:color w:val="FF0000"/>
          <w:sz w:val="26"/>
          <w:szCs w:val="26"/>
        </w:rPr>
        <w:t>nodokļu optimizācijas ierobežošana dažāda veida uzņēmumu līgumus pārdēvējot par autortiesību līgumiem</w:t>
      </w:r>
      <w:r w:rsidRPr="00CC0A51">
        <w:rPr>
          <w:b/>
          <w:sz w:val="26"/>
          <w:szCs w:val="26"/>
        </w:rPr>
        <w:t>.</w:t>
      </w:r>
    </w:p>
    <w:p w14:paraId="22E3DFC5" w14:textId="77777777" w:rsidR="00AA606C" w:rsidRPr="00CC0A51" w:rsidRDefault="00AA606C" w:rsidP="00AA606C">
      <w:pPr>
        <w:pStyle w:val="ListParagraph"/>
        <w:numPr>
          <w:ilvl w:val="0"/>
          <w:numId w:val="4"/>
        </w:numPr>
        <w:spacing w:after="160" w:line="259" w:lineRule="auto"/>
        <w:rPr>
          <w:sz w:val="26"/>
          <w:szCs w:val="26"/>
        </w:rPr>
      </w:pPr>
      <w:r>
        <w:rPr>
          <w:b/>
          <w:sz w:val="26"/>
          <w:szCs w:val="26"/>
        </w:rPr>
        <w:t xml:space="preserve">Kultūras ministrijai </w:t>
      </w:r>
      <w:r w:rsidRPr="00CC0A51">
        <w:rPr>
          <w:b/>
          <w:sz w:val="26"/>
          <w:szCs w:val="26"/>
        </w:rPr>
        <w:t>izvērtēt</w:t>
      </w:r>
      <w:r w:rsidRPr="00CC0A51">
        <w:rPr>
          <w:sz w:val="26"/>
          <w:szCs w:val="26"/>
        </w:rPr>
        <w:t xml:space="preserve"> iespēju sašaurināt Autortiesību likumā noteikto regulējumu attiecībā uz darbiem, kurus var dēvēt par autortiesību objektiem (piem., Autortiesību likuma 4.panta 12.punkts), līdz ar to apšaubāmu autortiesību gadījumā piemērot labvēlīgu nodokļu regulējumu.</w:t>
      </w:r>
    </w:p>
    <w:p w14:paraId="1B0C5658" w14:textId="77777777" w:rsidR="00AA606C" w:rsidRPr="00CC0A51" w:rsidRDefault="00AA606C" w:rsidP="00AA606C">
      <w:pPr>
        <w:pStyle w:val="ListParagraph"/>
        <w:numPr>
          <w:ilvl w:val="0"/>
          <w:numId w:val="4"/>
        </w:numPr>
        <w:spacing w:after="160" w:line="259" w:lineRule="auto"/>
        <w:rPr>
          <w:sz w:val="26"/>
          <w:szCs w:val="26"/>
        </w:rPr>
      </w:pPr>
      <w:r w:rsidRPr="00CC0A51">
        <w:rPr>
          <w:b/>
          <w:sz w:val="26"/>
          <w:szCs w:val="26"/>
        </w:rPr>
        <w:t>Finanšu ministrijai un Labklājības ministrijai</w:t>
      </w:r>
      <w:r>
        <w:rPr>
          <w:sz w:val="26"/>
          <w:szCs w:val="26"/>
        </w:rPr>
        <w:t xml:space="preserve"> </w:t>
      </w:r>
      <w:r w:rsidRPr="00CC0A51">
        <w:rPr>
          <w:sz w:val="26"/>
          <w:szCs w:val="26"/>
        </w:rPr>
        <w:t>izvērtēt Igaunijas praksi autortiesību līgumu ienākuma aplikšanai ar nodokļiem un nepieciešamības gadījumā piedāvāt risinājumu, kas mazina nodokļu optimizācijas shēmas izmantojot formālus autortiesību līgumus.</w:t>
      </w:r>
    </w:p>
    <w:p w14:paraId="43593646" w14:textId="77777777" w:rsidR="00AA606C" w:rsidRPr="00CC0A51" w:rsidRDefault="00AA606C" w:rsidP="00AA606C">
      <w:pPr>
        <w:pStyle w:val="ListParagraph"/>
        <w:ind w:hanging="360"/>
        <w:jc w:val="center"/>
        <w:rPr>
          <w:b/>
          <w:sz w:val="26"/>
          <w:szCs w:val="26"/>
        </w:rPr>
      </w:pPr>
    </w:p>
    <w:p w14:paraId="212A2E5F" w14:textId="77777777" w:rsidR="00FB6397" w:rsidRDefault="00FB6397">
      <w:pPr>
        <w:rPr>
          <w:rFonts w:ascii="Times New Roman Bold" w:eastAsia="Times New Roman" w:hAnsi="Times New Roman Bold" w:cs="Times New Roman"/>
          <w:b/>
          <w:sz w:val="26"/>
          <w:szCs w:val="26"/>
          <w:lang w:eastAsia="lv-LV"/>
        </w:rPr>
      </w:pPr>
      <w:r>
        <w:rPr>
          <w:sz w:val="26"/>
          <w:szCs w:val="26"/>
        </w:rPr>
        <w:br w:type="page"/>
      </w:r>
    </w:p>
    <w:p w14:paraId="6A41A7DC" w14:textId="77777777" w:rsidR="007000F3" w:rsidRDefault="007000F3" w:rsidP="00D17EF0">
      <w:pPr>
        <w:pStyle w:val="Heading1"/>
        <w:spacing w:after="240" w:afterAutospacing="0"/>
      </w:pPr>
      <w:bookmarkStart w:id="19" w:name="_Toc33186631"/>
      <w:r>
        <w:lastRenderedPageBreak/>
        <w:t>5. Nekustamā īpašuma nodoklis</w:t>
      </w:r>
      <w:bookmarkEnd w:id="19"/>
    </w:p>
    <w:p w14:paraId="73D18959" w14:textId="5150868E" w:rsidR="007000F3" w:rsidRPr="00822F46" w:rsidRDefault="007000F3" w:rsidP="00D17EF0">
      <w:pPr>
        <w:spacing w:after="80"/>
        <w:jc w:val="both"/>
        <w:rPr>
          <w:sz w:val="26"/>
          <w:szCs w:val="26"/>
          <w:lang w:eastAsia="lv-LV"/>
        </w:rPr>
      </w:pPr>
      <w:r>
        <w:rPr>
          <w:lang w:eastAsia="lv-LV"/>
        </w:rPr>
        <w:tab/>
      </w:r>
      <w:r w:rsidRPr="00822F46">
        <w:rPr>
          <w:sz w:val="26"/>
          <w:szCs w:val="26"/>
          <w:lang w:eastAsia="lv-LV"/>
        </w:rPr>
        <w:t xml:space="preserve">Nekustamā īpašuma nodokļa (turpmāk – NĪN) bāze ir kadastrālās vērtības. </w:t>
      </w:r>
      <w:r w:rsidR="00822F46">
        <w:rPr>
          <w:sz w:val="26"/>
          <w:szCs w:val="26"/>
          <w:lang w:eastAsia="lv-LV"/>
        </w:rPr>
        <w:t>S</w:t>
      </w:r>
      <w:r w:rsidR="00822F46" w:rsidRPr="00822F46">
        <w:rPr>
          <w:sz w:val="26"/>
          <w:szCs w:val="26"/>
        </w:rPr>
        <w:t xml:space="preserve">askaņā ar </w:t>
      </w:r>
      <w:r w:rsidR="00822F46" w:rsidRPr="00AA606C">
        <w:rPr>
          <w:i/>
          <w:sz w:val="26"/>
          <w:szCs w:val="26"/>
        </w:rPr>
        <w:t>Nekustāmā īpašuma valsts kadastra likuma</w:t>
      </w:r>
      <w:r w:rsidR="00822F46" w:rsidRPr="00822F46">
        <w:rPr>
          <w:sz w:val="26"/>
          <w:szCs w:val="26"/>
        </w:rPr>
        <w:t xml:space="preserve"> 66. pantu kadastrālā vērtēšana ir saskaņā ar normatīvo aktu principiem īstenotu darbību kopums, lai noteiktu kadastra objektu vērtību, kas izmantojama normatīvajos aktos noteiktajām vajadzībām. Kadastrālās vērtēšanas process ietver gan kadastrālo vērtību bāzes izstrādi, gan kadastrālās vērtības aprēķinu. Vienlaikus ir noteikts, ka kadastrālo vērtēšanu veic Valsts zemes dienests.</w:t>
      </w:r>
    </w:p>
    <w:p w14:paraId="488F00C9" w14:textId="77777777" w:rsidR="007000F3" w:rsidRDefault="007000F3" w:rsidP="007000F3">
      <w:pPr>
        <w:ind w:firstLine="720"/>
        <w:jc w:val="both"/>
        <w:rPr>
          <w:sz w:val="26"/>
          <w:szCs w:val="26"/>
        </w:rPr>
      </w:pPr>
      <w:r w:rsidRPr="00B01120">
        <w:rPr>
          <w:sz w:val="26"/>
          <w:szCs w:val="26"/>
        </w:rPr>
        <w:t>2019.gada 11.oktobra M</w:t>
      </w:r>
      <w:r w:rsidR="00D17EF0">
        <w:rPr>
          <w:sz w:val="26"/>
          <w:szCs w:val="26"/>
        </w:rPr>
        <w:t>inistri kabineta</w:t>
      </w:r>
      <w:r w:rsidRPr="00B01120">
        <w:rPr>
          <w:sz w:val="26"/>
          <w:szCs w:val="26"/>
        </w:rPr>
        <w:t xml:space="preserve"> sēdē (prot. Nr.47 1.§), izskatot </w:t>
      </w:r>
      <w:r w:rsidRPr="00B01120">
        <w:rPr>
          <w:sz w:val="26"/>
          <w:szCs w:val="26"/>
          <w:lang w:eastAsia="lv-LV"/>
        </w:rPr>
        <w:t>Tieslietu ministrijas</w:t>
      </w:r>
      <w:r>
        <w:rPr>
          <w:sz w:val="26"/>
          <w:szCs w:val="26"/>
          <w:lang w:eastAsia="lv-LV"/>
        </w:rPr>
        <w:t xml:space="preserve"> </w:t>
      </w:r>
      <w:r w:rsidRPr="00B01120">
        <w:rPr>
          <w:sz w:val="26"/>
          <w:szCs w:val="26"/>
        </w:rPr>
        <w:t xml:space="preserve">iesniegtos priekšlikumus likumprojekta </w:t>
      </w:r>
      <w:r w:rsidRPr="00B01120">
        <w:rPr>
          <w:i/>
          <w:sz w:val="26"/>
          <w:szCs w:val="26"/>
        </w:rPr>
        <w:t>"Grozījumi Nekustamā īpašuma valsts kadastra likumā"</w:t>
      </w:r>
      <w:r w:rsidRPr="00B01120">
        <w:rPr>
          <w:sz w:val="26"/>
          <w:szCs w:val="26"/>
        </w:rPr>
        <w:t xml:space="preserve"> izskatīšanai Saeimā otrajā lasījumā, tika noteikts, ka</w:t>
      </w:r>
      <w:r>
        <w:rPr>
          <w:sz w:val="26"/>
          <w:szCs w:val="26"/>
        </w:rPr>
        <w:t>:</w:t>
      </w:r>
    </w:p>
    <w:p w14:paraId="311DF6C3" w14:textId="77777777" w:rsidR="007000F3" w:rsidRDefault="007000F3" w:rsidP="007000F3">
      <w:pPr>
        <w:pStyle w:val="ListParagraph"/>
        <w:numPr>
          <w:ilvl w:val="0"/>
          <w:numId w:val="39"/>
        </w:numPr>
        <w:ind w:left="993" w:hanging="284"/>
        <w:rPr>
          <w:sz w:val="26"/>
          <w:szCs w:val="26"/>
        </w:rPr>
      </w:pPr>
      <w:r w:rsidRPr="006F6706">
        <w:rPr>
          <w:b/>
          <w:sz w:val="26"/>
          <w:szCs w:val="26"/>
        </w:rPr>
        <w:t>T</w:t>
      </w:r>
      <w:r>
        <w:rPr>
          <w:b/>
          <w:sz w:val="26"/>
          <w:szCs w:val="26"/>
        </w:rPr>
        <w:t>ieslietu ministrijai</w:t>
      </w:r>
      <w:r w:rsidRPr="006F6706">
        <w:rPr>
          <w:sz w:val="26"/>
          <w:szCs w:val="26"/>
        </w:rPr>
        <w:t xml:space="preserve"> </w:t>
      </w:r>
      <w:r w:rsidRPr="006F6706">
        <w:rPr>
          <w:b/>
          <w:sz w:val="26"/>
          <w:szCs w:val="26"/>
        </w:rPr>
        <w:t>līdz 2020.gada 15.jūnijam</w:t>
      </w:r>
      <w:r w:rsidRPr="006F6706">
        <w:rPr>
          <w:sz w:val="26"/>
          <w:szCs w:val="26"/>
        </w:rPr>
        <w:t xml:space="preserve"> </w:t>
      </w:r>
      <w:r>
        <w:rPr>
          <w:sz w:val="26"/>
          <w:szCs w:val="26"/>
        </w:rPr>
        <w:t>jā</w:t>
      </w:r>
      <w:r w:rsidRPr="006F6706">
        <w:rPr>
          <w:sz w:val="26"/>
          <w:szCs w:val="26"/>
        </w:rPr>
        <w:t xml:space="preserve">iesniedz izskatīšanai </w:t>
      </w:r>
      <w:r w:rsidRPr="00B01120">
        <w:rPr>
          <w:sz w:val="26"/>
          <w:szCs w:val="26"/>
        </w:rPr>
        <w:t>Ministru kabinet</w:t>
      </w:r>
      <w:r>
        <w:rPr>
          <w:sz w:val="26"/>
          <w:szCs w:val="26"/>
        </w:rPr>
        <w:t>ā</w:t>
      </w:r>
      <w:r w:rsidRPr="00B01120">
        <w:rPr>
          <w:sz w:val="26"/>
          <w:szCs w:val="26"/>
        </w:rPr>
        <w:t xml:space="preserve"> </w:t>
      </w:r>
      <w:r w:rsidRPr="006F6706">
        <w:rPr>
          <w:sz w:val="26"/>
          <w:szCs w:val="26"/>
        </w:rPr>
        <w:t>normatīvo aktu projektu, kas nodrošina kadastrālo vērtību bāzi 2022.–2025.gadam, kuru piemēro kadastrālās vērtības aprēķinam no 2022.gada 1.janvāra un nodrošina prognozēto kadastrālo vērtību publisko pieejamību pārskatāmā veidā (3.punkts)</w:t>
      </w:r>
      <w:r>
        <w:rPr>
          <w:sz w:val="26"/>
          <w:szCs w:val="26"/>
        </w:rPr>
        <w:t>;</w:t>
      </w:r>
    </w:p>
    <w:p w14:paraId="65906536" w14:textId="77777777" w:rsidR="007000F3" w:rsidRDefault="007000F3" w:rsidP="007000F3">
      <w:pPr>
        <w:pStyle w:val="ListParagraph"/>
        <w:numPr>
          <w:ilvl w:val="0"/>
          <w:numId w:val="39"/>
        </w:numPr>
        <w:ind w:left="992" w:hanging="284"/>
        <w:rPr>
          <w:sz w:val="26"/>
          <w:szCs w:val="26"/>
        </w:rPr>
      </w:pPr>
      <w:r w:rsidRPr="006F6706">
        <w:rPr>
          <w:b/>
          <w:sz w:val="26"/>
          <w:szCs w:val="26"/>
        </w:rPr>
        <w:t>F</w:t>
      </w:r>
      <w:r>
        <w:rPr>
          <w:b/>
          <w:sz w:val="26"/>
          <w:szCs w:val="26"/>
        </w:rPr>
        <w:t>inanšu ministrijai</w:t>
      </w:r>
      <w:r w:rsidRPr="006F6706">
        <w:rPr>
          <w:b/>
          <w:sz w:val="26"/>
          <w:szCs w:val="26"/>
        </w:rPr>
        <w:t xml:space="preserve"> </w:t>
      </w:r>
      <w:r>
        <w:rPr>
          <w:b/>
          <w:sz w:val="26"/>
          <w:szCs w:val="26"/>
        </w:rPr>
        <w:t>jā</w:t>
      </w:r>
      <w:r w:rsidRPr="006F6706">
        <w:rPr>
          <w:b/>
          <w:sz w:val="26"/>
          <w:szCs w:val="26"/>
        </w:rPr>
        <w:t>izstrādā un 12 mēnešu laikā</w:t>
      </w:r>
      <w:r w:rsidRPr="006F6706">
        <w:rPr>
          <w:sz w:val="26"/>
          <w:szCs w:val="26"/>
        </w:rPr>
        <w:t xml:space="preserve"> </w:t>
      </w:r>
      <w:r>
        <w:rPr>
          <w:sz w:val="26"/>
          <w:szCs w:val="26"/>
        </w:rPr>
        <w:t xml:space="preserve">(tātad – </w:t>
      </w:r>
      <w:r w:rsidRPr="00B01120">
        <w:rPr>
          <w:b/>
          <w:sz w:val="26"/>
          <w:szCs w:val="26"/>
        </w:rPr>
        <w:t>līdz 2021.gada 15.jūnijam</w:t>
      </w:r>
      <w:r>
        <w:rPr>
          <w:b/>
          <w:sz w:val="26"/>
          <w:szCs w:val="26"/>
        </w:rPr>
        <w:t>)</w:t>
      </w:r>
      <w:r w:rsidRPr="006F6706">
        <w:rPr>
          <w:sz w:val="26"/>
          <w:szCs w:val="26"/>
        </w:rPr>
        <w:t xml:space="preserve"> pēc </w:t>
      </w:r>
      <w:r w:rsidRPr="00B01120">
        <w:rPr>
          <w:sz w:val="26"/>
          <w:szCs w:val="26"/>
        </w:rPr>
        <w:t>Ministru kabinet</w:t>
      </w:r>
      <w:r>
        <w:rPr>
          <w:sz w:val="26"/>
          <w:szCs w:val="26"/>
        </w:rPr>
        <w:t>a</w:t>
      </w:r>
      <w:r w:rsidRPr="00B01120">
        <w:rPr>
          <w:sz w:val="26"/>
          <w:szCs w:val="26"/>
        </w:rPr>
        <w:t xml:space="preserve"> </w:t>
      </w:r>
      <w:r w:rsidRPr="006F6706">
        <w:rPr>
          <w:sz w:val="26"/>
          <w:szCs w:val="26"/>
        </w:rPr>
        <w:t xml:space="preserve">noteikumu par kadastrālo vērtību bāzes apstiprināšanas </w:t>
      </w:r>
      <w:r>
        <w:rPr>
          <w:sz w:val="26"/>
          <w:szCs w:val="26"/>
        </w:rPr>
        <w:t>jā</w:t>
      </w:r>
      <w:r w:rsidRPr="006F6706">
        <w:rPr>
          <w:sz w:val="26"/>
          <w:szCs w:val="26"/>
        </w:rPr>
        <w:t>iesnie</w:t>
      </w:r>
      <w:r>
        <w:rPr>
          <w:sz w:val="26"/>
          <w:szCs w:val="26"/>
        </w:rPr>
        <w:t>dz</w:t>
      </w:r>
      <w:r w:rsidRPr="006F6706">
        <w:rPr>
          <w:sz w:val="26"/>
          <w:szCs w:val="26"/>
        </w:rPr>
        <w:t xml:space="preserve"> izskatīšanai </w:t>
      </w:r>
      <w:r w:rsidRPr="00B01120">
        <w:rPr>
          <w:sz w:val="26"/>
          <w:szCs w:val="26"/>
        </w:rPr>
        <w:t>Ministru kabinet</w:t>
      </w:r>
      <w:r>
        <w:rPr>
          <w:sz w:val="26"/>
          <w:szCs w:val="26"/>
        </w:rPr>
        <w:t>ā</w:t>
      </w:r>
      <w:r w:rsidRPr="00B01120">
        <w:rPr>
          <w:sz w:val="26"/>
          <w:szCs w:val="26"/>
        </w:rPr>
        <w:t xml:space="preserve"> </w:t>
      </w:r>
      <w:r w:rsidRPr="006F6706">
        <w:rPr>
          <w:sz w:val="26"/>
          <w:szCs w:val="26"/>
        </w:rPr>
        <w:t xml:space="preserve">grozījumus likumā </w:t>
      </w:r>
      <w:r w:rsidRPr="006F6706">
        <w:rPr>
          <w:i/>
          <w:sz w:val="26"/>
          <w:szCs w:val="26"/>
        </w:rPr>
        <w:t>"Par nekustamā īpašuma nodokli"</w:t>
      </w:r>
      <w:r w:rsidRPr="006F6706">
        <w:rPr>
          <w:sz w:val="26"/>
          <w:szCs w:val="26"/>
        </w:rPr>
        <w:t xml:space="preserve">, kas nodrošinātu samērīgu </w:t>
      </w:r>
      <w:r>
        <w:rPr>
          <w:sz w:val="26"/>
          <w:szCs w:val="26"/>
        </w:rPr>
        <w:t>NĪN</w:t>
      </w:r>
      <w:r w:rsidRPr="006F6706">
        <w:rPr>
          <w:sz w:val="26"/>
          <w:szCs w:val="26"/>
        </w:rPr>
        <w:t xml:space="preserve"> (4.punkts).</w:t>
      </w:r>
    </w:p>
    <w:p w14:paraId="475D6EEE" w14:textId="77777777" w:rsidR="00B30B4F" w:rsidRDefault="00B30B4F" w:rsidP="0056420A">
      <w:pPr>
        <w:ind w:firstLine="720"/>
        <w:jc w:val="both"/>
        <w:rPr>
          <w:sz w:val="26"/>
          <w:szCs w:val="26"/>
        </w:rPr>
      </w:pPr>
    </w:p>
    <w:p w14:paraId="6F87C8AB" w14:textId="4D0C3472" w:rsidR="007000F3" w:rsidRPr="00AB1EE7" w:rsidRDefault="007000F3" w:rsidP="00B30B4F">
      <w:pPr>
        <w:spacing w:after="120"/>
        <w:ind w:firstLine="720"/>
        <w:jc w:val="both"/>
        <w:rPr>
          <w:sz w:val="26"/>
          <w:szCs w:val="26"/>
        </w:rPr>
      </w:pPr>
      <w:r>
        <w:rPr>
          <w:sz w:val="26"/>
          <w:szCs w:val="26"/>
        </w:rPr>
        <w:t>NĪN</w:t>
      </w:r>
      <w:r w:rsidRPr="00B01120">
        <w:rPr>
          <w:sz w:val="26"/>
          <w:szCs w:val="26"/>
        </w:rPr>
        <w:t xml:space="preserve"> politikas pilnveidošana ir atkarīga no </w:t>
      </w:r>
      <w:r w:rsidRPr="00B01120">
        <w:rPr>
          <w:sz w:val="26"/>
          <w:szCs w:val="26"/>
          <w:lang w:eastAsia="lv-LV"/>
        </w:rPr>
        <w:t>Tieslietu ministrija</w:t>
      </w:r>
      <w:r>
        <w:rPr>
          <w:sz w:val="26"/>
          <w:szCs w:val="26"/>
          <w:lang w:eastAsia="lv-LV"/>
        </w:rPr>
        <w:t xml:space="preserve">i </w:t>
      </w:r>
      <w:r w:rsidRPr="00B01120">
        <w:rPr>
          <w:sz w:val="26"/>
          <w:szCs w:val="26"/>
        </w:rPr>
        <w:t xml:space="preserve">dotā uzdevuma (izstrādāt normatīvo aktu projektus, lai nodrošinātu kadastrālo vērtību metodikas pilnveidošanu) izpildes termiņa. Jauno kadastrālo vērtību noteikšanas metodika patreiz vēl nav apstiprināta. </w:t>
      </w:r>
      <w:r w:rsidRPr="00B01120">
        <w:rPr>
          <w:sz w:val="26"/>
          <w:szCs w:val="26"/>
          <w:lang w:eastAsia="lv-LV"/>
        </w:rPr>
        <w:t>Tieslietu ministrija</w:t>
      </w:r>
      <w:r>
        <w:rPr>
          <w:sz w:val="26"/>
          <w:szCs w:val="26"/>
          <w:lang w:eastAsia="lv-LV"/>
        </w:rPr>
        <w:t xml:space="preserve">s </w:t>
      </w:r>
      <w:r w:rsidRPr="00B01120">
        <w:rPr>
          <w:sz w:val="26"/>
          <w:szCs w:val="26"/>
        </w:rPr>
        <w:t>sagatavotais Ministru kabinet</w:t>
      </w:r>
      <w:r>
        <w:rPr>
          <w:sz w:val="26"/>
          <w:szCs w:val="26"/>
        </w:rPr>
        <w:t>a</w:t>
      </w:r>
      <w:r w:rsidRPr="00B01120">
        <w:rPr>
          <w:sz w:val="26"/>
          <w:szCs w:val="26"/>
        </w:rPr>
        <w:t xml:space="preserve"> noteikumu projekts </w:t>
      </w:r>
      <w:r w:rsidR="00AB1EE7">
        <w:rPr>
          <w:sz w:val="26"/>
          <w:szCs w:val="26"/>
        </w:rPr>
        <w:t>18</w:t>
      </w:r>
      <w:r w:rsidRPr="00B01120">
        <w:rPr>
          <w:sz w:val="26"/>
          <w:szCs w:val="26"/>
        </w:rPr>
        <w:t>.0</w:t>
      </w:r>
      <w:r w:rsidR="00AB1EE7">
        <w:rPr>
          <w:sz w:val="26"/>
          <w:szCs w:val="26"/>
        </w:rPr>
        <w:t>2</w:t>
      </w:r>
      <w:r w:rsidRPr="00B01120">
        <w:rPr>
          <w:sz w:val="26"/>
          <w:szCs w:val="26"/>
        </w:rPr>
        <w:t xml:space="preserve">.2020. atkārtoti izskatīts VSS (VSS-493). </w:t>
      </w:r>
    </w:p>
    <w:p w14:paraId="472A3238" w14:textId="77777777" w:rsidR="00A67D96" w:rsidRPr="00A67D96" w:rsidRDefault="007000F3" w:rsidP="0056420A">
      <w:pPr>
        <w:jc w:val="both"/>
        <w:rPr>
          <w:b/>
          <w:sz w:val="26"/>
          <w:szCs w:val="26"/>
          <w:lang w:eastAsia="lv-LV"/>
        </w:rPr>
      </w:pPr>
      <w:r w:rsidRPr="00B01120">
        <w:rPr>
          <w:sz w:val="26"/>
          <w:szCs w:val="26"/>
          <w:lang w:eastAsia="lv-LV"/>
        </w:rPr>
        <w:tab/>
        <w:t xml:space="preserve">Ņemot vērā </w:t>
      </w:r>
      <w:r w:rsidRPr="00771B5F">
        <w:rPr>
          <w:sz w:val="26"/>
          <w:szCs w:val="26"/>
          <w:lang w:eastAsia="lv-LV"/>
        </w:rPr>
        <w:t xml:space="preserve">iepriekš minēto, </w:t>
      </w:r>
      <w:r w:rsidRPr="00771B5F">
        <w:rPr>
          <w:sz w:val="26"/>
          <w:szCs w:val="26"/>
        </w:rPr>
        <w:t>Finanšu ministrija</w:t>
      </w:r>
      <w:r w:rsidRPr="00771B5F">
        <w:rPr>
          <w:b/>
          <w:sz w:val="26"/>
          <w:szCs w:val="26"/>
        </w:rPr>
        <w:t xml:space="preserve"> </w:t>
      </w:r>
      <w:r w:rsidRPr="00771B5F">
        <w:rPr>
          <w:sz w:val="26"/>
          <w:szCs w:val="26"/>
          <w:lang w:eastAsia="lv-LV"/>
        </w:rPr>
        <w:t xml:space="preserve">savu darbu plāno atbilstoši </w:t>
      </w:r>
      <w:r w:rsidRPr="00771B5F">
        <w:rPr>
          <w:sz w:val="26"/>
          <w:szCs w:val="26"/>
        </w:rPr>
        <w:t>Ministru kabinetā</w:t>
      </w:r>
      <w:r w:rsidRPr="00771B5F">
        <w:rPr>
          <w:sz w:val="26"/>
          <w:szCs w:val="26"/>
          <w:lang w:eastAsia="lv-LV"/>
        </w:rPr>
        <w:t xml:space="preserve"> lemtajam.</w:t>
      </w:r>
      <w:r w:rsidR="0056420A" w:rsidRPr="00771B5F">
        <w:rPr>
          <w:sz w:val="26"/>
          <w:szCs w:val="26"/>
          <w:lang w:eastAsia="lv-LV"/>
        </w:rPr>
        <w:t xml:space="preserve"> </w:t>
      </w:r>
      <w:r w:rsidR="00A67D96" w:rsidRPr="00771B5F">
        <w:rPr>
          <w:b/>
          <w:sz w:val="26"/>
          <w:szCs w:val="26"/>
          <w:lang w:eastAsia="lv-LV"/>
        </w:rPr>
        <w:t xml:space="preserve">Atbilstoši Ministru kabinetā lemtajam </w:t>
      </w:r>
      <w:r w:rsidR="0056420A" w:rsidRPr="00771B5F">
        <w:rPr>
          <w:b/>
          <w:sz w:val="26"/>
          <w:szCs w:val="26"/>
          <w:lang w:eastAsia="lv-LV"/>
        </w:rPr>
        <w:t>gan jaunās kadastrālās vērtības</w:t>
      </w:r>
      <w:r w:rsidR="002F4408" w:rsidRPr="00771B5F">
        <w:rPr>
          <w:b/>
          <w:sz w:val="26"/>
          <w:szCs w:val="26"/>
          <w:lang w:eastAsia="lv-LV"/>
        </w:rPr>
        <w:t xml:space="preserve"> nodokļu vajadzībām</w:t>
      </w:r>
      <w:r w:rsidR="0056420A" w:rsidRPr="00771B5F">
        <w:rPr>
          <w:b/>
          <w:sz w:val="26"/>
          <w:szCs w:val="26"/>
          <w:lang w:eastAsia="lv-LV"/>
        </w:rPr>
        <w:t>, gan izmaiņas nekustamā īpašuma nodokļa politikā stāsies spēkā ar 2022.gada 1.janv</w:t>
      </w:r>
      <w:r w:rsidR="002F4408" w:rsidRPr="00771B5F">
        <w:rPr>
          <w:b/>
          <w:sz w:val="26"/>
          <w:szCs w:val="26"/>
          <w:lang w:eastAsia="lv-LV"/>
        </w:rPr>
        <w:t>āri, atvēlot pietiekamu laiku tās izstrādei un saskaņošanai.</w:t>
      </w:r>
    </w:p>
    <w:p w14:paraId="38D56FFA" w14:textId="77777777" w:rsidR="0056420A" w:rsidRPr="008416F5" w:rsidRDefault="007000F3" w:rsidP="0056420A">
      <w:pPr>
        <w:ind w:left="993" w:hanging="284"/>
        <w:jc w:val="both"/>
        <w:rPr>
          <w:sz w:val="16"/>
          <w:szCs w:val="16"/>
        </w:rPr>
      </w:pPr>
      <w:r w:rsidRPr="00B01120">
        <w:rPr>
          <w:sz w:val="26"/>
          <w:szCs w:val="26"/>
          <w:lang w:eastAsia="lv-LV"/>
        </w:rPr>
        <w:tab/>
      </w:r>
    </w:p>
    <w:p w14:paraId="6F35974B" w14:textId="77777777" w:rsidR="007000F3" w:rsidRDefault="007000F3" w:rsidP="0056420A">
      <w:pPr>
        <w:ind w:firstLine="709"/>
        <w:jc w:val="both"/>
        <w:rPr>
          <w:sz w:val="26"/>
          <w:szCs w:val="26"/>
        </w:rPr>
      </w:pPr>
      <w:r w:rsidRPr="00B01120">
        <w:rPr>
          <w:sz w:val="26"/>
          <w:szCs w:val="26"/>
          <w:lang w:eastAsia="lv-LV"/>
        </w:rPr>
        <w:t xml:space="preserve">Savukārt </w:t>
      </w:r>
      <w:r w:rsidRPr="00B01120">
        <w:rPr>
          <w:sz w:val="26"/>
          <w:szCs w:val="26"/>
        </w:rPr>
        <w:t xml:space="preserve">Tieslietu ministrija </w:t>
      </w:r>
      <w:r>
        <w:rPr>
          <w:sz w:val="26"/>
          <w:szCs w:val="26"/>
        </w:rPr>
        <w:t>aicina:</w:t>
      </w:r>
    </w:p>
    <w:p w14:paraId="75FA1167" w14:textId="77777777" w:rsidR="007000F3" w:rsidRDefault="007000F3" w:rsidP="0056420A">
      <w:pPr>
        <w:tabs>
          <w:tab w:val="left" w:pos="1134"/>
        </w:tabs>
        <w:ind w:left="1134" w:hanging="425"/>
        <w:jc w:val="both"/>
        <w:rPr>
          <w:sz w:val="26"/>
          <w:szCs w:val="26"/>
        </w:rPr>
      </w:pPr>
      <w:r w:rsidRPr="006F6706">
        <w:rPr>
          <w:sz w:val="26"/>
          <w:szCs w:val="26"/>
        </w:rPr>
        <w:t xml:space="preserve">1) </w:t>
      </w:r>
      <w:r>
        <w:rPr>
          <w:sz w:val="26"/>
          <w:szCs w:val="26"/>
        </w:rPr>
        <w:tab/>
      </w:r>
      <w:r w:rsidRPr="006F6706">
        <w:rPr>
          <w:sz w:val="26"/>
          <w:szCs w:val="26"/>
        </w:rPr>
        <w:t xml:space="preserve">līdz 2020.gada 1.jūnijam apstiprināt Tieslietu ministrijas sagatavotos likumprojektus – </w:t>
      </w:r>
      <w:r w:rsidRPr="006F6706">
        <w:rPr>
          <w:i/>
          <w:sz w:val="26"/>
          <w:szCs w:val="26"/>
        </w:rPr>
        <w:t>“Grozījumi Nekustamā īpašuma valsts kadastra likumā”</w:t>
      </w:r>
      <w:r w:rsidRPr="006F6706">
        <w:rPr>
          <w:sz w:val="26"/>
          <w:szCs w:val="26"/>
        </w:rPr>
        <w:t xml:space="preserve"> un </w:t>
      </w:r>
      <w:r w:rsidRPr="006F6706">
        <w:rPr>
          <w:i/>
          <w:sz w:val="26"/>
          <w:szCs w:val="26"/>
        </w:rPr>
        <w:t>“Grozījumi likumā “Par nekustamā īpašuma nodokli”</w:t>
      </w:r>
      <w:r>
        <w:rPr>
          <w:i/>
          <w:sz w:val="26"/>
          <w:szCs w:val="26"/>
        </w:rPr>
        <w:t>,</w:t>
      </w:r>
      <w:r w:rsidRPr="006F6706">
        <w:rPr>
          <w:sz w:val="26"/>
          <w:szCs w:val="26"/>
        </w:rPr>
        <w:t xml:space="preserve">  kas paredz neapliekamā minimuma ieviešanu </w:t>
      </w:r>
      <w:r>
        <w:rPr>
          <w:sz w:val="26"/>
          <w:szCs w:val="26"/>
        </w:rPr>
        <w:t>NĪN</w:t>
      </w:r>
      <w:r w:rsidRPr="006F6706">
        <w:rPr>
          <w:sz w:val="26"/>
          <w:szCs w:val="26"/>
        </w:rPr>
        <w:t xml:space="preserve"> aprēķinā primārajam mājoklim</w:t>
      </w:r>
      <w:r>
        <w:rPr>
          <w:sz w:val="26"/>
          <w:szCs w:val="26"/>
        </w:rPr>
        <w:t>,</w:t>
      </w:r>
      <w:r w:rsidRPr="006F6706">
        <w:rPr>
          <w:sz w:val="26"/>
          <w:szCs w:val="26"/>
        </w:rPr>
        <w:t xml:space="preserve"> sākot no 2022.gada 1.janvāra</w:t>
      </w:r>
      <w:r>
        <w:rPr>
          <w:sz w:val="26"/>
          <w:szCs w:val="26"/>
        </w:rPr>
        <w:t>;</w:t>
      </w:r>
    </w:p>
    <w:p w14:paraId="157A91AF" w14:textId="77777777" w:rsidR="007000F3" w:rsidRPr="006F6706" w:rsidRDefault="007000F3" w:rsidP="0056420A">
      <w:pPr>
        <w:tabs>
          <w:tab w:val="left" w:pos="1134"/>
        </w:tabs>
        <w:ind w:left="1134" w:hanging="425"/>
        <w:jc w:val="both"/>
        <w:rPr>
          <w:sz w:val="26"/>
          <w:szCs w:val="26"/>
        </w:rPr>
      </w:pPr>
      <w:r w:rsidRPr="006F6706">
        <w:rPr>
          <w:sz w:val="26"/>
          <w:szCs w:val="26"/>
        </w:rPr>
        <w:t xml:space="preserve"> 2) </w:t>
      </w:r>
      <w:r>
        <w:rPr>
          <w:sz w:val="26"/>
          <w:szCs w:val="26"/>
        </w:rPr>
        <w:tab/>
      </w:r>
      <w:r w:rsidRPr="006F6706">
        <w:rPr>
          <w:sz w:val="26"/>
          <w:szCs w:val="26"/>
        </w:rPr>
        <w:t xml:space="preserve">2020.gada otrajā pusē pārskatīt </w:t>
      </w:r>
      <w:r>
        <w:rPr>
          <w:sz w:val="26"/>
          <w:szCs w:val="26"/>
        </w:rPr>
        <w:t>NĪN</w:t>
      </w:r>
      <w:r w:rsidRPr="006F6706">
        <w:rPr>
          <w:sz w:val="26"/>
          <w:szCs w:val="26"/>
        </w:rPr>
        <w:t xml:space="preserve"> likmes nekustamajiem īpa</w:t>
      </w:r>
      <w:r>
        <w:rPr>
          <w:sz w:val="26"/>
          <w:szCs w:val="26"/>
        </w:rPr>
        <w:softHyphen/>
      </w:r>
      <w:r w:rsidRPr="006F6706">
        <w:rPr>
          <w:sz w:val="26"/>
          <w:szCs w:val="26"/>
        </w:rPr>
        <w:t>šu</w:t>
      </w:r>
      <w:r>
        <w:rPr>
          <w:sz w:val="26"/>
          <w:szCs w:val="26"/>
        </w:rPr>
        <w:softHyphen/>
      </w:r>
      <w:r w:rsidRPr="006F6706">
        <w:rPr>
          <w:sz w:val="26"/>
          <w:szCs w:val="26"/>
        </w:rPr>
        <w:t>miem ar citiem lietošanas mērķiem, piemēram, ražošanas telpām.</w:t>
      </w:r>
    </w:p>
    <w:p w14:paraId="0A28986A" w14:textId="77777777" w:rsidR="00B30B4F" w:rsidRDefault="00B30B4F" w:rsidP="00B30B4F">
      <w:pPr>
        <w:spacing w:after="120"/>
        <w:ind w:firstLine="709"/>
        <w:jc w:val="both"/>
        <w:rPr>
          <w:b/>
          <w:sz w:val="26"/>
          <w:szCs w:val="26"/>
        </w:rPr>
      </w:pPr>
    </w:p>
    <w:p w14:paraId="32264590" w14:textId="50E31145" w:rsidR="00AB1EE7" w:rsidRPr="00AB1EE7" w:rsidRDefault="00AB1EE7" w:rsidP="00AB1EE7">
      <w:pPr>
        <w:spacing w:after="120"/>
        <w:ind w:firstLine="709"/>
        <w:jc w:val="both"/>
        <w:rPr>
          <w:sz w:val="26"/>
          <w:szCs w:val="26"/>
        </w:rPr>
      </w:pPr>
      <w:r w:rsidRPr="000447BF">
        <w:rPr>
          <w:b/>
          <w:sz w:val="26"/>
          <w:szCs w:val="26"/>
        </w:rPr>
        <w:lastRenderedPageBreak/>
        <w:t xml:space="preserve">Saskaņā ar Tieslietu ministrijas un Valsts zemes dienesta </w:t>
      </w:r>
      <w:r w:rsidR="000447BF" w:rsidRPr="000447BF">
        <w:rPr>
          <w:b/>
          <w:sz w:val="26"/>
          <w:szCs w:val="26"/>
        </w:rPr>
        <w:t xml:space="preserve">provizoriskajiem </w:t>
      </w:r>
      <w:r w:rsidRPr="000447BF">
        <w:rPr>
          <w:b/>
          <w:sz w:val="26"/>
          <w:szCs w:val="26"/>
        </w:rPr>
        <w:t>aprēķiniem</w:t>
      </w:r>
      <w:r w:rsidRPr="00AB1EE7">
        <w:rPr>
          <w:sz w:val="26"/>
          <w:szCs w:val="26"/>
        </w:rPr>
        <w:t xml:space="preserve"> pašvaldību kopējie ieņēmumi no NĪN 2022. gadā, salīdzinot ar 2018. gadu, ja tiek apstiprināts Tieslietu ministrijas likumprojektos ietvertais piedāvājums par neapliekamo minimumu primārajiem mājokļiem, nesamazināsies. Pie vispesimistiskākā scenārija kopējie ieņēmumi pieaugs par 14 milj. </w:t>
      </w:r>
      <w:r w:rsidRPr="00AB1EE7">
        <w:rPr>
          <w:i/>
          <w:iCs/>
          <w:sz w:val="26"/>
          <w:szCs w:val="26"/>
        </w:rPr>
        <w:t>euro</w:t>
      </w:r>
      <w:r w:rsidRPr="00AB1EE7">
        <w:rPr>
          <w:sz w:val="26"/>
          <w:szCs w:val="26"/>
        </w:rPr>
        <w:t xml:space="preserve">. Kopējie ieņēmumi no NĪN par mājokļiem 2022.gadā pie vispesimistiskākā scenārija varētu samazināties par 33 milj. </w:t>
      </w:r>
      <w:r w:rsidRPr="00AB1EE7">
        <w:rPr>
          <w:i/>
          <w:iCs/>
          <w:sz w:val="26"/>
          <w:szCs w:val="26"/>
        </w:rPr>
        <w:t>euro</w:t>
      </w:r>
      <w:r w:rsidRPr="00AB1EE7">
        <w:rPr>
          <w:sz w:val="26"/>
          <w:szCs w:val="26"/>
        </w:rPr>
        <w:t xml:space="preserve">, bet ieņēmumi no NĪN par zemi par 14 milj. </w:t>
      </w:r>
      <w:r w:rsidRPr="00AB1EE7">
        <w:rPr>
          <w:i/>
          <w:iCs/>
          <w:sz w:val="26"/>
          <w:szCs w:val="26"/>
        </w:rPr>
        <w:t>euro</w:t>
      </w:r>
      <w:r w:rsidRPr="00AB1EE7">
        <w:rPr>
          <w:sz w:val="26"/>
          <w:szCs w:val="26"/>
        </w:rPr>
        <w:t>. Vienlaikus ieņēmumi pieaugs no NĪN par ēkām. Tādējādi kopējie ieņēmumi no NĪN lielākajai daļai pašvaldību, atskaitot atsevišķus Pierīgas novadus, pieaugs. Minētais pieaugums saistīts ar to, ka kadastrālās vērtības pēdējo reizi pārskatītas 2012.gadā un pa šiem gadiem tirgus cenas ir kāpušas vairākos segmentos, kā arī pēdējos 10 gados uzbūvētās ēkas līdz šim nav adekvāti novērtētas un to pašreizējās kadastrālās vērtības, no kurām tiek rēķināts NĪN, bieži vien sastāda tikai 40-50% no to patiesās vērtības</w:t>
      </w:r>
    </w:p>
    <w:p w14:paraId="4A36648C" w14:textId="595BCF23" w:rsidR="00D17EF0" w:rsidRPr="00BB7B21" w:rsidRDefault="007000F3" w:rsidP="0056420A">
      <w:pPr>
        <w:ind w:firstLine="709"/>
        <w:jc w:val="both"/>
        <w:rPr>
          <w:sz w:val="26"/>
          <w:szCs w:val="26"/>
        </w:rPr>
      </w:pPr>
      <w:r w:rsidRPr="00BB7B21">
        <w:rPr>
          <w:sz w:val="26"/>
          <w:szCs w:val="26"/>
        </w:rPr>
        <w:t>Tā kā Finanšu ministrijas rīcībā nav datu par jaunajām kadas</w:t>
      </w:r>
      <w:r w:rsidRPr="00BB7B21">
        <w:rPr>
          <w:sz w:val="26"/>
          <w:szCs w:val="26"/>
        </w:rPr>
        <w:softHyphen/>
        <w:t>trā</w:t>
      </w:r>
      <w:r w:rsidRPr="00BB7B21">
        <w:rPr>
          <w:sz w:val="26"/>
          <w:szCs w:val="26"/>
        </w:rPr>
        <w:softHyphen/>
        <w:t xml:space="preserve">lajām vērtībā, Finanšu ministrija nevar veikt aprēķinus par šo grozījumu paredzamo ietekmi uz valsts un pašvaldību budžetu nodokļu ieņēmumiem. </w:t>
      </w:r>
      <w:r w:rsidR="00D17EF0">
        <w:rPr>
          <w:sz w:val="26"/>
          <w:szCs w:val="26"/>
        </w:rPr>
        <w:t>Pirms augstāk minēto grozījumu ieviešanas, nepieciešamas veikt izvērtējumu par to ietekmi uz mājsaimniecībām, uzņēmumiem, īres tirgu, piespiedu nomu u.c. gadījumiem.</w:t>
      </w:r>
    </w:p>
    <w:p w14:paraId="0EB26936" w14:textId="77777777" w:rsidR="00D5637F" w:rsidRDefault="00D5637F">
      <w:pPr>
        <w:rPr>
          <w:rFonts w:ascii="Times New Roman Bold" w:eastAsia="Times New Roman" w:hAnsi="Times New Roman Bold" w:cs="Times New Roman"/>
          <w:b/>
          <w:sz w:val="40"/>
          <w:szCs w:val="40"/>
          <w:lang w:eastAsia="lv-LV"/>
        </w:rPr>
      </w:pPr>
      <w:r>
        <w:rPr>
          <w:szCs w:val="40"/>
        </w:rPr>
        <w:br w:type="page"/>
      </w:r>
    </w:p>
    <w:p w14:paraId="23BC2EFF" w14:textId="4F51C2FE" w:rsidR="00860B45" w:rsidRDefault="00FB6397" w:rsidP="00D46FA1">
      <w:pPr>
        <w:pStyle w:val="Heading1"/>
      </w:pPr>
      <w:bookmarkStart w:id="20" w:name="_Toc33186632"/>
      <w:r>
        <w:rPr>
          <w:szCs w:val="40"/>
        </w:rPr>
        <w:lastRenderedPageBreak/>
        <w:t>6</w:t>
      </w:r>
      <w:r w:rsidR="00D46FA1" w:rsidRPr="00DF6AAE">
        <w:rPr>
          <w:szCs w:val="40"/>
        </w:rPr>
        <w:t>.</w:t>
      </w:r>
      <w:r w:rsidR="00D46FA1">
        <w:rPr>
          <w:sz w:val="26"/>
          <w:szCs w:val="26"/>
        </w:rPr>
        <w:t xml:space="preserve"> </w:t>
      </w:r>
      <w:r w:rsidR="00860B45">
        <w:t>Akcīzes nodoklis</w:t>
      </w:r>
      <w:bookmarkEnd w:id="20"/>
    </w:p>
    <w:p w14:paraId="0563A1D7" w14:textId="77777777" w:rsidR="00860B45" w:rsidRPr="00F063CD" w:rsidRDefault="00FB6397" w:rsidP="00A95991">
      <w:pPr>
        <w:pStyle w:val="Heading2"/>
        <w:tabs>
          <w:tab w:val="left" w:pos="567"/>
        </w:tabs>
        <w:ind w:left="567" w:hanging="567"/>
        <w:jc w:val="both"/>
      </w:pPr>
      <w:bookmarkStart w:id="21" w:name="_Toc33186633"/>
      <w:r>
        <w:t>6</w:t>
      </w:r>
      <w:r w:rsidR="00860B45" w:rsidRPr="00F063CD">
        <w:t>.1. Akcīzes nodok</w:t>
      </w:r>
      <w:r w:rsidR="00C25432">
        <w:t>ļa</w:t>
      </w:r>
      <w:r w:rsidR="00860B45" w:rsidRPr="00F063CD">
        <w:t xml:space="preserve"> </w:t>
      </w:r>
      <w:r w:rsidR="00C25432">
        <w:t xml:space="preserve">likmju </w:t>
      </w:r>
      <w:r w:rsidR="00860B45" w:rsidRPr="00F063CD">
        <w:t>naftas produktiem</w:t>
      </w:r>
      <w:r w:rsidR="00A95991">
        <w:t xml:space="preserve"> un kurināmajiem</w:t>
      </w:r>
      <w:r w:rsidR="00C25432">
        <w:t xml:space="preserve"> </w:t>
      </w:r>
      <w:r w:rsidR="00A95991">
        <w:t>CO</w:t>
      </w:r>
      <w:r w:rsidR="00A95991" w:rsidRPr="00A95991">
        <w:rPr>
          <w:vertAlign w:val="subscript"/>
        </w:rPr>
        <w:t>2</w:t>
      </w:r>
      <w:r w:rsidR="00A95991">
        <w:t xml:space="preserve"> komponentes noteikšana</w:t>
      </w:r>
      <w:bookmarkEnd w:id="21"/>
      <w:r w:rsidR="00C25432">
        <w:t xml:space="preserve"> </w:t>
      </w:r>
    </w:p>
    <w:p w14:paraId="5A44673B" w14:textId="77777777" w:rsidR="00A95991" w:rsidRDefault="00A95991" w:rsidP="00DA16D3">
      <w:pPr>
        <w:spacing w:after="120"/>
        <w:ind w:firstLine="709"/>
        <w:jc w:val="both"/>
        <w:rPr>
          <w:b/>
          <w:sz w:val="26"/>
          <w:szCs w:val="26"/>
        </w:rPr>
      </w:pPr>
      <w:r>
        <w:rPr>
          <w:rFonts w:cs="Times New Roman"/>
          <w:sz w:val="26"/>
          <w:szCs w:val="26"/>
        </w:rPr>
        <w:t xml:space="preserve">Lai </w:t>
      </w:r>
      <w:r w:rsidRPr="00A95991">
        <w:rPr>
          <w:sz w:val="26"/>
          <w:szCs w:val="26"/>
        </w:rPr>
        <w:t>saglabātu degvielas cenu konkurētspēju ar kaimiņiem (Lietuvu un Poliju),</w:t>
      </w:r>
      <w:r>
        <w:rPr>
          <w:color w:val="0070C0"/>
          <w:sz w:val="26"/>
          <w:szCs w:val="26"/>
        </w:rPr>
        <w:t xml:space="preserve"> </w:t>
      </w:r>
      <w:r w:rsidR="00E022E1">
        <w:rPr>
          <w:sz w:val="26"/>
          <w:szCs w:val="26"/>
        </w:rPr>
        <w:t>priekšlikums ir</w:t>
      </w:r>
      <w:r w:rsidRPr="00A95991">
        <w:rPr>
          <w:sz w:val="26"/>
          <w:szCs w:val="26"/>
        </w:rPr>
        <w:t xml:space="preserve"> </w:t>
      </w:r>
      <w:r w:rsidRPr="00A95991">
        <w:rPr>
          <w:b/>
          <w:sz w:val="26"/>
          <w:szCs w:val="26"/>
        </w:rPr>
        <w:t xml:space="preserve">iesaldēt </w:t>
      </w:r>
      <w:r w:rsidRPr="00A95991">
        <w:rPr>
          <w:rFonts w:cs="Times New Roman"/>
          <w:b/>
          <w:sz w:val="26"/>
          <w:szCs w:val="26"/>
        </w:rPr>
        <w:t xml:space="preserve">naftas produktu </w:t>
      </w:r>
      <w:r w:rsidRPr="00A95991">
        <w:rPr>
          <w:b/>
          <w:sz w:val="26"/>
          <w:szCs w:val="26"/>
        </w:rPr>
        <w:t>akcīzes nodokļa (turpmāk – AN) likmes uz 3 gadiem (2021.-2023.gads)</w:t>
      </w:r>
      <w:r>
        <w:rPr>
          <w:b/>
          <w:sz w:val="26"/>
          <w:szCs w:val="26"/>
        </w:rPr>
        <w:t>.</w:t>
      </w:r>
    </w:p>
    <w:p w14:paraId="0D393022" w14:textId="77777777" w:rsidR="00860B45" w:rsidRDefault="006C5A20" w:rsidP="00860B45">
      <w:pPr>
        <w:pStyle w:val="ListParagraph"/>
        <w:spacing w:after="120"/>
        <w:ind w:left="0"/>
        <w:jc w:val="center"/>
        <w:rPr>
          <w:b/>
          <w:szCs w:val="24"/>
        </w:rPr>
      </w:pPr>
      <w:r>
        <w:rPr>
          <w:szCs w:val="24"/>
        </w:rPr>
        <w:t>10</w:t>
      </w:r>
      <w:r w:rsidR="00860B45" w:rsidRPr="004A2D13">
        <w:rPr>
          <w:szCs w:val="24"/>
        </w:rPr>
        <w:t>.tab.</w:t>
      </w:r>
      <w:r w:rsidR="00860B45" w:rsidRPr="004A2D13">
        <w:rPr>
          <w:b/>
          <w:szCs w:val="24"/>
        </w:rPr>
        <w:t xml:space="preserve"> </w:t>
      </w:r>
      <w:r w:rsidR="00860B45">
        <w:rPr>
          <w:b/>
          <w:szCs w:val="24"/>
        </w:rPr>
        <w:t>N</w:t>
      </w:r>
      <w:r w:rsidR="00860B45" w:rsidRPr="004A2D13">
        <w:rPr>
          <w:b/>
          <w:szCs w:val="24"/>
        </w:rPr>
        <w:t>aftas produktu</w:t>
      </w:r>
      <w:r w:rsidR="00860B45" w:rsidRPr="004A2D13">
        <w:rPr>
          <w:szCs w:val="24"/>
        </w:rPr>
        <w:t xml:space="preserve"> </w:t>
      </w:r>
      <w:r w:rsidR="00860B45" w:rsidRPr="004A2D13">
        <w:rPr>
          <w:b/>
          <w:szCs w:val="24"/>
        </w:rPr>
        <w:t>AN likm</w:t>
      </w:r>
      <w:r w:rsidR="00466005">
        <w:rPr>
          <w:b/>
          <w:szCs w:val="24"/>
        </w:rPr>
        <w:t>es Baltijas valstīs</w:t>
      </w:r>
      <w:r w:rsidR="00860B45">
        <w:rPr>
          <w:b/>
          <w:szCs w:val="24"/>
        </w:rPr>
        <w:t xml:space="preserve"> </w:t>
      </w:r>
    </w:p>
    <w:p w14:paraId="65F838D4" w14:textId="77777777" w:rsidR="00860B45" w:rsidRPr="008B1E89" w:rsidRDefault="00860B45" w:rsidP="00860B45">
      <w:pPr>
        <w:pStyle w:val="ListParagraph"/>
        <w:spacing w:after="120"/>
        <w:ind w:left="0"/>
        <w:jc w:val="center"/>
        <w:rPr>
          <w:b/>
          <w:sz w:val="10"/>
          <w:szCs w:val="10"/>
        </w:rPr>
      </w:pPr>
    </w:p>
    <w:tbl>
      <w:tblPr>
        <w:tblStyle w:val="TableGrid"/>
        <w:tblW w:w="0" w:type="auto"/>
        <w:tblInd w:w="137" w:type="dxa"/>
        <w:tblLook w:val="04A0" w:firstRow="1" w:lastRow="0" w:firstColumn="1" w:lastColumn="0" w:noHBand="0" w:noVBand="1"/>
      </w:tblPr>
      <w:tblGrid>
        <w:gridCol w:w="3686"/>
        <w:gridCol w:w="978"/>
        <w:gridCol w:w="1011"/>
        <w:gridCol w:w="1274"/>
        <w:gridCol w:w="1210"/>
      </w:tblGrid>
      <w:tr w:rsidR="00860B45" w:rsidRPr="004A2D13" w14:paraId="7E937EB4" w14:textId="77777777" w:rsidTr="000F652A">
        <w:trPr>
          <w:trHeight w:val="215"/>
        </w:trPr>
        <w:tc>
          <w:tcPr>
            <w:tcW w:w="3686" w:type="dxa"/>
            <w:vMerge w:val="restart"/>
            <w:tcBorders>
              <w:right w:val="single" w:sz="4" w:space="0" w:color="FFFFFF" w:themeColor="background1"/>
            </w:tcBorders>
            <w:shd w:val="clear" w:color="auto" w:fill="002060"/>
          </w:tcPr>
          <w:p w14:paraId="7EA90ADB" w14:textId="77777777" w:rsidR="00860B45" w:rsidRPr="004A2D13" w:rsidRDefault="00860B45" w:rsidP="000F652A">
            <w:pPr>
              <w:pStyle w:val="ListParagraph"/>
              <w:ind w:left="0"/>
              <w:jc w:val="center"/>
              <w:rPr>
                <w:b/>
                <w:sz w:val="22"/>
              </w:rPr>
            </w:pPr>
            <w:r>
              <w:rPr>
                <w:b/>
                <w:sz w:val="22"/>
              </w:rPr>
              <w:t>N</w:t>
            </w:r>
            <w:r w:rsidRPr="004A2D13">
              <w:rPr>
                <w:b/>
                <w:sz w:val="22"/>
              </w:rPr>
              <w:t>aftas produkt</w:t>
            </w:r>
            <w:r>
              <w:rPr>
                <w:b/>
                <w:sz w:val="22"/>
              </w:rPr>
              <w:t>s</w:t>
            </w:r>
          </w:p>
        </w:tc>
        <w:tc>
          <w:tcPr>
            <w:tcW w:w="4473" w:type="dxa"/>
            <w:gridSpan w:val="4"/>
            <w:tcBorders>
              <w:left w:val="single" w:sz="4" w:space="0" w:color="FFFFFF" w:themeColor="background1"/>
              <w:bottom w:val="single" w:sz="4" w:space="0" w:color="FFFFFF" w:themeColor="background1"/>
            </w:tcBorders>
            <w:shd w:val="clear" w:color="auto" w:fill="002060"/>
          </w:tcPr>
          <w:p w14:paraId="36127EB4" w14:textId="77777777" w:rsidR="00860B45" w:rsidRPr="004A2D13" w:rsidRDefault="00860B45" w:rsidP="000F652A">
            <w:pPr>
              <w:pStyle w:val="ListParagraph"/>
              <w:ind w:left="0"/>
              <w:jc w:val="center"/>
              <w:rPr>
                <w:b/>
                <w:sz w:val="22"/>
              </w:rPr>
            </w:pPr>
            <w:r w:rsidRPr="004A2D13">
              <w:rPr>
                <w:b/>
                <w:sz w:val="22"/>
              </w:rPr>
              <w:t>AN likmes</w:t>
            </w:r>
            <w:r w:rsidRPr="004A2D13">
              <w:rPr>
                <w:b/>
                <w:i/>
                <w:sz w:val="22"/>
              </w:rPr>
              <w:t xml:space="preserve"> </w:t>
            </w:r>
            <w:r w:rsidRPr="004A2D13">
              <w:rPr>
                <w:i/>
                <w:sz w:val="22"/>
              </w:rPr>
              <w:t>euro</w:t>
            </w:r>
            <w:r w:rsidRPr="004A2D13">
              <w:rPr>
                <w:sz w:val="22"/>
              </w:rPr>
              <w:t xml:space="preserve"> par 1000 litriem</w:t>
            </w:r>
          </w:p>
        </w:tc>
      </w:tr>
      <w:tr w:rsidR="00860B45" w:rsidRPr="004A2D13" w14:paraId="26579528" w14:textId="77777777" w:rsidTr="000F652A">
        <w:trPr>
          <w:trHeight w:val="249"/>
        </w:trPr>
        <w:tc>
          <w:tcPr>
            <w:tcW w:w="3686" w:type="dxa"/>
            <w:vMerge/>
            <w:tcBorders>
              <w:right w:val="single" w:sz="4" w:space="0" w:color="FFFFFF" w:themeColor="background1"/>
            </w:tcBorders>
            <w:shd w:val="clear" w:color="auto" w:fill="002060"/>
          </w:tcPr>
          <w:p w14:paraId="7B70ABE2" w14:textId="77777777" w:rsidR="00860B45" w:rsidRPr="004A2D13" w:rsidRDefault="00860B45" w:rsidP="000F652A">
            <w:pPr>
              <w:pStyle w:val="ListParagraph"/>
              <w:ind w:left="0"/>
              <w:jc w:val="center"/>
              <w:rPr>
                <w:b/>
                <w:sz w:val="22"/>
              </w:rPr>
            </w:pPr>
          </w:p>
        </w:tc>
        <w:tc>
          <w:tcPr>
            <w:tcW w:w="978"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2C7EFDE8" w14:textId="77777777" w:rsidR="00860B45" w:rsidRPr="004A2D13" w:rsidRDefault="00860B45" w:rsidP="000F652A">
            <w:pPr>
              <w:pStyle w:val="ListParagraph"/>
              <w:ind w:left="0"/>
              <w:jc w:val="center"/>
              <w:rPr>
                <w:b/>
                <w:sz w:val="22"/>
              </w:rPr>
            </w:pPr>
            <w:r w:rsidRPr="004A2D13">
              <w:rPr>
                <w:b/>
                <w:sz w:val="22"/>
              </w:rPr>
              <w:t xml:space="preserve">Latvija </w:t>
            </w:r>
          </w:p>
          <w:p w14:paraId="1EDF6A0D" w14:textId="77777777" w:rsidR="00860B45" w:rsidRPr="004A2D13" w:rsidRDefault="00860B45" w:rsidP="000F652A">
            <w:pPr>
              <w:pStyle w:val="ListParagraph"/>
              <w:ind w:left="0"/>
              <w:jc w:val="center"/>
              <w:rPr>
                <w:b/>
                <w:sz w:val="22"/>
              </w:rPr>
            </w:pPr>
            <w:r w:rsidRPr="004A2D13">
              <w:rPr>
                <w:b/>
                <w:sz w:val="22"/>
              </w:rPr>
              <w:t>2020</w:t>
            </w:r>
          </w:p>
        </w:tc>
        <w:tc>
          <w:tcPr>
            <w:tcW w:w="1011"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7BF4341C" w14:textId="77777777" w:rsidR="00860B45" w:rsidRPr="004A2D13" w:rsidRDefault="00860B45" w:rsidP="000F652A">
            <w:pPr>
              <w:pStyle w:val="ListParagraph"/>
              <w:ind w:left="0"/>
              <w:jc w:val="center"/>
              <w:rPr>
                <w:b/>
                <w:sz w:val="22"/>
              </w:rPr>
            </w:pPr>
            <w:r w:rsidRPr="004A2D13">
              <w:rPr>
                <w:b/>
                <w:sz w:val="22"/>
              </w:rPr>
              <w:t xml:space="preserve">Igaunija </w:t>
            </w:r>
          </w:p>
          <w:p w14:paraId="628009A2" w14:textId="77777777" w:rsidR="00860B45" w:rsidRPr="004A2D13" w:rsidRDefault="00860B45" w:rsidP="000F652A">
            <w:pPr>
              <w:pStyle w:val="ListParagraph"/>
              <w:ind w:left="0"/>
              <w:jc w:val="center"/>
              <w:rPr>
                <w:b/>
                <w:sz w:val="22"/>
              </w:rPr>
            </w:pPr>
            <w:r w:rsidRPr="004A2D13">
              <w:rPr>
                <w:b/>
                <w:sz w:val="22"/>
              </w:rPr>
              <w:t>2020</w:t>
            </w:r>
          </w:p>
        </w:tc>
        <w:tc>
          <w:tcPr>
            <w:tcW w:w="1274"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64FE889B" w14:textId="77777777" w:rsidR="00860B45" w:rsidRPr="004A2D13" w:rsidRDefault="00860B45" w:rsidP="000F652A">
            <w:pPr>
              <w:pStyle w:val="ListParagraph"/>
              <w:ind w:left="0"/>
              <w:jc w:val="center"/>
              <w:rPr>
                <w:b/>
                <w:sz w:val="22"/>
              </w:rPr>
            </w:pPr>
            <w:r w:rsidRPr="004A2D13">
              <w:rPr>
                <w:b/>
                <w:sz w:val="22"/>
              </w:rPr>
              <w:t>Lietuva</w:t>
            </w:r>
          </w:p>
          <w:p w14:paraId="13CB8CB6" w14:textId="77777777" w:rsidR="00860B45" w:rsidRPr="004A2D13" w:rsidRDefault="00860B45" w:rsidP="000F652A">
            <w:pPr>
              <w:pStyle w:val="ListParagraph"/>
              <w:ind w:left="0"/>
              <w:jc w:val="center"/>
              <w:rPr>
                <w:b/>
                <w:sz w:val="22"/>
              </w:rPr>
            </w:pPr>
            <w:r w:rsidRPr="004A2D13">
              <w:rPr>
                <w:b/>
                <w:sz w:val="22"/>
              </w:rPr>
              <w:t>2020</w:t>
            </w:r>
          </w:p>
        </w:tc>
        <w:tc>
          <w:tcPr>
            <w:tcW w:w="1210" w:type="dxa"/>
            <w:tcBorders>
              <w:top w:val="single" w:sz="4" w:space="0" w:color="FFFFFF" w:themeColor="background1"/>
              <w:left w:val="single" w:sz="4" w:space="0" w:color="FFFFFF" w:themeColor="background1"/>
            </w:tcBorders>
            <w:shd w:val="clear" w:color="auto" w:fill="002060"/>
          </w:tcPr>
          <w:p w14:paraId="02E1D2E6" w14:textId="77777777" w:rsidR="00860B45" w:rsidRPr="004A2D13" w:rsidRDefault="00860B45" w:rsidP="000F652A">
            <w:pPr>
              <w:pStyle w:val="ListParagraph"/>
              <w:ind w:left="0"/>
              <w:jc w:val="center"/>
              <w:rPr>
                <w:b/>
                <w:sz w:val="22"/>
              </w:rPr>
            </w:pPr>
            <w:r w:rsidRPr="004A2D13">
              <w:rPr>
                <w:b/>
                <w:sz w:val="22"/>
              </w:rPr>
              <w:t xml:space="preserve">Polija </w:t>
            </w:r>
          </w:p>
          <w:p w14:paraId="2C647E8C" w14:textId="77777777" w:rsidR="00860B45" w:rsidRPr="004A2D13" w:rsidRDefault="00860B45" w:rsidP="000F652A">
            <w:pPr>
              <w:pStyle w:val="ListParagraph"/>
              <w:ind w:left="0"/>
              <w:jc w:val="center"/>
              <w:rPr>
                <w:b/>
                <w:sz w:val="22"/>
              </w:rPr>
            </w:pPr>
            <w:r w:rsidRPr="004A2D13">
              <w:rPr>
                <w:b/>
                <w:sz w:val="22"/>
              </w:rPr>
              <w:t>2020</w:t>
            </w:r>
            <w:r w:rsidRPr="004A2D13">
              <w:rPr>
                <w:rStyle w:val="FootnoteReference"/>
                <w:b/>
                <w:sz w:val="22"/>
              </w:rPr>
              <w:footnoteReference w:id="2"/>
            </w:r>
          </w:p>
        </w:tc>
      </w:tr>
      <w:tr w:rsidR="00860B45" w:rsidRPr="004A2D13" w14:paraId="59B44493" w14:textId="77777777" w:rsidTr="00644700">
        <w:tc>
          <w:tcPr>
            <w:tcW w:w="3686" w:type="dxa"/>
            <w:vAlign w:val="center"/>
          </w:tcPr>
          <w:p w14:paraId="0901F747" w14:textId="77777777" w:rsidR="00860B45" w:rsidRPr="004A2D13" w:rsidRDefault="00860B45" w:rsidP="000F652A">
            <w:pPr>
              <w:pStyle w:val="ListParagraph"/>
              <w:ind w:left="0"/>
              <w:jc w:val="left"/>
              <w:rPr>
                <w:sz w:val="22"/>
              </w:rPr>
            </w:pPr>
            <w:r w:rsidRPr="004A2D13">
              <w:rPr>
                <w:sz w:val="22"/>
              </w:rPr>
              <w:t>Bezsvina benzīns</w:t>
            </w:r>
          </w:p>
        </w:tc>
        <w:tc>
          <w:tcPr>
            <w:tcW w:w="978" w:type="dxa"/>
            <w:shd w:val="clear" w:color="auto" w:fill="D9D9D9" w:themeFill="background1" w:themeFillShade="D9"/>
            <w:vAlign w:val="center"/>
          </w:tcPr>
          <w:p w14:paraId="2B7806CE" w14:textId="77777777" w:rsidR="00860B45" w:rsidRPr="00921FCF" w:rsidRDefault="00860B45" w:rsidP="000F652A">
            <w:pPr>
              <w:pStyle w:val="ListParagraph"/>
              <w:ind w:left="0"/>
              <w:jc w:val="center"/>
              <w:rPr>
                <w:b/>
                <w:color w:val="C00000"/>
                <w:sz w:val="22"/>
              </w:rPr>
            </w:pPr>
            <w:r w:rsidRPr="00921FCF">
              <w:rPr>
                <w:b/>
                <w:color w:val="C00000"/>
                <w:sz w:val="22"/>
              </w:rPr>
              <w:t>509</w:t>
            </w:r>
          </w:p>
        </w:tc>
        <w:tc>
          <w:tcPr>
            <w:tcW w:w="1011" w:type="dxa"/>
            <w:shd w:val="clear" w:color="auto" w:fill="D9D9D9" w:themeFill="background1" w:themeFillShade="D9"/>
          </w:tcPr>
          <w:p w14:paraId="36A9E687" w14:textId="77777777" w:rsidR="00860B45" w:rsidRPr="00921FCF" w:rsidRDefault="00860B45" w:rsidP="000F652A">
            <w:pPr>
              <w:pStyle w:val="ListParagraph"/>
              <w:ind w:left="0"/>
              <w:jc w:val="center"/>
              <w:rPr>
                <w:b/>
                <w:color w:val="0070C0"/>
                <w:sz w:val="22"/>
              </w:rPr>
            </w:pPr>
            <w:r w:rsidRPr="00921FCF">
              <w:rPr>
                <w:b/>
                <w:color w:val="0070C0"/>
                <w:sz w:val="22"/>
              </w:rPr>
              <w:t>563</w:t>
            </w:r>
          </w:p>
        </w:tc>
        <w:tc>
          <w:tcPr>
            <w:tcW w:w="1274" w:type="dxa"/>
            <w:shd w:val="clear" w:color="auto" w:fill="D9D9D9" w:themeFill="background1" w:themeFillShade="D9"/>
            <w:vAlign w:val="center"/>
          </w:tcPr>
          <w:p w14:paraId="2EFD8CC8" w14:textId="77777777" w:rsidR="00860B45" w:rsidRPr="00921FCF" w:rsidRDefault="00860B45" w:rsidP="000F652A">
            <w:pPr>
              <w:pStyle w:val="ListParagraph"/>
              <w:ind w:left="0"/>
              <w:jc w:val="center"/>
              <w:rPr>
                <w:b/>
                <w:color w:val="00B050"/>
                <w:sz w:val="22"/>
              </w:rPr>
            </w:pPr>
            <w:r w:rsidRPr="00921FCF">
              <w:rPr>
                <w:b/>
                <w:color w:val="00B050"/>
                <w:sz w:val="22"/>
              </w:rPr>
              <w:t>466</w:t>
            </w:r>
          </w:p>
        </w:tc>
        <w:tc>
          <w:tcPr>
            <w:tcW w:w="1210" w:type="dxa"/>
            <w:shd w:val="clear" w:color="auto" w:fill="D9D9D9" w:themeFill="background1" w:themeFillShade="D9"/>
            <w:vAlign w:val="center"/>
          </w:tcPr>
          <w:p w14:paraId="500E8FED" w14:textId="77777777" w:rsidR="00860B45" w:rsidRPr="00921FCF" w:rsidRDefault="00860B45" w:rsidP="000F652A">
            <w:pPr>
              <w:pStyle w:val="ListParagraph"/>
              <w:ind w:left="0"/>
              <w:jc w:val="center"/>
              <w:rPr>
                <w:b/>
                <w:sz w:val="22"/>
              </w:rPr>
            </w:pPr>
            <w:r w:rsidRPr="00921FCF">
              <w:rPr>
                <w:b/>
                <w:sz w:val="22"/>
              </w:rPr>
              <w:t>392</w:t>
            </w:r>
          </w:p>
        </w:tc>
      </w:tr>
      <w:tr w:rsidR="00860B45" w:rsidRPr="004A2D13" w14:paraId="68821632" w14:textId="77777777" w:rsidTr="00644700">
        <w:tc>
          <w:tcPr>
            <w:tcW w:w="3686" w:type="dxa"/>
            <w:vAlign w:val="center"/>
          </w:tcPr>
          <w:p w14:paraId="73B78E32" w14:textId="77777777" w:rsidR="00860B45" w:rsidRPr="004A2D13" w:rsidRDefault="00860B45" w:rsidP="000F652A">
            <w:pPr>
              <w:pStyle w:val="ListParagraph"/>
              <w:ind w:left="0"/>
              <w:jc w:val="left"/>
              <w:rPr>
                <w:sz w:val="22"/>
              </w:rPr>
            </w:pPr>
            <w:r w:rsidRPr="004A2D13">
              <w:rPr>
                <w:sz w:val="22"/>
              </w:rPr>
              <w:t>Dīzeļdegviela</w:t>
            </w:r>
          </w:p>
        </w:tc>
        <w:tc>
          <w:tcPr>
            <w:tcW w:w="978" w:type="dxa"/>
            <w:shd w:val="clear" w:color="auto" w:fill="D9D9D9" w:themeFill="background1" w:themeFillShade="D9"/>
            <w:vAlign w:val="center"/>
          </w:tcPr>
          <w:p w14:paraId="63D7095A" w14:textId="77777777" w:rsidR="00860B45" w:rsidRPr="00921FCF" w:rsidRDefault="00860B45" w:rsidP="000F652A">
            <w:pPr>
              <w:pStyle w:val="ListParagraph"/>
              <w:ind w:left="0"/>
              <w:jc w:val="center"/>
              <w:rPr>
                <w:b/>
                <w:color w:val="C00000"/>
                <w:sz w:val="22"/>
              </w:rPr>
            </w:pPr>
            <w:r w:rsidRPr="00921FCF">
              <w:rPr>
                <w:b/>
                <w:color w:val="C00000"/>
                <w:sz w:val="22"/>
              </w:rPr>
              <w:t>414</w:t>
            </w:r>
          </w:p>
        </w:tc>
        <w:tc>
          <w:tcPr>
            <w:tcW w:w="1011" w:type="dxa"/>
            <w:shd w:val="clear" w:color="auto" w:fill="D9D9D9" w:themeFill="background1" w:themeFillShade="D9"/>
          </w:tcPr>
          <w:p w14:paraId="4B8E9ED5" w14:textId="77777777" w:rsidR="00860B45" w:rsidRPr="00921FCF" w:rsidRDefault="00860B45" w:rsidP="000F652A">
            <w:pPr>
              <w:pStyle w:val="ListParagraph"/>
              <w:ind w:left="0"/>
              <w:jc w:val="center"/>
              <w:rPr>
                <w:b/>
                <w:color w:val="0070C0"/>
                <w:sz w:val="22"/>
              </w:rPr>
            </w:pPr>
            <w:r w:rsidRPr="00921FCF">
              <w:rPr>
                <w:b/>
                <w:color w:val="0070C0"/>
                <w:sz w:val="22"/>
              </w:rPr>
              <w:t>493</w:t>
            </w:r>
          </w:p>
        </w:tc>
        <w:tc>
          <w:tcPr>
            <w:tcW w:w="1274" w:type="dxa"/>
            <w:shd w:val="clear" w:color="auto" w:fill="D9D9D9" w:themeFill="background1" w:themeFillShade="D9"/>
            <w:vAlign w:val="center"/>
          </w:tcPr>
          <w:p w14:paraId="397022C0" w14:textId="77777777" w:rsidR="00860B45" w:rsidRPr="00921FCF" w:rsidRDefault="00860B45" w:rsidP="000F652A">
            <w:pPr>
              <w:pStyle w:val="ListParagraph"/>
              <w:ind w:left="0"/>
              <w:jc w:val="center"/>
              <w:rPr>
                <w:b/>
                <w:color w:val="00B050"/>
                <w:sz w:val="22"/>
              </w:rPr>
            </w:pPr>
            <w:r w:rsidRPr="00921FCF">
              <w:rPr>
                <w:b/>
                <w:color w:val="00B050"/>
                <w:sz w:val="22"/>
              </w:rPr>
              <w:t>372</w:t>
            </w:r>
          </w:p>
        </w:tc>
        <w:tc>
          <w:tcPr>
            <w:tcW w:w="1210" w:type="dxa"/>
            <w:shd w:val="clear" w:color="auto" w:fill="D9D9D9" w:themeFill="background1" w:themeFillShade="D9"/>
            <w:vAlign w:val="center"/>
          </w:tcPr>
          <w:p w14:paraId="1DF203A2" w14:textId="77777777" w:rsidR="00860B45" w:rsidRPr="00921FCF" w:rsidRDefault="00860B45" w:rsidP="000F652A">
            <w:pPr>
              <w:pStyle w:val="ListParagraph"/>
              <w:ind w:left="0"/>
              <w:jc w:val="center"/>
              <w:rPr>
                <w:b/>
                <w:sz w:val="22"/>
              </w:rPr>
            </w:pPr>
            <w:r w:rsidRPr="00921FCF">
              <w:rPr>
                <w:b/>
                <w:sz w:val="22"/>
              </w:rPr>
              <w:t>345</w:t>
            </w:r>
          </w:p>
        </w:tc>
      </w:tr>
      <w:tr w:rsidR="00860B45" w:rsidRPr="004A2D13" w14:paraId="0CDD8F6D" w14:textId="77777777" w:rsidTr="000F652A">
        <w:tc>
          <w:tcPr>
            <w:tcW w:w="3686" w:type="dxa"/>
            <w:shd w:val="clear" w:color="auto" w:fill="FFE599" w:themeFill="accent4" w:themeFillTint="66"/>
          </w:tcPr>
          <w:p w14:paraId="619A6CC8" w14:textId="77777777" w:rsidR="00860B45" w:rsidRDefault="00860B45" w:rsidP="000F652A">
            <w:pPr>
              <w:rPr>
                <w:sz w:val="22"/>
              </w:rPr>
            </w:pPr>
            <w:r w:rsidRPr="00F519AB">
              <w:rPr>
                <w:b/>
                <w:sz w:val="22"/>
              </w:rPr>
              <w:t xml:space="preserve">Fiskālā ietekme, </w:t>
            </w:r>
            <w:r w:rsidRPr="00F519AB">
              <w:rPr>
                <w:i/>
                <w:sz w:val="22"/>
              </w:rPr>
              <w:t>milj. euro</w:t>
            </w:r>
          </w:p>
        </w:tc>
        <w:tc>
          <w:tcPr>
            <w:tcW w:w="4473" w:type="dxa"/>
            <w:gridSpan w:val="4"/>
            <w:shd w:val="clear" w:color="auto" w:fill="FFE599" w:themeFill="accent4" w:themeFillTint="66"/>
            <w:vAlign w:val="center"/>
          </w:tcPr>
          <w:p w14:paraId="7C4C0EB7" w14:textId="77777777" w:rsidR="00860B45" w:rsidRPr="008B1E89" w:rsidRDefault="00860B45" w:rsidP="000F652A">
            <w:pPr>
              <w:pStyle w:val="ListParagraph"/>
              <w:ind w:left="0"/>
              <w:jc w:val="center"/>
              <w:rPr>
                <w:sz w:val="22"/>
              </w:rPr>
            </w:pPr>
            <w:r w:rsidRPr="008B1E89">
              <w:rPr>
                <w:sz w:val="22"/>
              </w:rPr>
              <w:t>-</w:t>
            </w:r>
          </w:p>
        </w:tc>
      </w:tr>
    </w:tbl>
    <w:p w14:paraId="2AD3EF56" w14:textId="77777777" w:rsidR="00644700" w:rsidRDefault="00644700" w:rsidP="00860B45">
      <w:pPr>
        <w:ind w:firstLine="709"/>
        <w:jc w:val="both"/>
        <w:rPr>
          <w:rFonts w:cs="Times New Roman"/>
          <w:sz w:val="26"/>
          <w:szCs w:val="26"/>
        </w:rPr>
      </w:pPr>
    </w:p>
    <w:p w14:paraId="1F918C90" w14:textId="77777777" w:rsidR="00A95991" w:rsidRDefault="00A95991" w:rsidP="00A95991">
      <w:pPr>
        <w:spacing w:after="120"/>
        <w:ind w:firstLine="709"/>
        <w:jc w:val="both"/>
        <w:rPr>
          <w:b/>
          <w:sz w:val="26"/>
          <w:szCs w:val="26"/>
        </w:rPr>
      </w:pPr>
      <w:r w:rsidRPr="00A95991">
        <w:rPr>
          <w:sz w:val="26"/>
          <w:szCs w:val="26"/>
        </w:rPr>
        <w:t xml:space="preserve">Papildus tam </w:t>
      </w:r>
      <w:r w:rsidR="00E022E1">
        <w:rPr>
          <w:sz w:val="26"/>
          <w:szCs w:val="26"/>
        </w:rPr>
        <w:t xml:space="preserve">priekšlikums ir </w:t>
      </w:r>
      <w:r w:rsidRPr="00A95991">
        <w:rPr>
          <w:b/>
          <w:sz w:val="26"/>
          <w:szCs w:val="26"/>
        </w:rPr>
        <w:t>ar 2021.gadu noteikt AN likmes CO</w:t>
      </w:r>
      <w:r w:rsidRPr="00A95991">
        <w:rPr>
          <w:b/>
          <w:sz w:val="26"/>
          <w:szCs w:val="26"/>
          <w:vertAlign w:val="subscript"/>
        </w:rPr>
        <w:t>2</w:t>
      </w:r>
      <w:r w:rsidRPr="00A95991">
        <w:rPr>
          <w:b/>
          <w:sz w:val="26"/>
          <w:szCs w:val="26"/>
        </w:rPr>
        <w:t xml:space="preserve"> komponenti visiem</w:t>
      </w:r>
      <w:r w:rsidRPr="00A95991">
        <w:rPr>
          <w:rFonts w:cs="Times New Roman"/>
          <w:b/>
          <w:sz w:val="26"/>
          <w:szCs w:val="26"/>
        </w:rPr>
        <w:t xml:space="preserve"> naftas produktiem un</w:t>
      </w:r>
      <w:r w:rsidRPr="00A95991">
        <w:rPr>
          <w:b/>
          <w:sz w:val="26"/>
          <w:szCs w:val="26"/>
        </w:rPr>
        <w:t xml:space="preserve"> kurināmajiem</w:t>
      </w:r>
      <w:r>
        <w:rPr>
          <w:b/>
          <w:sz w:val="26"/>
          <w:szCs w:val="26"/>
        </w:rPr>
        <w:t>:</w:t>
      </w:r>
    </w:p>
    <w:p w14:paraId="2DCA2D61" w14:textId="77777777" w:rsidR="00860B45" w:rsidRPr="00A95991" w:rsidRDefault="00A95991" w:rsidP="00B37721">
      <w:pPr>
        <w:pStyle w:val="ListParagraph"/>
        <w:numPr>
          <w:ilvl w:val="0"/>
          <w:numId w:val="26"/>
        </w:numPr>
        <w:ind w:left="709" w:hanging="709"/>
        <w:rPr>
          <w:b/>
          <w:sz w:val="26"/>
          <w:szCs w:val="26"/>
        </w:rPr>
      </w:pPr>
      <w:r w:rsidRPr="00A95991">
        <w:rPr>
          <w:sz w:val="26"/>
          <w:szCs w:val="26"/>
        </w:rPr>
        <w:t>n</w:t>
      </w:r>
      <w:r w:rsidR="00860B45" w:rsidRPr="00A95991">
        <w:rPr>
          <w:sz w:val="26"/>
          <w:szCs w:val="26"/>
        </w:rPr>
        <w:t>aftas produktiem</w:t>
      </w:r>
      <w:r w:rsidR="00DA16D3" w:rsidRPr="00DA16D3">
        <w:rPr>
          <w:b/>
          <w:sz w:val="26"/>
          <w:szCs w:val="26"/>
        </w:rPr>
        <w:t xml:space="preserve"> </w:t>
      </w:r>
      <w:r w:rsidR="00DA16D3" w:rsidRPr="00DA16D3">
        <w:rPr>
          <w:sz w:val="26"/>
          <w:szCs w:val="26"/>
        </w:rPr>
        <w:t>CO</w:t>
      </w:r>
      <w:r w:rsidR="00DA16D3" w:rsidRPr="00DA16D3">
        <w:rPr>
          <w:sz w:val="26"/>
          <w:szCs w:val="26"/>
          <w:vertAlign w:val="subscript"/>
        </w:rPr>
        <w:t>2</w:t>
      </w:r>
      <w:r w:rsidR="00DA16D3" w:rsidRPr="00DA16D3">
        <w:rPr>
          <w:sz w:val="26"/>
          <w:szCs w:val="26"/>
        </w:rPr>
        <w:t xml:space="preserve"> komponenti</w:t>
      </w:r>
      <w:r w:rsidR="00DA16D3">
        <w:rPr>
          <w:sz w:val="26"/>
          <w:szCs w:val="26"/>
        </w:rPr>
        <w:t xml:space="preserve"> noteikt</w:t>
      </w:r>
      <w:r w:rsidR="00860B45" w:rsidRPr="00A95991">
        <w:rPr>
          <w:sz w:val="26"/>
          <w:szCs w:val="26"/>
        </w:rPr>
        <w:t>, ņemot vērā 2019.gadā noteikto vidējo CO</w:t>
      </w:r>
      <w:r w:rsidR="00860B45" w:rsidRPr="00A95991">
        <w:rPr>
          <w:sz w:val="26"/>
          <w:szCs w:val="26"/>
          <w:vertAlign w:val="subscript"/>
        </w:rPr>
        <w:t>2</w:t>
      </w:r>
      <w:r w:rsidR="00860B45" w:rsidRPr="00A95991">
        <w:rPr>
          <w:sz w:val="26"/>
          <w:szCs w:val="26"/>
        </w:rPr>
        <w:t xml:space="preserve"> emisiju kvotu (EUA) cenu – 25 </w:t>
      </w:r>
      <w:r w:rsidR="00860B45" w:rsidRPr="00A95991">
        <w:rPr>
          <w:i/>
          <w:iCs/>
          <w:sz w:val="26"/>
          <w:szCs w:val="26"/>
        </w:rPr>
        <w:t xml:space="preserve">euro </w:t>
      </w:r>
      <w:r w:rsidR="00860B45" w:rsidRPr="00A95991">
        <w:rPr>
          <w:iCs/>
          <w:sz w:val="26"/>
          <w:szCs w:val="26"/>
        </w:rPr>
        <w:t>par</w:t>
      </w:r>
      <w:r w:rsidR="00860B45" w:rsidRPr="00A95991">
        <w:rPr>
          <w:i/>
          <w:iCs/>
          <w:sz w:val="26"/>
          <w:szCs w:val="26"/>
        </w:rPr>
        <w:t xml:space="preserve"> </w:t>
      </w:r>
      <w:r w:rsidR="00860B45" w:rsidRPr="00A95991">
        <w:rPr>
          <w:sz w:val="26"/>
          <w:szCs w:val="26"/>
        </w:rPr>
        <w:t>tonnu.</w:t>
      </w:r>
    </w:p>
    <w:p w14:paraId="403BBD80" w14:textId="77777777" w:rsidR="00860B45" w:rsidRPr="00DA16D3" w:rsidRDefault="00860B45" w:rsidP="00860B45">
      <w:pPr>
        <w:jc w:val="center"/>
        <w:rPr>
          <w:rFonts w:cs="Times New Roman"/>
          <w:b/>
          <w:sz w:val="22"/>
        </w:rPr>
      </w:pPr>
    </w:p>
    <w:p w14:paraId="4EE1BA7B" w14:textId="77777777" w:rsidR="00860B45" w:rsidRDefault="00860B45" w:rsidP="00860B45">
      <w:pPr>
        <w:pStyle w:val="ListParagraph"/>
        <w:spacing w:after="120"/>
        <w:ind w:left="0"/>
        <w:jc w:val="center"/>
        <w:rPr>
          <w:b/>
          <w:szCs w:val="24"/>
        </w:rPr>
      </w:pPr>
      <w:r>
        <w:rPr>
          <w:szCs w:val="24"/>
        </w:rPr>
        <w:t>1</w:t>
      </w:r>
      <w:r w:rsidR="006C5A20">
        <w:rPr>
          <w:szCs w:val="24"/>
        </w:rPr>
        <w:t>1</w:t>
      </w:r>
      <w:r w:rsidRPr="004A2D13">
        <w:rPr>
          <w:szCs w:val="24"/>
        </w:rPr>
        <w:t>.tab.</w:t>
      </w:r>
      <w:r w:rsidRPr="004A2D13">
        <w:rPr>
          <w:b/>
          <w:szCs w:val="24"/>
        </w:rPr>
        <w:t xml:space="preserve"> </w:t>
      </w:r>
      <w:r>
        <w:rPr>
          <w:b/>
          <w:szCs w:val="24"/>
        </w:rPr>
        <w:t>N</w:t>
      </w:r>
      <w:r w:rsidRPr="004A2D13">
        <w:rPr>
          <w:b/>
          <w:szCs w:val="24"/>
        </w:rPr>
        <w:t>aftas produktu</w:t>
      </w:r>
      <w:r w:rsidRPr="004A2D13">
        <w:rPr>
          <w:szCs w:val="24"/>
        </w:rPr>
        <w:t xml:space="preserve"> </w:t>
      </w:r>
      <w:r w:rsidRPr="0061277B">
        <w:rPr>
          <w:b/>
          <w:szCs w:val="24"/>
        </w:rPr>
        <w:t>AN likmes CO</w:t>
      </w:r>
      <w:r w:rsidRPr="0061277B">
        <w:rPr>
          <w:b/>
          <w:szCs w:val="24"/>
          <w:vertAlign w:val="subscript"/>
        </w:rPr>
        <w:t>2</w:t>
      </w:r>
      <w:r>
        <w:rPr>
          <w:b/>
          <w:szCs w:val="24"/>
        </w:rPr>
        <w:t xml:space="preserve"> komponentes</w:t>
      </w:r>
      <w:r w:rsidRPr="0061277B">
        <w:rPr>
          <w:b/>
          <w:sz w:val="26"/>
          <w:szCs w:val="26"/>
        </w:rPr>
        <w:t xml:space="preserve"> </w:t>
      </w:r>
      <w:r w:rsidRPr="0061277B">
        <w:rPr>
          <w:b/>
          <w:szCs w:val="24"/>
        </w:rPr>
        <w:t>noteikšana</w:t>
      </w:r>
      <w:r>
        <w:rPr>
          <w:b/>
          <w:sz w:val="26"/>
          <w:szCs w:val="26"/>
        </w:rPr>
        <w:t xml:space="preserve"> </w:t>
      </w:r>
    </w:p>
    <w:tbl>
      <w:tblPr>
        <w:tblW w:w="9257" w:type="dxa"/>
        <w:tblInd w:w="-577" w:type="dxa"/>
        <w:tblCellMar>
          <w:left w:w="0" w:type="dxa"/>
          <w:right w:w="0" w:type="dxa"/>
        </w:tblCellMar>
        <w:tblLook w:val="04A0" w:firstRow="1" w:lastRow="0" w:firstColumn="1" w:lastColumn="0" w:noHBand="0" w:noVBand="1"/>
      </w:tblPr>
      <w:tblGrid>
        <w:gridCol w:w="2344"/>
        <w:gridCol w:w="1100"/>
        <w:gridCol w:w="843"/>
        <w:gridCol w:w="983"/>
        <w:gridCol w:w="983"/>
        <w:gridCol w:w="1127"/>
        <w:gridCol w:w="1039"/>
        <w:gridCol w:w="838"/>
      </w:tblGrid>
      <w:tr w:rsidR="00860B45" w:rsidRPr="0061277B" w14:paraId="60BF2C60" w14:textId="77777777" w:rsidTr="00042C28">
        <w:trPr>
          <w:trHeight w:val="1204"/>
        </w:trPr>
        <w:tc>
          <w:tcPr>
            <w:tcW w:w="2344" w:type="dxa"/>
            <w:tcBorders>
              <w:top w:val="single" w:sz="8" w:space="0" w:color="000000"/>
              <w:left w:val="single" w:sz="8" w:space="0" w:color="000000"/>
              <w:bottom w:val="single" w:sz="8" w:space="0" w:color="000000"/>
              <w:right w:val="single" w:sz="4" w:space="0" w:color="FFFFFF" w:themeColor="background1"/>
            </w:tcBorders>
            <w:shd w:val="clear" w:color="auto" w:fill="002060"/>
            <w:tcMar>
              <w:top w:w="15" w:type="dxa"/>
              <w:left w:w="108" w:type="dxa"/>
              <w:bottom w:w="0" w:type="dxa"/>
              <w:right w:w="108" w:type="dxa"/>
            </w:tcMar>
            <w:hideMark/>
          </w:tcPr>
          <w:p w14:paraId="44BBD880" w14:textId="77777777" w:rsidR="00860B45" w:rsidRPr="00860B45" w:rsidRDefault="00860B45" w:rsidP="000F652A">
            <w:pPr>
              <w:jc w:val="center"/>
              <w:rPr>
                <w:rFonts w:eastAsia="Times New Roman" w:cs="Times New Roman"/>
                <w:b/>
                <w:color w:val="FFFFFF" w:themeColor="background1"/>
                <w:sz w:val="20"/>
                <w:szCs w:val="20"/>
                <w:lang w:eastAsia="lv-LV"/>
              </w:rPr>
            </w:pPr>
            <w:r w:rsidRPr="00860B45">
              <w:rPr>
                <w:b/>
                <w:sz w:val="20"/>
                <w:szCs w:val="20"/>
              </w:rPr>
              <w:t>N</w:t>
            </w:r>
            <w:r w:rsidRPr="00860B45">
              <w:rPr>
                <w:rFonts w:cs="Times New Roman"/>
                <w:b/>
                <w:sz w:val="20"/>
                <w:szCs w:val="20"/>
              </w:rPr>
              <w:t>aftas produkt</w:t>
            </w:r>
            <w:r w:rsidRPr="00860B45">
              <w:rPr>
                <w:b/>
                <w:sz w:val="20"/>
                <w:szCs w:val="20"/>
              </w:rPr>
              <w:t>s</w:t>
            </w:r>
          </w:p>
        </w:tc>
        <w:tc>
          <w:tcPr>
            <w:tcW w:w="1100"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002060"/>
            <w:tcMar>
              <w:top w:w="15" w:type="dxa"/>
              <w:left w:w="108" w:type="dxa"/>
              <w:bottom w:w="0" w:type="dxa"/>
              <w:right w:w="108" w:type="dxa"/>
            </w:tcMar>
            <w:hideMark/>
          </w:tcPr>
          <w:p w14:paraId="756D7BD7" w14:textId="77777777" w:rsidR="00860B45" w:rsidRPr="00860B45" w:rsidRDefault="00860B45" w:rsidP="000F652A">
            <w:pPr>
              <w:jc w:val="center"/>
              <w:rPr>
                <w:rFonts w:eastAsia="Times New Roman" w:cs="Times New Roman"/>
                <w:b/>
                <w:color w:val="FFFFFF" w:themeColor="background1"/>
                <w:sz w:val="20"/>
                <w:szCs w:val="20"/>
                <w:lang w:eastAsia="lv-LV"/>
              </w:rPr>
            </w:pPr>
            <w:r w:rsidRPr="00860B45">
              <w:rPr>
                <w:rFonts w:eastAsia="Calibri" w:cs="Times New Roman"/>
                <w:b/>
                <w:color w:val="FFFFFF" w:themeColor="background1"/>
                <w:kern w:val="24"/>
                <w:sz w:val="20"/>
                <w:szCs w:val="20"/>
                <w:lang w:eastAsia="lv-LV"/>
              </w:rPr>
              <w:t xml:space="preserve">AN likme </w:t>
            </w:r>
            <w:r w:rsidRPr="00860B45">
              <w:rPr>
                <w:rFonts w:eastAsia="Calibri" w:cs="Times New Roman"/>
                <w:i/>
                <w:color w:val="FFFFFF" w:themeColor="background1"/>
                <w:kern w:val="24"/>
                <w:sz w:val="20"/>
                <w:szCs w:val="20"/>
                <w:lang w:eastAsia="lv-LV"/>
              </w:rPr>
              <w:t>par 1000 l (kg) (m</w:t>
            </w:r>
            <w:r w:rsidRPr="00860B45">
              <w:rPr>
                <w:rFonts w:eastAsia="Calibri" w:cs="Times New Roman"/>
                <w:i/>
                <w:color w:val="FFFFFF" w:themeColor="background1"/>
                <w:kern w:val="24"/>
                <w:position w:val="7"/>
                <w:sz w:val="20"/>
                <w:szCs w:val="20"/>
                <w:vertAlign w:val="superscript"/>
                <w:lang w:eastAsia="lv-LV"/>
              </w:rPr>
              <w:t>3</w:t>
            </w:r>
            <w:r w:rsidRPr="00860B45">
              <w:rPr>
                <w:rFonts w:eastAsia="Calibri" w:cs="Times New Roman"/>
                <w:i/>
                <w:color w:val="FFFFFF" w:themeColor="background1"/>
                <w:kern w:val="24"/>
                <w:sz w:val="20"/>
                <w:szCs w:val="20"/>
                <w:lang w:eastAsia="lv-LV"/>
              </w:rPr>
              <w:t>)</w:t>
            </w:r>
          </w:p>
        </w:tc>
        <w:tc>
          <w:tcPr>
            <w:tcW w:w="843"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002060"/>
            <w:tcMar>
              <w:top w:w="15" w:type="dxa"/>
              <w:left w:w="108" w:type="dxa"/>
              <w:bottom w:w="0" w:type="dxa"/>
              <w:right w:w="108" w:type="dxa"/>
            </w:tcMar>
            <w:hideMark/>
          </w:tcPr>
          <w:p w14:paraId="0434E30A" w14:textId="77777777" w:rsidR="00860B45" w:rsidRPr="00860B45" w:rsidRDefault="00860B45" w:rsidP="000F652A">
            <w:pPr>
              <w:jc w:val="center"/>
              <w:rPr>
                <w:rFonts w:eastAsia="Times New Roman" w:cs="Times New Roman"/>
                <w:b/>
                <w:color w:val="FFFFFF" w:themeColor="background1"/>
                <w:sz w:val="20"/>
                <w:szCs w:val="20"/>
                <w:lang w:eastAsia="lv-LV"/>
              </w:rPr>
            </w:pPr>
            <w:r w:rsidRPr="00860B45">
              <w:rPr>
                <w:rFonts w:eastAsia="Calibri" w:cs="Times New Roman"/>
                <w:b/>
                <w:color w:val="FFFFFF" w:themeColor="background1"/>
                <w:kern w:val="24"/>
                <w:sz w:val="20"/>
                <w:szCs w:val="20"/>
                <w:lang w:eastAsia="lv-LV"/>
              </w:rPr>
              <w:t>CO</w:t>
            </w:r>
            <w:r w:rsidRPr="00860B45">
              <w:rPr>
                <w:rFonts w:eastAsia="Calibri" w:cs="Times New Roman"/>
                <w:b/>
                <w:color w:val="FFFFFF" w:themeColor="background1"/>
                <w:kern w:val="24"/>
                <w:position w:val="-6"/>
                <w:sz w:val="20"/>
                <w:szCs w:val="20"/>
                <w:vertAlign w:val="subscript"/>
                <w:lang w:eastAsia="lv-LV"/>
              </w:rPr>
              <w:t>2</w:t>
            </w:r>
            <w:r w:rsidRPr="00860B45">
              <w:rPr>
                <w:rFonts w:eastAsia="Calibri" w:cs="Times New Roman"/>
                <w:b/>
                <w:color w:val="FFFFFF" w:themeColor="background1"/>
                <w:kern w:val="24"/>
                <w:sz w:val="20"/>
                <w:szCs w:val="20"/>
                <w:lang w:eastAsia="lv-LV"/>
              </w:rPr>
              <w:t xml:space="preserve"> likme, </w:t>
            </w:r>
            <w:r w:rsidRPr="00860B45">
              <w:rPr>
                <w:rFonts w:eastAsia="Calibri" w:cs="Times New Roman"/>
                <w:i/>
                <w:iCs/>
                <w:color w:val="FFFFFF" w:themeColor="background1"/>
                <w:kern w:val="24"/>
                <w:sz w:val="20"/>
                <w:szCs w:val="20"/>
                <w:lang w:eastAsia="lv-LV"/>
              </w:rPr>
              <w:t>euro</w:t>
            </w:r>
            <w:r w:rsidRPr="00860B45">
              <w:rPr>
                <w:rFonts w:eastAsia="Calibri" w:cs="Times New Roman"/>
                <w:i/>
                <w:color w:val="FFFFFF" w:themeColor="background1"/>
                <w:kern w:val="24"/>
                <w:sz w:val="20"/>
                <w:szCs w:val="20"/>
                <w:lang w:eastAsia="lv-LV"/>
              </w:rPr>
              <w:t>/ t CO</w:t>
            </w:r>
            <w:r w:rsidRPr="00860B45">
              <w:rPr>
                <w:rFonts w:eastAsia="Calibri" w:cs="Times New Roman"/>
                <w:i/>
                <w:color w:val="FFFFFF" w:themeColor="background1"/>
                <w:kern w:val="24"/>
                <w:position w:val="-6"/>
                <w:sz w:val="20"/>
                <w:szCs w:val="20"/>
                <w:vertAlign w:val="subscript"/>
                <w:lang w:eastAsia="lv-LV"/>
              </w:rPr>
              <w:t>2</w:t>
            </w:r>
          </w:p>
        </w:tc>
        <w:tc>
          <w:tcPr>
            <w:tcW w:w="983"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002060"/>
            <w:tcMar>
              <w:top w:w="15" w:type="dxa"/>
              <w:left w:w="108" w:type="dxa"/>
              <w:bottom w:w="0" w:type="dxa"/>
              <w:right w:w="108" w:type="dxa"/>
            </w:tcMar>
            <w:hideMark/>
          </w:tcPr>
          <w:p w14:paraId="7BF6BAE4" w14:textId="77777777" w:rsidR="00860B45" w:rsidRPr="00860B45" w:rsidRDefault="00860B45" w:rsidP="000F652A">
            <w:pPr>
              <w:jc w:val="center"/>
              <w:rPr>
                <w:rFonts w:eastAsia="Times New Roman" w:cs="Times New Roman"/>
                <w:b/>
                <w:color w:val="FFFFFF" w:themeColor="background1"/>
                <w:sz w:val="20"/>
                <w:szCs w:val="20"/>
                <w:lang w:eastAsia="lv-LV"/>
              </w:rPr>
            </w:pPr>
            <w:r w:rsidRPr="00860B45">
              <w:rPr>
                <w:rFonts w:eastAsia="Calibri" w:cs="Times New Roman"/>
                <w:b/>
                <w:color w:val="FFFFFF" w:themeColor="background1"/>
                <w:kern w:val="24"/>
                <w:sz w:val="20"/>
                <w:szCs w:val="20"/>
                <w:lang w:eastAsia="lv-LV"/>
              </w:rPr>
              <w:t>CO</w:t>
            </w:r>
            <w:r w:rsidRPr="00860B45">
              <w:rPr>
                <w:rFonts w:eastAsia="Calibri" w:cs="Times New Roman"/>
                <w:b/>
                <w:color w:val="FFFFFF" w:themeColor="background1"/>
                <w:kern w:val="24"/>
                <w:position w:val="-6"/>
                <w:sz w:val="20"/>
                <w:szCs w:val="20"/>
                <w:vertAlign w:val="subscript"/>
                <w:lang w:eastAsia="lv-LV"/>
              </w:rPr>
              <w:t>2</w:t>
            </w:r>
            <w:r w:rsidRPr="00860B45">
              <w:rPr>
                <w:rFonts w:eastAsia="Calibri" w:cs="Times New Roman"/>
                <w:b/>
                <w:color w:val="FFFFFF" w:themeColor="background1"/>
                <w:kern w:val="24"/>
                <w:sz w:val="20"/>
                <w:szCs w:val="20"/>
                <w:lang w:eastAsia="lv-LV"/>
              </w:rPr>
              <w:t xml:space="preserve"> kompo-nente, </w:t>
            </w:r>
            <w:r w:rsidRPr="00860B45">
              <w:rPr>
                <w:rFonts w:eastAsia="Calibri" w:cs="Times New Roman"/>
                <w:i/>
                <w:iCs/>
                <w:color w:val="FFFFFF" w:themeColor="background1"/>
                <w:kern w:val="24"/>
                <w:sz w:val="20"/>
                <w:szCs w:val="20"/>
                <w:lang w:eastAsia="lv-LV"/>
              </w:rPr>
              <w:t>euro</w:t>
            </w:r>
          </w:p>
        </w:tc>
        <w:tc>
          <w:tcPr>
            <w:tcW w:w="983"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002060"/>
            <w:tcMar>
              <w:top w:w="15" w:type="dxa"/>
              <w:left w:w="108" w:type="dxa"/>
              <w:bottom w:w="0" w:type="dxa"/>
              <w:right w:w="108" w:type="dxa"/>
            </w:tcMar>
            <w:hideMark/>
          </w:tcPr>
          <w:p w14:paraId="436CA8E0" w14:textId="77777777" w:rsidR="00860B45" w:rsidRPr="00860B45" w:rsidRDefault="00860B45" w:rsidP="000F652A">
            <w:pPr>
              <w:jc w:val="center"/>
              <w:rPr>
                <w:rFonts w:eastAsia="Times New Roman" w:cs="Times New Roman"/>
                <w:b/>
                <w:color w:val="FFFFFF" w:themeColor="background1"/>
                <w:sz w:val="20"/>
                <w:szCs w:val="20"/>
                <w:lang w:eastAsia="lv-LV"/>
              </w:rPr>
            </w:pPr>
            <w:r w:rsidRPr="00860B45">
              <w:rPr>
                <w:rFonts w:eastAsia="Calibri" w:cs="Times New Roman"/>
                <w:b/>
                <w:color w:val="FFFFFF" w:themeColor="background1"/>
                <w:kern w:val="24"/>
                <w:sz w:val="20"/>
                <w:szCs w:val="20"/>
                <w:lang w:eastAsia="lv-LV"/>
              </w:rPr>
              <w:t>CO</w:t>
            </w:r>
            <w:r w:rsidRPr="00860B45">
              <w:rPr>
                <w:rFonts w:eastAsia="Calibri" w:cs="Times New Roman"/>
                <w:b/>
                <w:color w:val="FFFFFF" w:themeColor="background1"/>
                <w:kern w:val="24"/>
                <w:position w:val="-6"/>
                <w:sz w:val="20"/>
                <w:szCs w:val="20"/>
                <w:vertAlign w:val="subscript"/>
                <w:lang w:eastAsia="lv-LV"/>
              </w:rPr>
              <w:t>2</w:t>
            </w:r>
            <w:r w:rsidRPr="00860B45">
              <w:rPr>
                <w:rFonts w:eastAsia="Calibri" w:cs="Times New Roman"/>
                <w:b/>
                <w:color w:val="FFFFFF" w:themeColor="background1"/>
                <w:kern w:val="24"/>
                <w:sz w:val="20"/>
                <w:szCs w:val="20"/>
                <w:lang w:eastAsia="lv-LV"/>
              </w:rPr>
              <w:t xml:space="preserve"> kompo-nente, </w:t>
            </w:r>
            <w:r w:rsidRPr="00860B45">
              <w:rPr>
                <w:rFonts w:eastAsia="Calibri" w:cs="Times New Roman"/>
                <w:color w:val="FFFFFF" w:themeColor="background1"/>
                <w:kern w:val="24"/>
                <w:sz w:val="20"/>
                <w:szCs w:val="20"/>
                <w:lang w:eastAsia="lv-LV"/>
              </w:rPr>
              <w:t>%</w:t>
            </w:r>
          </w:p>
        </w:tc>
        <w:tc>
          <w:tcPr>
            <w:tcW w:w="1127"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002060"/>
            <w:tcMar>
              <w:top w:w="15" w:type="dxa"/>
              <w:left w:w="108" w:type="dxa"/>
              <w:bottom w:w="0" w:type="dxa"/>
              <w:right w:w="108" w:type="dxa"/>
            </w:tcMar>
            <w:hideMark/>
          </w:tcPr>
          <w:p w14:paraId="3A977084" w14:textId="77777777" w:rsidR="00860B45" w:rsidRPr="00860B45" w:rsidRDefault="00860B45" w:rsidP="000F652A">
            <w:pPr>
              <w:jc w:val="center"/>
              <w:rPr>
                <w:rFonts w:eastAsia="Times New Roman" w:cs="Times New Roman"/>
                <w:b/>
                <w:color w:val="FFFFFF" w:themeColor="background1"/>
                <w:sz w:val="20"/>
                <w:szCs w:val="20"/>
                <w:lang w:eastAsia="lv-LV"/>
              </w:rPr>
            </w:pPr>
            <w:r w:rsidRPr="00860B45">
              <w:rPr>
                <w:rFonts w:eastAsia="Calibri" w:cs="Times New Roman"/>
                <w:b/>
                <w:color w:val="FFFFFF" w:themeColor="background1"/>
                <w:kern w:val="24"/>
                <w:sz w:val="20"/>
                <w:szCs w:val="20"/>
                <w:lang w:eastAsia="lv-LV"/>
              </w:rPr>
              <w:t xml:space="preserve">Enerģijas satura kompo-nente, </w:t>
            </w:r>
            <w:r w:rsidRPr="00860B45">
              <w:rPr>
                <w:rFonts w:eastAsia="Calibri" w:cs="Times New Roman"/>
                <w:i/>
                <w:iCs/>
                <w:color w:val="FFFFFF" w:themeColor="background1"/>
                <w:kern w:val="24"/>
                <w:sz w:val="20"/>
                <w:szCs w:val="20"/>
                <w:lang w:eastAsia="lv-LV"/>
              </w:rPr>
              <w:t>euro</w:t>
            </w:r>
          </w:p>
        </w:tc>
        <w:tc>
          <w:tcPr>
            <w:tcW w:w="1039"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002060"/>
            <w:tcMar>
              <w:top w:w="15" w:type="dxa"/>
              <w:left w:w="108" w:type="dxa"/>
              <w:bottom w:w="0" w:type="dxa"/>
              <w:right w:w="108" w:type="dxa"/>
            </w:tcMar>
            <w:hideMark/>
          </w:tcPr>
          <w:p w14:paraId="5EC45B4E" w14:textId="77777777" w:rsidR="00860B45" w:rsidRPr="00860B45" w:rsidRDefault="00860B45" w:rsidP="000F652A">
            <w:pPr>
              <w:jc w:val="center"/>
              <w:rPr>
                <w:rFonts w:eastAsia="Times New Roman" w:cs="Times New Roman"/>
                <w:color w:val="FFFFFF" w:themeColor="background1"/>
                <w:sz w:val="20"/>
                <w:szCs w:val="20"/>
                <w:lang w:eastAsia="lv-LV"/>
              </w:rPr>
            </w:pPr>
            <w:r w:rsidRPr="00860B45">
              <w:rPr>
                <w:rFonts w:eastAsia="Calibri" w:cs="Times New Roman"/>
                <w:b/>
                <w:color w:val="FFFFFF" w:themeColor="background1"/>
                <w:kern w:val="24"/>
                <w:sz w:val="20"/>
                <w:szCs w:val="20"/>
                <w:lang w:eastAsia="lv-LV"/>
              </w:rPr>
              <w:t xml:space="preserve">Enerģijas satura kompo-nente, </w:t>
            </w:r>
            <w:r w:rsidRPr="00860B45">
              <w:rPr>
                <w:rFonts w:eastAsia="Calibri" w:cs="Times New Roman"/>
                <w:color w:val="FFFFFF" w:themeColor="background1"/>
                <w:kern w:val="24"/>
                <w:sz w:val="20"/>
                <w:szCs w:val="20"/>
                <w:lang w:eastAsia="lv-LV"/>
              </w:rPr>
              <w:t>%</w:t>
            </w:r>
          </w:p>
        </w:tc>
        <w:tc>
          <w:tcPr>
            <w:tcW w:w="838" w:type="dxa"/>
            <w:tcBorders>
              <w:top w:val="single" w:sz="8" w:space="0" w:color="000000"/>
              <w:left w:val="single" w:sz="4" w:space="0" w:color="FFFFFF" w:themeColor="background1"/>
              <w:bottom w:val="single" w:sz="8" w:space="0" w:color="000000"/>
              <w:right w:val="single" w:sz="8" w:space="0" w:color="000000"/>
            </w:tcBorders>
            <w:shd w:val="clear" w:color="auto" w:fill="002060"/>
          </w:tcPr>
          <w:p w14:paraId="2DEFB9FF" w14:textId="77777777" w:rsidR="00860B45" w:rsidRPr="00860B45" w:rsidRDefault="00860B45" w:rsidP="000F652A">
            <w:pPr>
              <w:jc w:val="center"/>
              <w:rPr>
                <w:rFonts w:eastAsia="Calibri" w:cs="Times New Roman"/>
                <w:b/>
                <w:color w:val="FFFFFF" w:themeColor="background1"/>
                <w:kern w:val="24"/>
                <w:sz w:val="20"/>
                <w:szCs w:val="20"/>
                <w:lang w:eastAsia="lv-LV"/>
              </w:rPr>
            </w:pPr>
            <w:r w:rsidRPr="00860B45">
              <w:rPr>
                <w:rFonts w:eastAsia="Calibri" w:cs="Times New Roman"/>
                <w:b/>
                <w:color w:val="FFFFFF" w:themeColor="background1"/>
                <w:kern w:val="24"/>
                <w:sz w:val="20"/>
                <w:szCs w:val="20"/>
                <w:lang w:eastAsia="lv-LV"/>
              </w:rPr>
              <w:t xml:space="preserve">Enerģijas satura likme, </w:t>
            </w:r>
            <w:r w:rsidRPr="00860B45">
              <w:rPr>
                <w:rFonts w:eastAsia="Calibri" w:cs="Times New Roman"/>
                <w:i/>
                <w:color w:val="FFFFFF" w:themeColor="background1"/>
                <w:kern w:val="24"/>
                <w:sz w:val="20"/>
                <w:szCs w:val="20"/>
                <w:lang w:eastAsia="lv-LV"/>
              </w:rPr>
              <w:t>euro</w:t>
            </w:r>
            <w:r w:rsidRPr="00860B45">
              <w:rPr>
                <w:rFonts w:eastAsia="Calibri" w:cs="Times New Roman"/>
                <w:color w:val="FFFFFF" w:themeColor="background1"/>
                <w:kern w:val="24"/>
                <w:sz w:val="20"/>
                <w:szCs w:val="20"/>
                <w:lang w:eastAsia="lv-LV"/>
              </w:rPr>
              <w:t>/GJ</w:t>
            </w:r>
          </w:p>
        </w:tc>
      </w:tr>
      <w:tr w:rsidR="00860B45" w:rsidRPr="008949BF" w14:paraId="1A4760E5" w14:textId="77777777" w:rsidTr="00042C28">
        <w:trPr>
          <w:trHeight w:val="299"/>
        </w:trPr>
        <w:tc>
          <w:tcPr>
            <w:tcW w:w="2344" w:type="dxa"/>
            <w:tcBorders>
              <w:top w:val="single" w:sz="8" w:space="0" w:color="00000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21163652" w14:textId="77777777" w:rsidR="00860B45" w:rsidRPr="00860B45" w:rsidRDefault="00860B45" w:rsidP="000F652A">
            <w:pP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Svina benzīns (1000 l)</w:t>
            </w:r>
          </w:p>
        </w:tc>
        <w:tc>
          <w:tcPr>
            <w:tcW w:w="1100" w:type="dxa"/>
            <w:tcBorders>
              <w:top w:val="single" w:sz="8" w:space="0" w:color="000000"/>
              <w:left w:val="single" w:sz="8" w:space="0" w:color="000000"/>
              <w:bottom w:val="single" w:sz="4" w:space="0" w:color="808080" w:themeColor="background1" w:themeShade="8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C2E9A4A"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594</w:t>
            </w:r>
          </w:p>
        </w:tc>
        <w:tc>
          <w:tcPr>
            <w:tcW w:w="843" w:type="dxa"/>
            <w:tcBorders>
              <w:top w:val="single" w:sz="8" w:space="0" w:color="00000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52E1F30E" w14:textId="77777777" w:rsidR="00860B45" w:rsidRPr="00860B45" w:rsidRDefault="00860B45" w:rsidP="000F652A">
            <w:pPr>
              <w:jc w:val="center"/>
              <w:rPr>
                <w:rFonts w:eastAsia="Times New Roman" w:cs="Times New Roman"/>
                <w:b/>
                <w:sz w:val="20"/>
                <w:szCs w:val="20"/>
                <w:lang w:eastAsia="lv-LV"/>
              </w:rPr>
            </w:pPr>
            <w:r w:rsidRPr="00860B45">
              <w:rPr>
                <w:rFonts w:eastAsia="Calibri" w:cs="Times New Roman"/>
                <w:b/>
                <w:color w:val="FF0000"/>
                <w:kern w:val="24"/>
                <w:sz w:val="20"/>
                <w:szCs w:val="20"/>
                <w:lang w:eastAsia="lv-LV"/>
              </w:rPr>
              <w:t>25</w:t>
            </w:r>
          </w:p>
        </w:tc>
        <w:tc>
          <w:tcPr>
            <w:tcW w:w="983" w:type="dxa"/>
            <w:tcBorders>
              <w:top w:val="single" w:sz="8" w:space="0" w:color="00000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413648C3"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56,79</w:t>
            </w:r>
          </w:p>
        </w:tc>
        <w:tc>
          <w:tcPr>
            <w:tcW w:w="983" w:type="dxa"/>
            <w:tcBorders>
              <w:top w:val="single" w:sz="8" w:space="0" w:color="00000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5A923129"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9,6%</w:t>
            </w:r>
          </w:p>
        </w:tc>
        <w:tc>
          <w:tcPr>
            <w:tcW w:w="1127" w:type="dxa"/>
            <w:tcBorders>
              <w:top w:val="single" w:sz="8" w:space="0" w:color="00000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3574E74F"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537,21</w:t>
            </w:r>
          </w:p>
        </w:tc>
        <w:tc>
          <w:tcPr>
            <w:tcW w:w="1039" w:type="dxa"/>
            <w:tcBorders>
              <w:top w:val="single" w:sz="8" w:space="0" w:color="00000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60DA8D60"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90,4%</w:t>
            </w:r>
          </w:p>
        </w:tc>
        <w:tc>
          <w:tcPr>
            <w:tcW w:w="838" w:type="dxa"/>
            <w:tcBorders>
              <w:top w:val="single" w:sz="8" w:space="0" w:color="000000"/>
              <w:left w:val="single" w:sz="8" w:space="0" w:color="000000"/>
              <w:bottom w:val="single" w:sz="4" w:space="0" w:color="808080" w:themeColor="background1" w:themeShade="80"/>
              <w:right w:val="single" w:sz="8" w:space="0" w:color="000000"/>
            </w:tcBorders>
            <w:vAlign w:val="center"/>
          </w:tcPr>
          <w:p w14:paraId="3B6E873F" w14:textId="77777777" w:rsidR="00860B45" w:rsidRPr="00860B45" w:rsidRDefault="00860B45" w:rsidP="000F652A">
            <w:pPr>
              <w:jc w:val="center"/>
              <w:rPr>
                <w:rFonts w:eastAsia="Calibri" w:cs="Times New Roman"/>
                <w:b/>
                <w:color w:val="000000" w:themeColor="text1"/>
                <w:kern w:val="24"/>
                <w:sz w:val="20"/>
                <w:szCs w:val="20"/>
                <w:lang w:eastAsia="lv-LV"/>
              </w:rPr>
            </w:pPr>
            <w:r w:rsidRPr="00860B45">
              <w:rPr>
                <w:rFonts w:eastAsia="Calibri" w:cs="Times New Roman"/>
                <w:b/>
                <w:color w:val="000000" w:themeColor="text1"/>
                <w:kern w:val="24"/>
                <w:sz w:val="20"/>
                <w:szCs w:val="20"/>
                <w:lang w:eastAsia="lv-LV"/>
              </w:rPr>
              <w:t>16,39</w:t>
            </w:r>
          </w:p>
        </w:tc>
      </w:tr>
      <w:tr w:rsidR="00860B45" w:rsidRPr="008949BF" w14:paraId="2145A356" w14:textId="77777777" w:rsidTr="00042C28">
        <w:trPr>
          <w:trHeight w:val="299"/>
        </w:trPr>
        <w:tc>
          <w:tcPr>
            <w:tcW w:w="2344"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bottom"/>
            <w:hideMark/>
          </w:tcPr>
          <w:p w14:paraId="3F5CDEF9" w14:textId="77777777" w:rsidR="00860B45" w:rsidRPr="00860B45" w:rsidRDefault="00860B45" w:rsidP="000F652A">
            <w:pP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Bezsvina benzīns (1000 l)</w:t>
            </w:r>
          </w:p>
        </w:tc>
        <w:tc>
          <w:tcPr>
            <w:tcW w:w="1100"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8E2CF9F"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509</w:t>
            </w:r>
          </w:p>
        </w:tc>
        <w:tc>
          <w:tcPr>
            <w:tcW w:w="843"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6043E672" w14:textId="77777777" w:rsidR="00860B45" w:rsidRPr="00860B45" w:rsidRDefault="00860B45" w:rsidP="000F652A">
            <w:pPr>
              <w:jc w:val="center"/>
              <w:rPr>
                <w:rFonts w:eastAsia="Times New Roman" w:cs="Times New Roman"/>
                <w:b/>
                <w:sz w:val="20"/>
                <w:szCs w:val="20"/>
                <w:lang w:eastAsia="lv-LV"/>
              </w:rPr>
            </w:pPr>
            <w:r w:rsidRPr="00860B45">
              <w:rPr>
                <w:rFonts w:eastAsia="Calibri" w:cs="Times New Roman"/>
                <w:b/>
                <w:color w:val="FF0000"/>
                <w:kern w:val="24"/>
                <w:sz w:val="20"/>
                <w:szCs w:val="20"/>
                <w:lang w:eastAsia="lv-LV"/>
              </w:rPr>
              <w:t>25</w:t>
            </w:r>
          </w:p>
        </w:tc>
        <w:tc>
          <w:tcPr>
            <w:tcW w:w="983"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27EC7B88"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56,79</w:t>
            </w:r>
          </w:p>
        </w:tc>
        <w:tc>
          <w:tcPr>
            <w:tcW w:w="983"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364BDB43"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11,2%</w:t>
            </w:r>
          </w:p>
        </w:tc>
        <w:tc>
          <w:tcPr>
            <w:tcW w:w="1127"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17275E6D"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452,21</w:t>
            </w:r>
          </w:p>
        </w:tc>
        <w:tc>
          <w:tcPr>
            <w:tcW w:w="103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5C5E4134"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88,8%</w:t>
            </w:r>
          </w:p>
        </w:tc>
        <w:tc>
          <w:tcPr>
            <w:tcW w:w="838"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vAlign w:val="center"/>
          </w:tcPr>
          <w:p w14:paraId="26F85E47" w14:textId="77777777" w:rsidR="00860B45" w:rsidRPr="00860B45" w:rsidRDefault="00860B45" w:rsidP="000F652A">
            <w:pPr>
              <w:jc w:val="center"/>
              <w:rPr>
                <w:rFonts w:eastAsia="Calibri" w:cs="Times New Roman"/>
                <w:b/>
                <w:color w:val="000000" w:themeColor="text1"/>
                <w:kern w:val="24"/>
                <w:sz w:val="20"/>
                <w:szCs w:val="20"/>
                <w:lang w:eastAsia="lv-LV"/>
              </w:rPr>
            </w:pPr>
            <w:r w:rsidRPr="00860B45">
              <w:rPr>
                <w:rFonts w:eastAsia="Calibri" w:cs="Times New Roman"/>
                <w:b/>
                <w:color w:val="000000" w:themeColor="text1"/>
                <w:kern w:val="24"/>
                <w:sz w:val="20"/>
                <w:szCs w:val="20"/>
                <w:lang w:eastAsia="lv-LV"/>
              </w:rPr>
              <w:t>13,80</w:t>
            </w:r>
          </w:p>
        </w:tc>
      </w:tr>
      <w:tr w:rsidR="00860B45" w:rsidRPr="008949BF" w14:paraId="0A4E38E1" w14:textId="77777777" w:rsidTr="00042C28">
        <w:trPr>
          <w:trHeight w:val="299"/>
        </w:trPr>
        <w:tc>
          <w:tcPr>
            <w:tcW w:w="2344"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bottom"/>
            <w:hideMark/>
          </w:tcPr>
          <w:p w14:paraId="0797D00B" w14:textId="77777777" w:rsidR="00860B45" w:rsidRPr="00860B45" w:rsidRDefault="00860B45" w:rsidP="000F652A">
            <w:pP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Dīzeļdegviela (1000 l)</w:t>
            </w:r>
          </w:p>
        </w:tc>
        <w:tc>
          <w:tcPr>
            <w:tcW w:w="1100"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614F981"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414</w:t>
            </w:r>
          </w:p>
        </w:tc>
        <w:tc>
          <w:tcPr>
            <w:tcW w:w="843"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4DB4BCF4" w14:textId="77777777" w:rsidR="00860B45" w:rsidRPr="00860B45" w:rsidRDefault="00860B45" w:rsidP="000F652A">
            <w:pPr>
              <w:jc w:val="center"/>
              <w:rPr>
                <w:rFonts w:eastAsia="Times New Roman" w:cs="Times New Roman"/>
                <w:b/>
                <w:sz w:val="20"/>
                <w:szCs w:val="20"/>
                <w:lang w:eastAsia="lv-LV"/>
              </w:rPr>
            </w:pPr>
            <w:r w:rsidRPr="00860B45">
              <w:rPr>
                <w:rFonts w:eastAsia="Calibri" w:cs="Times New Roman"/>
                <w:b/>
                <w:color w:val="FF0000"/>
                <w:kern w:val="24"/>
                <w:sz w:val="20"/>
                <w:szCs w:val="20"/>
                <w:lang w:eastAsia="lv-LV"/>
              </w:rPr>
              <w:t>25</w:t>
            </w:r>
          </w:p>
        </w:tc>
        <w:tc>
          <w:tcPr>
            <w:tcW w:w="983"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29C1B67B"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65,43</w:t>
            </w:r>
          </w:p>
        </w:tc>
        <w:tc>
          <w:tcPr>
            <w:tcW w:w="983"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07825E5C"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15,8%</w:t>
            </w:r>
          </w:p>
        </w:tc>
        <w:tc>
          <w:tcPr>
            <w:tcW w:w="1127"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2F6AA273"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348,57</w:t>
            </w:r>
          </w:p>
        </w:tc>
        <w:tc>
          <w:tcPr>
            <w:tcW w:w="103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28E6E401"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84,2%</w:t>
            </w:r>
          </w:p>
        </w:tc>
        <w:tc>
          <w:tcPr>
            <w:tcW w:w="838"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vAlign w:val="center"/>
          </w:tcPr>
          <w:p w14:paraId="3CC5C61E" w14:textId="77777777" w:rsidR="00860B45" w:rsidRPr="00860B45" w:rsidRDefault="00860B45" w:rsidP="000F652A">
            <w:pPr>
              <w:jc w:val="center"/>
              <w:rPr>
                <w:rFonts w:eastAsia="Calibri" w:cs="Times New Roman"/>
                <w:b/>
                <w:color w:val="000000" w:themeColor="text1"/>
                <w:kern w:val="24"/>
                <w:sz w:val="20"/>
                <w:szCs w:val="20"/>
                <w:lang w:eastAsia="lv-LV"/>
              </w:rPr>
            </w:pPr>
            <w:r w:rsidRPr="00860B45">
              <w:rPr>
                <w:rFonts w:eastAsia="Calibri" w:cs="Times New Roman"/>
                <w:b/>
                <w:color w:val="000000" w:themeColor="text1"/>
                <w:kern w:val="24"/>
                <w:sz w:val="20"/>
                <w:szCs w:val="20"/>
                <w:lang w:eastAsia="lv-LV"/>
              </w:rPr>
              <w:t>9,87</w:t>
            </w:r>
          </w:p>
        </w:tc>
      </w:tr>
      <w:tr w:rsidR="00860B45" w:rsidRPr="008949BF" w14:paraId="42666D49" w14:textId="77777777" w:rsidTr="00042C28">
        <w:trPr>
          <w:trHeight w:val="299"/>
        </w:trPr>
        <w:tc>
          <w:tcPr>
            <w:tcW w:w="2344"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bottom"/>
            <w:hideMark/>
          </w:tcPr>
          <w:p w14:paraId="75E8CA41" w14:textId="77777777" w:rsidR="00860B45" w:rsidRPr="00860B45" w:rsidRDefault="00860B45" w:rsidP="000F652A">
            <w:pP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Petroleja (1000 l)</w:t>
            </w:r>
          </w:p>
        </w:tc>
        <w:tc>
          <w:tcPr>
            <w:tcW w:w="1100"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EA41A7E"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414</w:t>
            </w:r>
          </w:p>
        </w:tc>
        <w:tc>
          <w:tcPr>
            <w:tcW w:w="843"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78994FC7" w14:textId="77777777" w:rsidR="00860B45" w:rsidRPr="00860B45" w:rsidRDefault="00860B45" w:rsidP="000F652A">
            <w:pPr>
              <w:jc w:val="center"/>
              <w:rPr>
                <w:rFonts w:eastAsia="Times New Roman" w:cs="Times New Roman"/>
                <w:b/>
                <w:sz w:val="20"/>
                <w:szCs w:val="20"/>
                <w:lang w:eastAsia="lv-LV"/>
              </w:rPr>
            </w:pPr>
            <w:r w:rsidRPr="00860B45">
              <w:rPr>
                <w:rFonts w:eastAsia="Calibri" w:cs="Times New Roman"/>
                <w:b/>
                <w:color w:val="FF0000"/>
                <w:kern w:val="24"/>
                <w:sz w:val="20"/>
                <w:szCs w:val="20"/>
                <w:lang w:eastAsia="lv-LV"/>
              </w:rPr>
              <w:t>25</w:t>
            </w:r>
          </w:p>
        </w:tc>
        <w:tc>
          <w:tcPr>
            <w:tcW w:w="983"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2C9676D0"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62,20</w:t>
            </w:r>
          </w:p>
        </w:tc>
        <w:tc>
          <w:tcPr>
            <w:tcW w:w="983"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2358C43C"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15,0%</w:t>
            </w:r>
          </w:p>
        </w:tc>
        <w:tc>
          <w:tcPr>
            <w:tcW w:w="1127"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1F6CEDE4"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351,80</w:t>
            </w:r>
          </w:p>
        </w:tc>
        <w:tc>
          <w:tcPr>
            <w:tcW w:w="103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30EF113B"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85,0%</w:t>
            </w:r>
          </w:p>
        </w:tc>
        <w:tc>
          <w:tcPr>
            <w:tcW w:w="838"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vAlign w:val="center"/>
          </w:tcPr>
          <w:p w14:paraId="5E74D042" w14:textId="77777777" w:rsidR="00860B45" w:rsidRPr="00860B45" w:rsidRDefault="00860B45" w:rsidP="000F652A">
            <w:pPr>
              <w:jc w:val="center"/>
              <w:rPr>
                <w:rFonts w:eastAsia="Calibri" w:cs="Times New Roman"/>
                <w:b/>
                <w:color w:val="000000" w:themeColor="text1"/>
                <w:kern w:val="24"/>
                <w:sz w:val="20"/>
                <w:szCs w:val="20"/>
                <w:lang w:eastAsia="lv-LV"/>
              </w:rPr>
            </w:pPr>
            <w:r w:rsidRPr="00860B45">
              <w:rPr>
                <w:rFonts w:eastAsia="Calibri" w:cs="Times New Roman"/>
                <w:b/>
                <w:color w:val="000000" w:themeColor="text1"/>
                <w:kern w:val="24"/>
                <w:sz w:val="20"/>
                <w:szCs w:val="20"/>
                <w:lang w:eastAsia="lv-LV"/>
              </w:rPr>
              <w:t>10,17</w:t>
            </w:r>
          </w:p>
        </w:tc>
      </w:tr>
      <w:tr w:rsidR="00860B45" w:rsidRPr="008949BF" w14:paraId="65B1A38D" w14:textId="77777777" w:rsidTr="00042C28">
        <w:trPr>
          <w:trHeight w:val="299"/>
        </w:trPr>
        <w:tc>
          <w:tcPr>
            <w:tcW w:w="2344"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bottom"/>
            <w:hideMark/>
          </w:tcPr>
          <w:p w14:paraId="6E7B6647" w14:textId="77777777" w:rsidR="00860B45" w:rsidRPr="00860B45" w:rsidRDefault="00860B45" w:rsidP="000F652A">
            <w:pP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LPG (autogāze) (1000 kg)</w:t>
            </w:r>
          </w:p>
        </w:tc>
        <w:tc>
          <w:tcPr>
            <w:tcW w:w="1100"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D9D9D9" w:themeFill="background1" w:themeFillShade="D9"/>
            <w:tcMar>
              <w:top w:w="15" w:type="dxa"/>
              <w:left w:w="108" w:type="dxa"/>
              <w:bottom w:w="0" w:type="dxa"/>
              <w:right w:w="108" w:type="dxa"/>
            </w:tcMar>
            <w:vAlign w:val="center"/>
            <w:hideMark/>
          </w:tcPr>
          <w:p w14:paraId="0F0FAD0E"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285</w:t>
            </w:r>
          </w:p>
        </w:tc>
        <w:tc>
          <w:tcPr>
            <w:tcW w:w="843"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676E9DEB" w14:textId="77777777" w:rsidR="00860B45" w:rsidRPr="00860B45" w:rsidRDefault="00860B45" w:rsidP="000F652A">
            <w:pPr>
              <w:jc w:val="center"/>
              <w:rPr>
                <w:rFonts w:eastAsia="Times New Roman" w:cs="Times New Roman"/>
                <w:b/>
                <w:sz w:val="20"/>
                <w:szCs w:val="20"/>
                <w:lang w:eastAsia="lv-LV"/>
              </w:rPr>
            </w:pPr>
            <w:r w:rsidRPr="00860B45">
              <w:rPr>
                <w:rFonts w:eastAsia="Calibri" w:cs="Times New Roman"/>
                <w:b/>
                <w:color w:val="FF0000"/>
                <w:kern w:val="24"/>
                <w:sz w:val="20"/>
                <w:szCs w:val="20"/>
                <w:lang w:eastAsia="lv-LV"/>
              </w:rPr>
              <w:t>25</w:t>
            </w:r>
          </w:p>
        </w:tc>
        <w:tc>
          <w:tcPr>
            <w:tcW w:w="983"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19AD242E"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72,57</w:t>
            </w:r>
          </w:p>
        </w:tc>
        <w:tc>
          <w:tcPr>
            <w:tcW w:w="983"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2251AA17"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25,5%</w:t>
            </w:r>
          </w:p>
        </w:tc>
        <w:tc>
          <w:tcPr>
            <w:tcW w:w="1127"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31F702BB"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212,44</w:t>
            </w:r>
          </w:p>
        </w:tc>
        <w:tc>
          <w:tcPr>
            <w:tcW w:w="103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6C30999F"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74,5%</w:t>
            </w:r>
          </w:p>
        </w:tc>
        <w:tc>
          <w:tcPr>
            <w:tcW w:w="838"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vAlign w:val="center"/>
          </w:tcPr>
          <w:p w14:paraId="1F8252DD" w14:textId="77777777" w:rsidR="00860B45" w:rsidRPr="00860B45" w:rsidRDefault="00860B45" w:rsidP="000F652A">
            <w:pPr>
              <w:jc w:val="center"/>
              <w:rPr>
                <w:rFonts w:eastAsia="Calibri" w:cs="Times New Roman"/>
                <w:b/>
                <w:color w:val="000000" w:themeColor="text1"/>
                <w:kern w:val="24"/>
                <w:sz w:val="20"/>
                <w:szCs w:val="20"/>
                <w:lang w:eastAsia="lv-LV"/>
              </w:rPr>
            </w:pPr>
            <w:r w:rsidRPr="00860B45">
              <w:rPr>
                <w:rFonts w:eastAsia="Calibri" w:cs="Times New Roman"/>
                <w:b/>
                <w:color w:val="000000" w:themeColor="text1"/>
                <w:kern w:val="24"/>
                <w:sz w:val="20"/>
                <w:szCs w:val="20"/>
                <w:lang w:eastAsia="lv-LV"/>
              </w:rPr>
              <w:t>4,62</w:t>
            </w:r>
          </w:p>
        </w:tc>
      </w:tr>
      <w:tr w:rsidR="00860B45" w:rsidRPr="008949BF" w14:paraId="48A04CB1" w14:textId="77777777" w:rsidTr="00042C28">
        <w:trPr>
          <w:trHeight w:val="299"/>
        </w:trPr>
        <w:tc>
          <w:tcPr>
            <w:tcW w:w="2344"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bottom"/>
            <w:hideMark/>
          </w:tcPr>
          <w:p w14:paraId="6ADC4C0F" w14:textId="77777777" w:rsidR="00860B45" w:rsidRPr="00860B45" w:rsidRDefault="00860B45" w:rsidP="000F652A">
            <w:pP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Dabasgāze (1000 m</w:t>
            </w:r>
            <w:r w:rsidRPr="00860B45">
              <w:rPr>
                <w:rFonts w:eastAsia="Calibri" w:cs="Times New Roman"/>
                <w:color w:val="000000" w:themeColor="text1"/>
                <w:kern w:val="24"/>
                <w:position w:val="7"/>
                <w:sz w:val="20"/>
                <w:szCs w:val="20"/>
                <w:vertAlign w:val="superscript"/>
                <w:lang w:eastAsia="lv-LV"/>
              </w:rPr>
              <w:t>3</w:t>
            </w:r>
            <w:r w:rsidRPr="00860B45">
              <w:rPr>
                <w:rFonts w:eastAsia="Calibri" w:cs="Times New Roman"/>
                <w:color w:val="000000" w:themeColor="text1"/>
                <w:kern w:val="24"/>
                <w:sz w:val="20"/>
                <w:szCs w:val="20"/>
                <w:lang w:eastAsia="lv-LV"/>
              </w:rPr>
              <w:t>)</w:t>
            </w:r>
          </w:p>
        </w:tc>
        <w:tc>
          <w:tcPr>
            <w:tcW w:w="1100"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D9D9D9" w:themeFill="background1" w:themeFillShade="D9"/>
            <w:tcMar>
              <w:top w:w="15" w:type="dxa"/>
              <w:left w:w="108" w:type="dxa"/>
              <w:bottom w:w="0" w:type="dxa"/>
              <w:right w:w="108" w:type="dxa"/>
            </w:tcMar>
            <w:vAlign w:val="center"/>
            <w:hideMark/>
          </w:tcPr>
          <w:p w14:paraId="205ED49C"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101</w:t>
            </w:r>
          </w:p>
        </w:tc>
        <w:tc>
          <w:tcPr>
            <w:tcW w:w="843"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710F3392" w14:textId="77777777" w:rsidR="00860B45" w:rsidRPr="00860B45" w:rsidRDefault="00860B45" w:rsidP="000F652A">
            <w:pPr>
              <w:jc w:val="center"/>
              <w:rPr>
                <w:rFonts w:eastAsia="Times New Roman" w:cs="Times New Roman"/>
                <w:b/>
                <w:sz w:val="20"/>
                <w:szCs w:val="20"/>
                <w:lang w:eastAsia="lv-LV"/>
              </w:rPr>
            </w:pPr>
            <w:r w:rsidRPr="00860B45">
              <w:rPr>
                <w:rFonts w:eastAsia="Calibri" w:cs="Times New Roman"/>
                <w:b/>
                <w:color w:val="FF0000"/>
                <w:kern w:val="24"/>
                <w:sz w:val="20"/>
                <w:szCs w:val="20"/>
                <w:lang w:eastAsia="lv-LV"/>
              </w:rPr>
              <w:t>25</w:t>
            </w:r>
          </w:p>
        </w:tc>
        <w:tc>
          <w:tcPr>
            <w:tcW w:w="983"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6F3A4C24"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47,70</w:t>
            </w:r>
          </w:p>
        </w:tc>
        <w:tc>
          <w:tcPr>
            <w:tcW w:w="983"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2A87F4B2"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47,2%</w:t>
            </w:r>
          </w:p>
        </w:tc>
        <w:tc>
          <w:tcPr>
            <w:tcW w:w="1127"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3CC30EA1"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b/>
                <w:bCs/>
                <w:color w:val="000000" w:themeColor="text1"/>
                <w:kern w:val="24"/>
                <w:sz w:val="20"/>
                <w:szCs w:val="20"/>
                <w:lang w:eastAsia="lv-LV"/>
              </w:rPr>
              <w:t>53,27</w:t>
            </w:r>
          </w:p>
        </w:tc>
        <w:tc>
          <w:tcPr>
            <w:tcW w:w="103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221518A6" w14:textId="77777777" w:rsidR="00860B45" w:rsidRPr="00860B45" w:rsidRDefault="00860B45" w:rsidP="000F652A">
            <w:pPr>
              <w:jc w:val="center"/>
              <w:rPr>
                <w:rFonts w:eastAsia="Times New Roman" w:cs="Times New Roman"/>
                <w:sz w:val="20"/>
                <w:szCs w:val="20"/>
                <w:lang w:eastAsia="lv-LV"/>
              </w:rPr>
            </w:pPr>
            <w:r w:rsidRPr="00860B45">
              <w:rPr>
                <w:rFonts w:eastAsia="Calibri" w:cs="Times New Roman"/>
                <w:color w:val="000000" w:themeColor="text1"/>
                <w:kern w:val="24"/>
                <w:sz w:val="20"/>
                <w:szCs w:val="20"/>
                <w:lang w:eastAsia="lv-LV"/>
              </w:rPr>
              <w:t>52,8%</w:t>
            </w:r>
          </w:p>
        </w:tc>
        <w:tc>
          <w:tcPr>
            <w:tcW w:w="838"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vAlign w:val="center"/>
          </w:tcPr>
          <w:p w14:paraId="1E5F49D6" w14:textId="77777777" w:rsidR="00860B45" w:rsidRPr="00860B45" w:rsidRDefault="00860B45" w:rsidP="000F652A">
            <w:pPr>
              <w:jc w:val="center"/>
              <w:rPr>
                <w:rFonts w:eastAsia="Calibri" w:cs="Times New Roman"/>
                <w:b/>
                <w:color w:val="000000" w:themeColor="text1"/>
                <w:kern w:val="24"/>
                <w:sz w:val="20"/>
                <w:szCs w:val="20"/>
                <w:lang w:eastAsia="lv-LV"/>
              </w:rPr>
            </w:pPr>
            <w:r w:rsidRPr="00860B45">
              <w:rPr>
                <w:rFonts w:eastAsia="Calibri" w:cs="Times New Roman"/>
                <w:b/>
                <w:color w:val="000000" w:themeColor="text1"/>
                <w:kern w:val="24"/>
                <w:sz w:val="20"/>
                <w:szCs w:val="20"/>
                <w:lang w:eastAsia="lv-LV"/>
              </w:rPr>
              <w:t>1,57</w:t>
            </w:r>
          </w:p>
        </w:tc>
      </w:tr>
      <w:tr w:rsidR="00042C28" w:rsidRPr="008949BF" w14:paraId="3448C563" w14:textId="77777777" w:rsidTr="00042C28">
        <w:trPr>
          <w:trHeight w:val="332"/>
        </w:trPr>
        <w:tc>
          <w:tcPr>
            <w:tcW w:w="3444"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vAlign w:val="center"/>
          </w:tcPr>
          <w:p w14:paraId="48AAF3BF" w14:textId="77777777" w:rsidR="00042C28" w:rsidRPr="008B1E89" w:rsidRDefault="00042C28" w:rsidP="00042C28">
            <w:pPr>
              <w:rPr>
                <w:rFonts w:eastAsia="Calibri" w:cs="Times New Roman"/>
                <w:b/>
                <w:color w:val="000000" w:themeColor="text1"/>
                <w:kern w:val="24"/>
                <w:sz w:val="22"/>
                <w:lang w:eastAsia="lv-LV"/>
              </w:rPr>
            </w:pPr>
            <w:r w:rsidRPr="00F519AB">
              <w:rPr>
                <w:b/>
                <w:sz w:val="22"/>
              </w:rPr>
              <w:t xml:space="preserve">Fiskālā ietekme, </w:t>
            </w:r>
            <w:r w:rsidRPr="00F519AB">
              <w:rPr>
                <w:i/>
                <w:sz w:val="22"/>
              </w:rPr>
              <w:t>milj. euro</w:t>
            </w:r>
          </w:p>
        </w:tc>
        <w:tc>
          <w:tcPr>
            <w:tcW w:w="5813" w:type="dxa"/>
            <w:gridSpan w:val="6"/>
            <w:tcBorders>
              <w:top w:val="single" w:sz="8" w:space="0" w:color="000000"/>
              <w:left w:val="single" w:sz="8" w:space="0" w:color="000000"/>
              <w:bottom w:val="single" w:sz="8" w:space="0" w:color="000000"/>
              <w:right w:val="single" w:sz="8" w:space="0" w:color="000000"/>
            </w:tcBorders>
            <w:shd w:val="clear" w:color="auto" w:fill="FFE599" w:themeFill="accent4" w:themeFillTint="66"/>
            <w:vAlign w:val="center"/>
          </w:tcPr>
          <w:p w14:paraId="6155D13C" w14:textId="77777777" w:rsidR="00042C28" w:rsidRPr="008B1E89" w:rsidRDefault="00042C28" w:rsidP="00042C28">
            <w:pPr>
              <w:jc w:val="center"/>
              <w:rPr>
                <w:rFonts w:eastAsia="Calibri" w:cs="Times New Roman"/>
                <w:b/>
                <w:color w:val="000000" w:themeColor="text1"/>
                <w:kern w:val="24"/>
                <w:sz w:val="22"/>
                <w:lang w:eastAsia="lv-LV"/>
              </w:rPr>
            </w:pPr>
            <w:r>
              <w:rPr>
                <w:rFonts w:eastAsia="Calibri" w:cs="Times New Roman"/>
                <w:b/>
                <w:color w:val="000000" w:themeColor="text1"/>
                <w:kern w:val="24"/>
                <w:sz w:val="22"/>
                <w:lang w:eastAsia="lv-LV"/>
              </w:rPr>
              <w:t>-</w:t>
            </w:r>
          </w:p>
        </w:tc>
      </w:tr>
    </w:tbl>
    <w:p w14:paraId="66C93197" w14:textId="77777777" w:rsidR="00860B45" w:rsidRPr="00E45400" w:rsidRDefault="00860B45" w:rsidP="00860B45">
      <w:pPr>
        <w:pStyle w:val="ListParagraph"/>
        <w:ind w:left="284"/>
        <w:rPr>
          <w:sz w:val="25"/>
          <w:szCs w:val="25"/>
        </w:rPr>
      </w:pPr>
    </w:p>
    <w:p w14:paraId="4F806AC3" w14:textId="77777777" w:rsidR="00860B45" w:rsidRDefault="00860B45" w:rsidP="00B37721">
      <w:pPr>
        <w:spacing w:after="120"/>
        <w:ind w:firstLine="709"/>
        <w:jc w:val="both"/>
        <w:rPr>
          <w:sz w:val="26"/>
          <w:szCs w:val="26"/>
        </w:rPr>
      </w:pPr>
      <w:r>
        <w:rPr>
          <w:sz w:val="26"/>
          <w:szCs w:val="26"/>
        </w:rPr>
        <w:t>K</w:t>
      </w:r>
      <w:r w:rsidRPr="00EA2AD2">
        <w:rPr>
          <w:sz w:val="26"/>
          <w:szCs w:val="26"/>
        </w:rPr>
        <w:t xml:space="preserve">orekcijas attiecībā uz AN </w:t>
      </w:r>
      <w:r>
        <w:rPr>
          <w:rFonts w:cs="Times New Roman"/>
          <w:sz w:val="26"/>
          <w:szCs w:val="26"/>
        </w:rPr>
        <w:t>n</w:t>
      </w:r>
      <w:r w:rsidRPr="005F7FE3">
        <w:rPr>
          <w:rFonts w:cs="Times New Roman"/>
          <w:sz w:val="26"/>
          <w:szCs w:val="26"/>
        </w:rPr>
        <w:t xml:space="preserve">aftas produktiem </w:t>
      </w:r>
      <w:r w:rsidRPr="00EA2AD2">
        <w:rPr>
          <w:sz w:val="26"/>
          <w:szCs w:val="26"/>
        </w:rPr>
        <w:t>veikt tikai tādā gadījumā, ja CO</w:t>
      </w:r>
      <w:r w:rsidRPr="00DC2CF7">
        <w:rPr>
          <w:sz w:val="26"/>
          <w:szCs w:val="26"/>
          <w:vertAlign w:val="subscript"/>
        </w:rPr>
        <w:t>2</w:t>
      </w:r>
      <w:r w:rsidRPr="00EA2AD2">
        <w:rPr>
          <w:sz w:val="26"/>
          <w:szCs w:val="26"/>
        </w:rPr>
        <w:t xml:space="preserve"> cena pieaug vairāk kā 5 </w:t>
      </w:r>
      <w:r w:rsidRPr="004C174B">
        <w:rPr>
          <w:i/>
          <w:sz w:val="26"/>
          <w:szCs w:val="26"/>
        </w:rPr>
        <w:t>euro</w:t>
      </w:r>
      <w:r w:rsidRPr="00EA2AD2">
        <w:rPr>
          <w:sz w:val="26"/>
          <w:szCs w:val="26"/>
        </w:rPr>
        <w:t>/t, ņemot vērā iepriekš aprēķināto CO</w:t>
      </w:r>
      <w:r w:rsidRPr="00DC2CF7">
        <w:rPr>
          <w:sz w:val="26"/>
          <w:szCs w:val="26"/>
          <w:vertAlign w:val="subscript"/>
        </w:rPr>
        <w:t>2</w:t>
      </w:r>
      <w:r w:rsidRPr="00EA2AD2">
        <w:rPr>
          <w:sz w:val="26"/>
          <w:szCs w:val="26"/>
        </w:rPr>
        <w:t xml:space="preserve"> komponenti</w:t>
      </w:r>
      <w:r>
        <w:rPr>
          <w:sz w:val="26"/>
          <w:szCs w:val="26"/>
        </w:rPr>
        <w:t>.</w:t>
      </w:r>
    </w:p>
    <w:p w14:paraId="0C8C8CD1" w14:textId="77777777" w:rsidR="00860B45" w:rsidRPr="002B4F8E" w:rsidRDefault="00860B45" w:rsidP="002B4F8E">
      <w:pPr>
        <w:spacing w:after="120"/>
        <w:ind w:firstLine="709"/>
        <w:jc w:val="both"/>
        <w:rPr>
          <w:sz w:val="26"/>
          <w:szCs w:val="26"/>
        </w:rPr>
      </w:pPr>
      <w:r w:rsidRPr="002B4F8E">
        <w:rPr>
          <w:sz w:val="26"/>
          <w:szCs w:val="26"/>
        </w:rPr>
        <w:t>CO</w:t>
      </w:r>
      <w:r w:rsidRPr="002B4F8E">
        <w:rPr>
          <w:sz w:val="26"/>
          <w:szCs w:val="26"/>
          <w:vertAlign w:val="subscript"/>
        </w:rPr>
        <w:t>2</w:t>
      </w:r>
      <w:r w:rsidRPr="002B4F8E">
        <w:rPr>
          <w:sz w:val="26"/>
          <w:szCs w:val="26"/>
        </w:rPr>
        <w:t xml:space="preserve"> komponenti nepiemērot ilgtspējīgām biodegvielām (biodīzeļdegvielai, bioetanolam, biometānam un parafinizētajai biodīzeļdegvielai) vai kurināmajiem, bet noteikt tikai enerģijas komponenti </w:t>
      </w:r>
      <w:r w:rsidRPr="002B4F8E">
        <w:rPr>
          <w:sz w:val="26"/>
          <w:szCs w:val="26"/>
        </w:rPr>
        <w:lastRenderedPageBreak/>
        <w:t xml:space="preserve">atbilstoši biodegvielu enerģijas saturam. Nosakot enerģijas komponenti -10 </w:t>
      </w:r>
      <w:r w:rsidRPr="002B4F8E">
        <w:rPr>
          <w:i/>
          <w:sz w:val="26"/>
          <w:szCs w:val="26"/>
        </w:rPr>
        <w:t>euro</w:t>
      </w:r>
      <w:r w:rsidRPr="002B4F8E">
        <w:rPr>
          <w:sz w:val="26"/>
          <w:szCs w:val="26"/>
        </w:rPr>
        <w:t xml:space="preserve"> par GJ, tad AN likme biodīzeļdegvielai būtu 330 </w:t>
      </w:r>
      <w:r w:rsidRPr="002B4F8E">
        <w:rPr>
          <w:i/>
          <w:sz w:val="26"/>
          <w:szCs w:val="26"/>
        </w:rPr>
        <w:t>euro</w:t>
      </w:r>
      <w:r w:rsidRPr="002B4F8E">
        <w:rPr>
          <w:sz w:val="26"/>
          <w:szCs w:val="26"/>
        </w:rPr>
        <w:t xml:space="preserve"> par1000 litriem</w:t>
      </w:r>
      <w:r w:rsidRPr="002B4F8E">
        <w:rPr>
          <w:rStyle w:val="FootnoteReference"/>
          <w:rFonts w:cs="Times New Roman"/>
          <w:sz w:val="26"/>
          <w:szCs w:val="26"/>
        </w:rPr>
        <w:footnoteReference w:id="3"/>
      </w:r>
      <w:r w:rsidRPr="002B4F8E">
        <w:rPr>
          <w:sz w:val="26"/>
          <w:szCs w:val="26"/>
        </w:rPr>
        <w:t>.</w:t>
      </w:r>
    </w:p>
    <w:p w14:paraId="0702D677" w14:textId="77777777" w:rsidR="00912814" w:rsidRDefault="00912814" w:rsidP="00912814">
      <w:pPr>
        <w:spacing w:after="120"/>
        <w:ind w:firstLine="709"/>
        <w:jc w:val="both"/>
        <w:rPr>
          <w:sz w:val="26"/>
          <w:szCs w:val="26"/>
        </w:rPr>
      </w:pPr>
      <w:r>
        <w:rPr>
          <w:sz w:val="26"/>
          <w:szCs w:val="26"/>
        </w:rPr>
        <w:t>L</w:t>
      </w:r>
      <w:r w:rsidRPr="00FF2242">
        <w:rPr>
          <w:sz w:val="26"/>
          <w:szCs w:val="26"/>
        </w:rPr>
        <w:t>auksaimnieku degvielai AN noteikt vismaz tādā līmenī, lai tas nosedz aprēķināto CO</w:t>
      </w:r>
      <w:r w:rsidRPr="00FF2242">
        <w:rPr>
          <w:sz w:val="26"/>
          <w:szCs w:val="26"/>
          <w:vertAlign w:val="subscript"/>
        </w:rPr>
        <w:t>2</w:t>
      </w:r>
      <w:r w:rsidRPr="00FF2242">
        <w:rPr>
          <w:sz w:val="26"/>
          <w:szCs w:val="26"/>
        </w:rPr>
        <w:t xml:space="preserve"> komponenti</w:t>
      </w:r>
      <w:r>
        <w:rPr>
          <w:sz w:val="26"/>
          <w:szCs w:val="26"/>
        </w:rPr>
        <w:t>.</w:t>
      </w:r>
      <w:r w:rsidRPr="00FF2242">
        <w:rPr>
          <w:sz w:val="26"/>
          <w:szCs w:val="26"/>
        </w:rPr>
        <w:t xml:space="preserve"> </w:t>
      </w:r>
    </w:p>
    <w:p w14:paraId="12EA50F9" w14:textId="77777777" w:rsidR="00912814" w:rsidRDefault="006C5A20" w:rsidP="00912814">
      <w:pPr>
        <w:pStyle w:val="ListParagraph"/>
        <w:spacing w:after="120"/>
        <w:ind w:left="0"/>
        <w:jc w:val="center"/>
        <w:rPr>
          <w:b/>
          <w:szCs w:val="24"/>
        </w:rPr>
      </w:pPr>
      <w:r>
        <w:rPr>
          <w:szCs w:val="24"/>
        </w:rPr>
        <w:t>12</w:t>
      </w:r>
      <w:r w:rsidR="00912814" w:rsidRPr="004A2D13">
        <w:rPr>
          <w:szCs w:val="24"/>
        </w:rPr>
        <w:t>.tab.</w:t>
      </w:r>
      <w:r w:rsidR="00912814" w:rsidRPr="004A2D13">
        <w:rPr>
          <w:b/>
          <w:szCs w:val="24"/>
        </w:rPr>
        <w:t xml:space="preserve"> </w:t>
      </w:r>
      <w:r w:rsidR="00912814" w:rsidRPr="00FF2242">
        <w:rPr>
          <w:b/>
          <w:szCs w:val="24"/>
        </w:rPr>
        <w:t>Lauksaimnieku degvielas</w:t>
      </w:r>
      <w:r w:rsidR="00912814" w:rsidRPr="00FF2242">
        <w:rPr>
          <w:sz w:val="26"/>
          <w:szCs w:val="26"/>
        </w:rPr>
        <w:t xml:space="preserve"> </w:t>
      </w:r>
      <w:r w:rsidR="00912814" w:rsidRPr="0061277B">
        <w:rPr>
          <w:b/>
          <w:szCs w:val="24"/>
        </w:rPr>
        <w:t>AN likmes CO</w:t>
      </w:r>
      <w:r w:rsidR="00912814" w:rsidRPr="0061277B">
        <w:rPr>
          <w:b/>
          <w:szCs w:val="24"/>
          <w:vertAlign w:val="subscript"/>
        </w:rPr>
        <w:t>2</w:t>
      </w:r>
      <w:r w:rsidR="00912814">
        <w:rPr>
          <w:b/>
          <w:szCs w:val="24"/>
        </w:rPr>
        <w:t xml:space="preserve"> komponentes</w:t>
      </w:r>
      <w:r w:rsidR="00912814" w:rsidRPr="0061277B">
        <w:rPr>
          <w:b/>
          <w:sz w:val="26"/>
          <w:szCs w:val="26"/>
        </w:rPr>
        <w:t xml:space="preserve"> </w:t>
      </w:r>
      <w:r w:rsidR="00912814">
        <w:rPr>
          <w:b/>
          <w:szCs w:val="24"/>
        </w:rPr>
        <w:t>noteikšana</w:t>
      </w:r>
    </w:p>
    <w:tbl>
      <w:tblPr>
        <w:tblStyle w:val="TableGrid"/>
        <w:tblW w:w="8359" w:type="dxa"/>
        <w:jc w:val="center"/>
        <w:tblLayout w:type="fixed"/>
        <w:tblLook w:val="04A0" w:firstRow="1" w:lastRow="0" w:firstColumn="1" w:lastColumn="0" w:noHBand="0" w:noVBand="1"/>
      </w:tblPr>
      <w:tblGrid>
        <w:gridCol w:w="1700"/>
        <w:gridCol w:w="991"/>
        <w:gridCol w:w="854"/>
        <w:gridCol w:w="1133"/>
        <w:gridCol w:w="1271"/>
        <w:gridCol w:w="1134"/>
        <w:gridCol w:w="1276"/>
      </w:tblGrid>
      <w:tr w:rsidR="00912814" w:rsidRPr="00904B30" w14:paraId="22913EFA" w14:textId="77777777" w:rsidTr="00912814">
        <w:trPr>
          <w:trHeight w:val="503"/>
          <w:jc w:val="center"/>
        </w:trPr>
        <w:tc>
          <w:tcPr>
            <w:tcW w:w="1700" w:type="dxa"/>
            <w:vMerge w:val="restart"/>
            <w:tcBorders>
              <w:right w:val="single" w:sz="4" w:space="0" w:color="FFFFFF" w:themeColor="background1"/>
            </w:tcBorders>
            <w:shd w:val="clear" w:color="auto" w:fill="002060"/>
          </w:tcPr>
          <w:p w14:paraId="42312DB5" w14:textId="77777777" w:rsidR="00912814" w:rsidRPr="00860B45" w:rsidRDefault="00912814" w:rsidP="004610C9">
            <w:pPr>
              <w:jc w:val="center"/>
              <w:rPr>
                <w:rFonts w:cs="Times New Roman"/>
                <w:color w:val="FFFFFF" w:themeColor="background1"/>
                <w:sz w:val="20"/>
                <w:szCs w:val="20"/>
              </w:rPr>
            </w:pPr>
          </w:p>
        </w:tc>
        <w:tc>
          <w:tcPr>
            <w:tcW w:w="1845" w:type="dxa"/>
            <w:gridSpan w:val="2"/>
            <w:vMerge w:val="restart"/>
            <w:tcBorders>
              <w:left w:val="single" w:sz="4" w:space="0" w:color="FFFFFF" w:themeColor="background1"/>
              <w:right w:val="single" w:sz="4" w:space="0" w:color="FFFFFF" w:themeColor="background1"/>
            </w:tcBorders>
            <w:shd w:val="clear" w:color="auto" w:fill="002060"/>
          </w:tcPr>
          <w:p w14:paraId="73B35D01" w14:textId="77777777" w:rsidR="00912814" w:rsidRPr="00860B45" w:rsidRDefault="00912814" w:rsidP="004610C9">
            <w:pPr>
              <w:jc w:val="center"/>
              <w:rPr>
                <w:rFonts w:cs="Times New Roman"/>
                <w:b/>
                <w:color w:val="FFFFFF" w:themeColor="background1"/>
                <w:sz w:val="20"/>
                <w:szCs w:val="20"/>
              </w:rPr>
            </w:pPr>
            <w:r w:rsidRPr="00860B45">
              <w:rPr>
                <w:rFonts w:cs="Times New Roman"/>
                <w:b/>
                <w:color w:val="FFFFFF" w:themeColor="background1"/>
                <w:sz w:val="20"/>
                <w:szCs w:val="20"/>
              </w:rPr>
              <w:t>AN likme</w:t>
            </w:r>
            <w:r w:rsidRPr="00860B45">
              <w:rPr>
                <w:rFonts w:cs="Times New Roman"/>
                <w:color w:val="FFFFFF" w:themeColor="background1"/>
                <w:sz w:val="20"/>
                <w:szCs w:val="20"/>
              </w:rPr>
              <w:t xml:space="preserve">, </w:t>
            </w:r>
            <w:r w:rsidRPr="00912814">
              <w:rPr>
                <w:rFonts w:cs="Times New Roman"/>
                <w:i/>
                <w:color w:val="FFFFFF" w:themeColor="background1"/>
                <w:sz w:val="20"/>
                <w:szCs w:val="20"/>
              </w:rPr>
              <w:t>euro par 1000 litriem</w:t>
            </w:r>
          </w:p>
        </w:tc>
        <w:tc>
          <w:tcPr>
            <w:tcW w:w="1133" w:type="dxa"/>
            <w:vMerge w:val="restart"/>
            <w:tcBorders>
              <w:left w:val="single" w:sz="4" w:space="0" w:color="FFFFFF" w:themeColor="background1"/>
              <w:right w:val="single" w:sz="4" w:space="0" w:color="FFFFFF" w:themeColor="background1"/>
            </w:tcBorders>
            <w:shd w:val="clear" w:color="auto" w:fill="002060"/>
          </w:tcPr>
          <w:p w14:paraId="4303F0EA" w14:textId="77777777" w:rsidR="00912814" w:rsidRPr="00860B45" w:rsidRDefault="00912814" w:rsidP="004610C9">
            <w:pPr>
              <w:jc w:val="center"/>
              <w:rPr>
                <w:rFonts w:cs="Times New Roman"/>
                <w:b/>
                <w:color w:val="FFFFFF" w:themeColor="background1"/>
                <w:sz w:val="20"/>
                <w:szCs w:val="20"/>
              </w:rPr>
            </w:pPr>
            <w:r w:rsidRPr="00860B45">
              <w:rPr>
                <w:rFonts w:cs="Times New Roman"/>
                <w:b/>
                <w:color w:val="FFFFFF" w:themeColor="background1"/>
                <w:sz w:val="20"/>
                <w:szCs w:val="20"/>
              </w:rPr>
              <w:t>AN likme 2021.gadā</w:t>
            </w:r>
            <w:r w:rsidRPr="00860B45">
              <w:rPr>
                <w:rFonts w:cs="Times New Roman"/>
                <w:color w:val="FFFFFF" w:themeColor="background1"/>
                <w:sz w:val="20"/>
                <w:szCs w:val="20"/>
              </w:rPr>
              <w:t xml:space="preserve">, </w:t>
            </w:r>
            <w:r w:rsidRPr="00860B45">
              <w:rPr>
                <w:rFonts w:cs="Times New Roman"/>
                <w:i/>
                <w:color w:val="FFFFFF" w:themeColor="background1"/>
                <w:sz w:val="20"/>
                <w:szCs w:val="20"/>
              </w:rPr>
              <w:t>euro</w:t>
            </w:r>
            <w:r w:rsidRPr="00860B45">
              <w:rPr>
                <w:rFonts w:cs="Times New Roman"/>
                <w:color w:val="FFFFFF" w:themeColor="background1"/>
                <w:sz w:val="20"/>
                <w:szCs w:val="20"/>
              </w:rPr>
              <w:t xml:space="preserve"> </w:t>
            </w:r>
            <w:r w:rsidRPr="00860B45">
              <w:rPr>
                <w:rFonts w:cs="Times New Roman"/>
                <w:i/>
                <w:color w:val="FFFFFF" w:themeColor="background1"/>
                <w:sz w:val="20"/>
                <w:szCs w:val="20"/>
              </w:rPr>
              <w:t>par 1000 litriem</w:t>
            </w:r>
          </w:p>
        </w:tc>
        <w:tc>
          <w:tcPr>
            <w:tcW w:w="1271" w:type="dxa"/>
            <w:vMerge w:val="restart"/>
            <w:tcBorders>
              <w:left w:val="single" w:sz="4" w:space="0" w:color="FFFFFF" w:themeColor="background1"/>
              <w:right w:val="single" w:sz="4" w:space="0" w:color="FFFFFF" w:themeColor="background1"/>
            </w:tcBorders>
            <w:shd w:val="clear" w:color="auto" w:fill="002060"/>
          </w:tcPr>
          <w:p w14:paraId="093E1D19" w14:textId="77777777" w:rsidR="00912814" w:rsidRPr="00860B45" w:rsidRDefault="00912814" w:rsidP="004610C9">
            <w:pPr>
              <w:jc w:val="center"/>
              <w:rPr>
                <w:rFonts w:cs="Times New Roman"/>
                <w:b/>
                <w:color w:val="FFFFFF" w:themeColor="background1"/>
                <w:sz w:val="20"/>
                <w:szCs w:val="20"/>
              </w:rPr>
            </w:pPr>
            <w:r w:rsidRPr="00860B45">
              <w:rPr>
                <w:rFonts w:cs="Times New Roman"/>
                <w:b/>
                <w:color w:val="FFFFFF" w:themeColor="background1"/>
                <w:sz w:val="20"/>
                <w:szCs w:val="20"/>
              </w:rPr>
              <w:t>CO</w:t>
            </w:r>
            <w:r w:rsidRPr="00860B45">
              <w:rPr>
                <w:rFonts w:cs="Times New Roman"/>
                <w:b/>
                <w:color w:val="FFFFFF" w:themeColor="background1"/>
                <w:sz w:val="20"/>
                <w:szCs w:val="20"/>
                <w:vertAlign w:val="subscript"/>
              </w:rPr>
              <w:t>2</w:t>
            </w:r>
            <w:r w:rsidRPr="00860B45">
              <w:rPr>
                <w:rFonts w:cs="Times New Roman"/>
                <w:b/>
                <w:color w:val="FFFFFF" w:themeColor="background1"/>
                <w:sz w:val="20"/>
                <w:szCs w:val="20"/>
              </w:rPr>
              <w:t xml:space="preserve"> kompon</w:t>
            </w:r>
            <w:r>
              <w:rPr>
                <w:rFonts w:cs="Times New Roman"/>
                <w:b/>
                <w:color w:val="FFFFFF" w:themeColor="background1"/>
                <w:sz w:val="20"/>
                <w:szCs w:val="20"/>
              </w:rPr>
              <w:t>en-</w:t>
            </w:r>
            <w:r w:rsidRPr="00860B45">
              <w:rPr>
                <w:rFonts w:cs="Times New Roman"/>
                <w:b/>
                <w:color w:val="FFFFFF" w:themeColor="background1"/>
                <w:sz w:val="20"/>
                <w:szCs w:val="20"/>
              </w:rPr>
              <w:t>t</w:t>
            </w:r>
            <w:r w:rsidRPr="00860B45">
              <w:rPr>
                <w:rFonts w:cs="Times New Roman"/>
                <w:color w:val="FFFFFF" w:themeColor="background1"/>
                <w:sz w:val="20"/>
                <w:szCs w:val="20"/>
              </w:rPr>
              <w:t xml:space="preserve">e, </w:t>
            </w:r>
            <w:r w:rsidRPr="00860B45">
              <w:rPr>
                <w:rFonts w:cs="Times New Roman"/>
                <w:i/>
                <w:color w:val="FFFFFF" w:themeColor="background1"/>
                <w:sz w:val="20"/>
                <w:szCs w:val="20"/>
              </w:rPr>
              <w:t>euro</w:t>
            </w:r>
          </w:p>
        </w:tc>
        <w:tc>
          <w:tcPr>
            <w:tcW w:w="2410" w:type="dxa"/>
            <w:gridSpan w:val="2"/>
            <w:tcBorders>
              <w:left w:val="single" w:sz="4" w:space="0" w:color="FFFFFF" w:themeColor="background1"/>
              <w:bottom w:val="single" w:sz="4" w:space="0" w:color="FFFFFF" w:themeColor="background1"/>
            </w:tcBorders>
            <w:shd w:val="clear" w:color="auto" w:fill="002060"/>
          </w:tcPr>
          <w:p w14:paraId="2EEF04A0" w14:textId="77777777" w:rsidR="00912814" w:rsidRPr="00860B45" w:rsidRDefault="00912814" w:rsidP="004610C9">
            <w:pPr>
              <w:jc w:val="center"/>
              <w:rPr>
                <w:rFonts w:cs="Times New Roman"/>
                <w:b/>
                <w:color w:val="FFFFFF" w:themeColor="background1"/>
                <w:sz w:val="20"/>
                <w:szCs w:val="20"/>
              </w:rPr>
            </w:pPr>
            <w:r>
              <w:rPr>
                <w:rFonts w:cs="Times New Roman"/>
                <w:b/>
                <w:color w:val="FFFFFF" w:themeColor="background1"/>
                <w:sz w:val="20"/>
                <w:szCs w:val="20"/>
              </w:rPr>
              <w:t>Ietekme uz cenu,</w:t>
            </w:r>
            <w:r w:rsidRPr="00860B45">
              <w:rPr>
                <w:rFonts w:cs="Times New Roman"/>
                <w:i/>
                <w:color w:val="FFFFFF" w:themeColor="background1"/>
                <w:sz w:val="20"/>
                <w:szCs w:val="20"/>
              </w:rPr>
              <w:t xml:space="preserve"> euro</w:t>
            </w:r>
            <w:r w:rsidRPr="00860B45">
              <w:rPr>
                <w:rFonts w:cs="Times New Roman"/>
                <w:color w:val="FFFFFF" w:themeColor="background1"/>
                <w:sz w:val="20"/>
                <w:szCs w:val="20"/>
              </w:rPr>
              <w:t xml:space="preserve"> </w:t>
            </w:r>
            <w:r w:rsidRPr="00860B45">
              <w:rPr>
                <w:rFonts w:cs="Times New Roman"/>
                <w:i/>
                <w:color w:val="FFFFFF" w:themeColor="background1"/>
                <w:sz w:val="20"/>
                <w:szCs w:val="20"/>
              </w:rPr>
              <w:t>uz litru</w:t>
            </w:r>
          </w:p>
        </w:tc>
      </w:tr>
      <w:tr w:rsidR="00912814" w:rsidRPr="00904B30" w14:paraId="60373EE5" w14:textId="77777777" w:rsidTr="00912814">
        <w:trPr>
          <w:trHeight w:val="230"/>
          <w:jc w:val="center"/>
        </w:trPr>
        <w:tc>
          <w:tcPr>
            <w:tcW w:w="1700" w:type="dxa"/>
            <w:vMerge/>
            <w:tcBorders>
              <w:right w:val="single" w:sz="4" w:space="0" w:color="FFFFFF" w:themeColor="background1"/>
            </w:tcBorders>
            <w:shd w:val="clear" w:color="auto" w:fill="002060"/>
          </w:tcPr>
          <w:p w14:paraId="3929AFEC" w14:textId="77777777" w:rsidR="00912814" w:rsidRPr="00860B45" w:rsidRDefault="00912814" w:rsidP="004610C9">
            <w:pPr>
              <w:jc w:val="center"/>
              <w:rPr>
                <w:rFonts w:cs="Times New Roman"/>
                <w:color w:val="FFFFFF" w:themeColor="background1"/>
                <w:sz w:val="20"/>
                <w:szCs w:val="20"/>
              </w:rPr>
            </w:pPr>
          </w:p>
        </w:tc>
        <w:tc>
          <w:tcPr>
            <w:tcW w:w="1845" w:type="dxa"/>
            <w:gridSpan w:val="2"/>
            <w:vMerge/>
            <w:tcBorders>
              <w:left w:val="single" w:sz="4" w:space="0" w:color="FFFFFF" w:themeColor="background1"/>
              <w:bottom w:val="single" w:sz="4" w:space="0" w:color="FFFFFF" w:themeColor="background1"/>
              <w:right w:val="single" w:sz="4" w:space="0" w:color="FFFFFF" w:themeColor="background1"/>
            </w:tcBorders>
            <w:shd w:val="clear" w:color="auto" w:fill="002060"/>
          </w:tcPr>
          <w:p w14:paraId="0F4EC5EE" w14:textId="77777777" w:rsidR="00912814" w:rsidRPr="00860B45" w:rsidRDefault="00912814" w:rsidP="004610C9">
            <w:pPr>
              <w:jc w:val="center"/>
              <w:rPr>
                <w:rFonts w:cs="Times New Roman"/>
                <w:color w:val="FFFFFF" w:themeColor="background1"/>
                <w:sz w:val="20"/>
                <w:szCs w:val="20"/>
              </w:rPr>
            </w:pPr>
          </w:p>
        </w:tc>
        <w:tc>
          <w:tcPr>
            <w:tcW w:w="1133" w:type="dxa"/>
            <w:vMerge/>
            <w:tcBorders>
              <w:left w:val="single" w:sz="4" w:space="0" w:color="FFFFFF" w:themeColor="background1"/>
              <w:right w:val="single" w:sz="4" w:space="0" w:color="FFFFFF" w:themeColor="background1"/>
            </w:tcBorders>
            <w:shd w:val="clear" w:color="auto" w:fill="002060"/>
          </w:tcPr>
          <w:p w14:paraId="5C0C0317" w14:textId="77777777" w:rsidR="00912814" w:rsidRPr="00860B45" w:rsidRDefault="00912814" w:rsidP="004610C9">
            <w:pPr>
              <w:jc w:val="center"/>
              <w:rPr>
                <w:rFonts w:cs="Times New Roman"/>
                <w:b/>
                <w:color w:val="FFFFFF" w:themeColor="background1"/>
                <w:sz w:val="20"/>
                <w:szCs w:val="20"/>
              </w:rPr>
            </w:pPr>
          </w:p>
        </w:tc>
        <w:tc>
          <w:tcPr>
            <w:tcW w:w="1271" w:type="dxa"/>
            <w:vMerge/>
            <w:tcBorders>
              <w:left w:val="single" w:sz="4" w:space="0" w:color="FFFFFF" w:themeColor="background1"/>
              <w:right w:val="single" w:sz="4" w:space="0" w:color="FFFFFF" w:themeColor="background1"/>
            </w:tcBorders>
            <w:shd w:val="clear" w:color="auto" w:fill="002060"/>
          </w:tcPr>
          <w:p w14:paraId="53DF7C12" w14:textId="77777777" w:rsidR="00912814" w:rsidRPr="00860B45" w:rsidRDefault="00912814" w:rsidP="004610C9">
            <w:pPr>
              <w:jc w:val="center"/>
              <w:rPr>
                <w:rFonts w:cs="Times New Roman"/>
                <w:color w:val="FFFFFF" w:themeColor="background1"/>
                <w:sz w:val="20"/>
                <w:szCs w:val="20"/>
              </w:rPr>
            </w:pPr>
          </w:p>
        </w:tc>
        <w:tc>
          <w:tcPr>
            <w:tcW w:w="1134"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14:paraId="3FA79BE6" w14:textId="77777777" w:rsidR="00912814" w:rsidRPr="00860B45" w:rsidRDefault="00912814" w:rsidP="004610C9">
            <w:pPr>
              <w:jc w:val="center"/>
              <w:rPr>
                <w:rFonts w:cs="Times New Roman"/>
                <w:color w:val="FFFFFF" w:themeColor="background1"/>
                <w:sz w:val="20"/>
                <w:szCs w:val="20"/>
              </w:rPr>
            </w:pPr>
            <w:r w:rsidRPr="00860B45">
              <w:rPr>
                <w:rFonts w:cs="Times New Roman"/>
                <w:b/>
                <w:color w:val="FFFFFF" w:themeColor="background1"/>
                <w:sz w:val="20"/>
                <w:szCs w:val="20"/>
              </w:rPr>
              <w:t>AN izmaiņa</w:t>
            </w:r>
            <w:r>
              <w:rPr>
                <w:rFonts w:cs="Times New Roman"/>
                <w:color w:val="FFFFFF" w:themeColor="background1"/>
                <w:sz w:val="20"/>
                <w:szCs w:val="20"/>
              </w:rPr>
              <w:t>,</w:t>
            </w:r>
          </w:p>
        </w:tc>
        <w:tc>
          <w:tcPr>
            <w:tcW w:w="1276" w:type="dxa"/>
            <w:vMerge w:val="restart"/>
            <w:tcBorders>
              <w:top w:val="single" w:sz="4" w:space="0" w:color="FFFFFF" w:themeColor="background1"/>
              <w:left w:val="single" w:sz="4" w:space="0" w:color="FFFFFF" w:themeColor="background1"/>
            </w:tcBorders>
            <w:shd w:val="clear" w:color="auto" w:fill="002060"/>
          </w:tcPr>
          <w:p w14:paraId="1C14ACD6" w14:textId="77777777" w:rsidR="00912814" w:rsidRPr="00860B45" w:rsidRDefault="00912814" w:rsidP="004610C9">
            <w:pPr>
              <w:jc w:val="center"/>
              <w:rPr>
                <w:rFonts w:cs="Times New Roman"/>
                <w:color w:val="FFFFFF" w:themeColor="background1"/>
                <w:sz w:val="20"/>
                <w:szCs w:val="20"/>
              </w:rPr>
            </w:pPr>
            <w:r w:rsidRPr="00860B45">
              <w:rPr>
                <w:rFonts w:cs="Times New Roman"/>
                <w:b/>
                <w:color w:val="FFFFFF" w:themeColor="background1"/>
                <w:sz w:val="20"/>
                <w:szCs w:val="20"/>
              </w:rPr>
              <w:t>Izmaiņa</w:t>
            </w:r>
            <w:r w:rsidRPr="00860B45">
              <w:rPr>
                <w:rFonts w:cs="Times New Roman"/>
                <w:color w:val="FFFFFF" w:themeColor="background1"/>
                <w:sz w:val="20"/>
                <w:szCs w:val="20"/>
              </w:rPr>
              <w:t xml:space="preserve">, </w:t>
            </w:r>
            <w:r w:rsidRPr="00860B45">
              <w:rPr>
                <w:rFonts w:cs="Times New Roman"/>
                <w:i/>
                <w:color w:val="FFFFFF" w:themeColor="background1"/>
                <w:sz w:val="20"/>
                <w:szCs w:val="20"/>
              </w:rPr>
              <w:t xml:space="preserve"> ieskaitot PVN</w:t>
            </w:r>
          </w:p>
        </w:tc>
      </w:tr>
      <w:tr w:rsidR="00912814" w:rsidRPr="00904B30" w14:paraId="110A34EA" w14:textId="77777777" w:rsidTr="00912814">
        <w:trPr>
          <w:trHeight w:val="143"/>
          <w:jc w:val="center"/>
        </w:trPr>
        <w:tc>
          <w:tcPr>
            <w:tcW w:w="1700" w:type="dxa"/>
            <w:vMerge/>
            <w:tcBorders>
              <w:bottom w:val="single" w:sz="4" w:space="0" w:color="auto"/>
              <w:right w:val="single" w:sz="4" w:space="0" w:color="FFFFFF" w:themeColor="background1"/>
            </w:tcBorders>
          </w:tcPr>
          <w:p w14:paraId="4274B706" w14:textId="77777777" w:rsidR="00912814" w:rsidRPr="00FF2242" w:rsidRDefault="00912814" w:rsidP="004610C9">
            <w:pPr>
              <w:jc w:val="center"/>
              <w:rPr>
                <w:rFonts w:cs="Times New Roman"/>
                <w:sz w:val="22"/>
              </w:rPr>
            </w:pPr>
          </w:p>
        </w:tc>
        <w:tc>
          <w:tcPr>
            <w:tcW w:w="99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tcPr>
          <w:p w14:paraId="129E473C" w14:textId="77777777" w:rsidR="00912814" w:rsidRPr="00FF2242" w:rsidRDefault="00912814" w:rsidP="004610C9">
            <w:pPr>
              <w:jc w:val="center"/>
              <w:rPr>
                <w:rFonts w:cs="Times New Roman"/>
                <w:b/>
                <w:sz w:val="22"/>
              </w:rPr>
            </w:pPr>
            <w:r w:rsidRPr="00FF2242">
              <w:rPr>
                <w:rFonts w:cs="Times New Roman"/>
                <w:b/>
                <w:sz w:val="22"/>
              </w:rPr>
              <w:t>2019</w:t>
            </w:r>
          </w:p>
        </w:tc>
        <w:tc>
          <w:tcPr>
            <w:tcW w:w="8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tcPr>
          <w:p w14:paraId="5D1F8B68" w14:textId="77777777" w:rsidR="00912814" w:rsidRPr="00FF2242" w:rsidRDefault="00912814" w:rsidP="004610C9">
            <w:pPr>
              <w:jc w:val="center"/>
              <w:rPr>
                <w:rFonts w:cs="Times New Roman"/>
                <w:b/>
                <w:sz w:val="22"/>
              </w:rPr>
            </w:pPr>
            <w:r w:rsidRPr="00FF2242">
              <w:rPr>
                <w:rFonts w:cs="Times New Roman"/>
                <w:b/>
                <w:sz w:val="22"/>
              </w:rPr>
              <w:t>2020</w:t>
            </w:r>
          </w:p>
        </w:tc>
        <w:tc>
          <w:tcPr>
            <w:tcW w:w="1133" w:type="dxa"/>
            <w:vMerge/>
            <w:tcBorders>
              <w:left w:val="single" w:sz="4" w:space="0" w:color="FFFFFF" w:themeColor="background1"/>
              <w:bottom w:val="single" w:sz="4" w:space="0" w:color="auto"/>
              <w:right w:val="single" w:sz="4" w:space="0" w:color="FFFFFF" w:themeColor="background1"/>
            </w:tcBorders>
          </w:tcPr>
          <w:p w14:paraId="1E3400FB" w14:textId="77777777" w:rsidR="00912814" w:rsidRPr="00FF2242" w:rsidRDefault="00912814" w:rsidP="004610C9">
            <w:pPr>
              <w:jc w:val="center"/>
              <w:rPr>
                <w:rFonts w:cs="Times New Roman"/>
                <w:sz w:val="22"/>
              </w:rPr>
            </w:pPr>
          </w:p>
        </w:tc>
        <w:tc>
          <w:tcPr>
            <w:tcW w:w="1271" w:type="dxa"/>
            <w:vMerge/>
            <w:tcBorders>
              <w:left w:val="single" w:sz="4" w:space="0" w:color="FFFFFF" w:themeColor="background1"/>
              <w:bottom w:val="single" w:sz="4" w:space="0" w:color="auto"/>
              <w:right w:val="single" w:sz="4" w:space="0" w:color="FFFFFF" w:themeColor="background1"/>
            </w:tcBorders>
          </w:tcPr>
          <w:p w14:paraId="4C165BC0" w14:textId="77777777" w:rsidR="00912814" w:rsidRPr="00FF2242" w:rsidRDefault="00912814" w:rsidP="004610C9">
            <w:pPr>
              <w:jc w:val="center"/>
              <w:rPr>
                <w:rFonts w:cs="Times New Roman"/>
                <w:sz w:val="22"/>
              </w:rPr>
            </w:pPr>
          </w:p>
        </w:tc>
        <w:tc>
          <w:tcPr>
            <w:tcW w:w="1134"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0CAA1EE" w14:textId="77777777" w:rsidR="00912814" w:rsidRPr="00FF2242" w:rsidRDefault="00912814" w:rsidP="004610C9">
            <w:pPr>
              <w:jc w:val="center"/>
              <w:rPr>
                <w:rFonts w:cs="Times New Roman"/>
                <w:sz w:val="22"/>
              </w:rPr>
            </w:pPr>
          </w:p>
        </w:tc>
        <w:tc>
          <w:tcPr>
            <w:tcW w:w="1276" w:type="dxa"/>
            <w:vMerge/>
            <w:tcBorders>
              <w:left w:val="single" w:sz="4" w:space="0" w:color="FFFFFF" w:themeColor="background1"/>
              <w:bottom w:val="single" w:sz="4" w:space="0" w:color="auto"/>
            </w:tcBorders>
          </w:tcPr>
          <w:p w14:paraId="48B2DE62" w14:textId="77777777" w:rsidR="00912814" w:rsidRPr="00FF2242" w:rsidRDefault="00912814" w:rsidP="004610C9">
            <w:pPr>
              <w:jc w:val="center"/>
              <w:rPr>
                <w:rFonts w:cs="Times New Roman"/>
                <w:sz w:val="22"/>
              </w:rPr>
            </w:pPr>
          </w:p>
        </w:tc>
      </w:tr>
      <w:tr w:rsidR="00912814" w:rsidRPr="00904B30" w14:paraId="5D4079BB" w14:textId="77777777" w:rsidTr="00912814">
        <w:trPr>
          <w:jc w:val="center"/>
        </w:trPr>
        <w:tc>
          <w:tcPr>
            <w:tcW w:w="1700" w:type="dxa"/>
            <w:tcBorders>
              <w:bottom w:val="single" w:sz="4" w:space="0" w:color="808080" w:themeColor="background1" w:themeShade="80"/>
            </w:tcBorders>
            <w:vAlign w:val="center"/>
          </w:tcPr>
          <w:p w14:paraId="4F9CAA48" w14:textId="77777777" w:rsidR="00912814" w:rsidRPr="00FF2242" w:rsidRDefault="00912814" w:rsidP="004610C9">
            <w:pPr>
              <w:jc w:val="center"/>
              <w:rPr>
                <w:rFonts w:cs="Times New Roman"/>
                <w:b/>
                <w:sz w:val="22"/>
              </w:rPr>
            </w:pPr>
            <w:r w:rsidRPr="00FF2242">
              <w:rPr>
                <w:rFonts w:cs="Times New Roman"/>
                <w:b/>
                <w:sz w:val="22"/>
              </w:rPr>
              <w:t>Latvija</w:t>
            </w:r>
          </w:p>
        </w:tc>
        <w:tc>
          <w:tcPr>
            <w:tcW w:w="991" w:type="dxa"/>
            <w:tcBorders>
              <w:bottom w:val="single" w:sz="4" w:space="0" w:color="808080" w:themeColor="background1" w:themeShade="80"/>
            </w:tcBorders>
            <w:shd w:val="clear" w:color="auto" w:fill="D9D9D9" w:themeFill="background1" w:themeFillShade="D9"/>
            <w:vAlign w:val="center"/>
          </w:tcPr>
          <w:p w14:paraId="483D6B9D" w14:textId="77777777" w:rsidR="00912814" w:rsidRPr="00985B95" w:rsidRDefault="00912814" w:rsidP="004610C9">
            <w:pPr>
              <w:jc w:val="center"/>
              <w:rPr>
                <w:rFonts w:cs="Times New Roman"/>
                <w:color w:val="FF0000"/>
                <w:sz w:val="22"/>
              </w:rPr>
            </w:pPr>
            <w:r w:rsidRPr="00985B95">
              <w:rPr>
                <w:rFonts w:cs="Times New Roman"/>
                <w:color w:val="FF0000"/>
                <w:sz w:val="22"/>
              </w:rPr>
              <w:t>55,8</w:t>
            </w:r>
          </w:p>
        </w:tc>
        <w:tc>
          <w:tcPr>
            <w:tcW w:w="854" w:type="dxa"/>
            <w:tcBorders>
              <w:bottom w:val="single" w:sz="4" w:space="0" w:color="808080" w:themeColor="background1" w:themeShade="80"/>
            </w:tcBorders>
            <w:shd w:val="clear" w:color="auto" w:fill="D9D9D9" w:themeFill="background1" w:themeFillShade="D9"/>
            <w:vAlign w:val="center"/>
          </w:tcPr>
          <w:p w14:paraId="77564F9B" w14:textId="77777777" w:rsidR="00912814" w:rsidRPr="00985B95" w:rsidRDefault="00912814" w:rsidP="004610C9">
            <w:pPr>
              <w:jc w:val="center"/>
              <w:rPr>
                <w:rFonts w:cs="Times New Roman"/>
                <w:b/>
                <w:color w:val="FF0000"/>
                <w:sz w:val="22"/>
              </w:rPr>
            </w:pPr>
            <w:r w:rsidRPr="00985B95">
              <w:rPr>
                <w:rFonts w:cs="Times New Roman"/>
                <w:b/>
                <w:color w:val="FF0000"/>
                <w:sz w:val="22"/>
              </w:rPr>
              <w:t>62,1</w:t>
            </w:r>
          </w:p>
        </w:tc>
        <w:tc>
          <w:tcPr>
            <w:tcW w:w="1133" w:type="dxa"/>
            <w:tcBorders>
              <w:bottom w:val="single" w:sz="4" w:space="0" w:color="808080" w:themeColor="background1" w:themeShade="80"/>
            </w:tcBorders>
          </w:tcPr>
          <w:p w14:paraId="4538EAE3" w14:textId="77777777" w:rsidR="00912814" w:rsidRPr="00FF2242" w:rsidRDefault="00912814" w:rsidP="004610C9">
            <w:pPr>
              <w:jc w:val="center"/>
              <w:rPr>
                <w:rFonts w:cs="Times New Roman"/>
                <w:b/>
                <w:color w:val="FF0000"/>
                <w:sz w:val="22"/>
              </w:rPr>
            </w:pPr>
            <w:r>
              <w:rPr>
                <w:rFonts w:cs="Times New Roman"/>
                <w:b/>
                <w:color w:val="FF0000"/>
                <w:sz w:val="22"/>
              </w:rPr>
              <w:t>65,4</w:t>
            </w:r>
          </w:p>
        </w:tc>
        <w:tc>
          <w:tcPr>
            <w:tcW w:w="1271" w:type="dxa"/>
            <w:tcBorders>
              <w:bottom w:val="single" w:sz="4" w:space="0" w:color="808080" w:themeColor="background1" w:themeShade="80"/>
            </w:tcBorders>
            <w:vAlign w:val="center"/>
          </w:tcPr>
          <w:p w14:paraId="3397F0CA" w14:textId="77777777" w:rsidR="00912814" w:rsidRPr="00644700" w:rsidRDefault="00912814" w:rsidP="004610C9">
            <w:pPr>
              <w:jc w:val="center"/>
              <w:rPr>
                <w:rFonts w:cs="Times New Roman"/>
                <w:color w:val="FF0000"/>
                <w:sz w:val="22"/>
              </w:rPr>
            </w:pPr>
            <w:r w:rsidRPr="00644700">
              <w:rPr>
                <w:rFonts w:cs="Times New Roman"/>
                <w:color w:val="FF0000"/>
                <w:sz w:val="22"/>
              </w:rPr>
              <w:t>65,4</w:t>
            </w:r>
          </w:p>
        </w:tc>
        <w:tc>
          <w:tcPr>
            <w:tcW w:w="1134" w:type="dxa"/>
            <w:tcBorders>
              <w:bottom w:val="single" w:sz="4" w:space="0" w:color="808080" w:themeColor="background1" w:themeShade="80"/>
            </w:tcBorders>
            <w:vAlign w:val="center"/>
          </w:tcPr>
          <w:p w14:paraId="66FD458E" w14:textId="77777777" w:rsidR="00912814" w:rsidRPr="00644700" w:rsidRDefault="00912814" w:rsidP="004610C9">
            <w:pPr>
              <w:jc w:val="center"/>
              <w:rPr>
                <w:rFonts w:cs="Times New Roman"/>
                <w:b/>
                <w:sz w:val="22"/>
              </w:rPr>
            </w:pPr>
            <w:r w:rsidRPr="00644700">
              <w:rPr>
                <w:rFonts w:cs="Times New Roman"/>
                <w:b/>
                <w:sz w:val="22"/>
              </w:rPr>
              <w:t>0,0</w:t>
            </w:r>
            <w:r>
              <w:rPr>
                <w:rFonts w:cs="Times New Roman"/>
                <w:b/>
                <w:sz w:val="22"/>
              </w:rPr>
              <w:t>033</w:t>
            </w:r>
          </w:p>
        </w:tc>
        <w:tc>
          <w:tcPr>
            <w:tcW w:w="1276" w:type="dxa"/>
            <w:tcBorders>
              <w:bottom w:val="single" w:sz="4" w:space="0" w:color="808080" w:themeColor="background1" w:themeShade="80"/>
            </w:tcBorders>
            <w:vAlign w:val="center"/>
          </w:tcPr>
          <w:p w14:paraId="1D624010" w14:textId="77777777" w:rsidR="00912814" w:rsidRPr="00644700" w:rsidRDefault="00912814" w:rsidP="004610C9">
            <w:pPr>
              <w:jc w:val="center"/>
              <w:rPr>
                <w:rFonts w:cs="Times New Roman"/>
                <w:b/>
                <w:sz w:val="22"/>
              </w:rPr>
            </w:pPr>
            <w:r w:rsidRPr="00644700">
              <w:rPr>
                <w:rFonts w:cs="Times New Roman"/>
                <w:b/>
                <w:sz w:val="22"/>
              </w:rPr>
              <w:t>0</w:t>
            </w:r>
            <w:r>
              <w:rPr>
                <w:rFonts w:cs="Times New Roman"/>
                <w:b/>
                <w:sz w:val="22"/>
              </w:rPr>
              <w:t>,</w:t>
            </w:r>
            <w:r w:rsidRPr="00644700">
              <w:rPr>
                <w:rFonts w:cs="Times New Roman"/>
                <w:b/>
                <w:sz w:val="22"/>
              </w:rPr>
              <w:t>0</w:t>
            </w:r>
            <w:r>
              <w:rPr>
                <w:rFonts w:cs="Times New Roman"/>
                <w:b/>
                <w:sz w:val="22"/>
              </w:rPr>
              <w:t>04</w:t>
            </w:r>
          </w:p>
        </w:tc>
      </w:tr>
      <w:tr w:rsidR="00912814" w:rsidRPr="00904B30" w14:paraId="14B40A6D" w14:textId="77777777" w:rsidTr="00912814">
        <w:trPr>
          <w:jc w:val="center"/>
        </w:trPr>
        <w:tc>
          <w:tcPr>
            <w:tcW w:w="1700" w:type="dxa"/>
            <w:tcBorders>
              <w:top w:val="single" w:sz="4" w:space="0" w:color="808080" w:themeColor="background1" w:themeShade="80"/>
              <w:bottom w:val="single" w:sz="4" w:space="0" w:color="808080" w:themeColor="background1" w:themeShade="80"/>
            </w:tcBorders>
            <w:vAlign w:val="center"/>
          </w:tcPr>
          <w:p w14:paraId="0D8AE58F" w14:textId="77777777" w:rsidR="00912814" w:rsidRPr="00FF2242" w:rsidRDefault="00912814" w:rsidP="004610C9">
            <w:pPr>
              <w:jc w:val="center"/>
              <w:rPr>
                <w:rFonts w:cs="Times New Roman"/>
                <w:b/>
                <w:sz w:val="22"/>
              </w:rPr>
            </w:pPr>
            <w:r w:rsidRPr="00FF2242">
              <w:rPr>
                <w:rFonts w:cs="Times New Roman"/>
                <w:b/>
                <w:sz w:val="22"/>
              </w:rPr>
              <w:t>Lietuva</w:t>
            </w:r>
          </w:p>
        </w:tc>
        <w:tc>
          <w:tcPr>
            <w:tcW w:w="991"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249564A2" w14:textId="77777777" w:rsidR="00912814" w:rsidRPr="00FF2242" w:rsidRDefault="00912814" w:rsidP="004610C9">
            <w:pPr>
              <w:jc w:val="center"/>
              <w:rPr>
                <w:rFonts w:cs="Times New Roman"/>
                <w:color w:val="00B050"/>
                <w:sz w:val="22"/>
              </w:rPr>
            </w:pPr>
            <w:r w:rsidRPr="00FF2242">
              <w:rPr>
                <w:rFonts w:cs="Times New Roman"/>
                <w:color w:val="00B050"/>
                <w:sz w:val="22"/>
              </w:rPr>
              <w:t>56</w:t>
            </w:r>
          </w:p>
        </w:tc>
        <w:tc>
          <w:tcPr>
            <w:tcW w:w="854"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124271D9" w14:textId="77777777" w:rsidR="00912814" w:rsidRPr="00FF2242" w:rsidRDefault="00912814" w:rsidP="004610C9">
            <w:pPr>
              <w:jc w:val="center"/>
              <w:rPr>
                <w:rFonts w:cs="Times New Roman"/>
                <w:b/>
                <w:color w:val="00B050"/>
                <w:sz w:val="22"/>
              </w:rPr>
            </w:pPr>
            <w:r w:rsidRPr="00FF2242">
              <w:rPr>
                <w:rFonts w:cs="Times New Roman"/>
                <w:b/>
                <w:color w:val="00B050"/>
                <w:sz w:val="22"/>
              </w:rPr>
              <w:t>60</w:t>
            </w:r>
          </w:p>
        </w:tc>
        <w:tc>
          <w:tcPr>
            <w:tcW w:w="1133" w:type="dxa"/>
            <w:tcBorders>
              <w:top w:val="single" w:sz="4" w:space="0" w:color="808080" w:themeColor="background1" w:themeShade="80"/>
              <w:bottom w:val="single" w:sz="4" w:space="0" w:color="808080" w:themeColor="background1" w:themeShade="80"/>
            </w:tcBorders>
          </w:tcPr>
          <w:p w14:paraId="1A1640E4" w14:textId="77777777" w:rsidR="00912814" w:rsidRPr="00FF2242" w:rsidRDefault="00912814" w:rsidP="004610C9">
            <w:pPr>
              <w:jc w:val="center"/>
              <w:rPr>
                <w:rFonts w:cs="Times New Roman"/>
                <w:sz w:val="22"/>
              </w:rPr>
            </w:pPr>
          </w:p>
        </w:tc>
        <w:tc>
          <w:tcPr>
            <w:tcW w:w="1271" w:type="dxa"/>
            <w:tcBorders>
              <w:top w:val="single" w:sz="4" w:space="0" w:color="808080" w:themeColor="background1" w:themeShade="80"/>
              <w:bottom w:val="single" w:sz="4" w:space="0" w:color="808080" w:themeColor="background1" w:themeShade="80"/>
            </w:tcBorders>
            <w:vAlign w:val="center"/>
          </w:tcPr>
          <w:p w14:paraId="62C42100" w14:textId="77777777" w:rsidR="00912814" w:rsidRPr="00FF2242" w:rsidRDefault="00912814" w:rsidP="004610C9">
            <w:pPr>
              <w:jc w:val="center"/>
              <w:rPr>
                <w:rFonts w:cs="Times New Roman"/>
                <w:sz w:val="22"/>
              </w:rPr>
            </w:pPr>
          </w:p>
        </w:tc>
        <w:tc>
          <w:tcPr>
            <w:tcW w:w="1134" w:type="dxa"/>
            <w:tcBorders>
              <w:top w:val="single" w:sz="4" w:space="0" w:color="808080" w:themeColor="background1" w:themeShade="80"/>
              <w:bottom w:val="single" w:sz="4" w:space="0" w:color="808080" w:themeColor="background1" w:themeShade="80"/>
            </w:tcBorders>
            <w:vAlign w:val="center"/>
          </w:tcPr>
          <w:p w14:paraId="1932E35B" w14:textId="77777777" w:rsidR="00912814" w:rsidRPr="00FF2242" w:rsidRDefault="00912814" w:rsidP="004610C9">
            <w:pPr>
              <w:jc w:val="center"/>
              <w:rPr>
                <w:rFonts w:cs="Times New Roman"/>
                <w:sz w:val="22"/>
              </w:rPr>
            </w:pPr>
          </w:p>
        </w:tc>
        <w:tc>
          <w:tcPr>
            <w:tcW w:w="1276" w:type="dxa"/>
            <w:tcBorders>
              <w:top w:val="single" w:sz="4" w:space="0" w:color="808080" w:themeColor="background1" w:themeShade="80"/>
              <w:bottom w:val="single" w:sz="4" w:space="0" w:color="808080" w:themeColor="background1" w:themeShade="80"/>
            </w:tcBorders>
            <w:vAlign w:val="center"/>
          </w:tcPr>
          <w:p w14:paraId="5048D22E" w14:textId="77777777" w:rsidR="00912814" w:rsidRPr="00FF2242" w:rsidRDefault="00912814" w:rsidP="004610C9">
            <w:pPr>
              <w:jc w:val="center"/>
              <w:rPr>
                <w:rFonts w:cs="Times New Roman"/>
                <w:sz w:val="22"/>
              </w:rPr>
            </w:pPr>
          </w:p>
        </w:tc>
      </w:tr>
      <w:tr w:rsidR="00912814" w:rsidRPr="00904B30" w14:paraId="47984DC9" w14:textId="77777777" w:rsidTr="00912814">
        <w:trPr>
          <w:jc w:val="center"/>
        </w:trPr>
        <w:tc>
          <w:tcPr>
            <w:tcW w:w="1700" w:type="dxa"/>
            <w:tcBorders>
              <w:top w:val="single" w:sz="4" w:space="0" w:color="808080" w:themeColor="background1" w:themeShade="80"/>
            </w:tcBorders>
            <w:vAlign w:val="center"/>
          </w:tcPr>
          <w:p w14:paraId="5A00B7A9" w14:textId="77777777" w:rsidR="00912814" w:rsidRPr="00FF2242" w:rsidRDefault="00912814" w:rsidP="004610C9">
            <w:pPr>
              <w:jc w:val="center"/>
              <w:rPr>
                <w:rFonts w:cs="Times New Roman"/>
                <w:b/>
                <w:sz w:val="22"/>
              </w:rPr>
            </w:pPr>
            <w:r w:rsidRPr="00FF2242">
              <w:rPr>
                <w:rFonts w:cs="Times New Roman"/>
                <w:b/>
                <w:sz w:val="22"/>
              </w:rPr>
              <w:t>Igaunija</w:t>
            </w:r>
          </w:p>
        </w:tc>
        <w:tc>
          <w:tcPr>
            <w:tcW w:w="991" w:type="dxa"/>
            <w:tcBorders>
              <w:top w:val="single" w:sz="4" w:space="0" w:color="808080" w:themeColor="background1" w:themeShade="80"/>
            </w:tcBorders>
            <w:shd w:val="clear" w:color="auto" w:fill="D9D9D9" w:themeFill="background1" w:themeFillShade="D9"/>
            <w:vAlign w:val="center"/>
          </w:tcPr>
          <w:p w14:paraId="6892B3D8" w14:textId="77777777" w:rsidR="00912814" w:rsidRPr="00FF2242" w:rsidRDefault="00912814" w:rsidP="004610C9">
            <w:pPr>
              <w:jc w:val="center"/>
              <w:rPr>
                <w:rFonts w:cs="Times New Roman"/>
                <w:color w:val="002060"/>
                <w:sz w:val="22"/>
              </w:rPr>
            </w:pPr>
            <w:r w:rsidRPr="00FF2242">
              <w:rPr>
                <w:rFonts w:cs="Times New Roman"/>
                <w:color w:val="002060"/>
                <w:sz w:val="22"/>
              </w:rPr>
              <w:t>133</w:t>
            </w:r>
          </w:p>
        </w:tc>
        <w:tc>
          <w:tcPr>
            <w:tcW w:w="854" w:type="dxa"/>
            <w:tcBorders>
              <w:top w:val="single" w:sz="4" w:space="0" w:color="808080" w:themeColor="background1" w:themeShade="80"/>
            </w:tcBorders>
            <w:shd w:val="clear" w:color="auto" w:fill="D9D9D9" w:themeFill="background1" w:themeFillShade="D9"/>
            <w:vAlign w:val="center"/>
          </w:tcPr>
          <w:p w14:paraId="5F0A636C" w14:textId="77777777" w:rsidR="00912814" w:rsidRPr="00FF2242" w:rsidRDefault="00912814" w:rsidP="004610C9">
            <w:pPr>
              <w:jc w:val="center"/>
              <w:rPr>
                <w:rFonts w:cs="Times New Roman"/>
                <w:b/>
                <w:color w:val="002060"/>
                <w:sz w:val="22"/>
              </w:rPr>
            </w:pPr>
            <w:r w:rsidRPr="00FF2242">
              <w:rPr>
                <w:rFonts w:cs="Times New Roman"/>
                <w:b/>
                <w:color w:val="002060"/>
                <w:sz w:val="22"/>
              </w:rPr>
              <w:t>133</w:t>
            </w:r>
          </w:p>
        </w:tc>
        <w:tc>
          <w:tcPr>
            <w:tcW w:w="1133" w:type="dxa"/>
            <w:tcBorders>
              <w:top w:val="single" w:sz="4" w:space="0" w:color="808080" w:themeColor="background1" w:themeShade="80"/>
            </w:tcBorders>
          </w:tcPr>
          <w:p w14:paraId="2C950D0A" w14:textId="77777777" w:rsidR="00912814" w:rsidRPr="00FF2242" w:rsidRDefault="00912814" w:rsidP="004610C9">
            <w:pPr>
              <w:jc w:val="center"/>
              <w:rPr>
                <w:rFonts w:cs="Times New Roman"/>
                <w:sz w:val="22"/>
              </w:rPr>
            </w:pPr>
          </w:p>
        </w:tc>
        <w:tc>
          <w:tcPr>
            <w:tcW w:w="1271" w:type="dxa"/>
            <w:tcBorders>
              <w:top w:val="single" w:sz="4" w:space="0" w:color="808080" w:themeColor="background1" w:themeShade="80"/>
            </w:tcBorders>
            <w:vAlign w:val="center"/>
          </w:tcPr>
          <w:p w14:paraId="6D21F433" w14:textId="77777777" w:rsidR="00912814" w:rsidRPr="00FF2242" w:rsidRDefault="00912814" w:rsidP="004610C9">
            <w:pPr>
              <w:jc w:val="center"/>
              <w:rPr>
                <w:rFonts w:cs="Times New Roman"/>
                <w:sz w:val="22"/>
              </w:rPr>
            </w:pPr>
          </w:p>
        </w:tc>
        <w:tc>
          <w:tcPr>
            <w:tcW w:w="1134" w:type="dxa"/>
            <w:tcBorders>
              <w:top w:val="single" w:sz="4" w:space="0" w:color="808080" w:themeColor="background1" w:themeShade="80"/>
            </w:tcBorders>
            <w:vAlign w:val="center"/>
          </w:tcPr>
          <w:p w14:paraId="4AA231E0" w14:textId="77777777" w:rsidR="00912814" w:rsidRPr="00FF2242" w:rsidRDefault="00912814" w:rsidP="004610C9">
            <w:pPr>
              <w:jc w:val="center"/>
              <w:rPr>
                <w:rFonts w:cs="Times New Roman"/>
                <w:sz w:val="22"/>
              </w:rPr>
            </w:pPr>
          </w:p>
        </w:tc>
        <w:tc>
          <w:tcPr>
            <w:tcW w:w="1276" w:type="dxa"/>
            <w:tcBorders>
              <w:top w:val="single" w:sz="4" w:space="0" w:color="808080" w:themeColor="background1" w:themeShade="80"/>
            </w:tcBorders>
            <w:vAlign w:val="center"/>
          </w:tcPr>
          <w:p w14:paraId="4B604733" w14:textId="77777777" w:rsidR="00912814" w:rsidRPr="00FF2242" w:rsidRDefault="00912814" w:rsidP="004610C9">
            <w:pPr>
              <w:jc w:val="center"/>
              <w:rPr>
                <w:rFonts w:cs="Times New Roman"/>
                <w:sz w:val="22"/>
              </w:rPr>
            </w:pPr>
          </w:p>
        </w:tc>
      </w:tr>
      <w:tr w:rsidR="00912814" w:rsidRPr="00904B30" w14:paraId="66B13460" w14:textId="77777777" w:rsidTr="004610C9">
        <w:trPr>
          <w:jc w:val="center"/>
        </w:trPr>
        <w:tc>
          <w:tcPr>
            <w:tcW w:w="3545" w:type="dxa"/>
            <w:gridSpan w:val="3"/>
            <w:shd w:val="clear" w:color="auto" w:fill="FFE599" w:themeFill="accent4" w:themeFillTint="66"/>
            <w:vAlign w:val="center"/>
          </w:tcPr>
          <w:p w14:paraId="38ED0531" w14:textId="77777777" w:rsidR="00912814" w:rsidRPr="00FF2242" w:rsidRDefault="00912814" w:rsidP="004610C9">
            <w:pPr>
              <w:rPr>
                <w:rFonts w:cs="Times New Roman"/>
                <w:b/>
                <w:color w:val="002060"/>
                <w:sz w:val="22"/>
              </w:rPr>
            </w:pPr>
            <w:r w:rsidRPr="00F519AB">
              <w:rPr>
                <w:b/>
                <w:sz w:val="22"/>
              </w:rPr>
              <w:t>Fiskālā ietekme</w:t>
            </w:r>
            <w:r>
              <w:rPr>
                <w:b/>
                <w:sz w:val="22"/>
              </w:rPr>
              <w:t xml:space="preserve"> </w:t>
            </w:r>
            <w:r w:rsidRPr="002D6FDB">
              <w:rPr>
                <w:rFonts w:cs="Times New Roman"/>
                <w:i/>
                <w:sz w:val="22"/>
              </w:rPr>
              <w:t>(pilna gada ietekme)</w:t>
            </w:r>
            <w:r w:rsidRPr="00F519AB">
              <w:rPr>
                <w:b/>
                <w:sz w:val="22"/>
              </w:rPr>
              <w:t xml:space="preserve">, </w:t>
            </w:r>
            <w:r w:rsidRPr="00F519AB">
              <w:rPr>
                <w:i/>
                <w:sz w:val="22"/>
              </w:rPr>
              <w:t>milj. eur</w:t>
            </w:r>
            <w:r>
              <w:rPr>
                <w:i/>
                <w:sz w:val="22"/>
              </w:rPr>
              <w:t>o</w:t>
            </w:r>
          </w:p>
        </w:tc>
        <w:tc>
          <w:tcPr>
            <w:tcW w:w="2404" w:type="dxa"/>
            <w:gridSpan w:val="2"/>
            <w:shd w:val="clear" w:color="auto" w:fill="FFE599" w:themeFill="accent4" w:themeFillTint="66"/>
            <w:vAlign w:val="center"/>
          </w:tcPr>
          <w:p w14:paraId="77ECF539" w14:textId="77777777" w:rsidR="00912814" w:rsidRPr="00A303CA" w:rsidRDefault="00506461" w:rsidP="004610C9">
            <w:pPr>
              <w:jc w:val="center"/>
              <w:rPr>
                <w:rFonts w:cs="Times New Roman"/>
                <w:b/>
                <w:sz w:val="22"/>
              </w:rPr>
            </w:pPr>
            <w:r>
              <w:rPr>
                <w:rFonts w:cs="Times New Roman"/>
                <w:b/>
                <w:color w:val="C00000"/>
                <w:sz w:val="22"/>
              </w:rPr>
              <w:t>+0,5</w:t>
            </w:r>
          </w:p>
        </w:tc>
        <w:tc>
          <w:tcPr>
            <w:tcW w:w="1134" w:type="dxa"/>
            <w:shd w:val="clear" w:color="auto" w:fill="D9D9D9" w:themeFill="background1" w:themeFillShade="D9"/>
            <w:vAlign w:val="center"/>
          </w:tcPr>
          <w:p w14:paraId="58889666" w14:textId="77777777" w:rsidR="00912814" w:rsidRPr="00504D30" w:rsidRDefault="00912814" w:rsidP="004610C9">
            <w:pPr>
              <w:jc w:val="center"/>
              <w:rPr>
                <w:rFonts w:cs="Times New Roman"/>
                <w:b/>
                <w:sz w:val="22"/>
              </w:rPr>
            </w:pPr>
          </w:p>
        </w:tc>
        <w:tc>
          <w:tcPr>
            <w:tcW w:w="1276" w:type="dxa"/>
            <w:shd w:val="clear" w:color="auto" w:fill="D9D9D9" w:themeFill="background1" w:themeFillShade="D9"/>
            <w:vAlign w:val="center"/>
          </w:tcPr>
          <w:p w14:paraId="0AFEA94A" w14:textId="77777777" w:rsidR="00912814" w:rsidRPr="00504D30" w:rsidRDefault="00912814" w:rsidP="004610C9">
            <w:pPr>
              <w:jc w:val="center"/>
              <w:rPr>
                <w:rFonts w:cs="Times New Roman"/>
                <w:b/>
                <w:sz w:val="22"/>
              </w:rPr>
            </w:pPr>
          </w:p>
        </w:tc>
      </w:tr>
    </w:tbl>
    <w:p w14:paraId="3733456E" w14:textId="77777777" w:rsidR="00912814" w:rsidRPr="00FB7846" w:rsidRDefault="00912814" w:rsidP="000A12C6">
      <w:pPr>
        <w:ind w:firstLine="709"/>
        <w:jc w:val="both"/>
        <w:rPr>
          <w:sz w:val="25"/>
          <w:szCs w:val="25"/>
        </w:rPr>
      </w:pPr>
    </w:p>
    <w:p w14:paraId="44FB5EC8" w14:textId="77777777" w:rsidR="00860B45" w:rsidRPr="005F7FE3" w:rsidRDefault="00DA16D3" w:rsidP="00DA16D3">
      <w:pPr>
        <w:tabs>
          <w:tab w:val="left" w:pos="709"/>
        </w:tabs>
        <w:ind w:right="-199"/>
        <w:jc w:val="both"/>
        <w:rPr>
          <w:sz w:val="26"/>
          <w:szCs w:val="26"/>
        </w:rPr>
      </w:pPr>
      <w:r>
        <w:rPr>
          <w:sz w:val="26"/>
          <w:szCs w:val="26"/>
        </w:rPr>
        <w:t xml:space="preserve">2) </w:t>
      </w:r>
      <w:r>
        <w:rPr>
          <w:sz w:val="26"/>
          <w:szCs w:val="26"/>
        </w:rPr>
        <w:tab/>
      </w:r>
      <w:r w:rsidR="00860B45" w:rsidRPr="005F7FE3">
        <w:rPr>
          <w:sz w:val="26"/>
          <w:szCs w:val="26"/>
        </w:rPr>
        <w:t>kurināmajiem AN likmes CO</w:t>
      </w:r>
      <w:r w:rsidR="00860B45" w:rsidRPr="005F7FE3">
        <w:rPr>
          <w:sz w:val="26"/>
          <w:szCs w:val="26"/>
          <w:vertAlign w:val="subscript"/>
        </w:rPr>
        <w:t>2</w:t>
      </w:r>
      <w:r w:rsidR="00860B45" w:rsidRPr="005F7FE3">
        <w:rPr>
          <w:sz w:val="26"/>
          <w:szCs w:val="26"/>
        </w:rPr>
        <w:t xml:space="preserve"> komponenti noteikt:</w:t>
      </w:r>
    </w:p>
    <w:p w14:paraId="7A7005FB" w14:textId="77777777" w:rsidR="00860B45" w:rsidRPr="003A5B7C" w:rsidRDefault="00860B45" w:rsidP="00860B45">
      <w:pPr>
        <w:pStyle w:val="ListParagraph"/>
        <w:ind w:left="1134" w:hanging="425"/>
        <w:rPr>
          <w:sz w:val="26"/>
          <w:szCs w:val="26"/>
        </w:rPr>
      </w:pPr>
      <w:r>
        <w:rPr>
          <w:sz w:val="26"/>
          <w:szCs w:val="26"/>
        </w:rPr>
        <w:t xml:space="preserve">-  </w:t>
      </w:r>
      <w:r>
        <w:rPr>
          <w:sz w:val="26"/>
          <w:szCs w:val="26"/>
        </w:rPr>
        <w:tab/>
      </w:r>
      <w:r w:rsidRPr="003A5B7C">
        <w:rPr>
          <w:sz w:val="26"/>
          <w:szCs w:val="26"/>
        </w:rPr>
        <w:t xml:space="preserve">dīzeļdegvielai (marķētajai degvielai) - 10 </w:t>
      </w:r>
      <w:r w:rsidRPr="003A5B7C">
        <w:rPr>
          <w:i/>
          <w:sz w:val="26"/>
          <w:szCs w:val="26"/>
        </w:rPr>
        <w:t>euro</w:t>
      </w:r>
      <w:r>
        <w:rPr>
          <w:i/>
          <w:sz w:val="26"/>
          <w:szCs w:val="26"/>
        </w:rPr>
        <w:t xml:space="preserve"> </w:t>
      </w:r>
      <w:r w:rsidRPr="005F7FE3">
        <w:rPr>
          <w:sz w:val="26"/>
          <w:szCs w:val="26"/>
        </w:rPr>
        <w:t>par</w:t>
      </w:r>
      <w:r>
        <w:rPr>
          <w:i/>
          <w:sz w:val="26"/>
          <w:szCs w:val="26"/>
        </w:rPr>
        <w:t xml:space="preserve"> </w:t>
      </w:r>
      <w:r w:rsidRPr="003A5B7C">
        <w:rPr>
          <w:sz w:val="26"/>
          <w:szCs w:val="26"/>
        </w:rPr>
        <w:t>t</w:t>
      </w:r>
      <w:r>
        <w:rPr>
          <w:sz w:val="26"/>
          <w:szCs w:val="26"/>
        </w:rPr>
        <w:t xml:space="preserve">onnu, atlikušajai daļai </w:t>
      </w:r>
      <w:r w:rsidRPr="003A5B7C">
        <w:rPr>
          <w:sz w:val="26"/>
          <w:szCs w:val="26"/>
        </w:rPr>
        <w:t xml:space="preserve">piemērot enerģijas komponenti (1 </w:t>
      </w:r>
      <w:r w:rsidRPr="003A5B7C">
        <w:rPr>
          <w:i/>
          <w:sz w:val="26"/>
          <w:szCs w:val="26"/>
        </w:rPr>
        <w:t>euro</w:t>
      </w:r>
      <w:r>
        <w:rPr>
          <w:i/>
          <w:sz w:val="26"/>
          <w:szCs w:val="26"/>
        </w:rPr>
        <w:t xml:space="preserve"> </w:t>
      </w:r>
      <w:r w:rsidRPr="00632A0C">
        <w:rPr>
          <w:sz w:val="26"/>
          <w:szCs w:val="26"/>
        </w:rPr>
        <w:t>par</w:t>
      </w:r>
      <w:r>
        <w:rPr>
          <w:i/>
          <w:sz w:val="26"/>
          <w:szCs w:val="26"/>
        </w:rPr>
        <w:t xml:space="preserve"> </w:t>
      </w:r>
      <w:r w:rsidRPr="003A5B7C">
        <w:rPr>
          <w:sz w:val="26"/>
          <w:szCs w:val="26"/>
        </w:rPr>
        <w:t xml:space="preserve">GJ); </w:t>
      </w:r>
    </w:p>
    <w:p w14:paraId="36A25A88" w14:textId="77777777" w:rsidR="00860B45" w:rsidRPr="003A5B7C" w:rsidRDefault="00860B45" w:rsidP="00860B45">
      <w:pPr>
        <w:pStyle w:val="ListParagraph"/>
        <w:ind w:left="1134" w:hanging="425"/>
        <w:rPr>
          <w:sz w:val="26"/>
          <w:szCs w:val="26"/>
        </w:rPr>
      </w:pPr>
      <w:r>
        <w:rPr>
          <w:sz w:val="26"/>
          <w:szCs w:val="26"/>
        </w:rPr>
        <w:t xml:space="preserve">-  </w:t>
      </w:r>
      <w:r>
        <w:rPr>
          <w:sz w:val="26"/>
          <w:szCs w:val="26"/>
        </w:rPr>
        <w:tab/>
      </w:r>
      <w:r w:rsidRPr="003A5B7C">
        <w:rPr>
          <w:sz w:val="26"/>
          <w:szCs w:val="26"/>
        </w:rPr>
        <w:t xml:space="preserve">kurināmajam (mazutam un akmeņoglēm) - 25 </w:t>
      </w:r>
      <w:r w:rsidRPr="003A5B7C">
        <w:rPr>
          <w:i/>
          <w:sz w:val="26"/>
          <w:szCs w:val="26"/>
        </w:rPr>
        <w:t>euro</w:t>
      </w:r>
      <w:r w:rsidRPr="00632A0C">
        <w:rPr>
          <w:sz w:val="26"/>
          <w:szCs w:val="26"/>
        </w:rPr>
        <w:t xml:space="preserve"> </w:t>
      </w:r>
      <w:r w:rsidRPr="005F7FE3">
        <w:rPr>
          <w:sz w:val="26"/>
          <w:szCs w:val="26"/>
        </w:rPr>
        <w:t>par</w:t>
      </w:r>
      <w:r>
        <w:rPr>
          <w:i/>
          <w:sz w:val="26"/>
          <w:szCs w:val="26"/>
        </w:rPr>
        <w:t xml:space="preserve"> </w:t>
      </w:r>
      <w:r w:rsidRPr="003A5B7C">
        <w:rPr>
          <w:sz w:val="26"/>
          <w:szCs w:val="26"/>
        </w:rPr>
        <w:t>t</w:t>
      </w:r>
      <w:r>
        <w:rPr>
          <w:sz w:val="26"/>
          <w:szCs w:val="26"/>
        </w:rPr>
        <w:t>onnu</w:t>
      </w:r>
      <w:r w:rsidRPr="003A5B7C">
        <w:rPr>
          <w:sz w:val="26"/>
          <w:szCs w:val="26"/>
        </w:rPr>
        <w:t>;</w:t>
      </w:r>
    </w:p>
    <w:p w14:paraId="0D77E010" w14:textId="77777777" w:rsidR="00860B45" w:rsidRDefault="00860B45" w:rsidP="00860B45">
      <w:pPr>
        <w:pStyle w:val="ListParagraph"/>
        <w:ind w:left="1134" w:hanging="425"/>
        <w:rPr>
          <w:sz w:val="26"/>
          <w:szCs w:val="26"/>
        </w:rPr>
      </w:pPr>
      <w:r>
        <w:rPr>
          <w:sz w:val="26"/>
          <w:szCs w:val="26"/>
        </w:rPr>
        <w:t xml:space="preserve">-  </w:t>
      </w:r>
      <w:r>
        <w:rPr>
          <w:sz w:val="26"/>
          <w:szCs w:val="26"/>
        </w:rPr>
        <w:tab/>
      </w:r>
      <w:r w:rsidRPr="003A5B7C">
        <w:rPr>
          <w:sz w:val="26"/>
          <w:szCs w:val="26"/>
        </w:rPr>
        <w:t xml:space="preserve">alternatīvajam kurināmajam (dabasgāzei un naftas gāzei (LPG)) -10 </w:t>
      </w:r>
      <w:r w:rsidRPr="003A5B7C">
        <w:rPr>
          <w:i/>
          <w:sz w:val="26"/>
          <w:szCs w:val="26"/>
        </w:rPr>
        <w:t>euro</w:t>
      </w:r>
      <w:r>
        <w:rPr>
          <w:i/>
          <w:sz w:val="26"/>
          <w:szCs w:val="26"/>
        </w:rPr>
        <w:t xml:space="preserve"> </w:t>
      </w:r>
      <w:r w:rsidRPr="005F7FE3">
        <w:rPr>
          <w:sz w:val="26"/>
          <w:szCs w:val="26"/>
        </w:rPr>
        <w:t>par</w:t>
      </w:r>
      <w:r>
        <w:rPr>
          <w:i/>
          <w:sz w:val="26"/>
          <w:szCs w:val="26"/>
        </w:rPr>
        <w:t xml:space="preserve"> </w:t>
      </w:r>
      <w:r w:rsidRPr="003A5B7C">
        <w:rPr>
          <w:sz w:val="26"/>
          <w:szCs w:val="26"/>
        </w:rPr>
        <w:t>t</w:t>
      </w:r>
      <w:r>
        <w:rPr>
          <w:sz w:val="26"/>
          <w:szCs w:val="26"/>
        </w:rPr>
        <w:t>onnu.</w:t>
      </w:r>
    </w:p>
    <w:p w14:paraId="4ADB7252" w14:textId="77777777" w:rsidR="00860B45" w:rsidRPr="00FB7846" w:rsidRDefault="00860B45" w:rsidP="00860B45">
      <w:pPr>
        <w:pStyle w:val="ListParagraph"/>
        <w:ind w:left="1134" w:hanging="425"/>
        <w:rPr>
          <w:sz w:val="16"/>
          <w:szCs w:val="16"/>
        </w:rPr>
      </w:pPr>
    </w:p>
    <w:p w14:paraId="5FBD8995" w14:textId="77777777" w:rsidR="00860B45" w:rsidRDefault="00DA16D3" w:rsidP="00860B45">
      <w:pPr>
        <w:pStyle w:val="ListParagraph"/>
        <w:spacing w:after="120"/>
        <w:ind w:left="0"/>
        <w:jc w:val="center"/>
        <w:rPr>
          <w:b/>
          <w:szCs w:val="24"/>
        </w:rPr>
      </w:pPr>
      <w:r>
        <w:rPr>
          <w:szCs w:val="24"/>
        </w:rPr>
        <w:t>1</w:t>
      </w:r>
      <w:r w:rsidR="006C5A20">
        <w:rPr>
          <w:szCs w:val="24"/>
        </w:rPr>
        <w:t>3</w:t>
      </w:r>
      <w:r w:rsidR="00860B45" w:rsidRPr="004A2D13">
        <w:rPr>
          <w:szCs w:val="24"/>
        </w:rPr>
        <w:t>.tab.</w:t>
      </w:r>
      <w:r w:rsidR="00860B45" w:rsidRPr="004A2D13">
        <w:rPr>
          <w:b/>
          <w:szCs w:val="24"/>
        </w:rPr>
        <w:t xml:space="preserve"> </w:t>
      </w:r>
      <w:r w:rsidR="00860B45" w:rsidRPr="00FF2242">
        <w:rPr>
          <w:b/>
          <w:szCs w:val="24"/>
        </w:rPr>
        <w:t>Kurināmo</w:t>
      </w:r>
      <w:r w:rsidR="00860B45">
        <w:rPr>
          <w:sz w:val="26"/>
          <w:szCs w:val="26"/>
        </w:rPr>
        <w:t xml:space="preserve"> </w:t>
      </w:r>
      <w:r w:rsidR="00860B45" w:rsidRPr="0061277B">
        <w:rPr>
          <w:b/>
          <w:szCs w:val="24"/>
        </w:rPr>
        <w:t>AN likmes CO</w:t>
      </w:r>
      <w:r w:rsidR="00860B45" w:rsidRPr="0061277B">
        <w:rPr>
          <w:b/>
          <w:szCs w:val="24"/>
          <w:vertAlign w:val="subscript"/>
        </w:rPr>
        <w:t>2</w:t>
      </w:r>
      <w:r w:rsidR="00860B45">
        <w:rPr>
          <w:b/>
          <w:szCs w:val="24"/>
        </w:rPr>
        <w:t xml:space="preserve"> komponentes</w:t>
      </w:r>
      <w:r w:rsidR="00860B45" w:rsidRPr="0061277B">
        <w:rPr>
          <w:b/>
          <w:sz w:val="26"/>
          <w:szCs w:val="26"/>
        </w:rPr>
        <w:t xml:space="preserve"> </w:t>
      </w:r>
      <w:r w:rsidR="002F5922">
        <w:rPr>
          <w:b/>
          <w:szCs w:val="24"/>
        </w:rPr>
        <w:t>noteikšana</w:t>
      </w:r>
    </w:p>
    <w:tbl>
      <w:tblPr>
        <w:tblW w:w="9214" w:type="dxa"/>
        <w:tblInd w:w="-577" w:type="dxa"/>
        <w:tblCellMar>
          <w:left w:w="0" w:type="dxa"/>
          <w:right w:w="0" w:type="dxa"/>
        </w:tblCellMar>
        <w:tblLook w:val="04A0" w:firstRow="1" w:lastRow="0" w:firstColumn="1" w:lastColumn="0" w:noHBand="0" w:noVBand="1"/>
      </w:tblPr>
      <w:tblGrid>
        <w:gridCol w:w="2386"/>
        <w:gridCol w:w="987"/>
        <w:gridCol w:w="849"/>
        <w:gridCol w:w="989"/>
        <w:gridCol w:w="989"/>
        <w:gridCol w:w="1039"/>
        <w:gridCol w:w="1039"/>
        <w:gridCol w:w="936"/>
      </w:tblGrid>
      <w:tr w:rsidR="00860B45" w:rsidRPr="009500A7" w14:paraId="073589F3" w14:textId="77777777" w:rsidTr="006B6C49">
        <w:trPr>
          <w:trHeight w:val="1136"/>
        </w:trPr>
        <w:tc>
          <w:tcPr>
            <w:tcW w:w="2386" w:type="dxa"/>
            <w:tcBorders>
              <w:top w:val="single" w:sz="8" w:space="0" w:color="000000"/>
              <w:left w:val="single" w:sz="8" w:space="0" w:color="000000"/>
              <w:bottom w:val="single" w:sz="8" w:space="0" w:color="000000"/>
              <w:right w:val="single" w:sz="4" w:space="0" w:color="FFFFFF" w:themeColor="background1"/>
            </w:tcBorders>
            <w:shd w:val="clear" w:color="auto" w:fill="002060"/>
            <w:tcMar>
              <w:top w:w="15" w:type="dxa"/>
              <w:left w:w="108" w:type="dxa"/>
              <w:bottom w:w="0" w:type="dxa"/>
              <w:right w:w="108" w:type="dxa"/>
            </w:tcMar>
            <w:hideMark/>
          </w:tcPr>
          <w:p w14:paraId="0553F226" w14:textId="77777777" w:rsidR="00860B45" w:rsidRPr="00860B45" w:rsidRDefault="00860B45" w:rsidP="000F652A">
            <w:pPr>
              <w:spacing w:line="256" w:lineRule="auto"/>
              <w:jc w:val="center"/>
              <w:rPr>
                <w:b/>
                <w:color w:val="FFFFFF" w:themeColor="background1"/>
                <w:sz w:val="20"/>
                <w:szCs w:val="20"/>
              </w:rPr>
            </w:pPr>
          </w:p>
        </w:tc>
        <w:tc>
          <w:tcPr>
            <w:tcW w:w="987"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002060"/>
            <w:tcMar>
              <w:top w:w="15" w:type="dxa"/>
              <w:left w:w="108" w:type="dxa"/>
              <w:bottom w:w="0" w:type="dxa"/>
              <w:right w:w="108" w:type="dxa"/>
            </w:tcMar>
            <w:hideMark/>
          </w:tcPr>
          <w:p w14:paraId="007D4731" w14:textId="77777777" w:rsidR="00860B45" w:rsidRPr="00860B45" w:rsidRDefault="00860B45" w:rsidP="000F652A">
            <w:pPr>
              <w:spacing w:line="256" w:lineRule="auto"/>
              <w:jc w:val="center"/>
              <w:rPr>
                <w:b/>
                <w:color w:val="FFFFFF" w:themeColor="background1"/>
                <w:sz w:val="20"/>
                <w:szCs w:val="20"/>
              </w:rPr>
            </w:pPr>
            <w:r w:rsidRPr="00860B45">
              <w:rPr>
                <w:b/>
                <w:color w:val="FFFFFF" w:themeColor="background1"/>
                <w:sz w:val="20"/>
                <w:szCs w:val="20"/>
              </w:rPr>
              <w:t xml:space="preserve">AN likme </w:t>
            </w:r>
            <w:r w:rsidRPr="00860B45">
              <w:rPr>
                <w:i/>
                <w:color w:val="FFFFFF" w:themeColor="background1"/>
                <w:sz w:val="20"/>
                <w:szCs w:val="20"/>
              </w:rPr>
              <w:t>par 1000 l (kg) (m3</w:t>
            </w:r>
            <w:r w:rsidRPr="00860B45">
              <w:rPr>
                <w:color w:val="FFFFFF" w:themeColor="background1"/>
                <w:sz w:val="20"/>
                <w:szCs w:val="20"/>
              </w:rPr>
              <w:t>)</w:t>
            </w:r>
          </w:p>
        </w:tc>
        <w:tc>
          <w:tcPr>
            <w:tcW w:w="849"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002060"/>
            <w:tcMar>
              <w:top w:w="15" w:type="dxa"/>
              <w:left w:w="108" w:type="dxa"/>
              <w:bottom w:w="0" w:type="dxa"/>
              <w:right w:w="108" w:type="dxa"/>
            </w:tcMar>
            <w:hideMark/>
          </w:tcPr>
          <w:p w14:paraId="6120DCCB" w14:textId="77777777" w:rsidR="00860B45" w:rsidRPr="00860B45" w:rsidRDefault="00860B45" w:rsidP="000F652A">
            <w:pPr>
              <w:spacing w:line="256" w:lineRule="auto"/>
              <w:jc w:val="center"/>
              <w:rPr>
                <w:b/>
                <w:color w:val="FFFFFF" w:themeColor="background1"/>
                <w:sz w:val="20"/>
                <w:szCs w:val="20"/>
              </w:rPr>
            </w:pPr>
            <w:r w:rsidRPr="00860B45">
              <w:rPr>
                <w:b/>
                <w:color w:val="FFFFFF" w:themeColor="background1"/>
                <w:sz w:val="20"/>
                <w:szCs w:val="20"/>
              </w:rPr>
              <w:t>CO</w:t>
            </w:r>
            <w:r w:rsidRPr="00E25357">
              <w:rPr>
                <w:b/>
                <w:color w:val="FFFFFF" w:themeColor="background1"/>
                <w:sz w:val="20"/>
                <w:szCs w:val="20"/>
                <w:vertAlign w:val="subscript"/>
              </w:rPr>
              <w:t>2</w:t>
            </w:r>
            <w:r w:rsidRPr="00860B45">
              <w:rPr>
                <w:b/>
                <w:color w:val="FFFFFF" w:themeColor="background1"/>
                <w:sz w:val="20"/>
                <w:szCs w:val="20"/>
              </w:rPr>
              <w:t xml:space="preserve"> likme, </w:t>
            </w:r>
            <w:r w:rsidRPr="00860B45">
              <w:rPr>
                <w:i/>
                <w:color w:val="FFFFFF" w:themeColor="background1"/>
                <w:sz w:val="20"/>
                <w:szCs w:val="20"/>
              </w:rPr>
              <w:t>euro/ t CO2</w:t>
            </w:r>
          </w:p>
        </w:tc>
        <w:tc>
          <w:tcPr>
            <w:tcW w:w="989"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002060"/>
            <w:tcMar>
              <w:top w:w="15" w:type="dxa"/>
              <w:left w:w="108" w:type="dxa"/>
              <w:bottom w:w="0" w:type="dxa"/>
              <w:right w:w="108" w:type="dxa"/>
            </w:tcMar>
            <w:hideMark/>
          </w:tcPr>
          <w:p w14:paraId="44C34837" w14:textId="77777777" w:rsidR="00860B45" w:rsidRPr="00860B45" w:rsidRDefault="00860B45" w:rsidP="000F652A">
            <w:pPr>
              <w:spacing w:line="256" w:lineRule="auto"/>
              <w:jc w:val="center"/>
              <w:rPr>
                <w:b/>
                <w:color w:val="FFFFFF" w:themeColor="background1"/>
                <w:sz w:val="20"/>
                <w:szCs w:val="20"/>
              </w:rPr>
            </w:pPr>
            <w:r w:rsidRPr="00860B45">
              <w:rPr>
                <w:b/>
                <w:color w:val="FFFFFF" w:themeColor="background1"/>
                <w:sz w:val="20"/>
                <w:szCs w:val="20"/>
              </w:rPr>
              <w:t>CO</w:t>
            </w:r>
            <w:r w:rsidRPr="00E25357">
              <w:rPr>
                <w:b/>
                <w:color w:val="FFFFFF" w:themeColor="background1"/>
                <w:sz w:val="20"/>
                <w:szCs w:val="20"/>
                <w:vertAlign w:val="subscript"/>
              </w:rPr>
              <w:t>2</w:t>
            </w:r>
            <w:r w:rsidRPr="00860B45">
              <w:rPr>
                <w:b/>
                <w:color w:val="FFFFFF" w:themeColor="background1"/>
                <w:sz w:val="20"/>
                <w:szCs w:val="20"/>
              </w:rPr>
              <w:t xml:space="preserve"> kompo-nente, </w:t>
            </w:r>
            <w:r w:rsidRPr="00860B45">
              <w:rPr>
                <w:i/>
                <w:color w:val="FFFFFF" w:themeColor="background1"/>
                <w:sz w:val="20"/>
                <w:szCs w:val="20"/>
              </w:rPr>
              <w:t>euro</w:t>
            </w:r>
          </w:p>
        </w:tc>
        <w:tc>
          <w:tcPr>
            <w:tcW w:w="989"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002060"/>
            <w:tcMar>
              <w:top w:w="15" w:type="dxa"/>
              <w:left w:w="108" w:type="dxa"/>
              <w:bottom w:w="0" w:type="dxa"/>
              <w:right w:w="108" w:type="dxa"/>
            </w:tcMar>
            <w:hideMark/>
          </w:tcPr>
          <w:p w14:paraId="12B63D93" w14:textId="77777777" w:rsidR="00860B45" w:rsidRPr="00860B45" w:rsidRDefault="00860B45" w:rsidP="000F652A">
            <w:pPr>
              <w:spacing w:line="256" w:lineRule="auto"/>
              <w:jc w:val="center"/>
              <w:rPr>
                <w:b/>
                <w:color w:val="FFFFFF" w:themeColor="background1"/>
                <w:sz w:val="20"/>
                <w:szCs w:val="20"/>
              </w:rPr>
            </w:pPr>
            <w:r w:rsidRPr="00860B45">
              <w:rPr>
                <w:b/>
                <w:color w:val="FFFFFF" w:themeColor="background1"/>
                <w:sz w:val="20"/>
                <w:szCs w:val="20"/>
              </w:rPr>
              <w:t>CO</w:t>
            </w:r>
            <w:r w:rsidRPr="00E25357">
              <w:rPr>
                <w:b/>
                <w:color w:val="FFFFFF" w:themeColor="background1"/>
                <w:sz w:val="20"/>
                <w:szCs w:val="20"/>
                <w:vertAlign w:val="subscript"/>
              </w:rPr>
              <w:t>2</w:t>
            </w:r>
            <w:r w:rsidRPr="00860B45">
              <w:rPr>
                <w:b/>
                <w:color w:val="FFFFFF" w:themeColor="background1"/>
                <w:sz w:val="20"/>
                <w:szCs w:val="20"/>
              </w:rPr>
              <w:t xml:space="preserve"> kompo-nente, %</w:t>
            </w:r>
          </w:p>
        </w:tc>
        <w:tc>
          <w:tcPr>
            <w:tcW w:w="1039"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002060"/>
            <w:tcMar>
              <w:top w:w="15" w:type="dxa"/>
              <w:left w:w="108" w:type="dxa"/>
              <w:bottom w:w="0" w:type="dxa"/>
              <w:right w:w="108" w:type="dxa"/>
            </w:tcMar>
            <w:hideMark/>
          </w:tcPr>
          <w:p w14:paraId="7464F0D6" w14:textId="77777777" w:rsidR="00860B45" w:rsidRPr="00860B45" w:rsidRDefault="00860B45" w:rsidP="000F652A">
            <w:pPr>
              <w:spacing w:line="256" w:lineRule="auto"/>
              <w:jc w:val="center"/>
              <w:rPr>
                <w:b/>
                <w:color w:val="FFFFFF" w:themeColor="background1"/>
                <w:sz w:val="20"/>
                <w:szCs w:val="20"/>
              </w:rPr>
            </w:pPr>
            <w:r w:rsidRPr="00860B45">
              <w:rPr>
                <w:b/>
                <w:color w:val="FFFFFF" w:themeColor="background1"/>
                <w:sz w:val="20"/>
                <w:szCs w:val="20"/>
              </w:rPr>
              <w:t xml:space="preserve">Enerģijas satura kompo-nente, </w:t>
            </w:r>
            <w:r w:rsidRPr="00860B45">
              <w:rPr>
                <w:i/>
                <w:color w:val="FFFFFF" w:themeColor="background1"/>
                <w:sz w:val="20"/>
                <w:szCs w:val="20"/>
              </w:rPr>
              <w:t>euro</w:t>
            </w:r>
          </w:p>
        </w:tc>
        <w:tc>
          <w:tcPr>
            <w:tcW w:w="1039" w:type="dxa"/>
            <w:tcBorders>
              <w:top w:val="single" w:sz="8" w:space="0" w:color="000000"/>
              <w:left w:val="single" w:sz="4" w:space="0" w:color="FFFFFF" w:themeColor="background1"/>
              <w:bottom w:val="single" w:sz="8" w:space="0" w:color="000000"/>
              <w:right w:val="single" w:sz="4" w:space="0" w:color="FFFFFF" w:themeColor="background1"/>
            </w:tcBorders>
            <w:shd w:val="clear" w:color="auto" w:fill="002060"/>
            <w:tcMar>
              <w:top w:w="15" w:type="dxa"/>
              <w:left w:w="108" w:type="dxa"/>
              <w:bottom w:w="0" w:type="dxa"/>
              <w:right w:w="108" w:type="dxa"/>
            </w:tcMar>
            <w:hideMark/>
          </w:tcPr>
          <w:p w14:paraId="5F784A09" w14:textId="77777777" w:rsidR="00860B45" w:rsidRPr="00860B45" w:rsidRDefault="00860B45" w:rsidP="000F652A">
            <w:pPr>
              <w:spacing w:line="256" w:lineRule="auto"/>
              <w:jc w:val="center"/>
              <w:rPr>
                <w:b/>
                <w:color w:val="FFFFFF" w:themeColor="background1"/>
                <w:sz w:val="20"/>
                <w:szCs w:val="20"/>
              </w:rPr>
            </w:pPr>
            <w:r w:rsidRPr="00860B45">
              <w:rPr>
                <w:b/>
                <w:color w:val="FFFFFF" w:themeColor="background1"/>
                <w:sz w:val="20"/>
                <w:szCs w:val="20"/>
              </w:rPr>
              <w:t>Enerģijas satura kompo-nente, %</w:t>
            </w:r>
          </w:p>
        </w:tc>
        <w:tc>
          <w:tcPr>
            <w:tcW w:w="936" w:type="dxa"/>
            <w:tcBorders>
              <w:top w:val="single" w:sz="8" w:space="0" w:color="000000"/>
              <w:left w:val="single" w:sz="4" w:space="0" w:color="FFFFFF" w:themeColor="background1"/>
              <w:bottom w:val="single" w:sz="8" w:space="0" w:color="000000"/>
              <w:right w:val="single" w:sz="8" w:space="0" w:color="000000"/>
            </w:tcBorders>
            <w:shd w:val="clear" w:color="auto" w:fill="002060"/>
          </w:tcPr>
          <w:p w14:paraId="24BD24B2" w14:textId="77777777" w:rsidR="00860B45" w:rsidRPr="00860B45" w:rsidRDefault="00860B45" w:rsidP="000F652A">
            <w:pPr>
              <w:spacing w:line="256" w:lineRule="auto"/>
              <w:jc w:val="center"/>
              <w:rPr>
                <w:b/>
                <w:color w:val="FFFFFF" w:themeColor="background1"/>
                <w:sz w:val="20"/>
                <w:szCs w:val="20"/>
              </w:rPr>
            </w:pPr>
            <w:r w:rsidRPr="00860B45">
              <w:rPr>
                <w:b/>
                <w:color w:val="FFFFFF" w:themeColor="background1"/>
                <w:sz w:val="20"/>
                <w:szCs w:val="20"/>
              </w:rPr>
              <w:t xml:space="preserve">Enerģijas satura likme, </w:t>
            </w:r>
            <w:r w:rsidRPr="00860B45">
              <w:rPr>
                <w:i/>
                <w:color w:val="FFFFFF" w:themeColor="background1"/>
                <w:sz w:val="20"/>
                <w:szCs w:val="20"/>
              </w:rPr>
              <w:t>euro/GJ</w:t>
            </w:r>
          </w:p>
        </w:tc>
      </w:tr>
      <w:tr w:rsidR="00860B45" w:rsidRPr="009500A7" w14:paraId="537817C0" w14:textId="77777777" w:rsidTr="006B6C49">
        <w:trPr>
          <w:trHeight w:val="262"/>
        </w:trPr>
        <w:tc>
          <w:tcPr>
            <w:tcW w:w="2386" w:type="dxa"/>
            <w:tcBorders>
              <w:top w:val="single" w:sz="8" w:space="0" w:color="00000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2BF9D51E" w14:textId="77777777" w:rsidR="00860B45" w:rsidRPr="00860B45" w:rsidRDefault="00860B45" w:rsidP="00E25357">
            <w:pPr>
              <w:rPr>
                <w:rFonts w:eastAsia="Times New Roman" w:cs="Times New Roman"/>
                <w:sz w:val="20"/>
                <w:szCs w:val="20"/>
                <w:lang w:eastAsia="lv-LV"/>
              </w:rPr>
            </w:pPr>
            <w:r w:rsidRPr="00860B45">
              <w:rPr>
                <w:rFonts w:eastAsia="Calibri" w:cs="Times New Roman"/>
                <w:color w:val="000000"/>
                <w:kern w:val="24"/>
                <w:sz w:val="20"/>
                <w:szCs w:val="20"/>
                <w:lang w:eastAsia="lv-LV"/>
              </w:rPr>
              <w:t xml:space="preserve">Marķētā dīzeļdegviela </w:t>
            </w:r>
          </w:p>
          <w:p w14:paraId="2A71AF53" w14:textId="77777777" w:rsidR="00860B45" w:rsidRPr="00860B45" w:rsidRDefault="00860B45" w:rsidP="00E25357">
            <w:pPr>
              <w:rPr>
                <w:rFonts w:eastAsia="Times New Roman" w:cs="Times New Roman"/>
                <w:sz w:val="20"/>
                <w:szCs w:val="20"/>
                <w:lang w:eastAsia="lv-LV"/>
              </w:rPr>
            </w:pPr>
            <w:r w:rsidRPr="00860B45">
              <w:rPr>
                <w:rFonts w:eastAsia="Calibri" w:cs="Times New Roman"/>
                <w:color w:val="000000"/>
                <w:kern w:val="24"/>
                <w:sz w:val="20"/>
                <w:szCs w:val="20"/>
                <w:lang w:eastAsia="lv-LV"/>
              </w:rPr>
              <w:t>(1000 l)</w:t>
            </w:r>
          </w:p>
        </w:tc>
        <w:tc>
          <w:tcPr>
            <w:tcW w:w="987" w:type="dxa"/>
            <w:tcBorders>
              <w:top w:val="single" w:sz="8" w:space="0" w:color="000000"/>
              <w:left w:val="single" w:sz="8" w:space="0" w:color="000000"/>
              <w:bottom w:val="single" w:sz="4" w:space="0" w:color="808080" w:themeColor="background1" w:themeShade="8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65FCB4E"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b/>
                <w:bCs/>
                <w:color w:val="000000"/>
                <w:kern w:val="24"/>
                <w:sz w:val="20"/>
                <w:szCs w:val="20"/>
                <w:lang w:eastAsia="lv-LV"/>
              </w:rPr>
              <w:t>56,91</w:t>
            </w:r>
            <w:r w:rsidRPr="00860B45">
              <w:rPr>
                <w:rFonts w:eastAsia="Calibri" w:cs="Times New Roman"/>
                <w:color w:val="000000"/>
                <w:kern w:val="24"/>
                <w:sz w:val="20"/>
                <w:szCs w:val="20"/>
                <w:lang w:eastAsia="lv-LV"/>
              </w:rPr>
              <w:t>/</w:t>
            </w:r>
          </w:p>
          <w:p w14:paraId="04076C78" w14:textId="77777777" w:rsidR="00860B45" w:rsidRPr="00860B45" w:rsidRDefault="00860B45" w:rsidP="00466005">
            <w:pPr>
              <w:jc w:val="center"/>
              <w:rPr>
                <w:rFonts w:eastAsia="Times New Roman" w:cs="Times New Roman"/>
                <w:sz w:val="20"/>
                <w:szCs w:val="20"/>
                <w:lang w:eastAsia="lv-LV"/>
              </w:rPr>
            </w:pPr>
            <w:r w:rsidRPr="00860B45">
              <w:rPr>
                <w:rFonts w:eastAsia="Calibri" w:cs="Times New Roman"/>
                <w:color w:val="FF0000"/>
                <w:kern w:val="24"/>
                <w:sz w:val="20"/>
                <w:szCs w:val="20"/>
                <w:lang w:eastAsia="lv-LV"/>
              </w:rPr>
              <w:t>60</w:t>
            </w:r>
            <w:r w:rsidR="00466005" w:rsidRPr="00466005">
              <w:rPr>
                <w:rFonts w:eastAsia="Calibri" w:cs="Times New Roman"/>
                <w:kern w:val="24"/>
                <w:sz w:val="20"/>
                <w:szCs w:val="20"/>
                <w:vertAlign w:val="superscript"/>
                <w:lang w:eastAsia="lv-LV"/>
              </w:rPr>
              <w:t>*</w:t>
            </w:r>
          </w:p>
        </w:tc>
        <w:tc>
          <w:tcPr>
            <w:tcW w:w="849" w:type="dxa"/>
            <w:tcBorders>
              <w:top w:val="single" w:sz="8" w:space="0" w:color="00000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2BD8F81C" w14:textId="77777777" w:rsidR="00860B45" w:rsidRPr="00860B45" w:rsidRDefault="00860B45" w:rsidP="00E25357">
            <w:pPr>
              <w:jc w:val="center"/>
              <w:rPr>
                <w:rFonts w:eastAsia="Times New Roman" w:cs="Times New Roman"/>
                <w:b/>
                <w:sz w:val="20"/>
                <w:szCs w:val="20"/>
                <w:lang w:eastAsia="lv-LV"/>
              </w:rPr>
            </w:pPr>
            <w:r w:rsidRPr="00860B45">
              <w:rPr>
                <w:rFonts w:eastAsia="Calibri" w:cs="Times New Roman"/>
                <w:b/>
                <w:color w:val="FF0000"/>
                <w:kern w:val="24"/>
                <w:sz w:val="20"/>
                <w:szCs w:val="20"/>
                <w:lang w:eastAsia="lv-LV"/>
              </w:rPr>
              <w:t>10</w:t>
            </w:r>
          </w:p>
        </w:tc>
        <w:tc>
          <w:tcPr>
            <w:tcW w:w="989" w:type="dxa"/>
            <w:tcBorders>
              <w:top w:val="single" w:sz="8" w:space="0" w:color="00000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3DB30CB5"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b/>
                <w:bCs/>
                <w:color w:val="000000"/>
                <w:kern w:val="24"/>
                <w:sz w:val="20"/>
                <w:szCs w:val="20"/>
                <w:lang w:eastAsia="lv-LV"/>
              </w:rPr>
              <w:t>26,17</w:t>
            </w:r>
          </w:p>
        </w:tc>
        <w:tc>
          <w:tcPr>
            <w:tcW w:w="989" w:type="dxa"/>
            <w:tcBorders>
              <w:top w:val="single" w:sz="8" w:space="0" w:color="00000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18FB60FC"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color w:val="000000"/>
                <w:kern w:val="24"/>
                <w:sz w:val="20"/>
                <w:szCs w:val="20"/>
                <w:lang w:eastAsia="lv-LV"/>
              </w:rPr>
              <w:t>43,6%</w:t>
            </w:r>
          </w:p>
        </w:tc>
        <w:tc>
          <w:tcPr>
            <w:tcW w:w="1039" w:type="dxa"/>
            <w:tcBorders>
              <w:top w:val="single" w:sz="8" w:space="0" w:color="00000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7EC4663B"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b/>
                <w:bCs/>
                <w:color w:val="000000"/>
                <w:kern w:val="24"/>
                <w:sz w:val="20"/>
                <w:szCs w:val="20"/>
                <w:lang w:eastAsia="lv-LV"/>
              </w:rPr>
              <w:t>33,83</w:t>
            </w:r>
          </w:p>
        </w:tc>
        <w:tc>
          <w:tcPr>
            <w:tcW w:w="1039" w:type="dxa"/>
            <w:tcBorders>
              <w:top w:val="single" w:sz="8" w:space="0" w:color="00000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4F92D899"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color w:val="000000"/>
                <w:kern w:val="24"/>
                <w:sz w:val="20"/>
                <w:szCs w:val="20"/>
                <w:lang w:eastAsia="lv-LV"/>
              </w:rPr>
              <w:t>56,4%</w:t>
            </w:r>
          </w:p>
        </w:tc>
        <w:tc>
          <w:tcPr>
            <w:tcW w:w="936" w:type="dxa"/>
            <w:tcBorders>
              <w:top w:val="single" w:sz="8" w:space="0" w:color="000000"/>
              <w:left w:val="single" w:sz="8" w:space="0" w:color="000000"/>
              <w:bottom w:val="single" w:sz="4" w:space="0" w:color="808080" w:themeColor="background1" w:themeShade="80"/>
              <w:right w:val="single" w:sz="8" w:space="0" w:color="000000"/>
            </w:tcBorders>
            <w:vAlign w:val="center"/>
          </w:tcPr>
          <w:p w14:paraId="4F8C4677" w14:textId="77777777" w:rsidR="00860B45" w:rsidRPr="00860B45" w:rsidRDefault="00860B45" w:rsidP="00E25357">
            <w:pPr>
              <w:jc w:val="center"/>
              <w:rPr>
                <w:rFonts w:eastAsia="Calibri" w:cs="Times New Roman"/>
                <w:b/>
                <w:color w:val="000000"/>
                <w:kern w:val="24"/>
                <w:sz w:val="20"/>
                <w:szCs w:val="20"/>
                <w:lang w:eastAsia="lv-LV"/>
              </w:rPr>
            </w:pPr>
            <w:r w:rsidRPr="00860B45">
              <w:rPr>
                <w:rFonts w:eastAsia="Calibri" w:cs="Times New Roman"/>
                <w:b/>
                <w:color w:val="000000"/>
                <w:kern w:val="24"/>
                <w:sz w:val="20"/>
                <w:szCs w:val="20"/>
                <w:lang w:eastAsia="lv-LV"/>
              </w:rPr>
              <w:t>0,96</w:t>
            </w:r>
          </w:p>
        </w:tc>
      </w:tr>
      <w:tr w:rsidR="00860B45" w:rsidRPr="009500A7" w14:paraId="57CA13C9" w14:textId="77777777" w:rsidTr="006B6C49">
        <w:trPr>
          <w:trHeight w:val="142"/>
        </w:trPr>
        <w:tc>
          <w:tcPr>
            <w:tcW w:w="2386"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4133F665" w14:textId="77777777" w:rsidR="00860B45" w:rsidRPr="00860B45" w:rsidRDefault="00860B45" w:rsidP="00E25357">
            <w:pPr>
              <w:rPr>
                <w:rFonts w:eastAsia="Times New Roman" w:cs="Times New Roman"/>
                <w:sz w:val="20"/>
                <w:szCs w:val="20"/>
                <w:lang w:eastAsia="lv-LV"/>
              </w:rPr>
            </w:pPr>
            <w:r w:rsidRPr="00860B45">
              <w:rPr>
                <w:rFonts w:eastAsia="Calibri" w:cs="Times New Roman"/>
                <w:color w:val="000000"/>
                <w:kern w:val="24"/>
                <w:sz w:val="20"/>
                <w:szCs w:val="20"/>
                <w:lang w:eastAsia="lv-LV"/>
              </w:rPr>
              <w:t>LPG kurināmais (1000 kg)</w:t>
            </w:r>
          </w:p>
        </w:tc>
        <w:tc>
          <w:tcPr>
            <w:tcW w:w="987"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D9D9D9" w:themeFill="background1" w:themeFillShade="D9"/>
            <w:tcMar>
              <w:top w:w="15" w:type="dxa"/>
              <w:left w:w="108" w:type="dxa"/>
              <w:bottom w:w="0" w:type="dxa"/>
              <w:right w:w="108" w:type="dxa"/>
            </w:tcMar>
            <w:vAlign w:val="center"/>
            <w:hideMark/>
          </w:tcPr>
          <w:p w14:paraId="01804BC6"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b/>
                <w:bCs/>
                <w:color w:val="000000"/>
                <w:kern w:val="24"/>
                <w:sz w:val="20"/>
                <w:szCs w:val="20"/>
                <w:lang w:eastAsia="lv-LV"/>
              </w:rPr>
              <w:t>0</w:t>
            </w:r>
          </w:p>
        </w:tc>
        <w:tc>
          <w:tcPr>
            <w:tcW w:w="84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31E79E8E" w14:textId="77777777" w:rsidR="00860B45" w:rsidRPr="00860B45" w:rsidRDefault="00860B45" w:rsidP="00E25357">
            <w:pPr>
              <w:jc w:val="center"/>
              <w:rPr>
                <w:rFonts w:eastAsia="Times New Roman" w:cs="Times New Roman"/>
                <w:b/>
                <w:sz w:val="20"/>
                <w:szCs w:val="20"/>
                <w:lang w:eastAsia="lv-LV"/>
              </w:rPr>
            </w:pPr>
            <w:r w:rsidRPr="00860B45">
              <w:rPr>
                <w:rFonts w:eastAsia="Calibri" w:cs="Times New Roman"/>
                <w:b/>
                <w:color w:val="FF0000"/>
                <w:kern w:val="24"/>
                <w:sz w:val="20"/>
                <w:szCs w:val="20"/>
                <w:lang w:eastAsia="lv-LV"/>
              </w:rPr>
              <w:t>10</w:t>
            </w:r>
          </w:p>
        </w:tc>
        <w:tc>
          <w:tcPr>
            <w:tcW w:w="98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1DBA8D33"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b/>
                <w:bCs/>
                <w:color w:val="000000"/>
                <w:kern w:val="24"/>
                <w:sz w:val="20"/>
                <w:szCs w:val="20"/>
                <w:lang w:eastAsia="lv-LV"/>
              </w:rPr>
              <w:t>29,03</w:t>
            </w:r>
          </w:p>
        </w:tc>
        <w:tc>
          <w:tcPr>
            <w:tcW w:w="98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18C793D1"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color w:val="000000"/>
                <w:kern w:val="24"/>
                <w:sz w:val="20"/>
                <w:szCs w:val="20"/>
                <w:lang w:eastAsia="lv-LV"/>
              </w:rPr>
              <w:t>-</w:t>
            </w:r>
          </w:p>
        </w:tc>
        <w:tc>
          <w:tcPr>
            <w:tcW w:w="103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3B7E7030"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b/>
                <w:bCs/>
                <w:color w:val="000000"/>
                <w:kern w:val="24"/>
                <w:sz w:val="20"/>
                <w:szCs w:val="20"/>
                <w:lang w:eastAsia="lv-LV"/>
              </w:rPr>
              <w:t>-72,57</w:t>
            </w:r>
          </w:p>
        </w:tc>
        <w:tc>
          <w:tcPr>
            <w:tcW w:w="103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7CA2A68E"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color w:val="000000"/>
                <w:kern w:val="24"/>
                <w:sz w:val="20"/>
                <w:szCs w:val="20"/>
                <w:lang w:eastAsia="lv-LV"/>
              </w:rPr>
              <w:t>-</w:t>
            </w:r>
          </w:p>
        </w:tc>
        <w:tc>
          <w:tcPr>
            <w:tcW w:w="936"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vAlign w:val="center"/>
          </w:tcPr>
          <w:p w14:paraId="06DC9844" w14:textId="77777777" w:rsidR="00860B45" w:rsidRPr="00860B45" w:rsidRDefault="00860B45" w:rsidP="00E25357">
            <w:pPr>
              <w:jc w:val="center"/>
              <w:rPr>
                <w:rFonts w:eastAsia="Calibri" w:cs="Times New Roman"/>
                <w:b/>
                <w:color w:val="000000"/>
                <w:kern w:val="24"/>
                <w:sz w:val="20"/>
                <w:szCs w:val="20"/>
                <w:lang w:eastAsia="lv-LV"/>
              </w:rPr>
            </w:pPr>
          </w:p>
        </w:tc>
      </w:tr>
      <w:tr w:rsidR="00860B45" w:rsidRPr="009500A7" w14:paraId="6DF191EA" w14:textId="77777777" w:rsidTr="006B6C49">
        <w:trPr>
          <w:trHeight w:val="39"/>
        </w:trPr>
        <w:tc>
          <w:tcPr>
            <w:tcW w:w="2386"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7E65F0DD" w14:textId="77777777" w:rsidR="00860B45" w:rsidRPr="00860B45" w:rsidRDefault="00860B45" w:rsidP="00E25357">
            <w:pPr>
              <w:rPr>
                <w:rFonts w:eastAsia="Times New Roman" w:cs="Times New Roman"/>
                <w:sz w:val="20"/>
                <w:szCs w:val="20"/>
                <w:lang w:eastAsia="lv-LV"/>
              </w:rPr>
            </w:pPr>
            <w:r w:rsidRPr="00860B45">
              <w:rPr>
                <w:rFonts w:eastAsia="Calibri" w:cs="Times New Roman"/>
                <w:color w:val="000000"/>
                <w:kern w:val="24"/>
                <w:sz w:val="20"/>
                <w:szCs w:val="20"/>
                <w:lang w:eastAsia="lv-LV"/>
              </w:rPr>
              <w:t>Dabasgāze (1000 m</w:t>
            </w:r>
            <w:r w:rsidRPr="00860B45">
              <w:rPr>
                <w:rFonts w:eastAsia="Calibri" w:cs="Times New Roman"/>
                <w:color w:val="000000"/>
                <w:kern w:val="24"/>
                <w:position w:val="7"/>
                <w:sz w:val="20"/>
                <w:szCs w:val="20"/>
                <w:vertAlign w:val="superscript"/>
                <w:lang w:eastAsia="lv-LV"/>
              </w:rPr>
              <w:t>3</w:t>
            </w:r>
            <w:r w:rsidRPr="00860B45">
              <w:rPr>
                <w:rFonts w:eastAsia="Calibri" w:cs="Times New Roman"/>
                <w:color w:val="000000"/>
                <w:kern w:val="24"/>
                <w:position w:val="7"/>
                <w:sz w:val="20"/>
                <w:szCs w:val="20"/>
                <w:lang w:eastAsia="lv-LV"/>
              </w:rPr>
              <w:t>)</w:t>
            </w:r>
          </w:p>
        </w:tc>
        <w:tc>
          <w:tcPr>
            <w:tcW w:w="987"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D9D9D9" w:themeFill="background1" w:themeFillShade="D9"/>
            <w:tcMar>
              <w:top w:w="15" w:type="dxa"/>
              <w:left w:w="108" w:type="dxa"/>
              <w:bottom w:w="0" w:type="dxa"/>
              <w:right w:w="108" w:type="dxa"/>
            </w:tcMar>
            <w:vAlign w:val="center"/>
            <w:hideMark/>
          </w:tcPr>
          <w:p w14:paraId="27D64F3D"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b/>
                <w:bCs/>
                <w:color w:val="000000"/>
                <w:kern w:val="24"/>
                <w:sz w:val="20"/>
                <w:szCs w:val="20"/>
                <w:lang w:eastAsia="lv-LV"/>
              </w:rPr>
              <w:t>17,28</w:t>
            </w:r>
          </w:p>
        </w:tc>
        <w:tc>
          <w:tcPr>
            <w:tcW w:w="84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63AAA1DD" w14:textId="77777777" w:rsidR="00860B45" w:rsidRPr="00860B45" w:rsidRDefault="00860B45" w:rsidP="00E25357">
            <w:pPr>
              <w:jc w:val="center"/>
              <w:rPr>
                <w:rFonts w:eastAsia="Times New Roman" w:cs="Times New Roman"/>
                <w:b/>
                <w:sz w:val="20"/>
                <w:szCs w:val="20"/>
                <w:lang w:eastAsia="lv-LV"/>
              </w:rPr>
            </w:pPr>
            <w:r w:rsidRPr="00860B45">
              <w:rPr>
                <w:rFonts w:eastAsia="Calibri" w:cs="Times New Roman"/>
                <w:b/>
                <w:color w:val="FF0000"/>
                <w:kern w:val="24"/>
                <w:sz w:val="20"/>
                <w:szCs w:val="20"/>
                <w:lang w:eastAsia="lv-LV"/>
              </w:rPr>
              <w:t>10</w:t>
            </w:r>
          </w:p>
        </w:tc>
        <w:tc>
          <w:tcPr>
            <w:tcW w:w="98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241078CC"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b/>
                <w:bCs/>
                <w:color w:val="000000"/>
                <w:kern w:val="24"/>
                <w:sz w:val="20"/>
                <w:szCs w:val="20"/>
                <w:lang w:eastAsia="lv-LV"/>
              </w:rPr>
              <w:t>19,08</w:t>
            </w:r>
          </w:p>
        </w:tc>
        <w:tc>
          <w:tcPr>
            <w:tcW w:w="98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26F6F7F6" w14:textId="77777777" w:rsidR="00860B45" w:rsidRPr="00860B45" w:rsidRDefault="00E25357" w:rsidP="00E25357">
            <w:pPr>
              <w:jc w:val="center"/>
              <w:rPr>
                <w:rFonts w:eastAsia="Times New Roman" w:cs="Times New Roman"/>
                <w:sz w:val="20"/>
                <w:szCs w:val="20"/>
                <w:lang w:eastAsia="lv-LV"/>
              </w:rPr>
            </w:pPr>
            <w:r w:rsidRPr="00860B45">
              <w:rPr>
                <w:rFonts w:eastAsia="Calibri" w:cs="Times New Roman"/>
                <w:color w:val="000000"/>
                <w:kern w:val="24"/>
                <w:sz w:val="20"/>
                <w:szCs w:val="20"/>
                <w:lang w:eastAsia="lv-LV"/>
              </w:rPr>
              <w:t>1</w:t>
            </w:r>
            <w:r>
              <w:rPr>
                <w:rFonts w:eastAsia="Calibri" w:cs="Times New Roman"/>
                <w:color w:val="000000"/>
                <w:kern w:val="24"/>
                <w:sz w:val="20"/>
                <w:szCs w:val="20"/>
                <w:lang w:eastAsia="lv-LV"/>
              </w:rPr>
              <w:t>10</w:t>
            </w:r>
            <w:r w:rsidR="00860B45" w:rsidRPr="00860B45">
              <w:rPr>
                <w:rFonts w:eastAsia="Calibri" w:cs="Times New Roman"/>
                <w:color w:val="000000"/>
                <w:kern w:val="24"/>
                <w:sz w:val="20"/>
                <w:szCs w:val="20"/>
                <w:lang w:eastAsia="lv-LV"/>
              </w:rPr>
              <w:t>%</w:t>
            </w:r>
          </w:p>
        </w:tc>
        <w:tc>
          <w:tcPr>
            <w:tcW w:w="103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6B9367A4"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b/>
                <w:bCs/>
                <w:color w:val="000000"/>
                <w:kern w:val="24"/>
                <w:sz w:val="20"/>
                <w:szCs w:val="20"/>
                <w:lang w:eastAsia="lv-LV"/>
              </w:rPr>
              <w:t>-1,80</w:t>
            </w:r>
          </w:p>
        </w:tc>
        <w:tc>
          <w:tcPr>
            <w:tcW w:w="103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10FBDF2A"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color w:val="000000"/>
                <w:kern w:val="24"/>
                <w:sz w:val="20"/>
                <w:szCs w:val="20"/>
                <w:lang w:eastAsia="lv-LV"/>
              </w:rPr>
              <w:t>-</w:t>
            </w:r>
            <w:r w:rsidR="00E25357">
              <w:rPr>
                <w:rFonts w:eastAsia="Calibri" w:cs="Times New Roman"/>
                <w:color w:val="000000"/>
                <w:kern w:val="24"/>
                <w:sz w:val="20"/>
                <w:szCs w:val="20"/>
                <w:lang w:eastAsia="lv-LV"/>
              </w:rPr>
              <w:t>10</w:t>
            </w:r>
            <w:r w:rsidRPr="00860B45">
              <w:rPr>
                <w:rFonts w:eastAsia="Calibri" w:cs="Times New Roman"/>
                <w:color w:val="000000"/>
                <w:kern w:val="24"/>
                <w:sz w:val="20"/>
                <w:szCs w:val="20"/>
                <w:lang w:eastAsia="lv-LV"/>
              </w:rPr>
              <w:t>%</w:t>
            </w:r>
          </w:p>
        </w:tc>
        <w:tc>
          <w:tcPr>
            <w:tcW w:w="936"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vAlign w:val="center"/>
          </w:tcPr>
          <w:p w14:paraId="29AD06FB" w14:textId="77777777" w:rsidR="00860B45" w:rsidRPr="00860B45" w:rsidRDefault="00860B45" w:rsidP="00E25357">
            <w:pPr>
              <w:jc w:val="center"/>
              <w:rPr>
                <w:rFonts w:eastAsia="Calibri" w:cs="Times New Roman"/>
                <w:b/>
                <w:color w:val="000000"/>
                <w:kern w:val="24"/>
                <w:sz w:val="20"/>
                <w:szCs w:val="20"/>
                <w:lang w:eastAsia="lv-LV"/>
              </w:rPr>
            </w:pPr>
          </w:p>
        </w:tc>
      </w:tr>
      <w:tr w:rsidR="00860B45" w:rsidRPr="009500A7" w14:paraId="2CC4FE30" w14:textId="77777777" w:rsidTr="006B6C49">
        <w:trPr>
          <w:trHeight w:val="208"/>
        </w:trPr>
        <w:tc>
          <w:tcPr>
            <w:tcW w:w="2386"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6777A9D4" w14:textId="77777777" w:rsidR="00860B45" w:rsidRPr="00860B45" w:rsidRDefault="00860B45" w:rsidP="00E25357">
            <w:pPr>
              <w:rPr>
                <w:rFonts w:eastAsia="Times New Roman" w:cs="Times New Roman"/>
                <w:sz w:val="20"/>
                <w:szCs w:val="20"/>
                <w:lang w:eastAsia="lv-LV"/>
              </w:rPr>
            </w:pPr>
            <w:r w:rsidRPr="00860B45">
              <w:rPr>
                <w:rFonts w:eastAsia="Calibri" w:cs="Times New Roman"/>
                <w:color w:val="000000"/>
                <w:kern w:val="24"/>
                <w:sz w:val="20"/>
                <w:szCs w:val="20"/>
                <w:lang w:eastAsia="lv-LV"/>
              </w:rPr>
              <w:t>Mazuts (1000 kg)</w:t>
            </w:r>
          </w:p>
        </w:tc>
        <w:tc>
          <w:tcPr>
            <w:tcW w:w="987"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4BB128A"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b/>
                <w:bCs/>
                <w:color w:val="000000"/>
                <w:kern w:val="24"/>
                <w:sz w:val="20"/>
                <w:szCs w:val="20"/>
                <w:lang w:eastAsia="lv-LV"/>
              </w:rPr>
              <w:t>15,65</w:t>
            </w:r>
          </w:p>
        </w:tc>
        <w:tc>
          <w:tcPr>
            <w:tcW w:w="84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47C320E2" w14:textId="77777777" w:rsidR="00860B45" w:rsidRPr="00860B45" w:rsidRDefault="00860B45" w:rsidP="00E25357">
            <w:pPr>
              <w:jc w:val="center"/>
              <w:rPr>
                <w:rFonts w:eastAsia="Times New Roman" w:cs="Times New Roman"/>
                <w:b/>
                <w:sz w:val="20"/>
                <w:szCs w:val="20"/>
                <w:lang w:eastAsia="lv-LV"/>
              </w:rPr>
            </w:pPr>
            <w:r w:rsidRPr="00860B45">
              <w:rPr>
                <w:rFonts w:eastAsia="Calibri" w:cs="Times New Roman"/>
                <w:b/>
                <w:color w:val="FF0000"/>
                <w:kern w:val="24"/>
                <w:sz w:val="20"/>
                <w:szCs w:val="20"/>
                <w:lang w:eastAsia="lv-LV"/>
              </w:rPr>
              <w:t>25</w:t>
            </w:r>
          </w:p>
        </w:tc>
        <w:tc>
          <w:tcPr>
            <w:tcW w:w="98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23D1558C"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b/>
                <w:bCs/>
                <w:color w:val="000000"/>
                <w:kern w:val="24"/>
                <w:sz w:val="20"/>
                <w:szCs w:val="20"/>
                <w:lang w:eastAsia="lv-LV"/>
              </w:rPr>
              <w:t>77,40</w:t>
            </w:r>
          </w:p>
        </w:tc>
        <w:tc>
          <w:tcPr>
            <w:tcW w:w="98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30CB8E5D"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color w:val="000000"/>
                <w:kern w:val="24"/>
                <w:sz w:val="20"/>
                <w:szCs w:val="20"/>
                <w:lang w:eastAsia="lv-LV"/>
              </w:rPr>
              <w:t>495%</w:t>
            </w:r>
          </w:p>
        </w:tc>
        <w:tc>
          <w:tcPr>
            <w:tcW w:w="103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0C214999"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b/>
                <w:bCs/>
                <w:color w:val="000000"/>
                <w:kern w:val="24"/>
                <w:sz w:val="20"/>
                <w:szCs w:val="20"/>
                <w:lang w:eastAsia="lv-LV"/>
              </w:rPr>
              <w:t>-61,75</w:t>
            </w:r>
          </w:p>
        </w:tc>
        <w:tc>
          <w:tcPr>
            <w:tcW w:w="1039"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shd w:val="clear" w:color="auto" w:fill="auto"/>
            <w:tcMar>
              <w:top w:w="15" w:type="dxa"/>
              <w:left w:w="108" w:type="dxa"/>
              <w:bottom w:w="0" w:type="dxa"/>
              <w:right w:w="108" w:type="dxa"/>
            </w:tcMar>
            <w:vAlign w:val="center"/>
            <w:hideMark/>
          </w:tcPr>
          <w:p w14:paraId="741134D1"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color w:val="000000"/>
                <w:kern w:val="24"/>
                <w:sz w:val="20"/>
                <w:szCs w:val="20"/>
                <w:lang w:eastAsia="lv-LV"/>
              </w:rPr>
              <w:t>-395%</w:t>
            </w:r>
          </w:p>
        </w:tc>
        <w:tc>
          <w:tcPr>
            <w:tcW w:w="936" w:type="dxa"/>
            <w:tcBorders>
              <w:top w:val="single" w:sz="4" w:space="0" w:color="808080" w:themeColor="background1" w:themeShade="80"/>
              <w:left w:val="single" w:sz="8" w:space="0" w:color="000000"/>
              <w:bottom w:val="single" w:sz="4" w:space="0" w:color="808080" w:themeColor="background1" w:themeShade="80"/>
              <w:right w:val="single" w:sz="8" w:space="0" w:color="000000"/>
            </w:tcBorders>
            <w:vAlign w:val="center"/>
          </w:tcPr>
          <w:p w14:paraId="532425A5" w14:textId="77777777" w:rsidR="00860B45" w:rsidRPr="00860B45" w:rsidRDefault="00860B45" w:rsidP="00E25357">
            <w:pPr>
              <w:jc w:val="center"/>
              <w:rPr>
                <w:rFonts w:eastAsia="Calibri" w:cs="Times New Roman"/>
                <w:b/>
                <w:color w:val="000000"/>
                <w:kern w:val="24"/>
                <w:sz w:val="20"/>
                <w:szCs w:val="20"/>
                <w:lang w:eastAsia="lv-LV"/>
              </w:rPr>
            </w:pPr>
          </w:p>
        </w:tc>
      </w:tr>
      <w:tr w:rsidR="00860B45" w:rsidRPr="009500A7" w14:paraId="771466C6" w14:textId="77777777" w:rsidTr="006B6C49">
        <w:trPr>
          <w:trHeight w:val="198"/>
        </w:trPr>
        <w:tc>
          <w:tcPr>
            <w:tcW w:w="2386" w:type="dxa"/>
            <w:tcBorders>
              <w:top w:val="single" w:sz="4" w:space="0" w:color="808080" w:themeColor="background1" w:themeShade="8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5849B6" w14:textId="77777777" w:rsidR="00860B45" w:rsidRPr="00860B45" w:rsidRDefault="00860B45" w:rsidP="00466005">
            <w:pPr>
              <w:rPr>
                <w:rFonts w:eastAsia="Times New Roman" w:cs="Times New Roman"/>
                <w:sz w:val="20"/>
                <w:szCs w:val="20"/>
                <w:lang w:eastAsia="lv-LV"/>
              </w:rPr>
            </w:pPr>
            <w:r w:rsidRPr="00860B45">
              <w:rPr>
                <w:rFonts w:eastAsia="Calibri" w:cs="Times New Roman"/>
                <w:color w:val="000000"/>
                <w:kern w:val="24"/>
                <w:sz w:val="20"/>
                <w:szCs w:val="20"/>
                <w:lang w:eastAsia="lv-LV"/>
              </w:rPr>
              <w:t>Akmeņogles</w:t>
            </w:r>
            <w:r w:rsidR="002F5922" w:rsidRPr="002F5922">
              <w:rPr>
                <w:rFonts w:eastAsia="Calibri" w:cs="Times New Roman"/>
                <w:color w:val="000000"/>
                <w:kern w:val="24"/>
                <w:sz w:val="20"/>
                <w:szCs w:val="20"/>
                <w:vertAlign w:val="superscript"/>
                <w:lang w:eastAsia="lv-LV"/>
              </w:rPr>
              <w:t>**</w:t>
            </w:r>
            <w:r w:rsidRPr="00860B45">
              <w:rPr>
                <w:rFonts w:eastAsia="Calibri" w:cs="Times New Roman"/>
                <w:color w:val="000000"/>
                <w:kern w:val="24"/>
                <w:sz w:val="20"/>
                <w:szCs w:val="20"/>
                <w:lang w:eastAsia="lv-LV"/>
              </w:rPr>
              <w:t xml:space="preserve"> (1000 kg)</w:t>
            </w:r>
          </w:p>
        </w:tc>
        <w:tc>
          <w:tcPr>
            <w:tcW w:w="987" w:type="dxa"/>
            <w:tcBorders>
              <w:top w:val="single" w:sz="4" w:space="0" w:color="808080" w:themeColor="background1" w:themeShade="8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02108F88"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b/>
                <w:bCs/>
                <w:color w:val="000000"/>
                <w:kern w:val="24"/>
                <w:sz w:val="20"/>
                <w:szCs w:val="20"/>
                <w:lang w:eastAsia="lv-LV"/>
              </w:rPr>
              <w:t>21,3</w:t>
            </w:r>
          </w:p>
        </w:tc>
        <w:tc>
          <w:tcPr>
            <w:tcW w:w="849" w:type="dxa"/>
            <w:tcBorders>
              <w:top w:val="single" w:sz="4" w:space="0" w:color="808080" w:themeColor="background1" w:themeShade="8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F01AA" w14:textId="77777777" w:rsidR="00860B45" w:rsidRPr="00860B45" w:rsidRDefault="00860B45" w:rsidP="00E25357">
            <w:pPr>
              <w:jc w:val="center"/>
              <w:rPr>
                <w:rFonts w:eastAsia="Times New Roman" w:cs="Times New Roman"/>
                <w:b/>
                <w:sz w:val="20"/>
                <w:szCs w:val="20"/>
                <w:lang w:eastAsia="lv-LV"/>
              </w:rPr>
            </w:pPr>
            <w:r w:rsidRPr="00860B45">
              <w:rPr>
                <w:rFonts w:eastAsia="Calibri" w:cs="Times New Roman"/>
                <w:b/>
                <w:color w:val="FF0000"/>
                <w:kern w:val="24"/>
                <w:sz w:val="20"/>
                <w:szCs w:val="20"/>
                <w:lang w:eastAsia="lv-LV"/>
              </w:rPr>
              <w:t>25</w:t>
            </w:r>
          </w:p>
        </w:tc>
        <w:tc>
          <w:tcPr>
            <w:tcW w:w="989" w:type="dxa"/>
            <w:tcBorders>
              <w:top w:val="single" w:sz="4" w:space="0" w:color="808080" w:themeColor="background1" w:themeShade="8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CFA582"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b/>
                <w:bCs/>
                <w:color w:val="000000"/>
                <w:kern w:val="24"/>
                <w:sz w:val="20"/>
                <w:szCs w:val="20"/>
                <w:lang w:eastAsia="lv-LV"/>
              </w:rPr>
              <w:t>56,76</w:t>
            </w:r>
          </w:p>
        </w:tc>
        <w:tc>
          <w:tcPr>
            <w:tcW w:w="989" w:type="dxa"/>
            <w:tcBorders>
              <w:top w:val="single" w:sz="4" w:space="0" w:color="808080" w:themeColor="background1" w:themeShade="8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0D5966"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color w:val="000000"/>
                <w:kern w:val="24"/>
                <w:sz w:val="20"/>
                <w:szCs w:val="20"/>
                <w:lang w:eastAsia="lv-LV"/>
              </w:rPr>
              <w:t>266%</w:t>
            </w:r>
          </w:p>
        </w:tc>
        <w:tc>
          <w:tcPr>
            <w:tcW w:w="1039" w:type="dxa"/>
            <w:tcBorders>
              <w:top w:val="single" w:sz="4" w:space="0" w:color="808080" w:themeColor="background1" w:themeShade="8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2B6A7C"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b/>
                <w:bCs/>
                <w:color w:val="000000"/>
                <w:kern w:val="24"/>
                <w:sz w:val="20"/>
                <w:szCs w:val="20"/>
                <w:lang w:eastAsia="lv-LV"/>
              </w:rPr>
              <w:t>-35,46</w:t>
            </w:r>
          </w:p>
        </w:tc>
        <w:tc>
          <w:tcPr>
            <w:tcW w:w="1039" w:type="dxa"/>
            <w:tcBorders>
              <w:top w:val="single" w:sz="4" w:space="0" w:color="808080" w:themeColor="background1" w:themeShade="8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A0D504" w14:textId="77777777" w:rsidR="00860B45" w:rsidRPr="00860B45" w:rsidRDefault="00860B45" w:rsidP="00E25357">
            <w:pPr>
              <w:jc w:val="center"/>
              <w:rPr>
                <w:rFonts w:eastAsia="Times New Roman" w:cs="Times New Roman"/>
                <w:sz w:val="20"/>
                <w:szCs w:val="20"/>
                <w:lang w:eastAsia="lv-LV"/>
              </w:rPr>
            </w:pPr>
            <w:r w:rsidRPr="00860B45">
              <w:rPr>
                <w:rFonts w:eastAsia="Calibri" w:cs="Times New Roman"/>
                <w:color w:val="000000"/>
                <w:kern w:val="24"/>
                <w:sz w:val="20"/>
                <w:szCs w:val="20"/>
                <w:lang w:eastAsia="lv-LV"/>
              </w:rPr>
              <w:t>-166%</w:t>
            </w:r>
          </w:p>
        </w:tc>
        <w:tc>
          <w:tcPr>
            <w:tcW w:w="936" w:type="dxa"/>
            <w:tcBorders>
              <w:top w:val="single" w:sz="4" w:space="0" w:color="808080" w:themeColor="background1" w:themeShade="80"/>
              <w:left w:val="single" w:sz="8" w:space="0" w:color="000000"/>
              <w:bottom w:val="single" w:sz="8" w:space="0" w:color="000000"/>
              <w:right w:val="single" w:sz="8" w:space="0" w:color="000000"/>
            </w:tcBorders>
            <w:vAlign w:val="center"/>
          </w:tcPr>
          <w:p w14:paraId="4818B63F" w14:textId="77777777" w:rsidR="00860B45" w:rsidRPr="00860B45" w:rsidRDefault="00860B45" w:rsidP="00E25357">
            <w:pPr>
              <w:jc w:val="center"/>
              <w:rPr>
                <w:rFonts w:eastAsia="Calibri" w:cs="Times New Roman"/>
                <w:b/>
                <w:color w:val="000000"/>
                <w:kern w:val="24"/>
                <w:sz w:val="20"/>
                <w:szCs w:val="20"/>
                <w:lang w:eastAsia="lv-LV"/>
              </w:rPr>
            </w:pPr>
          </w:p>
        </w:tc>
      </w:tr>
      <w:tr w:rsidR="00644700" w:rsidRPr="009500A7" w14:paraId="4EF271F6" w14:textId="77777777" w:rsidTr="002F5922">
        <w:trPr>
          <w:trHeight w:val="198"/>
        </w:trPr>
        <w:tc>
          <w:tcPr>
            <w:tcW w:w="4222" w:type="dxa"/>
            <w:gridSpan w:val="3"/>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vAlign w:val="center"/>
          </w:tcPr>
          <w:p w14:paraId="64B7BC9A" w14:textId="77777777" w:rsidR="00644700" w:rsidRPr="00860B45" w:rsidRDefault="00644700" w:rsidP="002F5922">
            <w:pPr>
              <w:rPr>
                <w:rFonts w:eastAsia="Calibri" w:cs="Times New Roman"/>
                <w:b/>
                <w:color w:val="FF0000"/>
                <w:kern w:val="24"/>
                <w:sz w:val="20"/>
                <w:szCs w:val="20"/>
                <w:lang w:eastAsia="lv-LV"/>
              </w:rPr>
            </w:pPr>
            <w:r w:rsidRPr="00F519AB">
              <w:rPr>
                <w:b/>
                <w:sz w:val="22"/>
              </w:rPr>
              <w:t xml:space="preserve">Fiskālā ietekme, </w:t>
            </w:r>
            <w:r w:rsidRPr="00F519AB">
              <w:rPr>
                <w:i/>
                <w:sz w:val="22"/>
              </w:rPr>
              <w:t>milj. eur</w:t>
            </w:r>
            <w:r>
              <w:rPr>
                <w:i/>
                <w:sz w:val="22"/>
              </w:rPr>
              <w:t>o</w:t>
            </w:r>
          </w:p>
        </w:tc>
        <w:tc>
          <w:tcPr>
            <w:tcW w:w="4992" w:type="dxa"/>
            <w:gridSpan w:val="5"/>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vAlign w:val="center"/>
          </w:tcPr>
          <w:p w14:paraId="77CB57C1" w14:textId="77777777" w:rsidR="00644700" w:rsidRPr="00860B45" w:rsidRDefault="00644700" w:rsidP="000F652A">
            <w:pPr>
              <w:jc w:val="center"/>
              <w:rPr>
                <w:rFonts w:eastAsia="Calibri" w:cs="Times New Roman"/>
                <w:b/>
                <w:color w:val="000000"/>
                <w:kern w:val="24"/>
                <w:sz w:val="20"/>
                <w:szCs w:val="20"/>
                <w:lang w:eastAsia="lv-LV"/>
              </w:rPr>
            </w:pPr>
            <w:r>
              <w:rPr>
                <w:rFonts w:eastAsia="Calibri" w:cs="Times New Roman"/>
                <w:b/>
                <w:color w:val="000000"/>
                <w:kern w:val="24"/>
                <w:sz w:val="20"/>
                <w:szCs w:val="20"/>
                <w:lang w:eastAsia="lv-LV"/>
              </w:rPr>
              <w:t>-</w:t>
            </w:r>
          </w:p>
        </w:tc>
      </w:tr>
    </w:tbl>
    <w:p w14:paraId="460AC51B" w14:textId="77777777" w:rsidR="00644700" w:rsidRDefault="00466005" w:rsidP="00466005">
      <w:pPr>
        <w:tabs>
          <w:tab w:val="left" w:pos="426"/>
        </w:tabs>
        <w:spacing w:before="80" w:after="80"/>
        <w:ind w:left="426" w:hanging="426"/>
        <w:rPr>
          <w:rFonts w:cs="Times New Roman"/>
          <w:b/>
          <w:sz w:val="26"/>
          <w:szCs w:val="26"/>
        </w:rPr>
      </w:pPr>
      <w:r w:rsidRPr="00466005">
        <w:rPr>
          <w:rFonts w:cs="Times New Roman"/>
          <w:sz w:val="18"/>
          <w:szCs w:val="18"/>
          <w:vertAlign w:val="superscript"/>
        </w:rPr>
        <w:t>*</w:t>
      </w:r>
      <w:r>
        <w:rPr>
          <w:rFonts w:cs="Times New Roman"/>
          <w:sz w:val="18"/>
          <w:szCs w:val="18"/>
        </w:rPr>
        <w:tab/>
      </w:r>
      <w:r w:rsidRPr="00466005">
        <w:rPr>
          <w:rFonts w:cs="Times New Roman"/>
          <w:i/>
          <w:sz w:val="18"/>
          <w:szCs w:val="18"/>
        </w:rPr>
        <w:t>AN likme kurināmajai degvielai saskaņā ar Saeimā iesniegto likumprojektu “Grozījumi likumā “Par akcīzes nodokli”” (Nr.383/Lp13) Likumprojekts pieņemts 1.lasījumā 26.09.2019.</w:t>
      </w:r>
    </w:p>
    <w:p w14:paraId="26387560" w14:textId="77777777" w:rsidR="00466005" w:rsidRPr="00466005" w:rsidRDefault="00466005" w:rsidP="00466005">
      <w:pPr>
        <w:tabs>
          <w:tab w:val="left" w:pos="426"/>
        </w:tabs>
        <w:spacing w:after="120"/>
        <w:ind w:left="426" w:hanging="426"/>
        <w:jc w:val="both"/>
        <w:rPr>
          <w:rFonts w:cs="Times New Roman"/>
          <w:i/>
          <w:sz w:val="26"/>
          <w:szCs w:val="26"/>
        </w:rPr>
      </w:pPr>
      <w:r w:rsidRPr="00466005">
        <w:rPr>
          <w:rFonts w:cs="Times New Roman"/>
          <w:i/>
          <w:sz w:val="18"/>
          <w:szCs w:val="18"/>
          <w:vertAlign w:val="superscript"/>
        </w:rPr>
        <w:t>**</w:t>
      </w:r>
      <w:r w:rsidRPr="00466005">
        <w:rPr>
          <w:rFonts w:cs="Times New Roman"/>
          <w:i/>
          <w:sz w:val="18"/>
          <w:szCs w:val="18"/>
        </w:rPr>
        <w:tab/>
        <w:t>Likme saskaņā ar Dabas resursu nodokļa likuma 9.pielikumu</w:t>
      </w:r>
    </w:p>
    <w:p w14:paraId="5EFBB22C" w14:textId="77777777" w:rsidR="0044668C" w:rsidRDefault="0044668C" w:rsidP="0044668C">
      <w:pPr>
        <w:spacing w:after="120"/>
        <w:ind w:firstLine="720"/>
        <w:jc w:val="both"/>
        <w:rPr>
          <w:rFonts w:cs="Times New Roman"/>
          <w:sz w:val="26"/>
          <w:szCs w:val="26"/>
        </w:rPr>
      </w:pPr>
      <w:r>
        <w:rPr>
          <w:rFonts w:cs="Times New Roman"/>
          <w:sz w:val="26"/>
          <w:szCs w:val="26"/>
        </w:rPr>
        <w:t>AN</w:t>
      </w:r>
      <w:r w:rsidRPr="00C56CD2">
        <w:rPr>
          <w:rFonts w:cs="Times New Roman"/>
          <w:sz w:val="26"/>
          <w:szCs w:val="26"/>
        </w:rPr>
        <w:t xml:space="preserve"> noteikšana naftas gāzei, ko izmanto kā kurināmo, paredzot CO</w:t>
      </w:r>
      <w:r w:rsidRPr="00C56CD2">
        <w:rPr>
          <w:rFonts w:cs="Times New Roman"/>
          <w:sz w:val="26"/>
          <w:szCs w:val="26"/>
          <w:vertAlign w:val="subscript"/>
        </w:rPr>
        <w:t>2</w:t>
      </w:r>
      <w:r w:rsidRPr="00C56CD2">
        <w:rPr>
          <w:rFonts w:cs="Times New Roman"/>
          <w:sz w:val="26"/>
          <w:szCs w:val="26"/>
        </w:rPr>
        <w:t xml:space="preserve"> komponentes ieviešanu (10 </w:t>
      </w:r>
      <w:r w:rsidRPr="00C56CD2">
        <w:rPr>
          <w:rFonts w:cs="Times New Roman"/>
          <w:i/>
          <w:iCs/>
          <w:sz w:val="26"/>
          <w:szCs w:val="26"/>
        </w:rPr>
        <w:t>euro</w:t>
      </w:r>
      <w:r w:rsidRPr="00C56CD2">
        <w:rPr>
          <w:rFonts w:cs="Times New Roman"/>
          <w:sz w:val="26"/>
          <w:szCs w:val="26"/>
        </w:rPr>
        <w:t>/t), nodrošinās AN sloga izlīdzināšanu ar dabasgāzi, kurai AN jau tiek piemērots kopš 2011.gada jūlija. Tādejādi, nosakot līdzvērtīgu AN slogu, ņemot vērā katra kurināmā radītās CO</w:t>
      </w:r>
      <w:r w:rsidRPr="00C56CD2">
        <w:rPr>
          <w:rFonts w:cs="Times New Roman"/>
          <w:sz w:val="26"/>
          <w:szCs w:val="26"/>
          <w:vertAlign w:val="subscript"/>
        </w:rPr>
        <w:t>2</w:t>
      </w:r>
      <w:r w:rsidRPr="00C56CD2">
        <w:rPr>
          <w:rFonts w:cs="Times New Roman"/>
          <w:sz w:val="26"/>
          <w:szCs w:val="26"/>
        </w:rPr>
        <w:t xml:space="preserve"> emisijas,  10 </w:t>
      </w:r>
      <w:r w:rsidRPr="00C56CD2">
        <w:rPr>
          <w:rFonts w:cs="Times New Roman"/>
          <w:i/>
          <w:iCs/>
          <w:sz w:val="26"/>
          <w:szCs w:val="26"/>
        </w:rPr>
        <w:t xml:space="preserve">euro </w:t>
      </w:r>
      <w:r w:rsidRPr="00C56CD2">
        <w:rPr>
          <w:rFonts w:cs="Times New Roman"/>
          <w:sz w:val="26"/>
          <w:szCs w:val="26"/>
        </w:rPr>
        <w:t>par t</w:t>
      </w:r>
      <w:r>
        <w:rPr>
          <w:rFonts w:cs="Times New Roman"/>
          <w:sz w:val="26"/>
          <w:szCs w:val="26"/>
        </w:rPr>
        <w:t>onnu</w:t>
      </w:r>
      <w:r w:rsidRPr="00C56CD2">
        <w:rPr>
          <w:rFonts w:cs="Times New Roman"/>
          <w:sz w:val="26"/>
          <w:szCs w:val="26"/>
        </w:rPr>
        <w:t xml:space="preserve"> CO</w:t>
      </w:r>
      <w:r w:rsidRPr="00C56CD2">
        <w:rPr>
          <w:rFonts w:cs="Times New Roman"/>
          <w:sz w:val="26"/>
          <w:szCs w:val="26"/>
          <w:vertAlign w:val="subscript"/>
        </w:rPr>
        <w:t>2</w:t>
      </w:r>
      <w:r w:rsidRPr="00C56CD2">
        <w:rPr>
          <w:rFonts w:cs="Times New Roman"/>
          <w:sz w:val="26"/>
          <w:szCs w:val="26"/>
        </w:rPr>
        <w:t xml:space="preserve">, AN naftas gāzēm ir jānosaka 29 </w:t>
      </w:r>
      <w:r w:rsidRPr="00C56CD2">
        <w:rPr>
          <w:rFonts w:cs="Times New Roman"/>
          <w:i/>
          <w:iCs/>
          <w:sz w:val="26"/>
          <w:szCs w:val="26"/>
        </w:rPr>
        <w:t>euro</w:t>
      </w:r>
      <w:r w:rsidRPr="00C56CD2">
        <w:rPr>
          <w:rFonts w:cs="Times New Roman"/>
          <w:sz w:val="26"/>
          <w:szCs w:val="26"/>
        </w:rPr>
        <w:t xml:space="preserve"> par 1000 kg, bet dabasgāzei jāpalielina no 1,65 </w:t>
      </w:r>
      <w:r w:rsidRPr="00C56CD2">
        <w:rPr>
          <w:rFonts w:cs="Times New Roman"/>
          <w:i/>
          <w:iCs/>
          <w:sz w:val="26"/>
          <w:szCs w:val="26"/>
        </w:rPr>
        <w:t>euro</w:t>
      </w:r>
      <w:r w:rsidRPr="00C56CD2">
        <w:rPr>
          <w:rFonts w:cs="Times New Roman"/>
          <w:sz w:val="26"/>
          <w:szCs w:val="26"/>
        </w:rPr>
        <w:t xml:space="preserve"> par 1 MWh līdz 1,82 </w:t>
      </w:r>
      <w:r w:rsidRPr="00C56CD2">
        <w:rPr>
          <w:rFonts w:cs="Times New Roman"/>
          <w:i/>
          <w:iCs/>
          <w:sz w:val="26"/>
          <w:szCs w:val="26"/>
        </w:rPr>
        <w:t>euro</w:t>
      </w:r>
      <w:r>
        <w:rPr>
          <w:rFonts w:cs="Times New Roman"/>
          <w:sz w:val="26"/>
          <w:szCs w:val="26"/>
        </w:rPr>
        <w:t xml:space="preserve"> par 1 MWh jeb par 10,4%.</w:t>
      </w:r>
    </w:p>
    <w:p w14:paraId="78EF3B11" w14:textId="77777777" w:rsidR="0044668C" w:rsidRDefault="0044668C" w:rsidP="0044668C">
      <w:pPr>
        <w:spacing w:after="120"/>
        <w:ind w:firstLine="720"/>
        <w:jc w:val="both"/>
        <w:rPr>
          <w:rFonts w:cs="Times New Roman"/>
          <w:sz w:val="26"/>
          <w:szCs w:val="26"/>
        </w:rPr>
      </w:pPr>
      <w:r w:rsidRPr="00C56CD2">
        <w:rPr>
          <w:rFonts w:cs="Times New Roman"/>
          <w:sz w:val="26"/>
          <w:szCs w:val="26"/>
        </w:rPr>
        <w:lastRenderedPageBreak/>
        <w:t xml:space="preserve">AN noteikšana naftas gāzei varētu radīt cenas pieaugumu </w:t>
      </w:r>
      <w:r>
        <w:rPr>
          <w:rFonts w:cs="Times New Roman"/>
          <w:sz w:val="26"/>
          <w:szCs w:val="26"/>
        </w:rPr>
        <w:t xml:space="preserve">uz </w:t>
      </w:r>
      <w:r w:rsidRPr="00C56CD2">
        <w:rPr>
          <w:rFonts w:cs="Times New Roman"/>
          <w:sz w:val="26"/>
          <w:szCs w:val="26"/>
        </w:rPr>
        <w:t>balon</w:t>
      </w:r>
      <w:r>
        <w:rPr>
          <w:rFonts w:cs="Times New Roman"/>
          <w:sz w:val="26"/>
          <w:szCs w:val="26"/>
        </w:rPr>
        <w:t>u</w:t>
      </w:r>
      <w:r w:rsidRPr="00C56CD2">
        <w:rPr>
          <w:rFonts w:cs="Times New Roman"/>
          <w:sz w:val="26"/>
          <w:szCs w:val="26"/>
        </w:rPr>
        <w:t xml:space="preserve"> (50 litri 21 kg) par 0,74 </w:t>
      </w:r>
      <w:r w:rsidRPr="00C56CD2">
        <w:rPr>
          <w:rFonts w:cs="Times New Roman"/>
          <w:i/>
          <w:iCs/>
          <w:sz w:val="26"/>
          <w:szCs w:val="26"/>
        </w:rPr>
        <w:t>euro</w:t>
      </w:r>
      <w:r w:rsidRPr="00C56CD2">
        <w:rPr>
          <w:rFonts w:cs="Times New Roman"/>
          <w:sz w:val="26"/>
          <w:szCs w:val="26"/>
        </w:rPr>
        <w:t>, ie</w:t>
      </w:r>
      <w:r>
        <w:rPr>
          <w:rFonts w:cs="Times New Roman"/>
          <w:sz w:val="26"/>
          <w:szCs w:val="26"/>
        </w:rPr>
        <w:t>skai</w:t>
      </w:r>
      <w:r w:rsidRPr="00C56CD2">
        <w:rPr>
          <w:rFonts w:cs="Times New Roman"/>
          <w:sz w:val="26"/>
          <w:szCs w:val="26"/>
        </w:rPr>
        <w:t>tot PVN, jeb par nepilniem 3%, ņemot vērā balona mazumtirdzniecības cenu 2020.gadā</w:t>
      </w:r>
      <w:r>
        <w:rPr>
          <w:rStyle w:val="FootnoteReference"/>
          <w:rFonts w:cs="Times New Roman"/>
          <w:sz w:val="26"/>
          <w:szCs w:val="26"/>
        </w:rPr>
        <w:footnoteReference w:id="4"/>
      </w:r>
      <w:r w:rsidRPr="00C56CD2">
        <w:rPr>
          <w:rFonts w:cs="Times New Roman"/>
          <w:sz w:val="26"/>
          <w:szCs w:val="26"/>
        </w:rPr>
        <w:t>. Savukārt AN piea</w:t>
      </w:r>
      <w:r>
        <w:rPr>
          <w:rFonts w:cs="Times New Roman"/>
          <w:sz w:val="26"/>
          <w:szCs w:val="26"/>
        </w:rPr>
        <w:t>uguma ietekme uz mājsaimniecību</w:t>
      </w:r>
      <w:r w:rsidRPr="00C56CD2">
        <w:rPr>
          <w:rFonts w:cs="Times New Roman"/>
          <w:sz w:val="26"/>
          <w:szCs w:val="26"/>
        </w:rPr>
        <w:t>, k</w:t>
      </w:r>
      <w:r>
        <w:rPr>
          <w:rFonts w:cs="Times New Roman"/>
          <w:sz w:val="26"/>
          <w:szCs w:val="26"/>
        </w:rPr>
        <w:t>ura</w:t>
      </w:r>
      <w:r w:rsidRPr="00C56CD2">
        <w:rPr>
          <w:rFonts w:cs="Times New Roman"/>
          <w:sz w:val="26"/>
          <w:szCs w:val="26"/>
        </w:rPr>
        <w:t xml:space="preserve"> dabasgāzi patērē ēdiena pagatavošanai un arī ūdens uzsildīšanai,  uz 1 m</w:t>
      </w:r>
      <w:r w:rsidRPr="00C56CD2">
        <w:rPr>
          <w:rFonts w:cs="Times New Roman"/>
          <w:sz w:val="26"/>
          <w:szCs w:val="26"/>
          <w:vertAlign w:val="superscript"/>
        </w:rPr>
        <w:t>3</w:t>
      </w:r>
      <w:r w:rsidRPr="00C56CD2">
        <w:rPr>
          <w:rFonts w:cs="Times New Roman"/>
          <w:sz w:val="26"/>
          <w:szCs w:val="26"/>
        </w:rPr>
        <w:t xml:space="preserve"> veidotu no 1,7 centi līdz 1,9 centi jeb 0,2 centi, ieskaitot PVN, jeb 0,4% no dabasgāzes tarifa, kas ir spēkā kopš 2020.gada 1.janvāra</w:t>
      </w:r>
      <w:r>
        <w:rPr>
          <w:rStyle w:val="FootnoteReference"/>
          <w:rFonts w:cs="Times New Roman"/>
          <w:sz w:val="26"/>
          <w:szCs w:val="26"/>
        </w:rPr>
        <w:footnoteReference w:id="5"/>
      </w:r>
      <w:r>
        <w:rPr>
          <w:rFonts w:cs="Times New Roman"/>
          <w:sz w:val="26"/>
          <w:szCs w:val="26"/>
        </w:rPr>
        <w:t>.</w:t>
      </w:r>
    </w:p>
    <w:p w14:paraId="0CB9E966" w14:textId="77777777" w:rsidR="000A12C6" w:rsidRDefault="000A12C6" w:rsidP="000A12C6">
      <w:pPr>
        <w:spacing w:after="120"/>
        <w:ind w:firstLine="720"/>
        <w:jc w:val="both"/>
        <w:rPr>
          <w:rFonts w:cs="Times New Roman"/>
          <w:sz w:val="26"/>
          <w:szCs w:val="26"/>
        </w:rPr>
      </w:pPr>
      <w:r>
        <w:rPr>
          <w:rFonts w:cs="Times New Roman"/>
          <w:sz w:val="26"/>
          <w:szCs w:val="26"/>
        </w:rPr>
        <w:t>Mājsaimniecības, kuras izmanto naftas gāzi apkurei, piemēram, 100 m</w:t>
      </w:r>
      <w:r w:rsidRPr="004579A3">
        <w:rPr>
          <w:rFonts w:cs="Times New Roman"/>
          <w:sz w:val="26"/>
          <w:szCs w:val="26"/>
          <w:vertAlign w:val="superscript"/>
        </w:rPr>
        <w:t>2</w:t>
      </w:r>
      <w:r>
        <w:rPr>
          <w:rFonts w:cs="Times New Roman"/>
          <w:sz w:val="26"/>
          <w:szCs w:val="26"/>
        </w:rPr>
        <w:t xml:space="preserve"> mājas apkurei nepieciešamais naftas gāzes patēriņš gadā ir 670 kg, izmaksas pieaugtu par 19,4 </w:t>
      </w:r>
      <w:r w:rsidRPr="00C7291D">
        <w:rPr>
          <w:rFonts w:cs="Times New Roman"/>
          <w:i/>
          <w:sz w:val="26"/>
          <w:szCs w:val="26"/>
        </w:rPr>
        <w:t>euro</w:t>
      </w:r>
      <w:r>
        <w:rPr>
          <w:rFonts w:cs="Times New Roman"/>
          <w:sz w:val="26"/>
          <w:szCs w:val="26"/>
        </w:rPr>
        <w:t xml:space="preserve"> gadā, bet, ieskaitot PVN, izmaksas palielinātos par 23,5 </w:t>
      </w:r>
      <w:r w:rsidRPr="00C7291D">
        <w:rPr>
          <w:rFonts w:cs="Times New Roman"/>
          <w:i/>
          <w:sz w:val="26"/>
          <w:szCs w:val="26"/>
        </w:rPr>
        <w:t>euro</w:t>
      </w:r>
      <w:r>
        <w:rPr>
          <w:rFonts w:cs="Times New Roman"/>
          <w:sz w:val="26"/>
          <w:szCs w:val="26"/>
        </w:rPr>
        <w:t xml:space="preserve"> gadā.</w:t>
      </w:r>
    </w:p>
    <w:p w14:paraId="533BA906" w14:textId="77777777" w:rsidR="0044668C" w:rsidRDefault="0044668C" w:rsidP="0044668C">
      <w:pPr>
        <w:spacing w:after="120"/>
        <w:ind w:firstLine="720"/>
        <w:jc w:val="both"/>
        <w:rPr>
          <w:rFonts w:cs="Times New Roman"/>
          <w:sz w:val="26"/>
          <w:szCs w:val="26"/>
        </w:rPr>
      </w:pPr>
      <w:r w:rsidRPr="00C56CD2">
        <w:rPr>
          <w:rFonts w:cs="Times New Roman"/>
          <w:sz w:val="26"/>
          <w:szCs w:val="26"/>
        </w:rPr>
        <w:t>Mājsaimniecības, k</w:t>
      </w:r>
      <w:r>
        <w:rPr>
          <w:rFonts w:cs="Times New Roman"/>
          <w:sz w:val="26"/>
          <w:szCs w:val="26"/>
        </w:rPr>
        <w:t>ur</w:t>
      </w:r>
      <w:r w:rsidRPr="00C56CD2">
        <w:rPr>
          <w:rFonts w:cs="Times New Roman"/>
          <w:sz w:val="26"/>
          <w:szCs w:val="26"/>
        </w:rPr>
        <w:t xml:space="preserve">as  dabasgāzi patērē dzīvokļa vai mājas apkurei, AN pieaugums </w:t>
      </w:r>
      <w:r>
        <w:rPr>
          <w:rFonts w:cs="Times New Roman"/>
          <w:sz w:val="26"/>
          <w:szCs w:val="26"/>
        </w:rPr>
        <w:t xml:space="preserve"> uz </w:t>
      </w:r>
      <w:r w:rsidRPr="00C56CD2">
        <w:rPr>
          <w:rFonts w:cs="Times New Roman"/>
          <w:sz w:val="26"/>
          <w:szCs w:val="26"/>
        </w:rPr>
        <w:t xml:space="preserve">dabasgāzes tarifu </w:t>
      </w:r>
      <w:r>
        <w:rPr>
          <w:rFonts w:cs="Times New Roman"/>
          <w:sz w:val="26"/>
          <w:szCs w:val="26"/>
        </w:rPr>
        <w:t>dotu 0,7% ietekmi</w:t>
      </w:r>
      <w:r w:rsidRPr="00C56CD2">
        <w:rPr>
          <w:rFonts w:cs="Times New Roman"/>
          <w:sz w:val="26"/>
          <w:szCs w:val="26"/>
        </w:rPr>
        <w:t xml:space="preserve">. Vienlaikus jāatzīmē, ka Igaunija AN dabasgāzei ar 2020.gadu ir noteikts 79,14 </w:t>
      </w:r>
      <w:r w:rsidRPr="001676D3">
        <w:rPr>
          <w:rFonts w:cs="Times New Roman"/>
          <w:i/>
          <w:sz w:val="26"/>
          <w:szCs w:val="26"/>
        </w:rPr>
        <w:t>euro</w:t>
      </w:r>
      <w:r w:rsidRPr="00C56CD2">
        <w:rPr>
          <w:rFonts w:cs="Times New Roman"/>
          <w:sz w:val="26"/>
          <w:szCs w:val="26"/>
        </w:rPr>
        <w:t xml:space="preserve"> par 1000 m</w:t>
      </w:r>
      <w:r w:rsidRPr="00C56CD2">
        <w:rPr>
          <w:rFonts w:cs="Times New Roman"/>
          <w:sz w:val="26"/>
          <w:szCs w:val="26"/>
          <w:vertAlign w:val="superscript"/>
        </w:rPr>
        <w:t>3</w:t>
      </w:r>
      <w:r w:rsidRPr="00C56CD2">
        <w:rPr>
          <w:rFonts w:cs="Times New Roman"/>
          <w:sz w:val="26"/>
          <w:szCs w:val="26"/>
        </w:rPr>
        <w:t xml:space="preserve"> jeb 7,55 </w:t>
      </w:r>
      <w:r w:rsidRPr="00C56CD2">
        <w:rPr>
          <w:rFonts w:cs="Times New Roman"/>
          <w:i/>
          <w:iCs/>
          <w:sz w:val="26"/>
          <w:szCs w:val="26"/>
        </w:rPr>
        <w:t>euro</w:t>
      </w:r>
      <w:r w:rsidRPr="00C56CD2">
        <w:rPr>
          <w:rFonts w:cs="Times New Roman"/>
          <w:sz w:val="26"/>
          <w:szCs w:val="26"/>
        </w:rPr>
        <w:t xml:space="preserve"> par 1 MWh, kas ir aptuveni 4,5 reizes augstāks nekā Latvijā piemērotais AN dabasgāzei</w:t>
      </w:r>
      <w:r>
        <w:rPr>
          <w:rFonts w:cs="Times New Roman"/>
          <w:sz w:val="26"/>
          <w:szCs w:val="26"/>
        </w:rPr>
        <w:t xml:space="preserve"> šobrīd</w:t>
      </w:r>
      <w:r w:rsidRPr="00C56CD2">
        <w:rPr>
          <w:rFonts w:cs="Times New Roman"/>
          <w:sz w:val="26"/>
          <w:szCs w:val="26"/>
        </w:rPr>
        <w:t>.</w:t>
      </w:r>
    </w:p>
    <w:p w14:paraId="32D02326" w14:textId="77777777" w:rsidR="00860B45" w:rsidRPr="00072E66" w:rsidRDefault="00860B45" w:rsidP="000A12C6">
      <w:pPr>
        <w:spacing w:after="120"/>
        <w:jc w:val="center"/>
        <w:rPr>
          <w:b/>
          <w:sz w:val="26"/>
          <w:szCs w:val="26"/>
        </w:rPr>
      </w:pPr>
      <w:r w:rsidRPr="00072E66">
        <w:rPr>
          <w:b/>
          <w:sz w:val="26"/>
          <w:szCs w:val="26"/>
        </w:rPr>
        <w:t>Informācijai</w:t>
      </w:r>
    </w:p>
    <w:p w14:paraId="75E125B8" w14:textId="77777777" w:rsidR="0003185C" w:rsidRPr="0003185C" w:rsidRDefault="00860B45" w:rsidP="0003185C">
      <w:pPr>
        <w:spacing w:after="240"/>
        <w:ind w:firstLine="709"/>
        <w:jc w:val="both"/>
        <w:rPr>
          <w:sz w:val="26"/>
          <w:szCs w:val="26"/>
        </w:rPr>
      </w:pPr>
      <w:r w:rsidRPr="0003185C">
        <w:rPr>
          <w:b/>
          <w:sz w:val="26"/>
          <w:szCs w:val="26"/>
        </w:rPr>
        <w:t xml:space="preserve">Satiksmes ministrija </w:t>
      </w:r>
      <w:r w:rsidR="0003185C" w:rsidRPr="00281B3C">
        <w:rPr>
          <w:sz w:val="26"/>
          <w:szCs w:val="26"/>
        </w:rPr>
        <w:t>(turpmāk – SM)</w:t>
      </w:r>
      <w:r w:rsidR="0003185C" w:rsidRPr="0003185C">
        <w:rPr>
          <w:b/>
          <w:sz w:val="26"/>
          <w:szCs w:val="26"/>
        </w:rPr>
        <w:t xml:space="preserve"> </w:t>
      </w:r>
      <w:r w:rsidRPr="0003185C">
        <w:rPr>
          <w:b/>
          <w:sz w:val="26"/>
          <w:szCs w:val="26"/>
        </w:rPr>
        <w:t>ierosina</w:t>
      </w:r>
      <w:r w:rsidR="0003185C">
        <w:rPr>
          <w:sz w:val="26"/>
          <w:szCs w:val="26"/>
        </w:rPr>
        <w:t>,</w:t>
      </w:r>
      <w:r w:rsidRPr="00FF2242">
        <w:rPr>
          <w:sz w:val="26"/>
          <w:szCs w:val="26"/>
        </w:rPr>
        <w:t xml:space="preserve"> </w:t>
      </w:r>
      <w:r w:rsidR="0003185C" w:rsidRPr="0003185C">
        <w:rPr>
          <w:sz w:val="26"/>
          <w:szCs w:val="26"/>
        </w:rPr>
        <w:t>lai veicinātu saspiestās dabasgāzes uzpildes punktu izveidi Latvijas teritorijā transportlīdzekļiem, kuros kā degvielu izmanto dabasgāzi</w:t>
      </w:r>
      <w:r w:rsidR="0003185C">
        <w:rPr>
          <w:sz w:val="26"/>
          <w:szCs w:val="26"/>
        </w:rPr>
        <w:t>,</w:t>
      </w:r>
      <w:r w:rsidR="0003185C" w:rsidRPr="00FF2242">
        <w:rPr>
          <w:sz w:val="26"/>
          <w:szCs w:val="26"/>
        </w:rPr>
        <w:t xml:space="preserve"> līdz 2030.gadam </w:t>
      </w:r>
      <w:r w:rsidRPr="00FF2242">
        <w:rPr>
          <w:sz w:val="26"/>
          <w:szCs w:val="26"/>
        </w:rPr>
        <w:t>noteikt pilnīgu atbrīvojumu no AN dabasgāzei (CNG), ko izmanto transportā</w:t>
      </w:r>
      <w:r w:rsidR="0003185C">
        <w:rPr>
          <w:sz w:val="26"/>
          <w:szCs w:val="26"/>
        </w:rPr>
        <w:t>.</w:t>
      </w:r>
      <w:r w:rsidRPr="00FF2242">
        <w:rPr>
          <w:sz w:val="26"/>
          <w:szCs w:val="26"/>
        </w:rPr>
        <w:t xml:space="preserve"> </w:t>
      </w:r>
      <w:r w:rsidR="000A12C6">
        <w:rPr>
          <w:sz w:val="26"/>
          <w:szCs w:val="26"/>
        </w:rPr>
        <w:t xml:space="preserve">Tiek piedāvāts scenārijs terminēti uz pieciem gadiem samazināt AN dabasgāzei, kuru izmanto transportā, paredzot, ka no 2021.gada līdz 2025.gadam AN likme dabasgāzei kā degvielai ir 4,82 </w:t>
      </w:r>
      <w:r w:rsidR="000A12C6" w:rsidRPr="0030392D">
        <w:rPr>
          <w:i/>
          <w:sz w:val="26"/>
          <w:szCs w:val="26"/>
        </w:rPr>
        <w:t>euro</w:t>
      </w:r>
      <w:r w:rsidR="000A12C6">
        <w:rPr>
          <w:sz w:val="26"/>
          <w:szCs w:val="26"/>
        </w:rPr>
        <w:t xml:space="preserve"> par 1 MWh jeb 50,5 </w:t>
      </w:r>
      <w:r w:rsidR="000A12C6" w:rsidRPr="0030392D">
        <w:rPr>
          <w:i/>
          <w:sz w:val="26"/>
          <w:szCs w:val="26"/>
        </w:rPr>
        <w:t>euro</w:t>
      </w:r>
      <w:r w:rsidR="000A12C6">
        <w:rPr>
          <w:sz w:val="26"/>
          <w:szCs w:val="26"/>
        </w:rPr>
        <w:t xml:space="preserve"> par 1000 m</w:t>
      </w:r>
      <w:r w:rsidR="000A12C6" w:rsidRPr="0030392D">
        <w:rPr>
          <w:sz w:val="26"/>
          <w:szCs w:val="26"/>
          <w:vertAlign w:val="superscript"/>
        </w:rPr>
        <w:t>3</w:t>
      </w:r>
      <w:r w:rsidRPr="00FF2242">
        <w:rPr>
          <w:sz w:val="26"/>
          <w:szCs w:val="26"/>
        </w:rPr>
        <w:t>.</w:t>
      </w:r>
    </w:p>
    <w:p w14:paraId="5970F788" w14:textId="77777777" w:rsidR="000A12C6" w:rsidRPr="00DF3E09" w:rsidRDefault="000A12C6" w:rsidP="000A12C6">
      <w:pPr>
        <w:pStyle w:val="ListParagraph"/>
        <w:spacing w:after="120"/>
        <w:ind w:left="0"/>
        <w:jc w:val="center"/>
        <w:rPr>
          <w:b/>
          <w:szCs w:val="24"/>
        </w:rPr>
      </w:pPr>
      <w:r>
        <w:rPr>
          <w:szCs w:val="24"/>
        </w:rPr>
        <w:t>14</w:t>
      </w:r>
      <w:r w:rsidRPr="004A2D13">
        <w:rPr>
          <w:szCs w:val="24"/>
        </w:rPr>
        <w:t>.tab.</w:t>
      </w:r>
      <w:r w:rsidRPr="004A2D13">
        <w:rPr>
          <w:b/>
          <w:szCs w:val="24"/>
        </w:rPr>
        <w:t xml:space="preserve"> </w:t>
      </w:r>
      <w:r w:rsidRPr="00DF3E09">
        <w:rPr>
          <w:b/>
          <w:szCs w:val="24"/>
        </w:rPr>
        <w:t>AN dabasgāzei (CNG)</w:t>
      </w:r>
      <w:r>
        <w:rPr>
          <w:b/>
          <w:szCs w:val="24"/>
        </w:rPr>
        <w:t>,</w:t>
      </w:r>
      <w:r w:rsidRPr="00DF3E09">
        <w:rPr>
          <w:b/>
          <w:szCs w:val="24"/>
        </w:rPr>
        <w:t xml:space="preserve"> ko izmanto transportā</w:t>
      </w:r>
      <w:r>
        <w:rPr>
          <w:b/>
          <w:szCs w:val="24"/>
        </w:rPr>
        <w:t>,</w:t>
      </w:r>
      <w:r w:rsidRPr="00DF3E09">
        <w:rPr>
          <w:b/>
          <w:szCs w:val="24"/>
        </w:rPr>
        <w:t xml:space="preserve"> </w:t>
      </w:r>
      <w:r>
        <w:rPr>
          <w:b/>
          <w:szCs w:val="24"/>
        </w:rPr>
        <w:t>50%</w:t>
      </w:r>
      <w:r w:rsidRPr="00DF3E09">
        <w:rPr>
          <w:b/>
          <w:szCs w:val="24"/>
        </w:rPr>
        <w:t xml:space="preserve"> </w:t>
      </w:r>
      <w:r>
        <w:rPr>
          <w:b/>
          <w:szCs w:val="24"/>
        </w:rPr>
        <w:t xml:space="preserve">AN likmes noteikšana </w:t>
      </w:r>
    </w:p>
    <w:tbl>
      <w:tblPr>
        <w:tblStyle w:val="TableGrid"/>
        <w:tblW w:w="8296" w:type="dxa"/>
        <w:tblLook w:val="04A0" w:firstRow="1" w:lastRow="0" w:firstColumn="1" w:lastColumn="0" w:noHBand="0" w:noVBand="1"/>
      </w:tblPr>
      <w:tblGrid>
        <w:gridCol w:w="1661"/>
        <w:gridCol w:w="1311"/>
        <w:gridCol w:w="906"/>
        <w:gridCol w:w="1165"/>
        <w:gridCol w:w="1164"/>
        <w:gridCol w:w="1078"/>
        <w:gridCol w:w="1011"/>
      </w:tblGrid>
      <w:tr w:rsidR="000A12C6" w:rsidRPr="00FF2242" w14:paraId="0B3E481B" w14:textId="77777777" w:rsidTr="000A12C6">
        <w:tc>
          <w:tcPr>
            <w:tcW w:w="2972" w:type="dxa"/>
            <w:gridSpan w:val="2"/>
            <w:vMerge w:val="restart"/>
            <w:tcBorders>
              <w:right w:val="single" w:sz="4" w:space="0" w:color="FFFFFF" w:themeColor="background1"/>
            </w:tcBorders>
            <w:shd w:val="clear" w:color="auto" w:fill="002060"/>
          </w:tcPr>
          <w:p w14:paraId="5DD507A1" w14:textId="77777777" w:rsidR="000A12C6" w:rsidRPr="00FF2242" w:rsidRDefault="000A12C6" w:rsidP="004610C9">
            <w:pPr>
              <w:jc w:val="both"/>
              <w:rPr>
                <w:rFonts w:cs="Times New Roman"/>
                <w:b/>
                <w:sz w:val="22"/>
              </w:rPr>
            </w:pPr>
          </w:p>
        </w:tc>
        <w:tc>
          <w:tcPr>
            <w:tcW w:w="906" w:type="dxa"/>
            <w:vMerge w:val="restart"/>
            <w:tcBorders>
              <w:left w:val="single" w:sz="4" w:space="0" w:color="FFFFFF" w:themeColor="background1"/>
              <w:right w:val="single" w:sz="4" w:space="0" w:color="FFFFFF" w:themeColor="background1"/>
            </w:tcBorders>
            <w:shd w:val="clear" w:color="auto" w:fill="002060"/>
          </w:tcPr>
          <w:p w14:paraId="5092828E" w14:textId="77777777" w:rsidR="000A12C6" w:rsidRDefault="000A12C6" w:rsidP="000A12C6">
            <w:pPr>
              <w:jc w:val="center"/>
              <w:rPr>
                <w:rFonts w:cs="Times New Roman"/>
                <w:b/>
                <w:sz w:val="22"/>
              </w:rPr>
            </w:pPr>
            <w:r>
              <w:rPr>
                <w:rFonts w:cs="Times New Roman"/>
                <w:b/>
                <w:sz w:val="22"/>
              </w:rPr>
              <w:t xml:space="preserve">Esošā likme </w:t>
            </w:r>
          </w:p>
          <w:p w14:paraId="1FA75DFA" w14:textId="77777777" w:rsidR="000A12C6" w:rsidRPr="00FF2242" w:rsidRDefault="000A12C6" w:rsidP="000A12C6">
            <w:pPr>
              <w:jc w:val="center"/>
              <w:rPr>
                <w:rFonts w:cs="Times New Roman"/>
                <w:b/>
                <w:sz w:val="22"/>
              </w:rPr>
            </w:pPr>
            <w:r>
              <w:rPr>
                <w:rFonts w:cs="Times New Roman"/>
                <w:b/>
                <w:sz w:val="22"/>
              </w:rPr>
              <w:t>2020</w:t>
            </w:r>
          </w:p>
        </w:tc>
        <w:tc>
          <w:tcPr>
            <w:tcW w:w="2329"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2060"/>
          </w:tcPr>
          <w:p w14:paraId="72CCF1DF" w14:textId="77777777" w:rsidR="000A12C6" w:rsidRDefault="000A12C6" w:rsidP="000A12C6">
            <w:pPr>
              <w:jc w:val="center"/>
              <w:rPr>
                <w:rFonts w:cs="Times New Roman"/>
                <w:b/>
                <w:sz w:val="22"/>
              </w:rPr>
            </w:pPr>
            <w:r>
              <w:rPr>
                <w:rFonts w:cs="Times New Roman"/>
                <w:b/>
                <w:sz w:val="22"/>
              </w:rPr>
              <w:t>Scenārijs</w:t>
            </w:r>
          </w:p>
        </w:tc>
        <w:tc>
          <w:tcPr>
            <w:tcW w:w="1078" w:type="dxa"/>
            <w:vMerge w:val="restart"/>
            <w:tcBorders>
              <w:left w:val="single" w:sz="4" w:space="0" w:color="FFFFFF" w:themeColor="background1"/>
              <w:right w:val="single" w:sz="4" w:space="0" w:color="FFFFFF" w:themeColor="background1"/>
            </w:tcBorders>
            <w:shd w:val="clear" w:color="auto" w:fill="002060"/>
          </w:tcPr>
          <w:p w14:paraId="3B67DEBD" w14:textId="77777777" w:rsidR="000A12C6" w:rsidRDefault="000A12C6" w:rsidP="004610C9">
            <w:pPr>
              <w:jc w:val="center"/>
              <w:rPr>
                <w:rFonts w:cs="Times New Roman"/>
                <w:b/>
                <w:sz w:val="22"/>
              </w:rPr>
            </w:pPr>
            <w:r w:rsidRPr="00FF2242">
              <w:rPr>
                <w:rFonts w:cs="Times New Roman"/>
                <w:b/>
                <w:sz w:val="22"/>
              </w:rPr>
              <w:t>Lietuva</w:t>
            </w:r>
            <w:r w:rsidRPr="00AC2449">
              <w:rPr>
                <w:rFonts w:cs="Times New Roman"/>
                <w:b/>
                <w:sz w:val="22"/>
                <w:vertAlign w:val="superscript"/>
              </w:rPr>
              <w:t>**</w:t>
            </w:r>
          </w:p>
        </w:tc>
        <w:tc>
          <w:tcPr>
            <w:tcW w:w="1011" w:type="dxa"/>
            <w:vMerge w:val="restart"/>
            <w:tcBorders>
              <w:left w:val="single" w:sz="4" w:space="0" w:color="FFFFFF" w:themeColor="background1"/>
            </w:tcBorders>
            <w:shd w:val="clear" w:color="auto" w:fill="002060"/>
          </w:tcPr>
          <w:p w14:paraId="1AD8D3B3" w14:textId="77777777" w:rsidR="000A12C6" w:rsidRDefault="000A12C6" w:rsidP="004610C9">
            <w:pPr>
              <w:jc w:val="center"/>
              <w:rPr>
                <w:rFonts w:cs="Times New Roman"/>
                <w:b/>
                <w:sz w:val="22"/>
              </w:rPr>
            </w:pPr>
            <w:r w:rsidRPr="00FF2242">
              <w:rPr>
                <w:rFonts w:cs="Times New Roman"/>
                <w:b/>
                <w:sz w:val="22"/>
              </w:rPr>
              <w:t>Igaunija</w:t>
            </w:r>
          </w:p>
        </w:tc>
      </w:tr>
      <w:tr w:rsidR="000A12C6" w:rsidRPr="00FF2242" w14:paraId="799DD3E4" w14:textId="77777777" w:rsidTr="000A12C6">
        <w:tc>
          <w:tcPr>
            <w:tcW w:w="2972" w:type="dxa"/>
            <w:gridSpan w:val="2"/>
            <w:vMerge/>
            <w:tcBorders>
              <w:right w:val="single" w:sz="4" w:space="0" w:color="FFFFFF" w:themeColor="background1"/>
            </w:tcBorders>
            <w:shd w:val="clear" w:color="auto" w:fill="002060"/>
          </w:tcPr>
          <w:p w14:paraId="6F60F19F" w14:textId="77777777" w:rsidR="000A12C6" w:rsidRPr="00FF2242" w:rsidRDefault="000A12C6" w:rsidP="004610C9">
            <w:pPr>
              <w:jc w:val="both"/>
              <w:rPr>
                <w:rFonts w:cs="Times New Roman"/>
                <w:b/>
                <w:sz w:val="22"/>
              </w:rPr>
            </w:pPr>
          </w:p>
        </w:tc>
        <w:tc>
          <w:tcPr>
            <w:tcW w:w="906" w:type="dxa"/>
            <w:vMerge/>
            <w:tcBorders>
              <w:left w:val="single" w:sz="4" w:space="0" w:color="FFFFFF" w:themeColor="background1"/>
              <w:right w:val="single" w:sz="4" w:space="0" w:color="FFFFFF" w:themeColor="background1"/>
            </w:tcBorders>
            <w:shd w:val="clear" w:color="auto" w:fill="002060"/>
          </w:tcPr>
          <w:p w14:paraId="75225B57" w14:textId="77777777" w:rsidR="000A12C6" w:rsidRPr="00FF2242" w:rsidRDefault="000A12C6" w:rsidP="004610C9">
            <w:pPr>
              <w:jc w:val="center"/>
              <w:rPr>
                <w:rFonts w:cs="Times New Roman"/>
                <w:b/>
                <w:sz w:val="22"/>
              </w:rPr>
            </w:pPr>
          </w:p>
        </w:tc>
        <w:tc>
          <w:tcPr>
            <w:tcW w:w="1165"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42171F1A" w14:textId="77777777" w:rsidR="000A12C6" w:rsidRPr="00FF2242" w:rsidRDefault="000A12C6" w:rsidP="004610C9">
            <w:pPr>
              <w:jc w:val="center"/>
              <w:rPr>
                <w:rFonts w:cs="Times New Roman"/>
                <w:b/>
                <w:sz w:val="22"/>
              </w:rPr>
            </w:pPr>
            <w:r>
              <w:rPr>
                <w:rFonts w:cs="Times New Roman"/>
                <w:b/>
                <w:sz w:val="22"/>
              </w:rPr>
              <w:t>2021.-2025.g</w:t>
            </w:r>
          </w:p>
        </w:tc>
        <w:tc>
          <w:tcPr>
            <w:tcW w:w="1164"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0C110416" w14:textId="77777777" w:rsidR="000A12C6" w:rsidRDefault="000A12C6" w:rsidP="004610C9">
            <w:pPr>
              <w:jc w:val="center"/>
              <w:rPr>
                <w:rFonts w:cs="Times New Roman"/>
                <w:b/>
                <w:sz w:val="22"/>
              </w:rPr>
            </w:pPr>
            <w:r>
              <w:rPr>
                <w:rFonts w:cs="Times New Roman"/>
                <w:b/>
                <w:sz w:val="22"/>
              </w:rPr>
              <w:t>No 2026.gada</w:t>
            </w:r>
          </w:p>
        </w:tc>
        <w:tc>
          <w:tcPr>
            <w:tcW w:w="1078" w:type="dxa"/>
            <w:vMerge/>
            <w:tcBorders>
              <w:left w:val="single" w:sz="4" w:space="0" w:color="FFFFFF" w:themeColor="background1"/>
              <w:right w:val="single" w:sz="4" w:space="0" w:color="FFFFFF" w:themeColor="background1"/>
            </w:tcBorders>
            <w:shd w:val="clear" w:color="auto" w:fill="002060"/>
          </w:tcPr>
          <w:p w14:paraId="03D67917" w14:textId="77777777" w:rsidR="000A12C6" w:rsidRDefault="000A12C6" w:rsidP="004610C9">
            <w:pPr>
              <w:jc w:val="center"/>
              <w:rPr>
                <w:rFonts w:cs="Times New Roman"/>
                <w:b/>
                <w:sz w:val="22"/>
              </w:rPr>
            </w:pPr>
          </w:p>
        </w:tc>
        <w:tc>
          <w:tcPr>
            <w:tcW w:w="1011" w:type="dxa"/>
            <w:vMerge/>
            <w:tcBorders>
              <w:left w:val="single" w:sz="4" w:space="0" w:color="FFFFFF" w:themeColor="background1"/>
            </w:tcBorders>
            <w:shd w:val="clear" w:color="auto" w:fill="002060"/>
          </w:tcPr>
          <w:p w14:paraId="55F02A91" w14:textId="77777777" w:rsidR="000A12C6" w:rsidRDefault="000A12C6" w:rsidP="004610C9">
            <w:pPr>
              <w:jc w:val="center"/>
              <w:rPr>
                <w:rFonts w:cs="Times New Roman"/>
                <w:b/>
                <w:sz w:val="22"/>
              </w:rPr>
            </w:pPr>
          </w:p>
        </w:tc>
      </w:tr>
      <w:tr w:rsidR="000A12C6" w:rsidRPr="001B76F3" w14:paraId="4D9362AB" w14:textId="77777777" w:rsidTr="000A12C6">
        <w:tc>
          <w:tcPr>
            <w:tcW w:w="1661" w:type="dxa"/>
            <w:vMerge w:val="restart"/>
            <w:vAlign w:val="center"/>
          </w:tcPr>
          <w:p w14:paraId="36D6BC27" w14:textId="77777777" w:rsidR="000A12C6" w:rsidRPr="00FF2242" w:rsidRDefault="000A12C6" w:rsidP="000A12C6">
            <w:pPr>
              <w:jc w:val="both"/>
              <w:rPr>
                <w:rFonts w:cs="Times New Roman"/>
                <w:sz w:val="22"/>
              </w:rPr>
            </w:pPr>
            <w:r w:rsidRPr="00FF2242">
              <w:rPr>
                <w:rFonts w:cs="Times New Roman"/>
                <w:sz w:val="22"/>
              </w:rPr>
              <w:t xml:space="preserve">Dabasgāze kā degviela </w:t>
            </w:r>
          </w:p>
        </w:tc>
        <w:tc>
          <w:tcPr>
            <w:tcW w:w="1311" w:type="dxa"/>
            <w:tcBorders>
              <w:bottom w:val="single" w:sz="4" w:space="0" w:color="808080" w:themeColor="background1" w:themeShade="80"/>
            </w:tcBorders>
            <w:vAlign w:val="center"/>
          </w:tcPr>
          <w:p w14:paraId="66FCF46A" w14:textId="77777777" w:rsidR="000A12C6" w:rsidRPr="00FF2242" w:rsidRDefault="000A12C6" w:rsidP="000A12C6">
            <w:pPr>
              <w:jc w:val="both"/>
              <w:rPr>
                <w:rFonts w:cs="Times New Roman"/>
                <w:sz w:val="22"/>
              </w:rPr>
            </w:pPr>
            <w:r w:rsidRPr="00FF2242">
              <w:rPr>
                <w:rFonts w:cs="Times New Roman"/>
                <w:sz w:val="22"/>
              </w:rPr>
              <w:t>par 1000 m</w:t>
            </w:r>
            <w:r w:rsidRPr="00FF2242">
              <w:rPr>
                <w:rFonts w:cs="Times New Roman"/>
                <w:sz w:val="22"/>
                <w:vertAlign w:val="superscript"/>
              </w:rPr>
              <w:t>3</w:t>
            </w:r>
          </w:p>
        </w:tc>
        <w:tc>
          <w:tcPr>
            <w:tcW w:w="906" w:type="dxa"/>
            <w:tcBorders>
              <w:bottom w:val="single" w:sz="4" w:space="0" w:color="808080" w:themeColor="background1" w:themeShade="80"/>
            </w:tcBorders>
            <w:shd w:val="clear" w:color="auto" w:fill="D9D9D9" w:themeFill="background1" w:themeFillShade="D9"/>
            <w:vAlign w:val="center"/>
          </w:tcPr>
          <w:p w14:paraId="113974F5" w14:textId="77777777" w:rsidR="000A12C6" w:rsidRPr="000A12C6" w:rsidRDefault="000A12C6" w:rsidP="000A12C6">
            <w:pPr>
              <w:jc w:val="center"/>
              <w:rPr>
                <w:rFonts w:cs="Times New Roman"/>
                <w:b/>
                <w:sz w:val="22"/>
              </w:rPr>
            </w:pPr>
            <w:r w:rsidRPr="000A12C6">
              <w:rPr>
                <w:rFonts w:cs="Times New Roman"/>
                <w:b/>
                <w:sz w:val="22"/>
              </w:rPr>
              <w:t>101</w:t>
            </w:r>
          </w:p>
        </w:tc>
        <w:tc>
          <w:tcPr>
            <w:tcW w:w="1165" w:type="dxa"/>
            <w:tcBorders>
              <w:bottom w:val="single" w:sz="4" w:space="0" w:color="808080" w:themeColor="background1" w:themeShade="80"/>
            </w:tcBorders>
            <w:shd w:val="clear" w:color="auto" w:fill="FFFFFF" w:themeFill="background1"/>
          </w:tcPr>
          <w:p w14:paraId="64488470" w14:textId="77777777" w:rsidR="000A12C6" w:rsidRPr="000A12C6" w:rsidRDefault="000A12C6" w:rsidP="000A12C6">
            <w:pPr>
              <w:jc w:val="center"/>
              <w:rPr>
                <w:rFonts w:cs="Times New Roman"/>
                <w:b/>
                <w:color w:val="FF0000"/>
                <w:sz w:val="22"/>
              </w:rPr>
            </w:pPr>
            <w:r w:rsidRPr="000A12C6">
              <w:rPr>
                <w:rFonts w:cs="Times New Roman"/>
                <w:b/>
                <w:color w:val="FF0000"/>
                <w:sz w:val="22"/>
              </w:rPr>
              <w:t>50,5</w:t>
            </w:r>
          </w:p>
        </w:tc>
        <w:tc>
          <w:tcPr>
            <w:tcW w:w="1164" w:type="dxa"/>
            <w:tcBorders>
              <w:bottom w:val="single" w:sz="4" w:space="0" w:color="808080" w:themeColor="background1" w:themeShade="80"/>
            </w:tcBorders>
            <w:shd w:val="clear" w:color="auto" w:fill="FFFFFF" w:themeFill="background1"/>
          </w:tcPr>
          <w:p w14:paraId="4D0DA7AF" w14:textId="77777777" w:rsidR="000A12C6" w:rsidRPr="000A12C6" w:rsidRDefault="000A12C6" w:rsidP="000A12C6">
            <w:pPr>
              <w:jc w:val="center"/>
              <w:rPr>
                <w:rFonts w:cs="Times New Roman"/>
                <w:b/>
                <w:color w:val="FF0000"/>
                <w:sz w:val="22"/>
              </w:rPr>
            </w:pPr>
            <w:r w:rsidRPr="000A12C6">
              <w:rPr>
                <w:rFonts w:cs="Times New Roman"/>
                <w:b/>
                <w:color w:val="FF0000"/>
                <w:sz w:val="22"/>
              </w:rPr>
              <w:t>105</w:t>
            </w:r>
          </w:p>
        </w:tc>
        <w:tc>
          <w:tcPr>
            <w:tcW w:w="1078" w:type="dxa"/>
            <w:tcBorders>
              <w:bottom w:val="single" w:sz="4" w:space="0" w:color="808080" w:themeColor="background1" w:themeShade="80"/>
            </w:tcBorders>
            <w:shd w:val="clear" w:color="auto" w:fill="D9D9D9" w:themeFill="background1" w:themeFillShade="D9"/>
            <w:vAlign w:val="center"/>
          </w:tcPr>
          <w:p w14:paraId="1FE6CD1A" w14:textId="77777777" w:rsidR="000A12C6" w:rsidRPr="000A12C6" w:rsidRDefault="000A12C6" w:rsidP="000A12C6">
            <w:pPr>
              <w:jc w:val="center"/>
              <w:rPr>
                <w:rFonts w:cs="Times New Roman"/>
                <w:b/>
                <w:color w:val="00B050"/>
                <w:sz w:val="22"/>
              </w:rPr>
            </w:pPr>
            <w:r w:rsidRPr="000A12C6">
              <w:rPr>
                <w:rFonts w:cs="Times New Roman"/>
                <w:b/>
                <w:color w:val="00B050"/>
                <w:sz w:val="22"/>
              </w:rPr>
              <w:t>0</w:t>
            </w:r>
          </w:p>
        </w:tc>
        <w:tc>
          <w:tcPr>
            <w:tcW w:w="1011" w:type="dxa"/>
            <w:tcBorders>
              <w:bottom w:val="single" w:sz="4" w:space="0" w:color="808080" w:themeColor="background1" w:themeShade="80"/>
            </w:tcBorders>
            <w:shd w:val="clear" w:color="auto" w:fill="D9D9D9" w:themeFill="background1" w:themeFillShade="D9"/>
            <w:vAlign w:val="center"/>
          </w:tcPr>
          <w:p w14:paraId="745720D4" w14:textId="77777777" w:rsidR="000A12C6" w:rsidRPr="00DF3E09" w:rsidRDefault="000A12C6" w:rsidP="000A12C6">
            <w:pPr>
              <w:jc w:val="center"/>
              <w:rPr>
                <w:rFonts w:cs="Times New Roman"/>
                <w:b/>
                <w:color w:val="002060"/>
                <w:sz w:val="22"/>
              </w:rPr>
            </w:pPr>
            <w:r w:rsidRPr="00DF3E09">
              <w:rPr>
                <w:rFonts w:cs="Times New Roman"/>
                <w:b/>
                <w:color w:val="002060"/>
                <w:sz w:val="22"/>
              </w:rPr>
              <w:t>47,32</w:t>
            </w:r>
          </w:p>
        </w:tc>
      </w:tr>
      <w:tr w:rsidR="000A12C6" w:rsidRPr="001B76F3" w14:paraId="1C55D471" w14:textId="77777777" w:rsidTr="000A12C6">
        <w:tc>
          <w:tcPr>
            <w:tcW w:w="1661" w:type="dxa"/>
            <w:vMerge/>
            <w:vAlign w:val="center"/>
          </w:tcPr>
          <w:p w14:paraId="2A3D2B7D" w14:textId="77777777" w:rsidR="000A12C6" w:rsidRPr="00FF2242" w:rsidRDefault="000A12C6" w:rsidP="000A12C6">
            <w:pPr>
              <w:jc w:val="both"/>
              <w:rPr>
                <w:rFonts w:cs="Times New Roman"/>
                <w:sz w:val="22"/>
              </w:rPr>
            </w:pPr>
          </w:p>
        </w:tc>
        <w:tc>
          <w:tcPr>
            <w:tcW w:w="1311" w:type="dxa"/>
            <w:tcBorders>
              <w:top w:val="single" w:sz="4" w:space="0" w:color="808080" w:themeColor="background1" w:themeShade="80"/>
            </w:tcBorders>
            <w:vAlign w:val="center"/>
          </w:tcPr>
          <w:p w14:paraId="07BA2D6F" w14:textId="77777777" w:rsidR="000A12C6" w:rsidRPr="00FF2242" w:rsidRDefault="000A12C6" w:rsidP="000A12C6">
            <w:pPr>
              <w:jc w:val="both"/>
              <w:rPr>
                <w:rFonts w:cs="Times New Roman"/>
                <w:sz w:val="22"/>
              </w:rPr>
            </w:pPr>
            <w:r w:rsidRPr="00FF2242">
              <w:rPr>
                <w:rFonts w:cs="Times New Roman"/>
                <w:sz w:val="22"/>
              </w:rPr>
              <w:t>par  1 MWh</w:t>
            </w:r>
          </w:p>
        </w:tc>
        <w:tc>
          <w:tcPr>
            <w:tcW w:w="906" w:type="dxa"/>
            <w:tcBorders>
              <w:top w:val="single" w:sz="4" w:space="0" w:color="808080" w:themeColor="background1" w:themeShade="80"/>
            </w:tcBorders>
            <w:shd w:val="clear" w:color="auto" w:fill="D9D9D9" w:themeFill="background1" w:themeFillShade="D9"/>
            <w:vAlign w:val="center"/>
          </w:tcPr>
          <w:p w14:paraId="0C6DB8B2" w14:textId="77777777" w:rsidR="000A12C6" w:rsidRPr="000A12C6" w:rsidRDefault="000A12C6" w:rsidP="000A12C6">
            <w:pPr>
              <w:jc w:val="center"/>
              <w:rPr>
                <w:rFonts w:cs="Times New Roman"/>
                <w:b/>
                <w:sz w:val="22"/>
              </w:rPr>
            </w:pPr>
            <w:r w:rsidRPr="000A12C6">
              <w:rPr>
                <w:rFonts w:cs="Times New Roman"/>
                <w:b/>
                <w:sz w:val="22"/>
              </w:rPr>
              <w:t>9,64</w:t>
            </w:r>
          </w:p>
        </w:tc>
        <w:tc>
          <w:tcPr>
            <w:tcW w:w="1165" w:type="dxa"/>
            <w:tcBorders>
              <w:top w:val="single" w:sz="4" w:space="0" w:color="808080" w:themeColor="background1" w:themeShade="80"/>
            </w:tcBorders>
            <w:shd w:val="clear" w:color="auto" w:fill="FFFFFF" w:themeFill="background1"/>
          </w:tcPr>
          <w:p w14:paraId="68532F12" w14:textId="77777777" w:rsidR="000A12C6" w:rsidRPr="000A12C6" w:rsidRDefault="000A12C6" w:rsidP="000A12C6">
            <w:pPr>
              <w:jc w:val="center"/>
              <w:rPr>
                <w:rFonts w:cs="Times New Roman"/>
                <w:b/>
                <w:color w:val="FF0000"/>
                <w:sz w:val="22"/>
              </w:rPr>
            </w:pPr>
            <w:r w:rsidRPr="000A12C6">
              <w:rPr>
                <w:rFonts w:cs="Times New Roman"/>
                <w:b/>
                <w:color w:val="FF0000"/>
                <w:sz w:val="22"/>
              </w:rPr>
              <w:t>4,82</w:t>
            </w:r>
          </w:p>
        </w:tc>
        <w:tc>
          <w:tcPr>
            <w:tcW w:w="1164" w:type="dxa"/>
            <w:tcBorders>
              <w:top w:val="single" w:sz="4" w:space="0" w:color="808080" w:themeColor="background1" w:themeShade="80"/>
            </w:tcBorders>
            <w:shd w:val="clear" w:color="auto" w:fill="FFFFFF" w:themeFill="background1"/>
          </w:tcPr>
          <w:p w14:paraId="5A41BE66" w14:textId="77777777" w:rsidR="000A12C6" w:rsidRPr="000A12C6" w:rsidRDefault="000A12C6" w:rsidP="000A12C6">
            <w:pPr>
              <w:jc w:val="center"/>
              <w:rPr>
                <w:rFonts w:cs="Times New Roman"/>
                <w:b/>
                <w:color w:val="FF0000"/>
                <w:sz w:val="22"/>
              </w:rPr>
            </w:pPr>
            <w:r w:rsidRPr="000A12C6">
              <w:rPr>
                <w:rFonts w:cs="Times New Roman"/>
                <w:b/>
                <w:color w:val="FF0000"/>
                <w:sz w:val="22"/>
              </w:rPr>
              <w:t>10</w:t>
            </w:r>
          </w:p>
        </w:tc>
        <w:tc>
          <w:tcPr>
            <w:tcW w:w="1078" w:type="dxa"/>
            <w:tcBorders>
              <w:top w:val="single" w:sz="4" w:space="0" w:color="808080" w:themeColor="background1" w:themeShade="80"/>
            </w:tcBorders>
            <w:shd w:val="clear" w:color="auto" w:fill="D9D9D9" w:themeFill="background1" w:themeFillShade="D9"/>
            <w:vAlign w:val="center"/>
          </w:tcPr>
          <w:p w14:paraId="2732285F" w14:textId="77777777" w:rsidR="000A12C6" w:rsidRPr="000A12C6" w:rsidRDefault="000A12C6" w:rsidP="000A12C6">
            <w:pPr>
              <w:jc w:val="center"/>
              <w:rPr>
                <w:rFonts w:cs="Times New Roman"/>
                <w:b/>
                <w:color w:val="00B050"/>
                <w:sz w:val="22"/>
              </w:rPr>
            </w:pPr>
            <w:r w:rsidRPr="000A12C6">
              <w:rPr>
                <w:rFonts w:cs="Times New Roman"/>
                <w:b/>
                <w:color w:val="00B050"/>
                <w:sz w:val="22"/>
              </w:rPr>
              <w:t>0</w:t>
            </w:r>
          </w:p>
        </w:tc>
        <w:tc>
          <w:tcPr>
            <w:tcW w:w="1011" w:type="dxa"/>
            <w:tcBorders>
              <w:top w:val="single" w:sz="4" w:space="0" w:color="808080" w:themeColor="background1" w:themeShade="80"/>
            </w:tcBorders>
            <w:shd w:val="clear" w:color="auto" w:fill="D9D9D9" w:themeFill="background1" w:themeFillShade="D9"/>
            <w:vAlign w:val="center"/>
          </w:tcPr>
          <w:p w14:paraId="4A438BC5" w14:textId="77777777" w:rsidR="000A12C6" w:rsidRPr="00DF3E09" w:rsidRDefault="000A12C6" w:rsidP="000A12C6">
            <w:pPr>
              <w:jc w:val="center"/>
              <w:rPr>
                <w:rFonts w:cs="Times New Roman"/>
                <w:b/>
                <w:color w:val="002060"/>
                <w:sz w:val="22"/>
              </w:rPr>
            </w:pPr>
            <w:r w:rsidRPr="00DF3E09">
              <w:rPr>
                <w:rFonts w:cs="Times New Roman"/>
                <w:b/>
                <w:color w:val="002060"/>
                <w:sz w:val="22"/>
              </w:rPr>
              <w:t>4,52</w:t>
            </w:r>
          </w:p>
        </w:tc>
      </w:tr>
      <w:tr w:rsidR="000A12C6" w:rsidRPr="001B76F3" w14:paraId="1DBE78E2" w14:textId="77777777" w:rsidTr="000A12C6">
        <w:trPr>
          <w:trHeight w:val="193"/>
        </w:trPr>
        <w:tc>
          <w:tcPr>
            <w:tcW w:w="3878" w:type="dxa"/>
            <w:gridSpan w:val="3"/>
            <w:shd w:val="clear" w:color="auto" w:fill="FFE599" w:themeFill="accent4" w:themeFillTint="66"/>
            <w:vAlign w:val="center"/>
          </w:tcPr>
          <w:p w14:paraId="23C3BEA8" w14:textId="77777777" w:rsidR="000A12C6" w:rsidRPr="00DF3E09" w:rsidRDefault="000A12C6" w:rsidP="000A12C6">
            <w:pPr>
              <w:rPr>
                <w:rFonts w:cs="Times New Roman"/>
                <w:b/>
                <w:color w:val="C00000"/>
                <w:sz w:val="22"/>
              </w:rPr>
            </w:pPr>
            <w:r w:rsidRPr="00F519AB">
              <w:rPr>
                <w:b/>
                <w:sz w:val="22"/>
              </w:rPr>
              <w:t xml:space="preserve">Fiskālā ietekme, </w:t>
            </w:r>
            <w:r>
              <w:rPr>
                <w:i/>
                <w:sz w:val="22"/>
              </w:rPr>
              <w:t>milj</w:t>
            </w:r>
            <w:r w:rsidRPr="00F519AB">
              <w:rPr>
                <w:i/>
                <w:sz w:val="22"/>
              </w:rPr>
              <w:t>. eur</w:t>
            </w:r>
            <w:r>
              <w:rPr>
                <w:i/>
                <w:sz w:val="22"/>
              </w:rPr>
              <w:t>o</w:t>
            </w:r>
          </w:p>
        </w:tc>
        <w:tc>
          <w:tcPr>
            <w:tcW w:w="2329" w:type="dxa"/>
            <w:gridSpan w:val="2"/>
            <w:shd w:val="clear" w:color="auto" w:fill="FFFFFF" w:themeFill="background1"/>
          </w:tcPr>
          <w:p w14:paraId="2775F113" w14:textId="77777777" w:rsidR="000A12C6" w:rsidRPr="00DF3E09" w:rsidRDefault="000A12C6" w:rsidP="000A12C6">
            <w:pPr>
              <w:jc w:val="center"/>
              <w:rPr>
                <w:rFonts w:cs="Times New Roman"/>
                <w:b/>
                <w:color w:val="00B050"/>
                <w:sz w:val="22"/>
              </w:rPr>
            </w:pPr>
            <w:r>
              <w:rPr>
                <w:rFonts w:cs="Times New Roman"/>
                <w:b/>
                <w:color w:val="C00000"/>
                <w:sz w:val="22"/>
              </w:rPr>
              <w:t>-0,014</w:t>
            </w:r>
          </w:p>
        </w:tc>
        <w:tc>
          <w:tcPr>
            <w:tcW w:w="1078" w:type="dxa"/>
            <w:shd w:val="clear" w:color="auto" w:fill="D9D9D9" w:themeFill="background1" w:themeFillShade="D9"/>
          </w:tcPr>
          <w:p w14:paraId="72AE28A9" w14:textId="77777777" w:rsidR="000A12C6" w:rsidRPr="00DF3E09" w:rsidRDefault="000A12C6" w:rsidP="000A12C6">
            <w:pPr>
              <w:jc w:val="center"/>
              <w:rPr>
                <w:rFonts w:cs="Times New Roman"/>
                <w:b/>
                <w:color w:val="00B050"/>
                <w:sz w:val="22"/>
              </w:rPr>
            </w:pPr>
          </w:p>
        </w:tc>
        <w:tc>
          <w:tcPr>
            <w:tcW w:w="1011" w:type="dxa"/>
            <w:shd w:val="clear" w:color="auto" w:fill="D9D9D9" w:themeFill="background1" w:themeFillShade="D9"/>
          </w:tcPr>
          <w:p w14:paraId="1E5AD588" w14:textId="77777777" w:rsidR="000A12C6" w:rsidRPr="00DF3E09" w:rsidRDefault="000A12C6" w:rsidP="000A12C6">
            <w:pPr>
              <w:jc w:val="center"/>
              <w:rPr>
                <w:rFonts w:cs="Times New Roman"/>
                <w:b/>
                <w:color w:val="00B050"/>
                <w:sz w:val="22"/>
              </w:rPr>
            </w:pPr>
          </w:p>
        </w:tc>
      </w:tr>
    </w:tbl>
    <w:p w14:paraId="2F302B9A" w14:textId="77777777" w:rsidR="000A12C6" w:rsidRPr="002B4F8E" w:rsidRDefault="000A12C6" w:rsidP="000A12C6">
      <w:pPr>
        <w:tabs>
          <w:tab w:val="left" w:pos="284"/>
        </w:tabs>
        <w:spacing w:after="80"/>
        <w:ind w:left="284" w:hanging="284"/>
        <w:jc w:val="both"/>
        <w:rPr>
          <w:rFonts w:cs="Times New Roman"/>
          <w:i/>
          <w:sz w:val="18"/>
          <w:szCs w:val="18"/>
        </w:rPr>
      </w:pPr>
      <w:r w:rsidRPr="002B4F8E">
        <w:rPr>
          <w:rFonts w:cs="Times New Roman"/>
          <w:i/>
          <w:sz w:val="18"/>
          <w:szCs w:val="18"/>
          <w:vertAlign w:val="superscript"/>
        </w:rPr>
        <w:t>*</w:t>
      </w:r>
      <w:r w:rsidRPr="002B4F8E">
        <w:rPr>
          <w:rFonts w:cs="Times New Roman"/>
          <w:i/>
          <w:sz w:val="18"/>
          <w:szCs w:val="18"/>
        </w:rPr>
        <w:t xml:space="preserve"> </w:t>
      </w:r>
      <w:r w:rsidRPr="002B4F8E">
        <w:rPr>
          <w:rFonts w:cs="Times New Roman"/>
          <w:i/>
          <w:sz w:val="18"/>
          <w:szCs w:val="18"/>
        </w:rPr>
        <w:tab/>
        <w:t>AN likme dabasgāzei ir pārrēķināta no MWh uz 1000 m</w:t>
      </w:r>
      <w:r w:rsidRPr="002B4F8E">
        <w:rPr>
          <w:rFonts w:cs="Times New Roman"/>
          <w:i/>
          <w:sz w:val="18"/>
          <w:szCs w:val="18"/>
          <w:vertAlign w:val="superscript"/>
        </w:rPr>
        <w:t>3</w:t>
      </w:r>
      <w:r w:rsidRPr="002B4F8E">
        <w:rPr>
          <w:rFonts w:cs="Times New Roman"/>
          <w:i/>
          <w:sz w:val="18"/>
          <w:szCs w:val="18"/>
        </w:rPr>
        <w:t>, ņemot vērā dabasgāzes parametrus 2018.gada decembrī Conexus Baltic Grid mērīšanas stacijā (Rīga-1)</w:t>
      </w:r>
    </w:p>
    <w:p w14:paraId="660580F2" w14:textId="77777777" w:rsidR="000A12C6" w:rsidRPr="002B4F8E" w:rsidRDefault="000A12C6" w:rsidP="000A12C6">
      <w:pPr>
        <w:tabs>
          <w:tab w:val="left" w:pos="284"/>
        </w:tabs>
        <w:ind w:left="284" w:hanging="284"/>
        <w:jc w:val="both"/>
        <w:rPr>
          <w:rFonts w:cs="Times New Roman"/>
          <w:i/>
          <w:sz w:val="18"/>
          <w:szCs w:val="18"/>
        </w:rPr>
      </w:pPr>
      <w:r w:rsidRPr="002B4F8E">
        <w:rPr>
          <w:rFonts w:cs="Times New Roman"/>
          <w:i/>
          <w:sz w:val="18"/>
          <w:szCs w:val="18"/>
          <w:vertAlign w:val="superscript"/>
        </w:rPr>
        <w:t>**</w:t>
      </w:r>
      <w:r w:rsidRPr="002B4F8E">
        <w:rPr>
          <w:rFonts w:cs="Times New Roman"/>
          <w:i/>
          <w:sz w:val="18"/>
          <w:szCs w:val="18"/>
        </w:rPr>
        <w:tab/>
        <w:t>AN dabasgāzei, ko izmanto transportā, tika atcelts no 2018.gada</w:t>
      </w:r>
    </w:p>
    <w:p w14:paraId="7C30A11F" w14:textId="77777777" w:rsidR="000A12C6" w:rsidRPr="00AC2449" w:rsidRDefault="000A12C6" w:rsidP="000A12C6">
      <w:pPr>
        <w:tabs>
          <w:tab w:val="left" w:pos="975"/>
        </w:tabs>
        <w:jc w:val="both"/>
        <w:rPr>
          <w:rFonts w:cs="Times New Roman"/>
          <w:sz w:val="18"/>
          <w:szCs w:val="18"/>
        </w:rPr>
      </w:pPr>
    </w:p>
    <w:p w14:paraId="70A220F6" w14:textId="77777777" w:rsidR="000A12C6" w:rsidRDefault="000A12C6" w:rsidP="000A12C6">
      <w:pPr>
        <w:spacing w:after="240"/>
        <w:ind w:firstLine="709"/>
        <w:jc w:val="both"/>
        <w:rPr>
          <w:sz w:val="26"/>
          <w:szCs w:val="26"/>
        </w:rPr>
      </w:pPr>
      <w:r w:rsidRPr="00FF2242">
        <w:rPr>
          <w:sz w:val="26"/>
          <w:szCs w:val="26"/>
        </w:rPr>
        <w:t xml:space="preserve">Fiskālā ietekme uz AN ieņēmumiem ap </w:t>
      </w:r>
      <w:r>
        <w:rPr>
          <w:sz w:val="26"/>
          <w:szCs w:val="26"/>
        </w:rPr>
        <w:t>12</w:t>
      </w:r>
      <w:r w:rsidRPr="00FF2242">
        <w:rPr>
          <w:sz w:val="26"/>
          <w:szCs w:val="26"/>
        </w:rPr>
        <w:t xml:space="preserve"> tūkst. </w:t>
      </w:r>
      <w:r w:rsidRPr="00FF2242">
        <w:rPr>
          <w:i/>
          <w:sz w:val="26"/>
          <w:szCs w:val="26"/>
        </w:rPr>
        <w:t>euro</w:t>
      </w:r>
      <w:r>
        <w:rPr>
          <w:sz w:val="26"/>
          <w:szCs w:val="26"/>
        </w:rPr>
        <w:t>, ņemot vērā dabas</w:t>
      </w:r>
      <w:r>
        <w:rPr>
          <w:sz w:val="26"/>
          <w:szCs w:val="26"/>
        </w:rPr>
        <w:softHyphen/>
        <w:t xml:space="preserve">gāzes kā degvielas patēriņu </w:t>
      </w:r>
      <w:r w:rsidRPr="00FF2242">
        <w:rPr>
          <w:sz w:val="26"/>
          <w:szCs w:val="26"/>
        </w:rPr>
        <w:t xml:space="preserve">2019.gadā, bet, ieskaitot PVN, - ap </w:t>
      </w:r>
      <w:r>
        <w:rPr>
          <w:sz w:val="26"/>
          <w:szCs w:val="26"/>
        </w:rPr>
        <w:t>14</w:t>
      </w:r>
      <w:r w:rsidRPr="00FF2242">
        <w:rPr>
          <w:sz w:val="26"/>
          <w:szCs w:val="26"/>
        </w:rPr>
        <w:t xml:space="preserve"> tūkst. </w:t>
      </w:r>
      <w:r w:rsidRPr="00FF2242">
        <w:rPr>
          <w:i/>
          <w:sz w:val="26"/>
          <w:szCs w:val="26"/>
        </w:rPr>
        <w:t xml:space="preserve">euro. </w:t>
      </w:r>
      <w:r w:rsidRPr="00FF2242">
        <w:rPr>
          <w:sz w:val="26"/>
          <w:szCs w:val="26"/>
        </w:rPr>
        <w:t>Turpmā</w:t>
      </w:r>
      <w:r>
        <w:rPr>
          <w:sz w:val="26"/>
          <w:szCs w:val="26"/>
        </w:rPr>
        <w:softHyphen/>
      </w:r>
      <w:r w:rsidRPr="00FF2242">
        <w:rPr>
          <w:sz w:val="26"/>
          <w:szCs w:val="26"/>
        </w:rPr>
        <w:t xml:space="preserve">kajos gados fiskālā ietekme var </w:t>
      </w:r>
      <w:r>
        <w:rPr>
          <w:sz w:val="26"/>
          <w:szCs w:val="26"/>
        </w:rPr>
        <w:t>palielināties</w:t>
      </w:r>
      <w:r w:rsidRPr="00FF2242">
        <w:rPr>
          <w:sz w:val="26"/>
          <w:szCs w:val="26"/>
        </w:rPr>
        <w:t xml:space="preserve">, ņemot vērā, ka 2019.gada maijā tika atklāta pirmā publiskā CNG uzpildes stacija Jēkabpilī un 2019.gada decembrī uzsākta CNG kā degvielas tirdzniecība </w:t>
      </w:r>
      <w:r w:rsidR="009E5CE9">
        <w:rPr>
          <w:sz w:val="26"/>
          <w:szCs w:val="26"/>
        </w:rPr>
        <w:t>arī</w:t>
      </w:r>
      <w:r w:rsidRPr="00FF2242">
        <w:rPr>
          <w:sz w:val="26"/>
          <w:szCs w:val="26"/>
        </w:rPr>
        <w:t xml:space="preserve"> Rīgā. </w:t>
      </w:r>
    </w:p>
    <w:p w14:paraId="16D78391" w14:textId="77777777" w:rsidR="00860B45" w:rsidRPr="001C4604" w:rsidRDefault="00FB6397" w:rsidP="003A556B">
      <w:pPr>
        <w:pStyle w:val="Heading2"/>
        <w:ind w:left="567" w:hanging="567"/>
        <w:jc w:val="both"/>
      </w:pPr>
      <w:bookmarkStart w:id="22" w:name="_Toc33186634"/>
      <w:r>
        <w:lastRenderedPageBreak/>
        <w:t>6</w:t>
      </w:r>
      <w:r w:rsidR="00860B45" w:rsidRPr="001C4604">
        <w:t>.2. Akcīzes nodok</w:t>
      </w:r>
      <w:r w:rsidR="003A556B">
        <w:t xml:space="preserve">ļa likmju </w:t>
      </w:r>
      <w:r w:rsidR="00860B45" w:rsidRPr="001C4604">
        <w:t>tabakas izstrādājumiem</w:t>
      </w:r>
      <w:r w:rsidR="003A556B">
        <w:t xml:space="preserve"> izmaiņu scenāriji</w:t>
      </w:r>
      <w:bookmarkEnd w:id="22"/>
    </w:p>
    <w:p w14:paraId="64DF1170" w14:textId="77777777" w:rsidR="00860B45" w:rsidRPr="00B01120" w:rsidRDefault="00FB6397" w:rsidP="00B01120">
      <w:pPr>
        <w:spacing w:after="120"/>
        <w:ind w:right="-96"/>
        <w:rPr>
          <w:b/>
          <w:i/>
          <w:sz w:val="26"/>
          <w:szCs w:val="26"/>
        </w:rPr>
      </w:pPr>
      <w:r>
        <w:rPr>
          <w:b/>
          <w:i/>
          <w:sz w:val="26"/>
          <w:szCs w:val="26"/>
        </w:rPr>
        <w:t xml:space="preserve">6.2.1. </w:t>
      </w:r>
      <w:r w:rsidR="00860B45" w:rsidRPr="00B01120">
        <w:rPr>
          <w:b/>
          <w:i/>
          <w:sz w:val="26"/>
          <w:szCs w:val="26"/>
        </w:rPr>
        <w:t>Akcīzes nodoklis cigaretēm</w:t>
      </w:r>
    </w:p>
    <w:p w14:paraId="5CACE5A1" w14:textId="77777777" w:rsidR="00860B45" w:rsidRPr="00072E66" w:rsidRDefault="00860B45" w:rsidP="00860B45">
      <w:pPr>
        <w:spacing w:after="120"/>
        <w:ind w:right="-96" w:firstLine="709"/>
        <w:jc w:val="both"/>
        <w:rPr>
          <w:b/>
          <w:i/>
          <w:sz w:val="26"/>
          <w:szCs w:val="26"/>
        </w:rPr>
      </w:pPr>
      <w:r w:rsidRPr="00637949">
        <w:rPr>
          <w:rFonts w:cs="Times New Roman"/>
          <w:b/>
          <w:i/>
          <w:sz w:val="26"/>
          <w:szCs w:val="26"/>
        </w:rPr>
        <w:t>Priekšlikums</w:t>
      </w:r>
      <w:r w:rsidRPr="00637949">
        <w:rPr>
          <w:rFonts w:cs="Times New Roman"/>
          <w:i/>
          <w:sz w:val="26"/>
          <w:szCs w:val="26"/>
        </w:rPr>
        <w:t>:</w:t>
      </w:r>
      <w:r w:rsidRPr="00072E66">
        <w:rPr>
          <w:i/>
          <w:sz w:val="26"/>
          <w:szCs w:val="26"/>
        </w:rPr>
        <w:t xml:space="preserve"> </w:t>
      </w:r>
      <w:r w:rsidRPr="00072E66">
        <w:rPr>
          <w:sz w:val="26"/>
          <w:szCs w:val="26"/>
        </w:rPr>
        <w:t>pakāpeniski paaugstināt AN likmi cigaretēm par 5% 2021.gadā (cenas pieaugums uz 1 paciņu ~ 0,15 euro) un par 5% 2023.gadā (cenas pieaugums uz 1 paciņu ~ 0,15 euro).</w:t>
      </w:r>
    </w:p>
    <w:p w14:paraId="6FF23990" w14:textId="77777777" w:rsidR="00860B45" w:rsidRDefault="00DA16D3" w:rsidP="00860B45">
      <w:pPr>
        <w:spacing w:after="120"/>
        <w:ind w:right="-96"/>
        <w:jc w:val="center"/>
        <w:rPr>
          <w:b/>
          <w:szCs w:val="24"/>
        </w:rPr>
      </w:pPr>
      <w:r>
        <w:rPr>
          <w:szCs w:val="24"/>
        </w:rPr>
        <w:t>1</w:t>
      </w:r>
      <w:r w:rsidR="006C5A20">
        <w:rPr>
          <w:szCs w:val="24"/>
        </w:rPr>
        <w:t>5</w:t>
      </w:r>
      <w:r w:rsidR="00860B45" w:rsidRPr="00C75069">
        <w:rPr>
          <w:szCs w:val="24"/>
        </w:rPr>
        <w:t>.tab.</w:t>
      </w:r>
      <w:r w:rsidR="00860B45" w:rsidRPr="00072E66">
        <w:rPr>
          <w:b/>
          <w:szCs w:val="24"/>
        </w:rPr>
        <w:t xml:space="preserve"> AN l</w:t>
      </w:r>
      <w:r w:rsidR="002F5922">
        <w:rPr>
          <w:b/>
          <w:szCs w:val="24"/>
        </w:rPr>
        <w:t>ikmes cigaretēm paaugstināšana</w:t>
      </w:r>
    </w:p>
    <w:tbl>
      <w:tblPr>
        <w:tblStyle w:val="TableGrid"/>
        <w:tblW w:w="0" w:type="auto"/>
        <w:tblLook w:val="04A0" w:firstRow="1" w:lastRow="0" w:firstColumn="1" w:lastColumn="0" w:noHBand="0" w:noVBand="1"/>
      </w:tblPr>
      <w:tblGrid>
        <w:gridCol w:w="3168"/>
        <w:gridCol w:w="1261"/>
        <w:gridCol w:w="1261"/>
        <w:gridCol w:w="1261"/>
        <w:gridCol w:w="1261"/>
      </w:tblGrid>
      <w:tr w:rsidR="00140D87" w:rsidRPr="00576C07" w14:paraId="54585262" w14:textId="77777777" w:rsidTr="00FB4F10">
        <w:tc>
          <w:tcPr>
            <w:tcW w:w="3168" w:type="dxa"/>
            <w:vMerge w:val="restart"/>
            <w:tcBorders>
              <w:bottom w:val="single" w:sz="4" w:space="0" w:color="FFFFFF" w:themeColor="background1"/>
              <w:right w:val="single" w:sz="4" w:space="0" w:color="FFFFFF" w:themeColor="background1"/>
            </w:tcBorders>
            <w:shd w:val="clear" w:color="auto" w:fill="002060"/>
            <w:vAlign w:val="center"/>
          </w:tcPr>
          <w:p w14:paraId="3A972E9E" w14:textId="77777777" w:rsidR="00140D87" w:rsidRPr="00576C07" w:rsidRDefault="00140D87" w:rsidP="00FB4F10">
            <w:pPr>
              <w:pStyle w:val="ListParagraph"/>
              <w:ind w:left="0" w:right="-99"/>
              <w:jc w:val="center"/>
              <w:rPr>
                <w:b/>
                <w:color w:val="FFFFFF" w:themeColor="background1"/>
                <w:sz w:val="22"/>
              </w:rPr>
            </w:pPr>
            <w:r w:rsidRPr="00576C07">
              <w:rPr>
                <w:b/>
                <w:color w:val="FFFFFF" w:themeColor="background1"/>
                <w:sz w:val="22"/>
              </w:rPr>
              <w:t>AN likme cigaretēm</w:t>
            </w:r>
          </w:p>
        </w:tc>
        <w:tc>
          <w:tcPr>
            <w:tcW w:w="1261" w:type="dxa"/>
            <w:tcBorders>
              <w:left w:val="single" w:sz="4" w:space="0" w:color="FFFFFF" w:themeColor="background1"/>
              <w:bottom w:val="single" w:sz="4" w:space="0" w:color="FFFFFF" w:themeColor="background1"/>
              <w:right w:val="single" w:sz="4" w:space="0" w:color="FFFFFF" w:themeColor="background1"/>
            </w:tcBorders>
            <w:shd w:val="clear" w:color="auto" w:fill="002060"/>
          </w:tcPr>
          <w:p w14:paraId="54E42D0D" w14:textId="77777777" w:rsidR="00140D87" w:rsidRPr="00576C07" w:rsidRDefault="00140D87" w:rsidP="00FB4F10">
            <w:pPr>
              <w:pStyle w:val="ListParagraph"/>
              <w:ind w:left="0" w:right="-99"/>
              <w:jc w:val="center"/>
              <w:rPr>
                <w:b/>
                <w:color w:val="FFFFFF" w:themeColor="background1"/>
                <w:sz w:val="22"/>
              </w:rPr>
            </w:pPr>
            <w:r w:rsidRPr="00576C07">
              <w:rPr>
                <w:b/>
                <w:color w:val="FFFFFF" w:themeColor="background1"/>
                <w:sz w:val="22"/>
              </w:rPr>
              <w:t>Šobrīd</w:t>
            </w:r>
          </w:p>
        </w:tc>
        <w:tc>
          <w:tcPr>
            <w:tcW w:w="3783" w:type="dxa"/>
            <w:gridSpan w:val="3"/>
            <w:tcBorders>
              <w:left w:val="single" w:sz="4" w:space="0" w:color="FFFFFF" w:themeColor="background1"/>
              <w:bottom w:val="single" w:sz="4" w:space="0" w:color="FFFFFF" w:themeColor="background1"/>
            </w:tcBorders>
            <w:shd w:val="clear" w:color="auto" w:fill="002060"/>
          </w:tcPr>
          <w:p w14:paraId="50A13AC4" w14:textId="77777777" w:rsidR="00140D87" w:rsidRPr="00576C07" w:rsidRDefault="00140D87" w:rsidP="00FB4F10">
            <w:pPr>
              <w:pStyle w:val="ListParagraph"/>
              <w:ind w:left="0" w:right="-99"/>
              <w:jc w:val="center"/>
              <w:rPr>
                <w:b/>
                <w:color w:val="FFFFFF" w:themeColor="background1"/>
                <w:sz w:val="22"/>
              </w:rPr>
            </w:pPr>
            <w:r w:rsidRPr="00576C07">
              <w:rPr>
                <w:b/>
                <w:color w:val="FFFFFF" w:themeColor="background1"/>
                <w:sz w:val="22"/>
              </w:rPr>
              <w:t>Scenārijs</w:t>
            </w:r>
          </w:p>
        </w:tc>
      </w:tr>
      <w:tr w:rsidR="00140D87" w:rsidRPr="00576C07" w14:paraId="0413DB76" w14:textId="77777777" w:rsidTr="006B6C49">
        <w:tc>
          <w:tcPr>
            <w:tcW w:w="3168" w:type="dxa"/>
            <w:vMerge/>
            <w:tcBorders>
              <w:top w:val="single" w:sz="4" w:space="0" w:color="FFFFFF" w:themeColor="background1"/>
              <w:bottom w:val="single" w:sz="4" w:space="0" w:color="auto"/>
              <w:right w:val="single" w:sz="4" w:space="0" w:color="FFFFFF" w:themeColor="background1"/>
            </w:tcBorders>
            <w:shd w:val="clear" w:color="auto" w:fill="002060"/>
          </w:tcPr>
          <w:p w14:paraId="5B5D69FE" w14:textId="77777777" w:rsidR="00140D87" w:rsidRPr="00576C07" w:rsidRDefault="00140D87" w:rsidP="00FB4F10">
            <w:pPr>
              <w:pStyle w:val="ListParagraph"/>
              <w:ind w:left="0" w:right="-99"/>
              <w:rPr>
                <w:b/>
                <w:color w:val="FFFFFF" w:themeColor="background1"/>
                <w:sz w:val="22"/>
              </w:rPr>
            </w:pPr>
          </w:p>
        </w:tc>
        <w:tc>
          <w:tcPr>
            <w:tcW w:w="126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14:paraId="29B820CC" w14:textId="77777777" w:rsidR="00140D87" w:rsidRPr="00576C07" w:rsidRDefault="00140D87" w:rsidP="00FB4F10">
            <w:pPr>
              <w:pStyle w:val="ListParagraph"/>
              <w:ind w:left="0" w:right="-99"/>
              <w:jc w:val="center"/>
              <w:rPr>
                <w:b/>
                <w:color w:val="FFFFFF" w:themeColor="background1"/>
                <w:sz w:val="22"/>
              </w:rPr>
            </w:pPr>
            <w:r w:rsidRPr="00576C07">
              <w:rPr>
                <w:b/>
                <w:color w:val="FFFFFF" w:themeColor="background1"/>
                <w:sz w:val="22"/>
              </w:rPr>
              <w:t>01.07.2019.</w:t>
            </w:r>
          </w:p>
        </w:tc>
        <w:tc>
          <w:tcPr>
            <w:tcW w:w="126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14:paraId="17CEFEB0" w14:textId="77777777" w:rsidR="00140D87" w:rsidRPr="00576C07" w:rsidRDefault="00140D87" w:rsidP="00FB4F10">
            <w:pPr>
              <w:pStyle w:val="ListParagraph"/>
              <w:ind w:left="0" w:right="-99"/>
              <w:jc w:val="center"/>
              <w:rPr>
                <w:b/>
                <w:color w:val="FFFFFF" w:themeColor="background1"/>
                <w:sz w:val="22"/>
              </w:rPr>
            </w:pPr>
            <w:r w:rsidRPr="00576C07">
              <w:rPr>
                <w:b/>
                <w:color w:val="FFFFFF" w:themeColor="background1"/>
                <w:sz w:val="22"/>
              </w:rPr>
              <w:t>01.01.2021.</w:t>
            </w:r>
          </w:p>
        </w:tc>
        <w:tc>
          <w:tcPr>
            <w:tcW w:w="126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14:paraId="7B0D71D6" w14:textId="77777777" w:rsidR="00140D87" w:rsidRPr="00576C07" w:rsidRDefault="00140D87" w:rsidP="00FB4F10">
            <w:pPr>
              <w:pStyle w:val="ListParagraph"/>
              <w:ind w:left="0" w:right="-99"/>
              <w:jc w:val="center"/>
              <w:rPr>
                <w:b/>
                <w:color w:val="FFFFFF" w:themeColor="background1"/>
                <w:sz w:val="22"/>
              </w:rPr>
            </w:pPr>
            <w:r w:rsidRPr="00576C07">
              <w:rPr>
                <w:b/>
                <w:color w:val="FFFFFF" w:themeColor="background1"/>
                <w:sz w:val="22"/>
              </w:rPr>
              <w:t>01.01.2022.</w:t>
            </w:r>
          </w:p>
        </w:tc>
        <w:tc>
          <w:tcPr>
            <w:tcW w:w="1261" w:type="dxa"/>
            <w:tcBorders>
              <w:top w:val="single" w:sz="4" w:space="0" w:color="FFFFFF" w:themeColor="background1"/>
              <w:left w:val="single" w:sz="4" w:space="0" w:color="FFFFFF" w:themeColor="background1"/>
              <w:bottom w:val="single" w:sz="4" w:space="0" w:color="auto"/>
            </w:tcBorders>
            <w:shd w:val="clear" w:color="auto" w:fill="002060"/>
          </w:tcPr>
          <w:p w14:paraId="4DD51F05" w14:textId="77777777" w:rsidR="00140D87" w:rsidRPr="00576C07" w:rsidRDefault="00140D87" w:rsidP="00FB4F10">
            <w:pPr>
              <w:pStyle w:val="ListParagraph"/>
              <w:ind w:left="0" w:right="-99"/>
              <w:jc w:val="center"/>
              <w:rPr>
                <w:b/>
                <w:color w:val="FFFFFF" w:themeColor="background1"/>
                <w:sz w:val="22"/>
              </w:rPr>
            </w:pPr>
            <w:r w:rsidRPr="00576C07">
              <w:rPr>
                <w:b/>
                <w:color w:val="FFFFFF" w:themeColor="background1"/>
                <w:sz w:val="22"/>
              </w:rPr>
              <w:t>01.01.2023.</w:t>
            </w:r>
          </w:p>
        </w:tc>
      </w:tr>
      <w:tr w:rsidR="00140D87" w:rsidRPr="00576C07" w14:paraId="070AF20E" w14:textId="77777777" w:rsidTr="006B6C49">
        <w:tc>
          <w:tcPr>
            <w:tcW w:w="3168" w:type="dxa"/>
            <w:tcBorders>
              <w:bottom w:val="single" w:sz="4" w:space="0" w:color="808080" w:themeColor="background1" w:themeShade="80"/>
            </w:tcBorders>
          </w:tcPr>
          <w:p w14:paraId="08D6ECC7" w14:textId="77777777" w:rsidR="00140D87" w:rsidRPr="00576C07" w:rsidRDefault="00140D87" w:rsidP="00FB4F10">
            <w:pPr>
              <w:pStyle w:val="ListParagraph"/>
              <w:ind w:left="0" w:right="-99"/>
              <w:rPr>
                <w:sz w:val="22"/>
              </w:rPr>
            </w:pPr>
            <w:r w:rsidRPr="00576C07">
              <w:rPr>
                <w:b/>
                <w:sz w:val="22"/>
              </w:rPr>
              <w:t>Specifiskais nodoklis</w:t>
            </w:r>
            <w:r>
              <w:rPr>
                <w:sz w:val="22"/>
              </w:rPr>
              <w:t xml:space="preserve">, </w:t>
            </w:r>
            <w:r w:rsidRPr="00576C07">
              <w:rPr>
                <w:i/>
                <w:sz w:val="22"/>
              </w:rPr>
              <w:t>euro par1000 gab.</w:t>
            </w:r>
          </w:p>
        </w:tc>
        <w:tc>
          <w:tcPr>
            <w:tcW w:w="1261" w:type="dxa"/>
            <w:tcBorders>
              <w:bottom w:val="single" w:sz="4" w:space="0" w:color="808080" w:themeColor="background1" w:themeShade="80"/>
            </w:tcBorders>
            <w:shd w:val="clear" w:color="auto" w:fill="D9D9D9" w:themeFill="background1" w:themeFillShade="D9"/>
            <w:vAlign w:val="center"/>
          </w:tcPr>
          <w:p w14:paraId="38463688" w14:textId="77777777" w:rsidR="00140D87" w:rsidRPr="00576C07" w:rsidRDefault="00140D87" w:rsidP="00FB4F10">
            <w:pPr>
              <w:pStyle w:val="ListParagraph"/>
              <w:ind w:left="0" w:right="-99"/>
              <w:jc w:val="center"/>
              <w:rPr>
                <w:b/>
                <w:sz w:val="22"/>
              </w:rPr>
            </w:pPr>
            <w:r w:rsidRPr="00576C07">
              <w:rPr>
                <w:b/>
                <w:sz w:val="22"/>
              </w:rPr>
              <w:t>78,7</w:t>
            </w:r>
          </w:p>
        </w:tc>
        <w:tc>
          <w:tcPr>
            <w:tcW w:w="1261" w:type="dxa"/>
            <w:tcBorders>
              <w:bottom w:val="single" w:sz="4" w:space="0" w:color="808080" w:themeColor="background1" w:themeShade="80"/>
            </w:tcBorders>
            <w:vAlign w:val="center"/>
          </w:tcPr>
          <w:p w14:paraId="78A6C7A2" w14:textId="77777777" w:rsidR="00140D87" w:rsidRPr="00576C07" w:rsidRDefault="00140D87" w:rsidP="00FB4F10">
            <w:pPr>
              <w:pStyle w:val="ListParagraph"/>
              <w:ind w:left="0" w:right="-99"/>
              <w:jc w:val="center"/>
              <w:rPr>
                <w:b/>
                <w:sz w:val="22"/>
              </w:rPr>
            </w:pPr>
            <w:r w:rsidRPr="00576C07">
              <w:rPr>
                <w:b/>
                <w:color w:val="FF0000"/>
                <w:sz w:val="22"/>
              </w:rPr>
              <w:t>82,6</w:t>
            </w:r>
          </w:p>
        </w:tc>
        <w:tc>
          <w:tcPr>
            <w:tcW w:w="1261" w:type="dxa"/>
            <w:tcBorders>
              <w:bottom w:val="single" w:sz="4" w:space="0" w:color="808080" w:themeColor="background1" w:themeShade="80"/>
            </w:tcBorders>
            <w:vAlign w:val="center"/>
          </w:tcPr>
          <w:p w14:paraId="314595F4" w14:textId="77777777" w:rsidR="00140D87" w:rsidRPr="00576C07" w:rsidRDefault="00140D87" w:rsidP="00FB4F10">
            <w:pPr>
              <w:pStyle w:val="ListParagraph"/>
              <w:ind w:left="0" w:right="-99"/>
              <w:jc w:val="center"/>
              <w:rPr>
                <w:b/>
                <w:sz w:val="22"/>
              </w:rPr>
            </w:pPr>
            <w:r w:rsidRPr="00576C07">
              <w:rPr>
                <w:b/>
                <w:sz w:val="22"/>
              </w:rPr>
              <w:t>82,6</w:t>
            </w:r>
          </w:p>
        </w:tc>
        <w:tc>
          <w:tcPr>
            <w:tcW w:w="1261" w:type="dxa"/>
            <w:tcBorders>
              <w:bottom w:val="single" w:sz="4" w:space="0" w:color="808080" w:themeColor="background1" w:themeShade="80"/>
            </w:tcBorders>
            <w:vAlign w:val="center"/>
          </w:tcPr>
          <w:p w14:paraId="55966E1B" w14:textId="77777777" w:rsidR="00140D87" w:rsidRPr="00576C07" w:rsidRDefault="00140D87" w:rsidP="00FB4F10">
            <w:pPr>
              <w:pStyle w:val="ListParagraph"/>
              <w:ind w:left="0" w:right="-99"/>
              <w:jc w:val="center"/>
              <w:rPr>
                <w:b/>
                <w:sz w:val="22"/>
              </w:rPr>
            </w:pPr>
            <w:r w:rsidRPr="00576C07">
              <w:rPr>
                <w:b/>
                <w:color w:val="FF0000"/>
                <w:sz w:val="22"/>
              </w:rPr>
              <w:t>86,7</w:t>
            </w:r>
          </w:p>
        </w:tc>
      </w:tr>
      <w:tr w:rsidR="00140D87" w:rsidRPr="00576C07" w14:paraId="542CF68D" w14:textId="77777777" w:rsidTr="006B6C49">
        <w:tc>
          <w:tcPr>
            <w:tcW w:w="3168" w:type="dxa"/>
            <w:tcBorders>
              <w:top w:val="single" w:sz="4" w:space="0" w:color="808080" w:themeColor="background1" w:themeShade="80"/>
              <w:bottom w:val="single" w:sz="4" w:space="0" w:color="808080" w:themeColor="background1" w:themeShade="80"/>
            </w:tcBorders>
          </w:tcPr>
          <w:p w14:paraId="49F4BA4F" w14:textId="77777777" w:rsidR="00140D87" w:rsidRPr="00576C07" w:rsidRDefault="00140D87" w:rsidP="00FB4F10">
            <w:pPr>
              <w:pStyle w:val="ListParagraph"/>
              <w:ind w:left="0" w:right="-99"/>
              <w:rPr>
                <w:b/>
                <w:sz w:val="22"/>
              </w:rPr>
            </w:pPr>
            <w:r>
              <w:rPr>
                <w:b/>
                <w:sz w:val="22"/>
              </w:rPr>
              <w:t xml:space="preserve">Ad valorem, </w:t>
            </w:r>
            <w:r w:rsidRPr="00576C07">
              <w:rPr>
                <w:sz w:val="22"/>
              </w:rPr>
              <w:t>%</w:t>
            </w:r>
          </w:p>
        </w:tc>
        <w:tc>
          <w:tcPr>
            <w:tcW w:w="1261"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4C9C3D85" w14:textId="77777777" w:rsidR="00140D87" w:rsidRPr="00576C07" w:rsidRDefault="00140D87" w:rsidP="00FB4F10">
            <w:pPr>
              <w:pStyle w:val="ListParagraph"/>
              <w:ind w:left="0" w:right="-99"/>
              <w:jc w:val="center"/>
              <w:rPr>
                <w:b/>
                <w:sz w:val="22"/>
              </w:rPr>
            </w:pPr>
            <w:r>
              <w:rPr>
                <w:b/>
                <w:sz w:val="22"/>
              </w:rPr>
              <w:t>20%</w:t>
            </w:r>
          </w:p>
        </w:tc>
        <w:tc>
          <w:tcPr>
            <w:tcW w:w="3783" w:type="dxa"/>
            <w:gridSpan w:val="3"/>
            <w:tcBorders>
              <w:top w:val="single" w:sz="4" w:space="0" w:color="808080" w:themeColor="background1" w:themeShade="80"/>
              <w:bottom w:val="single" w:sz="4" w:space="0" w:color="808080" w:themeColor="background1" w:themeShade="80"/>
            </w:tcBorders>
            <w:vAlign w:val="center"/>
          </w:tcPr>
          <w:p w14:paraId="20F0E279" w14:textId="77777777" w:rsidR="00140D87" w:rsidRPr="00576C07" w:rsidRDefault="00140D87" w:rsidP="00FB4F10">
            <w:pPr>
              <w:pStyle w:val="ListParagraph"/>
              <w:ind w:left="0" w:right="-99"/>
              <w:jc w:val="center"/>
              <w:rPr>
                <w:b/>
                <w:color w:val="FF0000"/>
                <w:sz w:val="22"/>
              </w:rPr>
            </w:pPr>
            <w:r w:rsidRPr="00576C07">
              <w:rPr>
                <w:b/>
                <w:sz w:val="22"/>
              </w:rPr>
              <w:t>20%</w:t>
            </w:r>
          </w:p>
        </w:tc>
      </w:tr>
      <w:tr w:rsidR="00140D87" w:rsidRPr="00576C07" w14:paraId="6C1EE8D5" w14:textId="77777777" w:rsidTr="006B6C49">
        <w:tc>
          <w:tcPr>
            <w:tcW w:w="3168" w:type="dxa"/>
            <w:tcBorders>
              <w:top w:val="single" w:sz="4" w:space="0" w:color="808080" w:themeColor="background1" w:themeShade="80"/>
              <w:bottom w:val="single" w:sz="4" w:space="0" w:color="808080" w:themeColor="background1" w:themeShade="80"/>
            </w:tcBorders>
          </w:tcPr>
          <w:p w14:paraId="5BFB5AB5" w14:textId="77777777" w:rsidR="00140D87" w:rsidRDefault="00140D87" w:rsidP="00FB4F10">
            <w:pPr>
              <w:pStyle w:val="ListParagraph"/>
              <w:ind w:left="0" w:right="-99"/>
              <w:rPr>
                <w:b/>
                <w:sz w:val="22"/>
              </w:rPr>
            </w:pPr>
            <w:r>
              <w:rPr>
                <w:b/>
                <w:sz w:val="22"/>
              </w:rPr>
              <w:t xml:space="preserve">Minimālais līmenis, </w:t>
            </w:r>
            <w:r w:rsidRPr="00576C07">
              <w:rPr>
                <w:i/>
                <w:sz w:val="22"/>
              </w:rPr>
              <w:t>euro par 1000 gab.</w:t>
            </w:r>
          </w:p>
        </w:tc>
        <w:tc>
          <w:tcPr>
            <w:tcW w:w="1261"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54D3C9A3" w14:textId="77777777" w:rsidR="00140D87" w:rsidRDefault="00140D87" w:rsidP="00FB4F10">
            <w:pPr>
              <w:pStyle w:val="ListParagraph"/>
              <w:ind w:left="0" w:right="-99"/>
              <w:jc w:val="center"/>
              <w:rPr>
                <w:b/>
                <w:sz w:val="22"/>
              </w:rPr>
            </w:pPr>
            <w:r>
              <w:rPr>
                <w:b/>
                <w:sz w:val="22"/>
              </w:rPr>
              <w:t>114,7</w:t>
            </w:r>
          </w:p>
        </w:tc>
        <w:tc>
          <w:tcPr>
            <w:tcW w:w="1261" w:type="dxa"/>
            <w:tcBorders>
              <w:top w:val="single" w:sz="4" w:space="0" w:color="808080" w:themeColor="background1" w:themeShade="80"/>
              <w:bottom w:val="single" w:sz="4" w:space="0" w:color="808080" w:themeColor="background1" w:themeShade="80"/>
            </w:tcBorders>
            <w:vAlign w:val="center"/>
          </w:tcPr>
          <w:p w14:paraId="5BEB6408" w14:textId="77777777" w:rsidR="00140D87" w:rsidRDefault="00140D87" w:rsidP="00FB4F10">
            <w:pPr>
              <w:pStyle w:val="ListParagraph"/>
              <w:ind w:left="0" w:right="-99"/>
              <w:jc w:val="center"/>
              <w:rPr>
                <w:b/>
                <w:color w:val="FF0000"/>
                <w:sz w:val="22"/>
              </w:rPr>
            </w:pPr>
            <w:r>
              <w:rPr>
                <w:b/>
                <w:color w:val="FF0000"/>
                <w:sz w:val="22"/>
              </w:rPr>
              <w:t>120,4</w:t>
            </w:r>
          </w:p>
        </w:tc>
        <w:tc>
          <w:tcPr>
            <w:tcW w:w="1261" w:type="dxa"/>
            <w:tcBorders>
              <w:top w:val="single" w:sz="4" w:space="0" w:color="808080" w:themeColor="background1" w:themeShade="80"/>
              <w:bottom w:val="single" w:sz="4" w:space="0" w:color="808080" w:themeColor="background1" w:themeShade="80"/>
            </w:tcBorders>
            <w:vAlign w:val="center"/>
          </w:tcPr>
          <w:p w14:paraId="70695D5F" w14:textId="77777777" w:rsidR="00140D87" w:rsidRDefault="00140D87" w:rsidP="00FB4F10">
            <w:pPr>
              <w:pStyle w:val="ListParagraph"/>
              <w:ind w:left="0" w:right="-99"/>
              <w:jc w:val="center"/>
              <w:rPr>
                <w:b/>
                <w:sz w:val="22"/>
              </w:rPr>
            </w:pPr>
            <w:r>
              <w:rPr>
                <w:b/>
                <w:sz w:val="22"/>
              </w:rPr>
              <w:t>120,4</w:t>
            </w:r>
          </w:p>
        </w:tc>
        <w:tc>
          <w:tcPr>
            <w:tcW w:w="1261" w:type="dxa"/>
            <w:tcBorders>
              <w:top w:val="single" w:sz="4" w:space="0" w:color="808080" w:themeColor="background1" w:themeShade="80"/>
              <w:bottom w:val="single" w:sz="4" w:space="0" w:color="808080" w:themeColor="background1" w:themeShade="80"/>
            </w:tcBorders>
            <w:vAlign w:val="center"/>
          </w:tcPr>
          <w:p w14:paraId="152FF6E2" w14:textId="77777777" w:rsidR="00140D87" w:rsidRDefault="00140D87" w:rsidP="00FB4F10">
            <w:pPr>
              <w:pStyle w:val="ListParagraph"/>
              <w:ind w:left="0" w:right="-99"/>
              <w:jc w:val="center"/>
              <w:rPr>
                <w:b/>
                <w:color w:val="FF0000"/>
                <w:sz w:val="22"/>
              </w:rPr>
            </w:pPr>
            <w:r>
              <w:rPr>
                <w:b/>
                <w:color w:val="FF0000"/>
                <w:sz w:val="22"/>
              </w:rPr>
              <w:t>126,4</w:t>
            </w:r>
          </w:p>
        </w:tc>
      </w:tr>
      <w:tr w:rsidR="00140D87" w:rsidRPr="00576C07" w14:paraId="71ABD9E3" w14:textId="77777777" w:rsidTr="006B6C49">
        <w:tc>
          <w:tcPr>
            <w:tcW w:w="3168" w:type="dxa"/>
            <w:tcBorders>
              <w:top w:val="single" w:sz="4" w:space="0" w:color="808080" w:themeColor="background1" w:themeShade="80"/>
              <w:bottom w:val="single" w:sz="4" w:space="0" w:color="808080" w:themeColor="background1" w:themeShade="80"/>
            </w:tcBorders>
          </w:tcPr>
          <w:p w14:paraId="78D71E13" w14:textId="77777777" w:rsidR="00140D87" w:rsidRPr="00576C07" w:rsidRDefault="00140D87" w:rsidP="00FB4F10">
            <w:pPr>
              <w:pStyle w:val="ListParagraph"/>
              <w:ind w:left="0" w:right="-99"/>
              <w:rPr>
                <w:i/>
                <w:sz w:val="22"/>
              </w:rPr>
            </w:pPr>
            <w:r w:rsidRPr="00576C07">
              <w:rPr>
                <w:i/>
                <w:sz w:val="22"/>
              </w:rPr>
              <w:t>Minimālā līmeņa pieaugums, %</w:t>
            </w:r>
          </w:p>
        </w:tc>
        <w:tc>
          <w:tcPr>
            <w:tcW w:w="1261"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6FA9B1EA" w14:textId="77777777" w:rsidR="00140D87" w:rsidRDefault="00140D87" w:rsidP="00FB4F10">
            <w:pPr>
              <w:pStyle w:val="ListParagraph"/>
              <w:ind w:left="0" w:right="-99"/>
              <w:jc w:val="center"/>
              <w:rPr>
                <w:b/>
                <w:sz w:val="22"/>
              </w:rPr>
            </w:pPr>
          </w:p>
        </w:tc>
        <w:tc>
          <w:tcPr>
            <w:tcW w:w="1261" w:type="dxa"/>
            <w:tcBorders>
              <w:top w:val="single" w:sz="4" w:space="0" w:color="808080" w:themeColor="background1" w:themeShade="80"/>
              <w:bottom w:val="single" w:sz="4" w:space="0" w:color="808080" w:themeColor="background1" w:themeShade="80"/>
            </w:tcBorders>
            <w:vAlign w:val="center"/>
          </w:tcPr>
          <w:p w14:paraId="5C1B5751" w14:textId="77777777" w:rsidR="00140D87" w:rsidRPr="00576C07" w:rsidRDefault="00140D87" w:rsidP="00FB4F10">
            <w:pPr>
              <w:pStyle w:val="ListParagraph"/>
              <w:ind w:left="0" w:right="-99"/>
              <w:jc w:val="center"/>
              <w:rPr>
                <w:i/>
                <w:color w:val="FF0000"/>
                <w:sz w:val="22"/>
              </w:rPr>
            </w:pPr>
            <w:r w:rsidRPr="00576C07">
              <w:rPr>
                <w:i/>
                <w:color w:val="FF0000"/>
                <w:sz w:val="22"/>
              </w:rPr>
              <w:t>5%</w:t>
            </w:r>
          </w:p>
        </w:tc>
        <w:tc>
          <w:tcPr>
            <w:tcW w:w="1261" w:type="dxa"/>
            <w:tcBorders>
              <w:top w:val="single" w:sz="4" w:space="0" w:color="808080" w:themeColor="background1" w:themeShade="80"/>
              <w:bottom w:val="single" w:sz="4" w:space="0" w:color="808080" w:themeColor="background1" w:themeShade="80"/>
            </w:tcBorders>
            <w:vAlign w:val="center"/>
          </w:tcPr>
          <w:p w14:paraId="1FF19B44" w14:textId="77777777" w:rsidR="00140D87" w:rsidRPr="00576C07" w:rsidRDefault="00140D87" w:rsidP="00FB4F10">
            <w:pPr>
              <w:pStyle w:val="ListParagraph"/>
              <w:ind w:left="0" w:right="-99"/>
              <w:jc w:val="center"/>
              <w:rPr>
                <w:i/>
                <w:sz w:val="22"/>
              </w:rPr>
            </w:pPr>
            <w:r w:rsidRPr="00576C07">
              <w:rPr>
                <w:i/>
                <w:sz w:val="22"/>
              </w:rPr>
              <w:t>0%</w:t>
            </w:r>
          </w:p>
        </w:tc>
        <w:tc>
          <w:tcPr>
            <w:tcW w:w="1261" w:type="dxa"/>
            <w:tcBorders>
              <w:top w:val="single" w:sz="4" w:space="0" w:color="808080" w:themeColor="background1" w:themeShade="80"/>
              <w:bottom w:val="single" w:sz="4" w:space="0" w:color="808080" w:themeColor="background1" w:themeShade="80"/>
            </w:tcBorders>
            <w:vAlign w:val="center"/>
          </w:tcPr>
          <w:p w14:paraId="12DE3534" w14:textId="77777777" w:rsidR="00140D87" w:rsidRPr="00576C07" w:rsidRDefault="00140D87" w:rsidP="00FB4F10">
            <w:pPr>
              <w:pStyle w:val="ListParagraph"/>
              <w:ind w:left="0" w:right="-99"/>
              <w:jc w:val="center"/>
              <w:rPr>
                <w:i/>
                <w:color w:val="FF0000"/>
                <w:sz w:val="22"/>
              </w:rPr>
            </w:pPr>
            <w:r w:rsidRPr="00576C07">
              <w:rPr>
                <w:i/>
                <w:color w:val="FF0000"/>
                <w:sz w:val="22"/>
              </w:rPr>
              <w:t>5%</w:t>
            </w:r>
          </w:p>
        </w:tc>
      </w:tr>
      <w:tr w:rsidR="00140D87" w:rsidRPr="00576C07" w14:paraId="342C82C2" w14:textId="77777777" w:rsidTr="006B6C49">
        <w:tc>
          <w:tcPr>
            <w:tcW w:w="3168" w:type="dxa"/>
            <w:tcBorders>
              <w:top w:val="single" w:sz="4" w:space="0" w:color="808080" w:themeColor="background1" w:themeShade="80"/>
              <w:bottom w:val="single" w:sz="4" w:space="0" w:color="auto"/>
            </w:tcBorders>
          </w:tcPr>
          <w:p w14:paraId="68D2DD09" w14:textId="77777777" w:rsidR="00140D87" w:rsidRPr="00576C07" w:rsidRDefault="00140D87" w:rsidP="00FB4F10">
            <w:pPr>
              <w:pStyle w:val="ListParagraph"/>
              <w:ind w:left="0" w:right="-99"/>
              <w:rPr>
                <w:i/>
                <w:sz w:val="22"/>
              </w:rPr>
            </w:pPr>
            <w:r>
              <w:rPr>
                <w:i/>
                <w:sz w:val="22"/>
              </w:rPr>
              <w:t>Specifiskā līmeņa pieaugums, %</w:t>
            </w:r>
          </w:p>
        </w:tc>
        <w:tc>
          <w:tcPr>
            <w:tcW w:w="1261" w:type="dxa"/>
            <w:tcBorders>
              <w:top w:val="single" w:sz="4" w:space="0" w:color="808080" w:themeColor="background1" w:themeShade="80"/>
              <w:bottom w:val="single" w:sz="4" w:space="0" w:color="auto"/>
            </w:tcBorders>
            <w:shd w:val="clear" w:color="auto" w:fill="D9D9D9" w:themeFill="background1" w:themeFillShade="D9"/>
            <w:vAlign w:val="center"/>
          </w:tcPr>
          <w:p w14:paraId="7C76A0F8" w14:textId="77777777" w:rsidR="00140D87" w:rsidRDefault="00140D87" w:rsidP="00FB4F10">
            <w:pPr>
              <w:pStyle w:val="ListParagraph"/>
              <w:ind w:left="0" w:right="-99"/>
              <w:jc w:val="center"/>
              <w:rPr>
                <w:b/>
                <w:sz w:val="22"/>
              </w:rPr>
            </w:pPr>
          </w:p>
        </w:tc>
        <w:tc>
          <w:tcPr>
            <w:tcW w:w="1261" w:type="dxa"/>
            <w:tcBorders>
              <w:top w:val="single" w:sz="4" w:space="0" w:color="808080" w:themeColor="background1" w:themeShade="80"/>
              <w:bottom w:val="single" w:sz="4" w:space="0" w:color="auto"/>
            </w:tcBorders>
            <w:vAlign w:val="center"/>
          </w:tcPr>
          <w:p w14:paraId="6E0A5037" w14:textId="77777777" w:rsidR="00140D87" w:rsidRPr="00576C07" w:rsidRDefault="00140D87" w:rsidP="00FB4F10">
            <w:pPr>
              <w:pStyle w:val="ListParagraph"/>
              <w:ind w:left="0" w:right="-99"/>
              <w:jc w:val="center"/>
              <w:rPr>
                <w:i/>
                <w:color w:val="FF0000"/>
                <w:sz w:val="22"/>
              </w:rPr>
            </w:pPr>
            <w:r w:rsidRPr="00576C07">
              <w:rPr>
                <w:i/>
                <w:color w:val="FF0000"/>
                <w:sz w:val="22"/>
              </w:rPr>
              <w:t>5%</w:t>
            </w:r>
          </w:p>
        </w:tc>
        <w:tc>
          <w:tcPr>
            <w:tcW w:w="1261" w:type="dxa"/>
            <w:tcBorders>
              <w:top w:val="single" w:sz="4" w:space="0" w:color="808080" w:themeColor="background1" w:themeShade="80"/>
              <w:bottom w:val="single" w:sz="4" w:space="0" w:color="auto"/>
            </w:tcBorders>
            <w:vAlign w:val="center"/>
          </w:tcPr>
          <w:p w14:paraId="1CB42D38" w14:textId="77777777" w:rsidR="00140D87" w:rsidRPr="00576C07" w:rsidRDefault="00140D87" w:rsidP="00FB4F10">
            <w:pPr>
              <w:pStyle w:val="ListParagraph"/>
              <w:ind w:left="0" w:right="-99"/>
              <w:jc w:val="center"/>
              <w:rPr>
                <w:i/>
                <w:sz w:val="22"/>
              </w:rPr>
            </w:pPr>
            <w:r w:rsidRPr="00576C07">
              <w:rPr>
                <w:i/>
                <w:sz w:val="22"/>
              </w:rPr>
              <w:t>0%</w:t>
            </w:r>
          </w:p>
        </w:tc>
        <w:tc>
          <w:tcPr>
            <w:tcW w:w="1261" w:type="dxa"/>
            <w:tcBorders>
              <w:top w:val="single" w:sz="4" w:space="0" w:color="808080" w:themeColor="background1" w:themeShade="80"/>
              <w:bottom w:val="single" w:sz="4" w:space="0" w:color="auto"/>
            </w:tcBorders>
            <w:vAlign w:val="center"/>
          </w:tcPr>
          <w:p w14:paraId="47376BB9" w14:textId="77777777" w:rsidR="00140D87" w:rsidRPr="00576C07" w:rsidRDefault="00140D87" w:rsidP="00FB4F10">
            <w:pPr>
              <w:pStyle w:val="ListParagraph"/>
              <w:ind w:left="0" w:right="-99"/>
              <w:jc w:val="center"/>
              <w:rPr>
                <w:i/>
                <w:color w:val="FF0000"/>
                <w:sz w:val="22"/>
              </w:rPr>
            </w:pPr>
            <w:r w:rsidRPr="00576C07">
              <w:rPr>
                <w:i/>
                <w:color w:val="FF0000"/>
                <w:sz w:val="22"/>
              </w:rPr>
              <w:t>5%</w:t>
            </w:r>
          </w:p>
        </w:tc>
      </w:tr>
      <w:tr w:rsidR="00140D87" w:rsidRPr="00576C07" w14:paraId="5669B7C0" w14:textId="77777777" w:rsidTr="00FB4F10">
        <w:trPr>
          <w:trHeight w:val="311"/>
        </w:trPr>
        <w:tc>
          <w:tcPr>
            <w:tcW w:w="3168" w:type="dxa"/>
            <w:tcBorders>
              <w:bottom w:val="dotted" w:sz="4" w:space="0" w:color="auto"/>
            </w:tcBorders>
            <w:shd w:val="clear" w:color="auto" w:fill="FFE599" w:themeFill="accent4" w:themeFillTint="66"/>
            <w:vAlign w:val="center"/>
          </w:tcPr>
          <w:p w14:paraId="2AA10B31" w14:textId="77777777" w:rsidR="00140D87" w:rsidRDefault="00140D87" w:rsidP="00FB4F10">
            <w:pPr>
              <w:pStyle w:val="ListParagraph"/>
              <w:ind w:left="0" w:right="-99"/>
              <w:jc w:val="left"/>
              <w:rPr>
                <w:i/>
                <w:sz w:val="22"/>
              </w:rPr>
            </w:pPr>
            <w:r w:rsidRPr="00F519AB">
              <w:rPr>
                <w:b/>
                <w:sz w:val="22"/>
              </w:rPr>
              <w:t>Fiskālā ietekme</w:t>
            </w:r>
            <w:r w:rsidRPr="00AC2449">
              <w:rPr>
                <w:b/>
                <w:sz w:val="22"/>
                <w:vertAlign w:val="superscript"/>
              </w:rPr>
              <w:t>*</w:t>
            </w:r>
            <w:r w:rsidRPr="00F519AB">
              <w:rPr>
                <w:b/>
                <w:sz w:val="22"/>
              </w:rPr>
              <w:t xml:space="preserve">, </w:t>
            </w:r>
            <w:r w:rsidRPr="00F519AB">
              <w:rPr>
                <w:i/>
                <w:sz w:val="22"/>
              </w:rPr>
              <w:t>milj. eur</w:t>
            </w:r>
            <w:r>
              <w:rPr>
                <w:i/>
                <w:sz w:val="22"/>
              </w:rPr>
              <w:t>o</w:t>
            </w:r>
          </w:p>
        </w:tc>
        <w:tc>
          <w:tcPr>
            <w:tcW w:w="1261" w:type="dxa"/>
            <w:tcBorders>
              <w:bottom w:val="dotted" w:sz="4" w:space="0" w:color="auto"/>
            </w:tcBorders>
            <w:shd w:val="clear" w:color="auto" w:fill="FFE599" w:themeFill="accent4" w:themeFillTint="66"/>
            <w:vAlign w:val="center"/>
          </w:tcPr>
          <w:p w14:paraId="7F3731E9" w14:textId="77777777" w:rsidR="00140D87" w:rsidRDefault="00140D87" w:rsidP="00FB4F10">
            <w:pPr>
              <w:pStyle w:val="ListParagraph"/>
              <w:ind w:left="0" w:right="-99"/>
              <w:jc w:val="center"/>
              <w:rPr>
                <w:b/>
                <w:sz w:val="22"/>
              </w:rPr>
            </w:pPr>
          </w:p>
        </w:tc>
        <w:tc>
          <w:tcPr>
            <w:tcW w:w="1261" w:type="dxa"/>
            <w:tcBorders>
              <w:bottom w:val="dotted" w:sz="4" w:space="0" w:color="auto"/>
            </w:tcBorders>
            <w:shd w:val="clear" w:color="auto" w:fill="FFE599" w:themeFill="accent4" w:themeFillTint="66"/>
          </w:tcPr>
          <w:p w14:paraId="0382B30E" w14:textId="77777777" w:rsidR="00140D87" w:rsidRPr="004252E4" w:rsidRDefault="00140D87" w:rsidP="00FB4F10">
            <w:pPr>
              <w:jc w:val="center"/>
              <w:rPr>
                <w:rFonts w:eastAsia="Times New Roman" w:cs="Times New Roman"/>
                <w:b/>
                <w:color w:val="00B050"/>
                <w:sz w:val="22"/>
                <w:lang w:eastAsia="lv-LV"/>
              </w:rPr>
            </w:pPr>
            <w:r w:rsidRPr="004252E4">
              <w:rPr>
                <w:rFonts w:eastAsia="Times New Roman" w:cs="Times New Roman"/>
                <w:b/>
                <w:color w:val="00B050"/>
                <w:sz w:val="22"/>
                <w:lang w:eastAsia="lv-LV"/>
              </w:rPr>
              <w:t xml:space="preserve"> +4,7   </w:t>
            </w:r>
          </w:p>
        </w:tc>
        <w:tc>
          <w:tcPr>
            <w:tcW w:w="1261" w:type="dxa"/>
            <w:tcBorders>
              <w:bottom w:val="dotted" w:sz="4" w:space="0" w:color="auto"/>
            </w:tcBorders>
            <w:shd w:val="clear" w:color="auto" w:fill="FFE599" w:themeFill="accent4" w:themeFillTint="66"/>
          </w:tcPr>
          <w:p w14:paraId="481BD9DB" w14:textId="77777777" w:rsidR="00140D87" w:rsidRPr="004252E4" w:rsidRDefault="00140D87" w:rsidP="00FB4F10">
            <w:pPr>
              <w:jc w:val="center"/>
              <w:rPr>
                <w:rFonts w:eastAsia="Times New Roman" w:cs="Times New Roman"/>
                <w:b/>
                <w:color w:val="00B050"/>
                <w:sz w:val="22"/>
                <w:lang w:eastAsia="lv-LV"/>
              </w:rPr>
            </w:pPr>
            <w:r w:rsidRPr="004252E4">
              <w:rPr>
                <w:rFonts w:eastAsia="Times New Roman" w:cs="Times New Roman"/>
                <w:b/>
                <w:color w:val="00B050"/>
                <w:sz w:val="22"/>
                <w:lang w:eastAsia="lv-LV"/>
              </w:rPr>
              <w:t xml:space="preserve">+5,2   </w:t>
            </w:r>
          </w:p>
        </w:tc>
        <w:tc>
          <w:tcPr>
            <w:tcW w:w="1261" w:type="dxa"/>
            <w:tcBorders>
              <w:bottom w:val="dotted" w:sz="4" w:space="0" w:color="auto"/>
            </w:tcBorders>
            <w:shd w:val="clear" w:color="auto" w:fill="FFE599" w:themeFill="accent4" w:themeFillTint="66"/>
          </w:tcPr>
          <w:p w14:paraId="6F81821E" w14:textId="77777777" w:rsidR="00140D87" w:rsidRPr="004252E4" w:rsidRDefault="00140D87" w:rsidP="00FB4F10">
            <w:pPr>
              <w:jc w:val="center"/>
              <w:rPr>
                <w:rFonts w:eastAsia="Times New Roman" w:cs="Times New Roman"/>
                <w:b/>
                <w:color w:val="00B050"/>
                <w:sz w:val="22"/>
                <w:lang w:eastAsia="lv-LV"/>
              </w:rPr>
            </w:pPr>
            <w:r w:rsidRPr="004252E4">
              <w:rPr>
                <w:rFonts w:eastAsia="Times New Roman" w:cs="Times New Roman"/>
                <w:b/>
                <w:color w:val="00B050"/>
                <w:sz w:val="22"/>
                <w:lang w:eastAsia="lv-LV"/>
              </w:rPr>
              <w:t xml:space="preserve">+9,3   </w:t>
            </w:r>
          </w:p>
        </w:tc>
      </w:tr>
      <w:tr w:rsidR="00140D87" w:rsidRPr="00576C07" w14:paraId="05FDFBEA" w14:textId="77777777" w:rsidTr="00FB4F10">
        <w:trPr>
          <w:trHeight w:val="311"/>
        </w:trPr>
        <w:tc>
          <w:tcPr>
            <w:tcW w:w="3168" w:type="dxa"/>
            <w:tcBorders>
              <w:top w:val="dotted" w:sz="4" w:space="0" w:color="auto"/>
              <w:bottom w:val="dotted" w:sz="4" w:space="0" w:color="auto"/>
            </w:tcBorders>
            <w:shd w:val="clear" w:color="auto" w:fill="FFE599" w:themeFill="accent4" w:themeFillTint="66"/>
            <w:vAlign w:val="center"/>
          </w:tcPr>
          <w:p w14:paraId="30BB2E85" w14:textId="77777777" w:rsidR="00140D87" w:rsidRPr="00F519AB" w:rsidRDefault="00140D87" w:rsidP="00FB4F10">
            <w:pPr>
              <w:pStyle w:val="ListParagraph"/>
              <w:ind w:left="0" w:right="-99"/>
              <w:jc w:val="center"/>
              <w:rPr>
                <w:b/>
                <w:sz w:val="22"/>
              </w:rPr>
            </w:pPr>
            <w:r>
              <w:rPr>
                <w:i/>
                <w:sz w:val="20"/>
                <w:szCs w:val="20"/>
              </w:rPr>
              <w:t>t.sk.:</w:t>
            </w:r>
            <w:r w:rsidRPr="00BA44B7">
              <w:rPr>
                <w:i/>
                <w:sz w:val="20"/>
                <w:szCs w:val="20"/>
              </w:rPr>
              <w:t xml:space="preserve"> AN</w:t>
            </w:r>
          </w:p>
        </w:tc>
        <w:tc>
          <w:tcPr>
            <w:tcW w:w="1261" w:type="dxa"/>
            <w:tcBorders>
              <w:top w:val="dotted" w:sz="4" w:space="0" w:color="auto"/>
              <w:bottom w:val="dotted" w:sz="4" w:space="0" w:color="auto"/>
            </w:tcBorders>
            <w:shd w:val="clear" w:color="auto" w:fill="FFE599" w:themeFill="accent4" w:themeFillTint="66"/>
            <w:vAlign w:val="center"/>
          </w:tcPr>
          <w:p w14:paraId="17F48221" w14:textId="77777777" w:rsidR="00140D87" w:rsidRDefault="00140D87" w:rsidP="00FB4F10">
            <w:pPr>
              <w:pStyle w:val="ListParagraph"/>
              <w:ind w:left="0" w:right="-99"/>
              <w:jc w:val="center"/>
              <w:rPr>
                <w:b/>
                <w:sz w:val="22"/>
              </w:rPr>
            </w:pPr>
          </w:p>
        </w:tc>
        <w:tc>
          <w:tcPr>
            <w:tcW w:w="1261" w:type="dxa"/>
            <w:tcBorders>
              <w:top w:val="dotted" w:sz="4" w:space="0" w:color="auto"/>
              <w:bottom w:val="dotted" w:sz="4" w:space="0" w:color="auto"/>
            </w:tcBorders>
            <w:shd w:val="clear" w:color="auto" w:fill="FFE599" w:themeFill="accent4" w:themeFillTint="66"/>
          </w:tcPr>
          <w:p w14:paraId="1A30EF5A" w14:textId="77777777" w:rsidR="00140D87" w:rsidRPr="004252E4" w:rsidRDefault="00140D87" w:rsidP="00FB4F10">
            <w:pPr>
              <w:jc w:val="center"/>
              <w:rPr>
                <w:rFonts w:eastAsia="Times New Roman" w:cs="Times New Roman"/>
                <w:i/>
                <w:color w:val="00B050"/>
                <w:sz w:val="20"/>
                <w:lang w:eastAsia="lv-LV"/>
              </w:rPr>
            </w:pPr>
            <w:r w:rsidRPr="004252E4">
              <w:rPr>
                <w:rFonts w:eastAsia="Times New Roman" w:cs="Times New Roman"/>
                <w:i/>
                <w:color w:val="00B050"/>
                <w:sz w:val="20"/>
                <w:lang w:eastAsia="lv-LV"/>
              </w:rPr>
              <w:t xml:space="preserve">+3,9   </w:t>
            </w:r>
          </w:p>
        </w:tc>
        <w:tc>
          <w:tcPr>
            <w:tcW w:w="1261" w:type="dxa"/>
            <w:tcBorders>
              <w:top w:val="dotted" w:sz="4" w:space="0" w:color="auto"/>
              <w:bottom w:val="dotted" w:sz="4" w:space="0" w:color="auto"/>
            </w:tcBorders>
            <w:shd w:val="clear" w:color="auto" w:fill="FFE599" w:themeFill="accent4" w:themeFillTint="66"/>
          </w:tcPr>
          <w:p w14:paraId="625B0E7C" w14:textId="77777777" w:rsidR="00140D87" w:rsidRPr="004252E4" w:rsidRDefault="00140D87" w:rsidP="00053E37">
            <w:pPr>
              <w:jc w:val="center"/>
              <w:rPr>
                <w:rFonts w:eastAsia="Times New Roman" w:cs="Times New Roman"/>
                <w:i/>
                <w:color w:val="00B050"/>
                <w:sz w:val="20"/>
                <w:lang w:eastAsia="lv-LV"/>
              </w:rPr>
            </w:pPr>
            <w:r w:rsidRPr="004252E4">
              <w:rPr>
                <w:rFonts w:eastAsia="Times New Roman" w:cs="Times New Roman"/>
                <w:i/>
                <w:color w:val="00B050"/>
                <w:sz w:val="20"/>
                <w:lang w:eastAsia="lv-LV"/>
              </w:rPr>
              <w:t>+4</w:t>
            </w:r>
            <w:r w:rsidR="00053E37" w:rsidRPr="004252E4">
              <w:rPr>
                <w:rFonts w:eastAsia="Times New Roman" w:cs="Times New Roman"/>
                <w:i/>
                <w:color w:val="00B050"/>
                <w:sz w:val="20"/>
                <w:lang w:eastAsia="lv-LV"/>
              </w:rPr>
              <w:t>,</w:t>
            </w:r>
            <w:r w:rsidRPr="004252E4">
              <w:rPr>
                <w:rFonts w:eastAsia="Times New Roman" w:cs="Times New Roman"/>
                <w:i/>
                <w:color w:val="00B050"/>
                <w:sz w:val="20"/>
                <w:lang w:eastAsia="lv-LV"/>
              </w:rPr>
              <w:t xml:space="preserve">3   </w:t>
            </w:r>
          </w:p>
        </w:tc>
        <w:tc>
          <w:tcPr>
            <w:tcW w:w="1261" w:type="dxa"/>
            <w:tcBorders>
              <w:top w:val="dotted" w:sz="4" w:space="0" w:color="auto"/>
              <w:bottom w:val="dotted" w:sz="4" w:space="0" w:color="auto"/>
            </w:tcBorders>
            <w:shd w:val="clear" w:color="auto" w:fill="FFE599" w:themeFill="accent4" w:themeFillTint="66"/>
          </w:tcPr>
          <w:p w14:paraId="5A478D20" w14:textId="77777777" w:rsidR="00140D87" w:rsidRPr="004252E4" w:rsidRDefault="00140D87" w:rsidP="00053E37">
            <w:pPr>
              <w:jc w:val="center"/>
              <w:rPr>
                <w:rFonts w:eastAsia="Times New Roman" w:cs="Times New Roman"/>
                <w:i/>
                <w:color w:val="00B050"/>
                <w:sz w:val="20"/>
                <w:lang w:eastAsia="lv-LV"/>
              </w:rPr>
            </w:pPr>
            <w:r w:rsidRPr="004252E4">
              <w:rPr>
                <w:rFonts w:eastAsia="Times New Roman" w:cs="Times New Roman"/>
                <w:i/>
                <w:color w:val="00B050"/>
                <w:sz w:val="20"/>
                <w:lang w:eastAsia="lv-LV"/>
              </w:rPr>
              <w:t>+7</w:t>
            </w:r>
            <w:r w:rsidR="00053E37" w:rsidRPr="004252E4">
              <w:rPr>
                <w:rFonts w:eastAsia="Times New Roman" w:cs="Times New Roman"/>
                <w:i/>
                <w:color w:val="00B050"/>
                <w:sz w:val="20"/>
                <w:lang w:eastAsia="lv-LV"/>
              </w:rPr>
              <w:t>,</w:t>
            </w:r>
            <w:r w:rsidRPr="004252E4">
              <w:rPr>
                <w:rFonts w:eastAsia="Times New Roman" w:cs="Times New Roman"/>
                <w:i/>
                <w:color w:val="00B050"/>
                <w:sz w:val="20"/>
                <w:lang w:eastAsia="lv-LV"/>
              </w:rPr>
              <w:t xml:space="preserve">7   </w:t>
            </w:r>
          </w:p>
        </w:tc>
      </w:tr>
      <w:tr w:rsidR="00140D87" w:rsidRPr="00576C07" w14:paraId="67A50EF9" w14:textId="77777777" w:rsidTr="00FB4F10">
        <w:trPr>
          <w:trHeight w:val="311"/>
        </w:trPr>
        <w:tc>
          <w:tcPr>
            <w:tcW w:w="3168" w:type="dxa"/>
            <w:tcBorders>
              <w:top w:val="dotted" w:sz="4" w:space="0" w:color="auto"/>
            </w:tcBorders>
            <w:shd w:val="clear" w:color="auto" w:fill="FFE599" w:themeFill="accent4" w:themeFillTint="66"/>
            <w:vAlign w:val="center"/>
          </w:tcPr>
          <w:p w14:paraId="7BB5FA13" w14:textId="77777777" w:rsidR="00140D87" w:rsidRPr="00F519AB" w:rsidRDefault="00140D87" w:rsidP="00FB4F10">
            <w:pPr>
              <w:pStyle w:val="ListParagraph"/>
              <w:ind w:left="0" w:right="-99"/>
              <w:jc w:val="center"/>
              <w:rPr>
                <w:b/>
                <w:sz w:val="22"/>
              </w:rPr>
            </w:pPr>
            <w:r>
              <w:rPr>
                <w:i/>
                <w:sz w:val="20"/>
                <w:szCs w:val="20"/>
              </w:rPr>
              <w:t>t.sk.:</w:t>
            </w:r>
            <w:r w:rsidRPr="00BA44B7">
              <w:rPr>
                <w:i/>
                <w:sz w:val="20"/>
                <w:szCs w:val="20"/>
              </w:rPr>
              <w:t xml:space="preserve"> </w:t>
            </w:r>
            <w:r>
              <w:rPr>
                <w:i/>
                <w:sz w:val="20"/>
                <w:szCs w:val="20"/>
              </w:rPr>
              <w:t>PVN</w:t>
            </w:r>
          </w:p>
        </w:tc>
        <w:tc>
          <w:tcPr>
            <w:tcW w:w="1261" w:type="dxa"/>
            <w:tcBorders>
              <w:top w:val="dotted" w:sz="4" w:space="0" w:color="auto"/>
            </w:tcBorders>
            <w:shd w:val="clear" w:color="auto" w:fill="FFE599" w:themeFill="accent4" w:themeFillTint="66"/>
            <w:vAlign w:val="center"/>
          </w:tcPr>
          <w:p w14:paraId="0F47A257" w14:textId="77777777" w:rsidR="00140D87" w:rsidRDefault="00140D87" w:rsidP="00FB4F10">
            <w:pPr>
              <w:pStyle w:val="ListParagraph"/>
              <w:ind w:left="0" w:right="-99"/>
              <w:jc w:val="center"/>
              <w:rPr>
                <w:b/>
                <w:sz w:val="22"/>
              </w:rPr>
            </w:pPr>
          </w:p>
        </w:tc>
        <w:tc>
          <w:tcPr>
            <w:tcW w:w="1261" w:type="dxa"/>
            <w:tcBorders>
              <w:top w:val="dotted" w:sz="4" w:space="0" w:color="auto"/>
            </w:tcBorders>
            <w:shd w:val="clear" w:color="auto" w:fill="FFE599" w:themeFill="accent4" w:themeFillTint="66"/>
          </w:tcPr>
          <w:p w14:paraId="4A2BABC3" w14:textId="77777777" w:rsidR="00140D87" w:rsidRPr="004252E4" w:rsidRDefault="00140D87" w:rsidP="00FB4F10">
            <w:pPr>
              <w:jc w:val="center"/>
              <w:rPr>
                <w:rFonts w:eastAsia="Times New Roman" w:cs="Times New Roman"/>
                <w:i/>
                <w:color w:val="00B050"/>
                <w:sz w:val="20"/>
                <w:lang w:eastAsia="lv-LV"/>
              </w:rPr>
            </w:pPr>
            <w:r w:rsidRPr="004252E4">
              <w:rPr>
                <w:rFonts w:eastAsia="Times New Roman" w:cs="Times New Roman"/>
                <w:i/>
                <w:color w:val="00B050"/>
                <w:sz w:val="20"/>
                <w:lang w:eastAsia="lv-LV"/>
              </w:rPr>
              <w:t xml:space="preserve"> +0,8   </w:t>
            </w:r>
          </w:p>
        </w:tc>
        <w:tc>
          <w:tcPr>
            <w:tcW w:w="1261" w:type="dxa"/>
            <w:tcBorders>
              <w:top w:val="dotted" w:sz="4" w:space="0" w:color="auto"/>
            </w:tcBorders>
            <w:shd w:val="clear" w:color="auto" w:fill="FFE599" w:themeFill="accent4" w:themeFillTint="66"/>
          </w:tcPr>
          <w:p w14:paraId="08692E9C" w14:textId="77777777" w:rsidR="00140D87" w:rsidRPr="004252E4" w:rsidRDefault="00053E37" w:rsidP="00FB4F10">
            <w:pPr>
              <w:jc w:val="center"/>
              <w:rPr>
                <w:rFonts w:eastAsia="Times New Roman" w:cs="Times New Roman"/>
                <w:i/>
                <w:color w:val="00B050"/>
                <w:sz w:val="20"/>
                <w:lang w:eastAsia="lv-LV"/>
              </w:rPr>
            </w:pPr>
            <w:r w:rsidRPr="004252E4">
              <w:rPr>
                <w:rFonts w:eastAsia="Times New Roman" w:cs="Times New Roman"/>
                <w:i/>
                <w:color w:val="00B050"/>
                <w:sz w:val="20"/>
                <w:lang w:eastAsia="lv-LV"/>
              </w:rPr>
              <w:t>+0,</w:t>
            </w:r>
            <w:r w:rsidR="00140D87" w:rsidRPr="004252E4">
              <w:rPr>
                <w:rFonts w:eastAsia="Times New Roman" w:cs="Times New Roman"/>
                <w:i/>
                <w:color w:val="00B050"/>
                <w:sz w:val="20"/>
                <w:lang w:eastAsia="lv-LV"/>
              </w:rPr>
              <w:t xml:space="preserve">9   </w:t>
            </w:r>
          </w:p>
        </w:tc>
        <w:tc>
          <w:tcPr>
            <w:tcW w:w="1261" w:type="dxa"/>
            <w:tcBorders>
              <w:top w:val="dotted" w:sz="4" w:space="0" w:color="auto"/>
            </w:tcBorders>
            <w:shd w:val="clear" w:color="auto" w:fill="FFE599" w:themeFill="accent4" w:themeFillTint="66"/>
          </w:tcPr>
          <w:p w14:paraId="462DD72F" w14:textId="77777777" w:rsidR="00140D87" w:rsidRPr="004252E4" w:rsidRDefault="00140D87" w:rsidP="00053E37">
            <w:pPr>
              <w:jc w:val="center"/>
              <w:rPr>
                <w:rFonts w:eastAsia="Times New Roman" w:cs="Times New Roman"/>
                <w:i/>
                <w:color w:val="00B050"/>
                <w:sz w:val="20"/>
                <w:lang w:eastAsia="lv-LV"/>
              </w:rPr>
            </w:pPr>
            <w:r w:rsidRPr="004252E4">
              <w:rPr>
                <w:rFonts w:eastAsia="Times New Roman" w:cs="Times New Roman"/>
                <w:i/>
                <w:color w:val="00B050"/>
                <w:sz w:val="20"/>
                <w:lang w:eastAsia="lv-LV"/>
              </w:rPr>
              <w:t xml:space="preserve"> +1</w:t>
            </w:r>
            <w:r w:rsidR="00053E37" w:rsidRPr="004252E4">
              <w:rPr>
                <w:rFonts w:eastAsia="Times New Roman" w:cs="Times New Roman"/>
                <w:i/>
                <w:color w:val="00B050"/>
                <w:sz w:val="20"/>
                <w:lang w:eastAsia="lv-LV"/>
              </w:rPr>
              <w:t>,</w:t>
            </w:r>
            <w:r w:rsidRPr="004252E4">
              <w:rPr>
                <w:rFonts w:eastAsia="Times New Roman" w:cs="Times New Roman"/>
                <w:i/>
                <w:color w:val="00B050"/>
                <w:sz w:val="20"/>
                <w:lang w:eastAsia="lv-LV"/>
              </w:rPr>
              <w:t xml:space="preserve">6   </w:t>
            </w:r>
          </w:p>
        </w:tc>
      </w:tr>
    </w:tbl>
    <w:p w14:paraId="423C4BAF" w14:textId="77777777" w:rsidR="00140D87" w:rsidRPr="00AC2449" w:rsidRDefault="00140D87" w:rsidP="00AC2449">
      <w:pPr>
        <w:tabs>
          <w:tab w:val="left" w:pos="284"/>
        </w:tabs>
        <w:spacing w:before="80"/>
        <w:ind w:right="-96"/>
        <w:rPr>
          <w:i/>
          <w:sz w:val="18"/>
          <w:szCs w:val="18"/>
        </w:rPr>
      </w:pPr>
      <w:r w:rsidRPr="00AC2449">
        <w:rPr>
          <w:i/>
          <w:sz w:val="18"/>
          <w:szCs w:val="18"/>
          <w:vertAlign w:val="superscript"/>
        </w:rPr>
        <w:t>*</w:t>
      </w:r>
      <w:r w:rsidR="00AC2449" w:rsidRPr="00AC2449">
        <w:rPr>
          <w:i/>
          <w:sz w:val="18"/>
          <w:szCs w:val="18"/>
        </w:rPr>
        <w:tab/>
      </w:r>
      <w:r w:rsidRPr="00AC2449">
        <w:rPr>
          <w:i/>
          <w:sz w:val="18"/>
          <w:szCs w:val="18"/>
        </w:rPr>
        <w:t>ieviešanas gadā norādīta 11 mēnešu ietekme</w:t>
      </w:r>
    </w:p>
    <w:p w14:paraId="411E03ED" w14:textId="77777777" w:rsidR="00860B45" w:rsidRPr="00B01120" w:rsidRDefault="00860B45" w:rsidP="00B01120">
      <w:pPr>
        <w:pStyle w:val="ListParagraph"/>
        <w:numPr>
          <w:ilvl w:val="2"/>
          <w:numId w:val="37"/>
        </w:numPr>
        <w:spacing w:before="100" w:beforeAutospacing="1" w:after="100" w:afterAutospacing="1"/>
        <w:ind w:right="-96"/>
        <w:rPr>
          <w:b/>
          <w:i/>
          <w:sz w:val="26"/>
          <w:szCs w:val="26"/>
        </w:rPr>
      </w:pPr>
      <w:r w:rsidRPr="00B01120">
        <w:rPr>
          <w:b/>
          <w:i/>
          <w:sz w:val="26"/>
          <w:szCs w:val="26"/>
        </w:rPr>
        <w:t>Akcīzes nodoklis elektroniskajās cigaretēs izmantojamiem šķidrumiem</w:t>
      </w:r>
    </w:p>
    <w:p w14:paraId="37897BE8" w14:textId="77777777" w:rsidR="00860B45" w:rsidRDefault="00C46789" w:rsidP="00860B45">
      <w:pPr>
        <w:ind w:right="-99" w:firstLine="709"/>
        <w:jc w:val="both"/>
        <w:rPr>
          <w:sz w:val="26"/>
          <w:szCs w:val="26"/>
        </w:rPr>
      </w:pPr>
      <w:r>
        <w:rPr>
          <w:sz w:val="26"/>
          <w:szCs w:val="26"/>
        </w:rPr>
        <w:t xml:space="preserve">Pašlaik AN </w:t>
      </w:r>
      <w:r w:rsidRPr="00576C07">
        <w:rPr>
          <w:sz w:val="26"/>
          <w:szCs w:val="26"/>
        </w:rPr>
        <w:t>elektroniskajās cigaretēs izmantojamiem šķidrumiem</w:t>
      </w:r>
      <w:r>
        <w:rPr>
          <w:sz w:val="26"/>
          <w:szCs w:val="26"/>
        </w:rPr>
        <w:t xml:space="preserve"> (turpmāk – e-šķidrumi) tiek piemērots </w:t>
      </w:r>
      <w:r w:rsidRPr="00246CC6">
        <w:rPr>
          <w:sz w:val="26"/>
          <w:szCs w:val="26"/>
        </w:rPr>
        <w:t xml:space="preserve">summējot </w:t>
      </w:r>
      <w:r>
        <w:rPr>
          <w:sz w:val="26"/>
          <w:szCs w:val="26"/>
        </w:rPr>
        <w:t xml:space="preserve">divas </w:t>
      </w:r>
      <w:r w:rsidRPr="00246CC6">
        <w:rPr>
          <w:sz w:val="26"/>
          <w:szCs w:val="26"/>
        </w:rPr>
        <w:t>likmes,</w:t>
      </w:r>
      <w:r>
        <w:rPr>
          <w:sz w:val="26"/>
          <w:szCs w:val="26"/>
        </w:rPr>
        <w:t xml:space="preserve"> vienu  kas ir noteikta</w:t>
      </w:r>
      <w:r w:rsidRPr="00246CC6">
        <w:rPr>
          <w:sz w:val="26"/>
          <w:szCs w:val="26"/>
        </w:rPr>
        <w:t xml:space="preserve"> par 1 mililitru šķidruma un </w:t>
      </w:r>
      <w:r>
        <w:rPr>
          <w:sz w:val="26"/>
          <w:szCs w:val="26"/>
        </w:rPr>
        <w:t xml:space="preserve">otru </w:t>
      </w:r>
      <w:r w:rsidRPr="00246CC6">
        <w:rPr>
          <w:sz w:val="26"/>
          <w:szCs w:val="26"/>
        </w:rPr>
        <w:t>par 1 miligramu nikotīna</w:t>
      </w:r>
      <w:r>
        <w:rPr>
          <w:sz w:val="26"/>
          <w:szCs w:val="26"/>
        </w:rPr>
        <w:t>. Lai vienkāršotu AN e-šķidrumiem noteikšanas principu</w:t>
      </w:r>
      <w:r w:rsidR="00860B45">
        <w:rPr>
          <w:sz w:val="26"/>
          <w:szCs w:val="26"/>
        </w:rPr>
        <w:t>:</w:t>
      </w:r>
    </w:p>
    <w:p w14:paraId="306340D5" w14:textId="77777777" w:rsidR="00860B45" w:rsidRDefault="00C46789" w:rsidP="000223DA">
      <w:pPr>
        <w:pStyle w:val="ListParagraph"/>
        <w:numPr>
          <w:ilvl w:val="0"/>
          <w:numId w:val="9"/>
        </w:numPr>
        <w:ind w:right="-99"/>
        <w:rPr>
          <w:sz w:val="26"/>
          <w:szCs w:val="26"/>
        </w:rPr>
      </w:pPr>
      <w:r>
        <w:rPr>
          <w:sz w:val="26"/>
          <w:szCs w:val="26"/>
        </w:rPr>
        <w:t xml:space="preserve">priekšlikums </w:t>
      </w:r>
      <w:r w:rsidR="00860B45" w:rsidRPr="00246CC6">
        <w:rPr>
          <w:sz w:val="26"/>
          <w:szCs w:val="26"/>
        </w:rPr>
        <w:t xml:space="preserve">atteikties no pašreiz piemērojamās AN e-šķidrumiem struktūras, nosakot likmi par vienu mililitru e-šķidruma neatkarīgi no nikotīna daudzuma, līdzīgi, ka tas šobrīd ir noteikts Igaunijā un Lietuvā. Paredzēt </w:t>
      </w:r>
      <w:r>
        <w:rPr>
          <w:sz w:val="26"/>
          <w:szCs w:val="26"/>
        </w:rPr>
        <w:t xml:space="preserve">pakāpeniski paaugstināt AN </w:t>
      </w:r>
      <w:r w:rsidRPr="00246CC6">
        <w:rPr>
          <w:sz w:val="26"/>
          <w:szCs w:val="26"/>
        </w:rPr>
        <w:t xml:space="preserve">likmi </w:t>
      </w:r>
      <w:r>
        <w:rPr>
          <w:sz w:val="26"/>
          <w:szCs w:val="26"/>
        </w:rPr>
        <w:t>e-šķidrumiem,</w:t>
      </w:r>
      <w:r w:rsidRPr="00246CC6">
        <w:rPr>
          <w:sz w:val="26"/>
          <w:szCs w:val="26"/>
        </w:rPr>
        <w:t xml:space="preserve"> </w:t>
      </w:r>
      <w:r w:rsidR="00860B45" w:rsidRPr="00246CC6">
        <w:rPr>
          <w:sz w:val="26"/>
          <w:szCs w:val="26"/>
        </w:rPr>
        <w:t>ar 2021.</w:t>
      </w:r>
      <w:r w:rsidR="00860B45">
        <w:rPr>
          <w:sz w:val="26"/>
          <w:szCs w:val="26"/>
        </w:rPr>
        <w:t>gadu</w:t>
      </w:r>
      <w:r w:rsidR="00860B45" w:rsidRPr="00246CC6">
        <w:rPr>
          <w:sz w:val="26"/>
          <w:szCs w:val="26"/>
        </w:rPr>
        <w:t xml:space="preserve"> </w:t>
      </w:r>
      <w:r w:rsidR="00860B45">
        <w:rPr>
          <w:sz w:val="26"/>
          <w:szCs w:val="26"/>
        </w:rPr>
        <w:t>1.janvāri</w:t>
      </w:r>
      <w:r w:rsidR="00860B45" w:rsidRPr="00246CC6">
        <w:rPr>
          <w:sz w:val="26"/>
          <w:szCs w:val="26"/>
        </w:rPr>
        <w:t xml:space="preserve"> no</w:t>
      </w:r>
      <w:r>
        <w:rPr>
          <w:sz w:val="26"/>
          <w:szCs w:val="26"/>
        </w:rPr>
        <w:t>sa</w:t>
      </w:r>
      <w:r w:rsidR="00860B45" w:rsidRPr="00246CC6">
        <w:rPr>
          <w:sz w:val="26"/>
          <w:szCs w:val="26"/>
        </w:rPr>
        <w:t>k</w:t>
      </w:r>
      <w:r>
        <w:rPr>
          <w:sz w:val="26"/>
          <w:szCs w:val="26"/>
        </w:rPr>
        <w:t>o</w:t>
      </w:r>
      <w:r w:rsidR="00860B45" w:rsidRPr="00246CC6">
        <w:rPr>
          <w:sz w:val="26"/>
          <w:szCs w:val="26"/>
        </w:rPr>
        <w:t xml:space="preserve">t AN </w:t>
      </w:r>
      <w:r>
        <w:rPr>
          <w:sz w:val="26"/>
          <w:szCs w:val="26"/>
        </w:rPr>
        <w:t xml:space="preserve">likmi </w:t>
      </w:r>
      <w:r w:rsidR="00860B45" w:rsidRPr="00C46789">
        <w:rPr>
          <w:b/>
          <w:sz w:val="26"/>
          <w:szCs w:val="26"/>
        </w:rPr>
        <w:t>0,12</w:t>
      </w:r>
      <w:r w:rsidR="00860B45" w:rsidRPr="00246CC6">
        <w:rPr>
          <w:sz w:val="26"/>
          <w:szCs w:val="26"/>
        </w:rPr>
        <w:t xml:space="preserve"> </w:t>
      </w:r>
      <w:r w:rsidR="00860B45" w:rsidRPr="00246CC6">
        <w:rPr>
          <w:i/>
          <w:sz w:val="26"/>
          <w:szCs w:val="26"/>
        </w:rPr>
        <w:t>euro</w:t>
      </w:r>
      <w:r w:rsidR="00860B45" w:rsidRPr="00246CC6">
        <w:rPr>
          <w:sz w:val="26"/>
          <w:szCs w:val="26"/>
        </w:rPr>
        <w:t xml:space="preserve"> par vienu mililitru šķidruma</w:t>
      </w:r>
      <w:r>
        <w:rPr>
          <w:sz w:val="26"/>
          <w:szCs w:val="26"/>
        </w:rPr>
        <w:t xml:space="preserve"> (</w:t>
      </w:r>
      <w:r w:rsidR="00860B45" w:rsidRPr="00246CC6">
        <w:rPr>
          <w:sz w:val="26"/>
          <w:szCs w:val="26"/>
        </w:rPr>
        <w:t>k</w:t>
      </w:r>
      <w:r>
        <w:rPr>
          <w:sz w:val="26"/>
          <w:szCs w:val="26"/>
        </w:rPr>
        <w:t>ā</w:t>
      </w:r>
      <w:r w:rsidR="00860B45" w:rsidRPr="00246CC6">
        <w:rPr>
          <w:sz w:val="26"/>
          <w:szCs w:val="26"/>
        </w:rPr>
        <w:t xml:space="preserve"> šobrīd </w:t>
      </w:r>
      <w:r>
        <w:rPr>
          <w:sz w:val="26"/>
          <w:szCs w:val="26"/>
        </w:rPr>
        <w:t xml:space="preserve">tas </w:t>
      </w:r>
      <w:r w:rsidR="00860B45" w:rsidRPr="00246CC6">
        <w:rPr>
          <w:sz w:val="26"/>
          <w:szCs w:val="26"/>
        </w:rPr>
        <w:t>ir noteikts Lietuvā</w:t>
      </w:r>
      <w:r>
        <w:rPr>
          <w:sz w:val="26"/>
          <w:szCs w:val="26"/>
        </w:rPr>
        <w:t>),</w:t>
      </w:r>
      <w:r w:rsidRPr="00C46789">
        <w:rPr>
          <w:sz w:val="26"/>
          <w:szCs w:val="26"/>
        </w:rPr>
        <w:t xml:space="preserve"> </w:t>
      </w:r>
      <w:r>
        <w:rPr>
          <w:sz w:val="26"/>
          <w:szCs w:val="26"/>
        </w:rPr>
        <w:t>ar 2022</w:t>
      </w:r>
      <w:r w:rsidRPr="00246CC6">
        <w:rPr>
          <w:sz w:val="26"/>
          <w:szCs w:val="26"/>
        </w:rPr>
        <w:t>.</w:t>
      </w:r>
      <w:r>
        <w:rPr>
          <w:sz w:val="26"/>
          <w:szCs w:val="26"/>
        </w:rPr>
        <w:t>gada</w:t>
      </w:r>
      <w:r w:rsidRPr="00246CC6">
        <w:rPr>
          <w:sz w:val="26"/>
          <w:szCs w:val="26"/>
        </w:rPr>
        <w:t xml:space="preserve"> </w:t>
      </w:r>
      <w:r>
        <w:rPr>
          <w:sz w:val="26"/>
          <w:szCs w:val="26"/>
        </w:rPr>
        <w:t xml:space="preserve">1.janvāri – </w:t>
      </w:r>
      <w:r w:rsidRPr="00C46789">
        <w:rPr>
          <w:b/>
          <w:sz w:val="26"/>
          <w:szCs w:val="26"/>
        </w:rPr>
        <w:t>0,16</w:t>
      </w:r>
      <w:r>
        <w:rPr>
          <w:sz w:val="26"/>
          <w:szCs w:val="26"/>
        </w:rPr>
        <w:t xml:space="preserve"> </w:t>
      </w:r>
      <w:r w:rsidRPr="00D654BF">
        <w:rPr>
          <w:i/>
          <w:sz w:val="26"/>
          <w:szCs w:val="26"/>
        </w:rPr>
        <w:t xml:space="preserve">euro </w:t>
      </w:r>
      <w:r>
        <w:rPr>
          <w:sz w:val="26"/>
          <w:szCs w:val="26"/>
        </w:rPr>
        <w:t>un ar 2023</w:t>
      </w:r>
      <w:r w:rsidRPr="00246CC6">
        <w:rPr>
          <w:sz w:val="26"/>
          <w:szCs w:val="26"/>
        </w:rPr>
        <w:t>.</w:t>
      </w:r>
      <w:r>
        <w:rPr>
          <w:sz w:val="26"/>
          <w:szCs w:val="26"/>
        </w:rPr>
        <w:t xml:space="preserve">gada 1.janvāri – </w:t>
      </w:r>
      <w:r w:rsidRPr="00C46789">
        <w:rPr>
          <w:b/>
          <w:sz w:val="26"/>
          <w:szCs w:val="26"/>
        </w:rPr>
        <w:t>0,20</w:t>
      </w:r>
      <w:r>
        <w:rPr>
          <w:sz w:val="26"/>
          <w:szCs w:val="26"/>
        </w:rPr>
        <w:t xml:space="preserve"> </w:t>
      </w:r>
      <w:r w:rsidRPr="00D654BF">
        <w:rPr>
          <w:i/>
          <w:sz w:val="26"/>
          <w:szCs w:val="26"/>
        </w:rPr>
        <w:t>euro</w:t>
      </w:r>
      <w:r>
        <w:rPr>
          <w:i/>
          <w:sz w:val="26"/>
          <w:szCs w:val="26"/>
        </w:rPr>
        <w:t>,</w:t>
      </w:r>
      <w:r>
        <w:rPr>
          <w:sz w:val="26"/>
          <w:szCs w:val="26"/>
        </w:rPr>
        <w:t xml:space="preserve"> sasniedzot Igaunijā pašreiz noteikto AN līmeni;</w:t>
      </w:r>
    </w:p>
    <w:p w14:paraId="6ABB0524" w14:textId="77777777" w:rsidR="00860B45" w:rsidRDefault="00860B45" w:rsidP="000223DA">
      <w:pPr>
        <w:pStyle w:val="ListParagraph"/>
        <w:numPr>
          <w:ilvl w:val="0"/>
          <w:numId w:val="9"/>
        </w:numPr>
        <w:ind w:right="-99"/>
        <w:rPr>
          <w:sz w:val="26"/>
          <w:szCs w:val="26"/>
        </w:rPr>
      </w:pPr>
      <w:r w:rsidRPr="00246CC6">
        <w:rPr>
          <w:sz w:val="26"/>
          <w:szCs w:val="26"/>
        </w:rPr>
        <w:t xml:space="preserve">paredzēt līdzīgi, kā </w:t>
      </w:r>
      <w:r w:rsidR="009E7C09">
        <w:rPr>
          <w:sz w:val="26"/>
          <w:szCs w:val="26"/>
        </w:rPr>
        <w:t>pašlaik</w:t>
      </w:r>
      <w:r w:rsidR="009E7C09" w:rsidRPr="00246CC6">
        <w:rPr>
          <w:sz w:val="26"/>
          <w:szCs w:val="26"/>
        </w:rPr>
        <w:t xml:space="preserve"> </w:t>
      </w:r>
      <w:r w:rsidRPr="00246CC6">
        <w:rPr>
          <w:sz w:val="26"/>
          <w:szCs w:val="26"/>
        </w:rPr>
        <w:t>ir noteikts Igaunijā, ar AN aplikt arī sastāvdaļas</w:t>
      </w:r>
      <w:r w:rsidR="009E7C09">
        <w:rPr>
          <w:sz w:val="26"/>
          <w:szCs w:val="26"/>
        </w:rPr>
        <w:t xml:space="preserve"> </w:t>
      </w:r>
      <w:r w:rsidR="009E7C09" w:rsidRPr="00D654BF">
        <w:rPr>
          <w:rFonts w:eastAsia="Verdana"/>
          <w:color w:val="000000" w:themeColor="text1"/>
          <w:kern w:val="24"/>
          <w:sz w:val="26"/>
          <w:szCs w:val="26"/>
        </w:rPr>
        <w:t>(propilenglikols, aromatizātori, augu izcelsmes glicerīns un nikotīna ekstrakti)</w:t>
      </w:r>
      <w:r w:rsidRPr="00246CC6">
        <w:rPr>
          <w:sz w:val="26"/>
          <w:szCs w:val="26"/>
        </w:rPr>
        <w:t>, kuras plaši tiek piedāvātas Latvijas tirgū un kuras patērētāji iegādājas, lai sagatavotu izmantošanai e-šķidrumu, tādējādi izvairoties no AN samaksas. Papildus tam izvērtēt iespēju paredzēt e-šķidrumu un to sastāvdaļu marķēšanu ar AN markām līdzīgi kā Igaunijā.</w:t>
      </w:r>
    </w:p>
    <w:p w14:paraId="23C12726" w14:textId="77777777" w:rsidR="00B53A96" w:rsidRDefault="00B53A96" w:rsidP="00B53A96">
      <w:pPr>
        <w:pStyle w:val="ListParagraph"/>
        <w:ind w:left="1069" w:right="-99"/>
        <w:rPr>
          <w:sz w:val="26"/>
          <w:szCs w:val="26"/>
        </w:rPr>
      </w:pPr>
    </w:p>
    <w:p w14:paraId="440793F4" w14:textId="482ADBF3" w:rsidR="00AA606C" w:rsidRDefault="00AA606C">
      <w:pPr>
        <w:rPr>
          <w:sz w:val="26"/>
          <w:szCs w:val="26"/>
        </w:rPr>
      </w:pPr>
      <w:r>
        <w:rPr>
          <w:sz w:val="26"/>
          <w:szCs w:val="26"/>
        </w:rPr>
        <w:br w:type="page"/>
      </w:r>
    </w:p>
    <w:p w14:paraId="71C3C57D" w14:textId="5419BE0E" w:rsidR="00860B45" w:rsidRDefault="00AA606C" w:rsidP="009E7C09">
      <w:pPr>
        <w:spacing w:after="120"/>
        <w:jc w:val="center"/>
        <w:rPr>
          <w:b/>
          <w:szCs w:val="24"/>
        </w:rPr>
      </w:pPr>
      <w:r>
        <w:rPr>
          <w:szCs w:val="24"/>
        </w:rPr>
        <w:lastRenderedPageBreak/>
        <w:t>1</w:t>
      </w:r>
      <w:r w:rsidR="006C5A20">
        <w:rPr>
          <w:szCs w:val="24"/>
        </w:rPr>
        <w:t>6</w:t>
      </w:r>
      <w:r w:rsidR="00860B45" w:rsidRPr="00C75069">
        <w:rPr>
          <w:szCs w:val="24"/>
        </w:rPr>
        <w:t>.tab.</w:t>
      </w:r>
      <w:r w:rsidR="00860B45" w:rsidRPr="00072E66">
        <w:rPr>
          <w:b/>
          <w:szCs w:val="24"/>
        </w:rPr>
        <w:t xml:space="preserve"> AN likmes </w:t>
      </w:r>
      <w:r w:rsidR="00860B45">
        <w:rPr>
          <w:b/>
          <w:szCs w:val="24"/>
        </w:rPr>
        <w:t>e</w:t>
      </w:r>
      <w:r w:rsidR="00860B45" w:rsidRPr="00CD3E72">
        <w:rPr>
          <w:rFonts w:eastAsia="Times New Roman" w:cs="Times New Roman"/>
          <w:b/>
          <w:bCs/>
          <w:szCs w:val="24"/>
          <w:lang w:eastAsia="lv-LV"/>
        </w:rPr>
        <w:t>lektroniskajās cigaretēs izmantojamie</w:t>
      </w:r>
      <w:r w:rsidR="00860B45">
        <w:rPr>
          <w:rFonts w:eastAsia="Times New Roman" w:cs="Times New Roman"/>
          <w:b/>
          <w:bCs/>
          <w:szCs w:val="24"/>
          <w:lang w:eastAsia="lv-LV"/>
        </w:rPr>
        <w:t>m</w:t>
      </w:r>
      <w:r w:rsidR="00860B45" w:rsidRPr="00CD3E72">
        <w:rPr>
          <w:rFonts w:eastAsia="Times New Roman" w:cs="Times New Roman"/>
          <w:b/>
          <w:bCs/>
          <w:szCs w:val="24"/>
          <w:lang w:eastAsia="lv-LV"/>
        </w:rPr>
        <w:t xml:space="preserve"> šķidrumi</w:t>
      </w:r>
      <w:r w:rsidR="00860B45">
        <w:rPr>
          <w:rFonts w:eastAsia="Times New Roman" w:cs="Times New Roman"/>
          <w:b/>
          <w:bCs/>
          <w:szCs w:val="24"/>
          <w:lang w:eastAsia="lv-LV"/>
        </w:rPr>
        <w:t>em</w:t>
      </w:r>
      <w:r w:rsidR="002F5922">
        <w:rPr>
          <w:b/>
          <w:szCs w:val="24"/>
        </w:rPr>
        <w:t xml:space="preserve"> paaugstināšana</w:t>
      </w:r>
    </w:p>
    <w:tbl>
      <w:tblPr>
        <w:tblW w:w="8647" w:type="dxa"/>
        <w:tblInd w:w="137" w:type="dxa"/>
        <w:tblLook w:val="04A0" w:firstRow="1" w:lastRow="0" w:firstColumn="1" w:lastColumn="0" w:noHBand="0" w:noVBand="1"/>
      </w:tblPr>
      <w:tblGrid>
        <w:gridCol w:w="2268"/>
        <w:gridCol w:w="1134"/>
        <w:gridCol w:w="992"/>
        <w:gridCol w:w="966"/>
        <w:gridCol w:w="1161"/>
        <w:gridCol w:w="992"/>
        <w:gridCol w:w="1134"/>
      </w:tblGrid>
      <w:tr w:rsidR="00081240" w:rsidRPr="00CD3E72" w14:paraId="4CE9BD86" w14:textId="77777777" w:rsidTr="00081240">
        <w:trPr>
          <w:trHeight w:val="271"/>
        </w:trPr>
        <w:tc>
          <w:tcPr>
            <w:tcW w:w="2268"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2060"/>
            <w:vAlign w:val="center"/>
            <w:hideMark/>
          </w:tcPr>
          <w:p w14:paraId="7E7C420B" w14:textId="77777777" w:rsidR="00081240" w:rsidRPr="00CD3E72" w:rsidRDefault="00081240" w:rsidP="00A303CA">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Elektroniskajās cigaretēs izmantojamie šķidrumi</w:t>
            </w: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14:paraId="7FFEA717" w14:textId="77777777" w:rsidR="00081240" w:rsidRPr="00CD3E72" w:rsidRDefault="00081240" w:rsidP="00A303CA">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Šobrīd</w:t>
            </w:r>
          </w:p>
        </w:tc>
        <w:tc>
          <w:tcPr>
            <w:tcW w:w="3119"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bottom"/>
          </w:tcPr>
          <w:p w14:paraId="675D0A60" w14:textId="77777777" w:rsidR="00081240" w:rsidRPr="00CD3E72" w:rsidRDefault="00081240" w:rsidP="00A303CA">
            <w:pPr>
              <w:jc w:val="center"/>
              <w:rPr>
                <w:rFonts w:eastAsia="Times New Roman" w:cs="Times New Roman"/>
                <w:b/>
                <w:bCs/>
                <w:color w:val="FFFFFF" w:themeColor="background1"/>
                <w:sz w:val="20"/>
                <w:szCs w:val="20"/>
                <w:lang w:eastAsia="lv-LV"/>
              </w:rPr>
            </w:pPr>
            <w:r>
              <w:rPr>
                <w:rFonts w:eastAsia="Times New Roman" w:cs="Times New Roman"/>
                <w:b/>
                <w:bCs/>
                <w:color w:val="FFFFFF" w:themeColor="background1"/>
                <w:sz w:val="20"/>
                <w:szCs w:val="20"/>
                <w:lang w:eastAsia="lv-LV"/>
              </w:rPr>
              <w:t>Priekšlikums</w:t>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14:paraId="7763E9CD" w14:textId="77777777" w:rsidR="00081240" w:rsidRPr="00CD3E72" w:rsidRDefault="00081240" w:rsidP="00A303CA">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L</w:t>
            </w:r>
            <w:r>
              <w:rPr>
                <w:rFonts w:eastAsia="Times New Roman" w:cs="Times New Roman"/>
                <w:b/>
                <w:bCs/>
                <w:color w:val="FFFFFF" w:themeColor="background1"/>
                <w:sz w:val="20"/>
                <w:szCs w:val="20"/>
                <w:lang w:eastAsia="lv-LV"/>
              </w:rPr>
              <w:t>ietuva</w:t>
            </w:r>
          </w:p>
        </w:tc>
        <w:tc>
          <w:tcPr>
            <w:tcW w:w="1134"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2060"/>
            <w:noWrap/>
            <w:vAlign w:val="bottom"/>
            <w:hideMark/>
          </w:tcPr>
          <w:p w14:paraId="4F0D5103" w14:textId="77777777" w:rsidR="00081240" w:rsidRPr="00CD3E72" w:rsidRDefault="00081240" w:rsidP="00A303CA">
            <w:pPr>
              <w:jc w:val="center"/>
              <w:rPr>
                <w:rFonts w:eastAsia="Times New Roman" w:cs="Times New Roman"/>
                <w:b/>
                <w:bCs/>
                <w:color w:val="FFFFFF" w:themeColor="background1"/>
                <w:sz w:val="20"/>
                <w:szCs w:val="20"/>
                <w:lang w:eastAsia="lv-LV"/>
              </w:rPr>
            </w:pPr>
            <w:r>
              <w:rPr>
                <w:rFonts w:eastAsia="Times New Roman" w:cs="Times New Roman"/>
                <w:b/>
                <w:bCs/>
                <w:color w:val="FFFFFF" w:themeColor="background1"/>
                <w:sz w:val="20"/>
                <w:szCs w:val="20"/>
                <w:lang w:eastAsia="lv-LV"/>
              </w:rPr>
              <w:t>Igaunija</w:t>
            </w:r>
          </w:p>
        </w:tc>
      </w:tr>
      <w:tr w:rsidR="00081240" w:rsidRPr="00CD3E72" w14:paraId="0C5EE99B" w14:textId="77777777" w:rsidTr="006B6C49">
        <w:trPr>
          <w:trHeight w:val="271"/>
        </w:trPr>
        <w:tc>
          <w:tcPr>
            <w:tcW w:w="2268" w:type="dxa"/>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2060"/>
            <w:vAlign w:val="center"/>
            <w:hideMark/>
          </w:tcPr>
          <w:p w14:paraId="3E18AAED" w14:textId="77777777" w:rsidR="00081240" w:rsidRPr="00CD3E72" w:rsidRDefault="00081240" w:rsidP="00A303CA">
            <w:pPr>
              <w:rPr>
                <w:rFonts w:eastAsia="Times New Roman" w:cs="Times New Roman"/>
                <w:b/>
                <w:bCs/>
                <w:color w:val="FFFFFF" w:themeColor="background1"/>
                <w:sz w:val="20"/>
                <w:szCs w:val="20"/>
                <w:lang w:eastAsia="lv-LV"/>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bottom"/>
            <w:hideMark/>
          </w:tcPr>
          <w:p w14:paraId="5362197E" w14:textId="77777777" w:rsidR="00081240" w:rsidRPr="00CD3E72" w:rsidRDefault="00081240" w:rsidP="00081240">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01.01.</w:t>
            </w:r>
            <w:r>
              <w:rPr>
                <w:rFonts w:eastAsia="Times New Roman" w:cs="Times New Roman"/>
                <w:b/>
                <w:bCs/>
                <w:color w:val="FFFFFF" w:themeColor="background1"/>
                <w:sz w:val="20"/>
                <w:szCs w:val="20"/>
                <w:lang w:eastAsia="lv-LV"/>
              </w:rPr>
              <w:t>20</w:t>
            </w:r>
            <w:r w:rsidRPr="00CD3E72">
              <w:rPr>
                <w:rFonts w:eastAsia="Times New Roman" w:cs="Times New Roman"/>
                <w:b/>
                <w:bCs/>
                <w:color w:val="FFFFFF" w:themeColor="background1"/>
                <w:sz w:val="20"/>
                <w:szCs w:val="20"/>
                <w:lang w:eastAsia="lv-LV"/>
              </w:rPr>
              <w:t>.</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bottom"/>
            <w:hideMark/>
          </w:tcPr>
          <w:p w14:paraId="7578D6FA" w14:textId="77777777" w:rsidR="00081240" w:rsidRPr="00CD3E72" w:rsidRDefault="00081240" w:rsidP="00081240">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01.01.2</w:t>
            </w:r>
            <w:r>
              <w:rPr>
                <w:rFonts w:eastAsia="Times New Roman" w:cs="Times New Roman"/>
                <w:b/>
                <w:bCs/>
                <w:color w:val="FFFFFF" w:themeColor="background1"/>
                <w:sz w:val="20"/>
                <w:szCs w:val="20"/>
                <w:lang w:eastAsia="lv-LV"/>
              </w:rPr>
              <w:t>1</w:t>
            </w:r>
            <w:r w:rsidRPr="00CD3E72">
              <w:rPr>
                <w:rFonts w:eastAsia="Times New Roman" w:cs="Times New Roman"/>
                <w:b/>
                <w:bCs/>
                <w:color w:val="FFFFFF" w:themeColor="background1"/>
                <w:sz w:val="20"/>
                <w:szCs w:val="20"/>
                <w:lang w:eastAsia="lv-LV"/>
              </w:rPr>
              <w:t>.</w:t>
            </w:r>
          </w:p>
        </w:tc>
        <w:tc>
          <w:tcPr>
            <w:tcW w:w="9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bottom"/>
            <w:hideMark/>
          </w:tcPr>
          <w:p w14:paraId="37DC3DB7" w14:textId="77777777" w:rsidR="00081240" w:rsidRPr="00CD3E72" w:rsidRDefault="00081240" w:rsidP="00081240">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01.01.2</w:t>
            </w:r>
            <w:r>
              <w:rPr>
                <w:rFonts w:eastAsia="Times New Roman" w:cs="Times New Roman"/>
                <w:b/>
                <w:bCs/>
                <w:color w:val="FFFFFF" w:themeColor="background1"/>
                <w:sz w:val="20"/>
                <w:szCs w:val="20"/>
                <w:lang w:eastAsia="lv-LV"/>
              </w:rPr>
              <w:t>2</w:t>
            </w:r>
            <w:r w:rsidRPr="00CD3E72">
              <w:rPr>
                <w:rFonts w:eastAsia="Times New Roman" w:cs="Times New Roman"/>
                <w:b/>
                <w:bCs/>
                <w:color w:val="FFFFFF" w:themeColor="background1"/>
                <w:sz w:val="20"/>
                <w:szCs w:val="20"/>
                <w:lang w:eastAsia="lv-LV"/>
              </w:rPr>
              <w:t>.</w:t>
            </w:r>
          </w:p>
        </w:tc>
        <w:tc>
          <w:tcPr>
            <w:tcW w:w="116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bottom"/>
            <w:hideMark/>
          </w:tcPr>
          <w:p w14:paraId="173869ED" w14:textId="77777777" w:rsidR="00081240" w:rsidRPr="00CD3E72" w:rsidRDefault="00081240" w:rsidP="00081240">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01.01.2</w:t>
            </w:r>
            <w:r>
              <w:rPr>
                <w:rFonts w:eastAsia="Times New Roman" w:cs="Times New Roman"/>
                <w:b/>
                <w:bCs/>
                <w:color w:val="FFFFFF" w:themeColor="background1"/>
                <w:sz w:val="20"/>
                <w:szCs w:val="20"/>
                <w:lang w:eastAsia="lv-LV"/>
              </w:rPr>
              <w:t>3</w:t>
            </w:r>
            <w:r w:rsidRPr="00CD3E72">
              <w:rPr>
                <w:rFonts w:eastAsia="Times New Roman" w:cs="Times New Roman"/>
                <w:b/>
                <w:bCs/>
                <w:color w:val="FFFFFF" w:themeColor="background1"/>
                <w:sz w:val="20"/>
                <w:szCs w:val="20"/>
                <w:lang w:eastAsia="lv-LV"/>
              </w:rPr>
              <w:t>.</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bottom"/>
            <w:hideMark/>
          </w:tcPr>
          <w:p w14:paraId="6A4477C5" w14:textId="77777777" w:rsidR="00081240" w:rsidRPr="00CD3E72" w:rsidRDefault="00081240" w:rsidP="00081240">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01.03.19.</w:t>
            </w:r>
          </w:p>
        </w:tc>
        <w:tc>
          <w:tcPr>
            <w:tcW w:w="1134"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2060"/>
            <w:noWrap/>
            <w:vAlign w:val="bottom"/>
            <w:hideMark/>
          </w:tcPr>
          <w:p w14:paraId="5FB3B621" w14:textId="77777777" w:rsidR="00081240" w:rsidRPr="00CD3E72" w:rsidRDefault="00081240" w:rsidP="00081240">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01.01.20.</w:t>
            </w:r>
          </w:p>
        </w:tc>
      </w:tr>
      <w:tr w:rsidR="00081240" w:rsidRPr="00CD3E72" w14:paraId="7F47B898" w14:textId="77777777" w:rsidTr="006B6C49">
        <w:trPr>
          <w:trHeight w:val="182"/>
        </w:trPr>
        <w:tc>
          <w:tcPr>
            <w:tcW w:w="2268" w:type="dxa"/>
            <w:tcBorders>
              <w:top w:val="single" w:sz="4" w:space="0" w:color="auto"/>
              <w:left w:val="single" w:sz="4" w:space="0" w:color="auto"/>
              <w:bottom w:val="single" w:sz="4" w:space="0" w:color="808080" w:themeColor="background1" w:themeShade="80"/>
              <w:right w:val="single" w:sz="4" w:space="0" w:color="auto"/>
            </w:tcBorders>
            <w:shd w:val="clear" w:color="auto" w:fill="auto"/>
            <w:noWrap/>
            <w:vAlign w:val="center"/>
            <w:hideMark/>
          </w:tcPr>
          <w:p w14:paraId="30349C14" w14:textId="77777777" w:rsidR="00081240" w:rsidRPr="00CD3E72" w:rsidRDefault="00081240" w:rsidP="00A303CA">
            <w:pPr>
              <w:rPr>
                <w:rFonts w:eastAsia="Times New Roman" w:cs="Times New Roman"/>
                <w:b/>
                <w:bCs/>
                <w:color w:val="000000"/>
                <w:sz w:val="20"/>
                <w:szCs w:val="20"/>
                <w:lang w:eastAsia="lv-LV"/>
              </w:rPr>
            </w:pPr>
            <w:r w:rsidRPr="00CD3E72">
              <w:rPr>
                <w:rFonts w:eastAsia="Times New Roman" w:cs="Times New Roman"/>
                <w:b/>
                <w:bCs/>
                <w:color w:val="000000"/>
                <w:sz w:val="20"/>
                <w:szCs w:val="20"/>
                <w:lang w:eastAsia="lv-LV"/>
              </w:rPr>
              <w:t>par 1 ml šķidruma</w:t>
            </w:r>
          </w:p>
        </w:tc>
        <w:tc>
          <w:tcPr>
            <w:tcW w:w="1134" w:type="dxa"/>
            <w:tcBorders>
              <w:top w:val="single" w:sz="4" w:space="0" w:color="auto"/>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6D546AA7" w14:textId="77777777" w:rsidR="00081240" w:rsidRPr="00CD3E72" w:rsidRDefault="00081240" w:rsidP="00A303CA">
            <w:pPr>
              <w:jc w:val="center"/>
              <w:rPr>
                <w:rFonts w:eastAsia="Times New Roman" w:cs="Times New Roman"/>
                <w:b/>
                <w:bCs/>
                <w:sz w:val="20"/>
                <w:szCs w:val="20"/>
                <w:lang w:eastAsia="lv-LV"/>
              </w:rPr>
            </w:pPr>
            <w:r w:rsidRPr="00CD3E72">
              <w:rPr>
                <w:rFonts w:eastAsia="Times New Roman" w:cs="Times New Roman"/>
                <w:b/>
                <w:bCs/>
                <w:sz w:val="20"/>
                <w:szCs w:val="20"/>
                <w:lang w:eastAsia="lv-LV"/>
              </w:rPr>
              <w:t>0,01</w:t>
            </w:r>
          </w:p>
        </w:tc>
        <w:tc>
          <w:tcPr>
            <w:tcW w:w="992" w:type="dxa"/>
            <w:tcBorders>
              <w:top w:val="single" w:sz="4" w:space="0" w:color="auto"/>
              <w:left w:val="nil"/>
              <w:right w:val="single" w:sz="4" w:space="0" w:color="auto"/>
            </w:tcBorders>
            <w:shd w:val="clear" w:color="auto" w:fill="auto"/>
            <w:noWrap/>
            <w:vAlign w:val="center"/>
          </w:tcPr>
          <w:p w14:paraId="5A8C7C22" w14:textId="77777777" w:rsidR="00081240" w:rsidRPr="00CD3E72" w:rsidRDefault="00081240" w:rsidP="00A303CA">
            <w:pPr>
              <w:jc w:val="center"/>
              <w:rPr>
                <w:rFonts w:eastAsia="Times New Roman" w:cs="Times New Roman"/>
                <w:b/>
                <w:bCs/>
                <w:color w:val="FF0000"/>
                <w:sz w:val="20"/>
                <w:szCs w:val="20"/>
                <w:lang w:eastAsia="lv-LV"/>
              </w:rPr>
            </w:pPr>
            <w:r>
              <w:rPr>
                <w:rFonts w:eastAsia="Times New Roman" w:cs="Times New Roman"/>
                <w:b/>
                <w:bCs/>
                <w:color w:val="FF0000"/>
                <w:sz w:val="20"/>
                <w:szCs w:val="20"/>
                <w:lang w:eastAsia="lv-LV"/>
              </w:rPr>
              <w:t xml:space="preserve">0,12 </w:t>
            </w:r>
          </w:p>
        </w:tc>
        <w:tc>
          <w:tcPr>
            <w:tcW w:w="966" w:type="dxa"/>
            <w:tcBorders>
              <w:top w:val="single" w:sz="4" w:space="0" w:color="auto"/>
              <w:left w:val="nil"/>
              <w:right w:val="single" w:sz="4" w:space="0" w:color="auto"/>
            </w:tcBorders>
            <w:shd w:val="clear" w:color="auto" w:fill="auto"/>
            <w:noWrap/>
            <w:vAlign w:val="center"/>
            <w:hideMark/>
          </w:tcPr>
          <w:p w14:paraId="5A82FABE" w14:textId="77777777" w:rsidR="00081240" w:rsidRPr="00CD3E72" w:rsidRDefault="00081240" w:rsidP="00A303CA">
            <w:pPr>
              <w:jc w:val="center"/>
              <w:rPr>
                <w:rFonts w:eastAsia="Times New Roman" w:cs="Times New Roman"/>
                <w:b/>
                <w:bCs/>
                <w:color w:val="FF0000"/>
                <w:sz w:val="20"/>
                <w:szCs w:val="20"/>
                <w:lang w:eastAsia="lv-LV"/>
              </w:rPr>
            </w:pPr>
            <w:r w:rsidRPr="00CD3E72">
              <w:rPr>
                <w:rFonts w:eastAsia="Times New Roman" w:cs="Times New Roman"/>
                <w:b/>
                <w:bCs/>
                <w:color w:val="FF0000"/>
                <w:sz w:val="20"/>
                <w:szCs w:val="20"/>
                <w:lang w:eastAsia="lv-LV"/>
              </w:rPr>
              <w:t>0,1</w:t>
            </w:r>
            <w:r>
              <w:rPr>
                <w:rFonts w:eastAsia="Times New Roman" w:cs="Times New Roman"/>
                <w:b/>
                <w:bCs/>
                <w:color w:val="FF0000"/>
                <w:sz w:val="20"/>
                <w:szCs w:val="20"/>
                <w:lang w:eastAsia="lv-LV"/>
              </w:rPr>
              <w:t>6</w:t>
            </w:r>
          </w:p>
        </w:tc>
        <w:tc>
          <w:tcPr>
            <w:tcW w:w="1161" w:type="dxa"/>
            <w:tcBorders>
              <w:top w:val="single" w:sz="4" w:space="0" w:color="auto"/>
              <w:left w:val="nil"/>
              <w:right w:val="single" w:sz="4" w:space="0" w:color="auto"/>
            </w:tcBorders>
            <w:shd w:val="clear" w:color="auto" w:fill="auto"/>
            <w:noWrap/>
            <w:vAlign w:val="center"/>
            <w:hideMark/>
          </w:tcPr>
          <w:p w14:paraId="6DDA356B" w14:textId="77777777" w:rsidR="00081240" w:rsidRPr="00CD3E72" w:rsidRDefault="00081240" w:rsidP="00A303CA">
            <w:pPr>
              <w:jc w:val="center"/>
              <w:rPr>
                <w:rFonts w:eastAsia="Times New Roman" w:cs="Times New Roman"/>
                <w:b/>
                <w:bCs/>
                <w:color w:val="FF0000"/>
                <w:sz w:val="20"/>
                <w:szCs w:val="20"/>
                <w:lang w:eastAsia="lv-LV"/>
              </w:rPr>
            </w:pPr>
            <w:r w:rsidRPr="00CD3E72">
              <w:rPr>
                <w:rFonts w:eastAsia="Times New Roman" w:cs="Times New Roman"/>
                <w:b/>
                <w:bCs/>
                <w:color w:val="FF0000"/>
                <w:sz w:val="20"/>
                <w:szCs w:val="20"/>
                <w:lang w:eastAsia="lv-LV"/>
              </w:rPr>
              <w:t>0,20</w:t>
            </w:r>
          </w:p>
        </w:tc>
        <w:tc>
          <w:tcPr>
            <w:tcW w:w="992" w:type="dxa"/>
            <w:tcBorders>
              <w:top w:val="single" w:sz="4" w:space="0" w:color="auto"/>
              <w:left w:val="nil"/>
              <w:right w:val="single" w:sz="4" w:space="0" w:color="auto"/>
            </w:tcBorders>
            <w:shd w:val="clear" w:color="auto" w:fill="D9D9D9" w:themeFill="background1" w:themeFillShade="D9"/>
            <w:noWrap/>
            <w:vAlign w:val="center"/>
            <w:hideMark/>
          </w:tcPr>
          <w:p w14:paraId="67404760" w14:textId="77777777" w:rsidR="00081240" w:rsidRPr="00CD3E72" w:rsidRDefault="00081240" w:rsidP="00A303CA">
            <w:pPr>
              <w:jc w:val="center"/>
              <w:rPr>
                <w:rFonts w:eastAsia="Times New Roman" w:cs="Times New Roman"/>
                <w:b/>
                <w:bCs/>
                <w:color w:val="00B050"/>
                <w:sz w:val="20"/>
                <w:szCs w:val="20"/>
                <w:lang w:eastAsia="lv-LV"/>
              </w:rPr>
            </w:pPr>
            <w:r w:rsidRPr="00CD3E72">
              <w:rPr>
                <w:rFonts w:eastAsia="Times New Roman" w:cs="Times New Roman"/>
                <w:b/>
                <w:bCs/>
                <w:color w:val="00B050"/>
                <w:sz w:val="20"/>
                <w:szCs w:val="20"/>
                <w:lang w:eastAsia="lv-LV"/>
              </w:rPr>
              <w:t>0,12</w:t>
            </w:r>
          </w:p>
        </w:tc>
        <w:tc>
          <w:tcPr>
            <w:tcW w:w="1134" w:type="dxa"/>
            <w:tcBorders>
              <w:top w:val="single" w:sz="4" w:space="0" w:color="auto"/>
              <w:left w:val="nil"/>
              <w:right w:val="single" w:sz="4" w:space="0" w:color="auto"/>
            </w:tcBorders>
            <w:shd w:val="clear" w:color="auto" w:fill="D9D9D9" w:themeFill="background1" w:themeFillShade="D9"/>
            <w:noWrap/>
            <w:vAlign w:val="center"/>
            <w:hideMark/>
          </w:tcPr>
          <w:p w14:paraId="27FF114E" w14:textId="77777777" w:rsidR="00081240" w:rsidRPr="00CD3E72" w:rsidRDefault="00081240" w:rsidP="00A303CA">
            <w:pPr>
              <w:jc w:val="center"/>
              <w:rPr>
                <w:rFonts w:eastAsia="Times New Roman" w:cs="Times New Roman"/>
                <w:b/>
                <w:bCs/>
                <w:color w:val="0070C0"/>
                <w:sz w:val="20"/>
                <w:szCs w:val="20"/>
                <w:lang w:eastAsia="lv-LV"/>
              </w:rPr>
            </w:pPr>
            <w:r w:rsidRPr="00CD3E72">
              <w:rPr>
                <w:rFonts w:eastAsia="Times New Roman" w:cs="Times New Roman"/>
                <w:b/>
                <w:bCs/>
                <w:color w:val="0070C0"/>
                <w:sz w:val="20"/>
                <w:szCs w:val="20"/>
                <w:lang w:eastAsia="lv-LV"/>
              </w:rPr>
              <w:t>0,20</w:t>
            </w:r>
          </w:p>
        </w:tc>
      </w:tr>
      <w:tr w:rsidR="00081240" w:rsidRPr="00CD3E72" w14:paraId="3758D877" w14:textId="77777777" w:rsidTr="006B6C49">
        <w:trPr>
          <w:trHeight w:val="99"/>
        </w:trPr>
        <w:tc>
          <w:tcPr>
            <w:tcW w:w="2268"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7D81A88F" w14:textId="77777777" w:rsidR="00081240" w:rsidRPr="00CD3E72" w:rsidRDefault="00081240" w:rsidP="00A303CA">
            <w:pPr>
              <w:rPr>
                <w:rFonts w:eastAsia="Times New Roman" w:cs="Times New Roman"/>
                <w:b/>
                <w:bCs/>
                <w:color w:val="000000"/>
                <w:sz w:val="20"/>
                <w:szCs w:val="20"/>
                <w:lang w:eastAsia="lv-LV"/>
              </w:rPr>
            </w:pPr>
            <w:r w:rsidRPr="00CD3E72">
              <w:rPr>
                <w:rFonts w:eastAsia="Times New Roman" w:cs="Times New Roman"/>
                <w:b/>
                <w:bCs/>
                <w:color w:val="000000"/>
                <w:sz w:val="20"/>
                <w:szCs w:val="20"/>
                <w:lang w:eastAsia="lv-LV"/>
              </w:rPr>
              <w:t>par 1 ml nikotīna</w:t>
            </w:r>
          </w:p>
        </w:tc>
        <w:tc>
          <w:tcPr>
            <w:tcW w:w="113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722C7433" w14:textId="77777777" w:rsidR="00081240" w:rsidRPr="00CD3E72" w:rsidRDefault="00081240" w:rsidP="00A303CA">
            <w:pPr>
              <w:jc w:val="center"/>
              <w:rPr>
                <w:rFonts w:eastAsia="Times New Roman" w:cs="Times New Roman"/>
                <w:b/>
                <w:bCs/>
                <w:sz w:val="20"/>
                <w:szCs w:val="20"/>
                <w:lang w:eastAsia="lv-LV"/>
              </w:rPr>
            </w:pPr>
            <w:r w:rsidRPr="00CD3E72">
              <w:rPr>
                <w:rFonts w:eastAsia="Times New Roman" w:cs="Times New Roman"/>
                <w:b/>
                <w:bCs/>
                <w:sz w:val="20"/>
                <w:szCs w:val="20"/>
                <w:lang w:eastAsia="lv-LV"/>
              </w:rPr>
              <w:t>0,005</w:t>
            </w:r>
          </w:p>
        </w:tc>
        <w:tc>
          <w:tcPr>
            <w:tcW w:w="992" w:type="dxa"/>
            <w:tcBorders>
              <w:top w:val="single" w:sz="4" w:space="0" w:color="808080" w:themeColor="background1" w:themeShade="80"/>
              <w:left w:val="nil"/>
              <w:right w:val="single" w:sz="4" w:space="0" w:color="auto"/>
            </w:tcBorders>
            <w:shd w:val="clear" w:color="auto" w:fill="auto"/>
            <w:noWrap/>
            <w:vAlign w:val="center"/>
          </w:tcPr>
          <w:p w14:paraId="2E72CB47" w14:textId="77777777" w:rsidR="00081240" w:rsidRPr="00CD3E72" w:rsidRDefault="00081240" w:rsidP="00A303CA">
            <w:pPr>
              <w:jc w:val="center"/>
              <w:rPr>
                <w:rFonts w:eastAsia="Times New Roman" w:cs="Times New Roman"/>
                <w:b/>
                <w:bCs/>
                <w:color w:val="FF0000"/>
                <w:sz w:val="20"/>
                <w:szCs w:val="20"/>
                <w:lang w:eastAsia="lv-LV"/>
              </w:rPr>
            </w:pPr>
            <w:r>
              <w:rPr>
                <w:rFonts w:eastAsia="Times New Roman" w:cs="Times New Roman"/>
                <w:b/>
                <w:bCs/>
                <w:color w:val="FF0000"/>
                <w:sz w:val="20"/>
                <w:szCs w:val="20"/>
                <w:lang w:eastAsia="lv-LV"/>
              </w:rPr>
              <w:t>-</w:t>
            </w:r>
          </w:p>
        </w:tc>
        <w:tc>
          <w:tcPr>
            <w:tcW w:w="966" w:type="dxa"/>
            <w:tcBorders>
              <w:top w:val="single" w:sz="4" w:space="0" w:color="808080" w:themeColor="background1" w:themeShade="80"/>
              <w:left w:val="nil"/>
              <w:right w:val="single" w:sz="4" w:space="0" w:color="auto"/>
            </w:tcBorders>
            <w:shd w:val="clear" w:color="auto" w:fill="auto"/>
            <w:noWrap/>
            <w:vAlign w:val="center"/>
            <w:hideMark/>
          </w:tcPr>
          <w:p w14:paraId="04ED3B4A" w14:textId="77777777" w:rsidR="00081240" w:rsidRPr="00CD3E72" w:rsidRDefault="00081240" w:rsidP="00A303CA">
            <w:pPr>
              <w:jc w:val="center"/>
              <w:rPr>
                <w:rFonts w:eastAsia="Times New Roman" w:cs="Times New Roman"/>
                <w:b/>
                <w:bCs/>
                <w:color w:val="FF0000"/>
                <w:sz w:val="20"/>
                <w:szCs w:val="20"/>
                <w:lang w:eastAsia="lv-LV"/>
              </w:rPr>
            </w:pPr>
            <w:r w:rsidRPr="00CD3E72">
              <w:rPr>
                <w:rFonts w:eastAsia="Times New Roman" w:cs="Times New Roman"/>
                <w:b/>
                <w:bCs/>
                <w:color w:val="FF0000"/>
                <w:sz w:val="20"/>
                <w:szCs w:val="20"/>
                <w:lang w:eastAsia="lv-LV"/>
              </w:rPr>
              <w:t>-</w:t>
            </w:r>
          </w:p>
        </w:tc>
        <w:tc>
          <w:tcPr>
            <w:tcW w:w="1161" w:type="dxa"/>
            <w:tcBorders>
              <w:top w:val="single" w:sz="4" w:space="0" w:color="808080" w:themeColor="background1" w:themeShade="80"/>
              <w:left w:val="nil"/>
              <w:right w:val="single" w:sz="4" w:space="0" w:color="auto"/>
            </w:tcBorders>
            <w:shd w:val="clear" w:color="auto" w:fill="auto"/>
            <w:noWrap/>
            <w:vAlign w:val="center"/>
            <w:hideMark/>
          </w:tcPr>
          <w:p w14:paraId="1C0826DB" w14:textId="77777777" w:rsidR="00081240" w:rsidRPr="00CD3E72" w:rsidRDefault="00081240" w:rsidP="00A303CA">
            <w:pPr>
              <w:jc w:val="center"/>
              <w:rPr>
                <w:rFonts w:eastAsia="Times New Roman" w:cs="Times New Roman"/>
                <w:color w:val="FF0000"/>
                <w:sz w:val="20"/>
                <w:szCs w:val="20"/>
                <w:lang w:eastAsia="lv-LV"/>
              </w:rPr>
            </w:pPr>
            <w:r w:rsidRPr="00CD3E72">
              <w:rPr>
                <w:rFonts w:eastAsia="Times New Roman" w:cs="Times New Roman"/>
                <w:color w:val="FF0000"/>
                <w:sz w:val="20"/>
                <w:szCs w:val="20"/>
                <w:lang w:eastAsia="lv-LV"/>
              </w:rPr>
              <w:t>-</w:t>
            </w:r>
          </w:p>
        </w:tc>
        <w:tc>
          <w:tcPr>
            <w:tcW w:w="992" w:type="dxa"/>
            <w:tcBorders>
              <w:top w:val="single" w:sz="4" w:space="0" w:color="808080" w:themeColor="background1" w:themeShade="80"/>
              <w:left w:val="nil"/>
              <w:right w:val="single" w:sz="4" w:space="0" w:color="auto"/>
            </w:tcBorders>
            <w:shd w:val="clear" w:color="auto" w:fill="D9D9D9" w:themeFill="background1" w:themeFillShade="D9"/>
            <w:noWrap/>
            <w:vAlign w:val="center"/>
            <w:hideMark/>
          </w:tcPr>
          <w:p w14:paraId="7FC75009" w14:textId="77777777" w:rsidR="00081240" w:rsidRPr="00CD3E72" w:rsidRDefault="00081240" w:rsidP="00A303CA">
            <w:pPr>
              <w:jc w:val="center"/>
              <w:rPr>
                <w:rFonts w:eastAsia="Times New Roman" w:cs="Times New Roman"/>
                <w:b/>
                <w:bCs/>
                <w:color w:val="00B050"/>
                <w:sz w:val="20"/>
                <w:szCs w:val="20"/>
                <w:lang w:eastAsia="lv-LV"/>
              </w:rPr>
            </w:pPr>
            <w:r w:rsidRPr="00CD3E72">
              <w:rPr>
                <w:rFonts w:eastAsia="Times New Roman" w:cs="Times New Roman"/>
                <w:b/>
                <w:bCs/>
                <w:color w:val="00B050"/>
                <w:sz w:val="20"/>
                <w:szCs w:val="20"/>
                <w:lang w:eastAsia="lv-LV"/>
              </w:rPr>
              <w:t>-</w:t>
            </w:r>
          </w:p>
        </w:tc>
        <w:tc>
          <w:tcPr>
            <w:tcW w:w="1134" w:type="dxa"/>
            <w:tcBorders>
              <w:top w:val="single" w:sz="4" w:space="0" w:color="808080" w:themeColor="background1" w:themeShade="80"/>
              <w:left w:val="nil"/>
              <w:right w:val="single" w:sz="4" w:space="0" w:color="auto"/>
            </w:tcBorders>
            <w:shd w:val="clear" w:color="auto" w:fill="D9D9D9" w:themeFill="background1" w:themeFillShade="D9"/>
            <w:noWrap/>
            <w:vAlign w:val="center"/>
            <w:hideMark/>
          </w:tcPr>
          <w:p w14:paraId="1C56571E" w14:textId="77777777" w:rsidR="00081240" w:rsidRPr="00CD3E72" w:rsidRDefault="00081240" w:rsidP="00A303CA">
            <w:pPr>
              <w:jc w:val="center"/>
              <w:rPr>
                <w:rFonts w:eastAsia="Times New Roman" w:cs="Times New Roman"/>
                <w:color w:val="0070C0"/>
                <w:sz w:val="20"/>
                <w:szCs w:val="20"/>
                <w:lang w:eastAsia="lv-LV"/>
              </w:rPr>
            </w:pPr>
            <w:r w:rsidRPr="00CD3E72">
              <w:rPr>
                <w:rFonts w:eastAsia="Times New Roman" w:cs="Times New Roman"/>
                <w:color w:val="0070C0"/>
                <w:sz w:val="20"/>
                <w:szCs w:val="20"/>
                <w:lang w:eastAsia="lv-LV"/>
              </w:rPr>
              <w:t>-</w:t>
            </w:r>
          </w:p>
        </w:tc>
      </w:tr>
      <w:tr w:rsidR="00081240" w:rsidRPr="00CB6538" w14:paraId="5E175F07" w14:textId="77777777" w:rsidTr="006B6C49">
        <w:trPr>
          <w:trHeight w:val="175"/>
        </w:trPr>
        <w:tc>
          <w:tcPr>
            <w:tcW w:w="2268"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66751A68" w14:textId="77777777" w:rsidR="00081240" w:rsidRPr="00CB6538" w:rsidRDefault="00081240" w:rsidP="00A303CA">
            <w:pPr>
              <w:rPr>
                <w:rFonts w:eastAsia="Times New Roman" w:cs="Times New Roman"/>
                <w:color w:val="000000"/>
                <w:sz w:val="18"/>
                <w:szCs w:val="20"/>
                <w:lang w:eastAsia="lv-LV"/>
              </w:rPr>
            </w:pPr>
            <w:r w:rsidRPr="00CB6538">
              <w:rPr>
                <w:rFonts w:eastAsia="Times New Roman" w:cs="Times New Roman"/>
                <w:color w:val="000000"/>
                <w:sz w:val="18"/>
                <w:szCs w:val="20"/>
                <w:lang w:eastAsia="lv-LV"/>
              </w:rPr>
              <w:t xml:space="preserve">10 ml/šķidruma; </w:t>
            </w:r>
            <w:r w:rsidRPr="00081240">
              <w:rPr>
                <w:rFonts w:eastAsia="Times New Roman" w:cs="Times New Roman"/>
                <w:b/>
                <w:color w:val="000000"/>
                <w:sz w:val="18"/>
                <w:szCs w:val="20"/>
                <w:lang w:eastAsia="lv-LV"/>
              </w:rPr>
              <w:t>0</w:t>
            </w:r>
            <w:r w:rsidRPr="00CB6538">
              <w:rPr>
                <w:rFonts w:eastAsia="Times New Roman" w:cs="Times New Roman"/>
                <w:color w:val="000000"/>
                <w:sz w:val="18"/>
                <w:szCs w:val="20"/>
                <w:lang w:eastAsia="lv-LV"/>
              </w:rPr>
              <w:t xml:space="preserve"> mg/ml nikotīna</w:t>
            </w:r>
          </w:p>
        </w:tc>
        <w:tc>
          <w:tcPr>
            <w:tcW w:w="113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noWrap/>
            <w:vAlign w:val="center"/>
            <w:hideMark/>
          </w:tcPr>
          <w:p w14:paraId="3582E511" w14:textId="77777777" w:rsidR="00081240" w:rsidRPr="00CD3E72" w:rsidRDefault="00081240" w:rsidP="00A303CA">
            <w:pPr>
              <w:jc w:val="center"/>
              <w:rPr>
                <w:rFonts w:eastAsia="Times New Roman" w:cs="Times New Roman"/>
                <w:color w:val="000000"/>
                <w:sz w:val="20"/>
                <w:szCs w:val="20"/>
                <w:lang w:eastAsia="lv-LV"/>
              </w:rPr>
            </w:pPr>
            <w:r w:rsidRPr="00CD3E72">
              <w:rPr>
                <w:rFonts w:eastAsia="Times New Roman" w:cs="Times New Roman"/>
                <w:color w:val="000000"/>
                <w:sz w:val="20"/>
                <w:szCs w:val="20"/>
                <w:lang w:eastAsia="lv-LV"/>
              </w:rPr>
              <w:t>0,10</w:t>
            </w:r>
          </w:p>
        </w:tc>
        <w:tc>
          <w:tcPr>
            <w:tcW w:w="992" w:type="dxa"/>
            <w:vMerge w:val="restart"/>
            <w:tcBorders>
              <w:top w:val="single" w:sz="4" w:space="0" w:color="808080" w:themeColor="background1" w:themeShade="80"/>
              <w:left w:val="nil"/>
              <w:right w:val="single" w:sz="4" w:space="0" w:color="auto"/>
            </w:tcBorders>
            <w:shd w:val="clear" w:color="auto" w:fill="auto"/>
            <w:noWrap/>
            <w:vAlign w:val="center"/>
            <w:hideMark/>
          </w:tcPr>
          <w:p w14:paraId="799A9C7B" w14:textId="77777777" w:rsidR="00081240" w:rsidRPr="00053E37" w:rsidRDefault="00081240" w:rsidP="00A303CA">
            <w:pPr>
              <w:jc w:val="center"/>
              <w:rPr>
                <w:rFonts w:eastAsia="Times New Roman" w:cs="Times New Roman"/>
                <w:b/>
                <w:color w:val="FF0000"/>
                <w:sz w:val="20"/>
                <w:szCs w:val="20"/>
                <w:lang w:eastAsia="lv-LV"/>
              </w:rPr>
            </w:pPr>
          </w:p>
          <w:p w14:paraId="3B721CAF" w14:textId="77777777" w:rsidR="00081240" w:rsidRPr="00053E37" w:rsidRDefault="00081240" w:rsidP="00A303CA">
            <w:pPr>
              <w:jc w:val="center"/>
              <w:rPr>
                <w:rFonts w:eastAsia="Times New Roman" w:cs="Times New Roman"/>
                <w:b/>
                <w:color w:val="FF0000"/>
                <w:sz w:val="20"/>
                <w:szCs w:val="20"/>
                <w:lang w:eastAsia="lv-LV"/>
              </w:rPr>
            </w:pPr>
            <w:r w:rsidRPr="00053E37">
              <w:rPr>
                <w:rFonts w:eastAsia="Times New Roman" w:cs="Times New Roman"/>
                <w:b/>
                <w:color w:val="FF0000"/>
                <w:sz w:val="20"/>
                <w:szCs w:val="20"/>
                <w:lang w:eastAsia="lv-LV"/>
              </w:rPr>
              <w:t>1,20</w:t>
            </w:r>
          </w:p>
          <w:p w14:paraId="23C3451C" w14:textId="77777777" w:rsidR="00081240" w:rsidRPr="00053E37" w:rsidRDefault="00081240" w:rsidP="00A303CA">
            <w:pPr>
              <w:jc w:val="center"/>
              <w:rPr>
                <w:rFonts w:eastAsia="Times New Roman" w:cs="Times New Roman"/>
                <w:b/>
                <w:color w:val="FF0000"/>
                <w:sz w:val="20"/>
                <w:szCs w:val="20"/>
                <w:lang w:eastAsia="lv-LV"/>
              </w:rPr>
            </w:pPr>
          </w:p>
        </w:tc>
        <w:tc>
          <w:tcPr>
            <w:tcW w:w="966" w:type="dxa"/>
            <w:vMerge w:val="restart"/>
            <w:tcBorders>
              <w:top w:val="single" w:sz="4" w:space="0" w:color="808080" w:themeColor="background1" w:themeShade="80"/>
              <w:left w:val="nil"/>
              <w:right w:val="single" w:sz="4" w:space="0" w:color="auto"/>
            </w:tcBorders>
            <w:shd w:val="clear" w:color="auto" w:fill="auto"/>
            <w:noWrap/>
            <w:vAlign w:val="center"/>
            <w:hideMark/>
          </w:tcPr>
          <w:p w14:paraId="153F0D5B" w14:textId="77777777" w:rsidR="00081240" w:rsidRPr="00053E37" w:rsidRDefault="00081240" w:rsidP="00A303CA">
            <w:pPr>
              <w:jc w:val="center"/>
              <w:rPr>
                <w:rFonts w:eastAsia="Times New Roman" w:cs="Times New Roman"/>
                <w:b/>
                <w:color w:val="FF0000"/>
                <w:sz w:val="20"/>
                <w:szCs w:val="20"/>
                <w:lang w:eastAsia="lv-LV"/>
              </w:rPr>
            </w:pPr>
            <w:r w:rsidRPr="00053E37">
              <w:rPr>
                <w:rFonts w:eastAsia="Times New Roman" w:cs="Times New Roman"/>
                <w:b/>
                <w:color w:val="FF0000"/>
                <w:sz w:val="20"/>
                <w:szCs w:val="20"/>
                <w:lang w:eastAsia="lv-LV"/>
              </w:rPr>
              <w:t>1,60</w:t>
            </w:r>
          </w:p>
        </w:tc>
        <w:tc>
          <w:tcPr>
            <w:tcW w:w="1161" w:type="dxa"/>
            <w:vMerge w:val="restart"/>
            <w:tcBorders>
              <w:top w:val="single" w:sz="4" w:space="0" w:color="808080" w:themeColor="background1" w:themeShade="80"/>
              <w:left w:val="nil"/>
              <w:right w:val="single" w:sz="4" w:space="0" w:color="auto"/>
            </w:tcBorders>
            <w:shd w:val="clear" w:color="auto" w:fill="auto"/>
            <w:noWrap/>
            <w:vAlign w:val="center"/>
            <w:hideMark/>
          </w:tcPr>
          <w:p w14:paraId="2EF008CB" w14:textId="77777777" w:rsidR="00081240" w:rsidRPr="00053E37" w:rsidRDefault="00081240" w:rsidP="00A303CA">
            <w:pPr>
              <w:jc w:val="center"/>
              <w:rPr>
                <w:rFonts w:eastAsia="Times New Roman" w:cs="Times New Roman"/>
                <w:b/>
                <w:color w:val="FF0000"/>
                <w:sz w:val="20"/>
                <w:szCs w:val="20"/>
                <w:lang w:eastAsia="lv-LV"/>
              </w:rPr>
            </w:pPr>
            <w:r w:rsidRPr="00053E37">
              <w:rPr>
                <w:rFonts w:eastAsia="Times New Roman" w:cs="Times New Roman"/>
                <w:b/>
                <w:color w:val="FF0000"/>
                <w:sz w:val="20"/>
                <w:szCs w:val="20"/>
                <w:lang w:eastAsia="lv-LV"/>
              </w:rPr>
              <w:t>2,00</w:t>
            </w:r>
          </w:p>
        </w:tc>
        <w:tc>
          <w:tcPr>
            <w:tcW w:w="992" w:type="dxa"/>
            <w:vMerge w:val="restart"/>
            <w:tcBorders>
              <w:top w:val="single" w:sz="4" w:space="0" w:color="808080" w:themeColor="background1" w:themeShade="80"/>
              <w:left w:val="nil"/>
              <w:right w:val="single" w:sz="4" w:space="0" w:color="auto"/>
            </w:tcBorders>
            <w:shd w:val="clear" w:color="auto" w:fill="D9D9D9" w:themeFill="background1" w:themeFillShade="D9"/>
            <w:noWrap/>
            <w:vAlign w:val="center"/>
            <w:hideMark/>
          </w:tcPr>
          <w:p w14:paraId="498E1815" w14:textId="77777777" w:rsidR="00081240" w:rsidRPr="002B4F8E" w:rsidRDefault="00081240" w:rsidP="00A303CA">
            <w:pPr>
              <w:jc w:val="center"/>
              <w:rPr>
                <w:rFonts w:eastAsia="Times New Roman" w:cs="Times New Roman"/>
                <w:b/>
                <w:color w:val="00B050"/>
                <w:sz w:val="20"/>
                <w:szCs w:val="20"/>
                <w:lang w:eastAsia="lv-LV"/>
              </w:rPr>
            </w:pPr>
            <w:r w:rsidRPr="002B4F8E">
              <w:rPr>
                <w:rFonts w:eastAsia="Times New Roman" w:cs="Times New Roman"/>
                <w:b/>
                <w:color w:val="00B050"/>
                <w:sz w:val="20"/>
                <w:szCs w:val="20"/>
                <w:lang w:eastAsia="lv-LV"/>
              </w:rPr>
              <w:t>1,20</w:t>
            </w:r>
          </w:p>
        </w:tc>
        <w:tc>
          <w:tcPr>
            <w:tcW w:w="1134" w:type="dxa"/>
            <w:vMerge w:val="restart"/>
            <w:tcBorders>
              <w:top w:val="single" w:sz="4" w:space="0" w:color="808080" w:themeColor="background1" w:themeShade="80"/>
              <w:left w:val="nil"/>
              <w:right w:val="single" w:sz="4" w:space="0" w:color="auto"/>
            </w:tcBorders>
            <w:shd w:val="clear" w:color="auto" w:fill="D9D9D9" w:themeFill="background1" w:themeFillShade="D9"/>
            <w:noWrap/>
            <w:vAlign w:val="center"/>
            <w:hideMark/>
          </w:tcPr>
          <w:p w14:paraId="6B3EAA47" w14:textId="77777777" w:rsidR="00081240" w:rsidRPr="00CB6538" w:rsidRDefault="00081240" w:rsidP="00A303CA">
            <w:pPr>
              <w:jc w:val="center"/>
              <w:rPr>
                <w:rFonts w:eastAsia="Times New Roman" w:cs="Times New Roman"/>
                <w:b/>
                <w:color w:val="000000"/>
                <w:sz w:val="20"/>
                <w:szCs w:val="20"/>
                <w:lang w:eastAsia="lv-LV"/>
              </w:rPr>
            </w:pPr>
            <w:r w:rsidRPr="002B4F8E">
              <w:rPr>
                <w:rFonts w:eastAsia="Times New Roman" w:cs="Times New Roman"/>
                <w:b/>
                <w:color w:val="002060"/>
                <w:sz w:val="20"/>
                <w:szCs w:val="20"/>
                <w:lang w:eastAsia="lv-LV"/>
              </w:rPr>
              <w:t>2,00</w:t>
            </w:r>
          </w:p>
        </w:tc>
      </w:tr>
      <w:tr w:rsidR="00081240" w:rsidRPr="00CB6538" w14:paraId="261B7795" w14:textId="77777777" w:rsidTr="006B6C49">
        <w:trPr>
          <w:trHeight w:val="271"/>
        </w:trPr>
        <w:tc>
          <w:tcPr>
            <w:tcW w:w="2268"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41A5657C" w14:textId="77777777" w:rsidR="00081240" w:rsidRPr="00CB6538" w:rsidRDefault="00081240" w:rsidP="00A303CA">
            <w:pPr>
              <w:rPr>
                <w:rFonts w:eastAsia="Times New Roman" w:cs="Times New Roman"/>
                <w:color w:val="000000"/>
                <w:sz w:val="18"/>
                <w:szCs w:val="20"/>
                <w:lang w:eastAsia="lv-LV"/>
              </w:rPr>
            </w:pPr>
            <w:r w:rsidRPr="00CB6538">
              <w:rPr>
                <w:rFonts w:eastAsia="Times New Roman" w:cs="Times New Roman"/>
                <w:color w:val="000000"/>
                <w:sz w:val="18"/>
                <w:szCs w:val="20"/>
                <w:lang w:eastAsia="lv-LV"/>
              </w:rPr>
              <w:t xml:space="preserve">10 ml/šķidruma, </w:t>
            </w:r>
            <w:r w:rsidRPr="00081240">
              <w:rPr>
                <w:rFonts w:eastAsia="Times New Roman" w:cs="Times New Roman"/>
                <w:b/>
                <w:color w:val="000000"/>
                <w:sz w:val="18"/>
                <w:szCs w:val="20"/>
                <w:lang w:eastAsia="lv-LV"/>
              </w:rPr>
              <w:t>5</w:t>
            </w:r>
            <w:r w:rsidRPr="00CB6538">
              <w:rPr>
                <w:rFonts w:eastAsia="Times New Roman" w:cs="Times New Roman"/>
                <w:color w:val="000000"/>
                <w:sz w:val="18"/>
                <w:szCs w:val="20"/>
                <w:lang w:eastAsia="lv-LV"/>
              </w:rPr>
              <w:t xml:space="preserve"> mg/ml nikotīna</w:t>
            </w:r>
          </w:p>
        </w:tc>
        <w:tc>
          <w:tcPr>
            <w:tcW w:w="113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01332D01" w14:textId="77777777" w:rsidR="00081240" w:rsidRPr="00CD3E72" w:rsidRDefault="00081240" w:rsidP="00A303CA">
            <w:pPr>
              <w:jc w:val="center"/>
              <w:rPr>
                <w:rFonts w:eastAsia="Times New Roman" w:cs="Times New Roman"/>
                <w:color w:val="000000"/>
                <w:sz w:val="20"/>
                <w:szCs w:val="20"/>
                <w:lang w:eastAsia="lv-LV"/>
              </w:rPr>
            </w:pPr>
            <w:r w:rsidRPr="00CD3E72">
              <w:rPr>
                <w:rFonts w:eastAsia="Times New Roman" w:cs="Times New Roman"/>
                <w:color w:val="000000"/>
                <w:sz w:val="20"/>
                <w:szCs w:val="20"/>
                <w:lang w:eastAsia="lv-LV"/>
              </w:rPr>
              <w:t>0,35</w:t>
            </w:r>
          </w:p>
        </w:tc>
        <w:tc>
          <w:tcPr>
            <w:tcW w:w="992" w:type="dxa"/>
            <w:vMerge/>
            <w:tcBorders>
              <w:top w:val="single" w:sz="4" w:space="0" w:color="808080" w:themeColor="background1" w:themeShade="80"/>
              <w:left w:val="nil"/>
              <w:right w:val="single" w:sz="4" w:space="0" w:color="auto"/>
            </w:tcBorders>
            <w:shd w:val="clear" w:color="auto" w:fill="auto"/>
            <w:noWrap/>
            <w:vAlign w:val="center"/>
            <w:hideMark/>
          </w:tcPr>
          <w:p w14:paraId="23522282" w14:textId="77777777" w:rsidR="00081240" w:rsidRPr="00CB6538" w:rsidRDefault="00081240" w:rsidP="00A303CA">
            <w:pPr>
              <w:jc w:val="center"/>
              <w:rPr>
                <w:rFonts w:eastAsia="Times New Roman" w:cs="Times New Roman"/>
                <w:b/>
                <w:color w:val="000000"/>
                <w:sz w:val="20"/>
                <w:szCs w:val="20"/>
                <w:lang w:eastAsia="lv-LV"/>
              </w:rPr>
            </w:pPr>
          </w:p>
        </w:tc>
        <w:tc>
          <w:tcPr>
            <w:tcW w:w="966" w:type="dxa"/>
            <w:vMerge/>
            <w:tcBorders>
              <w:top w:val="single" w:sz="4" w:space="0" w:color="808080" w:themeColor="background1" w:themeShade="80"/>
              <w:left w:val="nil"/>
              <w:right w:val="single" w:sz="4" w:space="0" w:color="auto"/>
            </w:tcBorders>
            <w:shd w:val="clear" w:color="auto" w:fill="auto"/>
            <w:noWrap/>
            <w:vAlign w:val="center"/>
          </w:tcPr>
          <w:p w14:paraId="21028FF9" w14:textId="77777777" w:rsidR="00081240" w:rsidRPr="00CB6538" w:rsidRDefault="00081240" w:rsidP="00A303CA">
            <w:pPr>
              <w:jc w:val="center"/>
              <w:rPr>
                <w:rFonts w:eastAsia="Times New Roman" w:cs="Times New Roman"/>
                <w:b/>
                <w:color w:val="000000"/>
                <w:sz w:val="20"/>
                <w:szCs w:val="20"/>
                <w:lang w:eastAsia="lv-LV"/>
              </w:rPr>
            </w:pPr>
          </w:p>
        </w:tc>
        <w:tc>
          <w:tcPr>
            <w:tcW w:w="1161" w:type="dxa"/>
            <w:vMerge/>
            <w:tcBorders>
              <w:top w:val="single" w:sz="4" w:space="0" w:color="808080" w:themeColor="background1" w:themeShade="80"/>
              <w:left w:val="nil"/>
              <w:right w:val="single" w:sz="4" w:space="0" w:color="auto"/>
            </w:tcBorders>
            <w:shd w:val="clear" w:color="auto" w:fill="auto"/>
            <w:noWrap/>
            <w:vAlign w:val="center"/>
          </w:tcPr>
          <w:p w14:paraId="7A5A1204" w14:textId="77777777" w:rsidR="00081240" w:rsidRPr="00CB6538" w:rsidRDefault="00081240" w:rsidP="00A303CA">
            <w:pPr>
              <w:jc w:val="center"/>
              <w:rPr>
                <w:rFonts w:eastAsia="Times New Roman" w:cs="Times New Roman"/>
                <w:b/>
                <w:color w:val="000000"/>
                <w:sz w:val="20"/>
                <w:szCs w:val="20"/>
                <w:lang w:eastAsia="lv-LV"/>
              </w:rPr>
            </w:pPr>
          </w:p>
        </w:tc>
        <w:tc>
          <w:tcPr>
            <w:tcW w:w="992" w:type="dxa"/>
            <w:vMerge/>
            <w:tcBorders>
              <w:top w:val="single" w:sz="4" w:space="0" w:color="808080" w:themeColor="background1" w:themeShade="80"/>
              <w:left w:val="nil"/>
              <w:right w:val="single" w:sz="4" w:space="0" w:color="auto"/>
            </w:tcBorders>
            <w:shd w:val="clear" w:color="auto" w:fill="D9D9D9" w:themeFill="background1" w:themeFillShade="D9"/>
            <w:noWrap/>
            <w:vAlign w:val="center"/>
          </w:tcPr>
          <w:p w14:paraId="6C7221BE" w14:textId="77777777" w:rsidR="00081240" w:rsidRPr="00CB6538" w:rsidRDefault="00081240" w:rsidP="00A303CA">
            <w:pPr>
              <w:jc w:val="center"/>
              <w:rPr>
                <w:rFonts w:eastAsia="Times New Roman" w:cs="Times New Roman"/>
                <w:b/>
                <w:color w:val="000000"/>
                <w:sz w:val="20"/>
                <w:szCs w:val="20"/>
                <w:lang w:eastAsia="lv-LV"/>
              </w:rPr>
            </w:pPr>
          </w:p>
        </w:tc>
        <w:tc>
          <w:tcPr>
            <w:tcW w:w="1134" w:type="dxa"/>
            <w:vMerge/>
            <w:tcBorders>
              <w:top w:val="single" w:sz="4" w:space="0" w:color="808080" w:themeColor="background1" w:themeShade="80"/>
              <w:left w:val="nil"/>
              <w:right w:val="single" w:sz="4" w:space="0" w:color="auto"/>
            </w:tcBorders>
            <w:shd w:val="clear" w:color="auto" w:fill="D9D9D9" w:themeFill="background1" w:themeFillShade="D9"/>
            <w:noWrap/>
            <w:vAlign w:val="center"/>
          </w:tcPr>
          <w:p w14:paraId="71856909" w14:textId="77777777" w:rsidR="00081240" w:rsidRPr="00CB6538" w:rsidRDefault="00081240" w:rsidP="00A303CA">
            <w:pPr>
              <w:jc w:val="center"/>
              <w:rPr>
                <w:rFonts w:eastAsia="Times New Roman" w:cs="Times New Roman"/>
                <w:b/>
                <w:color w:val="000000"/>
                <w:sz w:val="20"/>
                <w:szCs w:val="20"/>
                <w:lang w:eastAsia="lv-LV"/>
              </w:rPr>
            </w:pPr>
          </w:p>
        </w:tc>
      </w:tr>
      <w:tr w:rsidR="00081240" w:rsidRPr="00CB6538" w14:paraId="40C97E0C" w14:textId="77777777" w:rsidTr="006B6C49">
        <w:trPr>
          <w:trHeight w:val="251"/>
        </w:trPr>
        <w:tc>
          <w:tcPr>
            <w:tcW w:w="2268"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06C7459B" w14:textId="77777777" w:rsidR="00081240" w:rsidRPr="00CB6538" w:rsidRDefault="00081240" w:rsidP="00A303CA">
            <w:pPr>
              <w:rPr>
                <w:rFonts w:eastAsia="Times New Roman" w:cs="Times New Roman"/>
                <w:color w:val="000000"/>
                <w:sz w:val="18"/>
                <w:szCs w:val="20"/>
                <w:lang w:eastAsia="lv-LV"/>
              </w:rPr>
            </w:pPr>
            <w:r w:rsidRPr="00CB6538">
              <w:rPr>
                <w:rFonts w:eastAsia="Times New Roman" w:cs="Times New Roman"/>
                <w:color w:val="000000"/>
                <w:sz w:val="18"/>
                <w:szCs w:val="20"/>
                <w:lang w:eastAsia="lv-LV"/>
              </w:rPr>
              <w:t xml:space="preserve">10 ml/šķidruma; </w:t>
            </w:r>
            <w:r w:rsidRPr="00081240">
              <w:rPr>
                <w:rFonts w:eastAsia="Times New Roman" w:cs="Times New Roman"/>
                <w:b/>
                <w:color w:val="000000"/>
                <w:sz w:val="18"/>
                <w:szCs w:val="20"/>
                <w:lang w:eastAsia="lv-LV"/>
              </w:rPr>
              <w:t>10</w:t>
            </w:r>
            <w:r w:rsidRPr="00CB6538">
              <w:rPr>
                <w:rFonts w:eastAsia="Times New Roman" w:cs="Times New Roman"/>
                <w:color w:val="000000"/>
                <w:sz w:val="18"/>
                <w:szCs w:val="20"/>
                <w:lang w:eastAsia="lv-LV"/>
              </w:rPr>
              <w:t xml:space="preserve"> mg/ml nikotīna</w:t>
            </w:r>
          </w:p>
        </w:tc>
        <w:tc>
          <w:tcPr>
            <w:tcW w:w="113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25C600CF" w14:textId="77777777" w:rsidR="00081240" w:rsidRPr="00CD3E72" w:rsidRDefault="00081240" w:rsidP="00A303CA">
            <w:pPr>
              <w:jc w:val="center"/>
              <w:rPr>
                <w:rFonts w:eastAsia="Times New Roman" w:cs="Times New Roman"/>
                <w:color w:val="000000"/>
                <w:sz w:val="20"/>
                <w:szCs w:val="20"/>
                <w:lang w:eastAsia="lv-LV"/>
              </w:rPr>
            </w:pPr>
            <w:r w:rsidRPr="00CD3E72">
              <w:rPr>
                <w:rFonts w:eastAsia="Times New Roman" w:cs="Times New Roman"/>
                <w:color w:val="000000"/>
                <w:sz w:val="20"/>
                <w:szCs w:val="20"/>
                <w:lang w:eastAsia="lv-LV"/>
              </w:rPr>
              <w:t>0,60</w:t>
            </w:r>
          </w:p>
        </w:tc>
        <w:tc>
          <w:tcPr>
            <w:tcW w:w="992" w:type="dxa"/>
            <w:vMerge/>
            <w:tcBorders>
              <w:top w:val="single" w:sz="4" w:space="0" w:color="808080" w:themeColor="background1" w:themeShade="80"/>
              <w:left w:val="nil"/>
              <w:right w:val="single" w:sz="4" w:space="0" w:color="auto"/>
            </w:tcBorders>
            <w:shd w:val="clear" w:color="auto" w:fill="auto"/>
            <w:noWrap/>
            <w:vAlign w:val="center"/>
            <w:hideMark/>
          </w:tcPr>
          <w:p w14:paraId="3819D333" w14:textId="77777777" w:rsidR="00081240" w:rsidRPr="00CB6538" w:rsidRDefault="00081240" w:rsidP="00A303CA">
            <w:pPr>
              <w:jc w:val="center"/>
              <w:rPr>
                <w:rFonts w:eastAsia="Times New Roman" w:cs="Times New Roman"/>
                <w:b/>
                <w:color w:val="000000"/>
                <w:sz w:val="20"/>
                <w:szCs w:val="20"/>
                <w:lang w:eastAsia="lv-LV"/>
              </w:rPr>
            </w:pPr>
          </w:p>
        </w:tc>
        <w:tc>
          <w:tcPr>
            <w:tcW w:w="966" w:type="dxa"/>
            <w:vMerge/>
            <w:tcBorders>
              <w:top w:val="single" w:sz="4" w:space="0" w:color="808080" w:themeColor="background1" w:themeShade="80"/>
              <w:left w:val="nil"/>
              <w:right w:val="single" w:sz="4" w:space="0" w:color="auto"/>
            </w:tcBorders>
            <w:shd w:val="clear" w:color="auto" w:fill="auto"/>
            <w:noWrap/>
            <w:vAlign w:val="center"/>
          </w:tcPr>
          <w:p w14:paraId="51C828BD" w14:textId="77777777" w:rsidR="00081240" w:rsidRPr="00CB6538" w:rsidRDefault="00081240" w:rsidP="00A303CA">
            <w:pPr>
              <w:jc w:val="center"/>
              <w:rPr>
                <w:rFonts w:eastAsia="Times New Roman" w:cs="Times New Roman"/>
                <w:b/>
                <w:color w:val="000000"/>
                <w:sz w:val="20"/>
                <w:szCs w:val="20"/>
                <w:lang w:eastAsia="lv-LV"/>
              </w:rPr>
            </w:pPr>
          </w:p>
        </w:tc>
        <w:tc>
          <w:tcPr>
            <w:tcW w:w="1161" w:type="dxa"/>
            <w:vMerge/>
            <w:tcBorders>
              <w:top w:val="single" w:sz="4" w:space="0" w:color="808080" w:themeColor="background1" w:themeShade="80"/>
              <w:left w:val="nil"/>
              <w:right w:val="single" w:sz="4" w:space="0" w:color="auto"/>
            </w:tcBorders>
            <w:shd w:val="clear" w:color="auto" w:fill="auto"/>
            <w:noWrap/>
            <w:vAlign w:val="center"/>
          </w:tcPr>
          <w:p w14:paraId="06CFB301" w14:textId="77777777" w:rsidR="00081240" w:rsidRPr="00CB6538" w:rsidRDefault="00081240" w:rsidP="00A303CA">
            <w:pPr>
              <w:jc w:val="center"/>
              <w:rPr>
                <w:rFonts w:eastAsia="Times New Roman" w:cs="Times New Roman"/>
                <w:b/>
                <w:color w:val="000000"/>
                <w:sz w:val="20"/>
                <w:szCs w:val="20"/>
                <w:lang w:eastAsia="lv-LV"/>
              </w:rPr>
            </w:pPr>
          </w:p>
        </w:tc>
        <w:tc>
          <w:tcPr>
            <w:tcW w:w="992" w:type="dxa"/>
            <w:vMerge/>
            <w:tcBorders>
              <w:top w:val="single" w:sz="4" w:space="0" w:color="808080" w:themeColor="background1" w:themeShade="80"/>
              <w:left w:val="nil"/>
              <w:right w:val="single" w:sz="4" w:space="0" w:color="auto"/>
            </w:tcBorders>
            <w:shd w:val="clear" w:color="auto" w:fill="D9D9D9" w:themeFill="background1" w:themeFillShade="D9"/>
            <w:noWrap/>
            <w:vAlign w:val="center"/>
          </w:tcPr>
          <w:p w14:paraId="6912E6C2" w14:textId="77777777" w:rsidR="00081240" w:rsidRPr="00CB6538" w:rsidRDefault="00081240" w:rsidP="00A303CA">
            <w:pPr>
              <w:jc w:val="center"/>
              <w:rPr>
                <w:rFonts w:eastAsia="Times New Roman" w:cs="Times New Roman"/>
                <w:b/>
                <w:color w:val="000000"/>
                <w:sz w:val="20"/>
                <w:szCs w:val="20"/>
                <w:lang w:eastAsia="lv-LV"/>
              </w:rPr>
            </w:pPr>
          </w:p>
        </w:tc>
        <w:tc>
          <w:tcPr>
            <w:tcW w:w="1134" w:type="dxa"/>
            <w:vMerge/>
            <w:tcBorders>
              <w:top w:val="single" w:sz="4" w:space="0" w:color="808080" w:themeColor="background1" w:themeShade="80"/>
              <w:left w:val="nil"/>
              <w:right w:val="single" w:sz="4" w:space="0" w:color="auto"/>
            </w:tcBorders>
            <w:shd w:val="clear" w:color="auto" w:fill="D9D9D9" w:themeFill="background1" w:themeFillShade="D9"/>
            <w:noWrap/>
            <w:vAlign w:val="center"/>
          </w:tcPr>
          <w:p w14:paraId="152B7F90" w14:textId="77777777" w:rsidR="00081240" w:rsidRPr="00CB6538" w:rsidRDefault="00081240" w:rsidP="00A303CA">
            <w:pPr>
              <w:jc w:val="center"/>
              <w:rPr>
                <w:rFonts w:eastAsia="Times New Roman" w:cs="Times New Roman"/>
                <w:b/>
                <w:color w:val="000000"/>
                <w:sz w:val="20"/>
                <w:szCs w:val="20"/>
                <w:lang w:eastAsia="lv-LV"/>
              </w:rPr>
            </w:pPr>
          </w:p>
        </w:tc>
      </w:tr>
      <w:tr w:rsidR="00081240" w:rsidRPr="00CB6538" w14:paraId="2A4E0F82" w14:textId="77777777" w:rsidTr="006B6C49">
        <w:trPr>
          <w:trHeight w:val="271"/>
        </w:trPr>
        <w:tc>
          <w:tcPr>
            <w:tcW w:w="2268"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0CF557D2" w14:textId="77777777" w:rsidR="00081240" w:rsidRPr="00CB6538" w:rsidRDefault="00081240" w:rsidP="00A303CA">
            <w:pPr>
              <w:rPr>
                <w:rFonts w:eastAsia="Times New Roman" w:cs="Times New Roman"/>
                <w:color w:val="000000"/>
                <w:sz w:val="18"/>
                <w:szCs w:val="20"/>
                <w:lang w:eastAsia="lv-LV"/>
              </w:rPr>
            </w:pPr>
            <w:r w:rsidRPr="00CB6538">
              <w:rPr>
                <w:rFonts w:eastAsia="Times New Roman" w:cs="Times New Roman"/>
                <w:color w:val="000000"/>
                <w:sz w:val="18"/>
                <w:szCs w:val="20"/>
                <w:lang w:eastAsia="lv-LV"/>
              </w:rPr>
              <w:t xml:space="preserve">10 ml/šķidruma; </w:t>
            </w:r>
            <w:r w:rsidRPr="00081240">
              <w:rPr>
                <w:rFonts w:eastAsia="Times New Roman" w:cs="Times New Roman"/>
                <w:b/>
                <w:color w:val="000000"/>
                <w:sz w:val="18"/>
                <w:szCs w:val="20"/>
                <w:lang w:eastAsia="lv-LV"/>
              </w:rPr>
              <w:t>15</w:t>
            </w:r>
            <w:r w:rsidRPr="00CB6538">
              <w:rPr>
                <w:rFonts w:eastAsia="Times New Roman" w:cs="Times New Roman"/>
                <w:color w:val="000000"/>
                <w:sz w:val="18"/>
                <w:szCs w:val="20"/>
                <w:lang w:eastAsia="lv-LV"/>
              </w:rPr>
              <w:t xml:space="preserve"> mg/ml nikotīna</w:t>
            </w:r>
          </w:p>
        </w:tc>
        <w:tc>
          <w:tcPr>
            <w:tcW w:w="113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3B36D560" w14:textId="77777777" w:rsidR="00081240" w:rsidRPr="00CD3E72" w:rsidRDefault="00081240" w:rsidP="00A303CA">
            <w:pPr>
              <w:jc w:val="center"/>
              <w:rPr>
                <w:rFonts w:eastAsia="Times New Roman" w:cs="Times New Roman"/>
                <w:color w:val="000000"/>
                <w:sz w:val="20"/>
                <w:szCs w:val="20"/>
                <w:lang w:eastAsia="lv-LV"/>
              </w:rPr>
            </w:pPr>
            <w:r w:rsidRPr="00CD3E72">
              <w:rPr>
                <w:rFonts w:eastAsia="Times New Roman" w:cs="Times New Roman"/>
                <w:color w:val="000000"/>
                <w:sz w:val="20"/>
                <w:szCs w:val="20"/>
                <w:lang w:eastAsia="lv-LV"/>
              </w:rPr>
              <w:t>0,85</w:t>
            </w:r>
          </w:p>
        </w:tc>
        <w:tc>
          <w:tcPr>
            <w:tcW w:w="992" w:type="dxa"/>
            <w:vMerge/>
            <w:tcBorders>
              <w:top w:val="single" w:sz="4" w:space="0" w:color="808080" w:themeColor="background1" w:themeShade="80"/>
              <w:left w:val="nil"/>
              <w:right w:val="single" w:sz="4" w:space="0" w:color="auto"/>
            </w:tcBorders>
            <w:shd w:val="clear" w:color="auto" w:fill="auto"/>
            <w:noWrap/>
            <w:vAlign w:val="center"/>
            <w:hideMark/>
          </w:tcPr>
          <w:p w14:paraId="41A4A5A8" w14:textId="77777777" w:rsidR="00081240" w:rsidRPr="00CB6538" w:rsidRDefault="00081240" w:rsidP="00A303CA">
            <w:pPr>
              <w:jc w:val="center"/>
              <w:rPr>
                <w:rFonts w:eastAsia="Times New Roman" w:cs="Times New Roman"/>
                <w:b/>
                <w:color w:val="000000"/>
                <w:sz w:val="20"/>
                <w:szCs w:val="20"/>
                <w:lang w:eastAsia="lv-LV"/>
              </w:rPr>
            </w:pPr>
          </w:p>
        </w:tc>
        <w:tc>
          <w:tcPr>
            <w:tcW w:w="966" w:type="dxa"/>
            <w:vMerge/>
            <w:tcBorders>
              <w:top w:val="single" w:sz="4" w:space="0" w:color="808080" w:themeColor="background1" w:themeShade="80"/>
              <w:left w:val="nil"/>
              <w:right w:val="single" w:sz="4" w:space="0" w:color="auto"/>
            </w:tcBorders>
            <w:shd w:val="clear" w:color="auto" w:fill="auto"/>
            <w:noWrap/>
            <w:vAlign w:val="center"/>
          </w:tcPr>
          <w:p w14:paraId="6473F971" w14:textId="77777777" w:rsidR="00081240" w:rsidRPr="00CB6538" w:rsidRDefault="00081240" w:rsidP="00A303CA">
            <w:pPr>
              <w:jc w:val="center"/>
              <w:rPr>
                <w:rFonts w:eastAsia="Times New Roman" w:cs="Times New Roman"/>
                <w:b/>
                <w:color w:val="000000"/>
                <w:sz w:val="20"/>
                <w:szCs w:val="20"/>
                <w:lang w:eastAsia="lv-LV"/>
              </w:rPr>
            </w:pPr>
          </w:p>
        </w:tc>
        <w:tc>
          <w:tcPr>
            <w:tcW w:w="1161" w:type="dxa"/>
            <w:vMerge/>
            <w:tcBorders>
              <w:top w:val="single" w:sz="4" w:space="0" w:color="808080" w:themeColor="background1" w:themeShade="80"/>
              <w:left w:val="nil"/>
              <w:right w:val="single" w:sz="4" w:space="0" w:color="auto"/>
            </w:tcBorders>
            <w:shd w:val="clear" w:color="auto" w:fill="auto"/>
            <w:noWrap/>
            <w:vAlign w:val="center"/>
          </w:tcPr>
          <w:p w14:paraId="503554F8" w14:textId="77777777" w:rsidR="00081240" w:rsidRPr="00CB6538" w:rsidRDefault="00081240" w:rsidP="00A303CA">
            <w:pPr>
              <w:jc w:val="center"/>
              <w:rPr>
                <w:rFonts w:eastAsia="Times New Roman" w:cs="Times New Roman"/>
                <w:b/>
                <w:color w:val="000000"/>
                <w:sz w:val="20"/>
                <w:szCs w:val="20"/>
                <w:lang w:eastAsia="lv-LV"/>
              </w:rPr>
            </w:pPr>
          </w:p>
        </w:tc>
        <w:tc>
          <w:tcPr>
            <w:tcW w:w="992" w:type="dxa"/>
            <w:vMerge/>
            <w:tcBorders>
              <w:top w:val="single" w:sz="4" w:space="0" w:color="808080" w:themeColor="background1" w:themeShade="80"/>
              <w:left w:val="nil"/>
              <w:right w:val="single" w:sz="4" w:space="0" w:color="auto"/>
            </w:tcBorders>
            <w:shd w:val="clear" w:color="auto" w:fill="D9D9D9" w:themeFill="background1" w:themeFillShade="D9"/>
            <w:noWrap/>
            <w:vAlign w:val="center"/>
          </w:tcPr>
          <w:p w14:paraId="29097DAB" w14:textId="77777777" w:rsidR="00081240" w:rsidRPr="00CB6538" w:rsidRDefault="00081240" w:rsidP="00A303CA">
            <w:pPr>
              <w:jc w:val="center"/>
              <w:rPr>
                <w:rFonts w:eastAsia="Times New Roman" w:cs="Times New Roman"/>
                <w:b/>
                <w:color w:val="000000"/>
                <w:sz w:val="20"/>
                <w:szCs w:val="20"/>
                <w:lang w:eastAsia="lv-LV"/>
              </w:rPr>
            </w:pPr>
          </w:p>
        </w:tc>
        <w:tc>
          <w:tcPr>
            <w:tcW w:w="1134" w:type="dxa"/>
            <w:vMerge/>
            <w:tcBorders>
              <w:top w:val="single" w:sz="4" w:space="0" w:color="808080" w:themeColor="background1" w:themeShade="80"/>
              <w:left w:val="nil"/>
              <w:right w:val="single" w:sz="4" w:space="0" w:color="auto"/>
            </w:tcBorders>
            <w:shd w:val="clear" w:color="auto" w:fill="D9D9D9" w:themeFill="background1" w:themeFillShade="D9"/>
            <w:noWrap/>
            <w:vAlign w:val="center"/>
          </w:tcPr>
          <w:p w14:paraId="6C26DF36" w14:textId="77777777" w:rsidR="00081240" w:rsidRPr="00CB6538" w:rsidRDefault="00081240" w:rsidP="00A303CA">
            <w:pPr>
              <w:jc w:val="center"/>
              <w:rPr>
                <w:rFonts w:eastAsia="Times New Roman" w:cs="Times New Roman"/>
                <w:b/>
                <w:color w:val="000000"/>
                <w:sz w:val="20"/>
                <w:szCs w:val="20"/>
                <w:lang w:eastAsia="lv-LV"/>
              </w:rPr>
            </w:pPr>
          </w:p>
        </w:tc>
      </w:tr>
      <w:tr w:rsidR="00081240" w:rsidRPr="00CD3E72" w14:paraId="52014719" w14:textId="77777777" w:rsidTr="006B6C49">
        <w:trPr>
          <w:trHeight w:val="271"/>
        </w:trPr>
        <w:tc>
          <w:tcPr>
            <w:tcW w:w="2268" w:type="dxa"/>
            <w:tcBorders>
              <w:top w:val="single" w:sz="4" w:space="0" w:color="808080" w:themeColor="background1" w:themeShade="80"/>
              <w:left w:val="single" w:sz="4" w:space="0" w:color="auto"/>
              <w:bottom w:val="single" w:sz="4" w:space="0" w:color="auto"/>
              <w:right w:val="single" w:sz="4" w:space="0" w:color="auto"/>
            </w:tcBorders>
            <w:shd w:val="clear" w:color="auto" w:fill="auto"/>
            <w:noWrap/>
            <w:vAlign w:val="center"/>
            <w:hideMark/>
          </w:tcPr>
          <w:p w14:paraId="0FB5AF7E" w14:textId="77777777" w:rsidR="00081240" w:rsidRPr="00CB6538" w:rsidRDefault="00081240" w:rsidP="00A303CA">
            <w:pPr>
              <w:rPr>
                <w:rFonts w:eastAsia="Times New Roman" w:cs="Times New Roman"/>
                <w:color w:val="000000"/>
                <w:sz w:val="18"/>
                <w:szCs w:val="20"/>
                <w:lang w:eastAsia="lv-LV"/>
              </w:rPr>
            </w:pPr>
            <w:r w:rsidRPr="00CB6538">
              <w:rPr>
                <w:rFonts w:eastAsia="Times New Roman" w:cs="Times New Roman"/>
                <w:color w:val="000000"/>
                <w:sz w:val="18"/>
                <w:szCs w:val="20"/>
                <w:lang w:eastAsia="lv-LV"/>
              </w:rPr>
              <w:t xml:space="preserve">10 ml/šķidruma; </w:t>
            </w:r>
            <w:r w:rsidRPr="00081240">
              <w:rPr>
                <w:rFonts w:eastAsia="Times New Roman" w:cs="Times New Roman"/>
                <w:b/>
                <w:color w:val="000000"/>
                <w:sz w:val="18"/>
                <w:szCs w:val="20"/>
                <w:lang w:eastAsia="lv-LV"/>
              </w:rPr>
              <w:t>20</w:t>
            </w:r>
            <w:r w:rsidRPr="00CB6538">
              <w:rPr>
                <w:rFonts w:eastAsia="Times New Roman" w:cs="Times New Roman"/>
                <w:color w:val="000000"/>
                <w:sz w:val="18"/>
                <w:szCs w:val="20"/>
                <w:lang w:eastAsia="lv-LV"/>
              </w:rPr>
              <w:t xml:space="preserve"> mg/ml nikotīna</w:t>
            </w:r>
          </w:p>
        </w:tc>
        <w:tc>
          <w:tcPr>
            <w:tcW w:w="1134" w:type="dxa"/>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noWrap/>
            <w:vAlign w:val="center"/>
            <w:hideMark/>
          </w:tcPr>
          <w:p w14:paraId="481A3044" w14:textId="77777777" w:rsidR="00081240" w:rsidRPr="00CD3E72" w:rsidRDefault="00081240" w:rsidP="00A303CA">
            <w:pPr>
              <w:jc w:val="center"/>
              <w:rPr>
                <w:rFonts w:eastAsia="Times New Roman" w:cs="Times New Roman"/>
                <w:color w:val="000000"/>
                <w:sz w:val="20"/>
                <w:szCs w:val="20"/>
                <w:lang w:eastAsia="lv-LV"/>
              </w:rPr>
            </w:pPr>
            <w:r w:rsidRPr="00CD3E72">
              <w:rPr>
                <w:rFonts w:eastAsia="Times New Roman" w:cs="Times New Roman"/>
                <w:color w:val="000000"/>
                <w:sz w:val="20"/>
                <w:szCs w:val="20"/>
                <w:lang w:eastAsia="lv-LV"/>
              </w:rPr>
              <w:t>1,10</w:t>
            </w:r>
          </w:p>
        </w:tc>
        <w:tc>
          <w:tcPr>
            <w:tcW w:w="992" w:type="dxa"/>
            <w:vMerge/>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14:paraId="2FBA8316" w14:textId="77777777" w:rsidR="00081240" w:rsidRPr="00CD3E72" w:rsidRDefault="00081240" w:rsidP="00A303CA">
            <w:pPr>
              <w:jc w:val="center"/>
              <w:rPr>
                <w:rFonts w:eastAsia="Times New Roman" w:cs="Times New Roman"/>
                <w:color w:val="000000"/>
                <w:sz w:val="20"/>
                <w:szCs w:val="20"/>
                <w:lang w:eastAsia="lv-LV"/>
              </w:rPr>
            </w:pPr>
          </w:p>
        </w:tc>
        <w:tc>
          <w:tcPr>
            <w:tcW w:w="966" w:type="dxa"/>
            <w:vMerge/>
            <w:tcBorders>
              <w:top w:val="single" w:sz="4" w:space="0" w:color="808080" w:themeColor="background1" w:themeShade="80"/>
              <w:left w:val="nil"/>
              <w:bottom w:val="single" w:sz="4" w:space="0" w:color="auto"/>
              <w:right w:val="single" w:sz="4" w:space="0" w:color="auto"/>
            </w:tcBorders>
            <w:shd w:val="clear" w:color="auto" w:fill="auto"/>
            <w:noWrap/>
            <w:vAlign w:val="center"/>
          </w:tcPr>
          <w:p w14:paraId="2143A96D" w14:textId="77777777" w:rsidR="00081240" w:rsidRPr="00CD3E72" w:rsidRDefault="00081240" w:rsidP="00A303CA">
            <w:pPr>
              <w:jc w:val="center"/>
              <w:rPr>
                <w:rFonts w:eastAsia="Times New Roman" w:cs="Times New Roman"/>
                <w:color w:val="000000"/>
                <w:sz w:val="20"/>
                <w:szCs w:val="20"/>
                <w:lang w:eastAsia="lv-LV"/>
              </w:rPr>
            </w:pPr>
          </w:p>
        </w:tc>
        <w:tc>
          <w:tcPr>
            <w:tcW w:w="1161" w:type="dxa"/>
            <w:vMerge/>
            <w:tcBorders>
              <w:top w:val="single" w:sz="4" w:space="0" w:color="808080" w:themeColor="background1" w:themeShade="80"/>
              <w:left w:val="nil"/>
              <w:bottom w:val="single" w:sz="4" w:space="0" w:color="auto"/>
              <w:right w:val="single" w:sz="4" w:space="0" w:color="auto"/>
            </w:tcBorders>
            <w:shd w:val="clear" w:color="auto" w:fill="auto"/>
            <w:noWrap/>
            <w:vAlign w:val="center"/>
          </w:tcPr>
          <w:p w14:paraId="3BC78A8C" w14:textId="77777777" w:rsidR="00081240" w:rsidRPr="00CD3E72" w:rsidRDefault="00081240" w:rsidP="00A303CA">
            <w:pPr>
              <w:jc w:val="center"/>
              <w:rPr>
                <w:rFonts w:eastAsia="Times New Roman" w:cs="Times New Roman"/>
                <w:color w:val="000000"/>
                <w:sz w:val="20"/>
                <w:szCs w:val="20"/>
                <w:lang w:eastAsia="lv-LV"/>
              </w:rPr>
            </w:pPr>
          </w:p>
        </w:tc>
        <w:tc>
          <w:tcPr>
            <w:tcW w:w="992" w:type="dxa"/>
            <w:vMerge/>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noWrap/>
            <w:vAlign w:val="center"/>
          </w:tcPr>
          <w:p w14:paraId="711AEF6D" w14:textId="77777777" w:rsidR="00081240" w:rsidRPr="00CD3E72" w:rsidRDefault="00081240" w:rsidP="00A303CA">
            <w:pPr>
              <w:jc w:val="center"/>
              <w:rPr>
                <w:rFonts w:eastAsia="Times New Roman" w:cs="Times New Roman"/>
                <w:color w:val="000000"/>
                <w:sz w:val="20"/>
                <w:szCs w:val="20"/>
                <w:lang w:eastAsia="lv-LV"/>
              </w:rPr>
            </w:pPr>
          </w:p>
        </w:tc>
        <w:tc>
          <w:tcPr>
            <w:tcW w:w="1134" w:type="dxa"/>
            <w:vMerge/>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noWrap/>
            <w:vAlign w:val="center"/>
          </w:tcPr>
          <w:p w14:paraId="31602F3F" w14:textId="77777777" w:rsidR="00081240" w:rsidRPr="00CD3E72" w:rsidRDefault="00081240" w:rsidP="00A303CA">
            <w:pPr>
              <w:jc w:val="center"/>
              <w:rPr>
                <w:rFonts w:eastAsia="Times New Roman" w:cs="Times New Roman"/>
                <w:color w:val="000000"/>
                <w:sz w:val="20"/>
                <w:szCs w:val="20"/>
                <w:lang w:eastAsia="lv-LV"/>
              </w:rPr>
            </w:pPr>
          </w:p>
        </w:tc>
      </w:tr>
      <w:tr w:rsidR="00081240" w:rsidRPr="00CD3E72" w14:paraId="1A7B44E4" w14:textId="77777777" w:rsidTr="006B6C49">
        <w:trPr>
          <w:trHeight w:val="226"/>
        </w:trPr>
        <w:tc>
          <w:tcPr>
            <w:tcW w:w="3402" w:type="dxa"/>
            <w:gridSpan w:val="2"/>
            <w:tcBorders>
              <w:top w:val="single" w:sz="4" w:space="0" w:color="auto"/>
              <w:left w:val="single" w:sz="4" w:space="0" w:color="auto"/>
              <w:bottom w:val="dotted" w:sz="4" w:space="0" w:color="auto"/>
              <w:right w:val="single" w:sz="4" w:space="0" w:color="auto"/>
            </w:tcBorders>
            <w:shd w:val="clear" w:color="auto" w:fill="FFE599" w:themeFill="accent4" w:themeFillTint="66"/>
            <w:noWrap/>
            <w:vAlign w:val="center"/>
          </w:tcPr>
          <w:p w14:paraId="1611614D" w14:textId="77777777" w:rsidR="00081240" w:rsidRPr="00CD3E72" w:rsidRDefault="00081240" w:rsidP="00A303CA">
            <w:pPr>
              <w:rPr>
                <w:rFonts w:eastAsia="Times New Roman" w:cs="Times New Roman"/>
                <w:color w:val="000000"/>
                <w:sz w:val="20"/>
                <w:szCs w:val="20"/>
                <w:lang w:eastAsia="lv-LV"/>
              </w:rPr>
            </w:pPr>
            <w:r w:rsidRPr="00F519AB">
              <w:rPr>
                <w:b/>
                <w:sz w:val="22"/>
              </w:rPr>
              <w:t>Fiskālā ietekme</w:t>
            </w:r>
            <w:r>
              <w:rPr>
                <w:b/>
                <w:sz w:val="22"/>
              </w:rPr>
              <w:t>*</w:t>
            </w:r>
            <w:r w:rsidRPr="00F519AB">
              <w:rPr>
                <w:b/>
                <w:sz w:val="22"/>
              </w:rPr>
              <w:t xml:space="preserve">, </w:t>
            </w:r>
            <w:r w:rsidRPr="00F519AB">
              <w:rPr>
                <w:i/>
                <w:sz w:val="22"/>
              </w:rPr>
              <w:t>milj. eur</w:t>
            </w:r>
            <w:r>
              <w:rPr>
                <w:i/>
                <w:sz w:val="22"/>
              </w:rPr>
              <w:t>o</w:t>
            </w:r>
          </w:p>
        </w:tc>
        <w:tc>
          <w:tcPr>
            <w:tcW w:w="992" w:type="dxa"/>
            <w:tcBorders>
              <w:top w:val="single" w:sz="4" w:space="0" w:color="auto"/>
              <w:left w:val="nil"/>
              <w:bottom w:val="dotted" w:sz="4" w:space="0" w:color="auto"/>
              <w:right w:val="single" w:sz="4" w:space="0" w:color="auto"/>
            </w:tcBorders>
            <w:shd w:val="clear" w:color="auto" w:fill="FFE599" w:themeFill="accent4" w:themeFillTint="66"/>
            <w:noWrap/>
          </w:tcPr>
          <w:p w14:paraId="33CE8AEF" w14:textId="77777777" w:rsidR="00081240" w:rsidRPr="004252E4" w:rsidRDefault="00081240" w:rsidP="00A303CA">
            <w:pPr>
              <w:jc w:val="center"/>
              <w:rPr>
                <w:rFonts w:eastAsia="Times New Roman" w:cs="Times New Roman"/>
                <w:b/>
                <w:color w:val="00B050"/>
                <w:sz w:val="22"/>
                <w:lang w:eastAsia="lv-LV"/>
              </w:rPr>
            </w:pPr>
            <w:r w:rsidRPr="004252E4">
              <w:rPr>
                <w:rFonts w:eastAsia="Times New Roman" w:cs="Times New Roman"/>
                <w:b/>
                <w:color w:val="00B050"/>
                <w:sz w:val="22"/>
                <w:lang w:eastAsia="lv-LV"/>
              </w:rPr>
              <w:t xml:space="preserve"> +0,5   </w:t>
            </w:r>
          </w:p>
        </w:tc>
        <w:tc>
          <w:tcPr>
            <w:tcW w:w="966" w:type="dxa"/>
            <w:tcBorders>
              <w:top w:val="single" w:sz="4" w:space="0" w:color="auto"/>
              <w:left w:val="nil"/>
              <w:bottom w:val="dotted" w:sz="4" w:space="0" w:color="auto"/>
              <w:right w:val="single" w:sz="4" w:space="0" w:color="auto"/>
            </w:tcBorders>
            <w:shd w:val="clear" w:color="auto" w:fill="FFE599" w:themeFill="accent4" w:themeFillTint="66"/>
            <w:noWrap/>
          </w:tcPr>
          <w:p w14:paraId="15B4C300" w14:textId="77777777" w:rsidR="00081240" w:rsidRPr="004252E4" w:rsidRDefault="00081240" w:rsidP="00A303CA">
            <w:pPr>
              <w:jc w:val="center"/>
              <w:rPr>
                <w:rFonts w:eastAsia="Times New Roman" w:cs="Times New Roman"/>
                <w:b/>
                <w:color w:val="00B050"/>
                <w:sz w:val="22"/>
                <w:lang w:eastAsia="lv-LV"/>
              </w:rPr>
            </w:pPr>
            <w:r w:rsidRPr="004252E4">
              <w:rPr>
                <w:rFonts w:eastAsia="Times New Roman" w:cs="Times New Roman"/>
                <w:b/>
                <w:color w:val="00B050"/>
                <w:sz w:val="22"/>
                <w:lang w:eastAsia="lv-LV"/>
              </w:rPr>
              <w:t xml:space="preserve">+0,6   </w:t>
            </w:r>
          </w:p>
        </w:tc>
        <w:tc>
          <w:tcPr>
            <w:tcW w:w="1161" w:type="dxa"/>
            <w:tcBorders>
              <w:top w:val="single" w:sz="4" w:space="0" w:color="auto"/>
              <w:left w:val="nil"/>
              <w:bottom w:val="dotted" w:sz="4" w:space="0" w:color="auto"/>
              <w:right w:val="single" w:sz="4" w:space="0" w:color="auto"/>
            </w:tcBorders>
            <w:shd w:val="clear" w:color="auto" w:fill="FFE599" w:themeFill="accent4" w:themeFillTint="66"/>
            <w:noWrap/>
          </w:tcPr>
          <w:p w14:paraId="52A9981D" w14:textId="77777777" w:rsidR="00081240" w:rsidRPr="004252E4" w:rsidRDefault="00081240" w:rsidP="00A303CA">
            <w:pPr>
              <w:jc w:val="center"/>
              <w:rPr>
                <w:rFonts w:eastAsia="Times New Roman" w:cs="Times New Roman"/>
                <w:b/>
                <w:color w:val="00B050"/>
                <w:sz w:val="22"/>
                <w:lang w:eastAsia="lv-LV"/>
              </w:rPr>
            </w:pPr>
            <w:r w:rsidRPr="004252E4">
              <w:rPr>
                <w:rFonts w:eastAsia="Times New Roman" w:cs="Times New Roman"/>
                <w:b/>
                <w:color w:val="00B050"/>
                <w:sz w:val="22"/>
                <w:lang w:eastAsia="lv-LV"/>
              </w:rPr>
              <w:t xml:space="preserve">+0,7   </w:t>
            </w:r>
          </w:p>
        </w:tc>
        <w:tc>
          <w:tcPr>
            <w:tcW w:w="992" w:type="dxa"/>
            <w:tcBorders>
              <w:top w:val="single" w:sz="4" w:space="0" w:color="auto"/>
              <w:left w:val="nil"/>
              <w:bottom w:val="dotted" w:sz="4" w:space="0" w:color="auto"/>
              <w:right w:val="single" w:sz="4" w:space="0" w:color="auto"/>
            </w:tcBorders>
            <w:shd w:val="clear" w:color="auto" w:fill="D9D9D9" w:themeFill="background1" w:themeFillShade="D9"/>
            <w:noWrap/>
            <w:vAlign w:val="center"/>
          </w:tcPr>
          <w:p w14:paraId="4F3D6474" w14:textId="77777777" w:rsidR="00081240" w:rsidRPr="00CD3E72" w:rsidRDefault="00081240" w:rsidP="00A303CA">
            <w:pPr>
              <w:jc w:val="center"/>
              <w:rPr>
                <w:rFonts w:eastAsia="Times New Roman" w:cs="Times New Roman"/>
                <w:color w:val="000000"/>
                <w:sz w:val="20"/>
                <w:szCs w:val="20"/>
                <w:lang w:eastAsia="lv-LV"/>
              </w:rPr>
            </w:pPr>
          </w:p>
        </w:tc>
        <w:tc>
          <w:tcPr>
            <w:tcW w:w="1134" w:type="dxa"/>
            <w:tcBorders>
              <w:top w:val="single" w:sz="4" w:space="0" w:color="auto"/>
              <w:left w:val="nil"/>
              <w:bottom w:val="dotted" w:sz="4" w:space="0" w:color="auto"/>
              <w:right w:val="single" w:sz="4" w:space="0" w:color="auto"/>
            </w:tcBorders>
            <w:shd w:val="clear" w:color="auto" w:fill="D9D9D9" w:themeFill="background1" w:themeFillShade="D9"/>
            <w:noWrap/>
            <w:vAlign w:val="center"/>
          </w:tcPr>
          <w:p w14:paraId="0143A0C5" w14:textId="77777777" w:rsidR="00081240" w:rsidRPr="00CD3E72" w:rsidRDefault="00081240" w:rsidP="00A303CA">
            <w:pPr>
              <w:jc w:val="center"/>
              <w:rPr>
                <w:rFonts w:eastAsia="Times New Roman" w:cs="Times New Roman"/>
                <w:color w:val="000000"/>
                <w:sz w:val="20"/>
                <w:szCs w:val="20"/>
                <w:lang w:eastAsia="lv-LV"/>
              </w:rPr>
            </w:pPr>
          </w:p>
        </w:tc>
      </w:tr>
      <w:tr w:rsidR="00081240" w:rsidRPr="00CD3E72" w14:paraId="2DD3C283" w14:textId="77777777" w:rsidTr="00081240">
        <w:trPr>
          <w:trHeight w:val="58"/>
        </w:trPr>
        <w:tc>
          <w:tcPr>
            <w:tcW w:w="3402" w:type="dxa"/>
            <w:gridSpan w:val="2"/>
            <w:tcBorders>
              <w:top w:val="dotted" w:sz="4" w:space="0" w:color="auto"/>
              <w:left w:val="single" w:sz="4" w:space="0" w:color="auto"/>
              <w:bottom w:val="dotted" w:sz="4" w:space="0" w:color="auto"/>
              <w:right w:val="single" w:sz="4" w:space="0" w:color="auto"/>
            </w:tcBorders>
            <w:shd w:val="clear" w:color="auto" w:fill="FFE599" w:themeFill="accent4" w:themeFillTint="66"/>
            <w:noWrap/>
            <w:vAlign w:val="center"/>
          </w:tcPr>
          <w:p w14:paraId="060E8F76" w14:textId="77777777" w:rsidR="00081240" w:rsidRPr="00BA44B7" w:rsidRDefault="00081240" w:rsidP="00A303CA">
            <w:pPr>
              <w:ind w:left="606"/>
              <w:rPr>
                <w:i/>
                <w:sz w:val="20"/>
                <w:szCs w:val="20"/>
              </w:rPr>
            </w:pPr>
            <w:r w:rsidRPr="00BA44B7">
              <w:rPr>
                <w:i/>
                <w:sz w:val="20"/>
                <w:szCs w:val="20"/>
              </w:rPr>
              <w:t>tai skaitā</w:t>
            </w:r>
            <w:r>
              <w:rPr>
                <w:i/>
                <w:sz w:val="20"/>
                <w:szCs w:val="20"/>
              </w:rPr>
              <w:t>:</w:t>
            </w:r>
            <w:r w:rsidRPr="00BA44B7">
              <w:rPr>
                <w:i/>
                <w:sz w:val="20"/>
                <w:szCs w:val="20"/>
              </w:rPr>
              <w:t xml:space="preserve"> AN</w:t>
            </w:r>
          </w:p>
        </w:tc>
        <w:tc>
          <w:tcPr>
            <w:tcW w:w="992" w:type="dxa"/>
            <w:tcBorders>
              <w:top w:val="dotted" w:sz="4" w:space="0" w:color="auto"/>
              <w:left w:val="nil"/>
              <w:bottom w:val="dotted" w:sz="4" w:space="0" w:color="auto"/>
              <w:right w:val="single" w:sz="4" w:space="0" w:color="auto"/>
            </w:tcBorders>
            <w:shd w:val="clear" w:color="auto" w:fill="FFE599" w:themeFill="accent4" w:themeFillTint="66"/>
            <w:noWrap/>
          </w:tcPr>
          <w:p w14:paraId="77A25C6C" w14:textId="77777777" w:rsidR="00081240" w:rsidRPr="004252E4" w:rsidRDefault="00081240" w:rsidP="00A303CA">
            <w:pPr>
              <w:jc w:val="center"/>
              <w:rPr>
                <w:rFonts w:eastAsia="Times New Roman" w:cs="Times New Roman"/>
                <w:i/>
                <w:color w:val="00B050"/>
                <w:sz w:val="20"/>
                <w:lang w:eastAsia="lv-LV"/>
              </w:rPr>
            </w:pPr>
            <w:r w:rsidRPr="004252E4">
              <w:rPr>
                <w:rFonts w:eastAsia="Times New Roman" w:cs="Times New Roman"/>
                <w:i/>
                <w:color w:val="00B050"/>
                <w:sz w:val="20"/>
                <w:lang w:eastAsia="lv-LV"/>
              </w:rPr>
              <w:t xml:space="preserve"> +0,4   </w:t>
            </w:r>
          </w:p>
        </w:tc>
        <w:tc>
          <w:tcPr>
            <w:tcW w:w="966" w:type="dxa"/>
            <w:tcBorders>
              <w:top w:val="dotted" w:sz="4" w:space="0" w:color="auto"/>
              <w:left w:val="nil"/>
              <w:bottom w:val="dotted" w:sz="4" w:space="0" w:color="auto"/>
              <w:right w:val="single" w:sz="4" w:space="0" w:color="auto"/>
            </w:tcBorders>
            <w:shd w:val="clear" w:color="auto" w:fill="FFE599" w:themeFill="accent4" w:themeFillTint="66"/>
            <w:noWrap/>
          </w:tcPr>
          <w:p w14:paraId="2AC0866C" w14:textId="77777777" w:rsidR="00081240" w:rsidRPr="004252E4" w:rsidRDefault="00081240" w:rsidP="00A303CA">
            <w:pPr>
              <w:jc w:val="center"/>
              <w:rPr>
                <w:rFonts w:eastAsia="Times New Roman" w:cs="Times New Roman"/>
                <w:i/>
                <w:color w:val="00B050"/>
                <w:sz w:val="20"/>
                <w:lang w:eastAsia="lv-LV"/>
              </w:rPr>
            </w:pPr>
            <w:r w:rsidRPr="004252E4">
              <w:rPr>
                <w:rFonts w:eastAsia="Times New Roman" w:cs="Times New Roman"/>
                <w:i/>
                <w:color w:val="00B050"/>
                <w:sz w:val="20"/>
                <w:lang w:eastAsia="lv-LV"/>
              </w:rPr>
              <w:t xml:space="preserve"> +0,5   </w:t>
            </w:r>
          </w:p>
        </w:tc>
        <w:tc>
          <w:tcPr>
            <w:tcW w:w="1161" w:type="dxa"/>
            <w:tcBorders>
              <w:top w:val="dotted" w:sz="4" w:space="0" w:color="auto"/>
              <w:left w:val="nil"/>
              <w:bottom w:val="dotted" w:sz="4" w:space="0" w:color="auto"/>
              <w:right w:val="single" w:sz="4" w:space="0" w:color="auto"/>
            </w:tcBorders>
            <w:shd w:val="clear" w:color="auto" w:fill="FFE599" w:themeFill="accent4" w:themeFillTint="66"/>
            <w:noWrap/>
          </w:tcPr>
          <w:p w14:paraId="36F19DC0" w14:textId="77777777" w:rsidR="00081240" w:rsidRPr="004252E4" w:rsidRDefault="00081240" w:rsidP="00A303CA">
            <w:pPr>
              <w:jc w:val="center"/>
              <w:rPr>
                <w:rFonts w:eastAsia="Times New Roman" w:cs="Times New Roman"/>
                <w:i/>
                <w:color w:val="00B050"/>
                <w:sz w:val="20"/>
                <w:lang w:eastAsia="lv-LV"/>
              </w:rPr>
            </w:pPr>
            <w:r w:rsidRPr="004252E4">
              <w:rPr>
                <w:rFonts w:eastAsia="Times New Roman" w:cs="Times New Roman"/>
                <w:i/>
                <w:color w:val="00B050"/>
                <w:sz w:val="20"/>
                <w:lang w:eastAsia="lv-LV"/>
              </w:rPr>
              <w:t xml:space="preserve">+0,6   </w:t>
            </w:r>
          </w:p>
        </w:tc>
        <w:tc>
          <w:tcPr>
            <w:tcW w:w="992" w:type="dxa"/>
            <w:tcBorders>
              <w:top w:val="dotted" w:sz="4" w:space="0" w:color="auto"/>
              <w:left w:val="nil"/>
              <w:bottom w:val="dotted" w:sz="4" w:space="0" w:color="auto"/>
              <w:right w:val="single" w:sz="4" w:space="0" w:color="auto"/>
            </w:tcBorders>
            <w:shd w:val="clear" w:color="auto" w:fill="D9D9D9" w:themeFill="background1" w:themeFillShade="D9"/>
            <w:noWrap/>
            <w:vAlign w:val="center"/>
          </w:tcPr>
          <w:p w14:paraId="6E3D9149" w14:textId="77777777" w:rsidR="00081240" w:rsidRPr="00BA44B7" w:rsidRDefault="00081240" w:rsidP="00A303CA">
            <w:pPr>
              <w:jc w:val="center"/>
              <w:rPr>
                <w:rFonts w:eastAsia="Times New Roman" w:cs="Times New Roman"/>
                <w:color w:val="000000"/>
                <w:sz w:val="20"/>
                <w:szCs w:val="20"/>
                <w:lang w:eastAsia="lv-LV"/>
              </w:rPr>
            </w:pPr>
          </w:p>
        </w:tc>
        <w:tc>
          <w:tcPr>
            <w:tcW w:w="1134" w:type="dxa"/>
            <w:tcBorders>
              <w:top w:val="dotted" w:sz="4" w:space="0" w:color="auto"/>
              <w:left w:val="nil"/>
              <w:bottom w:val="dotted" w:sz="4" w:space="0" w:color="auto"/>
              <w:right w:val="single" w:sz="4" w:space="0" w:color="auto"/>
            </w:tcBorders>
            <w:shd w:val="clear" w:color="auto" w:fill="D9D9D9" w:themeFill="background1" w:themeFillShade="D9"/>
            <w:noWrap/>
            <w:vAlign w:val="center"/>
          </w:tcPr>
          <w:p w14:paraId="4AFB82BF" w14:textId="77777777" w:rsidR="00081240" w:rsidRPr="00BA44B7" w:rsidRDefault="00081240" w:rsidP="00A303CA">
            <w:pPr>
              <w:jc w:val="center"/>
              <w:rPr>
                <w:rFonts w:eastAsia="Times New Roman" w:cs="Times New Roman"/>
                <w:color w:val="000000"/>
                <w:sz w:val="20"/>
                <w:szCs w:val="20"/>
                <w:lang w:eastAsia="lv-LV"/>
              </w:rPr>
            </w:pPr>
          </w:p>
        </w:tc>
      </w:tr>
      <w:tr w:rsidR="00081240" w:rsidRPr="00CD3E72" w14:paraId="2820534B" w14:textId="77777777" w:rsidTr="00081240">
        <w:trPr>
          <w:trHeight w:val="58"/>
        </w:trPr>
        <w:tc>
          <w:tcPr>
            <w:tcW w:w="3402" w:type="dxa"/>
            <w:gridSpan w:val="2"/>
            <w:tcBorders>
              <w:top w:val="dotted"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FD9EF5C" w14:textId="77777777" w:rsidR="00081240" w:rsidRPr="00BA44B7" w:rsidRDefault="00081240" w:rsidP="00A303CA">
            <w:pPr>
              <w:ind w:left="1314"/>
              <w:rPr>
                <w:i/>
                <w:sz w:val="20"/>
                <w:szCs w:val="20"/>
              </w:rPr>
            </w:pPr>
            <w:r w:rsidRPr="00BA44B7">
              <w:rPr>
                <w:i/>
                <w:sz w:val="20"/>
                <w:szCs w:val="20"/>
              </w:rPr>
              <w:t>PVN</w:t>
            </w:r>
          </w:p>
        </w:tc>
        <w:tc>
          <w:tcPr>
            <w:tcW w:w="992" w:type="dxa"/>
            <w:tcBorders>
              <w:top w:val="dotted" w:sz="4" w:space="0" w:color="auto"/>
              <w:left w:val="nil"/>
              <w:bottom w:val="single" w:sz="4" w:space="0" w:color="auto"/>
              <w:right w:val="single" w:sz="4" w:space="0" w:color="auto"/>
            </w:tcBorders>
            <w:shd w:val="clear" w:color="auto" w:fill="FFE599" w:themeFill="accent4" w:themeFillTint="66"/>
            <w:noWrap/>
          </w:tcPr>
          <w:p w14:paraId="56C0791B" w14:textId="77777777" w:rsidR="00081240" w:rsidRPr="004252E4" w:rsidRDefault="00081240" w:rsidP="00A303CA">
            <w:pPr>
              <w:jc w:val="center"/>
              <w:rPr>
                <w:rFonts w:eastAsia="Times New Roman" w:cs="Times New Roman"/>
                <w:i/>
                <w:color w:val="00B050"/>
                <w:sz w:val="20"/>
                <w:lang w:eastAsia="lv-LV"/>
              </w:rPr>
            </w:pPr>
            <w:r w:rsidRPr="004252E4">
              <w:rPr>
                <w:rFonts w:eastAsia="Times New Roman" w:cs="Times New Roman"/>
                <w:i/>
                <w:color w:val="00B050"/>
                <w:sz w:val="20"/>
                <w:lang w:eastAsia="lv-LV"/>
              </w:rPr>
              <w:t xml:space="preserve"> +0,1   </w:t>
            </w:r>
          </w:p>
        </w:tc>
        <w:tc>
          <w:tcPr>
            <w:tcW w:w="966" w:type="dxa"/>
            <w:tcBorders>
              <w:top w:val="dotted" w:sz="4" w:space="0" w:color="auto"/>
              <w:left w:val="nil"/>
              <w:bottom w:val="single" w:sz="4" w:space="0" w:color="auto"/>
              <w:right w:val="single" w:sz="4" w:space="0" w:color="auto"/>
            </w:tcBorders>
            <w:shd w:val="clear" w:color="auto" w:fill="FFE599" w:themeFill="accent4" w:themeFillTint="66"/>
            <w:noWrap/>
          </w:tcPr>
          <w:p w14:paraId="30F2F519" w14:textId="77777777" w:rsidR="00081240" w:rsidRPr="004252E4" w:rsidRDefault="00081240" w:rsidP="00A303CA">
            <w:pPr>
              <w:jc w:val="center"/>
              <w:rPr>
                <w:rFonts w:eastAsia="Times New Roman" w:cs="Times New Roman"/>
                <w:i/>
                <w:color w:val="00B050"/>
                <w:sz w:val="20"/>
                <w:lang w:eastAsia="lv-LV"/>
              </w:rPr>
            </w:pPr>
            <w:r w:rsidRPr="004252E4">
              <w:rPr>
                <w:rFonts w:eastAsia="Times New Roman" w:cs="Times New Roman"/>
                <w:i/>
                <w:color w:val="00B050"/>
                <w:sz w:val="20"/>
                <w:lang w:eastAsia="lv-LV"/>
              </w:rPr>
              <w:t xml:space="preserve">+0,1   </w:t>
            </w:r>
          </w:p>
        </w:tc>
        <w:tc>
          <w:tcPr>
            <w:tcW w:w="1161" w:type="dxa"/>
            <w:tcBorders>
              <w:top w:val="dotted" w:sz="4" w:space="0" w:color="auto"/>
              <w:left w:val="nil"/>
              <w:bottom w:val="single" w:sz="4" w:space="0" w:color="auto"/>
              <w:right w:val="single" w:sz="4" w:space="0" w:color="auto"/>
            </w:tcBorders>
            <w:shd w:val="clear" w:color="auto" w:fill="FFE599" w:themeFill="accent4" w:themeFillTint="66"/>
            <w:noWrap/>
          </w:tcPr>
          <w:p w14:paraId="73B19652" w14:textId="77777777" w:rsidR="00081240" w:rsidRPr="004252E4" w:rsidRDefault="00081240" w:rsidP="00A303CA">
            <w:pPr>
              <w:jc w:val="center"/>
              <w:rPr>
                <w:rFonts w:eastAsia="Times New Roman" w:cs="Times New Roman"/>
                <w:i/>
                <w:color w:val="00B050"/>
                <w:sz w:val="20"/>
                <w:lang w:eastAsia="lv-LV"/>
              </w:rPr>
            </w:pPr>
            <w:r w:rsidRPr="004252E4">
              <w:rPr>
                <w:rFonts w:eastAsia="Times New Roman" w:cs="Times New Roman"/>
                <w:i/>
                <w:color w:val="00B050"/>
                <w:sz w:val="20"/>
                <w:lang w:eastAsia="lv-LV"/>
              </w:rPr>
              <w:t xml:space="preserve">+0,1   </w:t>
            </w:r>
          </w:p>
        </w:tc>
        <w:tc>
          <w:tcPr>
            <w:tcW w:w="992" w:type="dxa"/>
            <w:tcBorders>
              <w:top w:val="dotted" w:sz="4" w:space="0" w:color="auto"/>
              <w:left w:val="nil"/>
              <w:bottom w:val="single" w:sz="4" w:space="0" w:color="auto"/>
              <w:right w:val="single" w:sz="4" w:space="0" w:color="auto"/>
            </w:tcBorders>
            <w:shd w:val="clear" w:color="auto" w:fill="D9D9D9" w:themeFill="background1" w:themeFillShade="D9"/>
            <w:noWrap/>
            <w:vAlign w:val="center"/>
          </w:tcPr>
          <w:p w14:paraId="7EE0CA9C" w14:textId="77777777" w:rsidR="00081240" w:rsidRPr="00BA44B7" w:rsidRDefault="00081240" w:rsidP="00A303CA">
            <w:pPr>
              <w:jc w:val="center"/>
              <w:rPr>
                <w:rFonts w:eastAsia="Times New Roman" w:cs="Times New Roman"/>
                <w:color w:val="000000"/>
                <w:sz w:val="20"/>
                <w:szCs w:val="20"/>
                <w:lang w:eastAsia="lv-LV"/>
              </w:rPr>
            </w:pPr>
          </w:p>
        </w:tc>
        <w:tc>
          <w:tcPr>
            <w:tcW w:w="1134" w:type="dxa"/>
            <w:tcBorders>
              <w:top w:val="dotted" w:sz="4" w:space="0" w:color="auto"/>
              <w:left w:val="nil"/>
              <w:bottom w:val="single" w:sz="4" w:space="0" w:color="auto"/>
              <w:right w:val="single" w:sz="4" w:space="0" w:color="auto"/>
            </w:tcBorders>
            <w:shd w:val="clear" w:color="auto" w:fill="D9D9D9" w:themeFill="background1" w:themeFillShade="D9"/>
            <w:noWrap/>
            <w:vAlign w:val="center"/>
          </w:tcPr>
          <w:p w14:paraId="10C9C892" w14:textId="77777777" w:rsidR="00081240" w:rsidRPr="00BA44B7" w:rsidRDefault="00081240" w:rsidP="00A303CA">
            <w:pPr>
              <w:jc w:val="center"/>
              <w:rPr>
                <w:rFonts w:eastAsia="Times New Roman" w:cs="Times New Roman"/>
                <w:color w:val="000000"/>
                <w:sz w:val="20"/>
                <w:szCs w:val="20"/>
                <w:lang w:eastAsia="lv-LV"/>
              </w:rPr>
            </w:pPr>
          </w:p>
        </w:tc>
      </w:tr>
    </w:tbl>
    <w:p w14:paraId="7B283E4E" w14:textId="77777777" w:rsidR="00081240" w:rsidRPr="00B61B54" w:rsidRDefault="00081240" w:rsidP="00081240">
      <w:pPr>
        <w:ind w:right="-96"/>
        <w:rPr>
          <w:i/>
          <w:sz w:val="18"/>
          <w:szCs w:val="18"/>
        </w:rPr>
      </w:pPr>
      <w:r w:rsidRPr="00B61B54">
        <w:rPr>
          <w:i/>
          <w:sz w:val="18"/>
          <w:szCs w:val="18"/>
        </w:rPr>
        <w:t>* ieviešanas gadā norādīta 11 mēnešu ietekme</w:t>
      </w:r>
    </w:p>
    <w:p w14:paraId="51EB4346" w14:textId="77777777" w:rsidR="002E2A0B" w:rsidRDefault="002E2A0B" w:rsidP="00860B45">
      <w:pPr>
        <w:spacing w:after="120"/>
        <w:ind w:right="-96"/>
        <w:jc w:val="center"/>
        <w:rPr>
          <w:szCs w:val="24"/>
        </w:rPr>
      </w:pPr>
    </w:p>
    <w:p w14:paraId="4980C7E5" w14:textId="77777777" w:rsidR="00860B45" w:rsidRDefault="00DA16D3" w:rsidP="00860B45">
      <w:pPr>
        <w:spacing w:after="120"/>
        <w:ind w:right="-96"/>
        <w:jc w:val="center"/>
        <w:rPr>
          <w:rFonts w:cs="Times New Roman"/>
          <w:b/>
          <w:szCs w:val="24"/>
        </w:rPr>
      </w:pPr>
      <w:r>
        <w:rPr>
          <w:szCs w:val="24"/>
        </w:rPr>
        <w:t>1</w:t>
      </w:r>
      <w:r w:rsidR="006C5A20">
        <w:rPr>
          <w:szCs w:val="24"/>
        </w:rPr>
        <w:t>7</w:t>
      </w:r>
      <w:r w:rsidR="00860B45" w:rsidRPr="00C75069">
        <w:rPr>
          <w:szCs w:val="24"/>
        </w:rPr>
        <w:t>.tab.</w:t>
      </w:r>
      <w:r w:rsidR="00860B45" w:rsidRPr="00072E66">
        <w:rPr>
          <w:b/>
          <w:szCs w:val="24"/>
        </w:rPr>
        <w:t xml:space="preserve"> AN likmes </w:t>
      </w:r>
      <w:r w:rsidR="00860B45">
        <w:rPr>
          <w:b/>
          <w:szCs w:val="24"/>
        </w:rPr>
        <w:t>e</w:t>
      </w:r>
      <w:r w:rsidR="00860B45" w:rsidRPr="00CD3E72">
        <w:rPr>
          <w:rFonts w:eastAsia="Times New Roman" w:cs="Times New Roman"/>
          <w:b/>
          <w:bCs/>
          <w:szCs w:val="24"/>
          <w:lang w:eastAsia="lv-LV"/>
        </w:rPr>
        <w:t>lektroniskajās cigaretēs izmantojamie</w:t>
      </w:r>
      <w:r w:rsidR="00860B45">
        <w:rPr>
          <w:rFonts w:eastAsia="Times New Roman" w:cs="Times New Roman"/>
          <w:b/>
          <w:bCs/>
          <w:szCs w:val="24"/>
          <w:lang w:eastAsia="lv-LV"/>
        </w:rPr>
        <w:t>m</w:t>
      </w:r>
      <w:r w:rsidR="00860B45" w:rsidRPr="00CD3E72">
        <w:rPr>
          <w:rFonts w:eastAsia="Times New Roman" w:cs="Times New Roman"/>
          <w:b/>
          <w:bCs/>
          <w:szCs w:val="24"/>
          <w:lang w:eastAsia="lv-LV"/>
        </w:rPr>
        <w:t xml:space="preserve"> šķidrumi</w:t>
      </w:r>
      <w:r w:rsidR="00860B45">
        <w:rPr>
          <w:rFonts w:eastAsia="Times New Roman" w:cs="Times New Roman"/>
          <w:b/>
          <w:bCs/>
          <w:szCs w:val="24"/>
          <w:lang w:eastAsia="lv-LV"/>
        </w:rPr>
        <w:t>em</w:t>
      </w:r>
      <w:r w:rsidR="00860B45" w:rsidRPr="00C75069">
        <w:rPr>
          <w:b/>
          <w:szCs w:val="24"/>
        </w:rPr>
        <w:t xml:space="preserve"> paaugstināšanas </w:t>
      </w:r>
      <w:r w:rsidR="00860B45" w:rsidRPr="00855E5C">
        <w:rPr>
          <w:rFonts w:cs="Times New Roman"/>
          <w:b/>
          <w:szCs w:val="24"/>
        </w:rPr>
        <w:t>ietekme uz cenu</w:t>
      </w:r>
      <w:r w:rsidR="00081240">
        <w:rPr>
          <w:rFonts w:cs="Times New Roman"/>
          <w:b/>
          <w:szCs w:val="24"/>
        </w:rPr>
        <w:t xml:space="preserve"> par 10 ml šķidruma</w:t>
      </w:r>
      <w:r w:rsidR="002A31EA">
        <w:rPr>
          <w:rFonts w:cs="Times New Roman"/>
          <w:b/>
          <w:szCs w:val="24"/>
        </w:rPr>
        <w:t xml:space="preserve"> 2021.-2023.gadā</w:t>
      </w:r>
    </w:p>
    <w:tbl>
      <w:tblPr>
        <w:tblStyle w:val="TableGrid"/>
        <w:tblW w:w="8964" w:type="dxa"/>
        <w:tblInd w:w="-5" w:type="dxa"/>
        <w:tblLook w:val="04A0" w:firstRow="1" w:lastRow="0" w:firstColumn="1" w:lastColumn="0" w:noHBand="0" w:noVBand="1"/>
      </w:tblPr>
      <w:tblGrid>
        <w:gridCol w:w="1095"/>
        <w:gridCol w:w="936"/>
        <w:gridCol w:w="795"/>
        <w:gridCol w:w="652"/>
        <w:gridCol w:w="933"/>
        <w:gridCol w:w="837"/>
        <w:gridCol w:w="782"/>
        <w:gridCol w:w="733"/>
        <w:gridCol w:w="759"/>
        <w:gridCol w:w="652"/>
        <w:gridCol w:w="790"/>
      </w:tblGrid>
      <w:tr w:rsidR="00081240" w:rsidRPr="00CB6538" w14:paraId="2682F019" w14:textId="77777777" w:rsidTr="002A31EA">
        <w:trPr>
          <w:trHeight w:val="79"/>
        </w:trPr>
        <w:tc>
          <w:tcPr>
            <w:tcW w:w="1095" w:type="dxa"/>
            <w:vMerge w:val="restart"/>
            <w:tcBorders>
              <w:top w:val="single" w:sz="4" w:space="0" w:color="FFFFFF"/>
              <w:left w:val="single" w:sz="4" w:space="0" w:color="auto"/>
              <w:right w:val="single" w:sz="4" w:space="0" w:color="FFFFFF"/>
            </w:tcBorders>
            <w:shd w:val="clear" w:color="auto" w:fill="002060"/>
            <w:noWrap/>
            <w:vAlign w:val="center"/>
            <w:hideMark/>
          </w:tcPr>
          <w:p w14:paraId="6C817282" w14:textId="77777777" w:rsidR="00081240" w:rsidRPr="00CB6538" w:rsidRDefault="00081240" w:rsidP="00A303CA">
            <w:pPr>
              <w:jc w:val="center"/>
              <w:rPr>
                <w:rFonts w:eastAsia="Times New Roman" w:cs="Times New Roman"/>
                <w:b/>
                <w:bCs/>
                <w:color w:val="FFFFFF" w:themeColor="background1"/>
                <w:sz w:val="20"/>
                <w:szCs w:val="20"/>
                <w:lang w:eastAsia="lv-LV"/>
              </w:rPr>
            </w:pPr>
            <w:r w:rsidRPr="00CB6538">
              <w:rPr>
                <w:rFonts w:eastAsia="Times New Roman" w:cs="Times New Roman"/>
                <w:b/>
                <w:bCs/>
                <w:color w:val="FFFFFF" w:themeColor="background1"/>
                <w:sz w:val="20"/>
                <w:szCs w:val="20"/>
                <w:lang w:eastAsia="lv-LV"/>
              </w:rPr>
              <w:t>Nikotīna daudzums 10 ml šķidruma, mg/ml</w:t>
            </w:r>
          </w:p>
        </w:tc>
        <w:tc>
          <w:tcPr>
            <w:tcW w:w="936" w:type="dxa"/>
            <w:vMerge w:val="restart"/>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3D12C8A8" w14:textId="77777777" w:rsidR="00081240" w:rsidRPr="00CB6538" w:rsidRDefault="00081240" w:rsidP="00A303CA">
            <w:pPr>
              <w:jc w:val="center"/>
              <w:rPr>
                <w:rFonts w:eastAsia="Times New Roman" w:cs="Times New Roman"/>
                <w:b/>
                <w:bCs/>
                <w:color w:val="FFFFFF" w:themeColor="background1"/>
                <w:sz w:val="20"/>
                <w:szCs w:val="20"/>
                <w:lang w:eastAsia="lv-LV"/>
              </w:rPr>
            </w:pPr>
            <w:r w:rsidRPr="00CB6538">
              <w:rPr>
                <w:rFonts w:eastAsia="Times New Roman" w:cs="Times New Roman"/>
                <w:b/>
                <w:bCs/>
                <w:color w:val="FFFFFF" w:themeColor="background1"/>
                <w:sz w:val="20"/>
                <w:szCs w:val="20"/>
                <w:lang w:eastAsia="lv-LV"/>
              </w:rPr>
              <w:t>Pašlaik spēkā</w:t>
            </w:r>
          </w:p>
        </w:tc>
        <w:tc>
          <w:tcPr>
            <w:tcW w:w="6933" w:type="dxa"/>
            <w:gridSpan w:val="9"/>
            <w:tcBorders>
              <w:top w:val="single" w:sz="4" w:space="0" w:color="FFFFFF"/>
              <w:left w:val="single" w:sz="4" w:space="0" w:color="FFFFFF"/>
              <w:bottom w:val="single" w:sz="4" w:space="0" w:color="FFFFFF"/>
              <w:right w:val="single" w:sz="4" w:space="0" w:color="auto"/>
            </w:tcBorders>
            <w:shd w:val="clear" w:color="auto" w:fill="002060"/>
            <w:noWrap/>
            <w:vAlign w:val="center"/>
            <w:hideMark/>
          </w:tcPr>
          <w:p w14:paraId="14A8B05F" w14:textId="77777777" w:rsidR="00081240" w:rsidRPr="00CB6538" w:rsidRDefault="00081240" w:rsidP="00A303CA">
            <w:pPr>
              <w:jc w:val="center"/>
              <w:rPr>
                <w:rFonts w:eastAsia="Times New Roman" w:cs="Times New Roman"/>
                <w:b/>
                <w:bCs/>
                <w:color w:val="FFFFFF" w:themeColor="background1"/>
                <w:sz w:val="20"/>
                <w:szCs w:val="20"/>
                <w:lang w:eastAsia="lv-LV"/>
              </w:rPr>
            </w:pPr>
            <w:r w:rsidRPr="0059667D">
              <w:rPr>
                <w:rFonts w:eastAsia="Times New Roman" w:cs="Times New Roman"/>
                <w:b/>
                <w:bCs/>
                <w:color w:val="FFFFFF" w:themeColor="background1"/>
                <w:sz w:val="22"/>
                <w:szCs w:val="20"/>
                <w:lang w:eastAsia="lv-LV"/>
              </w:rPr>
              <w:t>Priekšlikums</w:t>
            </w:r>
          </w:p>
        </w:tc>
      </w:tr>
      <w:tr w:rsidR="002A31EA" w:rsidRPr="00CB6538" w14:paraId="20E4DFD3" w14:textId="77777777" w:rsidTr="002A31EA">
        <w:trPr>
          <w:trHeight w:val="125"/>
        </w:trPr>
        <w:tc>
          <w:tcPr>
            <w:tcW w:w="1095" w:type="dxa"/>
            <w:vMerge/>
            <w:tcBorders>
              <w:left w:val="single" w:sz="4" w:space="0" w:color="auto"/>
              <w:right w:val="single" w:sz="4" w:space="0" w:color="FFFFFF"/>
            </w:tcBorders>
            <w:shd w:val="clear" w:color="auto" w:fill="002060"/>
            <w:noWrap/>
            <w:vAlign w:val="center"/>
            <w:hideMark/>
          </w:tcPr>
          <w:p w14:paraId="0841C2C8" w14:textId="77777777" w:rsidR="00081240" w:rsidRPr="00CB6538" w:rsidRDefault="00081240" w:rsidP="00A303CA">
            <w:pPr>
              <w:jc w:val="center"/>
              <w:rPr>
                <w:rFonts w:eastAsia="Times New Roman" w:cs="Times New Roman"/>
                <w:b/>
                <w:bCs/>
                <w:color w:val="FFFFFF" w:themeColor="background1"/>
                <w:sz w:val="20"/>
                <w:szCs w:val="20"/>
                <w:lang w:eastAsia="lv-LV"/>
              </w:rPr>
            </w:pPr>
          </w:p>
        </w:tc>
        <w:tc>
          <w:tcPr>
            <w:tcW w:w="936" w:type="dxa"/>
            <w:vMerge/>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5DDA2202" w14:textId="77777777" w:rsidR="00081240" w:rsidRPr="00CB6538" w:rsidRDefault="00081240" w:rsidP="00A303CA">
            <w:pPr>
              <w:jc w:val="center"/>
              <w:rPr>
                <w:rFonts w:eastAsia="Times New Roman" w:cs="Times New Roman"/>
                <w:b/>
                <w:bCs/>
                <w:color w:val="FFFFFF" w:themeColor="background1"/>
                <w:sz w:val="20"/>
                <w:szCs w:val="20"/>
                <w:lang w:eastAsia="lv-LV"/>
              </w:rPr>
            </w:pPr>
          </w:p>
        </w:tc>
        <w:tc>
          <w:tcPr>
            <w:tcW w:w="795" w:type="dxa"/>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14579F24" w14:textId="77777777" w:rsidR="00081240" w:rsidRPr="00CB6538" w:rsidRDefault="00081240" w:rsidP="00A303CA">
            <w:pPr>
              <w:jc w:val="center"/>
              <w:rPr>
                <w:rFonts w:eastAsia="Times New Roman" w:cs="Times New Roman"/>
                <w:b/>
                <w:bCs/>
                <w:color w:val="FFFFFF" w:themeColor="background1"/>
                <w:sz w:val="20"/>
                <w:szCs w:val="20"/>
                <w:lang w:eastAsia="lv-LV"/>
              </w:rPr>
            </w:pPr>
            <w:r w:rsidRPr="00CB6538">
              <w:rPr>
                <w:rFonts w:eastAsia="Times New Roman" w:cs="Times New Roman"/>
                <w:b/>
                <w:bCs/>
                <w:color w:val="FFFFFF" w:themeColor="background1"/>
                <w:sz w:val="22"/>
                <w:szCs w:val="20"/>
                <w:lang w:eastAsia="lv-LV"/>
              </w:rPr>
              <w:t>2021</w:t>
            </w:r>
          </w:p>
        </w:tc>
        <w:tc>
          <w:tcPr>
            <w:tcW w:w="1585" w:type="dxa"/>
            <w:gridSpan w:val="2"/>
            <w:tcBorders>
              <w:top w:val="single" w:sz="4" w:space="0" w:color="FFFFFF"/>
              <w:left w:val="single" w:sz="4" w:space="0" w:color="FFFFFF"/>
              <w:bottom w:val="single" w:sz="4" w:space="0" w:color="FFFFFF"/>
              <w:right w:val="single" w:sz="4" w:space="0" w:color="FFFFFF"/>
            </w:tcBorders>
            <w:shd w:val="clear" w:color="auto" w:fill="002060"/>
            <w:vAlign w:val="center"/>
            <w:hideMark/>
          </w:tcPr>
          <w:p w14:paraId="0080D796" w14:textId="77777777" w:rsidR="00081240" w:rsidRPr="00CB6538" w:rsidRDefault="00081240" w:rsidP="00A303CA">
            <w:pPr>
              <w:jc w:val="center"/>
              <w:rPr>
                <w:rFonts w:eastAsia="Times New Roman" w:cs="Times New Roman"/>
                <w:b/>
                <w:bCs/>
                <w:i/>
                <w:color w:val="FFFFFF" w:themeColor="background1"/>
                <w:sz w:val="20"/>
                <w:szCs w:val="20"/>
                <w:lang w:eastAsia="lv-LV"/>
              </w:rPr>
            </w:pPr>
            <w:r>
              <w:rPr>
                <w:rFonts w:eastAsia="Times New Roman" w:cs="Times New Roman"/>
                <w:b/>
                <w:bCs/>
                <w:i/>
                <w:color w:val="FFFFFF" w:themeColor="background1"/>
                <w:sz w:val="20"/>
                <w:szCs w:val="20"/>
                <w:lang w:eastAsia="lv-LV"/>
              </w:rPr>
              <w:t>P</w:t>
            </w:r>
            <w:r w:rsidRPr="00CB6538">
              <w:rPr>
                <w:rFonts w:eastAsia="Times New Roman" w:cs="Times New Roman"/>
                <w:b/>
                <w:bCs/>
                <w:i/>
                <w:color w:val="FFFFFF" w:themeColor="background1"/>
                <w:sz w:val="20"/>
                <w:szCs w:val="20"/>
                <w:lang w:eastAsia="lv-LV"/>
              </w:rPr>
              <w:t xml:space="preserve">ieaugums pret </w:t>
            </w:r>
          </w:p>
          <w:p w14:paraId="69DB4F1C" w14:textId="77777777" w:rsidR="00081240" w:rsidRPr="00CB6538" w:rsidRDefault="00081240" w:rsidP="00A303CA">
            <w:pPr>
              <w:jc w:val="center"/>
              <w:rPr>
                <w:rFonts w:eastAsia="Times New Roman" w:cs="Times New Roman"/>
                <w:b/>
                <w:bCs/>
                <w:i/>
                <w:color w:val="FFFFFF" w:themeColor="background1"/>
                <w:sz w:val="20"/>
                <w:szCs w:val="20"/>
                <w:lang w:eastAsia="lv-LV"/>
              </w:rPr>
            </w:pPr>
            <w:r w:rsidRPr="00CB6538">
              <w:rPr>
                <w:rFonts w:eastAsia="Times New Roman" w:cs="Times New Roman"/>
                <w:b/>
                <w:bCs/>
                <w:i/>
                <w:color w:val="FFFFFF" w:themeColor="background1"/>
                <w:sz w:val="20"/>
                <w:szCs w:val="20"/>
                <w:lang w:eastAsia="lv-LV"/>
              </w:rPr>
              <w:t>2020.gadu</w:t>
            </w:r>
          </w:p>
        </w:tc>
        <w:tc>
          <w:tcPr>
            <w:tcW w:w="837" w:type="dxa"/>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1D76D92A" w14:textId="77777777" w:rsidR="00081240" w:rsidRPr="00CB6538" w:rsidRDefault="00081240" w:rsidP="00A303CA">
            <w:pPr>
              <w:jc w:val="center"/>
              <w:rPr>
                <w:rFonts w:eastAsia="Times New Roman" w:cs="Times New Roman"/>
                <w:b/>
                <w:bCs/>
                <w:color w:val="FFFFFF" w:themeColor="background1"/>
                <w:sz w:val="20"/>
                <w:szCs w:val="20"/>
                <w:lang w:eastAsia="lv-LV"/>
              </w:rPr>
            </w:pPr>
            <w:r w:rsidRPr="00CB6538">
              <w:rPr>
                <w:rFonts w:eastAsia="Times New Roman" w:cs="Times New Roman"/>
                <w:b/>
                <w:bCs/>
                <w:color w:val="FFFFFF" w:themeColor="background1"/>
                <w:sz w:val="22"/>
                <w:szCs w:val="20"/>
                <w:lang w:eastAsia="lv-LV"/>
              </w:rPr>
              <w:t>2022</w:t>
            </w:r>
          </w:p>
        </w:tc>
        <w:tc>
          <w:tcPr>
            <w:tcW w:w="1515" w:type="dxa"/>
            <w:gridSpan w:val="2"/>
            <w:tcBorders>
              <w:top w:val="single" w:sz="4" w:space="0" w:color="FFFFFF"/>
              <w:left w:val="single" w:sz="4" w:space="0" w:color="FFFFFF"/>
              <w:bottom w:val="single" w:sz="4" w:space="0" w:color="FFFFFF"/>
              <w:right w:val="single" w:sz="4" w:space="0" w:color="FFFFFF"/>
            </w:tcBorders>
            <w:shd w:val="clear" w:color="auto" w:fill="002060"/>
            <w:vAlign w:val="center"/>
            <w:hideMark/>
          </w:tcPr>
          <w:p w14:paraId="7375E617" w14:textId="77777777" w:rsidR="00081240" w:rsidRPr="00CB6538" w:rsidRDefault="00081240" w:rsidP="00A303CA">
            <w:pPr>
              <w:jc w:val="center"/>
              <w:rPr>
                <w:rFonts w:eastAsia="Times New Roman" w:cs="Times New Roman"/>
                <w:b/>
                <w:bCs/>
                <w:i/>
                <w:color w:val="FFFFFF" w:themeColor="background1"/>
                <w:sz w:val="20"/>
                <w:szCs w:val="20"/>
                <w:lang w:eastAsia="lv-LV"/>
              </w:rPr>
            </w:pPr>
            <w:r w:rsidRPr="00CB6538">
              <w:rPr>
                <w:rFonts w:eastAsia="Times New Roman" w:cs="Times New Roman"/>
                <w:b/>
                <w:bCs/>
                <w:i/>
                <w:color w:val="FFFFFF" w:themeColor="background1"/>
                <w:sz w:val="20"/>
                <w:szCs w:val="20"/>
                <w:lang w:eastAsia="lv-LV"/>
              </w:rPr>
              <w:t>Pieaugums pret 2021.gadu</w:t>
            </w:r>
          </w:p>
        </w:tc>
        <w:tc>
          <w:tcPr>
            <w:tcW w:w="759" w:type="dxa"/>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0D08E54A" w14:textId="77777777" w:rsidR="00081240" w:rsidRPr="00CB6538" w:rsidRDefault="00081240" w:rsidP="00A303CA">
            <w:pPr>
              <w:jc w:val="center"/>
              <w:rPr>
                <w:rFonts w:eastAsia="Times New Roman" w:cs="Times New Roman"/>
                <w:b/>
                <w:bCs/>
                <w:color w:val="FFFFFF" w:themeColor="background1"/>
                <w:sz w:val="20"/>
                <w:szCs w:val="20"/>
                <w:lang w:eastAsia="lv-LV"/>
              </w:rPr>
            </w:pPr>
            <w:r w:rsidRPr="00CB6538">
              <w:rPr>
                <w:rFonts w:eastAsia="Times New Roman" w:cs="Times New Roman"/>
                <w:b/>
                <w:bCs/>
                <w:color w:val="FFFFFF" w:themeColor="background1"/>
                <w:sz w:val="22"/>
                <w:szCs w:val="20"/>
                <w:lang w:eastAsia="lv-LV"/>
              </w:rPr>
              <w:t>2023</w:t>
            </w:r>
          </w:p>
        </w:tc>
        <w:tc>
          <w:tcPr>
            <w:tcW w:w="1442" w:type="dxa"/>
            <w:gridSpan w:val="2"/>
            <w:tcBorders>
              <w:top w:val="single" w:sz="4" w:space="0" w:color="FFFFFF"/>
              <w:left w:val="single" w:sz="4" w:space="0" w:color="FFFFFF"/>
              <w:bottom w:val="single" w:sz="4" w:space="0" w:color="FFFFFF"/>
              <w:right w:val="single" w:sz="4" w:space="0" w:color="auto"/>
            </w:tcBorders>
            <w:shd w:val="clear" w:color="auto" w:fill="002060"/>
            <w:vAlign w:val="center"/>
            <w:hideMark/>
          </w:tcPr>
          <w:p w14:paraId="2950EEC6" w14:textId="77777777" w:rsidR="00081240" w:rsidRPr="00CB6538" w:rsidRDefault="00081240" w:rsidP="00A303CA">
            <w:pPr>
              <w:jc w:val="center"/>
              <w:rPr>
                <w:rFonts w:eastAsia="Times New Roman" w:cs="Times New Roman"/>
                <w:b/>
                <w:bCs/>
                <w:i/>
                <w:color w:val="FFFFFF" w:themeColor="background1"/>
                <w:sz w:val="20"/>
                <w:szCs w:val="20"/>
                <w:lang w:eastAsia="lv-LV"/>
              </w:rPr>
            </w:pPr>
            <w:r w:rsidRPr="00CB6538">
              <w:rPr>
                <w:rFonts w:eastAsia="Times New Roman" w:cs="Times New Roman"/>
                <w:b/>
                <w:bCs/>
                <w:i/>
                <w:color w:val="FFFFFF" w:themeColor="background1"/>
                <w:sz w:val="20"/>
                <w:szCs w:val="20"/>
                <w:lang w:eastAsia="lv-LV"/>
              </w:rPr>
              <w:t>Pieaugums pret 2022.gadu</w:t>
            </w:r>
          </w:p>
        </w:tc>
      </w:tr>
      <w:tr w:rsidR="00081240" w:rsidRPr="00CB6538" w14:paraId="3283BBD5" w14:textId="77777777" w:rsidTr="006B6C49">
        <w:trPr>
          <w:trHeight w:val="229"/>
        </w:trPr>
        <w:tc>
          <w:tcPr>
            <w:tcW w:w="1095" w:type="dxa"/>
            <w:vMerge/>
            <w:tcBorders>
              <w:left w:val="single" w:sz="4" w:space="0" w:color="auto"/>
              <w:bottom w:val="single" w:sz="4" w:space="0" w:color="FFFFFF"/>
              <w:right w:val="single" w:sz="4" w:space="0" w:color="FFFFFF"/>
            </w:tcBorders>
            <w:shd w:val="clear" w:color="auto" w:fill="002060"/>
            <w:noWrap/>
            <w:vAlign w:val="center"/>
            <w:hideMark/>
          </w:tcPr>
          <w:p w14:paraId="076B567B" w14:textId="77777777" w:rsidR="00081240" w:rsidRPr="00CB6538" w:rsidRDefault="00081240" w:rsidP="00A303CA">
            <w:pPr>
              <w:jc w:val="center"/>
              <w:rPr>
                <w:rFonts w:eastAsia="Times New Roman" w:cs="Times New Roman"/>
                <w:b/>
                <w:bCs/>
                <w:color w:val="FFFFFF" w:themeColor="background1"/>
                <w:sz w:val="20"/>
                <w:szCs w:val="20"/>
                <w:lang w:eastAsia="lv-LV"/>
              </w:rPr>
            </w:pPr>
          </w:p>
        </w:tc>
        <w:tc>
          <w:tcPr>
            <w:tcW w:w="936" w:type="dxa"/>
            <w:tcBorders>
              <w:top w:val="single" w:sz="4" w:space="0" w:color="FFFFFF"/>
              <w:left w:val="single" w:sz="4" w:space="0" w:color="FFFFFF"/>
              <w:bottom w:val="single" w:sz="4" w:space="0" w:color="FFFFFF"/>
              <w:right w:val="single" w:sz="4" w:space="0" w:color="FFFFFF"/>
            </w:tcBorders>
            <w:shd w:val="clear" w:color="auto" w:fill="002060"/>
            <w:vAlign w:val="center"/>
            <w:hideMark/>
          </w:tcPr>
          <w:p w14:paraId="3BE16255" w14:textId="77777777" w:rsidR="00081240" w:rsidRPr="00CB6538" w:rsidRDefault="002A31EA" w:rsidP="00A303CA">
            <w:pPr>
              <w:jc w:val="center"/>
              <w:rPr>
                <w:rFonts w:eastAsia="Times New Roman" w:cs="Times New Roman"/>
                <w:bCs/>
                <w:color w:val="FFFFFF" w:themeColor="background1"/>
                <w:sz w:val="20"/>
                <w:szCs w:val="20"/>
                <w:lang w:eastAsia="lv-LV"/>
              </w:rPr>
            </w:pPr>
            <w:r w:rsidRPr="00CB6538">
              <w:rPr>
                <w:rFonts w:eastAsia="Times New Roman" w:cs="Times New Roman"/>
                <w:bCs/>
                <w:color w:val="FFFFFF" w:themeColor="background1"/>
                <w:sz w:val="18"/>
                <w:szCs w:val="20"/>
                <w:lang w:eastAsia="lv-LV"/>
              </w:rPr>
              <w:t>AN un PVN</w:t>
            </w:r>
            <w:r>
              <w:rPr>
                <w:rFonts w:eastAsia="Times New Roman" w:cs="Times New Roman"/>
                <w:bCs/>
                <w:color w:val="FFFFFF" w:themeColor="background1"/>
                <w:sz w:val="18"/>
                <w:szCs w:val="20"/>
                <w:lang w:eastAsia="lv-LV"/>
              </w:rPr>
              <w:t>*</w:t>
            </w:r>
          </w:p>
        </w:tc>
        <w:tc>
          <w:tcPr>
            <w:tcW w:w="795" w:type="dxa"/>
            <w:tcBorders>
              <w:top w:val="single" w:sz="4" w:space="0" w:color="FFFFFF"/>
              <w:left w:val="single" w:sz="4" w:space="0" w:color="FFFFFF"/>
              <w:bottom w:val="single" w:sz="4" w:space="0" w:color="FFFFFF"/>
              <w:right w:val="single" w:sz="4" w:space="0" w:color="FFFFFF"/>
            </w:tcBorders>
            <w:shd w:val="clear" w:color="auto" w:fill="002060"/>
            <w:vAlign w:val="center"/>
            <w:hideMark/>
          </w:tcPr>
          <w:p w14:paraId="508632D1" w14:textId="77777777" w:rsidR="00081240" w:rsidRPr="00CB6538" w:rsidRDefault="002A31EA" w:rsidP="00A303CA">
            <w:pPr>
              <w:jc w:val="center"/>
              <w:rPr>
                <w:rFonts w:eastAsia="Times New Roman" w:cs="Times New Roman"/>
                <w:bCs/>
                <w:color w:val="FFFFFF" w:themeColor="background1"/>
                <w:sz w:val="20"/>
                <w:szCs w:val="20"/>
                <w:lang w:eastAsia="lv-LV"/>
              </w:rPr>
            </w:pPr>
            <w:r w:rsidRPr="00CB6538">
              <w:rPr>
                <w:rFonts w:eastAsia="Times New Roman" w:cs="Times New Roman"/>
                <w:bCs/>
                <w:color w:val="FFFFFF" w:themeColor="background1"/>
                <w:sz w:val="18"/>
                <w:szCs w:val="20"/>
                <w:lang w:eastAsia="lv-LV"/>
              </w:rPr>
              <w:t>AN un PVN</w:t>
            </w:r>
            <w:r>
              <w:rPr>
                <w:rFonts w:eastAsia="Times New Roman" w:cs="Times New Roman"/>
                <w:bCs/>
                <w:color w:val="FFFFFF" w:themeColor="background1"/>
                <w:sz w:val="18"/>
                <w:szCs w:val="20"/>
                <w:lang w:eastAsia="lv-LV"/>
              </w:rPr>
              <w:t>*</w:t>
            </w:r>
          </w:p>
        </w:tc>
        <w:tc>
          <w:tcPr>
            <w:tcW w:w="652" w:type="dxa"/>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475850E5" w14:textId="77777777" w:rsidR="00081240" w:rsidRPr="00CB6538" w:rsidRDefault="00081240" w:rsidP="00A303CA">
            <w:pPr>
              <w:jc w:val="center"/>
              <w:rPr>
                <w:rFonts w:eastAsia="Times New Roman" w:cs="Times New Roman"/>
                <w:b/>
                <w:bCs/>
                <w:i/>
                <w:color w:val="FFFFFF" w:themeColor="background1"/>
                <w:sz w:val="20"/>
                <w:szCs w:val="20"/>
                <w:lang w:eastAsia="lv-LV"/>
              </w:rPr>
            </w:pPr>
            <w:r w:rsidRPr="00CB6538">
              <w:rPr>
                <w:rFonts w:eastAsia="Times New Roman" w:cs="Times New Roman"/>
                <w:b/>
                <w:bCs/>
                <w:i/>
                <w:color w:val="FFFFFF" w:themeColor="background1"/>
                <w:sz w:val="20"/>
                <w:szCs w:val="20"/>
                <w:lang w:eastAsia="lv-LV"/>
              </w:rPr>
              <w:t>euro</w:t>
            </w:r>
          </w:p>
        </w:tc>
        <w:tc>
          <w:tcPr>
            <w:tcW w:w="933" w:type="dxa"/>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22243A49" w14:textId="77777777" w:rsidR="00081240" w:rsidRPr="00CB6538" w:rsidRDefault="00081240" w:rsidP="00A303CA">
            <w:pPr>
              <w:jc w:val="center"/>
              <w:rPr>
                <w:rFonts w:eastAsia="Times New Roman" w:cs="Times New Roman"/>
                <w:b/>
                <w:bCs/>
                <w:i/>
                <w:color w:val="FFFFFF" w:themeColor="background1"/>
                <w:sz w:val="20"/>
                <w:szCs w:val="20"/>
                <w:lang w:eastAsia="lv-LV"/>
              </w:rPr>
            </w:pPr>
            <w:r w:rsidRPr="00CB6538">
              <w:rPr>
                <w:rFonts w:eastAsia="Times New Roman" w:cs="Times New Roman"/>
                <w:b/>
                <w:bCs/>
                <w:i/>
                <w:color w:val="FFFFFF" w:themeColor="background1"/>
                <w:sz w:val="20"/>
                <w:szCs w:val="20"/>
                <w:lang w:eastAsia="lv-LV"/>
              </w:rPr>
              <w:t>%</w:t>
            </w:r>
          </w:p>
        </w:tc>
        <w:tc>
          <w:tcPr>
            <w:tcW w:w="837" w:type="dxa"/>
            <w:tcBorders>
              <w:top w:val="single" w:sz="4" w:space="0" w:color="FFFFFF"/>
              <w:left w:val="single" w:sz="4" w:space="0" w:color="FFFFFF"/>
              <w:bottom w:val="single" w:sz="4" w:space="0" w:color="FFFFFF"/>
              <w:right w:val="single" w:sz="4" w:space="0" w:color="FFFFFF"/>
            </w:tcBorders>
            <w:shd w:val="clear" w:color="auto" w:fill="002060"/>
            <w:vAlign w:val="center"/>
            <w:hideMark/>
          </w:tcPr>
          <w:p w14:paraId="62DCB4DF" w14:textId="77777777" w:rsidR="00081240" w:rsidRPr="00CB6538" w:rsidRDefault="002A31EA" w:rsidP="00A303CA">
            <w:pPr>
              <w:jc w:val="center"/>
              <w:rPr>
                <w:rFonts w:eastAsia="Times New Roman" w:cs="Times New Roman"/>
                <w:b/>
                <w:bCs/>
                <w:color w:val="FFFFFF" w:themeColor="background1"/>
                <w:sz w:val="20"/>
                <w:szCs w:val="20"/>
                <w:lang w:eastAsia="lv-LV"/>
              </w:rPr>
            </w:pPr>
            <w:r w:rsidRPr="00CB6538">
              <w:rPr>
                <w:rFonts w:eastAsia="Times New Roman" w:cs="Times New Roman"/>
                <w:bCs/>
                <w:color w:val="FFFFFF" w:themeColor="background1"/>
                <w:sz w:val="18"/>
                <w:szCs w:val="20"/>
                <w:lang w:eastAsia="lv-LV"/>
              </w:rPr>
              <w:t>AN un PVN</w:t>
            </w:r>
            <w:r>
              <w:rPr>
                <w:rFonts w:eastAsia="Times New Roman" w:cs="Times New Roman"/>
                <w:bCs/>
                <w:color w:val="FFFFFF" w:themeColor="background1"/>
                <w:sz w:val="18"/>
                <w:szCs w:val="20"/>
                <w:lang w:eastAsia="lv-LV"/>
              </w:rPr>
              <w:t>*</w:t>
            </w:r>
          </w:p>
        </w:tc>
        <w:tc>
          <w:tcPr>
            <w:tcW w:w="782" w:type="dxa"/>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4813AB40" w14:textId="77777777" w:rsidR="00081240" w:rsidRPr="00CB6538" w:rsidRDefault="00081240" w:rsidP="00A303CA">
            <w:pPr>
              <w:jc w:val="center"/>
              <w:rPr>
                <w:rFonts w:eastAsia="Times New Roman" w:cs="Times New Roman"/>
                <w:b/>
                <w:bCs/>
                <w:i/>
                <w:color w:val="FFFFFF" w:themeColor="background1"/>
                <w:sz w:val="20"/>
                <w:szCs w:val="20"/>
                <w:lang w:eastAsia="lv-LV"/>
              </w:rPr>
            </w:pPr>
            <w:r w:rsidRPr="00CB6538">
              <w:rPr>
                <w:rFonts w:eastAsia="Times New Roman" w:cs="Times New Roman"/>
                <w:b/>
                <w:bCs/>
                <w:i/>
                <w:color w:val="FFFFFF" w:themeColor="background1"/>
                <w:sz w:val="20"/>
                <w:szCs w:val="20"/>
                <w:lang w:eastAsia="lv-LV"/>
              </w:rPr>
              <w:t>euro</w:t>
            </w:r>
          </w:p>
        </w:tc>
        <w:tc>
          <w:tcPr>
            <w:tcW w:w="733" w:type="dxa"/>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359D80BB" w14:textId="77777777" w:rsidR="00081240" w:rsidRPr="00CB6538" w:rsidRDefault="00081240" w:rsidP="00A303CA">
            <w:pPr>
              <w:jc w:val="center"/>
              <w:rPr>
                <w:rFonts w:eastAsia="Times New Roman" w:cs="Times New Roman"/>
                <w:b/>
                <w:bCs/>
                <w:i/>
                <w:color w:val="FFFFFF" w:themeColor="background1"/>
                <w:sz w:val="20"/>
                <w:szCs w:val="20"/>
                <w:lang w:eastAsia="lv-LV"/>
              </w:rPr>
            </w:pPr>
            <w:r w:rsidRPr="00CB6538">
              <w:rPr>
                <w:rFonts w:eastAsia="Times New Roman" w:cs="Times New Roman"/>
                <w:b/>
                <w:bCs/>
                <w:i/>
                <w:color w:val="FFFFFF" w:themeColor="background1"/>
                <w:sz w:val="20"/>
                <w:szCs w:val="20"/>
                <w:lang w:eastAsia="lv-LV"/>
              </w:rPr>
              <w:t>%</w:t>
            </w:r>
          </w:p>
        </w:tc>
        <w:tc>
          <w:tcPr>
            <w:tcW w:w="759" w:type="dxa"/>
            <w:tcBorders>
              <w:top w:val="single" w:sz="4" w:space="0" w:color="FFFFFF"/>
              <w:left w:val="single" w:sz="4" w:space="0" w:color="FFFFFF"/>
              <w:bottom w:val="single" w:sz="4" w:space="0" w:color="FFFFFF"/>
              <w:right w:val="single" w:sz="4" w:space="0" w:color="FFFFFF"/>
            </w:tcBorders>
            <w:shd w:val="clear" w:color="auto" w:fill="002060"/>
            <w:vAlign w:val="center"/>
            <w:hideMark/>
          </w:tcPr>
          <w:p w14:paraId="76604E89" w14:textId="77777777" w:rsidR="00081240" w:rsidRPr="00CB6538" w:rsidRDefault="002A31EA" w:rsidP="00A303CA">
            <w:pPr>
              <w:jc w:val="center"/>
              <w:rPr>
                <w:rFonts w:eastAsia="Times New Roman" w:cs="Times New Roman"/>
                <w:b/>
                <w:bCs/>
                <w:color w:val="FFFFFF" w:themeColor="background1"/>
                <w:sz w:val="20"/>
                <w:szCs w:val="20"/>
                <w:lang w:eastAsia="lv-LV"/>
              </w:rPr>
            </w:pPr>
            <w:r w:rsidRPr="00CB6538">
              <w:rPr>
                <w:rFonts w:eastAsia="Times New Roman" w:cs="Times New Roman"/>
                <w:bCs/>
                <w:color w:val="FFFFFF" w:themeColor="background1"/>
                <w:sz w:val="18"/>
                <w:szCs w:val="20"/>
                <w:lang w:eastAsia="lv-LV"/>
              </w:rPr>
              <w:t>AN un PVN</w:t>
            </w:r>
            <w:r>
              <w:rPr>
                <w:rFonts w:eastAsia="Times New Roman" w:cs="Times New Roman"/>
                <w:bCs/>
                <w:color w:val="FFFFFF" w:themeColor="background1"/>
                <w:sz w:val="18"/>
                <w:szCs w:val="20"/>
                <w:lang w:eastAsia="lv-LV"/>
              </w:rPr>
              <w:t>*</w:t>
            </w:r>
          </w:p>
        </w:tc>
        <w:tc>
          <w:tcPr>
            <w:tcW w:w="652" w:type="dxa"/>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67B1DE58" w14:textId="77777777" w:rsidR="00081240" w:rsidRPr="00CB6538" w:rsidRDefault="00081240" w:rsidP="00A303CA">
            <w:pPr>
              <w:jc w:val="center"/>
              <w:rPr>
                <w:rFonts w:eastAsia="Times New Roman" w:cs="Times New Roman"/>
                <w:b/>
                <w:bCs/>
                <w:i/>
                <w:color w:val="FFFFFF" w:themeColor="background1"/>
                <w:sz w:val="20"/>
                <w:szCs w:val="20"/>
                <w:lang w:eastAsia="lv-LV"/>
              </w:rPr>
            </w:pPr>
            <w:r w:rsidRPr="00CB6538">
              <w:rPr>
                <w:rFonts w:eastAsia="Times New Roman" w:cs="Times New Roman"/>
                <w:b/>
                <w:bCs/>
                <w:i/>
                <w:color w:val="FFFFFF" w:themeColor="background1"/>
                <w:sz w:val="20"/>
                <w:szCs w:val="20"/>
                <w:lang w:eastAsia="lv-LV"/>
              </w:rPr>
              <w:t>euro</w:t>
            </w:r>
          </w:p>
        </w:tc>
        <w:tc>
          <w:tcPr>
            <w:tcW w:w="790" w:type="dxa"/>
            <w:tcBorders>
              <w:top w:val="single" w:sz="4" w:space="0" w:color="FFFFFF"/>
              <w:left w:val="single" w:sz="4" w:space="0" w:color="FFFFFF"/>
              <w:bottom w:val="single" w:sz="4" w:space="0" w:color="FFFFFF"/>
              <w:right w:val="single" w:sz="4" w:space="0" w:color="auto"/>
            </w:tcBorders>
            <w:shd w:val="clear" w:color="auto" w:fill="002060"/>
            <w:noWrap/>
            <w:vAlign w:val="center"/>
            <w:hideMark/>
          </w:tcPr>
          <w:p w14:paraId="2DABCA7C" w14:textId="77777777" w:rsidR="00081240" w:rsidRPr="00CB6538" w:rsidRDefault="00081240" w:rsidP="00A303CA">
            <w:pPr>
              <w:jc w:val="center"/>
              <w:rPr>
                <w:rFonts w:eastAsia="Times New Roman" w:cs="Times New Roman"/>
                <w:b/>
                <w:bCs/>
                <w:i/>
                <w:color w:val="FFFFFF" w:themeColor="background1"/>
                <w:sz w:val="20"/>
                <w:szCs w:val="20"/>
                <w:lang w:eastAsia="lv-LV"/>
              </w:rPr>
            </w:pPr>
            <w:r w:rsidRPr="00CB6538">
              <w:rPr>
                <w:rFonts w:eastAsia="Times New Roman" w:cs="Times New Roman"/>
                <w:b/>
                <w:bCs/>
                <w:i/>
                <w:color w:val="FFFFFF" w:themeColor="background1"/>
                <w:sz w:val="20"/>
                <w:szCs w:val="20"/>
                <w:lang w:eastAsia="lv-LV"/>
              </w:rPr>
              <w:t>%</w:t>
            </w:r>
          </w:p>
        </w:tc>
      </w:tr>
      <w:tr w:rsidR="00CB0A6C" w:rsidRPr="00CB6538" w14:paraId="3B030D6A" w14:textId="77777777" w:rsidTr="006B6C49">
        <w:trPr>
          <w:trHeight w:val="236"/>
        </w:trPr>
        <w:tc>
          <w:tcPr>
            <w:tcW w:w="1095" w:type="dxa"/>
            <w:tcBorders>
              <w:top w:val="single" w:sz="4" w:space="0" w:color="FFFFFF"/>
              <w:bottom w:val="single" w:sz="4" w:space="0" w:color="808080" w:themeColor="background1" w:themeShade="80"/>
            </w:tcBorders>
            <w:vAlign w:val="center"/>
            <w:hideMark/>
          </w:tcPr>
          <w:p w14:paraId="02C9AA7B" w14:textId="77777777" w:rsidR="00CB0A6C" w:rsidRPr="00081240" w:rsidRDefault="00CB0A6C" w:rsidP="00CB0A6C">
            <w:pPr>
              <w:ind w:right="-96"/>
              <w:contextualSpacing/>
              <w:jc w:val="center"/>
              <w:rPr>
                <w:rFonts w:cs="Times New Roman"/>
                <w:b/>
                <w:sz w:val="20"/>
                <w:szCs w:val="24"/>
              </w:rPr>
            </w:pPr>
            <w:r w:rsidRPr="00081240">
              <w:rPr>
                <w:rFonts w:cs="Times New Roman"/>
                <w:b/>
                <w:sz w:val="20"/>
                <w:szCs w:val="24"/>
              </w:rPr>
              <w:t>0</w:t>
            </w:r>
          </w:p>
        </w:tc>
        <w:tc>
          <w:tcPr>
            <w:tcW w:w="936" w:type="dxa"/>
            <w:tcBorders>
              <w:top w:val="single" w:sz="4" w:space="0" w:color="FFFFFF"/>
              <w:bottom w:val="single" w:sz="4" w:space="0" w:color="808080" w:themeColor="background1" w:themeShade="80"/>
            </w:tcBorders>
            <w:shd w:val="clear" w:color="auto" w:fill="D9D9D9" w:themeFill="background1" w:themeFillShade="D9"/>
            <w:noWrap/>
            <w:hideMark/>
          </w:tcPr>
          <w:p w14:paraId="0D9DEAD5" w14:textId="77777777" w:rsidR="00CB0A6C" w:rsidRPr="00CB0A6C" w:rsidRDefault="00CB0A6C" w:rsidP="00CB0A6C">
            <w:pPr>
              <w:jc w:val="center"/>
              <w:rPr>
                <w:b/>
                <w:sz w:val="20"/>
              </w:rPr>
            </w:pPr>
            <w:r w:rsidRPr="00CB0A6C">
              <w:rPr>
                <w:b/>
                <w:sz w:val="20"/>
              </w:rPr>
              <w:t>0</w:t>
            </w:r>
            <w:r>
              <w:rPr>
                <w:b/>
                <w:sz w:val="20"/>
              </w:rPr>
              <w:t>,</w:t>
            </w:r>
            <w:r w:rsidRPr="00CB0A6C">
              <w:rPr>
                <w:b/>
                <w:sz w:val="20"/>
              </w:rPr>
              <w:t>12</w:t>
            </w:r>
          </w:p>
        </w:tc>
        <w:tc>
          <w:tcPr>
            <w:tcW w:w="795" w:type="dxa"/>
            <w:vMerge w:val="restart"/>
            <w:tcBorders>
              <w:top w:val="single" w:sz="4" w:space="0" w:color="FFFFFF"/>
            </w:tcBorders>
            <w:noWrap/>
            <w:vAlign w:val="center"/>
            <w:hideMark/>
          </w:tcPr>
          <w:p w14:paraId="7E469F0E" w14:textId="77777777" w:rsidR="00CB0A6C" w:rsidRPr="00CB6538" w:rsidRDefault="00CB0A6C" w:rsidP="00CB0A6C">
            <w:pPr>
              <w:ind w:right="-96"/>
              <w:contextualSpacing/>
              <w:jc w:val="center"/>
              <w:rPr>
                <w:rFonts w:cs="Times New Roman"/>
                <w:b/>
                <w:bCs/>
                <w:sz w:val="20"/>
                <w:szCs w:val="24"/>
              </w:rPr>
            </w:pPr>
            <w:r w:rsidRPr="00CB6538">
              <w:rPr>
                <w:rFonts w:cs="Times New Roman"/>
                <w:b/>
                <w:bCs/>
                <w:sz w:val="20"/>
                <w:szCs w:val="24"/>
              </w:rPr>
              <w:t>1</w:t>
            </w:r>
            <w:r>
              <w:rPr>
                <w:rFonts w:cs="Times New Roman"/>
                <w:b/>
                <w:bCs/>
                <w:sz w:val="20"/>
                <w:szCs w:val="24"/>
              </w:rPr>
              <w:t>,</w:t>
            </w:r>
            <w:r w:rsidRPr="00CB6538">
              <w:rPr>
                <w:rFonts w:cs="Times New Roman"/>
                <w:b/>
                <w:bCs/>
                <w:sz w:val="20"/>
                <w:szCs w:val="24"/>
              </w:rPr>
              <w:t xml:space="preserve">45 </w:t>
            </w:r>
          </w:p>
        </w:tc>
        <w:tc>
          <w:tcPr>
            <w:tcW w:w="652" w:type="dxa"/>
            <w:tcBorders>
              <w:top w:val="single" w:sz="4" w:space="0" w:color="FFFFFF"/>
              <w:bottom w:val="single" w:sz="4" w:space="0" w:color="808080" w:themeColor="background1" w:themeShade="80"/>
            </w:tcBorders>
            <w:noWrap/>
            <w:vAlign w:val="center"/>
            <w:hideMark/>
          </w:tcPr>
          <w:p w14:paraId="7650DD56" w14:textId="77777777" w:rsidR="00CB0A6C" w:rsidRDefault="00CB0A6C" w:rsidP="00CB0A6C">
            <w:pPr>
              <w:rPr>
                <w:rFonts w:ascii="Arial" w:hAnsi="Arial" w:cs="Arial"/>
                <w:i/>
                <w:iCs/>
                <w:color w:val="000000"/>
                <w:sz w:val="18"/>
                <w:szCs w:val="18"/>
              </w:rPr>
            </w:pPr>
            <w:r>
              <w:rPr>
                <w:rFonts w:ascii="Arial" w:hAnsi="Arial" w:cs="Arial"/>
                <w:i/>
                <w:iCs/>
                <w:color w:val="000000"/>
                <w:sz w:val="18"/>
                <w:szCs w:val="18"/>
              </w:rPr>
              <w:t xml:space="preserve">1,33 </w:t>
            </w:r>
          </w:p>
        </w:tc>
        <w:tc>
          <w:tcPr>
            <w:tcW w:w="933" w:type="dxa"/>
            <w:tcBorders>
              <w:top w:val="single" w:sz="4" w:space="0" w:color="FFFFFF"/>
              <w:bottom w:val="single" w:sz="4" w:space="0" w:color="808080" w:themeColor="background1" w:themeShade="80"/>
            </w:tcBorders>
            <w:noWrap/>
            <w:vAlign w:val="bottom"/>
            <w:hideMark/>
          </w:tcPr>
          <w:p w14:paraId="174812D2" w14:textId="77777777" w:rsidR="00CB0A6C" w:rsidRDefault="00CB0A6C" w:rsidP="00CB0A6C">
            <w:pPr>
              <w:jc w:val="right"/>
              <w:rPr>
                <w:rFonts w:cs="Times New Roman"/>
                <w:i/>
                <w:iCs/>
                <w:color w:val="000000"/>
                <w:sz w:val="18"/>
                <w:szCs w:val="18"/>
              </w:rPr>
            </w:pPr>
            <w:r>
              <w:rPr>
                <w:i/>
                <w:iCs/>
                <w:color w:val="000000"/>
                <w:sz w:val="18"/>
                <w:szCs w:val="18"/>
              </w:rPr>
              <w:t>1100,0%</w:t>
            </w:r>
          </w:p>
        </w:tc>
        <w:tc>
          <w:tcPr>
            <w:tcW w:w="837" w:type="dxa"/>
            <w:vMerge w:val="restart"/>
            <w:tcBorders>
              <w:top w:val="single" w:sz="4" w:space="0" w:color="FFFFFF"/>
            </w:tcBorders>
            <w:noWrap/>
            <w:vAlign w:val="center"/>
            <w:hideMark/>
          </w:tcPr>
          <w:p w14:paraId="4306CF64" w14:textId="77777777" w:rsidR="00CB0A6C" w:rsidRPr="00CB6538" w:rsidRDefault="00CB0A6C" w:rsidP="00CB0A6C">
            <w:pPr>
              <w:ind w:right="-96"/>
              <w:contextualSpacing/>
              <w:jc w:val="center"/>
              <w:rPr>
                <w:rFonts w:cs="Times New Roman"/>
                <w:b/>
                <w:bCs/>
                <w:sz w:val="20"/>
                <w:szCs w:val="24"/>
              </w:rPr>
            </w:pPr>
            <w:r w:rsidRPr="00CB6538">
              <w:rPr>
                <w:rFonts w:cs="Times New Roman"/>
                <w:b/>
                <w:bCs/>
                <w:sz w:val="20"/>
                <w:szCs w:val="24"/>
              </w:rPr>
              <w:t>1</w:t>
            </w:r>
            <w:r>
              <w:rPr>
                <w:rFonts w:cs="Times New Roman"/>
                <w:b/>
                <w:bCs/>
                <w:sz w:val="20"/>
                <w:szCs w:val="24"/>
              </w:rPr>
              <w:t>,</w:t>
            </w:r>
            <w:r w:rsidRPr="00CB6538">
              <w:rPr>
                <w:rFonts w:cs="Times New Roman"/>
                <w:b/>
                <w:bCs/>
                <w:sz w:val="20"/>
                <w:szCs w:val="24"/>
              </w:rPr>
              <w:t xml:space="preserve">94 </w:t>
            </w:r>
          </w:p>
        </w:tc>
        <w:tc>
          <w:tcPr>
            <w:tcW w:w="782" w:type="dxa"/>
            <w:vMerge w:val="restart"/>
            <w:tcBorders>
              <w:top w:val="single" w:sz="4" w:space="0" w:color="FFFFFF"/>
            </w:tcBorders>
            <w:noWrap/>
            <w:vAlign w:val="center"/>
            <w:hideMark/>
          </w:tcPr>
          <w:p w14:paraId="774F05A4" w14:textId="77777777" w:rsidR="00CB0A6C" w:rsidRPr="0059667D" w:rsidRDefault="00CB0A6C" w:rsidP="00CB0A6C">
            <w:pPr>
              <w:ind w:right="-96"/>
              <w:contextualSpacing/>
              <w:jc w:val="center"/>
              <w:rPr>
                <w:rFonts w:cs="Times New Roman"/>
                <w:b/>
                <w:i/>
                <w:iCs/>
                <w:sz w:val="20"/>
                <w:szCs w:val="24"/>
              </w:rPr>
            </w:pPr>
            <w:r w:rsidRPr="0059667D">
              <w:rPr>
                <w:rFonts w:cs="Times New Roman"/>
                <w:b/>
                <w:i/>
                <w:iCs/>
                <w:color w:val="FF0000"/>
                <w:sz w:val="20"/>
                <w:szCs w:val="24"/>
              </w:rPr>
              <w:t xml:space="preserve">0,48 </w:t>
            </w:r>
          </w:p>
        </w:tc>
        <w:tc>
          <w:tcPr>
            <w:tcW w:w="733" w:type="dxa"/>
            <w:vMerge w:val="restart"/>
            <w:tcBorders>
              <w:top w:val="single" w:sz="4" w:space="0" w:color="FFFFFF"/>
            </w:tcBorders>
            <w:noWrap/>
            <w:vAlign w:val="center"/>
            <w:hideMark/>
          </w:tcPr>
          <w:p w14:paraId="2D986E5F" w14:textId="77777777" w:rsidR="00CB0A6C" w:rsidRPr="0059667D" w:rsidRDefault="00CB0A6C" w:rsidP="00CB0A6C">
            <w:pPr>
              <w:ind w:right="-96"/>
              <w:contextualSpacing/>
              <w:jc w:val="center"/>
              <w:rPr>
                <w:rFonts w:cs="Times New Roman"/>
                <w:b/>
                <w:i/>
                <w:iCs/>
                <w:sz w:val="20"/>
                <w:szCs w:val="24"/>
              </w:rPr>
            </w:pPr>
            <w:r w:rsidRPr="0059667D">
              <w:rPr>
                <w:rFonts w:cs="Times New Roman"/>
                <w:b/>
                <w:i/>
                <w:iCs/>
                <w:sz w:val="20"/>
                <w:szCs w:val="24"/>
              </w:rPr>
              <w:t>33,3%</w:t>
            </w:r>
          </w:p>
        </w:tc>
        <w:tc>
          <w:tcPr>
            <w:tcW w:w="759" w:type="dxa"/>
            <w:vMerge w:val="restart"/>
            <w:tcBorders>
              <w:top w:val="single" w:sz="4" w:space="0" w:color="FFFFFF"/>
            </w:tcBorders>
            <w:noWrap/>
            <w:vAlign w:val="center"/>
            <w:hideMark/>
          </w:tcPr>
          <w:p w14:paraId="4BCF0DD9" w14:textId="77777777" w:rsidR="00CB0A6C" w:rsidRPr="0059667D" w:rsidRDefault="00CB0A6C" w:rsidP="00CB0A6C">
            <w:pPr>
              <w:ind w:right="-96"/>
              <w:contextualSpacing/>
              <w:jc w:val="center"/>
              <w:rPr>
                <w:rFonts w:cs="Times New Roman"/>
                <w:b/>
                <w:bCs/>
                <w:sz w:val="20"/>
                <w:szCs w:val="24"/>
              </w:rPr>
            </w:pPr>
            <w:r w:rsidRPr="0059667D">
              <w:rPr>
                <w:rFonts w:cs="Times New Roman"/>
                <w:b/>
                <w:bCs/>
                <w:sz w:val="20"/>
                <w:szCs w:val="24"/>
              </w:rPr>
              <w:t xml:space="preserve">2,42 </w:t>
            </w:r>
          </w:p>
        </w:tc>
        <w:tc>
          <w:tcPr>
            <w:tcW w:w="652" w:type="dxa"/>
            <w:vMerge w:val="restart"/>
            <w:tcBorders>
              <w:top w:val="single" w:sz="4" w:space="0" w:color="FFFFFF"/>
            </w:tcBorders>
            <w:noWrap/>
            <w:vAlign w:val="center"/>
            <w:hideMark/>
          </w:tcPr>
          <w:p w14:paraId="615327C7" w14:textId="77777777" w:rsidR="00CB0A6C" w:rsidRPr="0059667D" w:rsidRDefault="00CB0A6C" w:rsidP="00CB0A6C">
            <w:pPr>
              <w:ind w:right="-96"/>
              <w:contextualSpacing/>
              <w:jc w:val="center"/>
              <w:rPr>
                <w:rFonts w:cs="Times New Roman"/>
                <w:b/>
                <w:i/>
                <w:iCs/>
                <w:sz w:val="20"/>
                <w:szCs w:val="24"/>
              </w:rPr>
            </w:pPr>
            <w:r w:rsidRPr="0059667D">
              <w:rPr>
                <w:rFonts w:cs="Times New Roman"/>
                <w:b/>
                <w:i/>
                <w:iCs/>
                <w:color w:val="FF0000"/>
                <w:sz w:val="20"/>
                <w:szCs w:val="24"/>
              </w:rPr>
              <w:t xml:space="preserve">0,48 </w:t>
            </w:r>
          </w:p>
        </w:tc>
        <w:tc>
          <w:tcPr>
            <w:tcW w:w="790" w:type="dxa"/>
            <w:vMerge w:val="restart"/>
            <w:tcBorders>
              <w:top w:val="single" w:sz="4" w:space="0" w:color="FFFFFF"/>
            </w:tcBorders>
            <w:noWrap/>
            <w:vAlign w:val="center"/>
            <w:hideMark/>
          </w:tcPr>
          <w:p w14:paraId="4E29F75A" w14:textId="77777777" w:rsidR="00CB0A6C" w:rsidRPr="0059667D" w:rsidRDefault="00CB0A6C" w:rsidP="00CB0A6C">
            <w:pPr>
              <w:ind w:right="-96"/>
              <w:contextualSpacing/>
              <w:jc w:val="center"/>
              <w:rPr>
                <w:rFonts w:cs="Times New Roman"/>
                <w:b/>
                <w:i/>
                <w:iCs/>
                <w:sz w:val="20"/>
                <w:szCs w:val="24"/>
              </w:rPr>
            </w:pPr>
            <w:r w:rsidRPr="0059667D">
              <w:rPr>
                <w:rFonts w:cs="Times New Roman"/>
                <w:b/>
                <w:i/>
                <w:iCs/>
                <w:sz w:val="20"/>
                <w:szCs w:val="24"/>
              </w:rPr>
              <w:t>25,0%</w:t>
            </w:r>
          </w:p>
        </w:tc>
      </w:tr>
      <w:tr w:rsidR="00CB0A6C" w:rsidRPr="00CB6538" w14:paraId="66C35A36" w14:textId="77777777" w:rsidTr="006B6C49">
        <w:trPr>
          <w:trHeight w:val="211"/>
        </w:trPr>
        <w:tc>
          <w:tcPr>
            <w:tcW w:w="1095" w:type="dxa"/>
            <w:tcBorders>
              <w:top w:val="single" w:sz="4" w:space="0" w:color="808080" w:themeColor="background1" w:themeShade="80"/>
              <w:bottom w:val="single" w:sz="4" w:space="0" w:color="808080" w:themeColor="background1" w:themeShade="80"/>
            </w:tcBorders>
            <w:vAlign w:val="center"/>
            <w:hideMark/>
          </w:tcPr>
          <w:p w14:paraId="7F266D8D" w14:textId="77777777" w:rsidR="00CB0A6C" w:rsidRPr="00081240" w:rsidRDefault="00CB0A6C" w:rsidP="00CB0A6C">
            <w:pPr>
              <w:ind w:right="-96"/>
              <w:contextualSpacing/>
              <w:jc w:val="center"/>
              <w:rPr>
                <w:rFonts w:cs="Times New Roman"/>
                <w:b/>
                <w:sz w:val="20"/>
                <w:szCs w:val="24"/>
              </w:rPr>
            </w:pPr>
            <w:r w:rsidRPr="00081240">
              <w:rPr>
                <w:rFonts w:cs="Times New Roman"/>
                <w:b/>
                <w:sz w:val="20"/>
                <w:szCs w:val="24"/>
              </w:rPr>
              <w:t>5</w:t>
            </w:r>
          </w:p>
        </w:tc>
        <w:tc>
          <w:tcPr>
            <w:tcW w:w="936" w:type="dxa"/>
            <w:tcBorders>
              <w:top w:val="single" w:sz="4" w:space="0" w:color="808080" w:themeColor="background1" w:themeShade="80"/>
              <w:bottom w:val="single" w:sz="4" w:space="0" w:color="808080" w:themeColor="background1" w:themeShade="80"/>
            </w:tcBorders>
            <w:shd w:val="clear" w:color="auto" w:fill="D9D9D9" w:themeFill="background1" w:themeFillShade="D9"/>
            <w:noWrap/>
            <w:hideMark/>
          </w:tcPr>
          <w:p w14:paraId="0045B675" w14:textId="77777777" w:rsidR="00CB0A6C" w:rsidRPr="00CB0A6C" w:rsidRDefault="00CB0A6C" w:rsidP="00CB0A6C">
            <w:pPr>
              <w:jc w:val="center"/>
              <w:rPr>
                <w:b/>
                <w:sz w:val="20"/>
              </w:rPr>
            </w:pPr>
            <w:r w:rsidRPr="00CB0A6C">
              <w:rPr>
                <w:b/>
                <w:sz w:val="20"/>
              </w:rPr>
              <w:t>0</w:t>
            </w:r>
            <w:r>
              <w:rPr>
                <w:b/>
                <w:sz w:val="20"/>
              </w:rPr>
              <w:t>,</w:t>
            </w:r>
            <w:r w:rsidRPr="00CB0A6C">
              <w:rPr>
                <w:b/>
                <w:sz w:val="20"/>
              </w:rPr>
              <w:t>42</w:t>
            </w:r>
          </w:p>
        </w:tc>
        <w:tc>
          <w:tcPr>
            <w:tcW w:w="795" w:type="dxa"/>
            <w:vMerge/>
            <w:noWrap/>
            <w:vAlign w:val="center"/>
          </w:tcPr>
          <w:p w14:paraId="0D756047" w14:textId="77777777" w:rsidR="00CB0A6C" w:rsidRPr="00CB6538" w:rsidRDefault="00CB0A6C" w:rsidP="00CB0A6C">
            <w:pPr>
              <w:ind w:right="-96"/>
              <w:contextualSpacing/>
              <w:jc w:val="center"/>
              <w:rPr>
                <w:rFonts w:cs="Times New Roman"/>
                <w:b/>
                <w:bCs/>
                <w:sz w:val="20"/>
                <w:szCs w:val="24"/>
              </w:rPr>
            </w:pPr>
          </w:p>
        </w:tc>
        <w:tc>
          <w:tcPr>
            <w:tcW w:w="652" w:type="dxa"/>
            <w:tcBorders>
              <w:top w:val="single" w:sz="4" w:space="0" w:color="808080" w:themeColor="background1" w:themeShade="80"/>
              <w:bottom w:val="single" w:sz="4" w:space="0" w:color="808080" w:themeColor="background1" w:themeShade="80"/>
            </w:tcBorders>
            <w:noWrap/>
            <w:vAlign w:val="center"/>
            <w:hideMark/>
          </w:tcPr>
          <w:p w14:paraId="6AFB38FE" w14:textId="77777777" w:rsidR="00CB0A6C" w:rsidRDefault="00CB0A6C" w:rsidP="00CB0A6C">
            <w:pPr>
              <w:rPr>
                <w:rFonts w:ascii="Arial" w:hAnsi="Arial" w:cs="Arial"/>
                <w:i/>
                <w:iCs/>
                <w:color w:val="000000"/>
                <w:sz w:val="18"/>
                <w:szCs w:val="18"/>
              </w:rPr>
            </w:pPr>
            <w:r>
              <w:rPr>
                <w:rFonts w:ascii="Arial" w:hAnsi="Arial" w:cs="Arial"/>
                <w:i/>
                <w:iCs/>
                <w:color w:val="000000"/>
                <w:sz w:val="18"/>
                <w:szCs w:val="18"/>
              </w:rPr>
              <w:t xml:space="preserve">1,03 </w:t>
            </w:r>
          </w:p>
        </w:tc>
        <w:tc>
          <w:tcPr>
            <w:tcW w:w="933" w:type="dxa"/>
            <w:tcBorders>
              <w:top w:val="single" w:sz="4" w:space="0" w:color="808080" w:themeColor="background1" w:themeShade="80"/>
              <w:bottom w:val="single" w:sz="4" w:space="0" w:color="808080" w:themeColor="background1" w:themeShade="80"/>
            </w:tcBorders>
            <w:noWrap/>
            <w:vAlign w:val="bottom"/>
            <w:hideMark/>
          </w:tcPr>
          <w:p w14:paraId="42C64F22" w14:textId="77777777" w:rsidR="00CB0A6C" w:rsidRDefault="00CB0A6C" w:rsidP="00CB0A6C">
            <w:pPr>
              <w:jc w:val="right"/>
              <w:rPr>
                <w:rFonts w:cs="Times New Roman"/>
                <w:i/>
                <w:iCs/>
                <w:color w:val="000000"/>
                <w:sz w:val="18"/>
                <w:szCs w:val="18"/>
              </w:rPr>
            </w:pPr>
            <w:r>
              <w:rPr>
                <w:i/>
                <w:iCs/>
                <w:color w:val="000000"/>
                <w:sz w:val="18"/>
                <w:szCs w:val="18"/>
              </w:rPr>
              <w:t>242,9%</w:t>
            </w:r>
          </w:p>
        </w:tc>
        <w:tc>
          <w:tcPr>
            <w:tcW w:w="837" w:type="dxa"/>
            <w:vMerge/>
            <w:noWrap/>
            <w:vAlign w:val="center"/>
          </w:tcPr>
          <w:p w14:paraId="4CD695C1" w14:textId="77777777" w:rsidR="00CB0A6C" w:rsidRPr="00CB6538" w:rsidRDefault="00CB0A6C" w:rsidP="00CB0A6C">
            <w:pPr>
              <w:ind w:right="-96"/>
              <w:contextualSpacing/>
              <w:jc w:val="center"/>
              <w:rPr>
                <w:rFonts w:cs="Times New Roman"/>
                <w:b/>
                <w:bCs/>
                <w:sz w:val="20"/>
                <w:szCs w:val="24"/>
              </w:rPr>
            </w:pPr>
          </w:p>
        </w:tc>
        <w:tc>
          <w:tcPr>
            <w:tcW w:w="782" w:type="dxa"/>
            <w:vMerge/>
            <w:noWrap/>
            <w:vAlign w:val="center"/>
          </w:tcPr>
          <w:p w14:paraId="5F3BF51D" w14:textId="77777777" w:rsidR="00CB0A6C" w:rsidRPr="00CB6538" w:rsidRDefault="00CB0A6C" w:rsidP="00CB0A6C">
            <w:pPr>
              <w:ind w:right="-96"/>
              <w:contextualSpacing/>
              <w:jc w:val="center"/>
              <w:rPr>
                <w:rFonts w:cs="Times New Roman"/>
                <w:i/>
                <w:iCs/>
                <w:sz w:val="20"/>
                <w:szCs w:val="24"/>
              </w:rPr>
            </w:pPr>
          </w:p>
        </w:tc>
        <w:tc>
          <w:tcPr>
            <w:tcW w:w="733" w:type="dxa"/>
            <w:vMerge/>
            <w:noWrap/>
            <w:vAlign w:val="center"/>
          </w:tcPr>
          <w:p w14:paraId="1A3737DF" w14:textId="77777777" w:rsidR="00CB0A6C" w:rsidRPr="00CB6538" w:rsidRDefault="00CB0A6C" w:rsidP="00CB0A6C">
            <w:pPr>
              <w:ind w:right="-96"/>
              <w:contextualSpacing/>
              <w:jc w:val="center"/>
              <w:rPr>
                <w:rFonts w:cs="Times New Roman"/>
                <w:i/>
                <w:iCs/>
                <w:sz w:val="20"/>
                <w:szCs w:val="24"/>
              </w:rPr>
            </w:pPr>
          </w:p>
        </w:tc>
        <w:tc>
          <w:tcPr>
            <w:tcW w:w="759" w:type="dxa"/>
            <w:vMerge/>
            <w:noWrap/>
            <w:vAlign w:val="center"/>
          </w:tcPr>
          <w:p w14:paraId="536733C9" w14:textId="77777777" w:rsidR="00CB0A6C" w:rsidRPr="00CB6538" w:rsidRDefault="00CB0A6C" w:rsidP="00CB0A6C">
            <w:pPr>
              <w:ind w:right="-96"/>
              <w:contextualSpacing/>
              <w:jc w:val="center"/>
              <w:rPr>
                <w:rFonts w:cs="Times New Roman"/>
                <w:b/>
                <w:bCs/>
                <w:sz w:val="20"/>
                <w:szCs w:val="24"/>
              </w:rPr>
            </w:pPr>
          </w:p>
        </w:tc>
        <w:tc>
          <w:tcPr>
            <w:tcW w:w="652" w:type="dxa"/>
            <w:vMerge/>
            <w:noWrap/>
            <w:vAlign w:val="center"/>
          </w:tcPr>
          <w:p w14:paraId="393A94B0" w14:textId="77777777" w:rsidR="00CB0A6C" w:rsidRPr="00CB6538" w:rsidRDefault="00CB0A6C" w:rsidP="00CB0A6C">
            <w:pPr>
              <w:ind w:right="-96"/>
              <w:contextualSpacing/>
              <w:jc w:val="center"/>
              <w:rPr>
                <w:rFonts w:cs="Times New Roman"/>
                <w:i/>
                <w:iCs/>
                <w:sz w:val="20"/>
                <w:szCs w:val="24"/>
              </w:rPr>
            </w:pPr>
          </w:p>
        </w:tc>
        <w:tc>
          <w:tcPr>
            <w:tcW w:w="790" w:type="dxa"/>
            <w:vMerge/>
            <w:noWrap/>
            <w:vAlign w:val="center"/>
          </w:tcPr>
          <w:p w14:paraId="176708A5" w14:textId="77777777" w:rsidR="00CB0A6C" w:rsidRPr="00CB6538" w:rsidRDefault="00CB0A6C" w:rsidP="00CB0A6C">
            <w:pPr>
              <w:ind w:right="-96"/>
              <w:contextualSpacing/>
              <w:jc w:val="center"/>
              <w:rPr>
                <w:rFonts w:cs="Times New Roman"/>
                <w:i/>
                <w:iCs/>
                <w:sz w:val="20"/>
                <w:szCs w:val="24"/>
              </w:rPr>
            </w:pPr>
          </w:p>
        </w:tc>
      </w:tr>
      <w:tr w:rsidR="00CB0A6C" w:rsidRPr="00CB6538" w14:paraId="475964AE" w14:textId="77777777" w:rsidTr="006B6C49">
        <w:trPr>
          <w:trHeight w:val="211"/>
        </w:trPr>
        <w:tc>
          <w:tcPr>
            <w:tcW w:w="1095" w:type="dxa"/>
            <w:tcBorders>
              <w:top w:val="single" w:sz="4" w:space="0" w:color="808080" w:themeColor="background1" w:themeShade="80"/>
              <w:bottom w:val="single" w:sz="4" w:space="0" w:color="808080" w:themeColor="background1" w:themeShade="80"/>
            </w:tcBorders>
            <w:vAlign w:val="center"/>
            <w:hideMark/>
          </w:tcPr>
          <w:p w14:paraId="6F68B343" w14:textId="77777777" w:rsidR="00CB0A6C" w:rsidRPr="00081240" w:rsidRDefault="00CB0A6C" w:rsidP="00CB0A6C">
            <w:pPr>
              <w:ind w:right="-96"/>
              <w:contextualSpacing/>
              <w:jc w:val="center"/>
              <w:rPr>
                <w:rFonts w:cs="Times New Roman"/>
                <w:b/>
                <w:sz w:val="20"/>
                <w:szCs w:val="24"/>
              </w:rPr>
            </w:pPr>
            <w:r w:rsidRPr="00081240">
              <w:rPr>
                <w:rFonts w:cs="Times New Roman"/>
                <w:b/>
                <w:sz w:val="20"/>
                <w:szCs w:val="24"/>
              </w:rPr>
              <w:t>10</w:t>
            </w:r>
          </w:p>
        </w:tc>
        <w:tc>
          <w:tcPr>
            <w:tcW w:w="936" w:type="dxa"/>
            <w:tcBorders>
              <w:top w:val="single" w:sz="4" w:space="0" w:color="808080" w:themeColor="background1" w:themeShade="80"/>
              <w:bottom w:val="single" w:sz="4" w:space="0" w:color="808080" w:themeColor="background1" w:themeShade="80"/>
            </w:tcBorders>
            <w:shd w:val="clear" w:color="auto" w:fill="D9D9D9" w:themeFill="background1" w:themeFillShade="D9"/>
            <w:noWrap/>
            <w:hideMark/>
          </w:tcPr>
          <w:p w14:paraId="1EB215E4" w14:textId="77777777" w:rsidR="00CB0A6C" w:rsidRPr="00CB0A6C" w:rsidRDefault="00CB0A6C" w:rsidP="00CB0A6C">
            <w:pPr>
              <w:jc w:val="center"/>
              <w:rPr>
                <w:b/>
                <w:sz w:val="20"/>
              </w:rPr>
            </w:pPr>
            <w:r w:rsidRPr="00CB0A6C">
              <w:rPr>
                <w:b/>
                <w:sz w:val="20"/>
              </w:rPr>
              <w:t>0</w:t>
            </w:r>
            <w:r>
              <w:rPr>
                <w:b/>
                <w:sz w:val="20"/>
              </w:rPr>
              <w:t>,</w:t>
            </w:r>
            <w:r w:rsidRPr="00CB0A6C">
              <w:rPr>
                <w:b/>
                <w:sz w:val="20"/>
              </w:rPr>
              <w:t>73</w:t>
            </w:r>
          </w:p>
        </w:tc>
        <w:tc>
          <w:tcPr>
            <w:tcW w:w="795" w:type="dxa"/>
            <w:vMerge/>
            <w:noWrap/>
            <w:vAlign w:val="center"/>
          </w:tcPr>
          <w:p w14:paraId="30FE8BBE" w14:textId="77777777" w:rsidR="00CB0A6C" w:rsidRPr="00CB6538" w:rsidRDefault="00CB0A6C" w:rsidP="00CB0A6C">
            <w:pPr>
              <w:ind w:right="-96"/>
              <w:contextualSpacing/>
              <w:jc w:val="center"/>
              <w:rPr>
                <w:rFonts w:cs="Times New Roman"/>
                <w:b/>
                <w:bCs/>
                <w:sz w:val="20"/>
                <w:szCs w:val="24"/>
              </w:rPr>
            </w:pPr>
          </w:p>
        </w:tc>
        <w:tc>
          <w:tcPr>
            <w:tcW w:w="652" w:type="dxa"/>
            <w:tcBorders>
              <w:top w:val="single" w:sz="4" w:space="0" w:color="808080" w:themeColor="background1" w:themeShade="80"/>
              <w:bottom w:val="single" w:sz="4" w:space="0" w:color="808080" w:themeColor="background1" w:themeShade="80"/>
            </w:tcBorders>
            <w:noWrap/>
            <w:vAlign w:val="center"/>
            <w:hideMark/>
          </w:tcPr>
          <w:p w14:paraId="3043CF8A" w14:textId="77777777" w:rsidR="00CB0A6C" w:rsidRDefault="00CB0A6C" w:rsidP="00CB0A6C">
            <w:pPr>
              <w:rPr>
                <w:rFonts w:ascii="Arial" w:hAnsi="Arial" w:cs="Arial"/>
                <w:i/>
                <w:iCs/>
                <w:color w:val="000000"/>
                <w:sz w:val="18"/>
                <w:szCs w:val="18"/>
              </w:rPr>
            </w:pPr>
            <w:r>
              <w:rPr>
                <w:rFonts w:ascii="Arial" w:hAnsi="Arial" w:cs="Arial"/>
                <w:i/>
                <w:iCs/>
                <w:color w:val="000000"/>
                <w:sz w:val="18"/>
                <w:szCs w:val="18"/>
              </w:rPr>
              <w:t xml:space="preserve">0,73 </w:t>
            </w:r>
          </w:p>
        </w:tc>
        <w:tc>
          <w:tcPr>
            <w:tcW w:w="933" w:type="dxa"/>
            <w:tcBorders>
              <w:top w:val="single" w:sz="4" w:space="0" w:color="808080" w:themeColor="background1" w:themeShade="80"/>
              <w:bottom w:val="single" w:sz="4" w:space="0" w:color="808080" w:themeColor="background1" w:themeShade="80"/>
            </w:tcBorders>
            <w:noWrap/>
            <w:vAlign w:val="bottom"/>
            <w:hideMark/>
          </w:tcPr>
          <w:p w14:paraId="347DC0F8" w14:textId="77777777" w:rsidR="00CB0A6C" w:rsidRDefault="00CB0A6C" w:rsidP="00CB0A6C">
            <w:pPr>
              <w:jc w:val="right"/>
              <w:rPr>
                <w:rFonts w:cs="Times New Roman"/>
                <w:i/>
                <w:iCs/>
                <w:color w:val="000000"/>
                <w:sz w:val="18"/>
                <w:szCs w:val="18"/>
              </w:rPr>
            </w:pPr>
            <w:r>
              <w:rPr>
                <w:i/>
                <w:iCs/>
                <w:color w:val="000000"/>
                <w:sz w:val="18"/>
                <w:szCs w:val="18"/>
              </w:rPr>
              <w:t>100,0%</w:t>
            </w:r>
          </w:p>
        </w:tc>
        <w:tc>
          <w:tcPr>
            <w:tcW w:w="837" w:type="dxa"/>
            <w:vMerge/>
            <w:noWrap/>
            <w:vAlign w:val="center"/>
          </w:tcPr>
          <w:p w14:paraId="5760A9C8" w14:textId="77777777" w:rsidR="00CB0A6C" w:rsidRPr="00CB6538" w:rsidRDefault="00CB0A6C" w:rsidP="00CB0A6C">
            <w:pPr>
              <w:ind w:right="-96"/>
              <w:contextualSpacing/>
              <w:jc w:val="center"/>
              <w:rPr>
                <w:rFonts w:cs="Times New Roman"/>
                <w:b/>
                <w:bCs/>
                <w:sz w:val="20"/>
                <w:szCs w:val="24"/>
              </w:rPr>
            </w:pPr>
          </w:p>
        </w:tc>
        <w:tc>
          <w:tcPr>
            <w:tcW w:w="782" w:type="dxa"/>
            <w:vMerge/>
            <w:noWrap/>
            <w:vAlign w:val="center"/>
          </w:tcPr>
          <w:p w14:paraId="325E46A2" w14:textId="77777777" w:rsidR="00CB0A6C" w:rsidRPr="00CB6538" w:rsidRDefault="00CB0A6C" w:rsidP="00CB0A6C">
            <w:pPr>
              <w:ind w:right="-96"/>
              <w:contextualSpacing/>
              <w:jc w:val="center"/>
              <w:rPr>
                <w:rFonts w:cs="Times New Roman"/>
                <w:i/>
                <w:iCs/>
                <w:sz w:val="20"/>
                <w:szCs w:val="24"/>
              </w:rPr>
            </w:pPr>
          </w:p>
        </w:tc>
        <w:tc>
          <w:tcPr>
            <w:tcW w:w="733" w:type="dxa"/>
            <w:vMerge/>
            <w:noWrap/>
            <w:vAlign w:val="center"/>
          </w:tcPr>
          <w:p w14:paraId="65C87AAF" w14:textId="77777777" w:rsidR="00CB0A6C" w:rsidRPr="00CB6538" w:rsidRDefault="00CB0A6C" w:rsidP="00CB0A6C">
            <w:pPr>
              <w:ind w:right="-96"/>
              <w:contextualSpacing/>
              <w:jc w:val="center"/>
              <w:rPr>
                <w:rFonts w:cs="Times New Roman"/>
                <w:i/>
                <w:iCs/>
                <w:sz w:val="20"/>
                <w:szCs w:val="24"/>
              </w:rPr>
            </w:pPr>
          </w:p>
        </w:tc>
        <w:tc>
          <w:tcPr>
            <w:tcW w:w="759" w:type="dxa"/>
            <w:vMerge/>
            <w:noWrap/>
            <w:vAlign w:val="center"/>
          </w:tcPr>
          <w:p w14:paraId="57177080" w14:textId="77777777" w:rsidR="00CB0A6C" w:rsidRPr="00CB6538" w:rsidRDefault="00CB0A6C" w:rsidP="00CB0A6C">
            <w:pPr>
              <w:ind w:right="-96"/>
              <w:contextualSpacing/>
              <w:jc w:val="center"/>
              <w:rPr>
                <w:rFonts w:cs="Times New Roman"/>
                <w:b/>
                <w:bCs/>
                <w:sz w:val="20"/>
                <w:szCs w:val="24"/>
              </w:rPr>
            </w:pPr>
          </w:p>
        </w:tc>
        <w:tc>
          <w:tcPr>
            <w:tcW w:w="652" w:type="dxa"/>
            <w:vMerge/>
            <w:noWrap/>
            <w:vAlign w:val="center"/>
          </w:tcPr>
          <w:p w14:paraId="3943D20A" w14:textId="77777777" w:rsidR="00CB0A6C" w:rsidRPr="00CB6538" w:rsidRDefault="00CB0A6C" w:rsidP="00CB0A6C">
            <w:pPr>
              <w:ind w:right="-96"/>
              <w:contextualSpacing/>
              <w:jc w:val="center"/>
              <w:rPr>
                <w:rFonts w:cs="Times New Roman"/>
                <w:i/>
                <w:iCs/>
                <w:sz w:val="20"/>
                <w:szCs w:val="24"/>
              </w:rPr>
            </w:pPr>
          </w:p>
        </w:tc>
        <w:tc>
          <w:tcPr>
            <w:tcW w:w="790" w:type="dxa"/>
            <w:vMerge/>
            <w:noWrap/>
            <w:vAlign w:val="center"/>
          </w:tcPr>
          <w:p w14:paraId="79DDA6EA" w14:textId="77777777" w:rsidR="00CB0A6C" w:rsidRPr="00CB6538" w:rsidRDefault="00CB0A6C" w:rsidP="00CB0A6C">
            <w:pPr>
              <w:ind w:right="-96"/>
              <w:contextualSpacing/>
              <w:jc w:val="center"/>
              <w:rPr>
                <w:rFonts w:cs="Times New Roman"/>
                <w:i/>
                <w:iCs/>
                <w:sz w:val="20"/>
                <w:szCs w:val="24"/>
              </w:rPr>
            </w:pPr>
          </w:p>
        </w:tc>
      </w:tr>
      <w:tr w:rsidR="00CB0A6C" w:rsidRPr="00CB6538" w14:paraId="6E6F00D7" w14:textId="77777777" w:rsidTr="006B6C49">
        <w:trPr>
          <w:trHeight w:val="211"/>
        </w:trPr>
        <w:tc>
          <w:tcPr>
            <w:tcW w:w="1095" w:type="dxa"/>
            <w:tcBorders>
              <w:top w:val="single" w:sz="4" w:space="0" w:color="808080" w:themeColor="background1" w:themeShade="80"/>
              <w:bottom w:val="single" w:sz="4" w:space="0" w:color="808080" w:themeColor="background1" w:themeShade="80"/>
            </w:tcBorders>
            <w:vAlign w:val="center"/>
            <w:hideMark/>
          </w:tcPr>
          <w:p w14:paraId="4B7842D9" w14:textId="77777777" w:rsidR="00CB0A6C" w:rsidRPr="00081240" w:rsidRDefault="00CB0A6C" w:rsidP="00CB0A6C">
            <w:pPr>
              <w:ind w:right="-96"/>
              <w:contextualSpacing/>
              <w:jc w:val="center"/>
              <w:rPr>
                <w:rFonts w:cs="Times New Roman"/>
                <w:b/>
                <w:sz w:val="20"/>
                <w:szCs w:val="24"/>
              </w:rPr>
            </w:pPr>
            <w:r w:rsidRPr="00081240">
              <w:rPr>
                <w:rFonts w:cs="Times New Roman"/>
                <w:b/>
                <w:sz w:val="20"/>
                <w:szCs w:val="24"/>
              </w:rPr>
              <w:t>15</w:t>
            </w:r>
          </w:p>
        </w:tc>
        <w:tc>
          <w:tcPr>
            <w:tcW w:w="936" w:type="dxa"/>
            <w:tcBorders>
              <w:top w:val="single" w:sz="4" w:space="0" w:color="808080" w:themeColor="background1" w:themeShade="80"/>
              <w:bottom w:val="single" w:sz="4" w:space="0" w:color="808080" w:themeColor="background1" w:themeShade="80"/>
            </w:tcBorders>
            <w:shd w:val="clear" w:color="auto" w:fill="D9D9D9" w:themeFill="background1" w:themeFillShade="D9"/>
            <w:noWrap/>
            <w:hideMark/>
          </w:tcPr>
          <w:p w14:paraId="5FA95E4A" w14:textId="77777777" w:rsidR="00CB0A6C" w:rsidRPr="00CB0A6C" w:rsidRDefault="00CB0A6C" w:rsidP="00CB0A6C">
            <w:pPr>
              <w:jc w:val="center"/>
              <w:rPr>
                <w:b/>
                <w:sz w:val="20"/>
              </w:rPr>
            </w:pPr>
            <w:r w:rsidRPr="00CB0A6C">
              <w:rPr>
                <w:b/>
                <w:sz w:val="20"/>
              </w:rPr>
              <w:t>1</w:t>
            </w:r>
            <w:r>
              <w:rPr>
                <w:b/>
                <w:sz w:val="20"/>
              </w:rPr>
              <w:t>,</w:t>
            </w:r>
            <w:r w:rsidRPr="00CB0A6C">
              <w:rPr>
                <w:b/>
                <w:sz w:val="20"/>
              </w:rPr>
              <w:t>03</w:t>
            </w:r>
          </w:p>
        </w:tc>
        <w:tc>
          <w:tcPr>
            <w:tcW w:w="795" w:type="dxa"/>
            <w:vMerge/>
            <w:noWrap/>
            <w:vAlign w:val="center"/>
          </w:tcPr>
          <w:p w14:paraId="7F932674" w14:textId="77777777" w:rsidR="00CB0A6C" w:rsidRPr="00CB6538" w:rsidRDefault="00CB0A6C" w:rsidP="00CB0A6C">
            <w:pPr>
              <w:ind w:right="-96"/>
              <w:contextualSpacing/>
              <w:jc w:val="center"/>
              <w:rPr>
                <w:rFonts w:cs="Times New Roman"/>
                <w:b/>
                <w:bCs/>
                <w:sz w:val="20"/>
                <w:szCs w:val="24"/>
              </w:rPr>
            </w:pPr>
          </w:p>
        </w:tc>
        <w:tc>
          <w:tcPr>
            <w:tcW w:w="652" w:type="dxa"/>
            <w:tcBorders>
              <w:top w:val="single" w:sz="4" w:space="0" w:color="808080" w:themeColor="background1" w:themeShade="80"/>
              <w:bottom w:val="single" w:sz="4" w:space="0" w:color="808080" w:themeColor="background1" w:themeShade="80"/>
            </w:tcBorders>
            <w:noWrap/>
            <w:vAlign w:val="center"/>
            <w:hideMark/>
          </w:tcPr>
          <w:p w14:paraId="4B372DB8" w14:textId="77777777" w:rsidR="00CB0A6C" w:rsidRDefault="00CB0A6C" w:rsidP="00CB0A6C">
            <w:pPr>
              <w:rPr>
                <w:rFonts w:ascii="Arial" w:hAnsi="Arial" w:cs="Arial"/>
                <w:i/>
                <w:iCs/>
                <w:color w:val="000000"/>
                <w:sz w:val="18"/>
                <w:szCs w:val="18"/>
              </w:rPr>
            </w:pPr>
            <w:r>
              <w:rPr>
                <w:rFonts w:ascii="Arial" w:hAnsi="Arial" w:cs="Arial"/>
                <w:i/>
                <w:iCs/>
                <w:color w:val="000000"/>
                <w:sz w:val="18"/>
                <w:szCs w:val="18"/>
              </w:rPr>
              <w:t xml:space="preserve">0,42 </w:t>
            </w:r>
          </w:p>
        </w:tc>
        <w:tc>
          <w:tcPr>
            <w:tcW w:w="933" w:type="dxa"/>
            <w:tcBorders>
              <w:top w:val="single" w:sz="4" w:space="0" w:color="808080" w:themeColor="background1" w:themeShade="80"/>
              <w:bottom w:val="single" w:sz="4" w:space="0" w:color="808080" w:themeColor="background1" w:themeShade="80"/>
            </w:tcBorders>
            <w:noWrap/>
            <w:vAlign w:val="bottom"/>
            <w:hideMark/>
          </w:tcPr>
          <w:p w14:paraId="1EE1D62B" w14:textId="77777777" w:rsidR="00CB0A6C" w:rsidRDefault="00CB0A6C" w:rsidP="00CB0A6C">
            <w:pPr>
              <w:jc w:val="right"/>
              <w:rPr>
                <w:rFonts w:cs="Times New Roman"/>
                <w:i/>
                <w:iCs/>
                <w:color w:val="000000"/>
                <w:sz w:val="18"/>
                <w:szCs w:val="18"/>
              </w:rPr>
            </w:pPr>
            <w:r>
              <w:rPr>
                <w:i/>
                <w:iCs/>
                <w:color w:val="000000"/>
                <w:sz w:val="18"/>
                <w:szCs w:val="18"/>
              </w:rPr>
              <w:t>41,2%</w:t>
            </w:r>
          </w:p>
        </w:tc>
        <w:tc>
          <w:tcPr>
            <w:tcW w:w="837" w:type="dxa"/>
            <w:vMerge/>
            <w:noWrap/>
            <w:vAlign w:val="center"/>
          </w:tcPr>
          <w:p w14:paraId="58E1FFCB" w14:textId="77777777" w:rsidR="00CB0A6C" w:rsidRPr="00CB6538" w:rsidRDefault="00CB0A6C" w:rsidP="00CB0A6C">
            <w:pPr>
              <w:ind w:right="-96"/>
              <w:contextualSpacing/>
              <w:jc w:val="center"/>
              <w:rPr>
                <w:rFonts w:cs="Times New Roman"/>
                <w:b/>
                <w:bCs/>
                <w:sz w:val="20"/>
                <w:szCs w:val="24"/>
              </w:rPr>
            </w:pPr>
          </w:p>
        </w:tc>
        <w:tc>
          <w:tcPr>
            <w:tcW w:w="782" w:type="dxa"/>
            <w:vMerge/>
            <w:noWrap/>
            <w:vAlign w:val="center"/>
          </w:tcPr>
          <w:p w14:paraId="711EF638" w14:textId="77777777" w:rsidR="00CB0A6C" w:rsidRPr="00CB6538" w:rsidRDefault="00CB0A6C" w:rsidP="00CB0A6C">
            <w:pPr>
              <w:ind w:right="-96"/>
              <w:contextualSpacing/>
              <w:jc w:val="center"/>
              <w:rPr>
                <w:rFonts w:cs="Times New Roman"/>
                <w:i/>
                <w:iCs/>
                <w:sz w:val="20"/>
                <w:szCs w:val="24"/>
              </w:rPr>
            </w:pPr>
          </w:p>
        </w:tc>
        <w:tc>
          <w:tcPr>
            <w:tcW w:w="733" w:type="dxa"/>
            <w:vMerge/>
            <w:noWrap/>
            <w:vAlign w:val="center"/>
          </w:tcPr>
          <w:p w14:paraId="4BD8BCA0" w14:textId="77777777" w:rsidR="00CB0A6C" w:rsidRPr="00CB6538" w:rsidRDefault="00CB0A6C" w:rsidP="00CB0A6C">
            <w:pPr>
              <w:ind w:right="-96"/>
              <w:contextualSpacing/>
              <w:jc w:val="center"/>
              <w:rPr>
                <w:rFonts w:cs="Times New Roman"/>
                <w:i/>
                <w:iCs/>
                <w:sz w:val="20"/>
                <w:szCs w:val="24"/>
              </w:rPr>
            </w:pPr>
          </w:p>
        </w:tc>
        <w:tc>
          <w:tcPr>
            <w:tcW w:w="759" w:type="dxa"/>
            <w:vMerge/>
            <w:noWrap/>
            <w:vAlign w:val="center"/>
          </w:tcPr>
          <w:p w14:paraId="54C930BF" w14:textId="77777777" w:rsidR="00CB0A6C" w:rsidRPr="00CB6538" w:rsidRDefault="00CB0A6C" w:rsidP="00CB0A6C">
            <w:pPr>
              <w:ind w:right="-96"/>
              <w:contextualSpacing/>
              <w:jc w:val="center"/>
              <w:rPr>
                <w:rFonts w:cs="Times New Roman"/>
                <w:b/>
                <w:bCs/>
                <w:sz w:val="20"/>
                <w:szCs w:val="24"/>
              </w:rPr>
            </w:pPr>
          </w:p>
        </w:tc>
        <w:tc>
          <w:tcPr>
            <w:tcW w:w="652" w:type="dxa"/>
            <w:vMerge/>
            <w:noWrap/>
            <w:vAlign w:val="center"/>
          </w:tcPr>
          <w:p w14:paraId="455FFB6F" w14:textId="77777777" w:rsidR="00CB0A6C" w:rsidRPr="00CB6538" w:rsidRDefault="00CB0A6C" w:rsidP="00CB0A6C">
            <w:pPr>
              <w:ind w:right="-96"/>
              <w:contextualSpacing/>
              <w:jc w:val="center"/>
              <w:rPr>
                <w:rFonts w:cs="Times New Roman"/>
                <w:i/>
                <w:iCs/>
                <w:sz w:val="20"/>
                <w:szCs w:val="24"/>
              </w:rPr>
            </w:pPr>
          </w:p>
        </w:tc>
        <w:tc>
          <w:tcPr>
            <w:tcW w:w="790" w:type="dxa"/>
            <w:vMerge/>
            <w:noWrap/>
            <w:vAlign w:val="center"/>
          </w:tcPr>
          <w:p w14:paraId="0E3DA852" w14:textId="77777777" w:rsidR="00CB0A6C" w:rsidRPr="00CB6538" w:rsidRDefault="00CB0A6C" w:rsidP="00CB0A6C">
            <w:pPr>
              <w:ind w:right="-96"/>
              <w:contextualSpacing/>
              <w:jc w:val="center"/>
              <w:rPr>
                <w:rFonts w:cs="Times New Roman"/>
                <w:i/>
                <w:iCs/>
                <w:sz w:val="20"/>
                <w:szCs w:val="24"/>
              </w:rPr>
            </w:pPr>
          </w:p>
        </w:tc>
      </w:tr>
      <w:tr w:rsidR="00CB0A6C" w:rsidRPr="00CB6538" w14:paraId="024BC304" w14:textId="77777777" w:rsidTr="006B6C49">
        <w:trPr>
          <w:trHeight w:val="211"/>
        </w:trPr>
        <w:tc>
          <w:tcPr>
            <w:tcW w:w="1095" w:type="dxa"/>
            <w:tcBorders>
              <w:top w:val="single" w:sz="4" w:space="0" w:color="808080" w:themeColor="background1" w:themeShade="80"/>
            </w:tcBorders>
            <w:vAlign w:val="center"/>
            <w:hideMark/>
          </w:tcPr>
          <w:p w14:paraId="33803B02" w14:textId="77777777" w:rsidR="00CB0A6C" w:rsidRPr="00081240" w:rsidRDefault="00CB0A6C" w:rsidP="00CB0A6C">
            <w:pPr>
              <w:ind w:right="-96"/>
              <w:contextualSpacing/>
              <w:jc w:val="center"/>
              <w:rPr>
                <w:rFonts w:cs="Times New Roman"/>
                <w:b/>
                <w:sz w:val="20"/>
                <w:szCs w:val="24"/>
              </w:rPr>
            </w:pPr>
            <w:r w:rsidRPr="00081240">
              <w:rPr>
                <w:rFonts w:cs="Times New Roman"/>
                <w:b/>
                <w:sz w:val="20"/>
                <w:szCs w:val="24"/>
              </w:rPr>
              <w:t>20</w:t>
            </w:r>
          </w:p>
        </w:tc>
        <w:tc>
          <w:tcPr>
            <w:tcW w:w="936" w:type="dxa"/>
            <w:tcBorders>
              <w:top w:val="single" w:sz="4" w:space="0" w:color="808080" w:themeColor="background1" w:themeShade="80"/>
            </w:tcBorders>
            <w:shd w:val="clear" w:color="auto" w:fill="D9D9D9" w:themeFill="background1" w:themeFillShade="D9"/>
            <w:noWrap/>
            <w:hideMark/>
          </w:tcPr>
          <w:p w14:paraId="59647BCA" w14:textId="77777777" w:rsidR="00CB0A6C" w:rsidRPr="00CB0A6C" w:rsidRDefault="00CB0A6C" w:rsidP="00CB0A6C">
            <w:pPr>
              <w:jc w:val="center"/>
              <w:rPr>
                <w:b/>
                <w:sz w:val="20"/>
              </w:rPr>
            </w:pPr>
            <w:r w:rsidRPr="00CB0A6C">
              <w:rPr>
                <w:b/>
                <w:sz w:val="20"/>
              </w:rPr>
              <w:t>1</w:t>
            </w:r>
            <w:r>
              <w:rPr>
                <w:b/>
                <w:sz w:val="20"/>
              </w:rPr>
              <w:t>,</w:t>
            </w:r>
            <w:r w:rsidRPr="00CB0A6C">
              <w:rPr>
                <w:b/>
                <w:sz w:val="20"/>
              </w:rPr>
              <w:t>33</w:t>
            </w:r>
          </w:p>
        </w:tc>
        <w:tc>
          <w:tcPr>
            <w:tcW w:w="795" w:type="dxa"/>
            <w:vMerge/>
            <w:noWrap/>
            <w:vAlign w:val="center"/>
          </w:tcPr>
          <w:p w14:paraId="7EEDD9D5" w14:textId="77777777" w:rsidR="00CB0A6C" w:rsidRPr="00CB6538" w:rsidRDefault="00CB0A6C" w:rsidP="00CB0A6C">
            <w:pPr>
              <w:ind w:right="-96"/>
              <w:contextualSpacing/>
              <w:jc w:val="center"/>
              <w:rPr>
                <w:rFonts w:cs="Times New Roman"/>
                <w:b/>
                <w:bCs/>
                <w:sz w:val="20"/>
                <w:szCs w:val="24"/>
              </w:rPr>
            </w:pPr>
          </w:p>
        </w:tc>
        <w:tc>
          <w:tcPr>
            <w:tcW w:w="652" w:type="dxa"/>
            <w:tcBorders>
              <w:top w:val="single" w:sz="4" w:space="0" w:color="808080" w:themeColor="background1" w:themeShade="80"/>
            </w:tcBorders>
            <w:noWrap/>
            <w:vAlign w:val="center"/>
            <w:hideMark/>
          </w:tcPr>
          <w:p w14:paraId="05CABE56" w14:textId="77777777" w:rsidR="00CB0A6C" w:rsidRDefault="00CB0A6C" w:rsidP="00CB0A6C">
            <w:pPr>
              <w:rPr>
                <w:rFonts w:ascii="Arial" w:hAnsi="Arial" w:cs="Arial"/>
                <w:i/>
                <w:iCs/>
                <w:color w:val="000000"/>
                <w:sz w:val="18"/>
                <w:szCs w:val="18"/>
              </w:rPr>
            </w:pPr>
            <w:r>
              <w:rPr>
                <w:rFonts w:ascii="Arial" w:hAnsi="Arial" w:cs="Arial"/>
                <w:i/>
                <w:iCs/>
                <w:color w:val="000000"/>
                <w:sz w:val="18"/>
                <w:szCs w:val="18"/>
              </w:rPr>
              <w:t xml:space="preserve">0,12 </w:t>
            </w:r>
          </w:p>
        </w:tc>
        <w:tc>
          <w:tcPr>
            <w:tcW w:w="933" w:type="dxa"/>
            <w:tcBorders>
              <w:top w:val="single" w:sz="4" w:space="0" w:color="808080" w:themeColor="background1" w:themeShade="80"/>
            </w:tcBorders>
            <w:noWrap/>
            <w:vAlign w:val="bottom"/>
            <w:hideMark/>
          </w:tcPr>
          <w:p w14:paraId="4DF4A9C1" w14:textId="77777777" w:rsidR="00CB0A6C" w:rsidRDefault="00CB0A6C" w:rsidP="00CB0A6C">
            <w:pPr>
              <w:jc w:val="right"/>
              <w:rPr>
                <w:rFonts w:cs="Times New Roman"/>
                <w:i/>
                <w:iCs/>
                <w:color w:val="000000"/>
                <w:sz w:val="18"/>
                <w:szCs w:val="18"/>
              </w:rPr>
            </w:pPr>
            <w:r>
              <w:rPr>
                <w:i/>
                <w:iCs/>
                <w:color w:val="000000"/>
                <w:sz w:val="18"/>
                <w:szCs w:val="18"/>
              </w:rPr>
              <w:t>9,1%</w:t>
            </w:r>
          </w:p>
        </w:tc>
        <w:tc>
          <w:tcPr>
            <w:tcW w:w="837" w:type="dxa"/>
            <w:vMerge/>
            <w:noWrap/>
            <w:vAlign w:val="center"/>
          </w:tcPr>
          <w:p w14:paraId="3E213A03" w14:textId="77777777" w:rsidR="00CB0A6C" w:rsidRPr="00CB6538" w:rsidRDefault="00CB0A6C" w:rsidP="00CB0A6C">
            <w:pPr>
              <w:ind w:right="-96"/>
              <w:contextualSpacing/>
              <w:jc w:val="center"/>
              <w:rPr>
                <w:rFonts w:cs="Times New Roman"/>
                <w:b/>
                <w:bCs/>
                <w:sz w:val="20"/>
                <w:szCs w:val="24"/>
              </w:rPr>
            </w:pPr>
          </w:p>
        </w:tc>
        <w:tc>
          <w:tcPr>
            <w:tcW w:w="782" w:type="dxa"/>
            <w:vMerge/>
            <w:noWrap/>
            <w:vAlign w:val="center"/>
          </w:tcPr>
          <w:p w14:paraId="1BBB6A52" w14:textId="77777777" w:rsidR="00CB0A6C" w:rsidRPr="00CB6538" w:rsidRDefault="00CB0A6C" w:rsidP="00CB0A6C">
            <w:pPr>
              <w:ind w:right="-96"/>
              <w:contextualSpacing/>
              <w:jc w:val="center"/>
              <w:rPr>
                <w:rFonts w:cs="Times New Roman"/>
                <w:i/>
                <w:iCs/>
                <w:sz w:val="20"/>
                <w:szCs w:val="24"/>
              </w:rPr>
            </w:pPr>
          </w:p>
        </w:tc>
        <w:tc>
          <w:tcPr>
            <w:tcW w:w="733" w:type="dxa"/>
            <w:vMerge/>
            <w:noWrap/>
            <w:vAlign w:val="center"/>
          </w:tcPr>
          <w:p w14:paraId="7FEA8E79" w14:textId="77777777" w:rsidR="00CB0A6C" w:rsidRPr="00CB6538" w:rsidRDefault="00CB0A6C" w:rsidP="00CB0A6C">
            <w:pPr>
              <w:ind w:right="-96"/>
              <w:contextualSpacing/>
              <w:jc w:val="center"/>
              <w:rPr>
                <w:rFonts w:cs="Times New Roman"/>
                <w:i/>
                <w:iCs/>
                <w:sz w:val="20"/>
                <w:szCs w:val="24"/>
              </w:rPr>
            </w:pPr>
          </w:p>
        </w:tc>
        <w:tc>
          <w:tcPr>
            <w:tcW w:w="759" w:type="dxa"/>
            <w:vMerge/>
            <w:noWrap/>
            <w:vAlign w:val="center"/>
          </w:tcPr>
          <w:p w14:paraId="6468AB1F" w14:textId="77777777" w:rsidR="00CB0A6C" w:rsidRPr="00CB6538" w:rsidRDefault="00CB0A6C" w:rsidP="00CB0A6C">
            <w:pPr>
              <w:ind w:right="-96"/>
              <w:contextualSpacing/>
              <w:jc w:val="center"/>
              <w:rPr>
                <w:rFonts w:cs="Times New Roman"/>
                <w:b/>
                <w:bCs/>
                <w:sz w:val="20"/>
                <w:szCs w:val="24"/>
              </w:rPr>
            </w:pPr>
          </w:p>
        </w:tc>
        <w:tc>
          <w:tcPr>
            <w:tcW w:w="652" w:type="dxa"/>
            <w:vMerge/>
            <w:noWrap/>
            <w:vAlign w:val="center"/>
          </w:tcPr>
          <w:p w14:paraId="1E79A525" w14:textId="77777777" w:rsidR="00CB0A6C" w:rsidRPr="00CB6538" w:rsidRDefault="00CB0A6C" w:rsidP="00CB0A6C">
            <w:pPr>
              <w:ind w:right="-96"/>
              <w:contextualSpacing/>
              <w:jc w:val="center"/>
              <w:rPr>
                <w:rFonts w:cs="Times New Roman"/>
                <w:i/>
                <w:iCs/>
                <w:sz w:val="20"/>
                <w:szCs w:val="24"/>
              </w:rPr>
            </w:pPr>
          </w:p>
        </w:tc>
        <w:tc>
          <w:tcPr>
            <w:tcW w:w="790" w:type="dxa"/>
            <w:vMerge/>
            <w:noWrap/>
            <w:vAlign w:val="center"/>
          </w:tcPr>
          <w:p w14:paraId="3BC150F6" w14:textId="77777777" w:rsidR="00CB0A6C" w:rsidRPr="00CB6538" w:rsidRDefault="00CB0A6C" w:rsidP="00CB0A6C">
            <w:pPr>
              <w:ind w:right="-96"/>
              <w:contextualSpacing/>
              <w:jc w:val="center"/>
              <w:rPr>
                <w:rFonts w:cs="Times New Roman"/>
                <w:i/>
                <w:iCs/>
                <w:sz w:val="20"/>
                <w:szCs w:val="24"/>
              </w:rPr>
            </w:pPr>
          </w:p>
        </w:tc>
      </w:tr>
    </w:tbl>
    <w:p w14:paraId="2F85152B" w14:textId="77777777" w:rsidR="00081240" w:rsidRPr="002A31EA" w:rsidRDefault="002A31EA" w:rsidP="002A31EA">
      <w:pPr>
        <w:spacing w:after="120"/>
        <w:ind w:right="-96"/>
        <w:rPr>
          <w:rFonts w:cs="Times New Roman"/>
          <w:b/>
          <w:szCs w:val="24"/>
        </w:rPr>
      </w:pPr>
      <w:r>
        <w:rPr>
          <w:b/>
          <w:szCs w:val="24"/>
        </w:rPr>
        <w:t>*</w:t>
      </w:r>
      <w:r w:rsidRPr="002A31EA">
        <w:rPr>
          <w:i/>
          <w:sz w:val="20"/>
          <w:szCs w:val="24"/>
        </w:rPr>
        <w:t>AN piemērojamā PVN daļa</w:t>
      </w:r>
    </w:p>
    <w:p w14:paraId="1F89EC9D" w14:textId="77777777" w:rsidR="00860B45" w:rsidRDefault="00860B45" w:rsidP="00860B45">
      <w:pPr>
        <w:ind w:right="-99"/>
        <w:rPr>
          <w:rFonts w:cs="Times New Roman"/>
          <w:b/>
          <w:i/>
          <w:sz w:val="22"/>
        </w:rPr>
      </w:pPr>
    </w:p>
    <w:p w14:paraId="09471349" w14:textId="77777777" w:rsidR="002C5C2C" w:rsidRDefault="002C5C2C" w:rsidP="00860B45">
      <w:pPr>
        <w:ind w:right="-99"/>
        <w:rPr>
          <w:rFonts w:cs="Times New Roman"/>
          <w:b/>
          <w:i/>
          <w:sz w:val="22"/>
        </w:rPr>
      </w:pPr>
    </w:p>
    <w:p w14:paraId="06BB9F9B" w14:textId="77777777" w:rsidR="00860B45" w:rsidRPr="00B01120" w:rsidRDefault="00860B45" w:rsidP="00B01120">
      <w:pPr>
        <w:pStyle w:val="ListParagraph"/>
        <w:numPr>
          <w:ilvl w:val="2"/>
          <w:numId w:val="37"/>
        </w:numPr>
        <w:spacing w:after="120"/>
        <w:ind w:right="-96"/>
        <w:rPr>
          <w:b/>
          <w:i/>
          <w:sz w:val="26"/>
          <w:szCs w:val="26"/>
        </w:rPr>
      </w:pPr>
      <w:r w:rsidRPr="00B01120">
        <w:rPr>
          <w:b/>
          <w:i/>
          <w:sz w:val="26"/>
          <w:szCs w:val="26"/>
        </w:rPr>
        <w:t>Akcīzes nodoklis pārējiem tabakas izstrādājumiem</w:t>
      </w:r>
    </w:p>
    <w:p w14:paraId="66E6A6BE" w14:textId="77777777" w:rsidR="00BB7607" w:rsidRPr="00BB7607" w:rsidRDefault="00BB7607" w:rsidP="00860B45">
      <w:pPr>
        <w:pStyle w:val="ListParagraph"/>
        <w:ind w:left="0" w:right="-99" w:firstLine="709"/>
        <w:rPr>
          <w:sz w:val="12"/>
          <w:szCs w:val="12"/>
        </w:rPr>
      </w:pPr>
    </w:p>
    <w:p w14:paraId="3997B206" w14:textId="77777777" w:rsidR="00860B45" w:rsidRDefault="00860B45" w:rsidP="00860B45">
      <w:pPr>
        <w:pStyle w:val="ListParagraph"/>
        <w:ind w:left="0" w:right="-99" w:firstLine="709"/>
        <w:rPr>
          <w:sz w:val="26"/>
          <w:szCs w:val="26"/>
        </w:rPr>
      </w:pPr>
      <w:r>
        <w:rPr>
          <w:sz w:val="26"/>
          <w:szCs w:val="26"/>
        </w:rPr>
        <w:t>Tāpat ir</w:t>
      </w:r>
      <w:r w:rsidRPr="00576C07">
        <w:rPr>
          <w:sz w:val="26"/>
          <w:szCs w:val="26"/>
        </w:rPr>
        <w:t xml:space="preserve"> </w:t>
      </w:r>
      <w:r w:rsidRPr="00637949">
        <w:rPr>
          <w:b/>
          <w:i/>
          <w:sz w:val="26"/>
          <w:szCs w:val="26"/>
        </w:rPr>
        <w:t>vairāki iespējamie varianti</w:t>
      </w:r>
      <w:r w:rsidRPr="00576C07">
        <w:rPr>
          <w:sz w:val="26"/>
          <w:szCs w:val="26"/>
        </w:rPr>
        <w:t xml:space="preserve"> kā paaugstināt AN </w:t>
      </w:r>
      <w:r w:rsidRPr="00A139A0">
        <w:rPr>
          <w:sz w:val="26"/>
          <w:szCs w:val="26"/>
        </w:rPr>
        <w:t>pārējiem tabakas izstrādājumiem</w:t>
      </w:r>
      <w:r>
        <w:rPr>
          <w:sz w:val="26"/>
          <w:szCs w:val="26"/>
        </w:rPr>
        <w:t>:</w:t>
      </w:r>
    </w:p>
    <w:p w14:paraId="0B955258" w14:textId="77777777" w:rsidR="00860B45" w:rsidRDefault="00860B45" w:rsidP="000223DA">
      <w:pPr>
        <w:pStyle w:val="ListParagraph"/>
        <w:numPr>
          <w:ilvl w:val="0"/>
          <w:numId w:val="10"/>
        </w:numPr>
        <w:ind w:right="-99"/>
        <w:rPr>
          <w:sz w:val="26"/>
          <w:szCs w:val="26"/>
        </w:rPr>
      </w:pPr>
      <w:r w:rsidRPr="00A139A0">
        <w:rPr>
          <w:sz w:val="26"/>
          <w:szCs w:val="26"/>
        </w:rPr>
        <w:t>pakāpeniski</w:t>
      </w:r>
      <w:r w:rsidRPr="00546DFE">
        <w:rPr>
          <w:sz w:val="26"/>
          <w:szCs w:val="26"/>
        </w:rPr>
        <w:t xml:space="preserve"> paaugstināt AN likmi pārējiem tabakas izstrādājumiem (cigāriem, cigarillam, smēķējamai tabakai un tabakas lapām) </w:t>
      </w:r>
      <w:r>
        <w:rPr>
          <w:sz w:val="26"/>
          <w:szCs w:val="26"/>
        </w:rPr>
        <w:t>2021. un 2023.gadā par 5%;</w:t>
      </w:r>
    </w:p>
    <w:p w14:paraId="7A84BC5A" w14:textId="77777777" w:rsidR="00860B45" w:rsidRPr="00637949" w:rsidRDefault="00860B45" w:rsidP="000223DA">
      <w:pPr>
        <w:pStyle w:val="ListParagraph"/>
        <w:numPr>
          <w:ilvl w:val="0"/>
          <w:numId w:val="10"/>
        </w:numPr>
        <w:spacing w:after="120"/>
        <w:ind w:left="1066" w:right="-96" w:hanging="357"/>
        <w:rPr>
          <w:sz w:val="26"/>
          <w:szCs w:val="26"/>
          <w:u w:val="single"/>
        </w:rPr>
      </w:pPr>
      <w:r w:rsidRPr="00A139A0">
        <w:rPr>
          <w:sz w:val="26"/>
          <w:szCs w:val="26"/>
        </w:rPr>
        <w:t>pakāpeniski paaugstināt AN likmi pārējiem tabakas izstrādājumiem (cigāriem, cigarillam, smēķējamai tabakai un tabakas lapām) 2021. un 2023.</w:t>
      </w:r>
      <w:r>
        <w:rPr>
          <w:sz w:val="26"/>
          <w:szCs w:val="26"/>
        </w:rPr>
        <w:t>gadā</w:t>
      </w:r>
      <w:r w:rsidRPr="00A139A0">
        <w:rPr>
          <w:sz w:val="26"/>
          <w:szCs w:val="26"/>
        </w:rPr>
        <w:t xml:space="preserve"> par 10%.</w:t>
      </w:r>
    </w:p>
    <w:p w14:paraId="513AC659" w14:textId="77777777" w:rsidR="002C5C2C" w:rsidRDefault="002C5C2C" w:rsidP="00860B45">
      <w:pPr>
        <w:spacing w:after="120"/>
        <w:ind w:right="-96"/>
        <w:jc w:val="center"/>
        <w:rPr>
          <w:szCs w:val="24"/>
        </w:rPr>
      </w:pPr>
    </w:p>
    <w:p w14:paraId="56D835B3" w14:textId="77777777" w:rsidR="002C5C2C" w:rsidRDefault="002C5C2C" w:rsidP="00860B45">
      <w:pPr>
        <w:spacing w:after="120"/>
        <w:ind w:right="-96"/>
        <w:jc w:val="center"/>
        <w:rPr>
          <w:szCs w:val="24"/>
        </w:rPr>
      </w:pPr>
    </w:p>
    <w:p w14:paraId="3F90E70C" w14:textId="2CED2640" w:rsidR="002C5C2C" w:rsidRDefault="002C5C2C" w:rsidP="00860B45">
      <w:pPr>
        <w:spacing w:after="120"/>
        <w:ind w:right="-96"/>
        <w:jc w:val="center"/>
        <w:rPr>
          <w:szCs w:val="24"/>
        </w:rPr>
      </w:pPr>
    </w:p>
    <w:p w14:paraId="20E13128" w14:textId="77777777" w:rsidR="00095319" w:rsidRDefault="00095319" w:rsidP="00860B45">
      <w:pPr>
        <w:spacing w:after="120"/>
        <w:ind w:right="-96"/>
        <w:jc w:val="center"/>
        <w:rPr>
          <w:szCs w:val="24"/>
        </w:rPr>
      </w:pPr>
    </w:p>
    <w:p w14:paraId="59D69220" w14:textId="77777777" w:rsidR="00860B45" w:rsidRDefault="00860B45" w:rsidP="00860B45">
      <w:pPr>
        <w:spacing w:after="120"/>
        <w:ind w:right="-96"/>
        <w:jc w:val="center"/>
        <w:rPr>
          <w:b/>
          <w:szCs w:val="24"/>
        </w:rPr>
      </w:pPr>
      <w:r w:rsidRPr="00637949">
        <w:rPr>
          <w:szCs w:val="24"/>
        </w:rPr>
        <w:lastRenderedPageBreak/>
        <w:t>1</w:t>
      </w:r>
      <w:r w:rsidR="006C5A20">
        <w:rPr>
          <w:szCs w:val="24"/>
        </w:rPr>
        <w:t>8</w:t>
      </w:r>
      <w:r w:rsidRPr="00637949">
        <w:rPr>
          <w:szCs w:val="24"/>
        </w:rPr>
        <w:t>.tab.</w:t>
      </w:r>
      <w:r w:rsidRPr="00637949">
        <w:rPr>
          <w:b/>
          <w:szCs w:val="24"/>
        </w:rPr>
        <w:t xml:space="preserve"> AN </w:t>
      </w:r>
      <w:r w:rsidRPr="00D04C61">
        <w:rPr>
          <w:b/>
          <w:szCs w:val="24"/>
        </w:rPr>
        <w:t>likmes pārējiem tabakas izstrādājumiem</w:t>
      </w:r>
      <w:r w:rsidRPr="00637949">
        <w:rPr>
          <w:b/>
          <w:szCs w:val="24"/>
        </w:rPr>
        <w:t xml:space="preserve"> paaugstināšanas varianti</w:t>
      </w:r>
    </w:p>
    <w:tbl>
      <w:tblPr>
        <w:tblW w:w="9414" w:type="dxa"/>
        <w:tblLayout w:type="fixed"/>
        <w:tblLook w:val="04A0" w:firstRow="1" w:lastRow="0" w:firstColumn="1" w:lastColumn="0" w:noHBand="0" w:noVBand="1"/>
      </w:tblPr>
      <w:tblGrid>
        <w:gridCol w:w="2122"/>
        <w:gridCol w:w="1053"/>
        <w:gridCol w:w="1080"/>
        <w:gridCol w:w="1064"/>
        <w:gridCol w:w="1080"/>
        <w:gridCol w:w="1064"/>
        <w:gridCol w:w="972"/>
        <w:gridCol w:w="979"/>
      </w:tblGrid>
      <w:tr w:rsidR="00516EA7" w:rsidRPr="00A139A0" w14:paraId="049954E9" w14:textId="77777777" w:rsidTr="00516EA7">
        <w:trPr>
          <w:trHeight w:val="241"/>
        </w:trPr>
        <w:tc>
          <w:tcPr>
            <w:tcW w:w="2122"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2060"/>
            <w:noWrap/>
            <w:vAlign w:val="center"/>
            <w:hideMark/>
          </w:tcPr>
          <w:p w14:paraId="17B0CE7D" w14:textId="77777777" w:rsidR="00140D87" w:rsidRPr="00A139A0" w:rsidRDefault="00140D87" w:rsidP="00FB4F10">
            <w:pPr>
              <w:jc w:val="center"/>
              <w:rPr>
                <w:rFonts w:eastAsia="Times New Roman" w:cs="Times New Roman"/>
                <w:b/>
                <w:bCs/>
                <w:color w:val="FFFFFF" w:themeColor="background1"/>
                <w:sz w:val="20"/>
                <w:szCs w:val="20"/>
                <w:lang w:eastAsia="lv-LV"/>
              </w:rPr>
            </w:pPr>
            <w:r w:rsidRPr="00A139A0">
              <w:rPr>
                <w:rFonts w:eastAsia="Times New Roman" w:cs="Times New Roman"/>
                <w:b/>
                <w:bCs/>
                <w:color w:val="FFFFFF" w:themeColor="background1"/>
                <w:sz w:val="20"/>
                <w:szCs w:val="20"/>
                <w:lang w:eastAsia="lv-LV"/>
              </w:rPr>
              <w:t>Pārējie tabakas izstrādājumi</w:t>
            </w:r>
          </w:p>
        </w:tc>
        <w:tc>
          <w:tcPr>
            <w:tcW w:w="10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74EE445C" w14:textId="77777777" w:rsidR="00140D87" w:rsidRPr="00A139A0" w:rsidRDefault="00140D87" w:rsidP="00FB4F10">
            <w:pPr>
              <w:jc w:val="center"/>
              <w:rPr>
                <w:rFonts w:eastAsia="Times New Roman" w:cs="Times New Roman"/>
                <w:b/>
                <w:bCs/>
                <w:color w:val="FFFFFF" w:themeColor="background1"/>
                <w:sz w:val="20"/>
                <w:szCs w:val="20"/>
                <w:lang w:eastAsia="lv-LV"/>
              </w:rPr>
            </w:pPr>
            <w:r w:rsidRPr="00A139A0">
              <w:rPr>
                <w:rFonts w:eastAsia="Times New Roman" w:cs="Times New Roman"/>
                <w:b/>
                <w:bCs/>
                <w:color w:val="FFFFFF" w:themeColor="background1"/>
                <w:sz w:val="20"/>
                <w:szCs w:val="20"/>
                <w:lang w:eastAsia="lv-LV"/>
              </w:rPr>
              <w:t>Šobrīd</w:t>
            </w:r>
          </w:p>
        </w:tc>
        <w:tc>
          <w:tcPr>
            <w:tcW w:w="2144"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73C16B0A" w14:textId="77777777" w:rsidR="00140D87" w:rsidRPr="00A139A0" w:rsidRDefault="00140D87" w:rsidP="00FB4F10">
            <w:pPr>
              <w:jc w:val="center"/>
              <w:rPr>
                <w:rFonts w:eastAsia="Times New Roman" w:cs="Times New Roman"/>
                <w:b/>
                <w:bCs/>
                <w:color w:val="FFFFFF" w:themeColor="background1"/>
                <w:sz w:val="20"/>
                <w:szCs w:val="20"/>
                <w:lang w:eastAsia="lv-LV"/>
              </w:rPr>
            </w:pPr>
            <w:r w:rsidRPr="00A139A0">
              <w:rPr>
                <w:rFonts w:eastAsia="Times New Roman" w:cs="Times New Roman"/>
                <w:b/>
                <w:bCs/>
                <w:color w:val="FFFFFF" w:themeColor="background1"/>
                <w:sz w:val="20"/>
                <w:szCs w:val="20"/>
                <w:lang w:eastAsia="lv-LV"/>
              </w:rPr>
              <w:t>1.variants</w:t>
            </w:r>
          </w:p>
        </w:tc>
        <w:tc>
          <w:tcPr>
            <w:tcW w:w="2144"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5E3454F1" w14:textId="77777777" w:rsidR="00140D87" w:rsidRPr="00A139A0" w:rsidRDefault="00140D87" w:rsidP="00FB4F10">
            <w:pPr>
              <w:jc w:val="center"/>
              <w:rPr>
                <w:rFonts w:eastAsia="Times New Roman" w:cs="Times New Roman"/>
                <w:b/>
                <w:bCs/>
                <w:color w:val="FFFFFF" w:themeColor="background1"/>
                <w:sz w:val="20"/>
                <w:szCs w:val="20"/>
                <w:lang w:eastAsia="lv-LV"/>
              </w:rPr>
            </w:pPr>
            <w:r w:rsidRPr="00A139A0">
              <w:rPr>
                <w:rFonts w:eastAsia="Times New Roman" w:cs="Times New Roman"/>
                <w:b/>
                <w:bCs/>
                <w:color w:val="FFFFFF" w:themeColor="background1"/>
                <w:sz w:val="20"/>
                <w:szCs w:val="20"/>
                <w:lang w:eastAsia="lv-LV"/>
              </w:rPr>
              <w:t>2.variants</w:t>
            </w:r>
          </w:p>
        </w:tc>
        <w:tc>
          <w:tcPr>
            <w:tcW w:w="97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18AB9A90" w14:textId="77777777" w:rsidR="00140D87" w:rsidRPr="00A139A0" w:rsidRDefault="00140D87" w:rsidP="00FB4F10">
            <w:pPr>
              <w:jc w:val="center"/>
              <w:rPr>
                <w:rFonts w:eastAsia="Times New Roman" w:cs="Times New Roman"/>
                <w:b/>
                <w:bCs/>
                <w:color w:val="FFFFFF" w:themeColor="background1"/>
                <w:sz w:val="20"/>
                <w:szCs w:val="20"/>
                <w:lang w:eastAsia="lv-LV"/>
              </w:rPr>
            </w:pPr>
            <w:r w:rsidRPr="00A139A0">
              <w:rPr>
                <w:rFonts w:eastAsia="Times New Roman" w:cs="Times New Roman"/>
                <w:b/>
                <w:bCs/>
                <w:color w:val="FFFFFF" w:themeColor="background1"/>
                <w:sz w:val="20"/>
                <w:szCs w:val="20"/>
                <w:lang w:eastAsia="lv-LV"/>
              </w:rPr>
              <w:t>L</w:t>
            </w:r>
            <w:r>
              <w:rPr>
                <w:rFonts w:eastAsia="Times New Roman" w:cs="Times New Roman"/>
                <w:b/>
                <w:bCs/>
                <w:color w:val="FFFFFF" w:themeColor="background1"/>
                <w:sz w:val="20"/>
                <w:szCs w:val="20"/>
                <w:lang w:eastAsia="lv-LV"/>
              </w:rPr>
              <w:t>ietuva</w:t>
            </w:r>
            <w:r w:rsidRPr="00637949">
              <w:rPr>
                <w:rFonts w:eastAsia="Times New Roman" w:cs="Times New Roman"/>
                <w:b/>
                <w:bCs/>
                <w:color w:val="FFFFFF" w:themeColor="background1"/>
                <w:sz w:val="20"/>
                <w:szCs w:val="20"/>
                <w:vertAlign w:val="superscript"/>
                <w:lang w:eastAsia="lv-LV"/>
              </w:rPr>
              <w:t>*</w:t>
            </w:r>
          </w:p>
        </w:tc>
        <w:tc>
          <w:tcPr>
            <w:tcW w:w="979"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2060"/>
            <w:noWrap/>
            <w:vAlign w:val="center"/>
            <w:hideMark/>
          </w:tcPr>
          <w:p w14:paraId="0A554734" w14:textId="77777777" w:rsidR="00140D87" w:rsidRPr="00A139A0" w:rsidRDefault="00140D87" w:rsidP="00FB4F10">
            <w:pPr>
              <w:jc w:val="center"/>
              <w:rPr>
                <w:rFonts w:eastAsia="Times New Roman" w:cs="Times New Roman"/>
                <w:b/>
                <w:bCs/>
                <w:color w:val="FFFFFF" w:themeColor="background1"/>
                <w:sz w:val="20"/>
                <w:szCs w:val="20"/>
                <w:lang w:eastAsia="lv-LV"/>
              </w:rPr>
            </w:pPr>
            <w:r>
              <w:rPr>
                <w:rFonts w:eastAsia="Times New Roman" w:cs="Times New Roman"/>
                <w:b/>
                <w:bCs/>
                <w:color w:val="FFFFFF" w:themeColor="background1"/>
                <w:sz w:val="20"/>
                <w:szCs w:val="20"/>
                <w:lang w:eastAsia="lv-LV"/>
              </w:rPr>
              <w:t>Igaunija</w:t>
            </w:r>
          </w:p>
        </w:tc>
      </w:tr>
      <w:tr w:rsidR="00140D87" w:rsidRPr="00A139A0" w14:paraId="0C9062D5" w14:textId="77777777" w:rsidTr="00516EA7">
        <w:trPr>
          <w:trHeight w:val="241"/>
        </w:trPr>
        <w:tc>
          <w:tcPr>
            <w:tcW w:w="2122" w:type="dxa"/>
            <w:vMerge/>
            <w:tcBorders>
              <w:top w:val="single" w:sz="4" w:space="0" w:color="FFFFFF" w:themeColor="background1"/>
              <w:left w:val="single" w:sz="4" w:space="0" w:color="auto"/>
              <w:bottom w:val="single" w:sz="4" w:space="0" w:color="000000"/>
              <w:right w:val="single" w:sz="4" w:space="0" w:color="FFFFFF" w:themeColor="background1"/>
            </w:tcBorders>
            <w:shd w:val="clear" w:color="auto" w:fill="002060"/>
            <w:vAlign w:val="center"/>
            <w:hideMark/>
          </w:tcPr>
          <w:p w14:paraId="095B18E8" w14:textId="77777777" w:rsidR="00140D87" w:rsidRPr="00A139A0" w:rsidRDefault="00140D87" w:rsidP="00FB4F10">
            <w:pPr>
              <w:jc w:val="center"/>
              <w:rPr>
                <w:rFonts w:eastAsia="Times New Roman" w:cs="Times New Roman"/>
                <w:b/>
                <w:bCs/>
                <w:color w:val="FFFFFF" w:themeColor="background1"/>
                <w:sz w:val="20"/>
                <w:szCs w:val="20"/>
                <w:lang w:eastAsia="lv-LV"/>
              </w:rPr>
            </w:pPr>
          </w:p>
        </w:tc>
        <w:tc>
          <w:tcPr>
            <w:tcW w:w="105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06D740D8" w14:textId="77777777" w:rsidR="00140D87" w:rsidRPr="00A139A0" w:rsidRDefault="00140D87" w:rsidP="00FB4F10">
            <w:pPr>
              <w:jc w:val="center"/>
              <w:rPr>
                <w:rFonts w:eastAsia="Times New Roman" w:cs="Times New Roman"/>
                <w:b/>
                <w:bCs/>
                <w:color w:val="FFFFFF" w:themeColor="background1"/>
                <w:sz w:val="20"/>
                <w:szCs w:val="20"/>
                <w:lang w:eastAsia="lv-LV"/>
              </w:rPr>
            </w:pPr>
            <w:r w:rsidRPr="00A139A0">
              <w:rPr>
                <w:rFonts w:eastAsia="Times New Roman" w:cs="Times New Roman"/>
                <w:b/>
                <w:bCs/>
                <w:color w:val="FFFFFF" w:themeColor="background1"/>
                <w:sz w:val="20"/>
                <w:szCs w:val="20"/>
                <w:lang w:eastAsia="lv-LV"/>
              </w:rPr>
              <w:t>01.01.20.</w:t>
            </w:r>
          </w:p>
        </w:tc>
        <w:tc>
          <w:tcPr>
            <w:tcW w:w="10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0ADF59AA" w14:textId="77777777" w:rsidR="00140D87" w:rsidRPr="00A139A0" w:rsidRDefault="00140D87" w:rsidP="00FB4F10">
            <w:pPr>
              <w:jc w:val="center"/>
              <w:rPr>
                <w:rFonts w:eastAsia="Times New Roman" w:cs="Times New Roman"/>
                <w:b/>
                <w:bCs/>
                <w:color w:val="FFFFFF" w:themeColor="background1"/>
                <w:sz w:val="20"/>
                <w:szCs w:val="20"/>
                <w:lang w:eastAsia="lv-LV"/>
              </w:rPr>
            </w:pPr>
            <w:r w:rsidRPr="00A139A0">
              <w:rPr>
                <w:rFonts w:eastAsia="Times New Roman" w:cs="Times New Roman"/>
                <w:b/>
                <w:bCs/>
                <w:color w:val="FFFFFF" w:themeColor="background1"/>
                <w:sz w:val="20"/>
                <w:szCs w:val="20"/>
                <w:lang w:eastAsia="lv-LV"/>
              </w:rPr>
              <w:t>01.01.21.</w:t>
            </w:r>
          </w:p>
        </w:tc>
        <w:tc>
          <w:tcPr>
            <w:tcW w:w="106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357F9544" w14:textId="77777777" w:rsidR="00140D87" w:rsidRPr="00A139A0" w:rsidRDefault="00140D87" w:rsidP="00FB4F10">
            <w:pPr>
              <w:jc w:val="center"/>
              <w:rPr>
                <w:rFonts w:eastAsia="Times New Roman" w:cs="Times New Roman"/>
                <w:b/>
                <w:bCs/>
                <w:color w:val="FFFFFF" w:themeColor="background1"/>
                <w:sz w:val="20"/>
                <w:szCs w:val="20"/>
                <w:lang w:eastAsia="lv-LV"/>
              </w:rPr>
            </w:pPr>
            <w:r w:rsidRPr="00A139A0">
              <w:rPr>
                <w:rFonts w:eastAsia="Times New Roman" w:cs="Times New Roman"/>
                <w:b/>
                <w:bCs/>
                <w:color w:val="FFFFFF" w:themeColor="background1"/>
                <w:sz w:val="20"/>
                <w:szCs w:val="20"/>
                <w:lang w:eastAsia="lv-LV"/>
              </w:rPr>
              <w:t>01.01.23.</w:t>
            </w:r>
          </w:p>
        </w:tc>
        <w:tc>
          <w:tcPr>
            <w:tcW w:w="10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7A8E289E" w14:textId="77777777" w:rsidR="00140D87" w:rsidRPr="00A139A0" w:rsidRDefault="00140D87" w:rsidP="00FB4F10">
            <w:pPr>
              <w:jc w:val="center"/>
              <w:rPr>
                <w:rFonts w:eastAsia="Times New Roman" w:cs="Times New Roman"/>
                <w:b/>
                <w:bCs/>
                <w:color w:val="FFFFFF" w:themeColor="background1"/>
                <w:sz w:val="20"/>
                <w:szCs w:val="20"/>
                <w:lang w:eastAsia="lv-LV"/>
              </w:rPr>
            </w:pPr>
            <w:r w:rsidRPr="00A139A0">
              <w:rPr>
                <w:rFonts w:eastAsia="Times New Roman" w:cs="Times New Roman"/>
                <w:b/>
                <w:bCs/>
                <w:color w:val="FFFFFF" w:themeColor="background1"/>
                <w:sz w:val="20"/>
                <w:szCs w:val="20"/>
                <w:lang w:eastAsia="lv-LV"/>
              </w:rPr>
              <w:t>01.01.21.</w:t>
            </w:r>
          </w:p>
        </w:tc>
        <w:tc>
          <w:tcPr>
            <w:tcW w:w="106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3AB92A36" w14:textId="77777777" w:rsidR="00140D87" w:rsidRPr="00A139A0" w:rsidRDefault="00140D87" w:rsidP="00FB4F10">
            <w:pPr>
              <w:jc w:val="center"/>
              <w:rPr>
                <w:rFonts w:eastAsia="Times New Roman" w:cs="Times New Roman"/>
                <w:b/>
                <w:bCs/>
                <w:color w:val="FFFFFF" w:themeColor="background1"/>
                <w:sz w:val="20"/>
                <w:szCs w:val="20"/>
                <w:lang w:eastAsia="lv-LV"/>
              </w:rPr>
            </w:pPr>
            <w:r w:rsidRPr="00A139A0">
              <w:rPr>
                <w:rFonts w:eastAsia="Times New Roman" w:cs="Times New Roman"/>
                <w:b/>
                <w:bCs/>
                <w:color w:val="FFFFFF" w:themeColor="background1"/>
                <w:sz w:val="20"/>
                <w:szCs w:val="20"/>
                <w:lang w:eastAsia="lv-LV"/>
              </w:rPr>
              <w:t>01.01.23.</w:t>
            </w:r>
          </w:p>
        </w:tc>
        <w:tc>
          <w:tcPr>
            <w:tcW w:w="97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6C953A59" w14:textId="77777777" w:rsidR="00140D87" w:rsidRPr="00A139A0" w:rsidRDefault="00140D87" w:rsidP="00FB4F10">
            <w:pPr>
              <w:jc w:val="center"/>
              <w:rPr>
                <w:rFonts w:eastAsia="Times New Roman" w:cs="Times New Roman"/>
                <w:b/>
                <w:bCs/>
                <w:color w:val="FFFFFF" w:themeColor="background1"/>
                <w:sz w:val="20"/>
                <w:szCs w:val="20"/>
                <w:lang w:eastAsia="lv-LV"/>
              </w:rPr>
            </w:pPr>
            <w:r w:rsidRPr="00A139A0">
              <w:rPr>
                <w:rFonts w:eastAsia="Times New Roman" w:cs="Times New Roman"/>
                <w:b/>
                <w:bCs/>
                <w:color w:val="FFFFFF" w:themeColor="background1"/>
                <w:sz w:val="20"/>
                <w:szCs w:val="20"/>
                <w:lang w:eastAsia="lv-LV"/>
              </w:rPr>
              <w:t>01.03.19.</w:t>
            </w:r>
          </w:p>
        </w:tc>
        <w:tc>
          <w:tcPr>
            <w:tcW w:w="97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2060"/>
            <w:noWrap/>
            <w:vAlign w:val="center"/>
            <w:hideMark/>
          </w:tcPr>
          <w:p w14:paraId="33EC5547" w14:textId="77777777" w:rsidR="00140D87" w:rsidRPr="00A139A0" w:rsidRDefault="00140D87" w:rsidP="00FB4F10">
            <w:pPr>
              <w:jc w:val="center"/>
              <w:rPr>
                <w:rFonts w:eastAsia="Times New Roman" w:cs="Times New Roman"/>
                <w:b/>
                <w:bCs/>
                <w:color w:val="FFFFFF" w:themeColor="background1"/>
                <w:sz w:val="20"/>
                <w:szCs w:val="20"/>
                <w:lang w:eastAsia="lv-LV"/>
              </w:rPr>
            </w:pPr>
            <w:r w:rsidRPr="00A139A0">
              <w:rPr>
                <w:rFonts w:eastAsia="Times New Roman" w:cs="Times New Roman"/>
                <w:b/>
                <w:bCs/>
                <w:color w:val="FFFFFF" w:themeColor="background1"/>
                <w:sz w:val="20"/>
                <w:szCs w:val="20"/>
                <w:lang w:eastAsia="lv-LV"/>
              </w:rPr>
              <w:t>01.01.20.</w:t>
            </w:r>
          </w:p>
        </w:tc>
      </w:tr>
      <w:tr w:rsidR="00140D87" w:rsidRPr="00A139A0" w14:paraId="7D577466" w14:textId="77777777" w:rsidTr="006B6C49">
        <w:trPr>
          <w:trHeight w:val="286"/>
        </w:trPr>
        <w:tc>
          <w:tcPr>
            <w:tcW w:w="2122" w:type="dxa"/>
            <w:tcBorders>
              <w:top w:val="single" w:sz="4" w:space="0" w:color="auto"/>
              <w:left w:val="single" w:sz="4" w:space="0" w:color="auto"/>
              <w:bottom w:val="single" w:sz="4" w:space="0" w:color="808080" w:themeColor="background1" w:themeShade="80"/>
              <w:right w:val="single" w:sz="4" w:space="0" w:color="auto"/>
            </w:tcBorders>
            <w:shd w:val="clear" w:color="auto" w:fill="auto"/>
            <w:noWrap/>
            <w:vAlign w:val="bottom"/>
            <w:hideMark/>
          </w:tcPr>
          <w:p w14:paraId="1A2C3749" w14:textId="77777777" w:rsidR="00140D87" w:rsidRPr="00A139A0" w:rsidRDefault="00140D87" w:rsidP="00FB4F10">
            <w:pPr>
              <w:rPr>
                <w:rFonts w:eastAsia="Times New Roman" w:cs="Times New Roman"/>
                <w:b/>
                <w:bCs/>
                <w:color w:val="000000"/>
                <w:sz w:val="20"/>
                <w:szCs w:val="20"/>
                <w:lang w:eastAsia="lv-LV"/>
              </w:rPr>
            </w:pPr>
            <w:r w:rsidRPr="00A139A0">
              <w:rPr>
                <w:rFonts w:eastAsia="Times New Roman" w:cs="Times New Roman"/>
                <w:b/>
                <w:bCs/>
                <w:color w:val="000000"/>
                <w:sz w:val="20"/>
                <w:szCs w:val="20"/>
                <w:lang w:eastAsia="lv-LV"/>
              </w:rPr>
              <w:t>Cigāri un cigarillas, par 1000 gab.</w:t>
            </w:r>
          </w:p>
        </w:tc>
        <w:tc>
          <w:tcPr>
            <w:tcW w:w="1053" w:type="dxa"/>
            <w:tcBorders>
              <w:top w:val="nil"/>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2D519DF3" w14:textId="77777777" w:rsidR="00140D87" w:rsidRPr="00A139A0" w:rsidRDefault="00140D87" w:rsidP="00FB4F10">
            <w:pPr>
              <w:jc w:val="center"/>
              <w:rPr>
                <w:rFonts w:eastAsia="Times New Roman" w:cs="Times New Roman"/>
                <w:b/>
                <w:bCs/>
                <w:sz w:val="20"/>
                <w:szCs w:val="20"/>
                <w:lang w:eastAsia="lv-LV"/>
              </w:rPr>
            </w:pPr>
            <w:r w:rsidRPr="00A139A0">
              <w:rPr>
                <w:rFonts w:eastAsia="Times New Roman" w:cs="Times New Roman"/>
                <w:b/>
                <w:bCs/>
                <w:sz w:val="20"/>
                <w:szCs w:val="20"/>
                <w:lang w:eastAsia="lv-LV"/>
              </w:rPr>
              <w:t>95,2</w:t>
            </w:r>
          </w:p>
        </w:tc>
        <w:tc>
          <w:tcPr>
            <w:tcW w:w="1080" w:type="dxa"/>
            <w:tcBorders>
              <w:top w:val="nil"/>
              <w:left w:val="nil"/>
              <w:bottom w:val="single" w:sz="4" w:space="0" w:color="808080" w:themeColor="background1" w:themeShade="80"/>
              <w:right w:val="single" w:sz="4" w:space="0" w:color="auto"/>
            </w:tcBorders>
            <w:shd w:val="clear" w:color="auto" w:fill="auto"/>
            <w:noWrap/>
            <w:vAlign w:val="center"/>
            <w:hideMark/>
          </w:tcPr>
          <w:p w14:paraId="2F25301F" w14:textId="77777777" w:rsidR="00140D87" w:rsidRPr="00A139A0" w:rsidRDefault="00140D87" w:rsidP="00FB4F10">
            <w:pPr>
              <w:jc w:val="center"/>
              <w:rPr>
                <w:rFonts w:eastAsia="Times New Roman" w:cs="Times New Roman"/>
                <w:b/>
                <w:color w:val="FF0000"/>
                <w:sz w:val="20"/>
                <w:szCs w:val="20"/>
                <w:lang w:eastAsia="lv-LV"/>
              </w:rPr>
            </w:pPr>
            <w:r w:rsidRPr="00A139A0">
              <w:rPr>
                <w:rFonts w:eastAsia="Times New Roman" w:cs="Times New Roman"/>
                <w:b/>
                <w:color w:val="FF0000"/>
                <w:sz w:val="20"/>
                <w:szCs w:val="20"/>
                <w:lang w:eastAsia="lv-LV"/>
              </w:rPr>
              <w:t>100</w:t>
            </w:r>
          </w:p>
        </w:tc>
        <w:tc>
          <w:tcPr>
            <w:tcW w:w="1064" w:type="dxa"/>
            <w:tcBorders>
              <w:top w:val="nil"/>
              <w:left w:val="nil"/>
              <w:bottom w:val="single" w:sz="4" w:space="0" w:color="808080" w:themeColor="background1" w:themeShade="80"/>
              <w:right w:val="single" w:sz="4" w:space="0" w:color="auto"/>
            </w:tcBorders>
            <w:shd w:val="clear" w:color="auto" w:fill="auto"/>
            <w:noWrap/>
            <w:vAlign w:val="center"/>
            <w:hideMark/>
          </w:tcPr>
          <w:p w14:paraId="40B3DB9F" w14:textId="77777777" w:rsidR="00140D87" w:rsidRPr="00A139A0" w:rsidRDefault="00140D87" w:rsidP="00FB4F10">
            <w:pPr>
              <w:jc w:val="center"/>
              <w:rPr>
                <w:rFonts w:eastAsia="Times New Roman" w:cs="Times New Roman"/>
                <w:b/>
                <w:color w:val="FF0000"/>
                <w:sz w:val="20"/>
                <w:szCs w:val="20"/>
                <w:lang w:eastAsia="lv-LV"/>
              </w:rPr>
            </w:pPr>
            <w:r w:rsidRPr="00A139A0">
              <w:rPr>
                <w:rFonts w:eastAsia="Times New Roman" w:cs="Times New Roman"/>
                <w:b/>
                <w:color w:val="FF0000"/>
                <w:sz w:val="20"/>
                <w:szCs w:val="20"/>
                <w:lang w:eastAsia="lv-LV"/>
              </w:rPr>
              <w:t>105,00</w:t>
            </w:r>
          </w:p>
        </w:tc>
        <w:tc>
          <w:tcPr>
            <w:tcW w:w="1080" w:type="dxa"/>
            <w:tcBorders>
              <w:top w:val="nil"/>
              <w:left w:val="nil"/>
              <w:bottom w:val="single" w:sz="4" w:space="0" w:color="808080" w:themeColor="background1" w:themeShade="80"/>
              <w:right w:val="single" w:sz="4" w:space="0" w:color="auto"/>
            </w:tcBorders>
            <w:shd w:val="clear" w:color="auto" w:fill="auto"/>
            <w:noWrap/>
            <w:vAlign w:val="center"/>
            <w:hideMark/>
          </w:tcPr>
          <w:p w14:paraId="4EFD2BBE" w14:textId="77777777" w:rsidR="00140D87" w:rsidRPr="00A139A0" w:rsidRDefault="00140D87" w:rsidP="00FB4F10">
            <w:pPr>
              <w:jc w:val="center"/>
              <w:rPr>
                <w:rFonts w:eastAsia="Times New Roman" w:cs="Times New Roman"/>
                <w:b/>
                <w:color w:val="FF0000"/>
                <w:sz w:val="20"/>
                <w:szCs w:val="20"/>
                <w:lang w:eastAsia="lv-LV"/>
              </w:rPr>
            </w:pPr>
            <w:r w:rsidRPr="00A139A0">
              <w:rPr>
                <w:rFonts w:eastAsia="Times New Roman" w:cs="Times New Roman"/>
                <w:b/>
                <w:color w:val="FF0000"/>
                <w:sz w:val="20"/>
                <w:szCs w:val="20"/>
                <w:lang w:eastAsia="lv-LV"/>
              </w:rPr>
              <w:t>104,70</w:t>
            </w:r>
          </w:p>
        </w:tc>
        <w:tc>
          <w:tcPr>
            <w:tcW w:w="1064" w:type="dxa"/>
            <w:tcBorders>
              <w:top w:val="nil"/>
              <w:left w:val="nil"/>
              <w:bottom w:val="single" w:sz="4" w:space="0" w:color="808080" w:themeColor="background1" w:themeShade="80"/>
              <w:right w:val="single" w:sz="4" w:space="0" w:color="auto"/>
            </w:tcBorders>
            <w:shd w:val="clear" w:color="auto" w:fill="auto"/>
            <w:noWrap/>
            <w:vAlign w:val="center"/>
            <w:hideMark/>
          </w:tcPr>
          <w:p w14:paraId="6183EEB7" w14:textId="77777777" w:rsidR="00140D87" w:rsidRPr="00A139A0" w:rsidRDefault="00140D87" w:rsidP="00FB4F10">
            <w:pPr>
              <w:jc w:val="center"/>
              <w:rPr>
                <w:rFonts w:eastAsia="Times New Roman" w:cs="Times New Roman"/>
                <w:b/>
                <w:color w:val="FF0000"/>
                <w:sz w:val="20"/>
                <w:szCs w:val="20"/>
                <w:lang w:eastAsia="lv-LV"/>
              </w:rPr>
            </w:pPr>
            <w:r w:rsidRPr="00A139A0">
              <w:rPr>
                <w:rFonts w:eastAsia="Times New Roman" w:cs="Times New Roman"/>
                <w:b/>
                <w:color w:val="FF0000"/>
                <w:sz w:val="20"/>
                <w:szCs w:val="20"/>
                <w:lang w:eastAsia="lv-LV"/>
              </w:rPr>
              <w:t>115,20</w:t>
            </w:r>
          </w:p>
        </w:tc>
        <w:tc>
          <w:tcPr>
            <w:tcW w:w="972" w:type="dxa"/>
            <w:tcBorders>
              <w:top w:val="nil"/>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1D69C264" w14:textId="77777777" w:rsidR="00140D87" w:rsidRPr="00A139A0" w:rsidRDefault="00140D87" w:rsidP="00FB4F10">
            <w:pPr>
              <w:jc w:val="center"/>
              <w:rPr>
                <w:rFonts w:eastAsia="Times New Roman" w:cs="Times New Roman"/>
                <w:b/>
                <w:bCs/>
                <w:color w:val="00B050"/>
                <w:sz w:val="20"/>
                <w:szCs w:val="20"/>
                <w:lang w:eastAsia="lv-LV"/>
              </w:rPr>
            </w:pPr>
            <w:r w:rsidRPr="00A139A0">
              <w:rPr>
                <w:rFonts w:eastAsia="Times New Roman" w:cs="Times New Roman"/>
                <w:b/>
                <w:bCs/>
                <w:color w:val="00B050"/>
                <w:sz w:val="20"/>
                <w:szCs w:val="20"/>
                <w:lang w:eastAsia="lv-LV"/>
              </w:rPr>
              <w:t>37</w:t>
            </w:r>
          </w:p>
        </w:tc>
        <w:tc>
          <w:tcPr>
            <w:tcW w:w="979" w:type="dxa"/>
            <w:tcBorders>
              <w:top w:val="nil"/>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7D533CFB" w14:textId="77777777" w:rsidR="00140D87" w:rsidRPr="00A139A0" w:rsidRDefault="00140D87" w:rsidP="00042C28">
            <w:pPr>
              <w:jc w:val="center"/>
              <w:rPr>
                <w:rFonts w:eastAsia="Times New Roman" w:cs="Times New Roman"/>
                <w:b/>
                <w:bCs/>
                <w:color w:val="0070C0"/>
                <w:sz w:val="20"/>
                <w:szCs w:val="20"/>
                <w:lang w:eastAsia="lv-LV"/>
              </w:rPr>
            </w:pPr>
            <w:r w:rsidRPr="00A139A0">
              <w:rPr>
                <w:rFonts w:eastAsia="Times New Roman" w:cs="Times New Roman"/>
                <w:b/>
                <w:bCs/>
                <w:color w:val="0070C0"/>
                <w:sz w:val="20"/>
                <w:szCs w:val="20"/>
                <w:lang w:eastAsia="lv-LV"/>
              </w:rPr>
              <w:t>151</w:t>
            </w:r>
            <w:r w:rsidR="00042C28" w:rsidRPr="00042C28">
              <w:rPr>
                <w:rFonts w:eastAsia="Times New Roman" w:cs="Times New Roman"/>
                <w:b/>
                <w:bCs/>
                <w:color w:val="0070C0"/>
                <w:sz w:val="18"/>
                <w:szCs w:val="18"/>
                <w:lang w:eastAsia="lv-LV"/>
              </w:rPr>
              <w:t xml:space="preserve">+10% </w:t>
            </w:r>
            <w:r w:rsidR="00042C28" w:rsidRPr="00042C28">
              <w:rPr>
                <w:rFonts w:eastAsia="Times New Roman" w:cs="Times New Roman"/>
                <w:bCs/>
                <w:sz w:val="18"/>
                <w:szCs w:val="18"/>
                <w:lang w:eastAsia="lv-LV"/>
              </w:rPr>
              <w:t>no cenas</w:t>
            </w:r>
          </w:p>
        </w:tc>
      </w:tr>
      <w:tr w:rsidR="00140D87" w:rsidRPr="00A139A0" w14:paraId="2A95F05A" w14:textId="77777777" w:rsidTr="006B6C49">
        <w:trPr>
          <w:trHeight w:val="241"/>
        </w:trPr>
        <w:tc>
          <w:tcPr>
            <w:tcW w:w="9414" w:type="dxa"/>
            <w:gridSpan w:val="8"/>
            <w:tcBorders>
              <w:top w:val="single" w:sz="4" w:space="0" w:color="808080" w:themeColor="background1" w:themeShade="80"/>
              <w:left w:val="single" w:sz="4" w:space="0" w:color="auto"/>
              <w:bottom w:val="single" w:sz="4" w:space="0" w:color="808080" w:themeColor="background1" w:themeShade="80"/>
              <w:right w:val="single" w:sz="4" w:space="0" w:color="000000"/>
            </w:tcBorders>
            <w:shd w:val="clear" w:color="auto" w:fill="auto"/>
            <w:noWrap/>
            <w:vAlign w:val="center"/>
            <w:hideMark/>
          </w:tcPr>
          <w:p w14:paraId="1F1959C7" w14:textId="77777777" w:rsidR="00140D87" w:rsidRPr="00A139A0" w:rsidRDefault="00140D87" w:rsidP="00FB4F10">
            <w:pPr>
              <w:rPr>
                <w:rFonts w:eastAsia="Times New Roman" w:cs="Times New Roman"/>
                <w:b/>
                <w:bCs/>
                <w:color w:val="000000"/>
                <w:sz w:val="20"/>
                <w:szCs w:val="20"/>
                <w:lang w:eastAsia="lv-LV"/>
              </w:rPr>
            </w:pPr>
            <w:r w:rsidRPr="00A139A0">
              <w:rPr>
                <w:rFonts w:eastAsia="Times New Roman" w:cs="Times New Roman"/>
                <w:b/>
                <w:bCs/>
                <w:color w:val="000000"/>
                <w:sz w:val="20"/>
                <w:szCs w:val="20"/>
                <w:lang w:eastAsia="lv-LV"/>
              </w:rPr>
              <w:t>Smēķējamā tabaka, par 1000 g.:</w:t>
            </w:r>
          </w:p>
        </w:tc>
      </w:tr>
      <w:tr w:rsidR="00140D87" w:rsidRPr="00A139A0" w14:paraId="1CA18AFB" w14:textId="77777777" w:rsidTr="006B6C49">
        <w:trPr>
          <w:trHeight w:val="241"/>
        </w:trPr>
        <w:tc>
          <w:tcPr>
            <w:tcW w:w="2122" w:type="dxa"/>
            <w:tcBorders>
              <w:top w:val="single" w:sz="4" w:space="0" w:color="808080" w:themeColor="background1" w:themeShade="80"/>
              <w:left w:val="single" w:sz="4" w:space="0" w:color="auto"/>
              <w:bottom w:val="single" w:sz="4" w:space="0" w:color="808080" w:themeColor="background1" w:themeShade="80"/>
              <w:right w:val="single" w:sz="4" w:space="0" w:color="000000"/>
            </w:tcBorders>
            <w:shd w:val="clear" w:color="auto" w:fill="auto"/>
            <w:noWrap/>
            <w:vAlign w:val="bottom"/>
            <w:hideMark/>
          </w:tcPr>
          <w:p w14:paraId="553263FE" w14:textId="77777777" w:rsidR="00140D87" w:rsidRPr="00A139A0" w:rsidRDefault="00140D87" w:rsidP="00FB4F10">
            <w:pPr>
              <w:rPr>
                <w:rFonts w:eastAsia="Times New Roman" w:cs="Times New Roman"/>
                <w:color w:val="000000"/>
                <w:sz w:val="20"/>
                <w:szCs w:val="20"/>
                <w:lang w:eastAsia="lv-LV"/>
              </w:rPr>
            </w:pPr>
            <w:r w:rsidRPr="00A139A0">
              <w:rPr>
                <w:rFonts w:eastAsia="Times New Roman" w:cs="Times New Roman"/>
                <w:color w:val="000000"/>
                <w:sz w:val="20"/>
                <w:szCs w:val="20"/>
                <w:lang w:eastAsia="lv-LV"/>
              </w:rPr>
              <w:t>Smalki sagrieztā tabaka</w:t>
            </w:r>
          </w:p>
        </w:tc>
        <w:tc>
          <w:tcPr>
            <w:tcW w:w="1053"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0932E310" w14:textId="77777777" w:rsidR="00140D87" w:rsidRPr="00A139A0" w:rsidRDefault="00140D87" w:rsidP="00FB4F10">
            <w:pPr>
              <w:jc w:val="center"/>
              <w:rPr>
                <w:rFonts w:eastAsia="Times New Roman" w:cs="Times New Roman"/>
                <w:b/>
                <w:bCs/>
                <w:color w:val="000000"/>
                <w:sz w:val="20"/>
                <w:szCs w:val="20"/>
                <w:lang w:eastAsia="lv-LV"/>
              </w:rPr>
            </w:pPr>
            <w:r w:rsidRPr="00A139A0">
              <w:rPr>
                <w:rFonts w:eastAsia="Times New Roman" w:cs="Times New Roman"/>
                <w:b/>
                <w:bCs/>
                <w:color w:val="000000"/>
                <w:sz w:val="20"/>
                <w:szCs w:val="20"/>
                <w:lang w:eastAsia="lv-LV"/>
              </w:rPr>
              <w:t>75</w:t>
            </w:r>
          </w:p>
        </w:tc>
        <w:tc>
          <w:tcPr>
            <w:tcW w:w="10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14:paraId="003DA3D9" w14:textId="77777777" w:rsidR="00140D87" w:rsidRPr="00A139A0" w:rsidRDefault="00140D87" w:rsidP="00FB4F10">
            <w:pPr>
              <w:jc w:val="center"/>
              <w:rPr>
                <w:rFonts w:eastAsia="Times New Roman" w:cs="Times New Roman"/>
                <w:b/>
                <w:color w:val="FF0000"/>
                <w:sz w:val="20"/>
                <w:szCs w:val="20"/>
                <w:lang w:eastAsia="lv-LV"/>
              </w:rPr>
            </w:pPr>
            <w:r w:rsidRPr="00A139A0">
              <w:rPr>
                <w:rFonts w:eastAsia="Times New Roman" w:cs="Times New Roman"/>
                <w:b/>
                <w:color w:val="FF0000"/>
                <w:sz w:val="20"/>
                <w:szCs w:val="20"/>
                <w:lang w:eastAsia="lv-LV"/>
              </w:rPr>
              <w:t>78,80</w:t>
            </w:r>
          </w:p>
        </w:tc>
        <w:tc>
          <w:tcPr>
            <w:tcW w:w="106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14:paraId="57C376CD" w14:textId="77777777" w:rsidR="00140D87" w:rsidRPr="00A139A0" w:rsidRDefault="00140D87" w:rsidP="00FB4F10">
            <w:pPr>
              <w:jc w:val="center"/>
              <w:rPr>
                <w:rFonts w:eastAsia="Times New Roman" w:cs="Times New Roman"/>
                <w:b/>
                <w:color w:val="FF0000"/>
                <w:sz w:val="20"/>
                <w:szCs w:val="20"/>
                <w:lang w:eastAsia="lv-LV"/>
              </w:rPr>
            </w:pPr>
            <w:r w:rsidRPr="00A139A0">
              <w:rPr>
                <w:rFonts w:eastAsia="Times New Roman" w:cs="Times New Roman"/>
                <w:b/>
                <w:color w:val="FF0000"/>
                <w:sz w:val="20"/>
                <w:szCs w:val="20"/>
                <w:lang w:eastAsia="lv-LV"/>
              </w:rPr>
              <w:t>82,70</w:t>
            </w:r>
          </w:p>
        </w:tc>
        <w:tc>
          <w:tcPr>
            <w:tcW w:w="10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14:paraId="00B16E72" w14:textId="77777777" w:rsidR="00140D87" w:rsidRPr="00A139A0" w:rsidRDefault="00140D87" w:rsidP="00FB4F10">
            <w:pPr>
              <w:jc w:val="center"/>
              <w:rPr>
                <w:rFonts w:eastAsia="Times New Roman" w:cs="Times New Roman"/>
                <w:b/>
                <w:color w:val="FF0000"/>
                <w:sz w:val="20"/>
                <w:szCs w:val="20"/>
                <w:lang w:eastAsia="lv-LV"/>
              </w:rPr>
            </w:pPr>
            <w:r w:rsidRPr="00A139A0">
              <w:rPr>
                <w:rFonts w:eastAsia="Times New Roman" w:cs="Times New Roman"/>
                <w:b/>
                <w:color w:val="FF0000"/>
                <w:sz w:val="20"/>
                <w:szCs w:val="20"/>
                <w:lang w:eastAsia="lv-LV"/>
              </w:rPr>
              <w:t>82,50</w:t>
            </w:r>
          </w:p>
        </w:tc>
        <w:tc>
          <w:tcPr>
            <w:tcW w:w="106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14:paraId="31E6B05B" w14:textId="77777777" w:rsidR="00140D87" w:rsidRPr="00A139A0" w:rsidRDefault="00140D87" w:rsidP="00FB4F10">
            <w:pPr>
              <w:jc w:val="center"/>
              <w:rPr>
                <w:rFonts w:eastAsia="Times New Roman" w:cs="Times New Roman"/>
                <w:b/>
                <w:color w:val="FF0000"/>
                <w:sz w:val="20"/>
                <w:szCs w:val="20"/>
                <w:lang w:eastAsia="lv-LV"/>
              </w:rPr>
            </w:pPr>
            <w:r w:rsidRPr="00A139A0">
              <w:rPr>
                <w:rFonts w:eastAsia="Times New Roman" w:cs="Times New Roman"/>
                <w:b/>
                <w:color w:val="FF0000"/>
                <w:sz w:val="20"/>
                <w:szCs w:val="20"/>
                <w:lang w:eastAsia="lv-LV"/>
              </w:rPr>
              <w:t>90,75</w:t>
            </w:r>
          </w:p>
        </w:tc>
        <w:tc>
          <w:tcPr>
            <w:tcW w:w="972"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7A085B96" w14:textId="77777777" w:rsidR="00140D87" w:rsidRPr="00A139A0" w:rsidRDefault="00140D87" w:rsidP="00FB4F10">
            <w:pPr>
              <w:jc w:val="center"/>
              <w:rPr>
                <w:rFonts w:eastAsia="Times New Roman" w:cs="Times New Roman"/>
                <w:b/>
                <w:color w:val="00B050"/>
                <w:sz w:val="20"/>
                <w:szCs w:val="20"/>
                <w:lang w:eastAsia="lv-LV"/>
              </w:rPr>
            </w:pPr>
            <w:r w:rsidRPr="00A139A0">
              <w:rPr>
                <w:rFonts w:eastAsia="Times New Roman" w:cs="Times New Roman"/>
                <w:b/>
                <w:color w:val="00B050"/>
                <w:sz w:val="20"/>
                <w:szCs w:val="20"/>
                <w:lang w:eastAsia="lv-LV"/>
              </w:rPr>
              <w:t>60,24</w:t>
            </w:r>
          </w:p>
        </w:tc>
        <w:tc>
          <w:tcPr>
            <w:tcW w:w="979"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2DAE8E9B" w14:textId="77777777" w:rsidR="00140D87" w:rsidRPr="00A139A0" w:rsidRDefault="00140D87" w:rsidP="00FB4F10">
            <w:pPr>
              <w:jc w:val="center"/>
              <w:rPr>
                <w:rFonts w:eastAsia="Times New Roman" w:cs="Times New Roman"/>
                <w:b/>
                <w:color w:val="0070C0"/>
                <w:sz w:val="20"/>
                <w:szCs w:val="20"/>
                <w:lang w:eastAsia="lv-LV"/>
              </w:rPr>
            </w:pPr>
            <w:r w:rsidRPr="00A139A0">
              <w:rPr>
                <w:rFonts w:eastAsia="Times New Roman" w:cs="Times New Roman"/>
                <w:b/>
                <w:color w:val="0070C0"/>
                <w:sz w:val="20"/>
                <w:szCs w:val="20"/>
                <w:lang w:eastAsia="lv-LV"/>
              </w:rPr>
              <w:t>89,63</w:t>
            </w:r>
          </w:p>
        </w:tc>
      </w:tr>
      <w:tr w:rsidR="00140D87" w:rsidRPr="00A139A0" w14:paraId="3E1F7F14" w14:textId="77777777" w:rsidTr="006B6C49">
        <w:trPr>
          <w:trHeight w:val="241"/>
        </w:trPr>
        <w:tc>
          <w:tcPr>
            <w:tcW w:w="2122"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bottom"/>
            <w:hideMark/>
          </w:tcPr>
          <w:p w14:paraId="7C5D7B46" w14:textId="77777777" w:rsidR="00140D87" w:rsidRPr="00A139A0" w:rsidRDefault="00140D87" w:rsidP="00FB4F10">
            <w:pPr>
              <w:rPr>
                <w:rFonts w:eastAsia="Times New Roman" w:cs="Times New Roman"/>
                <w:color w:val="000000"/>
                <w:sz w:val="20"/>
                <w:szCs w:val="20"/>
                <w:lang w:eastAsia="lv-LV"/>
              </w:rPr>
            </w:pPr>
            <w:r w:rsidRPr="00A139A0">
              <w:rPr>
                <w:rFonts w:eastAsia="Times New Roman" w:cs="Times New Roman"/>
                <w:color w:val="000000"/>
                <w:sz w:val="20"/>
                <w:szCs w:val="20"/>
                <w:lang w:eastAsia="lv-LV"/>
              </w:rPr>
              <w:t>Cita smēķējamā tabaka</w:t>
            </w:r>
          </w:p>
        </w:tc>
        <w:tc>
          <w:tcPr>
            <w:tcW w:w="1053"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294F2032" w14:textId="77777777" w:rsidR="00140D87" w:rsidRPr="00A139A0" w:rsidRDefault="00140D87" w:rsidP="00FB4F10">
            <w:pPr>
              <w:jc w:val="center"/>
              <w:rPr>
                <w:rFonts w:eastAsia="Times New Roman" w:cs="Times New Roman"/>
                <w:b/>
                <w:bCs/>
                <w:color w:val="000000"/>
                <w:sz w:val="20"/>
                <w:szCs w:val="20"/>
                <w:lang w:eastAsia="lv-LV"/>
              </w:rPr>
            </w:pPr>
            <w:r w:rsidRPr="00A139A0">
              <w:rPr>
                <w:rFonts w:eastAsia="Times New Roman" w:cs="Times New Roman"/>
                <w:b/>
                <w:bCs/>
                <w:color w:val="000000"/>
                <w:sz w:val="20"/>
                <w:szCs w:val="20"/>
                <w:lang w:eastAsia="lv-LV"/>
              </w:rPr>
              <w:t>75</w:t>
            </w:r>
          </w:p>
        </w:tc>
        <w:tc>
          <w:tcPr>
            <w:tcW w:w="10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14:paraId="5B92EA11" w14:textId="77777777" w:rsidR="00140D87" w:rsidRPr="00A139A0" w:rsidRDefault="00140D87" w:rsidP="00FB4F10">
            <w:pPr>
              <w:jc w:val="center"/>
              <w:rPr>
                <w:rFonts w:eastAsia="Times New Roman" w:cs="Times New Roman"/>
                <w:b/>
                <w:color w:val="FF0000"/>
                <w:sz w:val="20"/>
                <w:szCs w:val="20"/>
                <w:lang w:eastAsia="lv-LV"/>
              </w:rPr>
            </w:pPr>
            <w:r w:rsidRPr="00A139A0">
              <w:rPr>
                <w:rFonts w:eastAsia="Times New Roman" w:cs="Times New Roman"/>
                <w:b/>
                <w:color w:val="FF0000"/>
                <w:sz w:val="20"/>
                <w:szCs w:val="20"/>
                <w:lang w:eastAsia="lv-LV"/>
              </w:rPr>
              <w:t>78,80</w:t>
            </w:r>
          </w:p>
        </w:tc>
        <w:tc>
          <w:tcPr>
            <w:tcW w:w="106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14:paraId="2E2A6817" w14:textId="77777777" w:rsidR="00140D87" w:rsidRPr="00A139A0" w:rsidRDefault="00140D87" w:rsidP="00FB4F10">
            <w:pPr>
              <w:jc w:val="center"/>
              <w:rPr>
                <w:rFonts w:eastAsia="Times New Roman" w:cs="Times New Roman"/>
                <w:b/>
                <w:color w:val="FF0000"/>
                <w:sz w:val="20"/>
                <w:szCs w:val="20"/>
                <w:lang w:eastAsia="lv-LV"/>
              </w:rPr>
            </w:pPr>
            <w:r w:rsidRPr="00A139A0">
              <w:rPr>
                <w:rFonts w:eastAsia="Times New Roman" w:cs="Times New Roman"/>
                <w:b/>
                <w:color w:val="FF0000"/>
                <w:sz w:val="20"/>
                <w:szCs w:val="20"/>
                <w:lang w:eastAsia="lv-LV"/>
              </w:rPr>
              <w:t>82,70</w:t>
            </w:r>
          </w:p>
        </w:tc>
        <w:tc>
          <w:tcPr>
            <w:tcW w:w="1080"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14:paraId="2BE812FF" w14:textId="77777777" w:rsidR="00140D87" w:rsidRPr="00A139A0" w:rsidRDefault="00140D87" w:rsidP="00FB4F10">
            <w:pPr>
              <w:jc w:val="center"/>
              <w:rPr>
                <w:rFonts w:eastAsia="Times New Roman" w:cs="Times New Roman"/>
                <w:b/>
                <w:color w:val="FF0000"/>
                <w:sz w:val="20"/>
                <w:szCs w:val="20"/>
                <w:lang w:eastAsia="lv-LV"/>
              </w:rPr>
            </w:pPr>
            <w:r w:rsidRPr="00A139A0">
              <w:rPr>
                <w:rFonts w:eastAsia="Times New Roman" w:cs="Times New Roman"/>
                <w:b/>
                <w:color w:val="FF0000"/>
                <w:sz w:val="20"/>
                <w:szCs w:val="20"/>
                <w:lang w:eastAsia="lv-LV"/>
              </w:rPr>
              <w:t>82,50</w:t>
            </w:r>
          </w:p>
        </w:tc>
        <w:tc>
          <w:tcPr>
            <w:tcW w:w="106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14:paraId="012D95E9" w14:textId="77777777" w:rsidR="00140D87" w:rsidRPr="00A139A0" w:rsidRDefault="00140D87" w:rsidP="00FB4F10">
            <w:pPr>
              <w:jc w:val="center"/>
              <w:rPr>
                <w:rFonts w:eastAsia="Times New Roman" w:cs="Times New Roman"/>
                <w:b/>
                <w:color w:val="FF0000"/>
                <w:sz w:val="20"/>
                <w:szCs w:val="20"/>
                <w:lang w:eastAsia="lv-LV"/>
              </w:rPr>
            </w:pPr>
            <w:r w:rsidRPr="00A139A0">
              <w:rPr>
                <w:rFonts w:eastAsia="Times New Roman" w:cs="Times New Roman"/>
                <w:b/>
                <w:color w:val="FF0000"/>
                <w:sz w:val="20"/>
                <w:szCs w:val="20"/>
                <w:lang w:eastAsia="lv-LV"/>
              </w:rPr>
              <w:t>90,75</w:t>
            </w:r>
          </w:p>
        </w:tc>
        <w:tc>
          <w:tcPr>
            <w:tcW w:w="972"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4CDCB3E1" w14:textId="77777777" w:rsidR="00140D87" w:rsidRPr="00A139A0" w:rsidRDefault="00140D87" w:rsidP="00FB4F10">
            <w:pPr>
              <w:jc w:val="center"/>
              <w:rPr>
                <w:rFonts w:eastAsia="Times New Roman" w:cs="Times New Roman"/>
                <w:b/>
                <w:color w:val="00B050"/>
                <w:sz w:val="20"/>
                <w:szCs w:val="20"/>
                <w:lang w:eastAsia="lv-LV"/>
              </w:rPr>
            </w:pPr>
            <w:r w:rsidRPr="00A139A0">
              <w:rPr>
                <w:rFonts w:eastAsia="Times New Roman" w:cs="Times New Roman"/>
                <w:b/>
                <w:color w:val="00B050"/>
                <w:sz w:val="20"/>
                <w:szCs w:val="20"/>
                <w:lang w:eastAsia="lv-LV"/>
              </w:rPr>
              <w:t>60,24</w:t>
            </w:r>
          </w:p>
        </w:tc>
        <w:tc>
          <w:tcPr>
            <w:tcW w:w="979"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49EDAD55" w14:textId="77777777" w:rsidR="00140D87" w:rsidRPr="00A139A0" w:rsidRDefault="00140D87" w:rsidP="00FB4F10">
            <w:pPr>
              <w:jc w:val="center"/>
              <w:rPr>
                <w:rFonts w:eastAsia="Times New Roman" w:cs="Times New Roman"/>
                <w:b/>
                <w:color w:val="0070C0"/>
                <w:sz w:val="20"/>
                <w:szCs w:val="20"/>
                <w:lang w:eastAsia="lv-LV"/>
              </w:rPr>
            </w:pPr>
            <w:r w:rsidRPr="00A139A0">
              <w:rPr>
                <w:rFonts w:eastAsia="Times New Roman" w:cs="Times New Roman"/>
                <w:b/>
                <w:color w:val="0070C0"/>
                <w:sz w:val="20"/>
                <w:szCs w:val="20"/>
                <w:lang w:eastAsia="lv-LV"/>
              </w:rPr>
              <w:t>89,63</w:t>
            </w:r>
          </w:p>
        </w:tc>
      </w:tr>
      <w:tr w:rsidR="00140D87" w:rsidRPr="00A139A0" w14:paraId="73B7F5FB" w14:textId="77777777" w:rsidTr="006B6C49">
        <w:trPr>
          <w:trHeight w:val="241"/>
        </w:trPr>
        <w:tc>
          <w:tcPr>
            <w:tcW w:w="2122" w:type="dxa"/>
            <w:tcBorders>
              <w:top w:val="single" w:sz="4" w:space="0" w:color="808080" w:themeColor="background1" w:themeShade="80"/>
              <w:left w:val="single" w:sz="4" w:space="0" w:color="auto"/>
              <w:bottom w:val="single" w:sz="4" w:space="0" w:color="auto"/>
              <w:right w:val="single" w:sz="4" w:space="0" w:color="000000"/>
            </w:tcBorders>
            <w:shd w:val="clear" w:color="auto" w:fill="auto"/>
            <w:noWrap/>
            <w:vAlign w:val="bottom"/>
            <w:hideMark/>
          </w:tcPr>
          <w:p w14:paraId="595AFD01" w14:textId="77777777" w:rsidR="00140D87" w:rsidRPr="00A139A0" w:rsidRDefault="00140D87" w:rsidP="00FB4F10">
            <w:pPr>
              <w:rPr>
                <w:rFonts w:eastAsia="Times New Roman" w:cs="Times New Roman"/>
                <w:color w:val="000000"/>
                <w:sz w:val="20"/>
                <w:szCs w:val="20"/>
                <w:lang w:eastAsia="lv-LV"/>
              </w:rPr>
            </w:pPr>
            <w:r w:rsidRPr="00A139A0">
              <w:rPr>
                <w:rFonts w:eastAsia="Times New Roman" w:cs="Times New Roman"/>
                <w:color w:val="000000"/>
                <w:sz w:val="20"/>
                <w:szCs w:val="20"/>
                <w:lang w:eastAsia="lv-LV"/>
              </w:rPr>
              <w:t>Tabakas lapas</w:t>
            </w:r>
          </w:p>
        </w:tc>
        <w:tc>
          <w:tcPr>
            <w:tcW w:w="1053" w:type="dxa"/>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noWrap/>
            <w:vAlign w:val="center"/>
            <w:hideMark/>
          </w:tcPr>
          <w:p w14:paraId="12A8E7EE" w14:textId="77777777" w:rsidR="00140D87" w:rsidRPr="00A139A0" w:rsidRDefault="00140D87" w:rsidP="00FB4F10">
            <w:pPr>
              <w:jc w:val="center"/>
              <w:rPr>
                <w:rFonts w:eastAsia="Times New Roman" w:cs="Times New Roman"/>
                <w:b/>
                <w:bCs/>
                <w:color w:val="000000"/>
                <w:sz w:val="20"/>
                <w:szCs w:val="20"/>
                <w:lang w:eastAsia="lv-LV"/>
              </w:rPr>
            </w:pPr>
            <w:r w:rsidRPr="00A139A0">
              <w:rPr>
                <w:rFonts w:eastAsia="Times New Roman" w:cs="Times New Roman"/>
                <w:b/>
                <w:bCs/>
                <w:color w:val="000000"/>
                <w:sz w:val="20"/>
                <w:szCs w:val="20"/>
                <w:lang w:eastAsia="lv-LV"/>
              </w:rPr>
              <w:t>75</w:t>
            </w:r>
          </w:p>
        </w:tc>
        <w:tc>
          <w:tcPr>
            <w:tcW w:w="1080"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14:paraId="74D663C2" w14:textId="77777777" w:rsidR="00140D87" w:rsidRPr="00A139A0" w:rsidRDefault="00140D87" w:rsidP="00FB4F10">
            <w:pPr>
              <w:jc w:val="center"/>
              <w:rPr>
                <w:rFonts w:eastAsia="Times New Roman" w:cs="Times New Roman"/>
                <w:b/>
                <w:color w:val="FF0000"/>
                <w:sz w:val="20"/>
                <w:szCs w:val="20"/>
                <w:lang w:eastAsia="lv-LV"/>
              </w:rPr>
            </w:pPr>
            <w:r w:rsidRPr="00A139A0">
              <w:rPr>
                <w:rFonts w:eastAsia="Times New Roman" w:cs="Times New Roman"/>
                <w:b/>
                <w:color w:val="FF0000"/>
                <w:sz w:val="20"/>
                <w:szCs w:val="20"/>
                <w:lang w:eastAsia="lv-LV"/>
              </w:rPr>
              <w:t>78,80</w:t>
            </w:r>
          </w:p>
        </w:tc>
        <w:tc>
          <w:tcPr>
            <w:tcW w:w="1064"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14:paraId="5FBE028F" w14:textId="77777777" w:rsidR="00140D87" w:rsidRPr="00A139A0" w:rsidRDefault="00140D87" w:rsidP="00FB4F10">
            <w:pPr>
              <w:jc w:val="center"/>
              <w:rPr>
                <w:rFonts w:eastAsia="Times New Roman" w:cs="Times New Roman"/>
                <w:b/>
                <w:color w:val="FF0000"/>
                <w:sz w:val="20"/>
                <w:szCs w:val="20"/>
                <w:lang w:eastAsia="lv-LV"/>
              </w:rPr>
            </w:pPr>
            <w:r w:rsidRPr="00A139A0">
              <w:rPr>
                <w:rFonts w:eastAsia="Times New Roman" w:cs="Times New Roman"/>
                <w:b/>
                <w:color w:val="FF0000"/>
                <w:sz w:val="20"/>
                <w:szCs w:val="20"/>
                <w:lang w:eastAsia="lv-LV"/>
              </w:rPr>
              <w:t>82,70</w:t>
            </w:r>
          </w:p>
        </w:tc>
        <w:tc>
          <w:tcPr>
            <w:tcW w:w="1080"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14:paraId="1775162C" w14:textId="77777777" w:rsidR="00140D87" w:rsidRPr="00A139A0" w:rsidRDefault="00140D87" w:rsidP="00FB4F10">
            <w:pPr>
              <w:jc w:val="center"/>
              <w:rPr>
                <w:rFonts w:eastAsia="Times New Roman" w:cs="Times New Roman"/>
                <w:b/>
                <w:color w:val="FF0000"/>
                <w:sz w:val="20"/>
                <w:szCs w:val="20"/>
                <w:lang w:eastAsia="lv-LV"/>
              </w:rPr>
            </w:pPr>
            <w:r w:rsidRPr="00A139A0">
              <w:rPr>
                <w:rFonts w:eastAsia="Times New Roman" w:cs="Times New Roman"/>
                <w:b/>
                <w:color w:val="FF0000"/>
                <w:sz w:val="20"/>
                <w:szCs w:val="20"/>
                <w:lang w:eastAsia="lv-LV"/>
              </w:rPr>
              <w:t>82,50</w:t>
            </w:r>
          </w:p>
        </w:tc>
        <w:tc>
          <w:tcPr>
            <w:tcW w:w="1064"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14:paraId="01E050E2" w14:textId="77777777" w:rsidR="00140D87" w:rsidRPr="00A139A0" w:rsidRDefault="00140D87" w:rsidP="00FB4F10">
            <w:pPr>
              <w:jc w:val="center"/>
              <w:rPr>
                <w:rFonts w:eastAsia="Times New Roman" w:cs="Times New Roman"/>
                <w:b/>
                <w:color w:val="FF0000"/>
                <w:sz w:val="20"/>
                <w:szCs w:val="20"/>
                <w:lang w:eastAsia="lv-LV"/>
              </w:rPr>
            </w:pPr>
            <w:r w:rsidRPr="00A139A0">
              <w:rPr>
                <w:rFonts w:eastAsia="Times New Roman" w:cs="Times New Roman"/>
                <w:b/>
                <w:color w:val="FF0000"/>
                <w:sz w:val="20"/>
                <w:szCs w:val="20"/>
                <w:lang w:eastAsia="lv-LV"/>
              </w:rPr>
              <w:t>90,75</w:t>
            </w:r>
          </w:p>
        </w:tc>
        <w:tc>
          <w:tcPr>
            <w:tcW w:w="972" w:type="dxa"/>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noWrap/>
            <w:vAlign w:val="center"/>
            <w:hideMark/>
          </w:tcPr>
          <w:p w14:paraId="158B98BD" w14:textId="77777777" w:rsidR="00140D87" w:rsidRPr="00A139A0" w:rsidRDefault="00140D87" w:rsidP="00FB4F10">
            <w:pPr>
              <w:jc w:val="center"/>
              <w:rPr>
                <w:rFonts w:eastAsia="Times New Roman" w:cs="Times New Roman"/>
                <w:color w:val="00B050"/>
                <w:sz w:val="20"/>
                <w:szCs w:val="20"/>
                <w:lang w:eastAsia="lv-LV"/>
              </w:rPr>
            </w:pPr>
            <w:r w:rsidRPr="00A139A0">
              <w:rPr>
                <w:rFonts w:eastAsia="Times New Roman" w:cs="Times New Roman"/>
                <w:color w:val="00B050"/>
                <w:sz w:val="20"/>
                <w:szCs w:val="20"/>
                <w:lang w:eastAsia="lv-LV"/>
              </w:rPr>
              <w:t>-</w:t>
            </w:r>
          </w:p>
        </w:tc>
        <w:tc>
          <w:tcPr>
            <w:tcW w:w="979" w:type="dxa"/>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noWrap/>
            <w:vAlign w:val="center"/>
            <w:hideMark/>
          </w:tcPr>
          <w:p w14:paraId="276F4BB4" w14:textId="77777777" w:rsidR="00140D87" w:rsidRPr="00A139A0" w:rsidRDefault="00140D87" w:rsidP="00FB4F10">
            <w:pPr>
              <w:jc w:val="center"/>
              <w:rPr>
                <w:rFonts w:eastAsia="Times New Roman" w:cs="Times New Roman"/>
                <w:color w:val="000000"/>
                <w:sz w:val="20"/>
                <w:szCs w:val="20"/>
                <w:lang w:eastAsia="lv-LV"/>
              </w:rPr>
            </w:pPr>
            <w:r w:rsidRPr="00A139A0">
              <w:rPr>
                <w:rFonts w:eastAsia="Times New Roman" w:cs="Times New Roman"/>
                <w:color w:val="000000"/>
                <w:sz w:val="20"/>
                <w:szCs w:val="20"/>
                <w:lang w:eastAsia="lv-LV"/>
              </w:rPr>
              <w:t>-</w:t>
            </w:r>
          </w:p>
        </w:tc>
      </w:tr>
      <w:tr w:rsidR="00140D87" w:rsidRPr="00A139A0" w14:paraId="3AE8573D" w14:textId="77777777" w:rsidTr="00516EA7">
        <w:trPr>
          <w:trHeight w:val="213"/>
        </w:trPr>
        <w:tc>
          <w:tcPr>
            <w:tcW w:w="3175" w:type="dxa"/>
            <w:gridSpan w:val="2"/>
            <w:tcBorders>
              <w:top w:val="single" w:sz="4" w:space="0" w:color="auto"/>
              <w:left w:val="single" w:sz="4" w:space="0" w:color="auto"/>
              <w:bottom w:val="dotted" w:sz="4" w:space="0" w:color="auto"/>
              <w:right w:val="single" w:sz="4" w:space="0" w:color="auto"/>
            </w:tcBorders>
            <w:shd w:val="clear" w:color="auto" w:fill="FFE599" w:themeFill="accent4" w:themeFillTint="66"/>
            <w:noWrap/>
            <w:vAlign w:val="center"/>
          </w:tcPr>
          <w:p w14:paraId="736483DC" w14:textId="77777777" w:rsidR="00140D87" w:rsidRPr="00F519AB" w:rsidRDefault="00140D87" w:rsidP="00FB4F10">
            <w:pPr>
              <w:contextualSpacing/>
              <w:rPr>
                <w:b/>
                <w:sz w:val="22"/>
              </w:rPr>
            </w:pPr>
            <w:r w:rsidRPr="00F519AB">
              <w:rPr>
                <w:b/>
                <w:sz w:val="22"/>
              </w:rPr>
              <w:t>Fiskālā ietekme</w:t>
            </w:r>
            <w:r w:rsidRPr="00BB7607">
              <w:rPr>
                <w:b/>
                <w:sz w:val="22"/>
                <w:vertAlign w:val="superscript"/>
              </w:rPr>
              <w:t>**</w:t>
            </w:r>
            <w:r w:rsidRPr="00F519AB">
              <w:rPr>
                <w:b/>
                <w:sz w:val="22"/>
              </w:rPr>
              <w:t xml:space="preserve">, </w:t>
            </w:r>
            <w:r w:rsidRPr="00F519AB">
              <w:rPr>
                <w:i/>
                <w:sz w:val="22"/>
              </w:rPr>
              <w:t>milj. eur</w:t>
            </w:r>
            <w:r>
              <w:rPr>
                <w:i/>
                <w:sz w:val="22"/>
              </w:rPr>
              <w:t>o</w:t>
            </w:r>
          </w:p>
        </w:tc>
        <w:tc>
          <w:tcPr>
            <w:tcW w:w="2144" w:type="dxa"/>
            <w:gridSpan w:val="2"/>
            <w:tcBorders>
              <w:top w:val="single" w:sz="4" w:space="0" w:color="auto"/>
              <w:left w:val="nil"/>
              <w:bottom w:val="dotted" w:sz="4" w:space="0" w:color="auto"/>
              <w:right w:val="single" w:sz="4" w:space="0" w:color="auto"/>
            </w:tcBorders>
            <w:shd w:val="clear" w:color="auto" w:fill="FFE599" w:themeFill="accent4" w:themeFillTint="66"/>
            <w:noWrap/>
            <w:vAlign w:val="center"/>
          </w:tcPr>
          <w:p w14:paraId="72237B7E" w14:textId="77777777" w:rsidR="00140D87" w:rsidRPr="004252E4" w:rsidRDefault="00140D87" w:rsidP="00A303CA">
            <w:pPr>
              <w:contextualSpacing/>
              <w:jc w:val="center"/>
              <w:rPr>
                <w:rFonts w:eastAsia="Times New Roman" w:cs="Times New Roman"/>
                <w:b/>
                <w:color w:val="00B050"/>
                <w:sz w:val="22"/>
                <w:lang w:eastAsia="lv-LV"/>
              </w:rPr>
            </w:pPr>
            <w:r w:rsidRPr="004252E4">
              <w:rPr>
                <w:rFonts w:eastAsia="Times New Roman" w:cs="Times New Roman"/>
                <w:b/>
                <w:color w:val="00B050"/>
                <w:sz w:val="22"/>
                <w:lang w:eastAsia="lv-LV"/>
              </w:rPr>
              <w:t>+0,3</w:t>
            </w:r>
            <w:r w:rsidR="00A303CA" w:rsidRPr="004252E4">
              <w:rPr>
                <w:rFonts w:eastAsia="Times New Roman" w:cs="Times New Roman"/>
                <w:b/>
                <w:color w:val="00B050"/>
                <w:sz w:val="22"/>
                <w:lang w:eastAsia="lv-LV"/>
              </w:rPr>
              <w:t>-</w:t>
            </w:r>
            <w:r w:rsidRPr="004252E4">
              <w:rPr>
                <w:rFonts w:eastAsia="Times New Roman" w:cs="Times New Roman"/>
                <w:b/>
                <w:color w:val="00B050"/>
                <w:sz w:val="22"/>
                <w:lang w:eastAsia="lv-LV"/>
              </w:rPr>
              <w:t>0,5</w:t>
            </w:r>
          </w:p>
        </w:tc>
        <w:tc>
          <w:tcPr>
            <w:tcW w:w="2144" w:type="dxa"/>
            <w:gridSpan w:val="2"/>
            <w:tcBorders>
              <w:top w:val="single" w:sz="4" w:space="0" w:color="auto"/>
              <w:left w:val="nil"/>
              <w:bottom w:val="dotted" w:sz="4" w:space="0" w:color="auto"/>
              <w:right w:val="single" w:sz="4" w:space="0" w:color="auto"/>
            </w:tcBorders>
            <w:shd w:val="clear" w:color="auto" w:fill="FFE599" w:themeFill="accent4" w:themeFillTint="66"/>
            <w:noWrap/>
            <w:vAlign w:val="center"/>
          </w:tcPr>
          <w:p w14:paraId="56457241" w14:textId="77777777" w:rsidR="00140D87" w:rsidRPr="004252E4" w:rsidRDefault="00140D87" w:rsidP="00A303CA">
            <w:pPr>
              <w:contextualSpacing/>
              <w:jc w:val="center"/>
              <w:rPr>
                <w:rFonts w:eastAsia="Times New Roman" w:cs="Times New Roman"/>
                <w:b/>
                <w:color w:val="00B050"/>
                <w:sz w:val="22"/>
                <w:lang w:eastAsia="lv-LV"/>
              </w:rPr>
            </w:pPr>
            <w:r w:rsidRPr="004252E4">
              <w:rPr>
                <w:rFonts w:eastAsia="Times New Roman" w:cs="Times New Roman"/>
                <w:b/>
                <w:color w:val="00B050"/>
                <w:sz w:val="22"/>
                <w:lang w:eastAsia="lv-LV"/>
              </w:rPr>
              <w:t>+0,5</w:t>
            </w:r>
            <w:r w:rsidR="00A303CA" w:rsidRPr="004252E4">
              <w:rPr>
                <w:rFonts w:eastAsia="Times New Roman" w:cs="Times New Roman"/>
                <w:b/>
                <w:color w:val="00B050"/>
                <w:sz w:val="22"/>
                <w:lang w:eastAsia="lv-LV"/>
              </w:rPr>
              <w:t>-</w:t>
            </w:r>
            <w:r w:rsidRPr="004252E4">
              <w:rPr>
                <w:rFonts w:eastAsia="Times New Roman" w:cs="Times New Roman"/>
                <w:b/>
                <w:color w:val="00B050"/>
                <w:sz w:val="22"/>
                <w:lang w:eastAsia="lv-LV"/>
              </w:rPr>
              <w:t>1,0</w:t>
            </w:r>
          </w:p>
        </w:tc>
        <w:tc>
          <w:tcPr>
            <w:tcW w:w="972" w:type="dxa"/>
            <w:tcBorders>
              <w:top w:val="single" w:sz="4" w:space="0" w:color="auto"/>
              <w:left w:val="nil"/>
              <w:bottom w:val="dotted" w:sz="4" w:space="0" w:color="auto"/>
              <w:right w:val="single" w:sz="4" w:space="0" w:color="auto"/>
            </w:tcBorders>
            <w:shd w:val="clear" w:color="auto" w:fill="D9D9D9" w:themeFill="background1" w:themeFillShade="D9"/>
            <w:noWrap/>
            <w:vAlign w:val="center"/>
          </w:tcPr>
          <w:p w14:paraId="413D0D97" w14:textId="77777777" w:rsidR="00140D87" w:rsidRPr="00A139A0" w:rsidRDefault="00140D87" w:rsidP="00FB4F10">
            <w:pPr>
              <w:jc w:val="center"/>
              <w:rPr>
                <w:rFonts w:eastAsia="Times New Roman" w:cs="Times New Roman"/>
                <w:color w:val="000000"/>
                <w:sz w:val="20"/>
                <w:szCs w:val="20"/>
                <w:lang w:eastAsia="lv-LV"/>
              </w:rPr>
            </w:pPr>
          </w:p>
        </w:tc>
        <w:tc>
          <w:tcPr>
            <w:tcW w:w="979"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5E3F3BDC" w14:textId="77777777" w:rsidR="00140D87" w:rsidRPr="00A139A0" w:rsidRDefault="00140D87" w:rsidP="00FB4F10">
            <w:pPr>
              <w:jc w:val="center"/>
              <w:rPr>
                <w:rFonts w:eastAsia="Times New Roman" w:cs="Times New Roman"/>
                <w:color w:val="000000"/>
                <w:sz w:val="20"/>
                <w:szCs w:val="20"/>
                <w:lang w:eastAsia="lv-LV"/>
              </w:rPr>
            </w:pPr>
          </w:p>
        </w:tc>
      </w:tr>
      <w:tr w:rsidR="00140D87" w:rsidRPr="00A139A0" w14:paraId="6A0C49D4" w14:textId="77777777" w:rsidTr="00516EA7">
        <w:trPr>
          <w:trHeight w:val="226"/>
        </w:trPr>
        <w:tc>
          <w:tcPr>
            <w:tcW w:w="3175" w:type="dxa"/>
            <w:gridSpan w:val="2"/>
            <w:tcBorders>
              <w:top w:val="dotted" w:sz="4" w:space="0" w:color="auto"/>
              <w:left w:val="single" w:sz="4" w:space="0" w:color="auto"/>
              <w:bottom w:val="dotted" w:sz="4" w:space="0" w:color="auto"/>
              <w:right w:val="single" w:sz="4" w:space="0" w:color="auto"/>
            </w:tcBorders>
            <w:shd w:val="clear" w:color="auto" w:fill="FFE599" w:themeFill="accent4" w:themeFillTint="66"/>
            <w:noWrap/>
            <w:vAlign w:val="center"/>
          </w:tcPr>
          <w:p w14:paraId="7E67A3B6" w14:textId="77777777" w:rsidR="00140D87" w:rsidRPr="00BB7607" w:rsidRDefault="00140D87" w:rsidP="00FB4F10">
            <w:pPr>
              <w:contextualSpacing/>
              <w:jc w:val="center"/>
              <w:rPr>
                <w:i/>
                <w:sz w:val="20"/>
                <w:szCs w:val="20"/>
              </w:rPr>
            </w:pPr>
            <w:r w:rsidRPr="00BB7607">
              <w:rPr>
                <w:i/>
                <w:sz w:val="20"/>
                <w:szCs w:val="20"/>
              </w:rPr>
              <w:t>t.sk.: AN</w:t>
            </w:r>
          </w:p>
        </w:tc>
        <w:tc>
          <w:tcPr>
            <w:tcW w:w="2144" w:type="dxa"/>
            <w:gridSpan w:val="2"/>
            <w:tcBorders>
              <w:top w:val="dotted" w:sz="4" w:space="0" w:color="auto"/>
              <w:left w:val="nil"/>
              <w:bottom w:val="dotted" w:sz="4" w:space="0" w:color="auto"/>
              <w:right w:val="single" w:sz="4" w:space="0" w:color="auto"/>
            </w:tcBorders>
            <w:shd w:val="clear" w:color="auto" w:fill="FFE599" w:themeFill="accent4" w:themeFillTint="66"/>
            <w:noWrap/>
            <w:vAlign w:val="center"/>
          </w:tcPr>
          <w:p w14:paraId="6900742D" w14:textId="77777777" w:rsidR="00140D87" w:rsidRPr="004252E4" w:rsidRDefault="00A303CA" w:rsidP="00A303CA">
            <w:pPr>
              <w:contextualSpacing/>
              <w:jc w:val="center"/>
              <w:rPr>
                <w:rFonts w:eastAsia="Times New Roman" w:cs="Times New Roman"/>
                <w:b/>
                <w:i/>
                <w:color w:val="00B050"/>
                <w:sz w:val="20"/>
                <w:szCs w:val="20"/>
                <w:lang w:eastAsia="lv-LV"/>
              </w:rPr>
            </w:pPr>
            <w:r w:rsidRPr="004252E4">
              <w:rPr>
                <w:rFonts w:eastAsia="Times New Roman" w:cs="Times New Roman"/>
                <w:b/>
                <w:i/>
                <w:color w:val="00B050"/>
                <w:sz w:val="20"/>
                <w:szCs w:val="20"/>
                <w:lang w:eastAsia="lv-LV"/>
              </w:rPr>
              <w:t>+0,2-</w:t>
            </w:r>
            <w:r w:rsidR="00140D87" w:rsidRPr="004252E4">
              <w:rPr>
                <w:rFonts w:eastAsia="Times New Roman" w:cs="Times New Roman"/>
                <w:b/>
                <w:i/>
                <w:color w:val="00B050"/>
                <w:sz w:val="20"/>
                <w:szCs w:val="20"/>
                <w:lang w:eastAsia="lv-LV"/>
              </w:rPr>
              <w:t>0,5</w:t>
            </w:r>
          </w:p>
        </w:tc>
        <w:tc>
          <w:tcPr>
            <w:tcW w:w="2144" w:type="dxa"/>
            <w:gridSpan w:val="2"/>
            <w:tcBorders>
              <w:top w:val="dotted" w:sz="4" w:space="0" w:color="auto"/>
              <w:left w:val="nil"/>
              <w:bottom w:val="dotted" w:sz="4" w:space="0" w:color="auto"/>
              <w:right w:val="single" w:sz="4" w:space="0" w:color="auto"/>
            </w:tcBorders>
            <w:shd w:val="clear" w:color="auto" w:fill="FFE599" w:themeFill="accent4" w:themeFillTint="66"/>
            <w:noWrap/>
            <w:vAlign w:val="center"/>
          </w:tcPr>
          <w:p w14:paraId="5175D450" w14:textId="77777777" w:rsidR="00140D87" w:rsidRPr="004252E4" w:rsidRDefault="00A303CA" w:rsidP="00A303CA">
            <w:pPr>
              <w:contextualSpacing/>
              <w:jc w:val="center"/>
              <w:rPr>
                <w:rFonts w:eastAsia="Times New Roman" w:cs="Times New Roman"/>
                <w:b/>
                <w:i/>
                <w:color w:val="00B050"/>
                <w:sz w:val="20"/>
                <w:szCs w:val="20"/>
                <w:lang w:eastAsia="lv-LV"/>
              </w:rPr>
            </w:pPr>
            <w:r w:rsidRPr="004252E4">
              <w:rPr>
                <w:rFonts w:eastAsia="Times New Roman" w:cs="Times New Roman"/>
                <w:b/>
                <w:i/>
                <w:color w:val="00B050"/>
                <w:sz w:val="20"/>
                <w:szCs w:val="20"/>
                <w:lang w:eastAsia="lv-LV"/>
              </w:rPr>
              <w:t>+0,4-</w:t>
            </w:r>
            <w:r w:rsidR="00140D87" w:rsidRPr="004252E4">
              <w:rPr>
                <w:rFonts w:eastAsia="Times New Roman" w:cs="Times New Roman"/>
                <w:b/>
                <w:i/>
                <w:color w:val="00B050"/>
                <w:sz w:val="20"/>
                <w:szCs w:val="20"/>
                <w:lang w:eastAsia="lv-LV"/>
              </w:rPr>
              <w:t>0,8</w:t>
            </w:r>
          </w:p>
        </w:tc>
        <w:tc>
          <w:tcPr>
            <w:tcW w:w="972" w:type="dxa"/>
            <w:tcBorders>
              <w:top w:val="dotted" w:sz="4" w:space="0" w:color="auto"/>
              <w:left w:val="nil"/>
              <w:bottom w:val="dotted" w:sz="4" w:space="0" w:color="auto"/>
              <w:right w:val="single" w:sz="4" w:space="0" w:color="auto"/>
            </w:tcBorders>
            <w:shd w:val="clear" w:color="auto" w:fill="D9D9D9" w:themeFill="background1" w:themeFillShade="D9"/>
            <w:noWrap/>
            <w:vAlign w:val="center"/>
          </w:tcPr>
          <w:p w14:paraId="305EE578" w14:textId="77777777" w:rsidR="00140D87" w:rsidRPr="00BB7607" w:rsidRDefault="00140D87" w:rsidP="00FB4F10">
            <w:pPr>
              <w:jc w:val="center"/>
              <w:rPr>
                <w:rFonts w:eastAsia="Times New Roman" w:cs="Times New Roman"/>
                <w:color w:val="000000"/>
                <w:sz w:val="20"/>
                <w:szCs w:val="20"/>
                <w:lang w:eastAsia="lv-LV"/>
              </w:rPr>
            </w:pPr>
          </w:p>
        </w:tc>
        <w:tc>
          <w:tcPr>
            <w:tcW w:w="979"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4395EF5B" w14:textId="77777777" w:rsidR="00140D87" w:rsidRPr="00BB7607" w:rsidRDefault="00140D87" w:rsidP="00FB4F10">
            <w:pPr>
              <w:jc w:val="center"/>
              <w:rPr>
                <w:rFonts w:eastAsia="Times New Roman" w:cs="Times New Roman"/>
                <w:color w:val="000000"/>
                <w:sz w:val="20"/>
                <w:szCs w:val="20"/>
                <w:lang w:eastAsia="lv-LV"/>
              </w:rPr>
            </w:pPr>
          </w:p>
        </w:tc>
      </w:tr>
      <w:tr w:rsidR="00140D87" w:rsidRPr="00A139A0" w14:paraId="60DEE932" w14:textId="77777777" w:rsidTr="00516EA7">
        <w:trPr>
          <w:trHeight w:val="218"/>
        </w:trPr>
        <w:tc>
          <w:tcPr>
            <w:tcW w:w="3175" w:type="dxa"/>
            <w:gridSpan w:val="2"/>
            <w:tcBorders>
              <w:top w:val="dotted"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747926B3" w14:textId="77777777" w:rsidR="00140D87" w:rsidRPr="00BB7607" w:rsidRDefault="00140D87" w:rsidP="00FB4F10">
            <w:pPr>
              <w:contextualSpacing/>
              <w:jc w:val="center"/>
              <w:rPr>
                <w:i/>
                <w:sz w:val="20"/>
                <w:szCs w:val="20"/>
              </w:rPr>
            </w:pPr>
            <w:r w:rsidRPr="00BB7607">
              <w:rPr>
                <w:i/>
                <w:sz w:val="20"/>
                <w:szCs w:val="20"/>
              </w:rPr>
              <w:t>t.sk.: PVN</w:t>
            </w:r>
          </w:p>
        </w:tc>
        <w:tc>
          <w:tcPr>
            <w:tcW w:w="2144" w:type="dxa"/>
            <w:gridSpan w:val="2"/>
            <w:tcBorders>
              <w:top w:val="dotted" w:sz="4" w:space="0" w:color="auto"/>
              <w:left w:val="nil"/>
              <w:bottom w:val="single" w:sz="4" w:space="0" w:color="auto"/>
              <w:right w:val="single" w:sz="4" w:space="0" w:color="auto"/>
            </w:tcBorders>
            <w:shd w:val="clear" w:color="auto" w:fill="FFE599" w:themeFill="accent4" w:themeFillTint="66"/>
            <w:noWrap/>
            <w:vAlign w:val="center"/>
          </w:tcPr>
          <w:p w14:paraId="66CE9550" w14:textId="77777777" w:rsidR="00140D87" w:rsidRPr="004252E4" w:rsidRDefault="00A303CA" w:rsidP="00A303CA">
            <w:pPr>
              <w:contextualSpacing/>
              <w:jc w:val="center"/>
              <w:rPr>
                <w:rFonts w:eastAsia="Times New Roman" w:cs="Times New Roman"/>
                <w:b/>
                <w:i/>
                <w:color w:val="00B050"/>
                <w:sz w:val="20"/>
                <w:szCs w:val="20"/>
                <w:lang w:eastAsia="lv-LV"/>
              </w:rPr>
            </w:pPr>
            <w:r w:rsidRPr="004252E4">
              <w:rPr>
                <w:rFonts w:eastAsia="Times New Roman" w:cs="Times New Roman"/>
                <w:b/>
                <w:i/>
                <w:color w:val="00B050"/>
                <w:sz w:val="20"/>
                <w:szCs w:val="20"/>
                <w:lang w:eastAsia="lv-LV"/>
              </w:rPr>
              <w:t>+0,04-</w:t>
            </w:r>
            <w:r w:rsidR="00140D87" w:rsidRPr="004252E4">
              <w:rPr>
                <w:rFonts w:eastAsia="Times New Roman" w:cs="Times New Roman"/>
                <w:b/>
                <w:i/>
                <w:color w:val="00B050"/>
                <w:sz w:val="20"/>
                <w:szCs w:val="20"/>
                <w:lang w:eastAsia="lv-LV"/>
              </w:rPr>
              <w:t>0,09</w:t>
            </w:r>
          </w:p>
        </w:tc>
        <w:tc>
          <w:tcPr>
            <w:tcW w:w="2144" w:type="dxa"/>
            <w:gridSpan w:val="2"/>
            <w:tcBorders>
              <w:top w:val="dotted" w:sz="4" w:space="0" w:color="auto"/>
              <w:left w:val="nil"/>
              <w:bottom w:val="single" w:sz="4" w:space="0" w:color="auto"/>
              <w:right w:val="single" w:sz="4" w:space="0" w:color="auto"/>
            </w:tcBorders>
            <w:shd w:val="clear" w:color="auto" w:fill="FFE599" w:themeFill="accent4" w:themeFillTint="66"/>
            <w:noWrap/>
            <w:vAlign w:val="center"/>
          </w:tcPr>
          <w:p w14:paraId="1E431AAC" w14:textId="77777777" w:rsidR="00140D87" w:rsidRPr="004252E4" w:rsidRDefault="00A303CA" w:rsidP="00A303CA">
            <w:pPr>
              <w:contextualSpacing/>
              <w:jc w:val="center"/>
              <w:rPr>
                <w:rFonts w:eastAsia="Times New Roman" w:cs="Times New Roman"/>
                <w:b/>
                <w:i/>
                <w:color w:val="00B050"/>
                <w:sz w:val="20"/>
                <w:szCs w:val="20"/>
                <w:lang w:eastAsia="lv-LV"/>
              </w:rPr>
            </w:pPr>
            <w:r w:rsidRPr="004252E4">
              <w:rPr>
                <w:rFonts w:eastAsia="Times New Roman" w:cs="Times New Roman"/>
                <w:b/>
                <w:i/>
                <w:color w:val="00B050"/>
                <w:sz w:val="20"/>
                <w:szCs w:val="20"/>
                <w:lang w:eastAsia="lv-LV"/>
              </w:rPr>
              <w:t>+0,1-</w:t>
            </w:r>
            <w:r w:rsidR="00140D87" w:rsidRPr="004252E4">
              <w:rPr>
                <w:rFonts w:eastAsia="Times New Roman" w:cs="Times New Roman"/>
                <w:b/>
                <w:i/>
                <w:color w:val="00B050"/>
                <w:sz w:val="20"/>
                <w:szCs w:val="20"/>
                <w:lang w:eastAsia="lv-LV"/>
              </w:rPr>
              <w:t>0,2</w:t>
            </w:r>
          </w:p>
        </w:tc>
        <w:tc>
          <w:tcPr>
            <w:tcW w:w="972" w:type="dxa"/>
            <w:tcBorders>
              <w:top w:val="dotted" w:sz="4" w:space="0" w:color="auto"/>
              <w:left w:val="nil"/>
              <w:bottom w:val="single" w:sz="4" w:space="0" w:color="auto"/>
              <w:right w:val="single" w:sz="4" w:space="0" w:color="auto"/>
            </w:tcBorders>
            <w:shd w:val="clear" w:color="auto" w:fill="D9D9D9" w:themeFill="background1" w:themeFillShade="D9"/>
            <w:noWrap/>
            <w:vAlign w:val="center"/>
          </w:tcPr>
          <w:p w14:paraId="0F62EE96" w14:textId="77777777" w:rsidR="00140D87" w:rsidRPr="00BB7607" w:rsidRDefault="00140D87" w:rsidP="00FB4F10">
            <w:pPr>
              <w:jc w:val="center"/>
              <w:rPr>
                <w:rFonts w:eastAsia="Times New Roman" w:cs="Times New Roman"/>
                <w:color w:val="000000"/>
                <w:sz w:val="20"/>
                <w:szCs w:val="20"/>
                <w:lang w:eastAsia="lv-LV"/>
              </w:rPr>
            </w:pPr>
          </w:p>
        </w:tc>
        <w:tc>
          <w:tcPr>
            <w:tcW w:w="979" w:type="dxa"/>
            <w:tcBorders>
              <w:top w:val="dotted" w:sz="4" w:space="0" w:color="auto"/>
              <w:left w:val="nil"/>
              <w:bottom w:val="single" w:sz="4" w:space="0" w:color="auto"/>
              <w:right w:val="single" w:sz="4" w:space="0" w:color="auto"/>
            </w:tcBorders>
            <w:shd w:val="clear" w:color="auto" w:fill="D9D9D9" w:themeFill="background1" w:themeFillShade="D9"/>
            <w:vAlign w:val="center"/>
          </w:tcPr>
          <w:p w14:paraId="6167A983" w14:textId="77777777" w:rsidR="00140D87" w:rsidRPr="00BB7607" w:rsidRDefault="00140D87" w:rsidP="00FB4F10">
            <w:pPr>
              <w:jc w:val="center"/>
              <w:rPr>
                <w:rFonts w:eastAsia="Times New Roman" w:cs="Times New Roman"/>
                <w:color w:val="000000"/>
                <w:sz w:val="20"/>
                <w:szCs w:val="20"/>
                <w:lang w:eastAsia="lv-LV"/>
              </w:rPr>
            </w:pPr>
          </w:p>
        </w:tc>
      </w:tr>
    </w:tbl>
    <w:p w14:paraId="62A4FE80" w14:textId="77777777" w:rsidR="00140D87" w:rsidRPr="00BB7607" w:rsidRDefault="00140D87" w:rsidP="00BB7607">
      <w:pPr>
        <w:pStyle w:val="ListParagraph"/>
        <w:tabs>
          <w:tab w:val="left" w:pos="284"/>
        </w:tabs>
        <w:spacing w:before="80"/>
        <w:ind w:left="0" w:right="-96"/>
        <w:rPr>
          <w:i/>
          <w:sz w:val="18"/>
          <w:szCs w:val="18"/>
        </w:rPr>
      </w:pPr>
      <w:r w:rsidRPr="00BB7607">
        <w:rPr>
          <w:i/>
          <w:sz w:val="18"/>
          <w:szCs w:val="18"/>
          <w:vertAlign w:val="superscript"/>
        </w:rPr>
        <w:t>*</w:t>
      </w:r>
      <w:r w:rsidR="00BB7607">
        <w:rPr>
          <w:i/>
          <w:sz w:val="18"/>
          <w:szCs w:val="18"/>
          <w:vertAlign w:val="superscript"/>
        </w:rPr>
        <w:tab/>
      </w:r>
      <w:r w:rsidRPr="00BB7607">
        <w:rPr>
          <w:i/>
          <w:sz w:val="18"/>
          <w:szCs w:val="18"/>
        </w:rPr>
        <w:t xml:space="preserve"> LT AN likme cigāriem un cigarellām par 1000 g.</w:t>
      </w:r>
    </w:p>
    <w:p w14:paraId="6EC45E72" w14:textId="77777777" w:rsidR="00140D87" w:rsidRDefault="00140D87" w:rsidP="00BB7607">
      <w:pPr>
        <w:tabs>
          <w:tab w:val="left" w:pos="284"/>
        </w:tabs>
        <w:ind w:right="-96"/>
        <w:rPr>
          <w:i/>
          <w:sz w:val="18"/>
          <w:szCs w:val="18"/>
        </w:rPr>
      </w:pPr>
      <w:r w:rsidRPr="00BB7607">
        <w:rPr>
          <w:i/>
          <w:sz w:val="18"/>
          <w:szCs w:val="18"/>
          <w:vertAlign w:val="superscript"/>
        </w:rPr>
        <w:t>**</w:t>
      </w:r>
      <w:r w:rsidR="00BB7607">
        <w:rPr>
          <w:i/>
          <w:sz w:val="18"/>
          <w:szCs w:val="18"/>
          <w:vertAlign w:val="superscript"/>
        </w:rPr>
        <w:tab/>
      </w:r>
      <w:r w:rsidR="00BB7607">
        <w:rPr>
          <w:i/>
          <w:sz w:val="18"/>
          <w:szCs w:val="18"/>
        </w:rPr>
        <w:t>I</w:t>
      </w:r>
      <w:r w:rsidRPr="00BB7607">
        <w:rPr>
          <w:i/>
          <w:sz w:val="18"/>
          <w:szCs w:val="18"/>
        </w:rPr>
        <w:t>eviešanas gadā norādīta 11 mēnešu ietekme</w:t>
      </w:r>
    </w:p>
    <w:p w14:paraId="7E683578" w14:textId="77777777" w:rsidR="00BD4D97" w:rsidRDefault="00BD4D97" w:rsidP="00BB7607">
      <w:pPr>
        <w:tabs>
          <w:tab w:val="left" w:pos="284"/>
        </w:tabs>
        <w:ind w:right="-96"/>
        <w:rPr>
          <w:i/>
          <w:szCs w:val="24"/>
        </w:rPr>
      </w:pPr>
    </w:p>
    <w:p w14:paraId="7ED838BF" w14:textId="77777777" w:rsidR="002C5C2C" w:rsidRPr="00BD4D97" w:rsidRDefault="002C5C2C" w:rsidP="00BB7607">
      <w:pPr>
        <w:tabs>
          <w:tab w:val="left" w:pos="284"/>
        </w:tabs>
        <w:ind w:right="-96"/>
        <w:rPr>
          <w:i/>
          <w:szCs w:val="24"/>
        </w:rPr>
      </w:pPr>
    </w:p>
    <w:p w14:paraId="4805F6D7" w14:textId="77777777" w:rsidR="00860B45" w:rsidRPr="00637949" w:rsidRDefault="00860B45" w:rsidP="00B01120">
      <w:pPr>
        <w:pStyle w:val="ListParagraph"/>
        <w:numPr>
          <w:ilvl w:val="2"/>
          <w:numId w:val="37"/>
        </w:numPr>
        <w:ind w:right="-99"/>
        <w:rPr>
          <w:rFonts w:eastAsia="Times New Roman"/>
          <w:b/>
          <w:bCs/>
          <w:i/>
          <w:color w:val="000000"/>
          <w:sz w:val="26"/>
          <w:szCs w:val="26"/>
          <w:lang w:eastAsia="lv-LV"/>
        </w:rPr>
      </w:pPr>
      <w:r w:rsidRPr="00637949">
        <w:rPr>
          <w:rFonts w:eastAsia="Times New Roman"/>
          <w:b/>
          <w:bCs/>
          <w:i/>
          <w:color w:val="000000"/>
          <w:sz w:val="26"/>
          <w:szCs w:val="26"/>
          <w:lang w:eastAsia="lv-LV"/>
        </w:rPr>
        <w:t>Akcīzes nodoklis karsējamai tabakai</w:t>
      </w:r>
    </w:p>
    <w:p w14:paraId="27DB6EE6" w14:textId="77777777" w:rsidR="00860B45" w:rsidRDefault="00860B45" w:rsidP="00860B45">
      <w:pPr>
        <w:ind w:right="-99"/>
        <w:rPr>
          <w:b/>
          <w:i/>
          <w:sz w:val="26"/>
          <w:szCs w:val="26"/>
        </w:rPr>
      </w:pPr>
    </w:p>
    <w:p w14:paraId="283A2A66" w14:textId="77777777" w:rsidR="00207315" w:rsidRDefault="00860B45" w:rsidP="00042C28">
      <w:pPr>
        <w:pStyle w:val="ListParagraph"/>
        <w:numPr>
          <w:ilvl w:val="0"/>
          <w:numId w:val="10"/>
        </w:numPr>
        <w:ind w:left="1066" w:right="-96" w:hanging="357"/>
        <w:rPr>
          <w:sz w:val="26"/>
          <w:szCs w:val="26"/>
        </w:rPr>
      </w:pPr>
      <w:r w:rsidRPr="00637949">
        <w:rPr>
          <w:sz w:val="26"/>
          <w:szCs w:val="26"/>
        </w:rPr>
        <w:t xml:space="preserve">pakāpeniski paaugstināt AN likmi karsējamai tabakai – lai tā veidotu 25% </w:t>
      </w:r>
      <w:r w:rsidR="00207315">
        <w:rPr>
          <w:sz w:val="26"/>
          <w:szCs w:val="26"/>
        </w:rPr>
        <w:t xml:space="preserve">(0,60 </w:t>
      </w:r>
      <w:r w:rsidR="00207315" w:rsidRPr="00D654BF">
        <w:rPr>
          <w:i/>
          <w:sz w:val="26"/>
          <w:szCs w:val="26"/>
        </w:rPr>
        <w:t>euro</w:t>
      </w:r>
      <w:r w:rsidR="00207315">
        <w:rPr>
          <w:sz w:val="26"/>
          <w:szCs w:val="26"/>
        </w:rPr>
        <w:t xml:space="preserve">) </w:t>
      </w:r>
      <w:r w:rsidRPr="00637949">
        <w:rPr>
          <w:sz w:val="26"/>
          <w:szCs w:val="26"/>
        </w:rPr>
        <w:t>no AN minimālā līmeņa cigaretēm 2021.</w:t>
      </w:r>
      <w:r>
        <w:rPr>
          <w:sz w:val="26"/>
          <w:szCs w:val="26"/>
        </w:rPr>
        <w:t>gadā</w:t>
      </w:r>
      <w:r w:rsidRPr="00637949">
        <w:rPr>
          <w:sz w:val="26"/>
          <w:szCs w:val="26"/>
        </w:rPr>
        <w:t xml:space="preserve"> un par 30% </w:t>
      </w:r>
      <w:r w:rsidR="00207315">
        <w:rPr>
          <w:sz w:val="26"/>
          <w:szCs w:val="26"/>
        </w:rPr>
        <w:t xml:space="preserve">(0,76 </w:t>
      </w:r>
      <w:r w:rsidR="00207315" w:rsidRPr="00D654BF">
        <w:rPr>
          <w:i/>
          <w:sz w:val="26"/>
          <w:szCs w:val="26"/>
        </w:rPr>
        <w:t>euro</w:t>
      </w:r>
      <w:r w:rsidR="00207315">
        <w:rPr>
          <w:sz w:val="26"/>
          <w:szCs w:val="26"/>
        </w:rPr>
        <w:t xml:space="preserve">) </w:t>
      </w:r>
      <w:r w:rsidRPr="00637949">
        <w:rPr>
          <w:sz w:val="26"/>
          <w:szCs w:val="26"/>
        </w:rPr>
        <w:t>2023.</w:t>
      </w:r>
      <w:r>
        <w:rPr>
          <w:sz w:val="26"/>
          <w:szCs w:val="26"/>
        </w:rPr>
        <w:t>gadā</w:t>
      </w:r>
      <w:r w:rsidRPr="00637949">
        <w:rPr>
          <w:bCs/>
          <w:color w:val="000000"/>
          <w:sz w:val="26"/>
          <w:szCs w:val="26"/>
        </w:rPr>
        <w:t xml:space="preserve">, </w:t>
      </w:r>
      <w:r w:rsidR="007D73A0">
        <w:rPr>
          <w:rFonts w:eastAsia="Times New Roman"/>
          <w:bCs/>
          <w:color w:val="000000"/>
          <w:sz w:val="26"/>
          <w:szCs w:val="26"/>
          <w:lang w:eastAsia="lv-LV"/>
        </w:rPr>
        <w:t>saglabājot līdzīgu</w:t>
      </w:r>
      <w:r w:rsidRPr="00637949">
        <w:rPr>
          <w:rFonts w:eastAsia="Times New Roman"/>
          <w:bCs/>
          <w:color w:val="000000"/>
          <w:sz w:val="26"/>
          <w:szCs w:val="26"/>
          <w:lang w:eastAsia="lv-LV"/>
        </w:rPr>
        <w:t xml:space="preserve"> karsējamās tabakas</w:t>
      </w:r>
      <w:r w:rsidR="007D73A0">
        <w:rPr>
          <w:rFonts w:eastAsia="Times New Roman"/>
          <w:bCs/>
          <w:color w:val="000000"/>
          <w:sz w:val="26"/>
          <w:szCs w:val="26"/>
          <w:lang w:eastAsia="lv-LV"/>
        </w:rPr>
        <w:t xml:space="preserve"> (paciņai)</w:t>
      </w:r>
      <w:r w:rsidRPr="00637949">
        <w:rPr>
          <w:rFonts w:eastAsia="Times New Roman"/>
          <w:bCs/>
          <w:color w:val="000000"/>
          <w:sz w:val="26"/>
          <w:szCs w:val="26"/>
          <w:lang w:eastAsia="lv-LV"/>
        </w:rPr>
        <w:t xml:space="preserve"> un minimālā AN līmeņa cigaretēm (paciņai) proporciju kā Lietuvā</w:t>
      </w:r>
      <w:r w:rsidRPr="00637949">
        <w:rPr>
          <w:sz w:val="26"/>
          <w:szCs w:val="26"/>
        </w:rPr>
        <w:t>.</w:t>
      </w:r>
      <w:r w:rsidR="00207315" w:rsidRPr="00207315">
        <w:rPr>
          <w:sz w:val="26"/>
          <w:szCs w:val="26"/>
        </w:rPr>
        <w:t xml:space="preserve"> </w:t>
      </w:r>
      <w:r w:rsidR="00207315">
        <w:rPr>
          <w:sz w:val="26"/>
          <w:szCs w:val="26"/>
        </w:rPr>
        <w:t>Papildus tam paredzēt karsējamās tabakas</w:t>
      </w:r>
      <w:r w:rsidR="00207315" w:rsidRPr="00246CC6">
        <w:rPr>
          <w:sz w:val="26"/>
          <w:szCs w:val="26"/>
        </w:rPr>
        <w:t xml:space="preserve"> marķēšanu </w:t>
      </w:r>
      <w:r w:rsidR="00207315">
        <w:rPr>
          <w:sz w:val="26"/>
          <w:szCs w:val="26"/>
        </w:rPr>
        <w:t>ar AN markām</w:t>
      </w:r>
      <w:r w:rsidR="00207315" w:rsidRPr="00246CC6">
        <w:rPr>
          <w:sz w:val="26"/>
          <w:szCs w:val="26"/>
        </w:rPr>
        <w:t>.</w:t>
      </w:r>
    </w:p>
    <w:p w14:paraId="5A795169" w14:textId="77777777" w:rsidR="00A303CA" w:rsidRDefault="00A303CA" w:rsidP="00042C28">
      <w:pPr>
        <w:pStyle w:val="ListParagraph"/>
        <w:ind w:left="1066" w:right="-96"/>
        <w:rPr>
          <w:sz w:val="26"/>
          <w:szCs w:val="26"/>
        </w:rPr>
      </w:pPr>
    </w:p>
    <w:p w14:paraId="7B35187C" w14:textId="77777777" w:rsidR="00860B45" w:rsidRDefault="00860B45" w:rsidP="00860B45">
      <w:pPr>
        <w:spacing w:after="120"/>
        <w:ind w:right="-96"/>
        <w:jc w:val="center"/>
        <w:rPr>
          <w:b/>
          <w:szCs w:val="24"/>
        </w:rPr>
      </w:pPr>
      <w:r w:rsidRPr="00637949">
        <w:rPr>
          <w:szCs w:val="24"/>
        </w:rPr>
        <w:t>1</w:t>
      </w:r>
      <w:r w:rsidR="006C5A20">
        <w:rPr>
          <w:szCs w:val="24"/>
        </w:rPr>
        <w:t>9</w:t>
      </w:r>
      <w:r w:rsidRPr="00637949">
        <w:rPr>
          <w:szCs w:val="24"/>
        </w:rPr>
        <w:t>.tab.</w:t>
      </w:r>
      <w:r w:rsidRPr="00637949">
        <w:rPr>
          <w:b/>
          <w:szCs w:val="24"/>
        </w:rPr>
        <w:t xml:space="preserve"> AN </w:t>
      </w:r>
      <w:r w:rsidRPr="00D04C61">
        <w:rPr>
          <w:b/>
          <w:szCs w:val="24"/>
        </w:rPr>
        <w:t>likmes karsējamai tabakai</w:t>
      </w:r>
      <w:r w:rsidRPr="00A303CA">
        <w:rPr>
          <w:b/>
          <w:szCs w:val="24"/>
          <w:vertAlign w:val="superscript"/>
        </w:rPr>
        <w:t>*</w:t>
      </w:r>
      <w:r w:rsidRPr="00637949">
        <w:rPr>
          <w:sz w:val="26"/>
          <w:szCs w:val="26"/>
        </w:rPr>
        <w:t xml:space="preserve"> </w:t>
      </w:r>
      <w:r w:rsidR="009B1708">
        <w:rPr>
          <w:b/>
          <w:szCs w:val="24"/>
        </w:rPr>
        <w:t>paaugstināšana</w:t>
      </w:r>
    </w:p>
    <w:tbl>
      <w:tblPr>
        <w:tblW w:w="8500" w:type="dxa"/>
        <w:tblLook w:val="04A0" w:firstRow="1" w:lastRow="0" w:firstColumn="1" w:lastColumn="0" w:noHBand="0" w:noVBand="1"/>
      </w:tblPr>
      <w:tblGrid>
        <w:gridCol w:w="3672"/>
        <w:gridCol w:w="966"/>
        <w:gridCol w:w="966"/>
        <w:gridCol w:w="966"/>
        <w:gridCol w:w="966"/>
        <w:gridCol w:w="966"/>
      </w:tblGrid>
      <w:tr w:rsidR="009B1708" w:rsidRPr="00637949" w14:paraId="263D568E" w14:textId="77777777" w:rsidTr="009B1708">
        <w:trPr>
          <w:trHeight w:val="217"/>
        </w:trPr>
        <w:tc>
          <w:tcPr>
            <w:tcW w:w="3672"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2060"/>
            <w:noWrap/>
            <w:vAlign w:val="center"/>
            <w:hideMark/>
          </w:tcPr>
          <w:p w14:paraId="3EF94A1A" w14:textId="77777777" w:rsidR="009B1708" w:rsidRPr="00637949" w:rsidRDefault="009B1708" w:rsidP="00FB4F10">
            <w:pPr>
              <w:jc w:val="center"/>
              <w:rPr>
                <w:rFonts w:eastAsia="Times New Roman" w:cs="Times New Roman"/>
                <w:color w:val="FFFFFF" w:themeColor="background1"/>
                <w:sz w:val="20"/>
                <w:szCs w:val="20"/>
                <w:lang w:eastAsia="lv-LV"/>
              </w:rPr>
            </w:pPr>
          </w:p>
        </w:tc>
        <w:tc>
          <w:tcPr>
            <w:tcW w:w="92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7C9CA76D" w14:textId="77777777" w:rsidR="009B1708" w:rsidRPr="00637949" w:rsidRDefault="009B1708" w:rsidP="00FB4F10">
            <w:pPr>
              <w:jc w:val="center"/>
              <w:rPr>
                <w:rFonts w:eastAsia="Times New Roman" w:cs="Times New Roman"/>
                <w:b/>
                <w:bCs/>
                <w:color w:val="FFFFFF" w:themeColor="background1"/>
                <w:sz w:val="20"/>
                <w:szCs w:val="20"/>
                <w:lang w:eastAsia="lv-LV"/>
              </w:rPr>
            </w:pPr>
            <w:r w:rsidRPr="00637949">
              <w:rPr>
                <w:rFonts w:eastAsia="Times New Roman" w:cs="Times New Roman"/>
                <w:b/>
                <w:bCs/>
                <w:color w:val="FFFFFF" w:themeColor="background1"/>
                <w:sz w:val="20"/>
                <w:szCs w:val="20"/>
                <w:lang w:eastAsia="lv-LV"/>
              </w:rPr>
              <w:t>Šobrīd</w:t>
            </w:r>
          </w:p>
        </w:tc>
        <w:tc>
          <w:tcPr>
            <w:tcW w:w="185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20CFF497" w14:textId="77777777" w:rsidR="009B1708" w:rsidRPr="00637949" w:rsidRDefault="009B1708" w:rsidP="00FB4F10">
            <w:pPr>
              <w:jc w:val="center"/>
              <w:rPr>
                <w:rFonts w:eastAsia="Times New Roman" w:cs="Times New Roman"/>
                <w:b/>
                <w:bCs/>
                <w:color w:val="FFFFFF" w:themeColor="background1"/>
                <w:sz w:val="20"/>
                <w:szCs w:val="20"/>
                <w:lang w:eastAsia="lv-LV"/>
              </w:rPr>
            </w:pPr>
            <w:r w:rsidRPr="00637949">
              <w:rPr>
                <w:rFonts w:eastAsia="Times New Roman" w:cs="Times New Roman"/>
                <w:b/>
                <w:bCs/>
                <w:color w:val="FFFFFF" w:themeColor="background1"/>
                <w:sz w:val="20"/>
                <w:szCs w:val="20"/>
                <w:lang w:eastAsia="lv-LV"/>
              </w:rPr>
              <w:t>Priekšlikums</w:t>
            </w:r>
          </w:p>
        </w:tc>
        <w:tc>
          <w:tcPr>
            <w:tcW w:w="92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tcPr>
          <w:p w14:paraId="64E6FF39" w14:textId="77777777" w:rsidR="009B1708" w:rsidRPr="00637949" w:rsidRDefault="009B1708" w:rsidP="00FB4F10">
            <w:pPr>
              <w:jc w:val="center"/>
              <w:rPr>
                <w:rFonts w:eastAsia="Times New Roman" w:cs="Times New Roman"/>
                <w:b/>
                <w:bCs/>
                <w:color w:val="FFFFFF" w:themeColor="background1"/>
                <w:sz w:val="20"/>
                <w:szCs w:val="20"/>
                <w:lang w:eastAsia="lv-LV"/>
              </w:rPr>
            </w:pPr>
            <w:r w:rsidRPr="009B1708">
              <w:rPr>
                <w:rFonts w:eastAsia="Times New Roman" w:cs="Times New Roman"/>
                <w:b/>
                <w:bCs/>
                <w:color w:val="FFFFFF" w:themeColor="background1"/>
                <w:sz w:val="20"/>
                <w:szCs w:val="20"/>
                <w:lang w:eastAsia="lv-LV"/>
              </w:rPr>
              <w:t>Lietuva</w:t>
            </w:r>
          </w:p>
        </w:tc>
        <w:tc>
          <w:tcPr>
            <w:tcW w:w="1129" w:type="dxa"/>
            <w:tcBorders>
              <w:top w:val="single" w:sz="4" w:space="0" w:color="auto"/>
              <w:left w:val="single" w:sz="4" w:space="0" w:color="FFFFFF" w:themeColor="background1"/>
              <w:bottom w:val="single" w:sz="4" w:space="0" w:color="FFFFFF" w:themeColor="background1"/>
              <w:right w:val="single" w:sz="4" w:space="0" w:color="000000"/>
            </w:tcBorders>
            <w:shd w:val="clear" w:color="auto" w:fill="002060"/>
          </w:tcPr>
          <w:p w14:paraId="0CDA1AA8" w14:textId="77777777" w:rsidR="009B1708" w:rsidRPr="00637949" w:rsidRDefault="009B1708" w:rsidP="00FB4F10">
            <w:pPr>
              <w:jc w:val="center"/>
              <w:rPr>
                <w:rFonts w:eastAsia="Times New Roman" w:cs="Times New Roman"/>
                <w:b/>
                <w:bCs/>
                <w:color w:val="FFFFFF" w:themeColor="background1"/>
                <w:sz w:val="20"/>
                <w:szCs w:val="20"/>
                <w:lang w:eastAsia="lv-LV"/>
              </w:rPr>
            </w:pPr>
            <w:r w:rsidRPr="009B1708">
              <w:rPr>
                <w:rFonts w:eastAsia="Times New Roman" w:cs="Times New Roman"/>
                <w:b/>
                <w:bCs/>
                <w:color w:val="FFFFFF" w:themeColor="background1"/>
                <w:sz w:val="20"/>
                <w:szCs w:val="20"/>
                <w:lang w:eastAsia="lv-LV"/>
              </w:rPr>
              <w:t>Igaunija</w:t>
            </w:r>
          </w:p>
        </w:tc>
      </w:tr>
      <w:tr w:rsidR="009B1708" w:rsidRPr="00637949" w14:paraId="58552A52" w14:textId="77777777" w:rsidTr="009B1708">
        <w:trPr>
          <w:trHeight w:val="217"/>
        </w:trPr>
        <w:tc>
          <w:tcPr>
            <w:tcW w:w="3672" w:type="dxa"/>
            <w:vMerge/>
            <w:tcBorders>
              <w:top w:val="single" w:sz="4" w:space="0" w:color="FFFFFF" w:themeColor="background1"/>
              <w:left w:val="single" w:sz="4" w:space="0" w:color="auto"/>
              <w:bottom w:val="single" w:sz="4" w:space="0" w:color="000000"/>
              <w:right w:val="single" w:sz="4" w:space="0" w:color="FFFFFF" w:themeColor="background1"/>
            </w:tcBorders>
            <w:shd w:val="clear" w:color="auto" w:fill="002060"/>
            <w:vAlign w:val="center"/>
            <w:hideMark/>
          </w:tcPr>
          <w:p w14:paraId="1A2E4FEB" w14:textId="77777777" w:rsidR="009B1708" w:rsidRPr="00637949" w:rsidRDefault="009B1708" w:rsidP="00FB4F10">
            <w:pPr>
              <w:jc w:val="center"/>
              <w:rPr>
                <w:rFonts w:eastAsia="Times New Roman" w:cs="Times New Roman"/>
                <w:color w:val="FFFFFF" w:themeColor="background1"/>
                <w:sz w:val="20"/>
                <w:szCs w:val="20"/>
                <w:lang w:eastAsia="lv-LV"/>
              </w:rPr>
            </w:pPr>
          </w:p>
        </w:tc>
        <w:tc>
          <w:tcPr>
            <w:tcW w:w="92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7DBCA509" w14:textId="77777777" w:rsidR="009B1708" w:rsidRPr="00637949" w:rsidRDefault="009B1708" w:rsidP="00FB4F10">
            <w:pPr>
              <w:jc w:val="center"/>
              <w:rPr>
                <w:rFonts w:eastAsia="Times New Roman" w:cs="Times New Roman"/>
                <w:b/>
                <w:color w:val="FFFFFF" w:themeColor="background1"/>
                <w:sz w:val="20"/>
                <w:szCs w:val="20"/>
                <w:lang w:eastAsia="lv-LV"/>
              </w:rPr>
            </w:pPr>
            <w:r w:rsidRPr="00637949">
              <w:rPr>
                <w:rFonts w:eastAsia="Times New Roman" w:cs="Times New Roman"/>
                <w:b/>
                <w:color w:val="FFFFFF" w:themeColor="background1"/>
                <w:sz w:val="20"/>
                <w:szCs w:val="20"/>
                <w:lang w:eastAsia="lv-LV"/>
              </w:rPr>
              <w:t>01.01.20.</w:t>
            </w:r>
          </w:p>
        </w:tc>
        <w:tc>
          <w:tcPr>
            <w:tcW w:w="9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49145317" w14:textId="77777777" w:rsidR="009B1708" w:rsidRPr="00637949" w:rsidRDefault="009B1708" w:rsidP="00FB4F10">
            <w:pPr>
              <w:jc w:val="center"/>
              <w:rPr>
                <w:rFonts w:eastAsia="Times New Roman" w:cs="Times New Roman"/>
                <w:b/>
                <w:color w:val="FFFFFF" w:themeColor="background1"/>
                <w:sz w:val="20"/>
                <w:szCs w:val="20"/>
                <w:lang w:eastAsia="lv-LV"/>
              </w:rPr>
            </w:pPr>
            <w:r w:rsidRPr="00637949">
              <w:rPr>
                <w:rFonts w:eastAsia="Times New Roman" w:cs="Times New Roman"/>
                <w:b/>
                <w:color w:val="FFFFFF" w:themeColor="background1"/>
                <w:sz w:val="20"/>
                <w:szCs w:val="20"/>
                <w:lang w:eastAsia="lv-LV"/>
              </w:rPr>
              <w:t>01.01.21.</w:t>
            </w:r>
          </w:p>
        </w:tc>
        <w:tc>
          <w:tcPr>
            <w:tcW w:w="9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2BC466E8" w14:textId="77777777" w:rsidR="009B1708" w:rsidRPr="00637949" w:rsidRDefault="009B1708" w:rsidP="00FB4F10">
            <w:pPr>
              <w:jc w:val="center"/>
              <w:rPr>
                <w:rFonts w:eastAsia="Times New Roman" w:cs="Times New Roman"/>
                <w:b/>
                <w:color w:val="FFFFFF" w:themeColor="background1"/>
                <w:sz w:val="20"/>
                <w:szCs w:val="20"/>
                <w:lang w:eastAsia="lv-LV"/>
              </w:rPr>
            </w:pPr>
            <w:r w:rsidRPr="00637949">
              <w:rPr>
                <w:rFonts w:eastAsia="Times New Roman" w:cs="Times New Roman"/>
                <w:b/>
                <w:color w:val="FFFFFF" w:themeColor="background1"/>
                <w:sz w:val="20"/>
                <w:szCs w:val="20"/>
                <w:lang w:eastAsia="lv-LV"/>
              </w:rPr>
              <w:t>01.01.23.</w:t>
            </w:r>
          </w:p>
        </w:tc>
        <w:tc>
          <w:tcPr>
            <w:tcW w:w="9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14:paraId="28ACAC0C" w14:textId="77777777" w:rsidR="009B1708" w:rsidRPr="00637949" w:rsidRDefault="009B1708" w:rsidP="00FB4F10">
            <w:pPr>
              <w:jc w:val="center"/>
              <w:rPr>
                <w:rFonts w:eastAsia="Times New Roman" w:cs="Times New Roman"/>
                <w:b/>
                <w:color w:val="FFFFFF" w:themeColor="background1"/>
                <w:sz w:val="20"/>
                <w:szCs w:val="20"/>
                <w:lang w:eastAsia="lv-LV"/>
              </w:rPr>
            </w:pPr>
            <w:r w:rsidRPr="009B1708">
              <w:rPr>
                <w:rFonts w:eastAsia="Times New Roman" w:cs="Times New Roman"/>
                <w:b/>
                <w:color w:val="FFFFFF" w:themeColor="background1"/>
                <w:sz w:val="20"/>
                <w:szCs w:val="20"/>
                <w:lang w:eastAsia="lv-LV"/>
              </w:rPr>
              <w:t>01.03.20.</w:t>
            </w:r>
          </w:p>
        </w:tc>
        <w:tc>
          <w:tcPr>
            <w:tcW w:w="112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2060"/>
          </w:tcPr>
          <w:p w14:paraId="03511311" w14:textId="77777777" w:rsidR="009B1708" w:rsidRPr="00637949" w:rsidRDefault="009B1708" w:rsidP="00FB4F10">
            <w:pPr>
              <w:jc w:val="center"/>
              <w:rPr>
                <w:rFonts w:eastAsia="Times New Roman" w:cs="Times New Roman"/>
                <w:b/>
                <w:color w:val="FFFFFF" w:themeColor="background1"/>
                <w:sz w:val="20"/>
                <w:szCs w:val="20"/>
                <w:lang w:eastAsia="lv-LV"/>
              </w:rPr>
            </w:pPr>
            <w:r w:rsidRPr="009B1708">
              <w:rPr>
                <w:rFonts w:eastAsia="Times New Roman" w:cs="Times New Roman"/>
                <w:b/>
                <w:color w:val="FFFFFF" w:themeColor="background1"/>
                <w:sz w:val="20"/>
                <w:szCs w:val="20"/>
                <w:lang w:eastAsia="lv-LV"/>
              </w:rPr>
              <w:t>01.01.20.</w:t>
            </w:r>
          </w:p>
        </w:tc>
      </w:tr>
      <w:tr w:rsidR="009B1708" w:rsidRPr="00637949" w14:paraId="22FC379E" w14:textId="77777777" w:rsidTr="009B1708">
        <w:trPr>
          <w:trHeight w:val="211"/>
        </w:trPr>
        <w:tc>
          <w:tcPr>
            <w:tcW w:w="3672" w:type="dxa"/>
            <w:tcBorders>
              <w:top w:val="nil"/>
              <w:left w:val="single" w:sz="4" w:space="0" w:color="auto"/>
              <w:bottom w:val="single" w:sz="4" w:space="0" w:color="808080" w:themeColor="background1" w:themeShade="80"/>
              <w:right w:val="single" w:sz="4" w:space="0" w:color="auto"/>
            </w:tcBorders>
            <w:shd w:val="clear" w:color="auto" w:fill="auto"/>
            <w:vAlign w:val="center"/>
            <w:hideMark/>
          </w:tcPr>
          <w:p w14:paraId="56458001" w14:textId="77777777" w:rsidR="009B1708" w:rsidRPr="00637949" w:rsidRDefault="009B1708" w:rsidP="009B1708">
            <w:pPr>
              <w:rPr>
                <w:rFonts w:eastAsia="Times New Roman" w:cs="Times New Roman"/>
                <w:b/>
                <w:bCs/>
                <w:color w:val="FF0000"/>
                <w:sz w:val="20"/>
                <w:szCs w:val="20"/>
                <w:lang w:eastAsia="lv-LV"/>
              </w:rPr>
            </w:pPr>
            <w:r w:rsidRPr="00637949">
              <w:rPr>
                <w:rFonts w:eastAsia="Times New Roman" w:cs="Times New Roman"/>
                <w:b/>
                <w:bCs/>
                <w:sz w:val="20"/>
                <w:szCs w:val="20"/>
                <w:lang w:eastAsia="lv-LV"/>
              </w:rPr>
              <w:t xml:space="preserve">Karsējamā tabaka, </w:t>
            </w:r>
            <w:r w:rsidRPr="00637949">
              <w:rPr>
                <w:rFonts w:eastAsia="Times New Roman" w:cs="Times New Roman"/>
                <w:bCs/>
                <w:i/>
                <w:sz w:val="20"/>
                <w:szCs w:val="20"/>
                <w:lang w:eastAsia="lv-LV"/>
              </w:rPr>
              <w:t>euro par 1000g</w:t>
            </w:r>
          </w:p>
        </w:tc>
        <w:tc>
          <w:tcPr>
            <w:tcW w:w="924" w:type="dxa"/>
            <w:tcBorders>
              <w:top w:val="nil"/>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434C8CA4" w14:textId="77777777" w:rsidR="009B1708" w:rsidRPr="00637949" w:rsidRDefault="009B1708" w:rsidP="009B1708">
            <w:pPr>
              <w:jc w:val="center"/>
              <w:rPr>
                <w:rFonts w:eastAsia="Times New Roman" w:cs="Times New Roman"/>
                <w:b/>
                <w:color w:val="C00000"/>
                <w:sz w:val="20"/>
                <w:szCs w:val="20"/>
                <w:lang w:eastAsia="lv-LV"/>
              </w:rPr>
            </w:pPr>
            <w:r w:rsidRPr="00637949">
              <w:rPr>
                <w:rFonts w:eastAsia="Times New Roman" w:cs="Times New Roman"/>
                <w:b/>
                <w:color w:val="C00000"/>
                <w:sz w:val="20"/>
                <w:szCs w:val="20"/>
                <w:lang w:eastAsia="lv-LV"/>
              </w:rPr>
              <w:t>75</w:t>
            </w:r>
          </w:p>
        </w:tc>
        <w:tc>
          <w:tcPr>
            <w:tcW w:w="925" w:type="dxa"/>
            <w:tcBorders>
              <w:top w:val="nil"/>
              <w:left w:val="nil"/>
              <w:bottom w:val="single" w:sz="4" w:space="0" w:color="808080" w:themeColor="background1" w:themeShade="80"/>
              <w:right w:val="single" w:sz="4" w:space="0" w:color="auto"/>
            </w:tcBorders>
            <w:shd w:val="clear" w:color="auto" w:fill="FFFFFF" w:themeFill="background1"/>
            <w:noWrap/>
            <w:vAlign w:val="center"/>
            <w:hideMark/>
          </w:tcPr>
          <w:p w14:paraId="6ABC4718" w14:textId="77777777" w:rsidR="009B1708" w:rsidRPr="00637949" w:rsidRDefault="009B1708" w:rsidP="009B1708">
            <w:pPr>
              <w:jc w:val="center"/>
              <w:rPr>
                <w:rFonts w:eastAsia="Times New Roman" w:cs="Times New Roman"/>
                <w:b/>
                <w:bCs/>
                <w:color w:val="FF0000"/>
                <w:sz w:val="20"/>
                <w:szCs w:val="20"/>
                <w:lang w:eastAsia="lv-LV"/>
              </w:rPr>
            </w:pPr>
            <w:r w:rsidRPr="00637949">
              <w:rPr>
                <w:rFonts w:eastAsia="Times New Roman" w:cs="Times New Roman"/>
                <w:b/>
                <w:bCs/>
                <w:color w:val="FF0000"/>
                <w:sz w:val="20"/>
                <w:szCs w:val="20"/>
                <w:lang w:eastAsia="lv-LV"/>
              </w:rPr>
              <w:t>99</w:t>
            </w:r>
          </w:p>
        </w:tc>
        <w:tc>
          <w:tcPr>
            <w:tcW w:w="925" w:type="dxa"/>
            <w:tcBorders>
              <w:top w:val="nil"/>
              <w:left w:val="nil"/>
              <w:bottom w:val="single" w:sz="4" w:space="0" w:color="808080" w:themeColor="background1" w:themeShade="80"/>
              <w:right w:val="single" w:sz="4" w:space="0" w:color="auto"/>
            </w:tcBorders>
            <w:shd w:val="clear" w:color="auto" w:fill="FFFFFF" w:themeFill="background1"/>
            <w:noWrap/>
            <w:vAlign w:val="center"/>
            <w:hideMark/>
          </w:tcPr>
          <w:p w14:paraId="5400438D" w14:textId="77777777" w:rsidR="009B1708" w:rsidRPr="00637949" w:rsidRDefault="009B1708" w:rsidP="009B1708">
            <w:pPr>
              <w:jc w:val="center"/>
              <w:rPr>
                <w:rFonts w:eastAsia="Times New Roman" w:cs="Times New Roman"/>
                <w:b/>
                <w:bCs/>
                <w:color w:val="FF0000"/>
                <w:sz w:val="20"/>
                <w:szCs w:val="20"/>
                <w:lang w:eastAsia="lv-LV"/>
              </w:rPr>
            </w:pPr>
            <w:r w:rsidRPr="00637949">
              <w:rPr>
                <w:rFonts w:eastAsia="Times New Roman" w:cs="Times New Roman"/>
                <w:b/>
                <w:bCs/>
                <w:color w:val="FF0000"/>
                <w:sz w:val="20"/>
                <w:szCs w:val="20"/>
                <w:lang w:eastAsia="lv-LV"/>
              </w:rPr>
              <w:t>125</w:t>
            </w:r>
          </w:p>
        </w:tc>
        <w:tc>
          <w:tcPr>
            <w:tcW w:w="925" w:type="dxa"/>
            <w:tcBorders>
              <w:top w:val="nil"/>
              <w:left w:val="nil"/>
              <w:bottom w:val="single" w:sz="4" w:space="0" w:color="808080" w:themeColor="background1" w:themeShade="80"/>
              <w:right w:val="single" w:sz="4" w:space="0" w:color="auto"/>
            </w:tcBorders>
            <w:shd w:val="clear" w:color="auto" w:fill="D9D9D9" w:themeFill="background1" w:themeFillShade="D9"/>
            <w:vAlign w:val="center"/>
          </w:tcPr>
          <w:p w14:paraId="292C5E47" w14:textId="77777777" w:rsidR="009B1708" w:rsidRPr="009B1708" w:rsidRDefault="009B1708" w:rsidP="009B1708">
            <w:pPr>
              <w:jc w:val="center"/>
              <w:rPr>
                <w:rFonts w:eastAsia="Times New Roman" w:cs="Times New Roman"/>
                <w:b/>
                <w:bCs/>
                <w:color w:val="00B050"/>
                <w:sz w:val="20"/>
                <w:szCs w:val="20"/>
                <w:lang w:eastAsia="lv-LV"/>
              </w:rPr>
            </w:pPr>
            <w:r w:rsidRPr="009B1708">
              <w:rPr>
                <w:rFonts w:eastAsia="Times New Roman" w:cs="Times New Roman"/>
                <w:b/>
                <w:bCs/>
                <w:color w:val="00B050"/>
                <w:sz w:val="20"/>
                <w:szCs w:val="20"/>
                <w:lang w:eastAsia="lv-LV"/>
              </w:rPr>
              <w:t>113,2</w:t>
            </w:r>
          </w:p>
        </w:tc>
        <w:tc>
          <w:tcPr>
            <w:tcW w:w="1129" w:type="dxa"/>
            <w:tcBorders>
              <w:top w:val="nil"/>
              <w:left w:val="nil"/>
              <w:bottom w:val="single" w:sz="4" w:space="0" w:color="808080" w:themeColor="background1" w:themeShade="80"/>
              <w:right w:val="single" w:sz="4" w:space="0" w:color="auto"/>
            </w:tcBorders>
            <w:shd w:val="clear" w:color="auto" w:fill="D9D9D9" w:themeFill="background1" w:themeFillShade="D9"/>
            <w:vAlign w:val="center"/>
          </w:tcPr>
          <w:p w14:paraId="26298C68" w14:textId="77777777" w:rsidR="009B1708" w:rsidRPr="009B1708" w:rsidRDefault="009B1708" w:rsidP="009B1708">
            <w:pPr>
              <w:jc w:val="center"/>
              <w:rPr>
                <w:rFonts w:eastAsia="Times New Roman" w:cs="Times New Roman"/>
                <w:b/>
                <w:bCs/>
                <w:color w:val="0070C0"/>
                <w:sz w:val="20"/>
                <w:szCs w:val="20"/>
                <w:lang w:eastAsia="lv-LV"/>
              </w:rPr>
            </w:pPr>
            <w:r w:rsidRPr="009B1708">
              <w:rPr>
                <w:rFonts w:eastAsia="Times New Roman" w:cs="Times New Roman"/>
                <w:b/>
                <w:bCs/>
                <w:color w:val="0070C0"/>
                <w:sz w:val="20"/>
                <w:szCs w:val="20"/>
                <w:lang w:eastAsia="lv-LV"/>
              </w:rPr>
              <w:t>82,99</w:t>
            </w:r>
          </w:p>
        </w:tc>
      </w:tr>
      <w:tr w:rsidR="009B1708" w:rsidRPr="00637949" w14:paraId="1121F7DB" w14:textId="77777777" w:rsidTr="009B1708">
        <w:trPr>
          <w:trHeight w:val="217"/>
        </w:trPr>
        <w:tc>
          <w:tcPr>
            <w:tcW w:w="3672"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40EE66F7" w14:textId="77777777" w:rsidR="009B1708" w:rsidRPr="00637949" w:rsidRDefault="009B1708" w:rsidP="009B1708">
            <w:pPr>
              <w:rPr>
                <w:rFonts w:eastAsia="Times New Roman" w:cs="Times New Roman"/>
                <w:color w:val="000000"/>
                <w:sz w:val="20"/>
                <w:szCs w:val="20"/>
                <w:lang w:eastAsia="lv-LV"/>
              </w:rPr>
            </w:pPr>
            <w:r w:rsidRPr="00637949">
              <w:rPr>
                <w:rFonts w:eastAsia="Times New Roman" w:cs="Times New Roman"/>
                <w:b/>
                <w:color w:val="000000"/>
                <w:sz w:val="20"/>
                <w:szCs w:val="20"/>
                <w:lang w:eastAsia="lv-LV"/>
              </w:rPr>
              <w:t>Minimālais līmenis cigaretēm</w:t>
            </w:r>
            <w:r w:rsidRPr="00637949">
              <w:rPr>
                <w:rFonts w:eastAsia="Times New Roman" w:cs="Times New Roman"/>
                <w:color w:val="000000"/>
                <w:sz w:val="20"/>
                <w:szCs w:val="20"/>
                <w:lang w:eastAsia="lv-LV"/>
              </w:rPr>
              <w:t xml:space="preserve">, </w:t>
            </w:r>
            <w:r w:rsidRPr="00637949">
              <w:rPr>
                <w:rFonts w:eastAsia="Times New Roman" w:cs="Times New Roman"/>
                <w:i/>
                <w:color w:val="000000"/>
                <w:sz w:val="20"/>
                <w:szCs w:val="20"/>
                <w:lang w:eastAsia="lv-LV"/>
              </w:rPr>
              <w:t>euro par  1000 gab.</w:t>
            </w:r>
          </w:p>
        </w:tc>
        <w:tc>
          <w:tcPr>
            <w:tcW w:w="92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14F0DEE9" w14:textId="77777777" w:rsidR="009B1708" w:rsidRPr="00637949" w:rsidRDefault="009B1708" w:rsidP="009B1708">
            <w:pPr>
              <w:jc w:val="center"/>
              <w:rPr>
                <w:rFonts w:eastAsia="Times New Roman" w:cs="Times New Roman"/>
                <w:b/>
                <w:color w:val="C00000"/>
                <w:sz w:val="20"/>
                <w:szCs w:val="20"/>
                <w:lang w:eastAsia="lv-LV"/>
              </w:rPr>
            </w:pPr>
            <w:r w:rsidRPr="00637949">
              <w:rPr>
                <w:rFonts w:eastAsia="Times New Roman" w:cs="Times New Roman"/>
                <w:b/>
                <w:color w:val="C00000"/>
                <w:sz w:val="20"/>
                <w:szCs w:val="20"/>
                <w:lang w:eastAsia="lv-LV"/>
              </w:rPr>
              <w:t>114,7</w:t>
            </w:r>
          </w:p>
        </w:tc>
        <w:tc>
          <w:tcPr>
            <w:tcW w:w="92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FFFFF" w:themeFill="background1"/>
            <w:noWrap/>
            <w:vAlign w:val="center"/>
            <w:hideMark/>
          </w:tcPr>
          <w:p w14:paraId="77A44790" w14:textId="77777777" w:rsidR="009B1708" w:rsidRPr="00637949" w:rsidRDefault="009B1708" w:rsidP="009B1708">
            <w:pPr>
              <w:jc w:val="center"/>
              <w:rPr>
                <w:rFonts w:eastAsia="Times New Roman" w:cs="Times New Roman"/>
                <w:b/>
                <w:color w:val="C00000"/>
                <w:sz w:val="20"/>
                <w:szCs w:val="20"/>
                <w:lang w:eastAsia="lv-LV"/>
              </w:rPr>
            </w:pPr>
            <w:r w:rsidRPr="00637949">
              <w:rPr>
                <w:rFonts w:eastAsia="Times New Roman" w:cs="Times New Roman"/>
                <w:b/>
                <w:color w:val="C00000"/>
                <w:sz w:val="20"/>
                <w:szCs w:val="20"/>
                <w:lang w:eastAsia="lv-LV"/>
              </w:rPr>
              <w:t>120,4</w:t>
            </w:r>
          </w:p>
        </w:tc>
        <w:tc>
          <w:tcPr>
            <w:tcW w:w="92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FFFFF" w:themeFill="background1"/>
            <w:noWrap/>
            <w:vAlign w:val="center"/>
            <w:hideMark/>
          </w:tcPr>
          <w:p w14:paraId="745A64FB" w14:textId="77777777" w:rsidR="009B1708" w:rsidRPr="00637949" w:rsidRDefault="009B1708" w:rsidP="009B1708">
            <w:pPr>
              <w:jc w:val="center"/>
              <w:rPr>
                <w:rFonts w:eastAsia="Times New Roman" w:cs="Times New Roman"/>
                <w:b/>
                <w:color w:val="C00000"/>
                <w:sz w:val="20"/>
                <w:szCs w:val="20"/>
                <w:lang w:eastAsia="lv-LV"/>
              </w:rPr>
            </w:pPr>
            <w:r w:rsidRPr="00637949">
              <w:rPr>
                <w:rFonts w:eastAsia="Times New Roman" w:cs="Times New Roman"/>
                <w:b/>
                <w:color w:val="C00000"/>
                <w:sz w:val="20"/>
                <w:szCs w:val="20"/>
                <w:lang w:eastAsia="lv-LV"/>
              </w:rPr>
              <w:t>126,4</w:t>
            </w:r>
          </w:p>
        </w:tc>
        <w:tc>
          <w:tcPr>
            <w:tcW w:w="92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vAlign w:val="center"/>
          </w:tcPr>
          <w:p w14:paraId="4AE0F32F" w14:textId="77777777" w:rsidR="009B1708" w:rsidRPr="009B1708" w:rsidRDefault="009B1708" w:rsidP="009B1708">
            <w:pPr>
              <w:jc w:val="center"/>
              <w:rPr>
                <w:rFonts w:eastAsia="Times New Roman" w:cs="Times New Roman"/>
                <w:b/>
                <w:bCs/>
                <w:color w:val="00B050"/>
                <w:sz w:val="20"/>
                <w:szCs w:val="20"/>
                <w:lang w:eastAsia="lv-LV"/>
              </w:rPr>
            </w:pPr>
            <w:r w:rsidRPr="009B1708">
              <w:rPr>
                <w:rFonts w:eastAsia="Times New Roman" w:cs="Times New Roman"/>
                <w:b/>
                <w:bCs/>
                <w:color w:val="00B050"/>
                <w:sz w:val="20"/>
                <w:szCs w:val="20"/>
                <w:lang w:eastAsia="lv-LV"/>
              </w:rPr>
              <w:t>108,5</w:t>
            </w:r>
          </w:p>
        </w:tc>
        <w:tc>
          <w:tcPr>
            <w:tcW w:w="1129"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vAlign w:val="center"/>
          </w:tcPr>
          <w:p w14:paraId="32DE319C" w14:textId="77777777" w:rsidR="009B1708" w:rsidRPr="009B1708" w:rsidRDefault="009B1708" w:rsidP="009B1708">
            <w:pPr>
              <w:jc w:val="center"/>
              <w:rPr>
                <w:rFonts w:eastAsia="Times New Roman" w:cs="Times New Roman"/>
                <w:b/>
                <w:bCs/>
                <w:color w:val="0070C0"/>
                <w:sz w:val="20"/>
                <w:szCs w:val="20"/>
                <w:lang w:eastAsia="lv-LV"/>
              </w:rPr>
            </w:pPr>
            <w:r w:rsidRPr="009B1708">
              <w:rPr>
                <w:rFonts w:eastAsia="Times New Roman" w:cs="Times New Roman"/>
                <w:b/>
                <w:bCs/>
                <w:color w:val="0070C0"/>
                <w:sz w:val="20"/>
                <w:szCs w:val="20"/>
                <w:lang w:eastAsia="lv-LV"/>
              </w:rPr>
              <w:t>138,65</w:t>
            </w:r>
          </w:p>
        </w:tc>
      </w:tr>
      <w:tr w:rsidR="009B1708" w:rsidRPr="00637949" w14:paraId="36C00B39" w14:textId="77777777" w:rsidTr="009B1708">
        <w:trPr>
          <w:trHeight w:val="217"/>
        </w:trPr>
        <w:tc>
          <w:tcPr>
            <w:tcW w:w="3672"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5F2E394A" w14:textId="77777777" w:rsidR="009B1708" w:rsidRPr="00637949" w:rsidRDefault="009B1708" w:rsidP="009B1708">
            <w:pPr>
              <w:rPr>
                <w:rFonts w:eastAsia="Times New Roman" w:cs="Times New Roman"/>
                <w:color w:val="000000"/>
                <w:sz w:val="20"/>
                <w:szCs w:val="20"/>
                <w:lang w:eastAsia="lv-LV"/>
              </w:rPr>
            </w:pPr>
            <w:r w:rsidRPr="00637949">
              <w:rPr>
                <w:rFonts w:eastAsia="Times New Roman" w:cs="Times New Roman"/>
                <w:b/>
                <w:color w:val="000000"/>
                <w:sz w:val="20"/>
                <w:szCs w:val="20"/>
                <w:lang w:eastAsia="lv-LV"/>
              </w:rPr>
              <w:t>AN 1 paciņai karsējamās tabakas</w:t>
            </w:r>
            <w:r w:rsidRPr="00637949">
              <w:rPr>
                <w:rFonts w:eastAsia="Times New Roman" w:cs="Times New Roman"/>
                <w:color w:val="000000"/>
                <w:sz w:val="20"/>
                <w:szCs w:val="20"/>
                <w:lang w:eastAsia="lv-LV"/>
              </w:rPr>
              <w:t xml:space="preserve"> (20 gab.), </w:t>
            </w:r>
            <w:r w:rsidRPr="00637949">
              <w:rPr>
                <w:rFonts w:eastAsia="Times New Roman" w:cs="Times New Roman"/>
                <w:i/>
                <w:color w:val="000000"/>
                <w:sz w:val="20"/>
                <w:szCs w:val="20"/>
                <w:lang w:eastAsia="lv-LV"/>
              </w:rPr>
              <w:t>euro</w:t>
            </w:r>
          </w:p>
        </w:tc>
        <w:tc>
          <w:tcPr>
            <w:tcW w:w="92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0B58B696" w14:textId="77777777" w:rsidR="009B1708" w:rsidRPr="00637949" w:rsidRDefault="009B1708" w:rsidP="009B1708">
            <w:pPr>
              <w:jc w:val="center"/>
              <w:rPr>
                <w:rFonts w:eastAsia="Times New Roman" w:cs="Times New Roman"/>
                <w:b/>
                <w:color w:val="C00000"/>
                <w:sz w:val="20"/>
                <w:szCs w:val="20"/>
                <w:lang w:eastAsia="lv-LV"/>
              </w:rPr>
            </w:pPr>
            <w:r w:rsidRPr="00637949">
              <w:rPr>
                <w:rFonts w:eastAsia="Times New Roman" w:cs="Times New Roman"/>
                <w:b/>
                <w:color w:val="C00000"/>
                <w:sz w:val="20"/>
                <w:szCs w:val="20"/>
                <w:lang w:eastAsia="lv-LV"/>
              </w:rPr>
              <w:t>0,46</w:t>
            </w:r>
          </w:p>
        </w:tc>
        <w:tc>
          <w:tcPr>
            <w:tcW w:w="92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FFFFF" w:themeFill="background1"/>
            <w:noWrap/>
            <w:vAlign w:val="center"/>
            <w:hideMark/>
          </w:tcPr>
          <w:p w14:paraId="65613EC7" w14:textId="77777777" w:rsidR="009B1708" w:rsidRPr="00637949" w:rsidRDefault="009B1708" w:rsidP="009B1708">
            <w:pPr>
              <w:jc w:val="center"/>
              <w:rPr>
                <w:rFonts w:eastAsia="Times New Roman" w:cs="Times New Roman"/>
                <w:b/>
                <w:color w:val="C00000"/>
                <w:sz w:val="20"/>
                <w:szCs w:val="20"/>
                <w:lang w:eastAsia="lv-LV"/>
              </w:rPr>
            </w:pPr>
            <w:r w:rsidRPr="00637949">
              <w:rPr>
                <w:rFonts w:eastAsia="Times New Roman" w:cs="Times New Roman"/>
                <w:b/>
                <w:color w:val="C00000"/>
                <w:sz w:val="20"/>
                <w:szCs w:val="20"/>
                <w:lang w:eastAsia="lv-LV"/>
              </w:rPr>
              <w:t>0,60</w:t>
            </w:r>
          </w:p>
        </w:tc>
        <w:tc>
          <w:tcPr>
            <w:tcW w:w="92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FFFFF" w:themeFill="background1"/>
            <w:noWrap/>
            <w:vAlign w:val="center"/>
            <w:hideMark/>
          </w:tcPr>
          <w:p w14:paraId="5EB25187" w14:textId="77777777" w:rsidR="009B1708" w:rsidRPr="00637949" w:rsidRDefault="009B1708" w:rsidP="009B1708">
            <w:pPr>
              <w:jc w:val="center"/>
              <w:rPr>
                <w:rFonts w:eastAsia="Times New Roman" w:cs="Times New Roman"/>
                <w:b/>
                <w:color w:val="C00000"/>
                <w:sz w:val="20"/>
                <w:szCs w:val="20"/>
                <w:lang w:eastAsia="lv-LV"/>
              </w:rPr>
            </w:pPr>
            <w:r w:rsidRPr="00637949">
              <w:rPr>
                <w:rFonts w:eastAsia="Times New Roman" w:cs="Times New Roman"/>
                <w:b/>
                <w:color w:val="C00000"/>
                <w:sz w:val="20"/>
                <w:szCs w:val="20"/>
                <w:lang w:eastAsia="lv-LV"/>
              </w:rPr>
              <w:t>0,76</w:t>
            </w:r>
          </w:p>
        </w:tc>
        <w:tc>
          <w:tcPr>
            <w:tcW w:w="92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vAlign w:val="center"/>
          </w:tcPr>
          <w:p w14:paraId="79EE7DD5" w14:textId="77777777" w:rsidR="009B1708" w:rsidRPr="009B1708" w:rsidRDefault="009B1708" w:rsidP="009B1708">
            <w:pPr>
              <w:jc w:val="center"/>
              <w:rPr>
                <w:rFonts w:eastAsia="Times New Roman" w:cs="Times New Roman"/>
                <w:b/>
                <w:bCs/>
                <w:color w:val="00B050"/>
                <w:sz w:val="20"/>
                <w:szCs w:val="20"/>
                <w:lang w:eastAsia="lv-LV"/>
              </w:rPr>
            </w:pPr>
            <w:r w:rsidRPr="009B1708">
              <w:rPr>
                <w:rFonts w:eastAsia="Times New Roman" w:cs="Times New Roman"/>
                <w:b/>
                <w:bCs/>
                <w:color w:val="00B050"/>
                <w:sz w:val="20"/>
                <w:szCs w:val="20"/>
                <w:lang w:eastAsia="lv-LV"/>
              </w:rPr>
              <w:t>0,69</w:t>
            </w:r>
          </w:p>
        </w:tc>
        <w:tc>
          <w:tcPr>
            <w:tcW w:w="1129"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vAlign w:val="center"/>
          </w:tcPr>
          <w:p w14:paraId="4D5E53C2" w14:textId="77777777" w:rsidR="009B1708" w:rsidRPr="009B1708" w:rsidRDefault="009B1708" w:rsidP="009B1708">
            <w:pPr>
              <w:jc w:val="center"/>
              <w:rPr>
                <w:rFonts w:eastAsia="Times New Roman" w:cs="Times New Roman"/>
                <w:b/>
                <w:bCs/>
                <w:color w:val="0070C0"/>
                <w:sz w:val="20"/>
                <w:szCs w:val="20"/>
                <w:lang w:eastAsia="lv-LV"/>
              </w:rPr>
            </w:pPr>
            <w:r w:rsidRPr="009B1708">
              <w:rPr>
                <w:rFonts w:eastAsia="Times New Roman" w:cs="Times New Roman"/>
                <w:b/>
                <w:bCs/>
                <w:color w:val="0070C0"/>
                <w:sz w:val="20"/>
                <w:szCs w:val="20"/>
                <w:lang w:eastAsia="lv-LV"/>
              </w:rPr>
              <w:t>0,51</w:t>
            </w:r>
          </w:p>
        </w:tc>
      </w:tr>
      <w:tr w:rsidR="009B1708" w:rsidRPr="00637949" w14:paraId="05F5DA2C" w14:textId="77777777" w:rsidTr="009B1708">
        <w:trPr>
          <w:trHeight w:val="124"/>
        </w:trPr>
        <w:tc>
          <w:tcPr>
            <w:tcW w:w="3672"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007B6A12" w14:textId="77777777" w:rsidR="009B1708" w:rsidRPr="00637949" w:rsidRDefault="009B1708" w:rsidP="009B1708">
            <w:pPr>
              <w:rPr>
                <w:rFonts w:eastAsia="Times New Roman" w:cs="Times New Roman"/>
                <w:color w:val="000000"/>
                <w:sz w:val="20"/>
                <w:szCs w:val="20"/>
                <w:lang w:eastAsia="lv-LV"/>
              </w:rPr>
            </w:pPr>
            <w:r w:rsidRPr="00637949">
              <w:rPr>
                <w:rFonts w:eastAsia="Times New Roman" w:cs="Times New Roman"/>
                <w:b/>
                <w:color w:val="000000"/>
                <w:sz w:val="20"/>
                <w:szCs w:val="20"/>
                <w:lang w:eastAsia="lv-LV"/>
              </w:rPr>
              <w:t>AN 1 paciņai cigarešu</w:t>
            </w:r>
            <w:r w:rsidRPr="00637949">
              <w:rPr>
                <w:rFonts w:eastAsia="Times New Roman" w:cs="Times New Roman"/>
                <w:color w:val="000000"/>
                <w:sz w:val="20"/>
                <w:szCs w:val="20"/>
                <w:lang w:eastAsia="lv-LV"/>
              </w:rPr>
              <w:t xml:space="preserve"> (20 gab.), </w:t>
            </w:r>
            <w:r w:rsidRPr="00637949">
              <w:rPr>
                <w:rFonts w:eastAsia="Times New Roman" w:cs="Times New Roman"/>
                <w:i/>
                <w:color w:val="000000"/>
                <w:sz w:val="20"/>
                <w:szCs w:val="20"/>
                <w:lang w:eastAsia="lv-LV"/>
              </w:rPr>
              <w:t>euro</w:t>
            </w:r>
          </w:p>
        </w:tc>
        <w:tc>
          <w:tcPr>
            <w:tcW w:w="92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19A0D848" w14:textId="77777777" w:rsidR="009B1708" w:rsidRPr="00637949" w:rsidRDefault="009B1708" w:rsidP="009B1708">
            <w:pPr>
              <w:jc w:val="center"/>
              <w:rPr>
                <w:rFonts w:eastAsia="Times New Roman" w:cs="Times New Roman"/>
                <w:b/>
                <w:color w:val="C00000"/>
                <w:sz w:val="20"/>
                <w:szCs w:val="20"/>
                <w:lang w:eastAsia="lv-LV"/>
              </w:rPr>
            </w:pPr>
            <w:r w:rsidRPr="00637949">
              <w:rPr>
                <w:rFonts w:eastAsia="Times New Roman" w:cs="Times New Roman"/>
                <w:b/>
                <w:color w:val="C00000"/>
                <w:sz w:val="20"/>
                <w:szCs w:val="20"/>
                <w:lang w:eastAsia="lv-LV"/>
              </w:rPr>
              <w:t>2,294</w:t>
            </w:r>
          </w:p>
        </w:tc>
        <w:tc>
          <w:tcPr>
            <w:tcW w:w="92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FFFFF" w:themeFill="background1"/>
            <w:noWrap/>
            <w:vAlign w:val="center"/>
            <w:hideMark/>
          </w:tcPr>
          <w:p w14:paraId="4A960E49" w14:textId="77777777" w:rsidR="009B1708" w:rsidRPr="00637949" w:rsidRDefault="009B1708" w:rsidP="009B1708">
            <w:pPr>
              <w:jc w:val="center"/>
              <w:rPr>
                <w:rFonts w:eastAsia="Times New Roman" w:cs="Times New Roman"/>
                <w:b/>
                <w:color w:val="C00000"/>
                <w:sz w:val="20"/>
                <w:szCs w:val="20"/>
                <w:lang w:eastAsia="lv-LV"/>
              </w:rPr>
            </w:pPr>
            <w:r w:rsidRPr="00637949">
              <w:rPr>
                <w:rFonts w:eastAsia="Times New Roman" w:cs="Times New Roman"/>
                <w:b/>
                <w:color w:val="C00000"/>
                <w:sz w:val="20"/>
                <w:szCs w:val="20"/>
                <w:lang w:eastAsia="lv-LV"/>
              </w:rPr>
              <w:t>2,408</w:t>
            </w:r>
          </w:p>
        </w:tc>
        <w:tc>
          <w:tcPr>
            <w:tcW w:w="92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FFFFF" w:themeFill="background1"/>
            <w:noWrap/>
            <w:vAlign w:val="center"/>
            <w:hideMark/>
          </w:tcPr>
          <w:p w14:paraId="79AEDA79" w14:textId="77777777" w:rsidR="009B1708" w:rsidRPr="00637949" w:rsidRDefault="009B1708" w:rsidP="009B1708">
            <w:pPr>
              <w:jc w:val="center"/>
              <w:rPr>
                <w:rFonts w:eastAsia="Times New Roman" w:cs="Times New Roman"/>
                <w:b/>
                <w:color w:val="C00000"/>
                <w:sz w:val="20"/>
                <w:szCs w:val="20"/>
                <w:lang w:eastAsia="lv-LV"/>
              </w:rPr>
            </w:pPr>
            <w:r w:rsidRPr="00637949">
              <w:rPr>
                <w:rFonts w:eastAsia="Times New Roman" w:cs="Times New Roman"/>
                <w:b/>
                <w:color w:val="C00000"/>
                <w:sz w:val="20"/>
                <w:szCs w:val="20"/>
                <w:lang w:eastAsia="lv-LV"/>
              </w:rPr>
              <w:t>2,528</w:t>
            </w:r>
          </w:p>
        </w:tc>
        <w:tc>
          <w:tcPr>
            <w:tcW w:w="92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vAlign w:val="center"/>
          </w:tcPr>
          <w:p w14:paraId="44005549" w14:textId="77777777" w:rsidR="009B1708" w:rsidRPr="009B1708" w:rsidRDefault="009B1708" w:rsidP="009B1708">
            <w:pPr>
              <w:jc w:val="center"/>
              <w:rPr>
                <w:rFonts w:eastAsia="Times New Roman" w:cs="Times New Roman"/>
                <w:b/>
                <w:bCs/>
                <w:color w:val="00B050"/>
                <w:sz w:val="20"/>
                <w:szCs w:val="20"/>
                <w:lang w:eastAsia="lv-LV"/>
              </w:rPr>
            </w:pPr>
            <w:r w:rsidRPr="009B1708">
              <w:rPr>
                <w:rFonts w:eastAsia="Times New Roman" w:cs="Times New Roman"/>
                <w:b/>
                <w:bCs/>
                <w:color w:val="00B050"/>
                <w:sz w:val="20"/>
                <w:szCs w:val="20"/>
                <w:lang w:eastAsia="lv-LV"/>
              </w:rPr>
              <w:t>2,17</w:t>
            </w:r>
          </w:p>
        </w:tc>
        <w:tc>
          <w:tcPr>
            <w:tcW w:w="1129"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vAlign w:val="center"/>
          </w:tcPr>
          <w:p w14:paraId="5BD498C6" w14:textId="77777777" w:rsidR="009B1708" w:rsidRPr="009B1708" w:rsidRDefault="009B1708" w:rsidP="009B1708">
            <w:pPr>
              <w:jc w:val="center"/>
              <w:rPr>
                <w:rFonts w:eastAsia="Times New Roman" w:cs="Times New Roman"/>
                <w:b/>
                <w:bCs/>
                <w:color w:val="0070C0"/>
                <w:sz w:val="20"/>
                <w:szCs w:val="20"/>
                <w:lang w:eastAsia="lv-LV"/>
              </w:rPr>
            </w:pPr>
            <w:r w:rsidRPr="009B1708">
              <w:rPr>
                <w:rFonts w:eastAsia="Times New Roman" w:cs="Times New Roman"/>
                <w:b/>
                <w:bCs/>
                <w:color w:val="0070C0"/>
                <w:sz w:val="20"/>
                <w:szCs w:val="20"/>
                <w:lang w:eastAsia="lv-LV"/>
              </w:rPr>
              <w:t>2,773</w:t>
            </w:r>
          </w:p>
        </w:tc>
      </w:tr>
      <w:tr w:rsidR="009B1708" w:rsidRPr="00637949" w14:paraId="18EA5F35" w14:textId="77777777" w:rsidTr="009B1708">
        <w:trPr>
          <w:trHeight w:val="285"/>
        </w:trPr>
        <w:tc>
          <w:tcPr>
            <w:tcW w:w="3672" w:type="dxa"/>
            <w:tcBorders>
              <w:top w:val="single" w:sz="4" w:space="0" w:color="808080" w:themeColor="background1" w:themeShade="80"/>
              <w:left w:val="single" w:sz="4" w:space="0" w:color="auto"/>
              <w:bottom w:val="single" w:sz="4" w:space="0" w:color="auto"/>
              <w:right w:val="single" w:sz="4" w:space="0" w:color="auto"/>
            </w:tcBorders>
            <w:shd w:val="clear" w:color="auto" w:fill="auto"/>
            <w:vAlign w:val="center"/>
            <w:hideMark/>
          </w:tcPr>
          <w:p w14:paraId="43BF6F39" w14:textId="77777777" w:rsidR="009B1708" w:rsidRPr="00637949" w:rsidRDefault="009B1708" w:rsidP="009B1708">
            <w:pPr>
              <w:rPr>
                <w:rFonts w:eastAsia="Times New Roman" w:cs="Times New Roman"/>
                <w:color w:val="000000"/>
                <w:sz w:val="20"/>
                <w:szCs w:val="20"/>
                <w:lang w:eastAsia="lv-LV"/>
              </w:rPr>
            </w:pPr>
            <w:r>
              <w:rPr>
                <w:rFonts w:eastAsia="Times New Roman" w:cs="Times New Roman"/>
                <w:color w:val="000000"/>
                <w:sz w:val="20"/>
                <w:szCs w:val="20"/>
                <w:lang w:eastAsia="lv-LV"/>
              </w:rPr>
              <w:t>L</w:t>
            </w:r>
            <w:r w:rsidRPr="00637949">
              <w:rPr>
                <w:rFonts w:eastAsia="Times New Roman" w:cs="Times New Roman"/>
                <w:color w:val="000000"/>
                <w:sz w:val="20"/>
                <w:szCs w:val="20"/>
                <w:lang w:eastAsia="lv-LV"/>
              </w:rPr>
              <w:t>ikme karsējamai tabakai pret minimālo līmeni cigaretēm</w:t>
            </w:r>
          </w:p>
        </w:tc>
        <w:tc>
          <w:tcPr>
            <w:tcW w:w="924" w:type="dxa"/>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noWrap/>
            <w:vAlign w:val="center"/>
            <w:hideMark/>
          </w:tcPr>
          <w:p w14:paraId="221AC21D" w14:textId="77777777" w:rsidR="009B1708" w:rsidRPr="00637949" w:rsidRDefault="009B1708" w:rsidP="009B1708">
            <w:pPr>
              <w:jc w:val="center"/>
              <w:rPr>
                <w:rFonts w:eastAsia="Times New Roman" w:cs="Times New Roman"/>
                <w:b/>
                <w:color w:val="C00000"/>
                <w:sz w:val="20"/>
                <w:szCs w:val="20"/>
                <w:lang w:eastAsia="lv-LV"/>
              </w:rPr>
            </w:pPr>
            <w:r w:rsidRPr="00637949">
              <w:rPr>
                <w:rFonts w:eastAsia="Times New Roman" w:cs="Times New Roman"/>
                <w:b/>
                <w:color w:val="C00000"/>
                <w:sz w:val="20"/>
                <w:szCs w:val="20"/>
                <w:lang w:eastAsia="lv-LV"/>
              </w:rPr>
              <w:t>19,9%</w:t>
            </w:r>
          </w:p>
        </w:tc>
        <w:tc>
          <w:tcPr>
            <w:tcW w:w="925" w:type="dxa"/>
            <w:tcBorders>
              <w:top w:val="single" w:sz="4" w:space="0" w:color="808080" w:themeColor="background1" w:themeShade="80"/>
              <w:left w:val="nil"/>
              <w:bottom w:val="single" w:sz="4" w:space="0" w:color="auto"/>
              <w:right w:val="single" w:sz="4" w:space="0" w:color="auto"/>
            </w:tcBorders>
            <w:shd w:val="clear" w:color="auto" w:fill="FFFFFF" w:themeFill="background1"/>
            <w:noWrap/>
            <w:vAlign w:val="center"/>
            <w:hideMark/>
          </w:tcPr>
          <w:p w14:paraId="7795954B" w14:textId="77777777" w:rsidR="009B1708" w:rsidRPr="00637949" w:rsidRDefault="009B1708" w:rsidP="009B1708">
            <w:pPr>
              <w:jc w:val="center"/>
              <w:rPr>
                <w:rFonts w:eastAsia="Times New Roman" w:cs="Times New Roman"/>
                <w:b/>
                <w:color w:val="C00000"/>
                <w:sz w:val="20"/>
                <w:szCs w:val="20"/>
                <w:lang w:eastAsia="lv-LV"/>
              </w:rPr>
            </w:pPr>
            <w:r w:rsidRPr="00637949">
              <w:rPr>
                <w:rFonts w:eastAsia="Times New Roman" w:cs="Times New Roman"/>
                <w:b/>
                <w:color w:val="C00000"/>
                <w:sz w:val="20"/>
                <w:szCs w:val="20"/>
                <w:lang w:eastAsia="lv-LV"/>
              </w:rPr>
              <w:t>25,1%</w:t>
            </w:r>
          </w:p>
        </w:tc>
        <w:tc>
          <w:tcPr>
            <w:tcW w:w="925" w:type="dxa"/>
            <w:tcBorders>
              <w:top w:val="single" w:sz="4" w:space="0" w:color="808080" w:themeColor="background1" w:themeShade="80"/>
              <w:left w:val="nil"/>
              <w:bottom w:val="single" w:sz="4" w:space="0" w:color="auto"/>
              <w:right w:val="single" w:sz="4" w:space="0" w:color="auto"/>
            </w:tcBorders>
            <w:shd w:val="clear" w:color="auto" w:fill="FFFFFF" w:themeFill="background1"/>
            <w:noWrap/>
            <w:vAlign w:val="center"/>
            <w:hideMark/>
          </w:tcPr>
          <w:p w14:paraId="408D5861" w14:textId="77777777" w:rsidR="009B1708" w:rsidRPr="00637949" w:rsidRDefault="009B1708" w:rsidP="009B1708">
            <w:pPr>
              <w:jc w:val="center"/>
              <w:rPr>
                <w:rFonts w:eastAsia="Times New Roman" w:cs="Times New Roman"/>
                <w:b/>
                <w:color w:val="C00000"/>
                <w:sz w:val="20"/>
                <w:szCs w:val="20"/>
                <w:lang w:eastAsia="lv-LV"/>
              </w:rPr>
            </w:pPr>
            <w:r w:rsidRPr="00637949">
              <w:rPr>
                <w:rFonts w:eastAsia="Times New Roman" w:cs="Times New Roman"/>
                <w:b/>
                <w:color w:val="C00000"/>
                <w:sz w:val="20"/>
                <w:szCs w:val="20"/>
                <w:lang w:eastAsia="lv-LV"/>
              </w:rPr>
              <w:t>30,2%</w:t>
            </w:r>
          </w:p>
        </w:tc>
        <w:tc>
          <w:tcPr>
            <w:tcW w:w="925" w:type="dxa"/>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vAlign w:val="center"/>
          </w:tcPr>
          <w:p w14:paraId="09845E14" w14:textId="77777777" w:rsidR="009B1708" w:rsidRPr="009B1708" w:rsidRDefault="009B1708" w:rsidP="009B1708">
            <w:pPr>
              <w:jc w:val="center"/>
              <w:rPr>
                <w:rFonts w:eastAsia="Times New Roman" w:cs="Times New Roman"/>
                <w:b/>
                <w:bCs/>
                <w:color w:val="00B050"/>
                <w:sz w:val="20"/>
                <w:szCs w:val="20"/>
                <w:lang w:eastAsia="lv-LV"/>
              </w:rPr>
            </w:pPr>
            <w:r w:rsidRPr="009B1708">
              <w:rPr>
                <w:rFonts w:eastAsia="Times New Roman" w:cs="Times New Roman"/>
                <w:b/>
                <w:bCs/>
                <w:color w:val="00B050"/>
                <w:sz w:val="20"/>
                <w:szCs w:val="20"/>
                <w:lang w:eastAsia="lv-LV"/>
              </w:rPr>
              <w:t>32%</w:t>
            </w:r>
          </w:p>
        </w:tc>
        <w:tc>
          <w:tcPr>
            <w:tcW w:w="1129" w:type="dxa"/>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vAlign w:val="center"/>
          </w:tcPr>
          <w:p w14:paraId="3619DAC4" w14:textId="77777777" w:rsidR="009B1708" w:rsidRPr="009B1708" w:rsidRDefault="009B1708" w:rsidP="009B1708">
            <w:pPr>
              <w:jc w:val="center"/>
              <w:rPr>
                <w:rFonts w:eastAsia="Times New Roman" w:cs="Times New Roman"/>
                <w:b/>
                <w:bCs/>
                <w:color w:val="0070C0"/>
                <w:sz w:val="20"/>
                <w:szCs w:val="20"/>
                <w:lang w:eastAsia="lv-LV"/>
              </w:rPr>
            </w:pPr>
            <w:r w:rsidRPr="009B1708">
              <w:rPr>
                <w:rFonts w:eastAsia="Times New Roman" w:cs="Times New Roman"/>
                <w:b/>
                <w:bCs/>
                <w:color w:val="0070C0"/>
                <w:sz w:val="20"/>
                <w:szCs w:val="20"/>
                <w:lang w:eastAsia="lv-LV"/>
              </w:rPr>
              <w:t>18,30%</w:t>
            </w:r>
          </w:p>
        </w:tc>
      </w:tr>
      <w:tr w:rsidR="009B1708" w:rsidRPr="00637949" w14:paraId="60A320BB" w14:textId="77777777" w:rsidTr="009B1708">
        <w:trPr>
          <w:trHeight w:val="318"/>
        </w:trPr>
        <w:tc>
          <w:tcPr>
            <w:tcW w:w="4596" w:type="dxa"/>
            <w:gridSpan w:val="2"/>
            <w:tcBorders>
              <w:top w:val="single" w:sz="4" w:space="0" w:color="auto"/>
              <w:left w:val="single" w:sz="4" w:space="0" w:color="auto"/>
              <w:bottom w:val="dotted" w:sz="4" w:space="0" w:color="auto"/>
              <w:right w:val="single" w:sz="4" w:space="0" w:color="auto"/>
            </w:tcBorders>
            <w:shd w:val="clear" w:color="auto" w:fill="FFE599" w:themeFill="accent4" w:themeFillTint="66"/>
            <w:vAlign w:val="center"/>
          </w:tcPr>
          <w:p w14:paraId="72532B19" w14:textId="77777777" w:rsidR="009B1708" w:rsidRPr="00637949" w:rsidRDefault="009B1708" w:rsidP="009B1708">
            <w:pPr>
              <w:contextualSpacing/>
              <w:rPr>
                <w:rFonts w:eastAsia="Times New Roman" w:cs="Times New Roman"/>
                <w:b/>
                <w:color w:val="C00000"/>
                <w:sz w:val="20"/>
                <w:szCs w:val="20"/>
                <w:lang w:eastAsia="lv-LV"/>
              </w:rPr>
            </w:pPr>
            <w:r w:rsidRPr="00F519AB">
              <w:rPr>
                <w:b/>
                <w:sz w:val="22"/>
              </w:rPr>
              <w:t>Fiskālā ietekme</w:t>
            </w:r>
            <w:r w:rsidRPr="00A303CA">
              <w:rPr>
                <w:b/>
                <w:sz w:val="22"/>
                <w:vertAlign w:val="superscript"/>
              </w:rPr>
              <w:t>**</w:t>
            </w:r>
            <w:r w:rsidRPr="00F519AB">
              <w:rPr>
                <w:b/>
                <w:sz w:val="22"/>
              </w:rPr>
              <w:t xml:space="preserve">, </w:t>
            </w:r>
            <w:r w:rsidRPr="00F519AB">
              <w:rPr>
                <w:i/>
                <w:sz w:val="22"/>
              </w:rPr>
              <w:t>milj. eur</w:t>
            </w:r>
            <w:r>
              <w:rPr>
                <w:i/>
                <w:sz w:val="22"/>
              </w:rPr>
              <w:t>o</w:t>
            </w:r>
          </w:p>
        </w:tc>
        <w:tc>
          <w:tcPr>
            <w:tcW w:w="1850" w:type="dxa"/>
            <w:gridSpan w:val="2"/>
            <w:tcBorders>
              <w:top w:val="single" w:sz="4" w:space="0" w:color="auto"/>
              <w:left w:val="nil"/>
              <w:bottom w:val="dotted" w:sz="4" w:space="0" w:color="auto"/>
              <w:right w:val="single" w:sz="4" w:space="0" w:color="auto"/>
            </w:tcBorders>
            <w:shd w:val="clear" w:color="auto" w:fill="FFE599" w:themeFill="accent4" w:themeFillTint="66"/>
            <w:noWrap/>
            <w:vAlign w:val="center"/>
          </w:tcPr>
          <w:p w14:paraId="7BA95CC8" w14:textId="77777777" w:rsidR="009B1708" w:rsidRPr="004252E4" w:rsidRDefault="009B1708" w:rsidP="009B1708">
            <w:pPr>
              <w:contextualSpacing/>
              <w:jc w:val="center"/>
              <w:rPr>
                <w:rFonts w:eastAsia="Times New Roman" w:cs="Times New Roman"/>
                <w:b/>
                <w:color w:val="00B050"/>
                <w:sz w:val="20"/>
                <w:szCs w:val="20"/>
                <w:lang w:eastAsia="lv-LV"/>
              </w:rPr>
            </w:pPr>
            <w:r w:rsidRPr="004252E4">
              <w:rPr>
                <w:rFonts w:eastAsia="Times New Roman" w:cs="Times New Roman"/>
                <w:b/>
                <w:color w:val="00B050"/>
                <w:sz w:val="22"/>
                <w:szCs w:val="20"/>
                <w:lang w:eastAsia="lv-LV"/>
              </w:rPr>
              <w:t>+0,9-2,0</w:t>
            </w:r>
          </w:p>
        </w:tc>
        <w:tc>
          <w:tcPr>
            <w:tcW w:w="925" w:type="dxa"/>
            <w:tcBorders>
              <w:top w:val="single" w:sz="4" w:space="0" w:color="auto"/>
              <w:left w:val="nil"/>
              <w:bottom w:val="dotted" w:sz="4" w:space="0" w:color="auto"/>
              <w:right w:val="single" w:sz="4" w:space="0" w:color="auto"/>
            </w:tcBorders>
            <w:shd w:val="clear" w:color="auto" w:fill="D9D9D9" w:themeFill="background1" w:themeFillShade="D9"/>
          </w:tcPr>
          <w:p w14:paraId="2B596ADB" w14:textId="77777777" w:rsidR="009B1708" w:rsidRPr="005E160C" w:rsidRDefault="009B1708" w:rsidP="009B1708">
            <w:pPr>
              <w:contextualSpacing/>
              <w:jc w:val="center"/>
              <w:rPr>
                <w:rFonts w:eastAsia="Times New Roman" w:cs="Times New Roman"/>
                <w:b/>
                <w:color w:val="C00000"/>
                <w:sz w:val="22"/>
                <w:szCs w:val="20"/>
                <w:lang w:eastAsia="lv-LV"/>
              </w:rPr>
            </w:pPr>
          </w:p>
        </w:tc>
        <w:tc>
          <w:tcPr>
            <w:tcW w:w="1129" w:type="dxa"/>
            <w:tcBorders>
              <w:top w:val="single" w:sz="4" w:space="0" w:color="auto"/>
              <w:left w:val="nil"/>
              <w:bottom w:val="dotted" w:sz="4" w:space="0" w:color="auto"/>
              <w:right w:val="single" w:sz="4" w:space="0" w:color="auto"/>
            </w:tcBorders>
            <w:shd w:val="clear" w:color="auto" w:fill="D9D9D9" w:themeFill="background1" w:themeFillShade="D9"/>
          </w:tcPr>
          <w:p w14:paraId="20651353" w14:textId="77777777" w:rsidR="009B1708" w:rsidRPr="005E160C" w:rsidRDefault="009B1708" w:rsidP="009B1708">
            <w:pPr>
              <w:contextualSpacing/>
              <w:jc w:val="center"/>
              <w:rPr>
                <w:rFonts w:eastAsia="Times New Roman" w:cs="Times New Roman"/>
                <w:b/>
                <w:color w:val="C00000"/>
                <w:sz w:val="22"/>
                <w:szCs w:val="20"/>
                <w:lang w:eastAsia="lv-LV"/>
              </w:rPr>
            </w:pPr>
          </w:p>
        </w:tc>
      </w:tr>
      <w:tr w:rsidR="009B1708" w:rsidRPr="00637949" w14:paraId="18602175" w14:textId="77777777" w:rsidTr="009B1708">
        <w:trPr>
          <w:trHeight w:val="66"/>
        </w:trPr>
        <w:tc>
          <w:tcPr>
            <w:tcW w:w="4596" w:type="dxa"/>
            <w:gridSpan w:val="2"/>
            <w:tcBorders>
              <w:top w:val="dotted" w:sz="4" w:space="0" w:color="auto"/>
              <w:left w:val="single" w:sz="4" w:space="0" w:color="auto"/>
              <w:bottom w:val="dotted" w:sz="4" w:space="0" w:color="auto"/>
              <w:right w:val="single" w:sz="4" w:space="0" w:color="auto"/>
            </w:tcBorders>
            <w:shd w:val="clear" w:color="auto" w:fill="FFE599" w:themeFill="accent4" w:themeFillTint="66"/>
            <w:vAlign w:val="center"/>
          </w:tcPr>
          <w:p w14:paraId="6D2B8E02" w14:textId="77777777" w:rsidR="009B1708" w:rsidRPr="00A303CA" w:rsidRDefault="009B1708" w:rsidP="009B1708">
            <w:pPr>
              <w:contextualSpacing/>
              <w:rPr>
                <w:rFonts w:eastAsia="Times New Roman" w:cs="Times New Roman"/>
                <w:b/>
                <w:i/>
                <w:color w:val="C00000"/>
                <w:sz w:val="20"/>
                <w:szCs w:val="20"/>
                <w:lang w:eastAsia="lv-LV"/>
              </w:rPr>
            </w:pPr>
            <w:r>
              <w:rPr>
                <w:i/>
                <w:sz w:val="20"/>
                <w:szCs w:val="20"/>
              </w:rPr>
              <w:t xml:space="preserve">                     </w:t>
            </w:r>
            <w:r w:rsidRPr="00A303CA">
              <w:rPr>
                <w:i/>
                <w:sz w:val="20"/>
                <w:szCs w:val="20"/>
              </w:rPr>
              <w:t>t.sk.: AN</w:t>
            </w:r>
          </w:p>
        </w:tc>
        <w:tc>
          <w:tcPr>
            <w:tcW w:w="1850" w:type="dxa"/>
            <w:gridSpan w:val="2"/>
            <w:tcBorders>
              <w:top w:val="dotted" w:sz="4" w:space="0" w:color="auto"/>
              <w:left w:val="nil"/>
              <w:bottom w:val="dotted" w:sz="4" w:space="0" w:color="auto"/>
              <w:right w:val="single" w:sz="4" w:space="0" w:color="auto"/>
            </w:tcBorders>
            <w:shd w:val="clear" w:color="auto" w:fill="FFE599" w:themeFill="accent4" w:themeFillTint="66"/>
            <w:noWrap/>
            <w:vAlign w:val="center"/>
          </w:tcPr>
          <w:p w14:paraId="3AF3C808" w14:textId="77777777" w:rsidR="009B1708" w:rsidRPr="004252E4" w:rsidRDefault="009B1708" w:rsidP="009B1708">
            <w:pPr>
              <w:contextualSpacing/>
              <w:jc w:val="center"/>
              <w:rPr>
                <w:rFonts w:eastAsia="Times New Roman" w:cs="Times New Roman"/>
                <w:b/>
                <w:i/>
                <w:color w:val="00B050"/>
                <w:sz w:val="20"/>
                <w:szCs w:val="20"/>
                <w:lang w:eastAsia="lv-LV"/>
              </w:rPr>
            </w:pPr>
            <w:r w:rsidRPr="004252E4">
              <w:rPr>
                <w:rFonts w:eastAsia="Times New Roman" w:cs="Times New Roman"/>
                <w:b/>
                <w:i/>
                <w:color w:val="00B050"/>
                <w:sz w:val="20"/>
                <w:szCs w:val="20"/>
                <w:lang w:eastAsia="lv-LV"/>
              </w:rPr>
              <w:t>+0,8-1,7</w:t>
            </w:r>
          </w:p>
        </w:tc>
        <w:tc>
          <w:tcPr>
            <w:tcW w:w="925" w:type="dxa"/>
            <w:tcBorders>
              <w:top w:val="dotted" w:sz="4" w:space="0" w:color="auto"/>
              <w:left w:val="nil"/>
              <w:bottom w:val="dotted" w:sz="4" w:space="0" w:color="auto"/>
              <w:right w:val="single" w:sz="4" w:space="0" w:color="auto"/>
            </w:tcBorders>
            <w:shd w:val="clear" w:color="auto" w:fill="D9D9D9" w:themeFill="background1" w:themeFillShade="D9"/>
          </w:tcPr>
          <w:p w14:paraId="354DA490" w14:textId="77777777" w:rsidR="009B1708" w:rsidRPr="005E160C" w:rsidRDefault="009B1708" w:rsidP="009B1708">
            <w:pPr>
              <w:contextualSpacing/>
              <w:jc w:val="center"/>
              <w:rPr>
                <w:rFonts w:eastAsia="Times New Roman" w:cs="Times New Roman"/>
                <w:b/>
                <w:i/>
                <w:color w:val="C00000"/>
                <w:sz w:val="20"/>
                <w:szCs w:val="20"/>
                <w:lang w:eastAsia="lv-LV"/>
              </w:rPr>
            </w:pPr>
          </w:p>
        </w:tc>
        <w:tc>
          <w:tcPr>
            <w:tcW w:w="1129" w:type="dxa"/>
            <w:tcBorders>
              <w:top w:val="dotted" w:sz="4" w:space="0" w:color="auto"/>
              <w:left w:val="nil"/>
              <w:bottom w:val="dotted" w:sz="4" w:space="0" w:color="auto"/>
              <w:right w:val="single" w:sz="4" w:space="0" w:color="auto"/>
            </w:tcBorders>
            <w:shd w:val="clear" w:color="auto" w:fill="D9D9D9" w:themeFill="background1" w:themeFillShade="D9"/>
          </w:tcPr>
          <w:p w14:paraId="7EAEF0FD" w14:textId="77777777" w:rsidR="009B1708" w:rsidRPr="005E160C" w:rsidRDefault="009B1708" w:rsidP="009B1708">
            <w:pPr>
              <w:contextualSpacing/>
              <w:jc w:val="center"/>
              <w:rPr>
                <w:rFonts w:eastAsia="Times New Roman" w:cs="Times New Roman"/>
                <w:b/>
                <w:i/>
                <w:color w:val="C00000"/>
                <w:sz w:val="20"/>
                <w:szCs w:val="20"/>
                <w:lang w:eastAsia="lv-LV"/>
              </w:rPr>
            </w:pPr>
          </w:p>
        </w:tc>
      </w:tr>
      <w:tr w:rsidR="009B1708" w:rsidRPr="00637949" w14:paraId="5BFDE233" w14:textId="77777777" w:rsidTr="009B1708">
        <w:trPr>
          <w:trHeight w:val="66"/>
        </w:trPr>
        <w:tc>
          <w:tcPr>
            <w:tcW w:w="4596" w:type="dxa"/>
            <w:gridSpan w:val="2"/>
            <w:tcBorders>
              <w:top w:val="dotted" w:sz="4" w:space="0" w:color="auto"/>
              <w:left w:val="single" w:sz="4" w:space="0" w:color="auto"/>
              <w:bottom w:val="single" w:sz="4" w:space="0" w:color="auto"/>
              <w:right w:val="single" w:sz="4" w:space="0" w:color="auto"/>
            </w:tcBorders>
            <w:shd w:val="clear" w:color="auto" w:fill="FFE599" w:themeFill="accent4" w:themeFillTint="66"/>
            <w:vAlign w:val="center"/>
          </w:tcPr>
          <w:p w14:paraId="3AF04F9C" w14:textId="77777777" w:rsidR="009B1708" w:rsidRPr="00A303CA" w:rsidRDefault="009B1708" w:rsidP="009B1708">
            <w:pPr>
              <w:contextualSpacing/>
              <w:rPr>
                <w:rFonts w:eastAsia="Times New Roman" w:cs="Times New Roman"/>
                <w:b/>
                <w:i/>
                <w:color w:val="C00000"/>
                <w:sz w:val="20"/>
                <w:szCs w:val="20"/>
                <w:lang w:eastAsia="lv-LV"/>
              </w:rPr>
            </w:pPr>
            <w:r>
              <w:rPr>
                <w:i/>
                <w:sz w:val="20"/>
                <w:szCs w:val="20"/>
              </w:rPr>
              <w:t xml:space="preserve">                    </w:t>
            </w:r>
            <w:r w:rsidRPr="00A303CA">
              <w:rPr>
                <w:i/>
                <w:sz w:val="20"/>
                <w:szCs w:val="20"/>
              </w:rPr>
              <w:t>t.sk.: PVN</w:t>
            </w:r>
          </w:p>
        </w:tc>
        <w:tc>
          <w:tcPr>
            <w:tcW w:w="1850" w:type="dxa"/>
            <w:gridSpan w:val="2"/>
            <w:tcBorders>
              <w:top w:val="dotted" w:sz="4" w:space="0" w:color="auto"/>
              <w:left w:val="nil"/>
              <w:bottom w:val="single" w:sz="4" w:space="0" w:color="auto"/>
              <w:right w:val="single" w:sz="4" w:space="0" w:color="auto"/>
            </w:tcBorders>
            <w:shd w:val="clear" w:color="auto" w:fill="FFE599" w:themeFill="accent4" w:themeFillTint="66"/>
            <w:noWrap/>
            <w:vAlign w:val="center"/>
          </w:tcPr>
          <w:p w14:paraId="302ADFCD" w14:textId="77777777" w:rsidR="009B1708" w:rsidRPr="004252E4" w:rsidRDefault="009B1708" w:rsidP="009B1708">
            <w:pPr>
              <w:contextualSpacing/>
              <w:jc w:val="center"/>
              <w:rPr>
                <w:rFonts w:eastAsia="Times New Roman" w:cs="Times New Roman"/>
                <w:b/>
                <w:i/>
                <w:color w:val="00B050"/>
                <w:sz w:val="20"/>
                <w:szCs w:val="20"/>
                <w:lang w:eastAsia="lv-LV"/>
              </w:rPr>
            </w:pPr>
            <w:r w:rsidRPr="004252E4">
              <w:rPr>
                <w:rFonts w:eastAsia="Times New Roman" w:cs="Times New Roman"/>
                <w:b/>
                <w:i/>
                <w:color w:val="00B050"/>
                <w:sz w:val="20"/>
                <w:szCs w:val="20"/>
                <w:lang w:eastAsia="lv-LV"/>
              </w:rPr>
              <w:t>+0,2-0,4</w:t>
            </w:r>
          </w:p>
        </w:tc>
        <w:tc>
          <w:tcPr>
            <w:tcW w:w="925" w:type="dxa"/>
            <w:tcBorders>
              <w:top w:val="dotted" w:sz="4" w:space="0" w:color="auto"/>
              <w:left w:val="nil"/>
              <w:bottom w:val="single" w:sz="4" w:space="0" w:color="auto"/>
              <w:right w:val="single" w:sz="4" w:space="0" w:color="auto"/>
            </w:tcBorders>
            <w:shd w:val="clear" w:color="auto" w:fill="D9D9D9" w:themeFill="background1" w:themeFillShade="D9"/>
          </w:tcPr>
          <w:p w14:paraId="77D883ED" w14:textId="77777777" w:rsidR="009B1708" w:rsidRPr="005E160C" w:rsidRDefault="009B1708" w:rsidP="009B1708">
            <w:pPr>
              <w:contextualSpacing/>
              <w:jc w:val="center"/>
              <w:rPr>
                <w:rFonts w:eastAsia="Times New Roman" w:cs="Times New Roman"/>
                <w:b/>
                <w:i/>
                <w:color w:val="C00000"/>
                <w:sz w:val="20"/>
                <w:szCs w:val="20"/>
                <w:lang w:eastAsia="lv-LV"/>
              </w:rPr>
            </w:pPr>
          </w:p>
        </w:tc>
        <w:tc>
          <w:tcPr>
            <w:tcW w:w="1129" w:type="dxa"/>
            <w:tcBorders>
              <w:top w:val="dotted" w:sz="4" w:space="0" w:color="auto"/>
              <w:left w:val="nil"/>
              <w:bottom w:val="single" w:sz="4" w:space="0" w:color="auto"/>
              <w:right w:val="single" w:sz="4" w:space="0" w:color="auto"/>
            </w:tcBorders>
            <w:shd w:val="clear" w:color="auto" w:fill="D9D9D9" w:themeFill="background1" w:themeFillShade="D9"/>
          </w:tcPr>
          <w:p w14:paraId="484A0DBD" w14:textId="77777777" w:rsidR="009B1708" w:rsidRPr="005E160C" w:rsidRDefault="009B1708" w:rsidP="009B1708">
            <w:pPr>
              <w:contextualSpacing/>
              <w:jc w:val="center"/>
              <w:rPr>
                <w:rFonts w:eastAsia="Times New Roman" w:cs="Times New Roman"/>
                <w:b/>
                <w:i/>
                <w:color w:val="C00000"/>
                <w:sz w:val="20"/>
                <w:szCs w:val="20"/>
                <w:lang w:eastAsia="lv-LV"/>
              </w:rPr>
            </w:pPr>
          </w:p>
        </w:tc>
      </w:tr>
    </w:tbl>
    <w:p w14:paraId="35DBB6DD" w14:textId="77777777" w:rsidR="00140D87" w:rsidRPr="00A303CA" w:rsidRDefault="00140D87" w:rsidP="00140D87">
      <w:pPr>
        <w:tabs>
          <w:tab w:val="left" w:pos="284"/>
        </w:tabs>
        <w:spacing w:before="80"/>
        <w:ind w:left="284" w:hanging="284"/>
        <w:rPr>
          <w:rFonts w:cs="Times New Roman"/>
          <w:sz w:val="18"/>
          <w:szCs w:val="18"/>
        </w:rPr>
      </w:pPr>
      <w:r w:rsidRPr="00A303CA">
        <w:rPr>
          <w:rFonts w:cs="Times New Roman"/>
          <w:sz w:val="18"/>
          <w:szCs w:val="18"/>
          <w:vertAlign w:val="superscript"/>
        </w:rPr>
        <w:t>*</w:t>
      </w:r>
      <w:r w:rsidRPr="00A303CA">
        <w:rPr>
          <w:rFonts w:cs="Times New Roman"/>
          <w:sz w:val="18"/>
          <w:szCs w:val="18"/>
        </w:rPr>
        <w:t xml:space="preserve"> </w:t>
      </w:r>
      <w:r w:rsidRPr="00A303CA">
        <w:rPr>
          <w:rFonts w:cs="Times New Roman"/>
          <w:sz w:val="18"/>
          <w:szCs w:val="18"/>
        </w:rPr>
        <w:tab/>
      </w:r>
      <w:r w:rsidRPr="00A303CA">
        <w:rPr>
          <w:rFonts w:cs="Times New Roman"/>
          <w:i/>
          <w:sz w:val="18"/>
          <w:szCs w:val="18"/>
        </w:rPr>
        <w:t>Karsējamās tabakas 1 paciņa (20 gab.) satur 6,1 g. tabakas, kas pēc pieņēmuma ir vienādi ar 1 paciņu (20 gab.) cigarešu. Tādējādi, lai aprēķinātu AN karsējamai tabakai  par 1 paciņu (20 gab.) tiek izmantots koeficients 6,1.</w:t>
      </w:r>
    </w:p>
    <w:p w14:paraId="49030B2F" w14:textId="77777777" w:rsidR="00140D87" w:rsidRPr="00A303CA" w:rsidRDefault="00140D87" w:rsidP="00A303CA">
      <w:pPr>
        <w:tabs>
          <w:tab w:val="left" w:pos="284"/>
        </w:tabs>
        <w:ind w:right="-96"/>
        <w:rPr>
          <w:i/>
          <w:sz w:val="18"/>
          <w:szCs w:val="18"/>
        </w:rPr>
      </w:pPr>
      <w:r w:rsidRPr="00A303CA">
        <w:rPr>
          <w:i/>
          <w:sz w:val="18"/>
          <w:szCs w:val="18"/>
          <w:vertAlign w:val="superscript"/>
        </w:rPr>
        <w:t>**</w:t>
      </w:r>
      <w:r w:rsidRPr="00A303CA">
        <w:rPr>
          <w:i/>
          <w:sz w:val="18"/>
          <w:szCs w:val="18"/>
        </w:rPr>
        <w:t xml:space="preserve"> </w:t>
      </w:r>
      <w:r w:rsidR="00A303CA">
        <w:rPr>
          <w:i/>
          <w:sz w:val="18"/>
          <w:szCs w:val="18"/>
        </w:rPr>
        <w:tab/>
        <w:t>I</w:t>
      </w:r>
      <w:r w:rsidRPr="00A303CA">
        <w:rPr>
          <w:i/>
          <w:sz w:val="18"/>
          <w:szCs w:val="18"/>
        </w:rPr>
        <w:t>eviešanas gadā norādīta 11 mēnešu ietekme</w:t>
      </w:r>
    </w:p>
    <w:p w14:paraId="14D0EE2E" w14:textId="77777777" w:rsidR="00860B45" w:rsidRDefault="00860B45" w:rsidP="00860B45">
      <w:pPr>
        <w:rPr>
          <w:rFonts w:cs="Times New Roman"/>
          <w:sz w:val="18"/>
          <w:szCs w:val="18"/>
        </w:rPr>
      </w:pPr>
    </w:p>
    <w:p w14:paraId="2E4E27F7" w14:textId="77777777" w:rsidR="009B1708" w:rsidRPr="00DB4312" w:rsidRDefault="009B1708" w:rsidP="00860B45">
      <w:pPr>
        <w:rPr>
          <w:rFonts w:cs="Times New Roman"/>
          <w:sz w:val="18"/>
          <w:szCs w:val="18"/>
        </w:rPr>
      </w:pPr>
    </w:p>
    <w:p w14:paraId="075FECA0" w14:textId="77777777" w:rsidR="00860B45" w:rsidRPr="00E33A59" w:rsidRDefault="00860B45" w:rsidP="00B01120">
      <w:pPr>
        <w:pStyle w:val="ListParagraph"/>
        <w:numPr>
          <w:ilvl w:val="2"/>
          <w:numId w:val="37"/>
        </w:numPr>
        <w:ind w:right="-99"/>
        <w:rPr>
          <w:b/>
          <w:i/>
          <w:sz w:val="26"/>
          <w:szCs w:val="26"/>
        </w:rPr>
      </w:pPr>
      <w:r w:rsidRPr="00E33A59">
        <w:rPr>
          <w:b/>
          <w:i/>
          <w:sz w:val="26"/>
          <w:szCs w:val="26"/>
        </w:rPr>
        <w:t>Akcīzes nodoklis jaunieviestiem produktiem (produkti kas satur vai nesatur nikotīnu un kuri nav iepriekš definēti,</w:t>
      </w:r>
      <w:r w:rsidR="009E5CE9">
        <w:rPr>
          <w:b/>
          <w:i/>
          <w:sz w:val="26"/>
          <w:szCs w:val="26"/>
        </w:rPr>
        <w:t xml:space="preserve"> kā zināmi tabakas izstrādājumi</w:t>
      </w:r>
      <w:r w:rsidRPr="00E33A59">
        <w:rPr>
          <w:b/>
          <w:i/>
          <w:sz w:val="26"/>
          <w:szCs w:val="26"/>
        </w:rPr>
        <w:t>)</w:t>
      </w:r>
    </w:p>
    <w:p w14:paraId="06056AF4" w14:textId="77777777" w:rsidR="00860B45" w:rsidRDefault="00860B45" w:rsidP="00860B45">
      <w:pPr>
        <w:pStyle w:val="ListParagraph"/>
        <w:ind w:left="284" w:right="-99"/>
        <w:rPr>
          <w:i/>
          <w:sz w:val="26"/>
          <w:szCs w:val="26"/>
          <w:u w:val="single"/>
        </w:rPr>
      </w:pPr>
    </w:p>
    <w:p w14:paraId="18E4C84B" w14:textId="77777777" w:rsidR="00860B45" w:rsidRPr="00E33A59" w:rsidRDefault="00860B45" w:rsidP="00860B45">
      <w:pPr>
        <w:pStyle w:val="ListParagraph"/>
        <w:ind w:left="0" w:right="-99" w:firstLine="709"/>
        <w:rPr>
          <w:i/>
          <w:sz w:val="26"/>
          <w:szCs w:val="26"/>
          <w:u w:val="single"/>
        </w:rPr>
      </w:pPr>
      <w:r w:rsidRPr="00E33A59">
        <w:rPr>
          <w:b/>
          <w:i/>
          <w:sz w:val="26"/>
          <w:szCs w:val="26"/>
        </w:rPr>
        <w:t>Priekšlikums</w:t>
      </w:r>
      <w:r w:rsidRPr="00E33A59">
        <w:rPr>
          <w:i/>
          <w:sz w:val="26"/>
          <w:szCs w:val="26"/>
        </w:rPr>
        <w:t>:</w:t>
      </w:r>
      <w:r>
        <w:rPr>
          <w:i/>
          <w:sz w:val="26"/>
          <w:szCs w:val="26"/>
        </w:rPr>
        <w:t xml:space="preserve"> </w:t>
      </w:r>
      <w:r w:rsidRPr="00E33A59">
        <w:rPr>
          <w:sz w:val="26"/>
          <w:szCs w:val="26"/>
        </w:rPr>
        <w:t>paredzēt pakāpenisku AN likmes piemērošanu arī jaunieviestiem produktiem līdzīgi kā Igaunijā, piemēram, 2021</w:t>
      </w:r>
      <w:r>
        <w:rPr>
          <w:sz w:val="26"/>
          <w:szCs w:val="26"/>
        </w:rPr>
        <w:t>.gadā</w:t>
      </w:r>
      <w:r w:rsidRPr="00E33A59">
        <w:rPr>
          <w:sz w:val="26"/>
          <w:szCs w:val="26"/>
        </w:rPr>
        <w:t xml:space="preserve"> noteikt AN </w:t>
      </w:r>
      <w:r w:rsidRPr="00E33A59">
        <w:rPr>
          <w:sz w:val="26"/>
          <w:szCs w:val="26"/>
        </w:rPr>
        <w:lastRenderedPageBreak/>
        <w:t xml:space="preserve">likmi 100 </w:t>
      </w:r>
      <w:r w:rsidRPr="00E33A59">
        <w:rPr>
          <w:i/>
          <w:sz w:val="26"/>
          <w:szCs w:val="26"/>
        </w:rPr>
        <w:t>euro</w:t>
      </w:r>
      <w:r w:rsidRPr="00E33A59">
        <w:rPr>
          <w:sz w:val="26"/>
          <w:szCs w:val="26"/>
        </w:rPr>
        <w:t xml:space="preserve"> par 1000 gramiem produkta un 2023.</w:t>
      </w:r>
      <w:r>
        <w:rPr>
          <w:sz w:val="26"/>
          <w:szCs w:val="26"/>
        </w:rPr>
        <w:t>gadā</w:t>
      </w:r>
      <w:r w:rsidRPr="00E33A59">
        <w:rPr>
          <w:sz w:val="26"/>
          <w:szCs w:val="26"/>
        </w:rPr>
        <w:t xml:space="preserve"> paaugstināt par 20% (papildus ir jānosaka definīcija jaunieviestiem produktiem).</w:t>
      </w:r>
    </w:p>
    <w:p w14:paraId="1BE49AD3" w14:textId="77777777" w:rsidR="00860B45" w:rsidRDefault="00860B45" w:rsidP="00860B45">
      <w:pPr>
        <w:pStyle w:val="ListParagraph"/>
        <w:ind w:left="0" w:right="-99"/>
        <w:rPr>
          <w:sz w:val="26"/>
          <w:szCs w:val="26"/>
        </w:rPr>
      </w:pPr>
    </w:p>
    <w:p w14:paraId="2C143F42" w14:textId="77777777" w:rsidR="00860B45" w:rsidRPr="00637949" w:rsidRDefault="006C5A20" w:rsidP="00860B45">
      <w:pPr>
        <w:spacing w:after="120"/>
        <w:ind w:right="-96"/>
        <w:jc w:val="center"/>
        <w:rPr>
          <w:sz w:val="26"/>
          <w:szCs w:val="26"/>
        </w:rPr>
      </w:pPr>
      <w:r>
        <w:rPr>
          <w:szCs w:val="24"/>
        </w:rPr>
        <w:t>20</w:t>
      </w:r>
      <w:r w:rsidR="00860B45" w:rsidRPr="00637949">
        <w:rPr>
          <w:szCs w:val="24"/>
        </w:rPr>
        <w:t>.tab.</w:t>
      </w:r>
      <w:r w:rsidR="00860B45" w:rsidRPr="00637949">
        <w:rPr>
          <w:b/>
          <w:szCs w:val="24"/>
        </w:rPr>
        <w:t xml:space="preserve"> AN </w:t>
      </w:r>
      <w:r w:rsidR="00860B45" w:rsidRPr="00D04C61">
        <w:rPr>
          <w:b/>
          <w:szCs w:val="24"/>
        </w:rPr>
        <w:t xml:space="preserve">likmes </w:t>
      </w:r>
      <w:r w:rsidR="00860B45" w:rsidRPr="00260548">
        <w:rPr>
          <w:b/>
          <w:szCs w:val="24"/>
        </w:rPr>
        <w:t>jaunieviestiem produktiem</w:t>
      </w:r>
      <w:r w:rsidR="00860B45" w:rsidRPr="00E33A59">
        <w:rPr>
          <w:b/>
          <w:i/>
          <w:sz w:val="26"/>
          <w:szCs w:val="26"/>
        </w:rPr>
        <w:t xml:space="preserve"> </w:t>
      </w:r>
      <w:r w:rsidR="00860B45" w:rsidRPr="00637949">
        <w:rPr>
          <w:b/>
          <w:szCs w:val="24"/>
        </w:rPr>
        <w:t>paaugstin</w:t>
      </w:r>
      <w:r w:rsidR="00E60325">
        <w:rPr>
          <w:b/>
          <w:szCs w:val="24"/>
        </w:rPr>
        <w:t>āšana</w:t>
      </w:r>
    </w:p>
    <w:tbl>
      <w:tblPr>
        <w:tblW w:w="8554" w:type="dxa"/>
        <w:tblLook w:val="04A0" w:firstRow="1" w:lastRow="0" w:firstColumn="1" w:lastColumn="0" w:noHBand="0" w:noVBand="1"/>
      </w:tblPr>
      <w:tblGrid>
        <w:gridCol w:w="3256"/>
        <w:gridCol w:w="1134"/>
        <w:gridCol w:w="1041"/>
        <w:gridCol w:w="1041"/>
        <w:gridCol w:w="1041"/>
        <w:gridCol w:w="1041"/>
      </w:tblGrid>
      <w:tr w:rsidR="00860B45" w:rsidRPr="00E33A59" w14:paraId="6208B56D" w14:textId="77777777" w:rsidTr="000F652A">
        <w:trPr>
          <w:trHeight w:val="315"/>
        </w:trPr>
        <w:tc>
          <w:tcPr>
            <w:tcW w:w="3256"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2060"/>
            <w:noWrap/>
            <w:vAlign w:val="bottom"/>
            <w:hideMark/>
          </w:tcPr>
          <w:p w14:paraId="1FCBA012" w14:textId="77777777" w:rsidR="00860B45" w:rsidRPr="00E33A59" w:rsidRDefault="00860B45" w:rsidP="000F652A">
            <w:pPr>
              <w:jc w:val="center"/>
              <w:rPr>
                <w:rFonts w:eastAsia="Times New Roman" w:cs="Times New Roman"/>
                <w:color w:val="FFFFFF" w:themeColor="background1"/>
                <w:sz w:val="22"/>
                <w:lang w:eastAsia="lv-LV"/>
              </w:rPr>
            </w:pPr>
            <w:r w:rsidRPr="00E33A59">
              <w:rPr>
                <w:rFonts w:eastAsia="Times New Roman" w:cs="Times New Roman"/>
                <w:color w:val="FFFFFF" w:themeColor="background1"/>
                <w:sz w:val="22"/>
                <w:lang w:eastAsia="lv-LV"/>
              </w:rPr>
              <w:t> </w:t>
            </w: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14:paraId="61C884E4" w14:textId="77777777" w:rsidR="00860B45" w:rsidRPr="00E33A59" w:rsidRDefault="00860B45" w:rsidP="000F652A">
            <w:pPr>
              <w:jc w:val="center"/>
              <w:rPr>
                <w:rFonts w:eastAsia="Times New Roman" w:cs="Times New Roman"/>
                <w:b/>
                <w:bCs/>
                <w:color w:val="FFFFFF" w:themeColor="background1"/>
                <w:sz w:val="22"/>
                <w:lang w:eastAsia="lv-LV"/>
              </w:rPr>
            </w:pPr>
            <w:r w:rsidRPr="00E33A59">
              <w:rPr>
                <w:rFonts w:eastAsia="Times New Roman" w:cs="Times New Roman"/>
                <w:b/>
                <w:bCs/>
                <w:color w:val="FFFFFF" w:themeColor="background1"/>
                <w:sz w:val="22"/>
                <w:lang w:eastAsia="lv-LV"/>
              </w:rPr>
              <w:t>Šobrīd</w:t>
            </w:r>
          </w:p>
        </w:tc>
        <w:tc>
          <w:tcPr>
            <w:tcW w:w="208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14:paraId="649EFB10" w14:textId="77777777" w:rsidR="00860B45" w:rsidRPr="00E33A59" w:rsidRDefault="00860B45" w:rsidP="000F652A">
            <w:pPr>
              <w:jc w:val="center"/>
              <w:rPr>
                <w:rFonts w:eastAsia="Times New Roman" w:cs="Times New Roman"/>
                <w:b/>
                <w:bCs/>
                <w:color w:val="FFFFFF" w:themeColor="background1"/>
                <w:sz w:val="22"/>
                <w:lang w:eastAsia="lv-LV"/>
              </w:rPr>
            </w:pPr>
            <w:r w:rsidRPr="00E33A59">
              <w:rPr>
                <w:rFonts w:eastAsia="Times New Roman" w:cs="Times New Roman"/>
                <w:b/>
                <w:bCs/>
                <w:color w:val="FFFFFF" w:themeColor="background1"/>
                <w:sz w:val="22"/>
                <w:lang w:eastAsia="lv-LV"/>
              </w:rPr>
              <w:t>Priekšlikums</w:t>
            </w:r>
          </w:p>
        </w:tc>
        <w:tc>
          <w:tcPr>
            <w:tcW w:w="1041"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14:paraId="421285A8" w14:textId="77777777" w:rsidR="00860B45" w:rsidRPr="00E33A59" w:rsidRDefault="00860B45" w:rsidP="000F652A">
            <w:pPr>
              <w:jc w:val="center"/>
              <w:rPr>
                <w:rFonts w:eastAsia="Times New Roman" w:cs="Times New Roman"/>
                <w:b/>
                <w:bCs/>
                <w:color w:val="FFFFFF" w:themeColor="background1"/>
                <w:sz w:val="22"/>
                <w:lang w:eastAsia="lv-LV"/>
              </w:rPr>
            </w:pPr>
            <w:r w:rsidRPr="00E33A59">
              <w:rPr>
                <w:rFonts w:eastAsia="Times New Roman" w:cs="Times New Roman"/>
                <w:b/>
                <w:bCs/>
                <w:color w:val="FFFFFF" w:themeColor="background1"/>
                <w:sz w:val="22"/>
                <w:lang w:eastAsia="lv-LV"/>
              </w:rPr>
              <w:t>Igaunija</w:t>
            </w:r>
          </w:p>
        </w:tc>
        <w:tc>
          <w:tcPr>
            <w:tcW w:w="104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2060"/>
            <w:noWrap/>
            <w:vAlign w:val="bottom"/>
            <w:hideMark/>
          </w:tcPr>
          <w:p w14:paraId="5B9E46A3" w14:textId="77777777" w:rsidR="00860B45" w:rsidRPr="00E33A59" w:rsidRDefault="00860B45" w:rsidP="000F652A">
            <w:pPr>
              <w:jc w:val="center"/>
              <w:rPr>
                <w:rFonts w:eastAsia="Times New Roman" w:cs="Times New Roman"/>
                <w:b/>
                <w:bCs/>
                <w:color w:val="FFFFFF" w:themeColor="background1"/>
                <w:sz w:val="22"/>
                <w:lang w:eastAsia="lv-LV"/>
              </w:rPr>
            </w:pPr>
            <w:r w:rsidRPr="00637949">
              <w:rPr>
                <w:rFonts w:eastAsia="Times New Roman" w:cs="Times New Roman"/>
                <w:b/>
                <w:bCs/>
                <w:color w:val="FFFFFF" w:themeColor="background1"/>
                <w:sz w:val="22"/>
                <w:lang w:eastAsia="lv-LV"/>
              </w:rPr>
              <w:t>L</w:t>
            </w:r>
            <w:r w:rsidRPr="00E33A59">
              <w:rPr>
                <w:rFonts w:eastAsia="Times New Roman" w:cs="Times New Roman"/>
                <w:b/>
                <w:bCs/>
                <w:color w:val="FFFFFF" w:themeColor="background1"/>
                <w:sz w:val="22"/>
                <w:lang w:eastAsia="lv-LV"/>
              </w:rPr>
              <w:t>ietuva</w:t>
            </w:r>
          </w:p>
        </w:tc>
      </w:tr>
      <w:tr w:rsidR="00860B45" w:rsidRPr="00E33A59" w14:paraId="4710B4A2" w14:textId="77777777" w:rsidTr="000F652A">
        <w:trPr>
          <w:trHeight w:val="315"/>
        </w:trPr>
        <w:tc>
          <w:tcPr>
            <w:tcW w:w="3256" w:type="dxa"/>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2060"/>
            <w:vAlign w:val="center"/>
            <w:hideMark/>
          </w:tcPr>
          <w:p w14:paraId="03250B1D" w14:textId="77777777" w:rsidR="00860B45" w:rsidRPr="00E33A59" w:rsidRDefault="00860B45" w:rsidP="000F652A">
            <w:pPr>
              <w:rPr>
                <w:rFonts w:eastAsia="Times New Roman" w:cs="Times New Roman"/>
                <w:color w:val="FFFFFF" w:themeColor="background1"/>
                <w:sz w:val="22"/>
                <w:lang w:eastAsia="lv-LV"/>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bottom"/>
            <w:hideMark/>
          </w:tcPr>
          <w:p w14:paraId="3F281C52" w14:textId="77777777" w:rsidR="00860B45" w:rsidRPr="00E33A59" w:rsidRDefault="00860B45" w:rsidP="000F652A">
            <w:pPr>
              <w:rPr>
                <w:rFonts w:eastAsia="Times New Roman" w:cs="Times New Roman"/>
                <w:b/>
                <w:bCs/>
                <w:color w:val="FFFFFF" w:themeColor="background1"/>
                <w:sz w:val="22"/>
                <w:lang w:eastAsia="lv-LV"/>
              </w:rPr>
            </w:pPr>
            <w:r w:rsidRPr="00E33A59">
              <w:rPr>
                <w:rFonts w:eastAsia="Times New Roman" w:cs="Times New Roman"/>
                <w:b/>
                <w:bCs/>
                <w:color w:val="FFFFFF" w:themeColor="background1"/>
                <w:sz w:val="22"/>
                <w:lang w:eastAsia="lv-LV"/>
              </w:rPr>
              <w:t>01.01.20.</w:t>
            </w:r>
          </w:p>
        </w:tc>
        <w:tc>
          <w:tcPr>
            <w:tcW w:w="104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bottom"/>
            <w:hideMark/>
          </w:tcPr>
          <w:p w14:paraId="00D345E5" w14:textId="77777777" w:rsidR="00860B45" w:rsidRPr="00E33A59" w:rsidRDefault="00860B45" w:rsidP="000F652A">
            <w:pPr>
              <w:rPr>
                <w:rFonts w:eastAsia="Times New Roman" w:cs="Times New Roman"/>
                <w:b/>
                <w:bCs/>
                <w:color w:val="FFFFFF" w:themeColor="background1"/>
                <w:sz w:val="22"/>
                <w:lang w:eastAsia="lv-LV"/>
              </w:rPr>
            </w:pPr>
            <w:r w:rsidRPr="00E33A59">
              <w:rPr>
                <w:rFonts w:eastAsia="Times New Roman" w:cs="Times New Roman"/>
                <w:b/>
                <w:bCs/>
                <w:color w:val="FFFFFF" w:themeColor="background1"/>
                <w:sz w:val="22"/>
                <w:lang w:eastAsia="lv-LV"/>
              </w:rPr>
              <w:t>01.01.21.</w:t>
            </w:r>
          </w:p>
        </w:tc>
        <w:tc>
          <w:tcPr>
            <w:tcW w:w="104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bottom"/>
            <w:hideMark/>
          </w:tcPr>
          <w:p w14:paraId="442D0CFA" w14:textId="77777777" w:rsidR="00860B45" w:rsidRPr="00E33A59" w:rsidRDefault="00860B45" w:rsidP="000F652A">
            <w:pPr>
              <w:rPr>
                <w:rFonts w:eastAsia="Times New Roman" w:cs="Times New Roman"/>
                <w:b/>
                <w:bCs/>
                <w:color w:val="FFFFFF" w:themeColor="background1"/>
                <w:sz w:val="22"/>
                <w:lang w:eastAsia="lv-LV"/>
              </w:rPr>
            </w:pPr>
            <w:r w:rsidRPr="00E33A59">
              <w:rPr>
                <w:rFonts w:eastAsia="Times New Roman" w:cs="Times New Roman"/>
                <w:b/>
                <w:bCs/>
                <w:color w:val="FFFFFF" w:themeColor="background1"/>
                <w:sz w:val="22"/>
                <w:lang w:eastAsia="lv-LV"/>
              </w:rPr>
              <w:t>01.01.23.</w:t>
            </w:r>
          </w:p>
        </w:tc>
        <w:tc>
          <w:tcPr>
            <w:tcW w:w="104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bottom"/>
            <w:hideMark/>
          </w:tcPr>
          <w:p w14:paraId="0F57A1CD" w14:textId="77777777" w:rsidR="00860B45" w:rsidRPr="00E33A59" w:rsidRDefault="00860B45" w:rsidP="000F652A">
            <w:pPr>
              <w:rPr>
                <w:rFonts w:eastAsia="Times New Roman" w:cs="Times New Roman"/>
                <w:b/>
                <w:bCs/>
                <w:color w:val="FFFFFF" w:themeColor="background1"/>
                <w:sz w:val="22"/>
                <w:lang w:eastAsia="lv-LV"/>
              </w:rPr>
            </w:pPr>
            <w:r w:rsidRPr="00E33A59">
              <w:rPr>
                <w:rFonts w:eastAsia="Times New Roman" w:cs="Times New Roman"/>
                <w:b/>
                <w:bCs/>
                <w:color w:val="FFFFFF" w:themeColor="background1"/>
                <w:sz w:val="22"/>
                <w:lang w:eastAsia="lv-LV"/>
              </w:rPr>
              <w:t>01.01.20.</w:t>
            </w:r>
          </w:p>
        </w:tc>
        <w:tc>
          <w:tcPr>
            <w:tcW w:w="104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2060"/>
            <w:noWrap/>
            <w:vAlign w:val="bottom"/>
            <w:hideMark/>
          </w:tcPr>
          <w:p w14:paraId="2FE6DF49" w14:textId="77777777" w:rsidR="00860B45" w:rsidRPr="00E33A59" w:rsidRDefault="00860B45" w:rsidP="000F652A">
            <w:pPr>
              <w:rPr>
                <w:rFonts w:eastAsia="Times New Roman" w:cs="Times New Roman"/>
                <w:b/>
                <w:bCs/>
                <w:color w:val="FFFFFF" w:themeColor="background1"/>
                <w:sz w:val="22"/>
                <w:lang w:eastAsia="lv-LV"/>
              </w:rPr>
            </w:pPr>
            <w:r w:rsidRPr="00E33A59">
              <w:rPr>
                <w:rFonts w:eastAsia="Times New Roman" w:cs="Times New Roman"/>
                <w:b/>
                <w:bCs/>
                <w:color w:val="FFFFFF" w:themeColor="background1"/>
                <w:sz w:val="22"/>
                <w:lang w:eastAsia="lv-LV"/>
              </w:rPr>
              <w:t>01.01.20.</w:t>
            </w:r>
          </w:p>
        </w:tc>
      </w:tr>
      <w:tr w:rsidR="00860B45" w:rsidRPr="00E33A59" w14:paraId="057B8155" w14:textId="77777777" w:rsidTr="000F652A">
        <w:trPr>
          <w:trHeight w:val="315"/>
        </w:trPr>
        <w:tc>
          <w:tcPr>
            <w:tcW w:w="32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EE7EC5" w14:textId="77777777" w:rsidR="00860B45" w:rsidRPr="00E33A59" w:rsidRDefault="00860B45" w:rsidP="000F652A">
            <w:pPr>
              <w:rPr>
                <w:rFonts w:eastAsia="Times New Roman" w:cs="Times New Roman"/>
                <w:b/>
                <w:bCs/>
                <w:color w:val="FF0000"/>
                <w:sz w:val="22"/>
                <w:lang w:eastAsia="lv-LV"/>
              </w:rPr>
            </w:pPr>
            <w:r w:rsidRPr="00E33A59">
              <w:rPr>
                <w:rFonts w:eastAsia="Times New Roman" w:cs="Times New Roman"/>
                <w:b/>
                <w:bCs/>
                <w:sz w:val="22"/>
                <w:lang w:eastAsia="lv-LV"/>
              </w:rPr>
              <w:t xml:space="preserve">Jaunieviestie produkti, </w:t>
            </w:r>
            <w:r w:rsidRPr="00E33A59">
              <w:rPr>
                <w:rFonts w:eastAsia="Times New Roman" w:cs="Times New Roman"/>
                <w:bCs/>
                <w:i/>
                <w:sz w:val="22"/>
                <w:lang w:eastAsia="lv-LV"/>
              </w:rPr>
              <w:t>euro par 1000 g.</w:t>
            </w:r>
            <w:r w:rsidRPr="00E33A59">
              <w:rPr>
                <w:rFonts w:eastAsia="Times New Roman" w:cs="Times New Roman"/>
                <w:b/>
                <w:bCs/>
                <w:sz w:val="22"/>
                <w:lang w:eastAsia="lv-LV"/>
              </w:rPr>
              <w:t xml:space="preserve"> </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66823630" w14:textId="77777777" w:rsidR="00860B45" w:rsidRPr="00E33A59" w:rsidRDefault="00860B45" w:rsidP="000F652A">
            <w:pPr>
              <w:jc w:val="center"/>
              <w:rPr>
                <w:rFonts w:eastAsia="Times New Roman" w:cs="Times New Roman"/>
                <w:b/>
                <w:color w:val="000000"/>
                <w:sz w:val="22"/>
                <w:lang w:eastAsia="lv-LV"/>
              </w:rPr>
            </w:pPr>
            <w:r w:rsidRPr="00E33A59">
              <w:rPr>
                <w:rFonts w:eastAsia="Times New Roman" w:cs="Times New Roman"/>
                <w:b/>
                <w:color w:val="000000"/>
                <w:sz w:val="22"/>
                <w:lang w:eastAsia="lv-LV"/>
              </w:rPr>
              <w:t>-</w:t>
            </w:r>
          </w:p>
        </w:tc>
        <w:tc>
          <w:tcPr>
            <w:tcW w:w="1041" w:type="dxa"/>
            <w:tcBorders>
              <w:top w:val="nil"/>
              <w:left w:val="nil"/>
              <w:bottom w:val="single" w:sz="4" w:space="0" w:color="auto"/>
              <w:right w:val="single" w:sz="4" w:space="0" w:color="auto"/>
            </w:tcBorders>
            <w:shd w:val="clear" w:color="auto" w:fill="auto"/>
            <w:noWrap/>
            <w:vAlign w:val="center"/>
            <w:hideMark/>
          </w:tcPr>
          <w:p w14:paraId="2C65BB7C" w14:textId="77777777" w:rsidR="00860B45" w:rsidRPr="00E33A59" w:rsidRDefault="00860B45" w:rsidP="000F652A">
            <w:pPr>
              <w:jc w:val="center"/>
              <w:rPr>
                <w:rFonts w:eastAsia="Times New Roman" w:cs="Times New Roman"/>
                <w:b/>
                <w:color w:val="FF0000"/>
                <w:sz w:val="22"/>
                <w:lang w:eastAsia="lv-LV"/>
              </w:rPr>
            </w:pPr>
            <w:r w:rsidRPr="00E33A59">
              <w:rPr>
                <w:rFonts w:eastAsia="Times New Roman" w:cs="Times New Roman"/>
                <w:b/>
                <w:color w:val="FF0000"/>
                <w:sz w:val="22"/>
                <w:lang w:eastAsia="lv-LV"/>
              </w:rPr>
              <w:t>100</w:t>
            </w:r>
          </w:p>
        </w:tc>
        <w:tc>
          <w:tcPr>
            <w:tcW w:w="1041" w:type="dxa"/>
            <w:tcBorders>
              <w:top w:val="nil"/>
              <w:left w:val="nil"/>
              <w:bottom w:val="single" w:sz="4" w:space="0" w:color="auto"/>
              <w:right w:val="single" w:sz="4" w:space="0" w:color="auto"/>
            </w:tcBorders>
            <w:shd w:val="clear" w:color="auto" w:fill="auto"/>
            <w:noWrap/>
            <w:vAlign w:val="center"/>
            <w:hideMark/>
          </w:tcPr>
          <w:p w14:paraId="55D65B0A" w14:textId="77777777" w:rsidR="00860B45" w:rsidRPr="00E33A59" w:rsidRDefault="00860B45" w:rsidP="000F652A">
            <w:pPr>
              <w:jc w:val="center"/>
              <w:rPr>
                <w:rFonts w:eastAsia="Times New Roman" w:cs="Times New Roman"/>
                <w:b/>
                <w:color w:val="FF0000"/>
                <w:sz w:val="22"/>
                <w:lang w:eastAsia="lv-LV"/>
              </w:rPr>
            </w:pPr>
            <w:r w:rsidRPr="00E33A59">
              <w:rPr>
                <w:rFonts w:eastAsia="Times New Roman" w:cs="Times New Roman"/>
                <w:b/>
                <w:color w:val="FF0000"/>
                <w:sz w:val="22"/>
                <w:lang w:eastAsia="lv-LV"/>
              </w:rPr>
              <w:t>120</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14:paraId="1B6F640E" w14:textId="77777777" w:rsidR="00860B45" w:rsidRPr="00E33A59" w:rsidRDefault="00860B45" w:rsidP="000F652A">
            <w:pPr>
              <w:jc w:val="center"/>
              <w:rPr>
                <w:rFonts w:eastAsia="Times New Roman" w:cs="Times New Roman"/>
                <w:b/>
                <w:bCs/>
                <w:color w:val="0070C0"/>
                <w:sz w:val="22"/>
                <w:lang w:eastAsia="lv-LV"/>
              </w:rPr>
            </w:pPr>
            <w:r w:rsidRPr="00E33A59">
              <w:rPr>
                <w:rFonts w:eastAsia="Times New Roman" w:cs="Times New Roman"/>
                <w:b/>
                <w:bCs/>
                <w:color w:val="0070C0"/>
                <w:sz w:val="22"/>
                <w:lang w:eastAsia="lv-LV"/>
              </w:rPr>
              <w:t>200</w:t>
            </w:r>
          </w:p>
        </w:tc>
        <w:tc>
          <w:tcPr>
            <w:tcW w:w="1041" w:type="dxa"/>
            <w:tcBorders>
              <w:top w:val="nil"/>
              <w:left w:val="nil"/>
              <w:bottom w:val="single" w:sz="4" w:space="0" w:color="auto"/>
              <w:right w:val="single" w:sz="4" w:space="0" w:color="auto"/>
            </w:tcBorders>
            <w:shd w:val="clear" w:color="auto" w:fill="D9D9D9" w:themeFill="background1" w:themeFillShade="D9"/>
            <w:noWrap/>
            <w:vAlign w:val="center"/>
            <w:hideMark/>
          </w:tcPr>
          <w:p w14:paraId="1B5E2343" w14:textId="77777777" w:rsidR="00860B45" w:rsidRPr="00E33A59" w:rsidRDefault="00860B45" w:rsidP="000F652A">
            <w:pPr>
              <w:jc w:val="center"/>
              <w:rPr>
                <w:rFonts w:eastAsia="Times New Roman" w:cs="Times New Roman"/>
                <w:b/>
                <w:color w:val="548235"/>
                <w:sz w:val="22"/>
                <w:lang w:eastAsia="lv-LV"/>
              </w:rPr>
            </w:pPr>
            <w:r w:rsidRPr="00E33A59">
              <w:rPr>
                <w:rFonts w:eastAsia="Times New Roman" w:cs="Times New Roman"/>
                <w:b/>
                <w:color w:val="548235"/>
                <w:sz w:val="22"/>
                <w:lang w:eastAsia="lv-LV"/>
              </w:rPr>
              <w:t>-</w:t>
            </w:r>
          </w:p>
        </w:tc>
      </w:tr>
      <w:tr w:rsidR="00860B45" w:rsidRPr="00E33A59" w14:paraId="42235FE9" w14:textId="77777777" w:rsidTr="000F652A">
        <w:trPr>
          <w:trHeight w:val="399"/>
        </w:trPr>
        <w:tc>
          <w:tcPr>
            <w:tcW w:w="3256" w:type="dxa"/>
            <w:tcBorders>
              <w:top w:val="single" w:sz="4" w:space="0" w:color="auto"/>
              <w:left w:val="single" w:sz="4" w:space="0" w:color="auto"/>
              <w:bottom w:val="single" w:sz="4" w:space="0" w:color="auto"/>
              <w:right w:val="single" w:sz="4" w:space="0" w:color="000000"/>
            </w:tcBorders>
            <w:shd w:val="clear" w:color="auto" w:fill="FFE599" w:themeFill="accent4" w:themeFillTint="66"/>
            <w:noWrap/>
            <w:vAlign w:val="center"/>
          </w:tcPr>
          <w:p w14:paraId="6E1D51FF" w14:textId="77777777" w:rsidR="00860B45" w:rsidRPr="00E33A59" w:rsidRDefault="00860B45" w:rsidP="000F652A">
            <w:pPr>
              <w:rPr>
                <w:rFonts w:eastAsia="Times New Roman" w:cs="Times New Roman"/>
                <w:b/>
                <w:bCs/>
                <w:sz w:val="22"/>
                <w:lang w:eastAsia="lv-LV"/>
              </w:rPr>
            </w:pPr>
            <w:r w:rsidRPr="00F519AB">
              <w:rPr>
                <w:b/>
                <w:sz w:val="22"/>
              </w:rPr>
              <w:t xml:space="preserve">Fiskālā ietekme, </w:t>
            </w:r>
            <w:r w:rsidRPr="00F519AB">
              <w:rPr>
                <w:i/>
                <w:sz w:val="22"/>
              </w:rPr>
              <w:t>milj. eur</w:t>
            </w:r>
            <w:r>
              <w:rPr>
                <w:i/>
                <w:sz w:val="22"/>
              </w:rPr>
              <w:t>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5DFA5B6" w14:textId="77777777" w:rsidR="00860B45" w:rsidRPr="00E33A59" w:rsidRDefault="00860B45" w:rsidP="000F652A">
            <w:pPr>
              <w:jc w:val="center"/>
              <w:rPr>
                <w:rFonts w:eastAsia="Times New Roman" w:cs="Times New Roman"/>
                <w:b/>
                <w:color w:val="000000"/>
                <w:sz w:val="22"/>
                <w:lang w:eastAsia="lv-LV"/>
              </w:rPr>
            </w:pPr>
          </w:p>
        </w:tc>
        <w:tc>
          <w:tcPr>
            <w:tcW w:w="1041" w:type="dxa"/>
            <w:tcBorders>
              <w:top w:val="single" w:sz="4" w:space="0" w:color="auto"/>
              <w:left w:val="nil"/>
              <w:bottom w:val="single" w:sz="4" w:space="0" w:color="auto"/>
              <w:right w:val="single" w:sz="4" w:space="0" w:color="auto"/>
            </w:tcBorders>
            <w:shd w:val="clear" w:color="auto" w:fill="FFE599" w:themeFill="accent4" w:themeFillTint="66"/>
            <w:noWrap/>
            <w:vAlign w:val="center"/>
          </w:tcPr>
          <w:p w14:paraId="1FE51D8C" w14:textId="77777777" w:rsidR="00860B45" w:rsidRPr="007D73A0" w:rsidRDefault="007D73A0" w:rsidP="000F652A">
            <w:pPr>
              <w:jc w:val="center"/>
              <w:rPr>
                <w:rFonts w:eastAsia="Times New Roman" w:cs="Times New Roman"/>
                <w:b/>
                <w:sz w:val="22"/>
                <w:lang w:eastAsia="lv-LV"/>
              </w:rPr>
            </w:pPr>
            <w:r w:rsidRPr="007D73A0">
              <w:rPr>
                <w:rFonts w:eastAsia="Times New Roman" w:cs="Times New Roman"/>
                <w:b/>
                <w:sz w:val="22"/>
                <w:lang w:eastAsia="lv-LV"/>
              </w:rPr>
              <w:t>x</w:t>
            </w:r>
          </w:p>
        </w:tc>
        <w:tc>
          <w:tcPr>
            <w:tcW w:w="1041" w:type="dxa"/>
            <w:tcBorders>
              <w:top w:val="single" w:sz="4" w:space="0" w:color="auto"/>
              <w:left w:val="nil"/>
              <w:bottom w:val="single" w:sz="4" w:space="0" w:color="auto"/>
              <w:right w:val="single" w:sz="4" w:space="0" w:color="auto"/>
            </w:tcBorders>
            <w:shd w:val="clear" w:color="auto" w:fill="FFE599" w:themeFill="accent4" w:themeFillTint="66"/>
            <w:noWrap/>
            <w:vAlign w:val="center"/>
          </w:tcPr>
          <w:p w14:paraId="33AB4306" w14:textId="77777777" w:rsidR="00860B45" w:rsidRPr="007D73A0" w:rsidRDefault="007D73A0" w:rsidP="000F652A">
            <w:pPr>
              <w:jc w:val="center"/>
              <w:rPr>
                <w:rFonts w:eastAsia="Times New Roman" w:cs="Times New Roman"/>
                <w:b/>
                <w:sz w:val="22"/>
                <w:lang w:eastAsia="lv-LV"/>
              </w:rPr>
            </w:pPr>
            <w:r w:rsidRPr="007D73A0">
              <w:rPr>
                <w:rFonts w:eastAsia="Times New Roman" w:cs="Times New Roman"/>
                <w:b/>
                <w:sz w:val="22"/>
                <w:lang w:eastAsia="lv-LV"/>
              </w:rPr>
              <w:t>x</w:t>
            </w:r>
          </w:p>
        </w:tc>
        <w:tc>
          <w:tcPr>
            <w:tcW w:w="104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371BBD" w14:textId="77777777" w:rsidR="00860B45" w:rsidRPr="00E33A59" w:rsidRDefault="00860B45" w:rsidP="000F652A">
            <w:pPr>
              <w:jc w:val="center"/>
              <w:rPr>
                <w:rFonts w:eastAsia="Times New Roman" w:cs="Times New Roman"/>
                <w:b/>
                <w:bCs/>
                <w:color w:val="0070C0"/>
                <w:sz w:val="22"/>
                <w:lang w:eastAsia="lv-LV"/>
              </w:rPr>
            </w:pPr>
          </w:p>
        </w:tc>
        <w:tc>
          <w:tcPr>
            <w:tcW w:w="104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300456" w14:textId="77777777" w:rsidR="00860B45" w:rsidRPr="00E33A59" w:rsidRDefault="00860B45" w:rsidP="000F652A">
            <w:pPr>
              <w:jc w:val="center"/>
              <w:rPr>
                <w:rFonts w:eastAsia="Times New Roman" w:cs="Times New Roman"/>
                <w:b/>
                <w:color w:val="548235"/>
                <w:sz w:val="22"/>
                <w:lang w:eastAsia="lv-LV"/>
              </w:rPr>
            </w:pPr>
          </w:p>
        </w:tc>
      </w:tr>
    </w:tbl>
    <w:p w14:paraId="62235378" w14:textId="77777777" w:rsidR="00860B45" w:rsidRDefault="00860B45" w:rsidP="00860B45">
      <w:pPr>
        <w:pStyle w:val="ListParagraph"/>
        <w:ind w:left="0" w:right="-99"/>
        <w:rPr>
          <w:sz w:val="26"/>
          <w:szCs w:val="26"/>
        </w:rPr>
      </w:pPr>
    </w:p>
    <w:p w14:paraId="00461D08" w14:textId="77777777" w:rsidR="00556F04" w:rsidRPr="000F652A" w:rsidRDefault="00860B45" w:rsidP="00D46FA1">
      <w:pPr>
        <w:pStyle w:val="Heading1"/>
      </w:pPr>
      <w:r w:rsidRPr="00E0593E">
        <w:rPr>
          <w:sz w:val="26"/>
        </w:rPr>
        <w:br w:type="page"/>
      </w:r>
      <w:bookmarkStart w:id="23" w:name="_Toc33186635"/>
      <w:r w:rsidR="00FB6397">
        <w:rPr>
          <w:szCs w:val="40"/>
        </w:rPr>
        <w:lastRenderedPageBreak/>
        <w:t>7</w:t>
      </w:r>
      <w:r w:rsidR="00E0593E" w:rsidRPr="00DF6AAE">
        <w:rPr>
          <w:szCs w:val="40"/>
        </w:rPr>
        <w:t>.</w:t>
      </w:r>
      <w:r w:rsidR="00E0593E" w:rsidRPr="000F652A">
        <w:t> Pievienotās vērtības nodoklis</w:t>
      </w:r>
      <w:bookmarkEnd w:id="23"/>
    </w:p>
    <w:p w14:paraId="1CD467BE" w14:textId="77777777" w:rsidR="007E6633" w:rsidRPr="007E6633" w:rsidRDefault="007E6633" w:rsidP="007E6633">
      <w:pPr>
        <w:spacing w:after="120"/>
        <w:ind w:firstLine="720"/>
        <w:jc w:val="both"/>
        <w:rPr>
          <w:rFonts w:cs="Times New Roman"/>
          <w:sz w:val="26"/>
          <w:szCs w:val="26"/>
        </w:rPr>
      </w:pPr>
      <w:r w:rsidRPr="007E6633">
        <w:rPr>
          <w:rFonts w:cs="Times New Roman"/>
          <w:sz w:val="26"/>
          <w:szCs w:val="26"/>
        </w:rPr>
        <w:t>Eiropas Savienības regulējums, kas harmonizē pievienotās vērtības nodokļa (</w:t>
      </w:r>
      <w:r w:rsidR="00207315">
        <w:rPr>
          <w:rFonts w:cs="Times New Roman"/>
          <w:sz w:val="26"/>
          <w:szCs w:val="26"/>
        </w:rPr>
        <w:t xml:space="preserve">turpmāk – </w:t>
      </w:r>
      <w:r w:rsidRPr="007E6633">
        <w:rPr>
          <w:rFonts w:cs="Times New Roman"/>
          <w:sz w:val="26"/>
          <w:szCs w:val="26"/>
        </w:rPr>
        <w:t>PVN) piemērošanu, rad</w:t>
      </w:r>
      <w:r w:rsidR="00207315">
        <w:rPr>
          <w:rFonts w:cs="Times New Roman"/>
          <w:sz w:val="26"/>
          <w:szCs w:val="26"/>
        </w:rPr>
        <w:t>a</w:t>
      </w:r>
      <w:r w:rsidRPr="007E6633">
        <w:rPr>
          <w:rFonts w:cs="Times New Roman"/>
          <w:sz w:val="26"/>
          <w:szCs w:val="26"/>
        </w:rPr>
        <w:t xml:space="preserve"> iespēju noteikt konkrētām preču un pakalpojumu kategorijām samazināto PVN likmi, kas nevar būt mazāka par 5%</w:t>
      </w:r>
      <w:r w:rsidR="00207315">
        <w:rPr>
          <w:rFonts w:cs="Times New Roman"/>
          <w:sz w:val="26"/>
          <w:szCs w:val="26"/>
        </w:rPr>
        <w:t xml:space="preserve">, kā arī nosaka to </w:t>
      </w:r>
      <w:r w:rsidR="00207315" w:rsidRPr="007E6633">
        <w:rPr>
          <w:rFonts w:cs="Times New Roman"/>
          <w:sz w:val="26"/>
          <w:szCs w:val="26"/>
        </w:rPr>
        <w:t>preču un pakalpojumu kategorij</w:t>
      </w:r>
      <w:r w:rsidR="00207315">
        <w:rPr>
          <w:rFonts w:cs="Times New Roman"/>
          <w:sz w:val="26"/>
          <w:szCs w:val="26"/>
        </w:rPr>
        <w:t>u saturu, kam piemēro atbrīvojumu no PVN</w:t>
      </w:r>
      <w:r w:rsidRPr="007E6633">
        <w:rPr>
          <w:rFonts w:cs="Times New Roman"/>
          <w:sz w:val="26"/>
          <w:szCs w:val="26"/>
        </w:rPr>
        <w:t>.</w:t>
      </w:r>
    </w:p>
    <w:p w14:paraId="1B9CA178" w14:textId="77777777" w:rsidR="005E7FDE" w:rsidRPr="00482FCF" w:rsidRDefault="006C5A20" w:rsidP="005E7FDE">
      <w:pPr>
        <w:spacing w:after="120"/>
        <w:jc w:val="center"/>
        <w:rPr>
          <w:b/>
          <w:szCs w:val="24"/>
        </w:rPr>
      </w:pPr>
      <w:r>
        <w:rPr>
          <w:szCs w:val="24"/>
        </w:rPr>
        <w:t>21</w:t>
      </w:r>
      <w:r w:rsidR="005E7FDE" w:rsidRPr="00482FCF">
        <w:rPr>
          <w:szCs w:val="24"/>
        </w:rPr>
        <w:t>.tab.</w:t>
      </w:r>
      <w:r w:rsidR="00AC2449" w:rsidRPr="00482FCF">
        <w:rPr>
          <w:szCs w:val="24"/>
        </w:rPr>
        <w:t xml:space="preserve"> </w:t>
      </w:r>
      <w:r w:rsidR="00AC2449" w:rsidRPr="00482FCF">
        <w:rPr>
          <w:b/>
          <w:szCs w:val="24"/>
        </w:rPr>
        <w:t>F</w:t>
      </w:r>
      <w:r w:rsidR="005E7FDE" w:rsidRPr="00482FCF">
        <w:rPr>
          <w:b/>
          <w:szCs w:val="24"/>
        </w:rPr>
        <w:t>iskālās ietekmes pie dažādām PVN samazināto likmju izmaiņām</w:t>
      </w:r>
      <w:r w:rsidR="009E5CE9">
        <w:rPr>
          <w:b/>
          <w:szCs w:val="24"/>
        </w:rPr>
        <w:t xml:space="preserve"> (dažādu organizāciju ierosinājumi) </w:t>
      </w:r>
    </w:p>
    <w:tbl>
      <w:tblPr>
        <w:tblStyle w:val="TableGrid"/>
        <w:tblW w:w="8642" w:type="dxa"/>
        <w:tblLook w:val="04A0" w:firstRow="1" w:lastRow="0" w:firstColumn="1" w:lastColumn="0" w:noHBand="0" w:noVBand="1"/>
      </w:tblPr>
      <w:tblGrid>
        <w:gridCol w:w="2996"/>
        <w:gridCol w:w="1109"/>
        <w:gridCol w:w="1372"/>
        <w:gridCol w:w="1047"/>
        <w:gridCol w:w="1065"/>
        <w:gridCol w:w="1053"/>
      </w:tblGrid>
      <w:tr w:rsidR="005E7FDE" w:rsidRPr="005E7FDE" w14:paraId="04422BC1" w14:textId="77777777" w:rsidTr="00AC2449">
        <w:tc>
          <w:tcPr>
            <w:tcW w:w="2996" w:type="dxa"/>
            <w:tcBorders>
              <w:bottom w:val="single" w:sz="4" w:space="0" w:color="auto"/>
              <w:right w:val="single" w:sz="4" w:space="0" w:color="FFFFFF" w:themeColor="background1"/>
            </w:tcBorders>
            <w:shd w:val="clear" w:color="auto" w:fill="002060"/>
            <w:vAlign w:val="center"/>
          </w:tcPr>
          <w:p w14:paraId="62EB385B" w14:textId="77777777" w:rsidR="005E7FDE" w:rsidRPr="005E7FDE" w:rsidRDefault="005E7FDE" w:rsidP="005E7FDE">
            <w:pPr>
              <w:ind w:right="-96"/>
              <w:jc w:val="center"/>
              <w:rPr>
                <w:rFonts w:eastAsia="Times New Roman"/>
                <w:b/>
                <w:bCs/>
                <w:color w:val="FFFFFF" w:themeColor="background1"/>
                <w:sz w:val="22"/>
              </w:rPr>
            </w:pPr>
            <w:r w:rsidRPr="005E7FDE">
              <w:rPr>
                <w:rFonts w:eastAsia="Times New Roman" w:cs="Times New Roman"/>
                <w:b/>
                <w:bCs/>
                <w:color w:val="FFFFFF" w:themeColor="background1"/>
                <w:sz w:val="22"/>
              </w:rPr>
              <w:t>Preču/ pakalpojumu kategorijas</w:t>
            </w:r>
          </w:p>
        </w:tc>
        <w:tc>
          <w:tcPr>
            <w:tcW w:w="1109"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74DDEB00" w14:textId="77777777" w:rsidR="005E7FDE" w:rsidRPr="005E7FDE" w:rsidRDefault="005E7FDE" w:rsidP="005E7FDE">
            <w:pPr>
              <w:jc w:val="center"/>
              <w:rPr>
                <w:rFonts w:eastAsia="Times New Roman" w:cs="Times New Roman"/>
                <w:bCs/>
                <w:color w:val="FFFFFF" w:themeColor="background1"/>
                <w:sz w:val="22"/>
              </w:rPr>
            </w:pPr>
            <w:r w:rsidRPr="005E7FDE">
              <w:rPr>
                <w:rFonts w:eastAsia="Times New Roman" w:cs="Times New Roman"/>
                <w:b/>
                <w:bCs/>
                <w:color w:val="FFFFFF" w:themeColor="background1"/>
                <w:sz w:val="22"/>
              </w:rPr>
              <w:t>Esošā likme 2020</w:t>
            </w:r>
          </w:p>
        </w:tc>
        <w:tc>
          <w:tcPr>
            <w:tcW w:w="1372"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08D4714" w14:textId="77777777" w:rsidR="005E7FDE" w:rsidRPr="005E7FDE" w:rsidRDefault="005E7FDE" w:rsidP="005E7FDE">
            <w:pPr>
              <w:ind w:right="-96"/>
              <w:jc w:val="center"/>
              <w:rPr>
                <w:b/>
                <w:color w:val="FFFFFF" w:themeColor="background1"/>
                <w:sz w:val="22"/>
              </w:rPr>
            </w:pPr>
            <w:r w:rsidRPr="005E7FDE">
              <w:rPr>
                <w:b/>
                <w:color w:val="FFFFFF" w:themeColor="background1"/>
                <w:sz w:val="22"/>
              </w:rPr>
              <w:t>Lietuva</w:t>
            </w:r>
          </w:p>
        </w:tc>
        <w:tc>
          <w:tcPr>
            <w:tcW w:w="1047"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46EC8948" w14:textId="77777777" w:rsidR="005E7FDE" w:rsidRPr="005E7FDE" w:rsidRDefault="005E7FDE" w:rsidP="005E7FDE">
            <w:pPr>
              <w:ind w:right="-39"/>
              <w:jc w:val="center"/>
              <w:rPr>
                <w:b/>
                <w:color w:val="FFFFFF" w:themeColor="background1"/>
                <w:sz w:val="22"/>
              </w:rPr>
            </w:pPr>
            <w:r w:rsidRPr="005E7FDE">
              <w:rPr>
                <w:b/>
                <w:color w:val="FFFFFF" w:themeColor="background1"/>
                <w:sz w:val="22"/>
              </w:rPr>
              <w:t>Igaunija</w:t>
            </w:r>
          </w:p>
        </w:tc>
        <w:tc>
          <w:tcPr>
            <w:tcW w:w="106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7B5B5FC7" w14:textId="77777777" w:rsidR="005E7FDE" w:rsidRPr="005E7FDE" w:rsidRDefault="005E7FDE" w:rsidP="00AC2449">
            <w:pPr>
              <w:jc w:val="center"/>
              <w:rPr>
                <w:rFonts w:eastAsia="Times New Roman" w:cs="Times New Roman"/>
                <w:b/>
                <w:bCs/>
                <w:color w:val="FFFFFF" w:themeColor="background1"/>
                <w:sz w:val="22"/>
              </w:rPr>
            </w:pPr>
            <w:r w:rsidRPr="005E7FDE">
              <w:rPr>
                <w:rFonts w:eastAsia="Times New Roman" w:cs="Times New Roman"/>
                <w:b/>
                <w:bCs/>
                <w:color w:val="FFFFFF" w:themeColor="background1"/>
                <w:sz w:val="22"/>
              </w:rPr>
              <w:t>PV</w:t>
            </w:r>
            <w:r w:rsidR="00AC2449">
              <w:rPr>
                <w:rFonts w:eastAsia="Times New Roman" w:cs="Times New Roman"/>
                <w:b/>
                <w:bCs/>
                <w:color w:val="FFFFFF" w:themeColor="background1"/>
                <w:sz w:val="22"/>
              </w:rPr>
              <w:t>N</w:t>
            </w:r>
            <w:r w:rsidRPr="005E7FDE">
              <w:rPr>
                <w:rFonts w:eastAsia="Times New Roman" w:cs="Times New Roman"/>
                <w:b/>
                <w:bCs/>
                <w:color w:val="FFFFFF" w:themeColor="background1"/>
                <w:sz w:val="22"/>
              </w:rPr>
              <w:t xml:space="preserve"> likmes izmaiņas</w:t>
            </w:r>
          </w:p>
        </w:tc>
        <w:tc>
          <w:tcPr>
            <w:tcW w:w="1053" w:type="dxa"/>
            <w:tcBorders>
              <w:left w:val="single" w:sz="4" w:space="0" w:color="FFFFFF" w:themeColor="background1"/>
              <w:bottom w:val="single" w:sz="4" w:space="0" w:color="auto"/>
            </w:tcBorders>
            <w:shd w:val="clear" w:color="auto" w:fill="002060"/>
            <w:vAlign w:val="center"/>
          </w:tcPr>
          <w:p w14:paraId="7B764BAD" w14:textId="77777777" w:rsidR="005E7FDE" w:rsidRPr="005E7FDE" w:rsidRDefault="005E7FDE" w:rsidP="005E7FDE">
            <w:pPr>
              <w:ind w:left="-114" w:firstLine="114"/>
              <w:jc w:val="center"/>
              <w:rPr>
                <w:rFonts w:cs="Times New Roman"/>
                <w:bCs/>
                <w:color w:val="FFFFFF" w:themeColor="background1"/>
                <w:sz w:val="22"/>
              </w:rPr>
            </w:pPr>
            <w:r w:rsidRPr="005E7FDE">
              <w:rPr>
                <w:rFonts w:eastAsia="Times New Roman"/>
                <w:b/>
                <w:bCs/>
                <w:color w:val="FFFFFF" w:themeColor="background1"/>
                <w:sz w:val="22"/>
              </w:rPr>
              <w:t>Fiskālā ietekme,</w:t>
            </w:r>
            <w:r w:rsidRPr="005E7FDE">
              <w:rPr>
                <w:rFonts w:eastAsia="Times New Roman"/>
                <w:bCs/>
                <w:color w:val="FFFFFF" w:themeColor="background1"/>
                <w:sz w:val="22"/>
              </w:rPr>
              <w:t xml:space="preserve"> </w:t>
            </w:r>
            <w:r w:rsidRPr="005E7FDE">
              <w:rPr>
                <w:rFonts w:eastAsia="Times New Roman"/>
                <w:bCs/>
                <w:i/>
                <w:color w:val="FFFFFF" w:themeColor="background1"/>
                <w:sz w:val="22"/>
              </w:rPr>
              <w:t>milj. euro</w:t>
            </w:r>
          </w:p>
        </w:tc>
      </w:tr>
      <w:tr w:rsidR="00AC2449" w:rsidRPr="005E7FDE" w14:paraId="19D9D8E1" w14:textId="77777777" w:rsidTr="00AC2449">
        <w:tc>
          <w:tcPr>
            <w:tcW w:w="2996" w:type="dxa"/>
            <w:tcBorders>
              <w:bottom w:val="dotted" w:sz="4" w:space="0" w:color="auto"/>
            </w:tcBorders>
          </w:tcPr>
          <w:p w14:paraId="799540FC" w14:textId="77777777" w:rsidR="00AC2449" w:rsidRPr="005E7FDE" w:rsidRDefault="00AC2449" w:rsidP="00AC2449">
            <w:pPr>
              <w:ind w:right="-96"/>
              <w:rPr>
                <w:rFonts w:eastAsia="Times New Roman"/>
                <w:b/>
                <w:bCs/>
                <w:sz w:val="22"/>
              </w:rPr>
            </w:pPr>
            <w:r w:rsidRPr="00766971">
              <w:rPr>
                <w:b/>
                <w:sz w:val="22"/>
              </w:rPr>
              <w:t>Grāmatas</w:t>
            </w:r>
          </w:p>
        </w:tc>
        <w:tc>
          <w:tcPr>
            <w:tcW w:w="1109" w:type="dxa"/>
            <w:tcBorders>
              <w:bottom w:val="dotted" w:sz="4" w:space="0" w:color="auto"/>
            </w:tcBorders>
            <w:shd w:val="clear" w:color="auto" w:fill="F2F2F2" w:themeFill="background1" w:themeFillShade="F2"/>
          </w:tcPr>
          <w:p w14:paraId="6DEAF463" w14:textId="77777777" w:rsidR="00AC2449" w:rsidRPr="00394868" w:rsidRDefault="00AC2449" w:rsidP="00AC2449">
            <w:pPr>
              <w:jc w:val="center"/>
              <w:rPr>
                <w:rFonts w:eastAsia="Times New Roman" w:cs="Times New Roman"/>
                <w:b/>
                <w:bCs/>
                <w:color w:val="FF0000"/>
                <w:sz w:val="22"/>
              </w:rPr>
            </w:pPr>
            <w:r w:rsidRPr="00394868">
              <w:rPr>
                <w:rFonts w:eastAsia="Times New Roman" w:cs="Times New Roman"/>
                <w:b/>
                <w:bCs/>
                <w:color w:val="FF0000"/>
                <w:sz w:val="22"/>
              </w:rPr>
              <w:t>12/21%</w:t>
            </w:r>
          </w:p>
        </w:tc>
        <w:tc>
          <w:tcPr>
            <w:tcW w:w="1372" w:type="dxa"/>
            <w:tcBorders>
              <w:bottom w:val="dotted" w:sz="4" w:space="0" w:color="auto"/>
            </w:tcBorders>
            <w:shd w:val="clear" w:color="auto" w:fill="F2F2F2" w:themeFill="background1" w:themeFillShade="F2"/>
          </w:tcPr>
          <w:p w14:paraId="69AE6915" w14:textId="77777777" w:rsidR="00AC2449" w:rsidRPr="005F71D4" w:rsidRDefault="00AC2449" w:rsidP="00AC2449">
            <w:pPr>
              <w:jc w:val="center"/>
              <w:rPr>
                <w:rFonts w:eastAsia="Times New Roman" w:cs="Times New Roman"/>
                <w:b/>
                <w:bCs/>
                <w:sz w:val="22"/>
              </w:rPr>
            </w:pPr>
            <w:r w:rsidRPr="005F71D4">
              <w:rPr>
                <w:rFonts w:eastAsia="Times New Roman" w:cs="Times New Roman"/>
                <w:b/>
                <w:bCs/>
                <w:color w:val="00B050"/>
                <w:sz w:val="22"/>
              </w:rPr>
              <w:t>9/21%</w:t>
            </w:r>
          </w:p>
        </w:tc>
        <w:tc>
          <w:tcPr>
            <w:tcW w:w="1047" w:type="dxa"/>
            <w:tcBorders>
              <w:bottom w:val="dotted" w:sz="4" w:space="0" w:color="auto"/>
            </w:tcBorders>
            <w:shd w:val="clear" w:color="auto" w:fill="F2F2F2" w:themeFill="background1" w:themeFillShade="F2"/>
          </w:tcPr>
          <w:p w14:paraId="630232DA" w14:textId="77777777" w:rsidR="00AC2449" w:rsidRPr="005F71D4" w:rsidRDefault="00AC2449" w:rsidP="00AC2449">
            <w:pPr>
              <w:jc w:val="center"/>
              <w:rPr>
                <w:rFonts w:eastAsia="Times New Roman" w:cs="Times New Roman"/>
                <w:b/>
                <w:bCs/>
                <w:color w:val="002060"/>
                <w:sz w:val="22"/>
              </w:rPr>
            </w:pPr>
            <w:r w:rsidRPr="005F71D4">
              <w:rPr>
                <w:rFonts w:eastAsia="Times New Roman" w:cs="Times New Roman"/>
                <w:b/>
                <w:bCs/>
                <w:color w:val="002060"/>
                <w:sz w:val="22"/>
              </w:rPr>
              <w:t>9/20%</w:t>
            </w:r>
          </w:p>
        </w:tc>
        <w:tc>
          <w:tcPr>
            <w:tcW w:w="1065" w:type="dxa"/>
            <w:tcBorders>
              <w:bottom w:val="dotted" w:sz="4" w:space="0" w:color="auto"/>
            </w:tcBorders>
          </w:tcPr>
          <w:p w14:paraId="6665C86F" w14:textId="77777777" w:rsidR="00AC2449" w:rsidRPr="00482FCF" w:rsidRDefault="009E5CE9" w:rsidP="00AC2449">
            <w:pPr>
              <w:jc w:val="center"/>
              <w:rPr>
                <w:rFonts w:eastAsia="Times New Roman" w:cs="Times New Roman"/>
                <w:b/>
                <w:bCs/>
                <w:sz w:val="22"/>
              </w:rPr>
            </w:pPr>
            <w:r w:rsidRPr="009E5CE9">
              <w:rPr>
                <w:rFonts w:eastAsia="Times New Roman" w:cs="Times New Roman"/>
                <w:b/>
                <w:bCs/>
                <w:color w:val="FF0000"/>
                <w:sz w:val="22"/>
              </w:rPr>
              <w:t>5%</w:t>
            </w:r>
          </w:p>
        </w:tc>
        <w:tc>
          <w:tcPr>
            <w:tcW w:w="1053" w:type="dxa"/>
            <w:tcBorders>
              <w:bottom w:val="dotted" w:sz="4" w:space="0" w:color="auto"/>
            </w:tcBorders>
            <w:shd w:val="clear" w:color="auto" w:fill="FFE599" w:themeFill="accent4" w:themeFillTint="66"/>
          </w:tcPr>
          <w:p w14:paraId="69C73219" w14:textId="77777777" w:rsidR="00AC2449" w:rsidRPr="00482FCF" w:rsidRDefault="009E5CE9" w:rsidP="009D0BD1">
            <w:pPr>
              <w:ind w:left="-114" w:firstLine="114"/>
              <w:jc w:val="center"/>
              <w:rPr>
                <w:rFonts w:cs="Times New Roman"/>
                <w:b/>
                <w:bCs/>
                <w:sz w:val="22"/>
              </w:rPr>
            </w:pPr>
            <w:r w:rsidRPr="00394868">
              <w:rPr>
                <w:rFonts w:eastAsia="Times New Roman" w:cs="Times New Roman"/>
                <w:b/>
                <w:bCs/>
                <w:color w:val="C00000"/>
                <w:sz w:val="22"/>
              </w:rPr>
              <w:t>-</w:t>
            </w:r>
            <w:r w:rsidR="009D0BD1">
              <w:rPr>
                <w:rFonts w:eastAsia="Times New Roman" w:cs="Times New Roman"/>
                <w:b/>
                <w:bCs/>
                <w:color w:val="C00000"/>
                <w:sz w:val="22"/>
              </w:rPr>
              <w:t>1</w:t>
            </w:r>
            <w:r w:rsidRPr="00394868">
              <w:rPr>
                <w:rFonts w:eastAsia="Times New Roman" w:cs="Times New Roman"/>
                <w:b/>
                <w:bCs/>
                <w:color w:val="C00000"/>
                <w:sz w:val="22"/>
              </w:rPr>
              <w:t>,</w:t>
            </w:r>
            <w:r w:rsidR="009D0BD1">
              <w:rPr>
                <w:rFonts w:eastAsia="Times New Roman" w:cs="Times New Roman"/>
                <w:b/>
                <w:bCs/>
                <w:color w:val="C00000"/>
                <w:sz w:val="22"/>
              </w:rPr>
              <w:t>3</w:t>
            </w:r>
          </w:p>
        </w:tc>
      </w:tr>
      <w:tr w:rsidR="00394868" w:rsidRPr="005E7FDE" w14:paraId="56E4E962" w14:textId="77777777" w:rsidTr="00394868">
        <w:tc>
          <w:tcPr>
            <w:tcW w:w="2996" w:type="dxa"/>
            <w:tcBorders>
              <w:top w:val="dotted" w:sz="4" w:space="0" w:color="auto"/>
              <w:bottom w:val="dotted" w:sz="4" w:space="0" w:color="auto"/>
            </w:tcBorders>
          </w:tcPr>
          <w:p w14:paraId="5561E383" w14:textId="77777777" w:rsidR="00394868" w:rsidRPr="0048450F" w:rsidRDefault="00394868" w:rsidP="00394868">
            <w:pPr>
              <w:ind w:left="175" w:right="-96"/>
              <w:rPr>
                <w:rFonts w:eastAsia="Times New Roman"/>
                <w:b/>
                <w:bCs/>
                <w:sz w:val="22"/>
              </w:rPr>
            </w:pPr>
            <w:r w:rsidRPr="0048450F">
              <w:rPr>
                <w:rFonts w:eastAsia="Times New Roman"/>
                <w:b/>
                <w:bCs/>
                <w:sz w:val="22"/>
              </w:rPr>
              <w:t>E-grāmatas</w:t>
            </w:r>
          </w:p>
        </w:tc>
        <w:tc>
          <w:tcPr>
            <w:tcW w:w="1109" w:type="dxa"/>
            <w:vMerge w:val="restart"/>
            <w:tcBorders>
              <w:top w:val="dotted" w:sz="4" w:space="0" w:color="auto"/>
              <w:bottom w:val="dotted" w:sz="4" w:space="0" w:color="auto"/>
            </w:tcBorders>
            <w:shd w:val="clear" w:color="auto" w:fill="F2F2F2" w:themeFill="background1" w:themeFillShade="F2"/>
            <w:vAlign w:val="center"/>
          </w:tcPr>
          <w:p w14:paraId="27620623" w14:textId="77777777" w:rsidR="00394868" w:rsidRPr="00394868" w:rsidRDefault="00394868" w:rsidP="00394868">
            <w:pPr>
              <w:jc w:val="center"/>
              <w:rPr>
                <w:rFonts w:eastAsia="Times New Roman" w:cs="Times New Roman"/>
                <w:b/>
                <w:bCs/>
                <w:color w:val="FF0000"/>
                <w:sz w:val="22"/>
              </w:rPr>
            </w:pPr>
            <w:r w:rsidRPr="00394868">
              <w:rPr>
                <w:rFonts w:eastAsia="Times New Roman" w:cs="Times New Roman"/>
                <w:b/>
                <w:bCs/>
                <w:color w:val="FF0000"/>
                <w:sz w:val="22"/>
              </w:rPr>
              <w:t>21%</w:t>
            </w:r>
          </w:p>
        </w:tc>
        <w:tc>
          <w:tcPr>
            <w:tcW w:w="1372" w:type="dxa"/>
            <w:vMerge w:val="restart"/>
            <w:tcBorders>
              <w:top w:val="dotted" w:sz="4" w:space="0" w:color="auto"/>
              <w:bottom w:val="dotted" w:sz="4" w:space="0" w:color="auto"/>
            </w:tcBorders>
            <w:shd w:val="clear" w:color="auto" w:fill="F2F2F2" w:themeFill="background1" w:themeFillShade="F2"/>
            <w:vAlign w:val="center"/>
          </w:tcPr>
          <w:p w14:paraId="7692359E" w14:textId="77777777" w:rsidR="00394868" w:rsidRPr="005F71D4" w:rsidRDefault="00394868" w:rsidP="00394868">
            <w:pPr>
              <w:jc w:val="center"/>
              <w:rPr>
                <w:rFonts w:eastAsia="Times New Roman" w:cs="Times New Roman"/>
                <w:b/>
                <w:bCs/>
                <w:sz w:val="22"/>
              </w:rPr>
            </w:pPr>
            <w:r w:rsidRPr="005F71D4">
              <w:rPr>
                <w:rFonts w:eastAsia="Times New Roman" w:cs="Times New Roman"/>
                <w:b/>
                <w:bCs/>
                <w:color w:val="00B050"/>
                <w:sz w:val="22"/>
              </w:rPr>
              <w:t>21%</w:t>
            </w:r>
          </w:p>
        </w:tc>
        <w:tc>
          <w:tcPr>
            <w:tcW w:w="1047" w:type="dxa"/>
            <w:vMerge w:val="restart"/>
            <w:tcBorders>
              <w:top w:val="dotted" w:sz="4" w:space="0" w:color="auto"/>
              <w:bottom w:val="dotted" w:sz="4" w:space="0" w:color="auto"/>
            </w:tcBorders>
            <w:shd w:val="clear" w:color="auto" w:fill="F2F2F2" w:themeFill="background1" w:themeFillShade="F2"/>
            <w:vAlign w:val="center"/>
          </w:tcPr>
          <w:p w14:paraId="621FE47C" w14:textId="77777777" w:rsidR="00394868" w:rsidRPr="005F71D4" w:rsidRDefault="00394868" w:rsidP="00394868">
            <w:pPr>
              <w:jc w:val="center"/>
              <w:rPr>
                <w:rFonts w:eastAsia="Times New Roman" w:cs="Times New Roman"/>
                <w:b/>
                <w:bCs/>
                <w:color w:val="002060"/>
                <w:sz w:val="22"/>
              </w:rPr>
            </w:pPr>
            <w:r w:rsidRPr="005F71D4">
              <w:rPr>
                <w:rFonts w:eastAsia="Times New Roman" w:cs="Times New Roman"/>
                <w:b/>
                <w:bCs/>
                <w:color w:val="002060"/>
                <w:sz w:val="22"/>
              </w:rPr>
              <w:t>20 %</w:t>
            </w:r>
          </w:p>
        </w:tc>
        <w:tc>
          <w:tcPr>
            <w:tcW w:w="1065" w:type="dxa"/>
            <w:tcBorders>
              <w:top w:val="dotted" w:sz="4" w:space="0" w:color="auto"/>
              <w:bottom w:val="dotted" w:sz="4" w:space="0" w:color="auto"/>
            </w:tcBorders>
          </w:tcPr>
          <w:p w14:paraId="7C8D4D13" w14:textId="77777777" w:rsidR="00394868" w:rsidRPr="00AC2449" w:rsidRDefault="00394868" w:rsidP="00394868">
            <w:pPr>
              <w:jc w:val="center"/>
              <w:rPr>
                <w:rFonts w:eastAsia="Times New Roman" w:cs="Times New Roman"/>
                <w:b/>
                <w:bCs/>
                <w:color w:val="FF0000"/>
                <w:sz w:val="22"/>
              </w:rPr>
            </w:pPr>
          </w:p>
        </w:tc>
        <w:tc>
          <w:tcPr>
            <w:tcW w:w="1053" w:type="dxa"/>
            <w:tcBorders>
              <w:top w:val="dotted" w:sz="4" w:space="0" w:color="auto"/>
              <w:bottom w:val="dotted" w:sz="4" w:space="0" w:color="auto"/>
            </w:tcBorders>
            <w:shd w:val="clear" w:color="auto" w:fill="FFE599" w:themeFill="accent4" w:themeFillTint="66"/>
          </w:tcPr>
          <w:p w14:paraId="53D2BE8C" w14:textId="77777777" w:rsidR="00394868" w:rsidRPr="005E7FDE" w:rsidRDefault="00394868" w:rsidP="00394868">
            <w:pPr>
              <w:ind w:left="-114" w:firstLine="114"/>
              <w:jc w:val="center"/>
              <w:rPr>
                <w:rFonts w:cs="Times New Roman"/>
                <w:b/>
                <w:bCs/>
                <w:color w:val="C00000"/>
                <w:sz w:val="22"/>
              </w:rPr>
            </w:pPr>
          </w:p>
        </w:tc>
      </w:tr>
      <w:tr w:rsidR="0048450F" w:rsidRPr="00AC2449" w14:paraId="04FA29EA" w14:textId="77777777" w:rsidTr="0048450F">
        <w:tc>
          <w:tcPr>
            <w:tcW w:w="2996" w:type="dxa"/>
            <w:tcBorders>
              <w:top w:val="dotted" w:sz="4" w:space="0" w:color="auto"/>
              <w:bottom w:val="dotted" w:sz="4" w:space="0" w:color="auto"/>
            </w:tcBorders>
          </w:tcPr>
          <w:p w14:paraId="26DA3D5A" w14:textId="77777777" w:rsidR="0048450F" w:rsidRPr="00AC2449" w:rsidRDefault="0048450F" w:rsidP="000223DA">
            <w:pPr>
              <w:pStyle w:val="ListParagraph"/>
              <w:numPr>
                <w:ilvl w:val="0"/>
                <w:numId w:val="6"/>
              </w:numPr>
              <w:ind w:left="317" w:right="-96" w:hanging="142"/>
              <w:rPr>
                <w:rFonts w:eastAsia="Times New Roman"/>
                <w:b/>
                <w:bCs/>
                <w:sz w:val="20"/>
                <w:szCs w:val="20"/>
              </w:rPr>
            </w:pPr>
            <w:r w:rsidRPr="00AC2449">
              <w:rPr>
                <w:rFonts w:eastAsia="Times New Roman"/>
                <w:bCs/>
                <w:sz w:val="20"/>
                <w:szCs w:val="20"/>
              </w:rPr>
              <w:t>esošajam likuma tvērumam</w:t>
            </w:r>
          </w:p>
        </w:tc>
        <w:tc>
          <w:tcPr>
            <w:tcW w:w="1109" w:type="dxa"/>
            <w:vMerge/>
            <w:tcBorders>
              <w:top w:val="dotted" w:sz="4" w:space="0" w:color="auto"/>
              <w:bottom w:val="dotted" w:sz="4" w:space="0" w:color="auto"/>
            </w:tcBorders>
            <w:shd w:val="clear" w:color="auto" w:fill="F2F2F2" w:themeFill="background1" w:themeFillShade="F2"/>
          </w:tcPr>
          <w:p w14:paraId="1D707CFD" w14:textId="77777777" w:rsidR="0048450F" w:rsidRPr="00AC2449" w:rsidRDefault="0048450F" w:rsidP="00394868">
            <w:pPr>
              <w:jc w:val="center"/>
              <w:rPr>
                <w:rFonts w:eastAsia="Times New Roman" w:cs="Times New Roman"/>
                <w:b/>
                <w:bCs/>
                <w:color w:val="C00000"/>
                <w:sz w:val="22"/>
              </w:rPr>
            </w:pPr>
          </w:p>
        </w:tc>
        <w:tc>
          <w:tcPr>
            <w:tcW w:w="1372" w:type="dxa"/>
            <w:vMerge/>
            <w:tcBorders>
              <w:top w:val="dotted" w:sz="4" w:space="0" w:color="auto"/>
              <w:bottom w:val="dotted" w:sz="4" w:space="0" w:color="auto"/>
            </w:tcBorders>
            <w:shd w:val="clear" w:color="auto" w:fill="F2F2F2" w:themeFill="background1" w:themeFillShade="F2"/>
          </w:tcPr>
          <w:p w14:paraId="7F77C0D6" w14:textId="77777777" w:rsidR="0048450F" w:rsidRPr="00AC2449" w:rsidRDefault="0048450F" w:rsidP="00394868">
            <w:pPr>
              <w:jc w:val="center"/>
              <w:rPr>
                <w:rFonts w:eastAsia="Times New Roman" w:cs="Times New Roman"/>
                <w:b/>
                <w:bCs/>
                <w:color w:val="00B050"/>
                <w:sz w:val="22"/>
              </w:rPr>
            </w:pPr>
          </w:p>
        </w:tc>
        <w:tc>
          <w:tcPr>
            <w:tcW w:w="1047" w:type="dxa"/>
            <w:vMerge/>
            <w:tcBorders>
              <w:top w:val="dotted" w:sz="4" w:space="0" w:color="auto"/>
              <w:bottom w:val="dotted" w:sz="4" w:space="0" w:color="auto"/>
            </w:tcBorders>
            <w:shd w:val="clear" w:color="auto" w:fill="F2F2F2" w:themeFill="background1" w:themeFillShade="F2"/>
          </w:tcPr>
          <w:p w14:paraId="302DC429" w14:textId="77777777" w:rsidR="0048450F" w:rsidRPr="00AC2449" w:rsidRDefault="0048450F" w:rsidP="00394868">
            <w:pPr>
              <w:pStyle w:val="ListParagraph"/>
              <w:ind w:left="26"/>
              <w:jc w:val="center"/>
              <w:rPr>
                <w:rFonts w:eastAsia="Times New Roman"/>
                <w:b/>
                <w:bCs/>
                <w:color w:val="002060"/>
                <w:sz w:val="22"/>
              </w:rPr>
            </w:pPr>
          </w:p>
        </w:tc>
        <w:tc>
          <w:tcPr>
            <w:tcW w:w="1065" w:type="dxa"/>
            <w:vMerge w:val="restart"/>
            <w:tcBorders>
              <w:top w:val="dotted" w:sz="4" w:space="0" w:color="auto"/>
            </w:tcBorders>
            <w:vAlign w:val="center"/>
          </w:tcPr>
          <w:p w14:paraId="66CB1A74" w14:textId="77777777" w:rsidR="0048450F" w:rsidRPr="00394868" w:rsidRDefault="0048450F" w:rsidP="0048450F">
            <w:pPr>
              <w:jc w:val="center"/>
              <w:rPr>
                <w:rFonts w:eastAsia="Times New Roman" w:cs="Times New Roman"/>
                <w:b/>
                <w:bCs/>
                <w:color w:val="FF0000"/>
                <w:sz w:val="22"/>
              </w:rPr>
            </w:pPr>
            <w:r w:rsidRPr="00394868">
              <w:rPr>
                <w:rFonts w:eastAsia="Times New Roman" w:cs="Times New Roman"/>
                <w:b/>
                <w:bCs/>
                <w:color w:val="FF0000"/>
                <w:sz w:val="22"/>
              </w:rPr>
              <w:t>12%</w:t>
            </w:r>
          </w:p>
        </w:tc>
        <w:tc>
          <w:tcPr>
            <w:tcW w:w="1053" w:type="dxa"/>
            <w:vMerge w:val="restart"/>
            <w:tcBorders>
              <w:top w:val="dotted" w:sz="4" w:space="0" w:color="auto"/>
            </w:tcBorders>
            <w:shd w:val="clear" w:color="auto" w:fill="FFE599" w:themeFill="accent4" w:themeFillTint="66"/>
            <w:vAlign w:val="center"/>
          </w:tcPr>
          <w:p w14:paraId="18C2D1DF" w14:textId="77777777" w:rsidR="0048450F" w:rsidRPr="00394868" w:rsidRDefault="0048450F" w:rsidP="0048450F">
            <w:pPr>
              <w:ind w:left="-114" w:firstLine="114"/>
              <w:jc w:val="center"/>
              <w:rPr>
                <w:rFonts w:cs="Times New Roman"/>
                <w:b/>
                <w:bCs/>
                <w:color w:val="C00000"/>
                <w:sz w:val="22"/>
              </w:rPr>
            </w:pPr>
            <w:r w:rsidRPr="00394868">
              <w:rPr>
                <w:rFonts w:eastAsia="Times New Roman" w:cs="Times New Roman"/>
                <w:b/>
                <w:bCs/>
                <w:color w:val="C00000"/>
                <w:sz w:val="22"/>
              </w:rPr>
              <w:t>-0,2</w:t>
            </w:r>
          </w:p>
        </w:tc>
      </w:tr>
      <w:tr w:rsidR="0048450F" w:rsidRPr="00AC2449" w14:paraId="3A5AF084" w14:textId="77777777" w:rsidTr="00205650">
        <w:tc>
          <w:tcPr>
            <w:tcW w:w="2996" w:type="dxa"/>
            <w:tcBorders>
              <w:top w:val="dotted" w:sz="4" w:space="0" w:color="auto"/>
              <w:bottom w:val="dotted" w:sz="4" w:space="0" w:color="auto"/>
            </w:tcBorders>
          </w:tcPr>
          <w:p w14:paraId="0C269794" w14:textId="77777777" w:rsidR="0048450F" w:rsidRPr="00AC2449" w:rsidRDefault="0048450F" w:rsidP="000223DA">
            <w:pPr>
              <w:pStyle w:val="ListParagraph"/>
              <w:numPr>
                <w:ilvl w:val="0"/>
                <w:numId w:val="6"/>
              </w:numPr>
              <w:ind w:left="317" w:right="-96" w:hanging="142"/>
              <w:rPr>
                <w:rFonts w:eastAsia="Times New Roman"/>
                <w:b/>
                <w:bCs/>
                <w:sz w:val="20"/>
                <w:szCs w:val="20"/>
              </w:rPr>
            </w:pPr>
            <w:r w:rsidRPr="00AC2449">
              <w:rPr>
                <w:rFonts w:eastAsia="Times New Roman"/>
                <w:bCs/>
                <w:sz w:val="20"/>
                <w:szCs w:val="20"/>
              </w:rPr>
              <w:t>paplašinot esošo likuma tvērumu uz direktīvas tvērumu</w:t>
            </w:r>
          </w:p>
        </w:tc>
        <w:tc>
          <w:tcPr>
            <w:tcW w:w="1109" w:type="dxa"/>
            <w:vMerge/>
            <w:tcBorders>
              <w:top w:val="dotted" w:sz="4" w:space="0" w:color="auto"/>
              <w:bottom w:val="dotted" w:sz="4" w:space="0" w:color="auto"/>
            </w:tcBorders>
            <w:shd w:val="clear" w:color="auto" w:fill="F2F2F2" w:themeFill="background1" w:themeFillShade="F2"/>
          </w:tcPr>
          <w:p w14:paraId="3F91CAA1" w14:textId="77777777" w:rsidR="0048450F" w:rsidRPr="00AC2449" w:rsidRDefault="0048450F" w:rsidP="00394868">
            <w:pPr>
              <w:jc w:val="center"/>
              <w:rPr>
                <w:rFonts w:eastAsia="Times New Roman" w:cs="Times New Roman"/>
                <w:b/>
                <w:bCs/>
                <w:color w:val="C00000"/>
                <w:sz w:val="22"/>
              </w:rPr>
            </w:pPr>
          </w:p>
        </w:tc>
        <w:tc>
          <w:tcPr>
            <w:tcW w:w="1372" w:type="dxa"/>
            <w:vMerge/>
            <w:tcBorders>
              <w:top w:val="dotted" w:sz="4" w:space="0" w:color="auto"/>
              <w:bottom w:val="dotted" w:sz="4" w:space="0" w:color="auto"/>
            </w:tcBorders>
            <w:shd w:val="clear" w:color="auto" w:fill="F2F2F2" w:themeFill="background1" w:themeFillShade="F2"/>
          </w:tcPr>
          <w:p w14:paraId="57174F5D" w14:textId="77777777" w:rsidR="0048450F" w:rsidRPr="00AC2449" w:rsidRDefault="0048450F" w:rsidP="00394868">
            <w:pPr>
              <w:jc w:val="center"/>
              <w:rPr>
                <w:rFonts w:eastAsia="Times New Roman" w:cs="Times New Roman"/>
                <w:b/>
                <w:bCs/>
                <w:color w:val="00B050"/>
                <w:sz w:val="22"/>
              </w:rPr>
            </w:pPr>
          </w:p>
        </w:tc>
        <w:tc>
          <w:tcPr>
            <w:tcW w:w="1047" w:type="dxa"/>
            <w:vMerge/>
            <w:tcBorders>
              <w:top w:val="dotted" w:sz="4" w:space="0" w:color="auto"/>
              <w:bottom w:val="dotted" w:sz="4" w:space="0" w:color="auto"/>
            </w:tcBorders>
            <w:shd w:val="clear" w:color="auto" w:fill="F2F2F2" w:themeFill="background1" w:themeFillShade="F2"/>
          </w:tcPr>
          <w:p w14:paraId="344C8A90" w14:textId="77777777" w:rsidR="0048450F" w:rsidRPr="00AC2449" w:rsidRDefault="0048450F" w:rsidP="00394868">
            <w:pPr>
              <w:pStyle w:val="ListParagraph"/>
              <w:ind w:left="26"/>
              <w:jc w:val="center"/>
              <w:rPr>
                <w:rFonts w:eastAsia="Times New Roman"/>
                <w:b/>
                <w:bCs/>
                <w:color w:val="002060"/>
                <w:sz w:val="22"/>
              </w:rPr>
            </w:pPr>
          </w:p>
        </w:tc>
        <w:tc>
          <w:tcPr>
            <w:tcW w:w="1065" w:type="dxa"/>
            <w:vMerge/>
            <w:tcBorders>
              <w:bottom w:val="dotted" w:sz="4" w:space="0" w:color="auto"/>
            </w:tcBorders>
          </w:tcPr>
          <w:p w14:paraId="776C7FBD" w14:textId="77777777" w:rsidR="0048450F" w:rsidRPr="00394868" w:rsidRDefault="0048450F" w:rsidP="00394868">
            <w:pPr>
              <w:ind w:left="-114" w:firstLine="114"/>
              <w:jc w:val="center"/>
              <w:rPr>
                <w:rFonts w:eastAsia="Times New Roman" w:cs="Times New Roman"/>
                <w:b/>
                <w:bCs/>
                <w:color w:val="FF0000"/>
                <w:sz w:val="22"/>
              </w:rPr>
            </w:pPr>
          </w:p>
        </w:tc>
        <w:tc>
          <w:tcPr>
            <w:tcW w:w="1053" w:type="dxa"/>
            <w:vMerge/>
            <w:tcBorders>
              <w:bottom w:val="dotted" w:sz="4" w:space="0" w:color="auto"/>
            </w:tcBorders>
            <w:shd w:val="clear" w:color="auto" w:fill="FFE599" w:themeFill="accent4" w:themeFillTint="66"/>
          </w:tcPr>
          <w:p w14:paraId="186D762A" w14:textId="77777777" w:rsidR="0048450F" w:rsidRPr="00394868" w:rsidRDefault="0048450F" w:rsidP="009D0BD1">
            <w:pPr>
              <w:ind w:left="-114" w:firstLine="114"/>
              <w:jc w:val="center"/>
              <w:rPr>
                <w:rFonts w:cs="Times New Roman"/>
                <w:b/>
                <w:bCs/>
                <w:color w:val="C00000"/>
                <w:sz w:val="22"/>
              </w:rPr>
            </w:pPr>
          </w:p>
        </w:tc>
      </w:tr>
      <w:tr w:rsidR="00394868" w:rsidRPr="00AC2449" w14:paraId="0FACA088" w14:textId="77777777" w:rsidTr="00394868">
        <w:tc>
          <w:tcPr>
            <w:tcW w:w="2996" w:type="dxa"/>
            <w:tcBorders>
              <w:top w:val="dotted" w:sz="4" w:space="0" w:color="auto"/>
            </w:tcBorders>
          </w:tcPr>
          <w:p w14:paraId="4DC9C7D3" w14:textId="77777777" w:rsidR="00394868" w:rsidRPr="00AC2449" w:rsidRDefault="0048450F" w:rsidP="000223DA">
            <w:pPr>
              <w:pStyle w:val="ListParagraph"/>
              <w:numPr>
                <w:ilvl w:val="0"/>
                <w:numId w:val="6"/>
              </w:numPr>
              <w:ind w:left="317" w:right="-96" w:hanging="142"/>
              <w:rPr>
                <w:rFonts w:eastAsia="Times New Roman"/>
                <w:b/>
                <w:bCs/>
                <w:sz w:val="20"/>
                <w:szCs w:val="20"/>
              </w:rPr>
            </w:pPr>
            <w:r w:rsidRPr="00AC2449">
              <w:rPr>
                <w:rFonts w:eastAsia="Times New Roman"/>
                <w:bCs/>
                <w:sz w:val="20"/>
                <w:szCs w:val="20"/>
              </w:rPr>
              <w:t>esošajam likuma tvērumam</w:t>
            </w:r>
          </w:p>
        </w:tc>
        <w:tc>
          <w:tcPr>
            <w:tcW w:w="1109" w:type="dxa"/>
            <w:vMerge/>
            <w:tcBorders>
              <w:top w:val="dotted" w:sz="4" w:space="0" w:color="auto"/>
            </w:tcBorders>
            <w:shd w:val="clear" w:color="auto" w:fill="F2F2F2" w:themeFill="background1" w:themeFillShade="F2"/>
          </w:tcPr>
          <w:p w14:paraId="5103DB9E" w14:textId="77777777" w:rsidR="00394868" w:rsidRPr="00AC2449" w:rsidRDefault="00394868" w:rsidP="00394868">
            <w:pPr>
              <w:jc w:val="center"/>
              <w:rPr>
                <w:rFonts w:eastAsia="Times New Roman" w:cs="Times New Roman"/>
                <w:b/>
                <w:bCs/>
                <w:color w:val="C00000"/>
                <w:sz w:val="22"/>
              </w:rPr>
            </w:pPr>
          </w:p>
        </w:tc>
        <w:tc>
          <w:tcPr>
            <w:tcW w:w="1372" w:type="dxa"/>
            <w:vMerge/>
            <w:tcBorders>
              <w:top w:val="dotted" w:sz="4" w:space="0" w:color="auto"/>
            </w:tcBorders>
            <w:shd w:val="clear" w:color="auto" w:fill="F2F2F2" w:themeFill="background1" w:themeFillShade="F2"/>
          </w:tcPr>
          <w:p w14:paraId="1C0D20CE" w14:textId="77777777" w:rsidR="00394868" w:rsidRPr="00AC2449" w:rsidRDefault="00394868" w:rsidP="00394868">
            <w:pPr>
              <w:jc w:val="center"/>
              <w:rPr>
                <w:rFonts w:eastAsia="Times New Roman" w:cs="Times New Roman"/>
                <w:b/>
                <w:bCs/>
                <w:color w:val="00B050"/>
                <w:sz w:val="22"/>
              </w:rPr>
            </w:pPr>
          </w:p>
        </w:tc>
        <w:tc>
          <w:tcPr>
            <w:tcW w:w="1047" w:type="dxa"/>
            <w:vMerge/>
            <w:tcBorders>
              <w:top w:val="dotted" w:sz="4" w:space="0" w:color="auto"/>
            </w:tcBorders>
            <w:shd w:val="clear" w:color="auto" w:fill="F2F2F2" w:themeFill="background1" w:themeFillShade="F2"/>
          </w:tcPr>
          <w:p w14:paraId="3EB04199" w14:textId="77777777" w:rsidR="00394868" w:rsidRPr="00AC2449" w:rsidRDefault="00394868" w:rsidP="00394868">
            <w:pPr>
              <w:pStyle w:val="ListParagraph"/>
              <w:ind w:left="26"/>
              <w:jc w:val="center"/>
              <w:rPr>
                <w:rFonts w:eastAsia="Times New Roman"/>
                <w:b/>
                <w:bCs/>
                <w:color w:val="002060"/>
                <w:sz w:val="22"/>
              </w:rPr>
            </w:pPr>
          </w:p>
        </w:tc>
        <w:tc>
          <w:tcPr>
            <w:tcW w:w="1065" w:type="dxa"/>
            <w:tcBorders>
              <w:top w:val="dotted" w:sz="4" w:space="0" w:color="auto"/>
            </w:tcBorders>
            <w:vAlign w:val="center"/>
          </w:tcPr>
          <w:p w14:paraId="0AD15E5B" w14:textId="77777777" w:rsidR="00394868" w:rsidRPr="00394868" w:rsidRDefault="0048450F" w:rsidP="0048450F">
            <w:pPr>
              <w:jc w:val="center"/>
              <w:rPr>
                <w:rFonts w:eastAsia="Times New Roman" w:cs="Times New Roman"/>
                <w:b/>
                <w:bCs/>
                <w:color w:val="FF0000"/>
                <w:sz w:val="22"/>
              </w:rPr>
            </w:pPr>
            <w:r w:rsidRPr="00394868">
              <w:rPr>
                <w:rFonts w:eastAsia="Times New Roman" w:cs="Times New Roman"/>
                <w:b/>
                <w:bCs/>
                <w:color w:val="FF0000"/>
                <w:sz w:val="22"/>
              </w:rPr>
              <w:t>5%</w:t>
            </w:r>
          </w:p>
        </w:tc>
        <w:tc>
          <w:tcPr>
            <w:tcW w:w="1053" w:type="dxa"/>
            <w:tcBorders>
              <w:top w:val="dotted" w:sz="4" w:space="0" w:color="auto"/>
            </w:tcBorders>
            <w:shd w:val="clear" w:color="auto" w:fill="FFE599" w:themeFill="accent4" w:themeFillTint="66"/>
            <w:vAlign w:val="center"/>
          </w:tcPr>
          <w:p w14:paraId="1D1D7F62" w14:textId="77777777" w:rsidR="00394868" w:rsidRPr="00394868" w:rsidRDefault="0048450F" w:rsidP="00394868">
            <w:pPr>
              <w:ind w:left="-114" w:firstLine="114"/>
              <w:jc w:val="center"/>
              <w:rPr>
                <w:rFonts w:cs="Times New Roman"/>
                <w:b/>
                <w:bCs/>
                <w:color w:val="C00000"/>
                <w:sz w:val="22"/>
              </w:rPr>
            </w:pPr>
            <w:r w:rsidRPr="00394868">
              <w:rPr>
                <w:rFonts w:eastAsia="Times New Roman" w:cs="Times New Roman"/>
                <w:b/>
                <w:bCs/>
                <w:color w:val="C00000"/>
                <w:sz w:val="22"/>
              </w:rPr>
              <w:t>-0,4</w:t>
            </w:r>
          </w:p>
        </w:tc>
      </w:tr>
      <w:tr w:rsidR="00482FCF" w:rsidRPr="00AC2449" w14:paraId="638BFD85" w14:textId="77777777" w:rsidTr="00AC2449">
        <w:tc>
          <w:tcPr>
            <w:tcW w:w="2996" w:type="dxa"/>
          </w:tcPr>
          <w:p w14:paraId="6C973148" w14:textId="77777777" w:rsidR="00482FCF" w:rsidRPr="00AC2449" w:rsidRDefault="00482FCF" w:rsidP="00482FCF">
            <w:pPr>
              <w:ind w:right="-96"/>
              <w:rPr>
                <w:rFonts w:eastAsia="Times New Roman"/>
                <w:b/>
                <w:bCs/>
                <w:sz w:val="22"/>
              </w:rPr>
            </w:pPr>
            <w:r w:rsidRPr="00956E82">
              <w:rPr>
                <w:rFonts w:eastAsia="Times New Roman"/>
                <w:b/>
                <w:bCs/>
                <w:sz w:val="22"/>
              </w:rPr>
              <w:t>Kultūras pakalpojumi</w:t>
            </w:r>
          </w:p>
        </w:tc>
        <w:tc>
          <w:tcPr>
            <w:tcW w:w="1109" w:type="dxa"/>
            <w:shd w:val="clear" w:color="auto" w:fill="F2F2F2" w:themeFill="background1" w:themeFillShade="F2"/>
          </w:tcPr>
          <w:p w14:paraId="7F4A99FA" w14:textId="77777777" w:rsidR="00482FCF" w:rsidRPr="00482FCF" w:rsidRDefault="00482FCF" w:rsidP="00482FCF">
            <w:pPr>
              <w:jc w:val="center"/>
              <w:rPr>
                <w:rFonts w:eastAsia="Times New Roman" w:cs="Times New Roman"/>
                <w:b/>
                <w:bCs/>
                <w:color w:val="FF0000"/>
                <w:sz w:val="22"/>
              </w:rPr>
            </w:pPr>
            <w:r w:rsidRPr="00482FCF">
              <w:rPr>
                <w:rFonts w:eastAsia="Times New Roman" w:cs="Times New Roman"/>
                <w:b/>
                <w:bCs/>
                <w:color w:val="FF0000"/>
                <w:sz w:val="22"/>
              </w:rPr>
              <w:t>21%/</w:t>
            </w:r>
          </w:p>
          <w:p w14:paraId="6C0211B7" w14:textId="77777777" w:rsidR="00482FCF" w:rsidRPr="00B9487D" w:rsidRDefault="00482FCF" w:rsidP="00482FCF">
            <w:pPr>
              <w:jc w:val="center"/>
              <w:rPr>
                <w:rFonts w:eastAsia="Times New Roman" w:cs="Times New Roman"/>
                <w:bCs/>
                <w:sz w:val="18"/>
                <w:szCs w:val="18"/>
              </w:rPr>
            </w:pPr>
            <w:r w:rsidRPr="00482FCF">
              <w:rPr>
                <w:rFonts w:eastAsia="Times New Roman" w:cs="Times New Roman"/>
                <w:bCs/>
                <w:color w:val="FF0000"/>
                <w:sz w:val="18"/>
                <w:szCs w:val="18"/>
              </w:rPr>
              <w:t>Atbrīvo-jums</w:t>
            </w:r>
          </w:p>
        </w:tc>
        <w:tc>
          <w:tcPr>
            <w:tcW w:w="1372" w:type="dxa"/>
            <w:shd w:val="clear" w:color="auto" w:fill="F2F2F2" w:themeFill="background1" w:themeFillShade="F2"/>
          </w:tcPr>
          <w:p w14:paraId="266E8A19" w14:textId="77777777" w:rsidR="00482FCF" w:rsidRPr="00B9487D" w:rsidRDefault="00482FCF" w:rsidP="00482FCF">
            <w:pPr>
              <w:jc w:val="center"/>
              <w:rPr>
                <w:rFonts w:eastAsia="Times New Roman" w:cs="Times New Roman"/>
                <w:b/>
                <w:bCs/>
                <w:color w:val="00B050"/>
                <w:sz w:val="22"/>
              </w:rPr>
            </w:pPr>
            <w:r w:rsidRPr="00B9487D">
              <w:rPr>
                <w:rFonts w:eastAsia="Times New Roman" w:cs="Times New Roman"/>
                <w:b/>
                <w:bCs/>
                <w:color w:val="00B050"/>
                <w:sz w:val="22"/>
              </w:rPr>
              <w:t>21%/</w:t>
            </w:r>
          </w:p>
          <w:p w14:paraId="79B4BB38" w14:textId="77777777" w:rsidR="00482FCF" w:rsidRPr="00482FCF" w:rsidRDefault="00482FCF" w:rsidP="00482FCF">
            <w:pPr>
              <w:jc w:val="center"/>
              <w:rPr>
                <w:rFonts w:eastAsia="Times New Roman" w:cs="Times New Roman"/>
                <w:bCs/>
                <w:color w:val="00B050"/>
                <w:sz w:val="18"/>
                <w:szCs w:val="18"/>
              </w:rPr>
            </w:pPr>
            <w:r w:rsidRPr="00482FCF">
              <w:rPr>
                <w:rFonts w:eastAsia="Times New Roman" w:cs="Times New Roman"/>
                <w:bCs/>
                <w:color w:val="00B050"/>
                <w:sz w:val="18"/>
                <w:szCs w:val="18"/>
              </w:rPr>
              <w:t>Atbrīvojums</w:t>
            </w:r>
          </w:p>
          <w:p w14:paraId="257F40E4" w14:textId="77777777" w:rsidR="00482FCF" w:rsidRPr="00956E82" w:rsidRDefault="00482FCF" w:rsidP="00482FCF">
            <w:pPr>
              <w:jc w:val="center"/>
              <w:rPr>
                <w:rFonts w:eastAsia="Times New Roman" w:cs="Times New Roman"/>
                <w:bCs/>
                <w:sz w:val="22"/>
              </w:rPr>
            </w:pPr>
            <w:r w:rsidRPr="00B9487D">
              <w:rPr>
                <w:rFonts w:eastAsia="Times New Roman" w:cs="Times New Roman"/>
                <w:bCs/>
                <w:sz w:val="18"/>
                <w:szCs w:val="18"/>
              </w:rPr>
              <w:t>(bezpeļņas juridiskām personām)</w:t>
            </w:r>
          </w:p>
        </w:tc>
        <w:tc>
          <w:tcPr>
            <w:tcW w:w="1047" w:type="dxa"/>
            <w:shd w:val="clear" w:color="auto" w:fill="F2F2F2" w:themeFill="background1" w:themeFillShade="F2"/>
          </w:tcPr>
          <w:p w14:paraId="1DE933E3" w14:textId="77777777" w:rsidR="00482FCF" w:rsidRPr="00B9487D" w:rsidRDefault="00482FCF" w:rsidP="00482FCF">
            <w:pPr>
              <w:jc w:val="center"/>
              <w:rPr>
                <w:rFonts w:eastAsia="Times New Roman" w:cs="Times New Roman"/>
                <w:b/>
                <w:bCs/>
                <w:sz w:val="22"/>
              </w:rPr>
            </w:pPr>
            <w:r w:rsidRPr="00B9487D">
              <w:rPr>
                <w:rFonts w:eastAsia="Times New Roman" w:cs="Times New Roman"/>
                <w:b/>
                <w:bCs/>
                <w:color w:val="002060"/>
                <w:sz w:val="22"/>
              </w:rPr>
              <w:t>20%</w:t>
            </w:r>
          </w:p>
        </w:tc>
        <w:tc>
          <w:tcPr>
            <w:tcW w:w="1065" w:type="dxa"/>
          </w:tcPr>
          <w:p w14:paraId="167842C4" w14:textId="77777777" w:rsidR="00482FCF" w:rsidRPr="00482FCF" w:rsidRDefault="00482FCF" w:rsidP="00482FCF">
            <w:pPr>
              <w:jc w:val="center"/>
              <w:rPr>
                <w:rFonts w:eastAsia="Times New Roman" w:cs="Times New Roman"/>
                <w:b/>
                <w:bCs/>
                <w:sz w:val="22"/>
              </w:rPr>
            </w:pPr>
            <w:r w:rsidRPr="00482FCF">
              <w:rPr>
                <w:rFonts w:eastAsia="Times New Roman" w:cs="Times New Roman"/>
                <w:b/>
                <w:bCs/>
                <w:sz w:val="22"/>
              </w:rPr>
              <w:t>-</w:t>
            </w:r>
          </w:p>
        </w:tc>
        <w:tc>
          <w:tcPr>
            <w:tcW w:w="1053" w:type="dxa"/>
            <w:shd w:val="clear" w:color="auto" w:fill="FFE599" w:themeFill="accent4" w:themeFillTint="66"/>
          </w:tcPr>
          <w:p w14:paraId="1EA60EA1" w14:textId="77777777" w:rsidR="00482FCF" w:rsidRPr="00482FCF" w:rsidRDefault="00482FCF" w:rsidP="00482FCF">
            <w:pPr>
              <w:ind w:left="-114" w:firstLine="114"/>
              <w:jc w:val="center"/>
              <w:rPr>
                <w:rFonts w:cs="Times New Roman"/>
                <w:b/>
                <w:bCs/>
                <w:sz w:val="22"/>
              </w:rPr>
            </w:pPr>
            <w:r w:rsidRPr="00482FCF">
              <w:rPr>
                <w:rFonts w:cs="Times New Roman"/>
                <w:b/>
                <w:bCs/>
                <w:sz w:val="22"/>
              </w:rPr>
              <w:t>-</w:t>
            </w:r>
          </w:p>
        </w:tc>
      </w:tr>
      <w:tr w:rsidR="00482FCF" w:rsidRPr="00AC2449" w14:paraId="2D069A13" w14:textId="77777777" w:rsidTr="00482FCF">
        <w:tc>
          <w:tcPr>
            <w:tcW w:w="2996" w:type="dxa"/>
          </w:tcPr>
          <w:p w14:paraId="0C89B8A7" w14:textId="77777777" w:rsidR="00482FCF" w:rsidRPr="00482FCF" w:rsidRDefault="00482FCF" w:rsidP="00482FCF">
            <w:pPr>
              <w:ind w:left="175" w:right="-96"/>
              <w:rPr>
                <w:rFonts w:eastAsia="Times New Roman"/>
                <w:bCs/>
                <w:sz w:val="22"/>
              </w:rPr>
            </w:pPr>
            <w:r>
              <w:rPr>
                <w:rFonts w:eastAsia="Times New Roman"/>
                <w:bCs/>
                <w:sz w:val="22"/>
              </w:rPr>
              <w:t>K</w:t>
            </w:r>
            <w:r w:rsidRPr="00482FCF">
              <w:rPr>
                <w:rFonts w:eastAsia="Times New Roman"/>
                <w:bCs/>
                <w:sz w:val="22"/>
              </w:rPr>
              <w:t>ultūras pakalpojumi, kurus nesniedz valsts un pašvaldību kultūras iestādes</w:t>
            </w:r>
          </w:p>
        </w:tc>
        <w:tc>
          <w:tcPr>
            <w:tcW w:w="1109" w:type="dxa"/>
            <w:shd w:val="clear" w:color="auto" w:fill="F2F2F2" w:themeFill="background1" w:themeFillShade="F2"/>
            <w:vAlign w:val="center"/>
          </w:tcPr>
          <w:p w14:paraId="1A7D9046" w14:textId="77777777" w:rsidR="00482FCF" w:rsidRPr="00482FCF" w:rsidRDefault="00482FCF" w:rsidP="00482FCF">
            <w:pPr>
              <w:jc w:val="center"/>
              <w:rPr>
                <w:rFonts w:eastAsia="Times New Roman" w:cs="Times New Roman"/>
                <w:b/>
                <w:bCs/>
                <w:color w:val="C00000"/>
                <w:sz w:val="18"/>
                <w:szCs w:val="18"/>
              </w:rPr>
            </w:pPr>
            <w:r w:rsidRPr="00482FCF">
              <w:rPr>
                <w:rFonts w:eastAsia="Times New Roman" w:cs="Times New Roman"/>
                <w:b/>
                <w:bCs/>
                <w:color w:val="FF0000"/>
                <w:sz w:val="18"/>
                <w:szCs w:val="18"/>
              </w:rPr>
              <w:t>Atbrīvo-jums</w:t>
            </w:r>
          </w:p>
        </w:tc>
        <w:tc>
          <w:tcPr>
            <w:tcW w:w="1372" w:type="dxa"/>
            <w:shd w:val="clear" w:color="auto" w:fill="F2F2F2" w:themeFill="background1" w:themeFillShade="F2"/>
            <w:vAlign w:val="center"/>
          </w:tcPr>
          <w:p w14:paraId="5E148A58" w14:textId="77777777" w:rsidR="00482FCF" w:rsidRPr="00B9487D" w:rsidRDefault="00482FCF" w:rsidP="00482FCF">
            <w:pPr>
              <w:jc w:val="center"/>
              <w:rPr>
                <w:rFonts w:eastAsia="Times New Roman" w:cs="Times New Roman"/>
                <w:b/>
                <w:bCs/>
                <w:color w:val="00B050"/>
                <w:sz w:val="22"/>
              </w:rPr>
            </w:pPr>
            <w:r w:rsidRPr="00B9487D">
              <w:rPr>
                <w:rFonts w:eastAsia="Times New Roman" w:cs="Times New Roman"/>
                <w:b/>
                <w:bCs/>
                <w:color w:val="00B050"/>
                <w:sz w:val="22"/>
              </w:rPr>
              <w:t>21%/</w:t>
            </w:r>
          </w:p>
          <w:p w14:paraId="550C45A8" w14:textId="77777777" w:rsidR="00482FCF" w:rsidRPr="00B9487D" w:rsidRDefault="00482FCF" w:rsidP="00482FCF">
            <w:pPr>
              <w:jc w:val="center"/>
              <w:rPr>
                <w:rFonts w:eastAsia="Times New Roman" w:cs="Times New Roman"/>
                <w:bCs/>
                <w:sz w:val="18"/>
                <w:szCs w:val="18"/>
              </w:rPr>
            </w:pPr>
            <w:r w:rsidRPr="00482FCF">
              <w:rPr>
                <w:rFonts w:eastAsia="Times New Roman" w:cs="Times New Roman"/>
                <w:bCs/>
                <w:color w:val="00B050"/>
                <w:sz w:val="18"/>
                <w:szCs w:val="18"/>
              </w:rPr>
              <w:t>Atbrīvojums</w:t>
            </w:r>
          </w:p>
        </w:tc>
        <w:tc>
          <w:tcPr>
            <w:tcW w:w="1047" w:type="dxa"/>
            <w:shd w:val="clear" w:color="auto" w:fill="F2F2F2" w:themeFill="background1" w:themeFillShade="F2"/>
            <w:vAlign w:val="center"/>
          </w:tcPr>
          <w:p w14:paraId="52D92941" w14:textId="77777777" w:rsidR="00482FCF" w:rsidRPr="00B9487D" w:rsidRDefault="00482FCF" w:rsidP="00482FCF">
            <w:pPr>
              <w:jc w:val="center"/>
              <w:rPr>
                <w:rFonts w:eastAsia="Times New Roman" w:cs="Times New Roman"/>
                <w:b/>
                <w:bCs/>
                <w:sz w:val="22"/>
              </w:rPr>
            </w:pPr>
            <w:r w:rsidRPr="00B9487D">
              <w:rPr>
                <w:rFonts w:eastAsia="Times New Roman" w:cs="Times New Roman"/>
                <w:b/>
                <w:bCs/>
                <w:color w:val="002060"/>
                <w:sz w:val="22"/>
              </w:rPr>
              <w:t>20%</w:t>
            </w:r>
          </w:p>
        </w:tc>
        <w:tc>
          <w:tcPr>
            <w:tcW w:w="1065" w:type="dxa"/>
            <w:vAlign w:val="center"/>
          </w:tcPr>
          <w:p w14:paraId="701079AD" w14:textId="382B1824" w:rsidR="00482FCF" w:rsidRPr="00482FCF" w:rsidRDefault="00482FCF" w:rsidP="00482FCF">
            <w:pPr>
              <w:jc w:val="center"/>
              <w:rPr>
                <w:rFonts w:eastAsia="Times New Roman" w:cs="Times New Roman"/>
                <w:b/>
                <w:bCs/>
                <w:color w:val="C00000"/>
                <w:sz w:val="22"/>
              </w:rPr>
            </w:pPr>
            <w:r w:rsidRPr="00482FCF">
              <w:rPr>
                <w:rFonts w:eastAsia="Times New Roman" w:cs="Times New Roman"/>
                <w:b/>
                <w:bCs/>
                <w:color w:val="FF0000"/>
                <w:sz w:val="22"/>
              </w:rPr>
              <w:t>21%</w:t>
            </w:r>
            <w:r w:rsidR="00095319" w:rsidRPr="00AA606C">
              <w:rPr>
                <w:rFonts w:eastAsia="Times New Roman" w:cs="Times New Roman"/>
                <w:b/>
                <w:bCs/>
                <w:sz w:val="22"/>
                <w:vertAlign w:val="superscript"/>
              </w:rPr>
              <w:t>*</w:t>
            </w:r>
          </w:p>
        </w:tc>
        <w:tc>
          <w:tcPr>
            <w:tcW w:w="1053" w:type="dxa"/>
            <w:shd w:val="clear" w:color="auto" w:fill="FFE599" w:themeFill="accent4" w:themeFillTint="66"/>
            <w:vAlign w:val="center"/>
          </w:tcPr>
          <w:p w14:paraId="4318E499" w14:textId="3AE6C82A" w:rsidR="00482FCF" w:rsidRPr="00AC2449" w:rsidRDefault="00482FCF" w:rsidP="009D0BD1">
            <w:pPr>
              <w:ind w:left="-114" w:firstLine="114"/>
              <w:jc w:val="center"/>
              <w:rPr>
                <w:rFonts w:cs="Times New Roman"/>
                <w:b/>
                <w:bCs/>
                <w:color w:val="C00000"/>
                <w:sz w:val="22"/>
              </w:rPr>
            </w:pPr>
            <w:r w:rsidRPr="004252E4">
              <w:rPr>
                <w:rFonts w:eastAsia="Times New Roman" w:cs="Times New Roman"/>
                <w:b/>
                <w:bCs/>
                <w:color w:val="00B050"/>
                <w:sz w:val="22"/>
              </w:rPr>
              <w:t>+2,1</w:t>
            </w:r>
            <w:r w:rsidRPr="00482FCF">
              <w:rPr>
                <w:rFonts w:eastAsia="Times New Roman" w:cs="Times New Roman"/>
                <w:bCs/>
                <w:sz w:val="22"/>
                <w:vertAlign w:val="superscript"/>
              </w:rPr>
              <w:t>*</w:t>
            </w:r>
            <w:r w:rsidR="00095319">
              <w:rPr>
                <w:rFonts w:eastAsia="Times New Roman" w:cs="Times New Roman"/>
                <w:bCs/>
                <w:sz w:val="22"/>
                <w:vertAlign w:val="superscript"/>
              </w:rPr>
              <w:t>*</w:t>
            </w:r>
          </w:p>
        </w:tc>
      </w:tr>
      <w:tr w:rsidR="00482FCF" w:rsidRPr="00AC2449" w14:paraId="56F7F004" w14:textId="77777777" w:rsidTr="00AC2449">
        <w:tc>
          <w:tcPr>
            <w:tcW w:w="2996" w:type="dxa"/>
          </w:tcPr>
          <w:p w14:paraId="7151923B" w14:textId="77777777" w:rsidR="00482FCF" w:rsidRPr="00AC2449" w:rsidRDefault="00482FCF" w:rsidP="00482FCF">
            <w:pPr>
              <w:ind w:right="-96"/>
              <w:rPr>
                <w:rFonts w:eastAsia="Times New Roman"/>
                <w:b/>
                <w:bCs/>
                <w:sz w:val="22"/>
              </w:rPr>
            </w:pPr>
            <w:r w:rsidRPr="00956E82">
              <w:rPr>
                <w:rFonts w:eastAsia="Times New Roman"/>
                <w:b/>
                <w:bCs/>
                <w:sz w:val="22"/>
              </w:rPr>
              <w:t>Laikraksti un periodika</w:t>
            </w:r>
          </w:p>
        </w:tc>
        <w:tc>
          <w:tcPr>
            <w:tcW w:w="1109" w:type="dxa"/>
            <w:shd w:val="clear" w:color="auto" w:fill="F2F2F2" w:themeFill="background1" w:themeFillShade="F2"/>
          </w:tcPr>
          <w:p w14:paraId="6163DEA3" w14:textId="77777777" w:rsidR="00482FCF" w:rsidRPr="00482FCF" w:rsidRDefault="00482FCF" w:rsidP="00482FCF">
            <w:pPr>
              <w:jc w:val="center"/>
              <w:rPr>
                <w:rFonts w:eastAsia="Times New Roman" w:cs="Times New Roman"/>
                <w:b/>
                <w:bCs/>
                <w:color w:val="FF0000"/>
                <w:sz w:val="22"/>
              </w:rPr>
            </w:pPr>
            <w:r w:rsidRPr="00482FCF">
              <w:rPr>
                <w:rFonts w:eastAsia="Times New Roman" w:cs="Times New Roman"/>
                <w:b/>
                <w:bCs/>
                <w:color w:val="FF0000"/>
                <w:sz w:val="22"/>
              </w:rPr>
              <w:t>12/21%</w:t>
            </w:r>
          </w:p>
        </w:tc>
        <w:tc>
          <w:tcPr>
            <w:tcW w:w="1372" w:type="dxa"/>
            <w:shd w:val="clear" w:color="auto" w:fill="F2F2F2" w:themeFill="background1" w:themeFillShade="F2"/>
          </w:tcPr>
          <w:p w14:paraId="4F610122" w14:textId="77777777" w:rsidR="00482FCF" w:rsidRPr="00B9487D" w:rsidRDefault="00482FCF" w:rsidP="00482FCF">
            <w:pPr>
              <w:jc w:val="center"/>
              <w:rPr>
                <w:rFonts w:eastAsia="Times New Roman" w:cs="Times New Roman"/>
                <w:b/>
                <w:bCs/>
                <w:color w:val="00B050"/>
                <w:sz w:val="22"/>
              </w:rPr>
            </w:pPr>
            <w:r w:rsidRPr="00B9487D">
              <w:rPr>
                <w:rFonts w:eastAsia="Times New Roman" w:cs="Times New Roman"/>
                <w:b/>
                <w:bCs/>
                <w:color w:val="00B050"/>
                <w:sz w:val="22"/>
              </w:rPr>
              <w:t>5/21%</w:t>
            </w:r>
          </w:p>
        </w:tc>
        <w:tc>
          <w:tcPr>
            <w:tcW w:w="1047" w:type="dxa"/>
            <w:shd w:val="clear" w:color="auto" w:fill="F2F2F2" w:themeFill="background1" w:themeFillShade="F2"/>
          </w:tcPr>
          <w:p w14:paraId="57756119" w14:textId="77777777" w:rsidR="00482FCF" w:rsidRPr="00B9487D" w:rsidRDefault="00482FCF" w:rsidP="00482FCF">
            <w:pPr>
              <w:jc w:val="center"/>
              <w:rPr>
                <w:rFonts w:eastAsia="Times New Roman" w:cs="Times New Roman"/>
                <w:b/>
                <w:bCs/>
                <w:color w:val="002060"/>
                <w:sz w:val="22"/>
              </w:rPr>
            </w:pPr>
            <w:r w:rsidRPr="00B9487D">
              <w:rPr>
                <w:rFonts w:eastAsia="Times New Roman" w:cs="Times New Roman"/>
                <w:b/>
                <w:bCs/>
                <w:color w:val="002060"/>
                <w:sz w:val="22"/>
              </w:rPr>
              <w:t>9/20%</w:t>
            </w:r>
          </w:p>
        </w:tc>
        <w:tc>
          <w:tcPr>
            <w:tcW w:w="1065" w:type="dxa"/>
          </w:tcPr>
          <w:p w14:paraId="4D1ADD90" w14:textId="77777777" w:rsidR="00482FCF" w:rsidRPr="00482FCF" w:rsidRDefault="00482FCF" w:rsidP="00482FCF">
            <w:pPr>
              <w:jc w:val="center"/>
              <w:rPr>
                <w:rFonts w:eastAsia="Times New Roman" w:cs="Times New Roman"/>
                <w:b/>
                <w:bCs/>
                <w:sz w:val="22"/>
              </w:rPr>
            </w:pPr>
            <w:r w:rsidRPr="00482FCF">
              <w:rPr>
                <w:rFonts w:eastAsia="Times New Roman" w:cs="Times New Roman"/>
                <w:b/>
                <w:bCs/>
                <w:sz w:val="22"/>
              </w:rPr>
              <w:t>-</w:t>
            </w:r>
          </w:p>
        </w:tc>
        <w:tc>
          <w:tcPr>
            <w:tcW w:w="1053" w:type="dxa"/>
            <w:shd w:val="clear" w:color="auto" w:fill="FFE599" w:themeFill="accent4" w:themeFillTint="66"/>
          </w:tcPr>
          <w:p w14:paraId="1AB2C338" w14:textId="77777777" w:rsidR="00482FCF" w:rsidRPr="00482FCF" w:rsidRDefault="00482FCF" w:rsidP="00482FCF">
            <w:pPr>
              <w:ind w:left="-114" w:firstLine="114"/>
              <w:jc w:val="center"/>
              <w:rPr>
                <w:rFonts w:cs="Times New Roman"/>
                <w:b/>
                <w:bCs/>
                <w:sz w:val="22"/>
              </w:rPr>
            </w:pPr>
            <w:r w:rsidRPr="00482FCF">
              <w:rPr>
                <w:rFonts w:cs="Times New Roman"/>
                <w:b/>
                <w:bCs/>
                <w:sz w:val="22"/>
              </w:rPr>
              <w:t>-</w:t>
            </w:r>
          </w:p>
        </w:tc>
      </w:tr>
      <w:tr w:rsidR="00482FCF" w:rsidRPr="00AC2449" w14:paraId="4D51FCB3" w14:textId="77777777" w:rsidTr="00482FCF">
        <w:tc>
          <w:tcPr>
            <w:tcW w:w="2996" w:type="dxa"/>
          </w:tcPr>
          <w:p w14:paraId="00BFBDE5" w14:textId="77777777" w:rsidR="00482FCF" w:rsidRPr="00482FCF" w:rsidRDefault="00482FCF" w:rsidP="00482FCF">
            <w:pPr>
              <w:ind w:left="175" w:right="-96"/>
              <w:rPr>
                <w:rFonts w:eastAsia="Times New Roman"/>
                <w:bCs/>
                <w:sz w:val="22"/>
              </w:rPr>
            </w:pPr>
            <w:r w:rsidRPr="00482FCF">
              <w:rPr>
                <w:rFonts w:eastAsia="Times New Roman"/>
                <w:bCs/>
                <w:sz w:val="22"/>
              </w:rPr>
              <w:t>Laikraksti un periodika (fiziska formāta)</w:t>
            </w:r>
          </w:p>
        </w:tc>
        <w:tc>
          <w:tcPr>
            <w:tcW w:w="1109" w:type="dxa"/>
            <w:shd w:val="clear" w:color="auto" w:fill="F2F2F2" w:themeFill="background1" w:themeFillShade="F2"/>
          </w:tcPr>
          <w:p w14:paraId="56E4B802" w14:textId="77777777" w:rsidR="00482FCF" w:rsidRPr="00482FCF" w:rsidRDefault="00482FCF" w:rsidP="00482FCF">
            <w:pPr>
              <w:jc w:val="center"/>
              <w:rPr>
                <w:rFonts w:eastAsia="Times New Roman" w:cs="Times New Roman"/>
                <w:b/>
                <w:bCs/>
                <w:color w:val="FF0000"/>
                <w:sz w:val="22"/>
              </w:rPr>
            </w:pPr>
            <w:r w:rsidRPr="00482FCF">
              <w:rPr>
                <w:rFonts w:eastAsia="Times New Roman" w:cs="Times New Roman"/>
                <w:b/>
                <w:bCs/>
                <w:color w:val="FF0000"/>
                <w:sz w:val="22"/>
              </w:rPr>
              <w:t>12%</w:t>
            </w:r>
          </w:p>
        </w:tc>
        <w:tc>
          <w:tcPr>
            <w:tcW w:w="1372" w:type="dxa"/>
            <w:shd w:val="clear" w:color="auto" w:fill="F2F2F2" w:themeFill="background1" w:themeFillShade="F2"/>
          </w:tcPr>
          <w:p w14:paraId="1F73F8F3" w14:textId="77777777" w:rsidR="00482FCF" w:rsidRPr="00B9487D" w:rsidRDefault="00482FCF" w:rsidP="00482FCF">
            <w:pPr>
              <w:jc w:val="center"/>
              <w:rPr>
                <w:rFonts w:eastAsia="Times New Roman" w:cs="Times New Roman"/>
                <w:b/>
                <w:bCs/>
                <w:color w:val="00B050"/>
                <w:sz w:val="22"/>
              </w:rPr>
            </w:pPr>
            <w:r w:rsidRPr="00B9487D">
              <w:rPr>
                <w:rFonts w:eastAsia="Times New Roman" w:cs="Times New Roman"/>
                <w:b/>
                <w:bCs/>
                <w:color w:val="00B050"/>
                <w:sz w:val="22"/>
              </w:rPr>
              <w:t>5%</w:t>
            </w:r>
          </w:p>
        </w:tc>
        <w:tc>
          <w:tcPr>
            <w:tcW w:w="1047" w:type="dxa"/>
            <w:shd w:val="clear" w:color="auto" w:fill="F2F2F2" w:themeFill="background1" w:themeFillShade="F2"/>
          </w:tcPr>
          <w:p w14:paraId="3F224783" w14:textId="77777777" w:rsidR="00482FCF" w:rsidRPr="00B9487D" w:rsidRDefault="00482FCF" w:rsidP="00482FCF">
            <w:pPr>
              <w:jc w:val="center"/>
              <w:rPr>
                <w:rFonts w:eastAsia="Times New Roman" w:cs="Times New Roman"/>
                <w:b/>
                <w:bCs/>
                <w:color w:val="002060"/>
                <w:sz w:val="22"/>
              </w:rPr>
            </w:pPr>
            <w:r w:rsidRPr="00B9487D">
              <w:rPr>
                <w:rFonts w:eastAsia="Times New Roman" w:cs="Times New Roman"/>
                <w:b/>
                <w:bCs/>
                <w:color w:val="002060"/>
                <w:sz w:val="22"/>
              </w:rPr>
              <w:t>9%</w:t>
            </w:r>
          </w:p>
        </w:tc>
        <w:tc>
          <w:tcPr>
            <w:tcW w:w="1065" w:type="dxa"/>
            <w:vAlign w:val="center"/>
          </w:tcPr>
          <w:p w14:paraId="211E4023" w14:textId="77777777" w:rsidR="00482FCF" w:rsidRPr="00482FCF" w:rsidRDefault="00482FCF" w:rsidP="00482FCF">
            <w:pPr>
              <w:jc w:val="center"/>
              <w:rPr>
                <w:rFonts w:eastAsia="Times New Roman" w:cs="Times New Roman"/>
                <w:b/>
                <w:bCs/>
                <w:color w:val="FF0000"/>
                <w:sz w:val="22"/>
              </w:rPr>
            </w:pPr>
            <w:r w:rsidRPr="00482FCF">
              <w:rPr>
                <w:rFonts w:eastAsia="Times New Roman" w:cs="Times New Roman"/>
                <w:b/>
                <w:bCs/>
                <w:color w:val="FF0000"/>
                <w:sz w:val="22"/>
              </w:rPr>
              <w:t>5%</w:t>
            </w:r>
          </w:p>
          <w:p w14:paraId="208F4680" w14:textId="77777777" w:rsidR="00482FCF" w:rsidRPr="00915875" w:rsidRDefault="00482FCF" w:rsidP="00482FCF">
            <w:pPr>
              <w:jc w:val="center"/>
              <w:rPr>
                <w:rFonts w:eastAsia="Times New Roman" w:cs="Times New Roman"/>
                <w:bCs/>
                <w:sz w:val="18"/>
                <w:szCs w:val="18"/>
              </w:rPr>
            </w:pPr>
            <w:r w:rsidRPr="00915875">
              <w:rPr>
                <w:rFonts w:eastAsia="Times New Roman" w:cs="Times New Roman"/>
                <w:bCs/>
                <w:sz w:val="18"/>
                <w:szCs w:val="18"/>
              </w:rPr>
              <w:t>(iekšzemes un ES valstu)</w:t>
            </w:r>
          </w:p>
          <w:p w14:paraId="3390506D" w14:textId="77777777" w:rsidR="00482FCF" w:rsidRPr="00482FCF" w:rsidRDefault="00482FCF" w:rsidP="00482FCF">
            <w:pPr>
              <w:jc w:val="center"/>
              <w:rPr>
                <w:rFonts w:eastAsia="Times New Roman" w:cs="Times New Roman"/>
                <w:b/>
                <w:bCs/>
                <w:color w:val="FF0000"/>
                <w:sz w:val="22"/>
              </w:rPr>
            </w:pPr>
            <w:r w:rsidRPr="00482FCF">
              <w:rPr>
                <w:rFonts w:eastAsia="Times New Roman" w:cs="Times New Roman"/>
                <w:b/>
                <w:bCs/>
                <w:color w:val="FF0000"/>
                <w:sz w:val="22"/>
              </w:rPr>
              <w:t>21%</w:t>
            </w:r>
          </w:p>
          <w:p w14:paraId="426A3AB7" w14:textId="77777777" w:rsidR="00482FCF" w:rsidRPr="00AC2449" w:rsidRDefault="00482FCF" w:rsidP="00482FCF">
            <w:pPr>
              <w:jc w:val="center"/>
              <w:rPr>
                <w:rFonts w:eastAsia="Times New Roman" w:cs="Times New Roman"/>
                <w:b/>
                <w:bCs/>
                <w:color w:val="FF0000"/>
                <w:sz w:val="22"/>
              </w:rPr>
            </w:pPr>
            <w:r w:rsidRPr="00915875">
              <w:rPr>
                <w:rFonts w:eastAsia="Times New Roman" w:cs="Times New Roman"/>
                <w:bCs/>
                <w:sz w:val="18"/>
                <w:szCs w:val="18"/>
              </w:rPr>
              <w:t>(ārpus ES valstu)</w:t>
            </w:r>
          </w:p>
        </w:tc>
        <w:tc>
          <w:tcPr>
            <w:tcW w:w="1053" w:type="dxa"/>
            <w:shd w:val="clear" w:color="auto" w:fill="FFE599" w:themeFill="accent4" w:themeFillTint="66"/>
            <w:vAlign w:val="center"/>
          </w:tcPr>
          <w:p w14:paraId="005B6583" w14:textId="77777777" w:rsidR="00482FCF" w:rsidRPr="00482FCF" w:rsidRDefault="00482FCF" w:rsidP="00482FCF">
            <w:pPr>
              <w:ind w:left="-114" w:firstLine="114"/>
              <w:jc w:val="center"/>
              <w:rPr>
                <w:rFonts w:cs="Times New Roman"/>
                <w:b/>
                <w:bCs/>
                <w:color w:val="C00000"/>
                <w:sz w:val="22"/>
              </w:rPr>
            </w:pPr>
            <w:r w:rsidRPr="00482FCF">
              <w:rPr>
                <w:rFonts w:eastAsia="Times New Roman" w:cs="Times New Roman"/>
                <w:b/>
                <w:bCs/>
                <w:color w:val="C00000"/>
                <w:sz w:val="22"/>
              </w:rPr>
              <w:t>-2,0</w:t>
            </w:r>
          </w:p>
        </w:tc>
      </w:tr>
      <w:tr w:rsidR="00482FCF" w:rsidRPr="005E7FDE" w14:paraId="6914AA72" w14:textId="77777777" w:rsidTr="00AC2449">
        <w:tc>
          <w:tcPr>
            <w:tcW w:w="2996" w:type="dxa"/>
            <w:tcBorders>
              <w:bottom w:val="single" w:sz="4" w:space="0" w:color="auto"/>
            </w:tcBorders>
          </w:tcPr>
          <w:p w14:paraId="5D583C03" w14:textId="77777777" w:rsidR="00482FCF" w:rsidRPr="005E7FDE" w:rsidRDefault="00482FCF" w:rsidP="00482FCF">
            <w:pPr>
              <w:ind w:right="-96"/>
              <w:rPr>
                <w:rFonts w:eastAsia="Times New Roman"/>
                <w:bCs/>
                <w:sz w:val="22"/>
              </w:rPr>
            </w:pPr>
            <w:r w:rsidRPr="005E7FDE">
              <w:rPr>
                <w:rFonts w:eastAsia="Times New Roman"/>
                <w:b/>
                <w:bCs/>
                <w:sz w:val="22"/>
              </w:rPr>
              <w:t>Restorānu pakalpojumi</w:t>
            </w:r>
          </w:p>
        </w:tc>
        <w:tc>
          <w:tcPr>
            <w:tcW w:w="1109" w:type="dxa"/>
            <w:tcBorders>
              <w:bottom w:val="single" w:sz="4" w:space="0" w:color="auto"/>
            </w:tcBorders>
            <w:shd w:val="clear" w:color="auto" w:fill="F2F2F2" w:themeFill="background1" w:themeFillShade="F2"/>
          </w:tcPr>
          <w:p w14:paraId="1D033747" w14:textId="77777777" w:rsidR="00482FCF" w:rsidRPr="00394868" w:rsidRDefault="00482FCF" w:rsidP="00482FCF">
            <w:pPr>
              <w:jc w:val="center"/>
              <w:rPr>
                <w:rFonts w:eastAsia="Times New Roman" w:cs="Times New Roman"/>
                <w:b/>
                <w:bCs/>
                <w:color w:val="FF0000"/>
                <w:sz w:val="22"/>
              </w:rPr>
            </w:pPr>
            <w:r w:rsidRPr="00394868">
              <w:rPr>
                <w:rFonts w:eastAsia="Times New Roman" w:cs="Times New Roman"/>
                <w:b/>
                <w:bCs/>
                <w:color w:val="FF0000"/>
                <w:sz w:val="22"/>
              </w:rPr>
              <w:t>21%</w:t>
            </w:r>
          </w:p>
        </w:tc>
        <w:tc>
          <w:tcPr>
            <w:tcW w:w="1372" w:type="dxa"/>
            <w:tcBorders>
              <w:bottom w:val="single" w:sz="4" w:space="0" w:color="auto"/>
            </w:tcBorders>
            <w:shd w:val="clear" w:color="auto" w:fill="F2F2F2" w:themeFill="background1" w:themeFillShade="F2"/>
          </w:tcPr>
          <w:p w14:paraId="1F6C5FC2" w14:textId="77777777" w:rsidR="00482FCF" w:rsidRPr="005E7FDE" w:rsidRDefault="00482FCF" w:rsidP="00482FCF">
            <w:pPr>
              <w:jc w:val="center"/>
              <w:rPr>
                <w:rFonts w:eastAsia="Times New Roman" w:cs="Times New Roman"/>
                <w:b/>
                <w:bCs/>
                <w:color w:val="00B050"/>
                <w:sz w:val="22"/>
              </w:rPr>
            </w:pPr>
            <w:r>
              <w:rPr>
                <w:rFonts w:eastAsia="Times New Roman" w:cs="Times New Roman"/>
                <w:b/>
                <w:bCs/>
                <w:color w:val="00B050"/>
                <w:sz w:val="22"/>
              </w:rPr>
              <w:t>21</w:t>
            </w:r>
            <w:r w:rsidRPr="005E7FDE">
              <w:rPr>
                <w:rFonts w:eastAsia="Times New Roman" w:cs="Times New Roman"/>
                <w:b/>
                <w:bCs/>
                <w:color w:val="00B050"/>
                <w:sz w:val="22"/>
              </w:rPr>
              <w:t>%</w:t>
            </w:r>
          </w:p>
        </w:tc>
        <w:tc>
          <w:tcPr>
            <w:tcW w:w="1047" w:type="dxa"/>
            <w:tcBorders>
              <w:bottom w:val="single" w:sz="4" w:space="0" w:color="auto"/>
            </w:tcBorders>
            <w:shd w:val="clear" w:color="auto" w:fill="F2F2F2" w:themeFill="background1" w:themeFillShade="F2"/>
          </w:tcPr>
          <w:p w14:paraId="1BA25B76" w14:textId="77777777" w:rsidR="00482FCF" w:rsidRPr="005E7FDE" w:rsidRDefault="00482FCF" w:rsidP="00482FCF">
            <w:pPr>
              <w:pStyle w:val="ListParagraph"/>
              <w:ind w:left="26"/>
              <w:jc w:val="center"/>
              <w:rPr>
                <w:rFonts w:eastAsia="Times New Roman"/>
                <w:b/>
                <w:bCs/>
                <w:color w:val="002060"/>
                <w:sz w:val="22"/>
              </w:rPr>
            </w:pPr>
            <w:r w:rsidRPr="005E7FDE">
              <w:rPr>
                <w:rFonts w:eastAsia="Times New Roman"/>
                <w:b/>
                <w:bCs/>
                <w:color w:val="002060"/>
                <w:sz w:val="22"/>
              </w:rPr>
              <w:t>20%</w:t>
            </w:r>
          </w:p>
        </w:tc>
        <w:tc>
          <w:tcPr>
            <w:tcW w:w="1065" w:type="dxa"/>
            <w:tcBorders>
              <w:bottom w:val="single" w:sz="4" w:space="0" w:color="auto"/>
            </w:tcBorders>
          </w:tcPr>
          <w:p w14:paraId="3E9B8A5F" w14:textId="77777777" w:rsidR="00482FCF" w:rsidRPr="00AC2449" w:rsidRDefault="00482FCF" w:rsidP="00482FCF">
            <w:pPr>
              <w:jc w:val="center"/>
              <w:rPr>
                <w:rFonts w:eastAsia="Times New Roman" w:cs="Times New Roman"/>
                <w:b/>
                <w:bCs/>
                <w:color w:val="FF0000"/>
                <w:sz w:val="22"/>
              </w:rPr>
            </w:pPr>
            <w:r w:rsidRPr="00AC2449">
              <w:rPr>
                <w:rFonts w:eastAsia="Times New Roman" w:cs="Times New Roman"/>
                <w:b/>
                <w:bCs/>
                <w:color w:val="FF0000"/>
                <w:sz w:val="22"/>
              </w:rPr>
              <w:t>12%</w:t>
            </w:r>
          </w:p>
        </w:tc>
        <w:tc>
          <w:tcPr>
            <w:tcW w:w="1053" w:type="dxa"/>
            <w:tcBorders>
              <w:bottom w:val="single" w:sz="4" w:space="0" w:color="auto"/>
            </w:tcBorders>
            <w:shd w:val="clear" w:color="auto" w:fill="FFE599" w:themeFill="accent4" w:themeFillTint="66"/>
          </w:tcPr>
          <w:p w14:paraId="70182371" w14:textId="77777777" w:rsidR="00482FCF" w:rsidRPr="005E7FDE" w:rsidRDefault="00482FCF" w:rsidP="00482FCF">
            <w:pPr>
              <w:ind w:left="-114" w:firstLine="114"/>
              <w:jc w:val="center"/>
              <w:rPr>
                <w:rFonts w:eastAsia="Times New Roman" w:cs="Times New Roman"/>
                <w:b/>
                <w:bCs/>
                <w:color w:val="C00000"/>
                <w:sz w:val="22"/>
              </w:rPr>
            </w:pPr>
            <w:r w:rsidRPr="005E7FDE">
              <w:rPr>
                <w:rFonts w:cs="Times New Roman"/>
                <w:b/>
                <w:bCs/>
                <w:color w:val="C00000"/>
                <w:sz w:val="22"/>
              </w:rPr>
              <w:t>-25-30</w:t>
            </w:r>
          </w:p>
        </w:tc>
      </w:tr>
      <w:tr w:rsidR="00482FCF" w:rsidRPr="005E7FDE" w14:paraId="47F27396" w14:textId="77777777" w:rsidTr="00AC2449">
        <w:tc>
          <w:tcPr>
            <w:tcW w:w="2996" w:type="dxa"/>
            <w:tcBorders>
              <w:bottom w:val="dotted" w:sz="4" w:space="0" w:color="auto"/>
            </w:tcBorders>
          </w:tcPr>
          <w:p w14:paraId="58DBD61E" w14:textId="77777777" w:rsidR="00482FCF" w:rsidRPr="005E7FDE" w:rsidRDefault="00482FCF" w:rsidP="00482FCF">
            <w:pPr>
              <w:ind w:right="-96"/>
              <w:rPr>
                <w:rFonts w:eastAsia="Times New Roman"/>
                <w:b/>
                <w:bCs/>
                <w:sz w:val="22"/>
              </w:rPr>
            </w:pPr>
            <w:r w:rsidRPr="005E7FDE">
              <w:rPr>
                <w:rFonts w:eastAsia="Times New Roman"/>
                <w:b/>
                <w:bCs/>
                <w:sz w:val="22"/>
              </w:rPr>
              <w:t>Pārtika</w:t>
            </w:r>
          </w:p>
        </w:tc>
        <w:tc>
          <w:tcPr>
            <w:tcW w:w="1109" w:type="dxa"/>
            <w:tcBorders>
              <w:bottom w:val="dotted" w:sz="4" w:space="0" w:color="auto"/>
            </w:tcBorders>
            <w:shd w:val="clear" w:color="auto" w:fill="F2F2F2" w:themeFill="background1" w:themeFillShade="F2"/>
          </w:tcPr>
          <w:p w14:paraId="04B21CA9" w14:textId="77777777" w:rsidR="00482FCF" w:rsidRPr="00394868" w:rsidRDefault="00482FCF" w:rsidP="00482FCF">
            <w:pPr>
              <w:jc w:val="center"/>
              <w:rPr>
                <w:rFonts w:eastAsia="Times New Roman" w:cs="Times New Roman"/>
                <w:b/>
                <w:bCs/>
                <w:color w:val="FF0000"/>
                <w:sz w:val="22"/>
              </w:rPr>
            </w:pPr>
            <w:r w:rsidRPr="00394868">
              <w:rPr>
                <w:rFonts w:eastAsia="Times New Roman" w:cs="Times New Roman"/>
                <w:b/>
                <w:bCs/>
                <w:color w:val="FF0000"/>
                <w:sz w:val="22"/>
              </w:rPr>
              <w:t>5/12/21%</w:t>
            </w:r>
          </w:p>
        </w:tc>
        <w:tc>
          <w:tcPr>
            <w:tcW w:w="1372" w:type="dxa"/>
            <w:tcBorders>
              <w:bottom w:val="dotted" w:sz="4" w:space="0" w:color="auto"/>
            </w:tcBorders>
            <w:shd w:val="clear" w:color="auto" w:fill="F2F2F2" w:themeFill="background1" w:themeFillShade="F2"/>
          </w:tcPr>
          <w:p w14:paraId="4002381E" w14:textId="77777777" w:rsidR="00482FCF" w:rsidRPr="005E7FDE" w:rsidRDefault="00482FCF" w:rsidP="00482FCF">
            <w:pPr>
              <w:jc w:val="center"/>
              <w:rPr>
                <w:rFonts w:eastAsia="Times New Roman" w:cs="Times New Roman"/>
                <w:b/>
                <w:bCs/>
                <w:color w:val="00B050"/>
                <w:sz w:val="22"/>
              </w:rPr>
            </w:pPr>
            <w:r w:rsidRPr="005E7FDE">
              <w:rPr>
                <w:rFonts w:eastAsia="Times New Roman" w:cs="Times New Roman"/>
                <w:b/>
                <w:bCs/>
                <w:color w:val="00B050"/>
                <w:sz w:val="22"/>
              </w:rPr>
              <w:t>2</w:t>
            </w:r>
            <w:r>
              <w:rPr>
                <w:rFonts w:eastAsia="Times New Roman" w:cs="Times New Roman"/>
                <w:b/>
                <w:bCs/>
                <w:color w:val="00B050"/>
                <w:sz w:val="22"/>
              </w:rPr>
              <w:t>1</w:t>
            </w:r>
            <w:r w:rsidRPr="005E7FDE">
              <w:rPr>
                <w:rFonts w:eastAsia="Times New Roman" w:cs="Times New Roman"/>
                <w:b/>
                <w:bCs/>
                <w:color w:val="00B050"/>
                <w:sz w:val="22"/>
              </w:rPr>
              <w:t>%</w:t>
            </w:r>
          </w:p>
        </w:tc>
        <w:tc>
          <w:tcPr>
            <w:tcW w:w="1047" w:type="dxa"/>
            <w:tcBorders>
              <w:bottom w:val="dotted" w:sz="4" w:space="0" w:color="auto"/>
            </w:tcBorders>
            <w:shd w:val="clear" w:color="auto" w:fill="F2F2F2" w:themeFill="background1" w:themeFillShade="F2"/>
          </w:tcPr>
          <w:p w14:paraId="302F9DA2" w14:textId="77777777" w:rsidR="00482FCF" w:rsidRPr="005E7FDE" w:rsidRDefault="00482FCF" w:rsidP="00482FCF">
            <w:pPr>
              <w:pStyle w:val="ListParagraph"/>
              <w:ind w:left="26"/>
              <w:jc w:val="center"/>
              <w:rPr>
                <w:rFonts w:eastAsia="Times New Roman"/>
                <w:b/>
                <w:bCs/>
                <w:color w:val="002060"/>
                <w:sz w:val="22"/>
              </w:rPr>
            </w:pPr>
            <w:r w:rsidRPr="005E7FDE">
              <w:rPr>
                <w:rFonts w:eastAsia="Times New Roman"/>
                <w:b/>
                <w:bCs/>
                <w:color w:val="002060"/>
                <w:sz w:val="22"/>
              </w:rPr>
              <w:t>20%</w:t>
            </w:r>
          </w:p>
        </w:tc>
        <w:tc>
          <w:tcPr>
            <w:tcW w:w="1065" w:type="dxa"/>
            <w:tcBorders>
              <w:bottom w:val="dotted" w:sz="4" w:space="0" w:color="auto"/>
            </w:tcBorders>
          </w:tcPr>
          <w:p w14:paraId="2DBF1550" w14:textId="77777777" w:rsidR="00482FCF" w:rsidRPr="00AC2449" w:rsidRDefault="00482FCF" w:rsidP="00482FCF">
            <w:pPr>
              <w:jc w:val="center"/>
              <w:rPr>
                <w:rFonts w:eastAsia="Times New Roman" w:cs="Times New Roman"/>
                <w:b/>
                <w:bCs/>
                <w:color w:val="FF0000"/>
                <w:sz w:val="22"/>
              </w:rPr>
            </w:pPr>
          </w:p>
        </w:tc>
        <w:tc>
          <w:tcPr>
            <w:tcW w:w="1053" w:type="dxa"/>
            <w:tcBorders>
              <w:bottom w:val="dotted" w:sz="4" w:space="0" w:color="auto"/>
            </w:tcBorders>
            <w:shd w:val="clear" w:color="auto" w:fill="FFE599" w:themeFill="accent4" w:themeFillTint="66"/>
          </w:tcPr>
          <w:p w14:paraId="16A16027" w14:textId="77777777" w:rsidR="00482FCF" w:rsidRPr="005E7FDE" w:rsidRDefault="00482FCF" w:rsidP="00482FCF">
            <w:pPr>
              <w:ind w:left="-114" w:firstLine="114"/>
              <w:jc w:val="center"/>
              <w:rPr>
                <w:rFonts w:eastAsia="Times New Roman" w:cs="Times New Roman"/>
                <w:b/>
                <w:bCs/>
                <w:color w:val="C00000"/>
                <w:sz w:val="22"/>
              </w:rPr>
            </w:pPr>
          </w:p>
        </w:tc>
      </w:tr>
      <w:tr w:rsidR="00482FCF" w:rsidRPr="005E7FDE" w14:paraId="58E79116" w14:textId="77777777" w:rsidTr="00AC2449">
        <w:tc>
          <w:tcPr>
            <w:tcW w:w="2996" w:type="dxa"/>
            <w:tcBorders>
              <w:top w:val="dotted" w:sz="4" w:space="0" w:color="auto"/>
              <w:bottom w:val="dotted" w:sz="4" w:space="0" w:color="auto"/>
            </w:tcBorders>
          </w:tcPr>
          <w:p w14:paraId="3B491CE8" w14:textId="77777777" w:rsidR="00482FCF" w:rsidRPr="005E7FDE" w:rsidRDefault="00482FCF" w:rsidP="00482FCF">
            <w:pPr>
              <w:ind w:left="175" w:right="-96"/>
              <w:rPr>
                <w:rFonts w:eastAsia="Times New Roman"/>
                <w:b/>
                <w:bCs/>
                <w:sz w:val="22"/>
              </w:rPr>
            </w:pPr>
            <w:r w:rsidRPr="005E7FDE">
              <w:rPr>
                <w:rFonts w:eastAsia="Times New Roman"/>
                <w:iCs/>
                <w:sz w:val="22"/>
              </w:rPr>
              <w:t>Gaļai, zivīm (svaiga)</w:t>
            </w:r>
          </w:p>
        </w:tc>
        <w:tc>
          <w:tcPr>
            <w:tcW w:w="1109" w:type="dxa"/>
            <w:tcBorders>
              <w:top w:val="dotted" w:sz="4" w:space="0" w:color="auto"/>
              <w:bottom w:val="dotted" w:sz="4" w:space="0" w:color="auto"/>
            </w:tcBorders>
            <w:shd w:val="clear" w:color="auto" w:fill="F2F2F2" w:themeFill="background1" w:themeFillShade="F2"/>
          </w:tcPr>
          <w:p w14:paraId="7EE6BAD5" w14:textId="77777777" w:rsidR="00482FCF" w:rsidRPr="00394868" w:rsidRDefault="00482FCF" w:rsidP="00482FCF">
            <w:pPr>
              <w:jc w:val="center"/>
              <w:rPr>
                <w:rFonts w:eastAsia="Times New Roman" w:cs="Times New Roman"/>
                <w:b/>
                <w:bCs/>
                <w:color w:val="FF0000"/>
                <w:sz w:val="22"/>
              </w:rPr>
            </w:pPr>
            <w:r w:rsidRPr="00394868">
              <w:rPr>
                <w:rFonts w:eastAsia="Times New Roman" w:cs="Times New Roman"/>
                <w:b/>
                <w:bCs/>
                <w:color w:val="FF0000"/>
                <w:sz w:val="22"/>
              </w:rPr>
              <w:t>21%</w:t>
            </w:r>
          </w:p>
        </w:tc>
        <w:tc>
          <w:tcPr>
            <w:tcW w:w="1372" w:type="dxa"/>
            <w:tcBorders>
              <w:top w:val="dotted" w:sz="4" w:space="0" w:color="auto"/>
              <w:bottom w:val="dotted" w:sz="4" w:space="0" w:color="auto"/>
            </w:tcBorders>
            <w:shd w:val="clear" w:color="auto" w:fill="F2F2F2" w:themeFill="background1" w:themeFillShade="F2"/>
          </w:tcPr>
          <w:p w14:paraId="749A7350" w14:textId="77777777" w:rsidR="00482FCF" w:rsidRPr="005E7FDE" w:rsidRDefault="00482FCF" w:rsidP="00482FCF">
            <w:pPr>
              <w:jc w:val="center"/>
              <w:rPr>
                <w:rFonts w:eastAsia="Times New Roman" w:cs="Times New Roman"/>
                <w:b/>
                <w:bCs/>
                <w:color w:val="00B050"/>
                <w:sz w:val="22"/>
              </w:rPr>
            </w:pPr>
            <w:r>
              <w:rPr>
                <w:rFonts w:eastAsia="Times New Roman" w:cs="Times New Roman"/>
                <w:b/>
                <w:bCs/>
                <w:color w:val="00B050"/>
                <w:sz w:val="22"/>
              </w:rPr>
              <w:t>21</w:t>
            </w:r>
            <w:r w:rsidRPr="005E7FDE">
              <w:rPr>
                <w:rFonts w:eastAsia="Times New Roman" w:cs="Times New Roman"/>
                <w:b/>
                <w:bCs/>
                <w:color w:val="00B050"/>
                <w:sz w:val="22"/>
              </w:rPr>
              <w:t>%</w:t>
            </w:r>
          </w:p>
        </w:tc>
        <w:tc>
          <w:tcPr>
            <w:tcW w:w="1047" w:type="dxa"/>
            <w:tcBorders>
              <w:top w:val="dotted" w:sz="4" w:space="0" w:color="auto"/>
              <w:bottom w:val="dotted" w:sz="4" w:space="0" w:color="auto"/>
            </w:tcBorders>
            <w:shd w:val="clear" w:color="auto" w:fill="F2F2F2" w:themeFill="background1" w:themeFillShade="F2"/>
          </w:tcPr>
          <w:p w14:paraId="6446C0AB" w14:textId="77777777" w:rsidR="00482FCF" w:rsidRPr="005E7FDE" w:rsidRDefault="00482FCF" w:rsidP="00482FCF">
            <w:pPr>
              <w:pStyle w:val="ListParagraph"/>
              <w:ind w:left="26"/>
              <w:jc w:val="center"/>
              <w:rPr>
                <w:rFonts w:eastAsia="Times New Roman"/>
                <w:b/>
                <w:bCs/>
                <w:color w:val="002060"/>
                <w:sz w:val="22"/>
              </w:rPr>
            </w:pPr>
            <w:r w:rsidRPr="005E7FDE">
              <w:rPr>
                <w:rFonts w:eastAsia="Times New Roman"/>
                <w:b/>
                <w:bCs/>
                <w:color w:val="002060"/>
                <w:sz w:val="22"/>
              </w:rPr>
              <w:t>20%</w:t>
            </w:r>
          </w:p>
        </w:tc>
        <w:tc>
          <w:tcPr>
            <w:tcW w:w="1065" w:type="dxa"/>
            <w:tcBorders>
              <w:top w:val="dotted" w:sz="4" w:space="0" w:color="auto"/>
              <w:bottom w:val="dotted" w:sz="4" w:space="0" w:color="auto"/>
            </w:tcBorders>
          </w:tcPr>
          <w:p w14:paraId="095A3CA9" w14:textId="77777777" w:rsidR="00482FCF" w:rsidRPr="00AC2449" w:rsidRDefault="00482FCF" w:rsidP="00482FCF">
            <w:pPr>
              <w:jc w:val="center"/>
              <w:rPr>
                <w:rFonts w:cs="Times New Roman"/>
                <w:b/>
                <w:bCs/>
                <w:color w:val="FF0000"/>
                <w:sz w:val="22"/>
              </w:rPr>
            </w:pPr>
            <w:r w:rsidRPr="00AC2449">
              <w:rPr>
                <w:rFonts w:cs="Times New Roman"/>
                <w:b/>
                <w:bCs/>
                <w:color w:val="FF0000"/>
                <w:sz w:val="22"/>
              </w:rPr>
              <w:t>5%</w:t>
            </w:r>
          </w:p>
        </w:tc>
        <w:tc>
          <w:tcPr>
            <w:tcW w:w="1053" w:type="dxa"/>
            <w:tcBorders>
              <w:top w:val="dotted" w:sz="4" w:space="0" w:color="auto"/>
              <w:bottom w:val="dotted" w:sz="4" w:space="0" w:color="auto"/>
            </w:tcBorders>
            <w:shd w:val="clear" w:color="auto" w:fill="FFE599" w:themeFill="accent4" w:themeFillTint="66"/>
          </w:tcPr>
          <w:p w14:paraId="65D5DF62" w14:textId="77777777" w:rsidR="00482FCF" w:rsidRPr="005E7FDE" w:rsidRDefault="00482FCF" w:rsidP="00482FCF">
            <w:pPr>
              <w:jc w:val="center"/>
              <w:rPr>
                <w:rFonts w:cs="Times New Roman"/>
                <w:b/>
                <w:bCs/>
                <w:color w:val="C00000"/>
                <w:sz w:val="22"/>
              </w:rPr>
            </w:pPr>
            <w:r w:rsidRPr="005E7FDE">
              <w:rPr>
                <w:rFonts w:cs="Times New Roman"/>
                <w:b/>
                <w:bCs/>
                <w:color w:val="C00000"/>
                <w:sz w:val="22"/>
              </w:rPr>
              <w:t>-20-25</w:t>
            </w:r>
          </w:p>
        </w:tc>
      </w:tr>
      <w:tr w:rsidR="00482FCF" w:rsidRPr="005E7FDE" w14:paraId="189172E9" w14:textId="77777777" w:rsidTr="00AC2449">
        <w:tc>
          <w:tcPr>
            <w:tcW w:w="2996" w:type="dxa"/>
            <w:tcBorders>
              <w:top w:val="dotted" w:sz="4" w:space="0" w:color="auto"/>
              <w:bottom w:val="dotted" w:sz="4" w:space="0" w:color="auto"/>
            </w:tcBorders>
          </w:tcPr>
          <w:p w14:paraId="46B5D4B4" w14:textId="77777777" w:rsidR="00482FCF" w:rsidRPr="005E7FDE" w:rsidRDefault="00482FCF" w:rsidP="00482FCF">
            <w:pPr>
              <w:ind w:left="175" w:right="-96"/>
              <w:rPr>
                <w:rFonts w:eastAsia="Times New Roman"/>
                <w:iCs/>
                <w:sz w:val="22"/>
              </w:rPr>
            </w:pPr>
            <w:r w:rsidRPr="005E7FDE">
              <w:rPr>
                <w:rFonts w:eastAsia="Times New Roman"/>
                <w:iCs/>
                <w:sz w:val="22"/>
              </w:rPr>
              <w:t>Maizei un graudaugu izstrādājumiem</w:t>
            </w:r>
          </w:p>
        </w:tc>
        <w:tc>
          <w:tcPr>
            <w:tcW w:w="1109" w:type="dxa"/>
            <w:tcBorders>
              <w:top w:val="dotted" w:sz="4" w:space="0" w:color="auto"/>
              <w:bottom w:val="dotted" w:sz="4" w:space="0" w:color="auto"/>
            </w:tcBorders>
            <w:shd w:val="clear" w:color="auto" w:fill="F2F2F2" w:themeFill="background1" w:themeFillShade="F2"/>
          </w:tcPr>
          <w:p w14:paraId="48ADE3D1" w14:textId="77777777" w:rsidR="00482FCF" w:rsidRPr="00394868" w:rsidRDefault="00482FCF" w:rsidP="00482FCF">
            <w:pPr>
              <w:jc w:val="center"/>
              <w:rPr>
                <w:rFonts w:eastAsia="Times New Roman" w:cs="Times New Roman"/>
                <w:b/>
                <w:bCs/>
                <w:color w:val="FF0000"/>
                <w:sz w:val="22"/>
              </w:rPr>
            </w:pPr>
            <w:r w:rsidRPr="00394868">
              <w:rPr>
                <w:rFonts w:eastAsia="Times New Roman" w:cs="Times New Roman"/>
                <w:b/>
                <w:bCs/>
                <w:color w:val="FF0000"/>
                <w:sz w:val="22"/>
              </w:rPr>
              <w:t>21%</w:t>
            </w:r>
          </w:p>
        </w:tc>
        <w:tc>
          <w:tcPr>
            <w:tcW w:w="1372" w:type="dxa"/>
            <w:tcBorders>
              <w:top w:val="dotted" w:sz="4" w:space="0" w:color="auto"/>
              <w:bottom w:val="dotted" w:sz="4" w:space="0" w:color="auto"/>
            </w:tcBorders>
            <w:shd w:val="clear" w:color="auto" w:fill="F2F2F2" w:themeFill="background1" w:themeFillShade="F2"/>
          </w:tcPr>
          <w:p w14:paraId="5209AE61" w14:textId="77777777" w:rsidR="00482FCF" w:rsidRPr="005E7FDE" w:rsidRDefault="00482FCF" w:rsidP="00482FCF">
            <w:pPr>
              <w:jc w:val="center"/>
              <w:rPr>
                <w:rFonts w:eastAsia="Times New Roman" w:cs="Times New Roman"/>
                <w:b/>
                <w:bCs/>
                <w:color w:val="00B050"/>
                <w:sz w:val="22"/>
              </w:rPr>
            </w:pPr>
            <w:r>
              <w:rPr>
                <w:rFonts w:eastAsia="Times New Roman" w:cs="Times New Roman"/>
                <w:b/>
                <w:bCs/>
                <w:color w:val="00B050"/>
                <w:sz w:val="22"/>
              </w:rPr>
              <w:t>21</w:t>
            </w:r>
            <w:r w:rsidRPr="005E7FDE">
              <w:rPr>
                <w:rFonts w:eastAsia="Times New Roman" w:cs="Times New Roman"/>
                <w:b/>
                <w:bCs/>
                <w:color w:val="00B050"/>
                <w:sz w:val="22"/>
              </w:rPr>
              <w:t>%</w:t>
            </w:r>
          </w:p>
        </w:tc>
        <w:tc>
          <w:tcPr>
            <w:tcW w:w="1047" w:type="dxa"/>
            <w:tcBorders>
              <w:top w:val="dotted" w:sz="4" w:space="0" w:color="auto"/>
              <w:bottom w:val="dotted" w:sz="4" w:space="0" w:color="auto"/>
            </w:tcBorders>
            <w:shd w:val="clear" w:color="auto" w:fill="F2F2F2" w:themeFill="background1" w:themeFillShade="F2"/>
          </w:tcPr>
          <w:p w14:paraId="587396D4" w14:textId="77777777" w:rsidR="00482FCF" w:rsidRPr="005E7FDE" w:rsidRDefault="00482FCF" w:rsidP="00482FCF">
            <w:pPr>
              <w:pStyle w:val="ListParagraph"/>
              <w:ind w:left="26"/>
              <w:jc w:val="center"/>
              <w:rPr>
                <w:rFonts w:eastAsia="Times New Roman"/>
                <w:b/>
                <w:bCs/>
                <w:color w:val="002060"/>
                <w:sz w:val="22"/>
              </w:rPr>
            </w:pPr>
            <w:r w:rsidRPr="005E7FDE">
              <w:rPr>
                <w:rFonts w:eastAsia="Times New Roman"/>
                <w:b/>
                <w:bCs/>
                <w:color w:val="002060"/>
                <w:sz w:val="22"/>
              </w:rPr>
              <w:t>20%</w:t>
            </w:r>
          </w:p>
        </w:tc>
        <w:tc>
          <w:tcPr>
            <w:tcW w:w="1065" w:type="dxa"/>
            <w:tcBorders>
              <w:top w:val="dotted" w:sz="4" w:space="0" w:color="auto"/>
              <w:bottom w:val="dotted" w:sz="4" w:space="0" w:color="auto"/>
            </w:tcBorders>
          </w:tcPr>
          <w:p w14:paraId="656E29D1" w14:textId="77777777" w:rsidR="00482FCF" w:rsidRPr="00AC2449" w:rsidRDefault="00482FCF" w:rsidP="00482FCF">
            <w:pPr>
              <w:jc w:val="center"/>
              <w:rPr>
                <w:rFonts w:cs="Times New Roman"/>
                <w:b/>
                <w:bCs/>
                <w:color w:val="FF0000"/>
                <w:sz w:val="22"/>
              </w:rPr>
            </w:pPr>
            <w:r w:rsidRPr="00AC2449">
              <w:rPr>
                <w:rFonts w:cs="Times New Roman"/>
                <w:b/>
                <w:bCs/>
                <w:color w:val="FF0000"/>
                <w:sz w:val="22"/>
              </w:rPr>
              <w:t>5%</w:t>
            </w:r>
          </w:p>
        </w:tc>
        <w:tc>
          <w:tcPr>
            <w:tcW w:w="1053" w:type="dxa"/>
            <w:tcBorders>
              <w:top w:val="dotted" w:sz="4" w:space="0" w:color="auto"/>
              <w:bottom w:val="dotted" w:sz="4" w:space="0" w:color="auto"/>
            </w:tcBorders>
            <w:shd w:val="clear" w:color="auto" w:fill="FFE599" w:themeFill="accent4" w:themeFillTint="66"/>
          </w:tcPr>
          <w:p w14:paraId="4E4718DB" w14:textId="77777777" w:rsidR="00482FCF" w:rsidRPr="005E7FDE" w:rsidRDefault="00482FCF" w:rsidP="00482FCF">
            <w:pPr>
              <w:ind w:left="-139" w:firstLine="36"/>
              <w:jc w:val="center"/>
              <w:rPr>
                <w:rFonts w:cs="Times New Roman"/>
                <w:b/>
                <w:bCs/>
                <w:color w:val="C00000"/>
                <w:sz w:val="22"/>
              </w:rPr>
            </w:pPr>
            <w:r w:rsidRPr="005E7FDE">
              <w:rPr>
                <w:rFonts w:cs="Times New Roman"/>
                <w:b/>
                <w:bCs/>
                <w:color w:val="C00000"/>
                <w:sz w:val="22"/>
              </w:rPr>
              <w:t>-20-22</w:t>
            </w:r>
          </w:p>
        </w:tc>
      </w:tr>
      <w:tr w:rsidR="00482FCF" w:rsidRPr="005E7FDE" w14:paraId="7636A1DA" w14:textId="77777777" w:rsidTr="00AC2449">
        <w:tc>
          <w:tcPr>
            <w:tcW w:w="2996" w:type="dxa"/>
            <w:tcBorders>
              <w:top w:val="dotted" w:sz="4" w:space="0" w:color="auto"/>
            </w:tcBorders>
          </w:tcPr>
          <w:p w14:paraId="1EF216F5" w14:textId="77777777" w:rsidR="00482FCF" w:rsidRPr="005E7FDE" w:rsidRDefault="00482FCF" w:rsidP="00482FCF">
            <w:pPr>
              <w:ind w:left="175" w:right="-96"/>
              <w:rPr>
                <w:rFonts w:eastAsia="Times New Roman"/>
                <w:iCs/>
                <w:sz w:val="22"/>
              </w:rPr>
            </w:pPr>
            <w:r w:rsidRPr="005E7FDE">
              <w:rPr>
                <w:rFonts w:eastAsia="Times New Roman"/>
                <w:iCs/>
                <w:sz w:val="22"/>
              </w:rPr>
              <w:t>Pienam, sieram, biezpienam, krējumam un olām</w:t>
            </w:r>
          </w:p>
        </w:tc>
        <w:tc>
          <w:tcPr>
            <w:tcW w:w="1109" w:type="dxa"/>
            <w:tcBorders>
              <w:top w:val="dotted" w:sz="4" w:space="0" w:color="auto"/>
            </w:tcBorders>
            <w:shd w:val="clear" w:color="auto" w:fill="F2F2F2" w:themeFill="background1" w:themeFillShade="F2"/>
          </w:tcPr>
          <w:p w14:paraId="48678554" w14:textId="77777777" w:rsidR="00482FCF" w:rsidRPr="00394868" w:rsidRDefault="00482FCF" w:rsidP="00482FCF">
            <w:pPr>
              <w:jc w:val="center"/>
              <w:rPr>
                <w:rFonts w:eastAsia="Times New Roman" w:cs="Times New Roman"/>
                <w:b/>
                <w:bCs/>
                <w:color w:val="FF0000"/>
                <w:sz w:val="22"/>
              </w:rPr>
            </w:pPr>
            <w:r w:rsidRPr="00394868">
              <w:rPr>
                <w:rFonts w:eastAsia="Times New Roman" w:cs="Times New Roman"/>
                <w:b/>
                <w:bCs/>
                <w:color w:val="FF0000"/>
                <w:sz w:val="22"/>
              </w:rPr>
              <w:t>21%</w:t>
            </w:r>
          </w:p>
        </w:tc>
        <w:tc>
          <w:tcPr>
            <w:tcW w:w="1372" w:type="dxa"/>
            <w:tcBorders>
              <w:top w:val="dotted" w:sz="4" w:space="0" w:color="auto"/>
            </w:tcBorders>
            <w:shd w:val="clear" w:color="auto" w:fill="F2F2F2" w:themeFill="background1" w:themeFillShade="F2"/>
          </w:tcPr>
          <w:p w14:paraId="4672B691" w14:textId="77777777" w:rsidR="00482FCF" w:rsidRPr="005E7FDE" w:rsidRDefault="00482FCF" w:rsidP="00482FCF">
            <w:pPr>
              <w:jc w:val="center"/>
              <w:rPr>
                <w:rFonts w:eastAsia="Times New Roman" w:cs="Times New Roman"/>
                <w:b/>
                <w:bCs/>
                <w:color w:val="00B050"/>
                <w:sz w:val="22"/>
              </w:rPr>
            </w:pPr>
            <w:r w:rsidRPr="005E7FDE">
              <w:rPr>
                <w:rFonts w:eastAsia="Times New Roman" w:cs="Times New Roman"/>
                <w:b/>
                <w:bCs/>
                <w:color w:val="00B050"/>
                <w:sz w:val="22"/>
              </w:rPr>
              <w:t>21%</w:t>
            </w:r>
          </w:p>
        </w:tc>
        <w:tc>
          <w:tcPr>
            <w:tcW w:w="1047" w:type="dxa"/>
            <w:tcBorders>
              <w:top w:val="dotted" w:sz="4" w:space="0" w:color="auto"/>
            </w:tcBorders>
            <w:shd w:val="clear" w:color="auto" w:fill="F2F2F2" w:themeFill="background1" w:themeFillShade="F2"/>
          </w:tcPr>
          <w:p w14:paraId="39D2A45B" w14:textId="77777777" w:rsidR="00482FCF" w:rsidRPr="005E7FDE" w:rsidRDefault="00482FCF" w:rsidP="00482FCF">
            <w:pPr>
              <w:pStyle w:val="ListParagraph"/>
              <w:ind w:left="26"/>
              <w:jc w:val="center"/>
              <w:rPr>
                <w:rFonts w:eastAsia="Times New Roman"/>
                <w:b/>
                <w:bCs/>
                <w:color w:val="002060"/>
                <w:sz w:val="22"/>
              </w:rPr>
            </w:pPr>
            <w:r w:rsidRPr="005E7FDE">
              <w:rPr>
                <w:rFonts w:eastAsia="Times New Roman"/>
                <w:b/>
                <w:bCs/>
                <w:color w:val="002060"/>
                <w:sz w:val="22"/>
              </w:rPr>
              <w:t>20%</w:t>
            </w:r>
          </w:p>
        </w:tc>
        <w:tc>
          <w:tcPr>
            <w:tcW w:w="1065" w:type="dxa"/>
            <w:tcBorders>
              <w:top w:val="dotted" w:sz="4" w:space="0" w:color="auto"/>
            </w:tcBorders>
          </w:tcPr>
          <w:p w14:paraId="60F7FC11" w14:textId="77777777" w:rsidR="00482FCF" w:rsidRPr="00AC2449" w:rsidRDefault="00482FCF" w:rsidP="00482FCF">
            <w:pPr>
              <w:jc w:val="center"/>
              <w:rPr>
                <w:rFonts w:cs="Times New Roman"/>
                <w:b/>
                <w:bCs/>
                <w:color w:val="FF0000"/>
                <w:sz w:val="22"/>
              </w:rPr>
            </w:pPr>
            <w:r w:rsidRPr="00AC2449">
              <w:rPr>
                <w:rFonts w:cs="Times New Roman"/>
                <w:b/>
                <w:bCs/>
                <w:color w:val="FF0000"/>
                <w:sz w:val="22"/>
              </w:rPr>
              <w:t>5%</w:t>
            </w:r>
          </w:p>
        </w:tc>
        <w:tc>
          <w:tcPr>
            <w:tcW w:w="1053" w:type="dxa"/>
            <w:tcBorders>
              <w:top w:val="dotted" w:sz="4" w:space="0" w:color="auto"/>
            </w:tcBorders>
            <w:shd w:val="clear" w:color="auto" w:fill="FFE599" w:themeFill="accent4" w:themeFillTint="66"/>
          </w:tcPr>
          <w:p w14:paraId="248DFD2E" w14:textId="77777777" w:rsidR="00482FCF" w:rsidRPr="005E7FDE" w:rsidRDefault="00482FCF" w:rsidP="00482FCF">
            <w:pPr>
              <w:ind w:left="-139" w:firstLine="36"/>
              <w:jc w:val="center"/>
              <w:rPr>
                <w:rFonts w:cs="Times New Roman"/>
                <w:b/>
                <w:bCs/>
                <w:color w:val="C00000"/>
                <w:sz w:val="22"/>
              </w:rPr>
            </w:pPr>
            <w:r w:rsidRPr="005E7FDE">
              <w:rPr>
                <w:rFonts w:cs="Times New Roman"/>
                <w:b/>
                <w:bCs/>
                <w:color w:val="C00000"/>
                <w:sz w:val="22"/>
              </w:rPr>
              <w:t>-25-30</w:t>
            </w:r>
          </w:p>
        </w:tc>
      </w:tr>
    </w:tbl>
    <w:p w14:paraId="579FCCF2" w14:textId="7D4FF0CB" w:rsidR="00095319" w:rsidRDefault="00482FCF" w:rsidP="00AA606C">
      <w:pPr>
        <w:tabs>
          <w:tab w:val="left" w:pos="284"/>
        </w:tabs>
        <w:spacing w:before="80"/>
        <w:ind w:left="284" w:hanging="284"/>
        <w:jc w:val="both"/>
        <w:rPr>
          <w:i/>
          <w:sz w:val="18"/>
          <w:szCs w:val="18"/>
        </w:rPr>
      </w:pPr>
      <w:r w:rsidRPr="00482FCF">
        <w:rPr>
          <w:i/>
          <w:sz w:val="18"/>
          <w:szCs w:val="18"/>
          <w:vertAlign w:val="superscript"/>
        </w:rPr>
        <w:t>*</w:t>
      </w:r>
      <w:r w:rsidRPr="00482FCF">
        <w:rPr>
          <w:i/>
          <w:sz w:val="18"/>
          <w:szCs w:val="18"/>
        </w:rPr>
        <w:t xml:space="preserve"> </w:t>
      </w:r>
      <w:r w:rsidRPr="00482FCF">
        <w:rPr>
          <w:i/>
          <w:sz w:val="18"/>
          <w:szCs w:val="18"/>
        </w:rPr>
        <w:tab/>
      </w:r>
      <w:r w:rsidR="00095319">
        <w:rPr>
          <w:i/>
          <w:sz w:val="18"/>
          <w:szCs w:val="18"/>
        </w:rPr>
        <w:t xml:space="preserve">KM </w:t>
      </w:r>
      <w:r w:rsidR="001D79C2">
        <w:rPr>
          <w:i/>
          <w:sz w:val="18"/>
          <w:szCs w:val="18"/>
        </w:rPr>
        <w:t xml:space="preserve">neatbalsta PVN 21% likmes kultūras pasākumiem noteikšanu, un rosina, ja šāds lēmums tiek atbalstīts, to noteikt 12% apmērā </w:t>
      </w:r>
    </w:p>
    <w:p w14:paraId="28EC27BA" w14:textId="353954F5" w:rsidR="00482FCF" w:rsidRPr="00482FCF" w:rsidRDefault="00095319" w:rsidP="00AA606C">
      <w:pPr>
        <w:tabs>
          <w:tab w:val="left" w:pos="284"/>
        </w:tabs>
        <w:spacing w:before="80"/>
        <w:ind w:left="284" w:hanging="284"/>
        <w:jc w:val="both"/>
        <w:rPr>
          <w:i/>
          <w:sz w:val="18"/>
          <w:szCs w:val="18"/>
        </w:rPr>
      </w:pPr>
      <w:r w:rsidRPr="00AA606C">
        <w:rPr>
          <w:i/>
          <w:sz w:val="18"/>
          <w:szCs w:val="18"/>
          <w:vertAlign w:val="superscript"/>
        </w:rPr>
        <w:t>**</w:t>
      </w:r>
      <w:r>
        <w:rPr>
          <w:i/>
          <w:sz w:val="18"/>
          <w:szCs w:val="18"/>
        </w:rPr>
        <w:tab/>
        <w:t xml:space="preserve">Fiskālās ietekmes aprēķins pie PVN likmes 21%. </w:t>
      </w:r>
      <w:r w:rsidR="00482FCF" w:rsidRPr="00482FCF">
        <w:rPr>
          <w:i/>
          <w:sz w:val="18"/>
          <w:szCs w:val="18"/>
        </w:rPr>
        <w:t xml:space="preserve">Šajā ietekmē iekļauti arī </w:t>
      </w:r>
      <w:r w:rsidR="00207315">
        <w:rPr>
          <w:i/>
          <w:sz w:val="18"/>
          <w:szCs w:val="18"/>
        </w:rPr>
        <w:t>s</w:t>
      </w:r>
      <w:r w:rsidR="00482FCF" w:rsidRPr="00482FCF">
        <w:rPr>
          <w:i/>
          <w:sz w:val="18"/>
          <w:szCs w:val="18"/>
        </w:rPr>
        <w:t>abiedrisko organizāciju īpašumā esošie kultūras pasākumu sniedzēji, kā</w:t>
      </w:r>
      <w:r w:rsidR="00207315">
        <w:rPr>
          <w:i/>
          <w:sz w:val="18"/>
          <w:szCs w:val="18"/>
        </w:rPr>
        <w:t>,</w:t>
      </w:r>
      <w:r w:rsidR="00482FCF" w:rsidRPr="00482FCF">
        <w:rPr>
          <w:i/>
          <w:sz w:val="18"/>
          <w:szCs w:val="18"/>
        </w:rPr>
        <w:t xml:space="preserve"> piemēram Rīgas </w:t>
      </w:r>
      <w:r w:rsidR="00207315">
        <w:rPr>
          <w:i/>
          <w:sz w:val="18"/>
          <w:szCs w:val="18"/>
        </w:rPr>
        <w:t>L</w:t>
      </w:r>
      <w:r w:rsidR="00482FCF" w:rsidRPr="00482FCF">
        <w:rPr>
          <w:i/>
          <w:sz w:val="18"/>
          <w:szCs w:val="18"/>
        </w:rPr>
        <w:t>atviešu biedrība</w:t>
      </w:r>
    </w:p>
    <w:p w14:paraId="06BCC40B" w14:textId="77777777" w:rsidR="00482FCF" w:rsidRDefault="00B53A96" w:rsidP="00482FCF">
      <w:pPr>
        <w:rPr>
          <w:rFonts w:cs="Times New Roman"/>
          <w:b/>
          <w:sz w:val="26"/>
          <w:szCs w:val="26"/>
        </w:rPr>
      </w:pPr>
      <w:r>
        <w:rPr>
          <w:b/>
          <w:sz w:val="40"/>
          <w:szCs w:val="40"/>
        </w:rPr>
        <w:br w:type="page"/>
      </w:r>
    </w:p>
    <w:p w14:paraId="12B999B0" w14:textId="77777777" w:rsidR="00482FCF" w:rsidRPr="00DA16D3" w:rsidRDefault="00482FCF" w:rsidP="00482FCF">
      <w:pPr>
        <w:spacing w:after="120"/>
        <w:ind w:left="426"/>
        <w:jc w:val="center"/>
        <w:rPr>
          <w:rFonts w:cs="Times New Roman"/>
          <w:sz w:val="26"/>
          <w:szCs w:val="26"/>
        </w:rPr>
      </w:pPr>
      <w:r w:rsidRPr="00DA16D3">
        <w:rPr>
          <w:rFonts w:cs="Times New Roman"/>
          <w:b/>
          <w:sz w:val="26"/>
          <w:szCs w:val="26"/>
        </w:rPr>
        <w:lastRenderedPageBreak/>
        <w:t>Informācijai</w:t>
      </w:r>
    </w:p>
    <w:p w14:paraId="7549B78C" w14:textId="77777777" w:rsidR="00482FCF" w:rsidRPr="007E6633" w:rsidRDefault="00482FCF" w:rsidP="00482FCF">
      <w:pPr>
        <w:spacing w:after="120"/>
        <w:ind w:firstLine="720"/>
        <w:jc w:val="both"/>
        <w:rPr>
          <w:rFonts w:cs="Times New Roman"/>
          <w:sz w:val="26"/>
          <w:szCs w:val="26"/>
        </w:rPr>
      </w:pPr>
      <w:r w:rsidRPr="007E6633">
        <w:rPr>
          <w:rFonts w:cs="Times New Roman"/>
          <w:sz w:val="26"/>
          <w:szCs w:val="26"/>
        </w:rPr>
        <w:t>Attiecībā uz grāmatniecības jomu ir iespēja noteikt samazināto PVN likmi arī tā sauktajām e-grāmatām jeb elektroniskā formātā izdotām grāmatām (ietverot brošūras, bukletus un tamlīdzīgus iespieddarbus, bilžu, zīmējamās vai krāsojamās grāmatas bērniem, iespiestas notis vai nošu rokrakstus, kartes un hidrogrāfiskas vai tamlīdzīgas shēmas), izņemot publikācijas, kas pilnīgi vai galvenokārt veltītas reklāmai, un izņemot publikācijas, kas pilnīgi vai galvenokārt sastāv no video satura vai klausāmas mūzikas. Latvijā šobrīd samazināto PVN likmi 12% apmērā piemēro iespieddarba vai elektroniska izdevuma formā izdotai mācību literatūras un oriģinālliteratūras (literāru darbu — daiļliteratūrā, bērnu literatūrā, zinātniskajā un populārzinātniskajā literatūrā, uzziņu literatūrā, reliģiskā literatūrā, memuārliteratūrā — un to tulkojumu) piegādei, izņemot minētās literatūras piegādi tiešsaistes režīmā vai to lejupielādējot. Līdz ar to ir iespēja vērtēt, vai var vienādot PVN likmi fiziskā formāta vai elektroniska formāta grāmatām.</w:t>
      </w:r>
    </w:p>
    <w:p w14:paraId="2813620F" w14:textId="77777777" w:rsidR="00482FCF" w:rsidRPr="007E6633" w:rsidRDefault="00482FCF" w:rsidP="00482FCF">
      <w:pPr>
        <w:pStyle w:val="CM1"/>
        <w:spacing w:after="120"/>
        <w:ind w:firstLine="720"/>
        <w:jc w:val="both"/>
        <w:rPr>
          <w:sz w:val="26"/>
          <w:szCs w:val="26"/>
        </w:rPr>
      </w:pPr>
      <w:r w:rsidRPr="007E6633">
        <w:rPr>
          <w:sz w:val="26"/>
          <w:szCs w:val="26"/>
        </w:rPr>
        <w:t>Latvijā atbrīvojumu no PVN piemēro tādiem kultūras pakalpojumiem, kā koncertiem neatkarīgi no tā, kas sniedz šādu pakalpojumu. Eiropas Savienības regulējums nosaka, ka dalībvalsts atbrīvo no PVN (bez tiesībām uz priekšnodokli) konkrētus kultūras pakalpojumus un ar tiem cieši saistītas preces, ko, attiecīgi, sniedz vai piegādā publisko tiesību subjekti vai citas kultūras organi</w:t>
      </w:r>
      <w:r>
        <w:rPr>
          <w:sz w:val="26"/>
          <w:szCs w:val="26"/>
        </w:rPr>
        <w:softHyphen/>
      </w:r>
      <w:r w:rsidRPr="007E6633">
        <w:rPr>
          <w:sz w:val="26"/>
          <w:szCs w:val="26"/>
        </w:rPr>
        <w:t xml:space="preserve">zācijas, ko atzinusi attiecīgā dalībvalsts. Līdz ar to dalībvalstij ir tiesības pašai noteikt šā atbrīvojuma satura tvērumu tādiem kultūras pakalpojumiem kā koncerti.  </w:t>
      </w:r>
    </w:p>
    <w:p w14:paraId="0AA59805" w14:textId="77777777" w:rsidR="006B6C49" w:rsidRDefault="00482FCF" w:rsidP="00482FCF">
      <w:pPr>
        <w:spacing w:after="120"/>
        <w:ind w:firstLine="709"/>
        <w:jc w:val="both"/>
        <w:rPr>
          <w:rFonts w:cs="Times New Roman"/>
          <w:sz w:val="26"/>
          <w:szCs w:val="26"/>
        </w:rPr>
      </w:pPr>
      <w:r w:rsidRPr="007E6633">
        <w:rPr>
          <w:rFonts w:cs="Times New Roman"/>
          <w:sz w:val="26"/>
          <w:szCs w:val="26"/>
        </w:rPr>
        <w:t xml:space="preserve">Eiropas Savienības regulējums paredz iespēju noteikt samazināto PVN likmi </w:t>
      </w:r>
      <w:r w:rsidR="00207315" w:rsidRPr="00D654BF">
        <w:rPr>
          <w:rFonts w:cs="Times New Roman"/>
          <w:sz w:val="26"/>
          <w:szCs w:val="26"/>
        </w:rPr>
        <w:t xml:space="preserve">fiziska formāta un elektroniska formāta </w:t>
      </w:r>
      <w:r w:rsidR="00207315" w:rsidRPr="007E6633">
        <w:rPr>
          <w:rFonts w:cs="Times New Roman"/>
          <w:sz w:val="26"/>
          <w:szCs w:val="26"/>
        </w:rPr>
        <w:t xml:space="preserve"> </w:t>
      </w:r>
      <w:r w:rsidRPr="007E6633">
        <w:rPr>
          <w:rFonts w:cs="Times New Roman"/>
          <w:sz w:val="26"/>
          <w:szCs w:val="26"/>
        </w:rPr>
        <w:t xml:space="preserve">laikrakstu un periodisku izdevumu piegādēm. Latvijā šobrīd samazināto PVN likmi 12% apmērā piemēro tādu iespieddarba vai elektroniska izdevuma formā izdotu avīžu, žurnālu, biļetenu un citu periodisko izdevumu piegādei (izņemot minēto periodisko izdevumu piegādi tiešsaistes režīmā vai tos lejupielādējot), kuri iznāk ne retāk kā reizi trijos mēnešos un kuru vienreizējā tirāža pārsniedz 100 eksemplāru, kā arī to abonentmaksai. Šādu likmi piemēro arī noteikto žurnālu pielikumiem kompaktdiska formā, kas tiek pievienoti žurnāliem bez papildu maksas un ir žurnālu neatņemama sastāvdaļa, ja kompaktdiskā ievietotā informācija papildina žurnālos sniegto informāciju. Tomēr samazinātā PVN likme nav piemērojama un ir piemērojama standartlikme 21% apmērā erotiska un pornogrāfiska rakstura izdevumiem, kā arī tādiem izdevumiem, kuru saturiskā ievirze un uzdevums ir reklāmas vai komercsludinājumu publicēšana. </w:t>
      </w:r>
    </w:p>
    <w:p w14:paraId="0DC59EA2" w14:textId="77777777" w:rsidR="006B6C49" w:rsidRPr="00C77705" w:rsidRDefault="006B6C49" w:rsidP="006B6C49">
      <w:pPr>
        <w:ind w:firstLine="709"/>
        <w:jc w:val="both"/>
        <w:rPr>
          <w:rFonts w:cs="Times New Roman"/>
          <w:sz w:val="26"/>
          <w:szCs w:val="26"/>
        </w:rPr>
      </w:pPr>
      <w:r w:rsidRPr="0003185C">
        <w:rPr>
          <w:rFonts w:cs="Times New Roman"/>
          <w:b/>
          <w:sz w:val="26"/>
          <w:szCs w:val="26"/>
        </w:rPr>
        <w:t xml:space="preserve">Latvijas </w:t>
      </w:r>
      <w:r w:rsidR="002A3E75">
        <w:rPr>
          <w:rFonts w:cs="Times New Roman"/>
          <w:b/>
          <w:sz w:val="26"/>
          <w:szCs w:val="26"/>
        </w:rPr>
        <w:t>B</w:t>
      </w:r>
      <w:r w:rsidRPr="0003185C">
        <w:rPr>
          <w:rFonts w:cs="Times New Roman"/>
          <w:b/>
          <w:sz w:val="26"/>
          <w:szCs w:val="26"/>
        </w:rPr>
        <w:t>anka</w:t>
      </w:r>
      <w:r w:rsidR="0003185C" w:rsidRPr="0003185C">
        <w:rPr>
          <w:rFonts w:cs="Times New Roman"/>
          <w:b/>
          <w:sz w:val="26"/>
          <w:szCs w:val="26"/>
        </w:rPr>
        <w:t xml:space="preserve"> </w:t>
      </w:r>
      <w:r w:rsidR="00770068">
        <w:rPr>
          <w:rFonts w:cs="Times New Roman"/>
          <w:b/>
          <w:sz w:val="26"/>
          <w:szCs w:val="26"/>
        </w:rPr>
        <w:t xml:space="preserve">ir </w:t>
      </w:r>
      <w:r w:rsidR="00AB0D23">
        <w:rPr>
          <w:rFonts w:cs="Times New Roman"/>
          <w:b/>
          <w:sz w:val="26"/>
          <w:szCs w:val="26"/>
        </w:rPr>
        <w:t>norādījusi</w:t>
      </w:r>
      <w:r w:rsidR="002C4803">
        <w:rPr>
          <w:rStyle w:val="FootnoteReference"/>
          <w:rFonts w:cs="Times New Roman"/>
          <w:b/>
          <w:sz w:val="26"/>
          <w:szCs w:val="26"/>
        </w:rPr>
        <w:footnoteReference w:id="6"/>
      </w:r>
      <w:r w:rsidR="00770068" w:rsidRPr="00770068">
        <w:rPr>
          <w:rFonts w:cs="Times New Roman"/>
          <w:sz w:val="26"/>
          <w:szCs w:val="26"/>
        </w:rPr>
        <w:t>, ka samazināto PVN likmju ieviešanai jābūt skaidri pamatot</w:t>
      </w:r>
      <w:r w:rsidR="00770068">
        <w:rPr>
          <w:rFonts w:cs="Times New Roman"/>
          <w:sz w:val="26"/>
          <w:szCs w:val="26"/>
        </w:rPr>
        <w:t>ai, jo pastāv vairāki argumenti</w:t>
      </w:r>
      <w:r w:rsidRPr="00C77705">
        <w:rPr>
          <w:rFonts w:cs="Times New Roman"/>
          <w:sz w:val="26"/>
          <w:szCs w:val="26"/>
        </w:rPr>
        <w:t xml:space="preserve">, kāpēc samazinātās </w:t>
      </w:r>
      <w:r w:rsidR="002A3E75">
        <w:rPr>
          <w:rFonts w:cs="Times New Roman"/>
          <w:sz w:val="26"/>
          <w:szCs w:val="26"/>
        </w:rPr>
        <w:t xml:space="preserve">PVN </w:t>
      </w:r>
      <w:r w:rsidRPr="00C77705">
        <w:rPr>
          <w:rFonts w:cs="Times New Roman"/>
          <w:sz w:val="26"/>
          <w:szCs w:val="26"/>
        </w:rPr>
        <w:t>likmes ieviest nevajadzētu, kā</w:t>
      </w:r>
      <w:r w:rsidR="002A3E75">
        <w:rPr>
          <w:rFonts w:cs="Times New Roman"/>
          <w:sz w:val="26"/>
          <w:szCs w:val="26"/>
        </w:rPr>
        <w:t>,</w:t>
      </w:r>
      <w:r w:rsidRPr="00C77705">
        <w:rPr>
          <w:rFonts w:cs="Times New Roman"/>
          <w:sz w:val="26"/>
          <w:szCs w:val="26"/>
        </w:rPr>
        <w:t xml:space="preserve"> piemēram:</w:t>
      </w:r>
    </w:p>
    <w:p w14:paraId="716363C5" w14:textId="77777777" w:rsidR="006B6C49" w:rsidRPr="00C77705" w:rsidRDefault="006B6C49" w:rsidP="006B6C49">
      <w:pPr>
        <w:pStyle w:val="ListParagraph"/>
        <w:numPr>
          <w:ilvl w:val="0"/>
          <w:numId w:val="23"/>
        </w:numPr>
        <w:spacing w:after="120"/>
        <w:rPr>
          <w:sz w:val="26"/>
          <w:szCs w:val="26"/>
        </w:rPr>
      </w:pPr>
      <w:r>
        <w:rPr>
          <w:sz w:val="26"/>
          <w:szCs w:val="26"/>
        </w:rPr>
        <w:t>s</w:t>
      </w:r>
      <w:r w:rsidRPr="00C77705">
        <w:rPr>
          <w:sz w:val="26"/>
          <w:szCs w:val="26"/>
        </w:rPr>
        <w:t>arežģīta administrēšana</w:t>
      </w:r>
      <w:r>
        <w:rPr>
          <w:sz w:val="26"/>
          <w:szCs w:val="26"/>
        </w:rPr>
        <w:t>;</w:t>
      </w:r>
    </w:p>
    <w:p w14:paraId="0CF7823E" w14:textId="77777777" w:rsidR="006B6C49" w:rsidRPr="00C77705" w:rsidRDefault="006B6C49" w:rsidP="006B6C49">
      <w:pPr>
        <w:pStyle w:val="ListParagraph"/>
        <w:numPr>
          <w:ilvl w:val="0"/>
          <w:numId w:val="23"/>
        </w:numPr>
        <w:spacing w:after="120"/>
        <w:rPr>
          <w:sz w:val="26"/>
          <w:szCs w:val="26"/>
        </w:rPr>
      </w:pPr>
      <w:r>
        <w:rPr>
          <w:sz w:val="26"/>
          <w:szCs w:val="26"/>
        </w:rPr>
        <w:t>k</w:t>
      </w:r>
      <w:r w:rsidRPr="00C77705">
        <w:rPr>
          <w:sz w:val="26"/>
          <w:szCs w:val="26"/>
        </w:rPr>
        <w:t>rāpniecības riski preču un pakalpojumu klasifikācijā</w:t>
      </w:r>
      <w:r>
        <w:rPr>
          <w:sz w:val="26"/>
          <w:szCs w:val="26"/>
        </w:rPr>
        <w:t>;</w:t>
      </w:r>
    </w:p>
    <w:p w14:paraId="0E4C39CD" w14:textId="77777777" w:rsidR="006B6C49" w:rsidRPr="00C77705" w:rsidRDefault="006B6C49" w:rsidP="006B6C49">
      <w:pPr>
        <w:pStyle w:val="ListParagraph"/>
        <w:numPr>
          <w:ilvl w:val="0"/>
          <w:numId w:val="23"/>
        </w:numPr>
        <w:spacing w:after="120"/>
        <w:rPr>
          <w:sz w:val="26"/>
          <w:szCs w:val="26"/>
        </w:rPr>
      </w:pPr>
      <w:r w:rsidRPr="00C77705">
        <w:rPr>
          <w:sz w:val="26"/>
          <w:szCs w:val="26"/>
        </w:rPr>
        <w:lastRenderedPageBreak/>
        <w:t>"Atvērtas durvis" citām interešu</w:t>
      </w:r>
      <w:r w:rsidR="006B7C9B">
        <w:rPr>
          <w:sz w:val="26"/>
          <w:szCs w:val="26"/>
        </w:rPr>
        <w:t xml:space="preserve"> grupām</w:t>
      </w:r>
      <w:r>
        <w:rPr>
          <w:sz w:val="26"/>
          <w:szCs w:val="26"/>
        </w:rPr>
        <w:t>;</w:t>
      </w:r>
    </w:p>
    <w:p w14:paraId="1D522692" w14:textId="77777777" w:rsidR="006B6C49" w:rsidRPr="00C77705" w:rsidRDefault="006B6C49" w:rsidP="006B6C49">
      <w:pPr>
        <w:pStyle w:val="ListParagraph"/>
        <w:numPr>
          <w:ilvl w:val="0"/>
          <w:numId w:val="23"/>
        </w:numPr>
        <w:spacing w:after="120"/>
        <w:rPr>
          <w:sz w:val="26"/>
          <w:szCs w:val="26"/>
        </w:rPr>
      </w:pPr>
      <w:r>
        <w:rPr>
          <w:sz w:val="26"/>
          <w:szCs w:val="26"/>
        </w:rPr>
        <w:t>p</w:t>
      </w:r>
      <w:r w:rsidRPr="00C77705">
        <w:rPr>
          <w:sz w:val="26"/>
          <w:szCs w:val="26"/>
        </w:rPr>
        <w:t>rasa papildu</w:t>
      </w:r>
      <w:r w:rsidR="002A3E75">
        <w:rPr>
          <w:sz w:val="26"/>
          <w:szCs w:val="26"/>
        </w:rPr>
        <w:t>s</w:t>
      </w:r>
      <w:r w:rsidRPr="00C77705">
        <w:rPr>
          <w:sz w:val="26"/>
          <w:szCs w:val="26"/>
        </w:rPr>
        <w:t xml:space="preserve"> </w:t>
      </w:r>
      <w:r w:rsidR="002A3E75">
        <w:rPr>
          <w:sz w:val="26"/>
          <w:szCs w:val="26"/>
        </w:rPr>
        <w:t xml:space="preserve">valsts </w:t>
      </w:r>
      <w:r w:rsidRPr="00C77705">
        <w:rPr>
          <w:sz w:val="26"/>
          <w:szCs w:val="26"/>
        </w:rPr>
        <w:t>budžeta līdzekļus</w:t>
      </w:r>
      <w:r>
        <w:rPr>
          <w:sz w:val="26"/>
          <w:szCs w:val="26"/>
        </w:rPr>
        <w:t>;</w:t>
      </w:r>
    </w:p>
    <w:p w14:paraId="739E723F" w14:textId="77777777" w:rsidR="006B6C49" w:rsidRDefault="006B6C49" w:rsidP="006B6C49">
      <w:pPr>
        <w:pStyle w:val="ListParagraph"/>
        <w:numPr>
          <w:ilvl w:val="0"/>
          <w:numId w:val="23"/>
        </w:numPr>
        <w:rPr>
          <w:sz w:val="26"/>
          <w:szCs w:val="26"/>
        </w:rPr>
      </w:pPr>
      <w:r>
        <w:rPr>
          <w:sz w:val="26"/>
          <w:szCs w:val="26"/>
        </w:rPr>
        <w:t>p</w:t>
      </w:r>
      <w:r w:rsidRPr="00C77705">
        <w:rPr>
          <w:sz w:val="26"/>
          <w:szCs w:val="26"/>
        </w:rPr>
        <w:t>atēriņa nodokļi mazāk bremzē ekonomisko aktivitāti nekā darbaspēka nodokļi.</w:t>
      </w:r>
    </w:p>
    <w:p w14:paraId="2091D878" w14:textId="77777777" w:rsidR="006B6C49" w:rsidRDefault="006B6C49" w:rsidP="006B6C49">
      <w:pPr>
        <w:ind w:firstLine="426"/>
        <w:jc w:val="both"/>
        <w:rPr>
          <w:sz w:val="26"/>
          <w:szCs w:val="26"/>
        </w:rPr>
      </w:pPr>
    </w:p>
    <w:p w14:paraId="162A378E" w14:textId="77777777" w:rsidR="006B6C49" w:rsidRDefault="006B6C49" w:rsidP="006B6C49">
      <w:pPr>
        <w:spacing w:after="120"/>
        <w:ind w:firstLine="425"/>
        <w:jc w:val="both"/>
        <w:rPr>
          <w:sz w:val="26"/>
          <w:szCs w:val="26"/>
        </w:rPr>
      </w:pPr>
      <w:r w:rsidRPr="00F3499A">
        <w:rPr>
          <w:sz w:val="26"/>
          <w:szCs w:val="26"/>
        </w:rPr>
        <w:t>PVN pēc būtības ir regresīvs</w:t>
      </w:r>
      <w:r>
        <w:rPr>
          <w:sz w:val="26"/>
          <w:szCs w:val="26"/>
        </w:rPr>
        <w:t>. Z</w:t>
      </w:r>
      <w:r w:rsidRPr="00F3499A">
        <w:rPr>
          <w:sz w:val="26"/>
          <w:szCs w:val="26"/>
        </w:rPr>
        <w:t>ema ienākuma mājsaimniecības vairāk patērē un mazāk uzkrāj</w:t>
      </w:r>
      <w:r>
        <w:rPr>
          <w:sz w:val="26"/>
          <w:szCs w:val="26"/>
        </w:rPr>
        <w:t>, l</w:t>
      </w:r>
      <w:r w:rsidRPr="00F3499A">
        <w:rPr>
          <w:sz w:val="26"/>
          <w:szCs w:val="26"/>
        </w:rPr>
        <w:t>īdz ar to samaksātā</w:t>
      </w:r>
      <w:r w:rsidR="002A3E75">
        <w:rPr>
          <w:sz w:val="26"/>
          <w:szCs w:val="26"/>
        </w:rPr>
        <w:t>s</w:t>
      </w:r>
      <w:r w:rsidRPr="00F3499A">
        <w:rPr>
          <w:sz w:val="26"/>
          <w:szCs w:val="26"/>
        </w:rPr>
        <w:t xml:space="preserve"> PVN </w:t>
      </w:r>
      <w:r w:rsidR="002A3E75">
        <w:rPr>
          <w:sz w:val="26"/>
          <w:szCs w:val="26"/>
        </w:rPr>
        <w:t xml:space="preserve">likmes </w:t>
      </w:r>
      <w:r w:rsidRPr="00F3499A">
        <w:rPr>
          <w:sz w:val="26"/>
          <w:szCs w:val="26"/>
        </w:rPr>
        <w:t>īpatsvars ienākumos ir augstāks nekā citiem.</w:t>
      </w:r>
      <w:r>
        <w:rPr>
          <w:sz w:val="26"/>
          <w:szCs w:val="26"/>
        </w:rPr>
        <w:t xml:space="preserve"> </w:t>
      </w:r>
      <w:r w:rsidRPr="00F3499A">
        <w:rPr>
          <w:sz w:val="26"/>
          <w:szCs w:val="26"/>
        </w:rPr>
        <w:t xml:space="preserve">Samazinātās </w:t>
      </w:r>
      <w:r w:rsidR="002A3E75">
        <w:rPr>
          <w:sz w:val="26"/>
          <w:szCs w:val="26"/>
        </w:rPr>
        <w:t xml:space="preserve">PVN </w:t>
      </w:r>
      <w:r w:rsidRPr="00F3499A">
        <w:rPr>
          <w:sz w:val="26"/>
          <w:szCs w:val="26"/>
        </w:rPr>
        <w:t xml:space="preserve">likmes ieviešana var atvieglot PVN </w:t>
      </w:r>
      <w:r w:rsidR="002A3E75">
        <w:rPr>
          <w:sz w:val="26"/>
          <w:szCs w:val="26"/>
        </w:rPr>
        <w:t xml:space="preserve">radīto </w:t>
      </w:r>
      <w:r w:rsidRPr="00F3499A">
        <w:rPr>
          <w:sz w:val="26"/>
          <w:szCs w:val="26"/>
        </w:rPr>
        <w:t>slogu zema ienākuma mājsaimniecībām</w:t>
      </w:r>
      <w:r w:rsidR="002A3E75">
        <w:rPr>
          <w:sz w:val="26"/>
          <w:szCs w:val="26"/>
        </w:rPr>
        <w:t>.</w:t>
      </w:r>
      <w:r>
        <w:rPr>
          <w:sz w:val="26"/>
          <w:szCs w:val="26"/>
        </w:rPr>
        <w:t xml:space="preserve"> </w:t>
      </w:r>
    </w:p>
    <w:p w14:paraId="6CA212C2" w14:textId="77777777" w:rsidR="006B6C49" w:rsidRDefault="006B6C49" w:rsidP="006B6C49">
      <w:pPr>
        <w:spacing w:after="120"/>
        <w:ind w:firstLine="425"/>
        <w:jc w:val="both"/>
        <w:rPr>
          <w:sz w:val="26"/>
          <w:szCs w:val="26"/>
        </w:rPr>
      </w:pPr>
      <w:r>
        <w:rPr>
          <w:sz w:val="26"/>
          <w:szCs w:val="26"/>
        </w:rPr>
        <w:t>T</w:t>
      </w:r>
      <w:r w:rsidRPr="009211B5">
        <w:rPr>
          <w:sz w:val="26"/>
          <w:szCs w:val="26"/>
        </w:rPr>
        <w:t>omēr</w:t>
      </w:r>
      <w:r>
        <w:rPr>
          <w:sz w:val="26"/>
          <w:szCs w:val="26"/>
        </w:rPr>
        <w:t xml:space="preserve">, kā min </w:t>
      </w:r>
      <w:r w:rsidR="00EC0B45">
        <w:rPr>
          <w:sz w:val="26"/>
          <w:szCs w:val="26"/>
        </w:rPr>
        <w:t>Latvijas Banka</w:t>
      </w:r>
      <w:r>
        <w:rPr>
          <w:sz w:val="26"/>
          <w:szCs w:val="26"/>
        </w:rPr>
        <w:t>,</w:t>
      </w:r>
      <w:r w:rsidRPr="009211B5">
        <w:rPr>
          <w:sz w:val="26"/>
          <w:szCs w:val="26"/>
        </w:rPr>
        <w:t xml:space="preserve"> PVN nav efektīvākais risinājums, palīdzot zema ienākuma mājsaimniecībām</w:t>
      </w:r>
      <w:r>
        <w:rPr>
          <w:sz w:val="26"/>
          <w:szCs w:val="26"/>
        </w:rPr>
        <w:t xml:space="preserve">, jo </w:t>
      </w:r>
      <w:r w:rsidR="00F02F27" w:rsidRPr="00F02F27">
        <w:rPr>
          <w:sz w:val="26"/>
          <w:szCs w:val="26"/>
        </w:rPr>
        <w:t xml:space="preserve">no zemāka PVN iegūst ne tikai zema ienākuma mājsaimniecības, bet arī vidēju un augstu ienākumu mājsaimniecības. Turklāt tā kā </w:t>
      </w:r>
      <w:r>
        <w:rPr>
          <w:sz w:val="26"/>
          <w:szCs w:val="26"/>
        </w:rPr>
        <w:t>z</w:t>
      </w:r>
      <w:r w:rsidRPr="009211B5">
        <w:rPr>
          <w:sz w:val="26"/>
          <w:szCs w:val="26"/>
        </w:rPr>
        <w:t>emākā ienākumu kvintile (20% no visām mājsaimniecībām), nesastāda 20% no patēriņa izdevumiem nevienā no patēriņa preču un pakalpojumu grupām</w:t>
      </w:r>
      <w:r w:rsidR="00F02F27" w:rsidRPr="00F02F27">
        <w:rPr>
          <w:sz w:val="26"/>
          <w:szCs w:val="26"/>
        </w:rPr>
        <w:t>, absolūtā izteiksmē lielākie ieguvēji ir turīgākās mājsaimniecības</w:t>
      </w:r>
      <w:r w:rsidRPr="009211B5">
        <w:rPr>
          <w:sz w:val="26"/>
          <w:szCs w:val="26"/>
        </w:rPr>
        <w:t>.</w:t>
      </w:r>
    </w:p>
    <w:p w14:paraId="20B683F4" w14:textId="77777777" w:rsidR="006B6C49" w:rsidRDefault="006B6C49" w:rsidP="006B6C49">
      <w:pPr>
        <w:spacing w:after="120"/>
        <w:jc w:val="both"/>
        <w:rPr>
          <w:sz w:val="26"/>
          <w:szCs w:val="26"/>
        </w:rPr>
      </w:pPr>
      <w:r>
        <w:rPr>
          <w:noProof/>
          <w:lang w:eastAsia="lv-LV"/>
        </w:rPr>
        <w:drawing>
          <wp:inline distT="0" distB="0" distL="0" distR="0" wp14:anchorId="2B8177C2" wp14:editId="20DC2824">
            <wp:extent cx="5094589" cy="187318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5192913" cy="1909341"/>
                    </a:xfrm>
                    <a:prstGeom prst="rect">
                      <a:avLst/>
                    </a:prstGeom>
                  </pic:spPr>
                </pic:pic>
              </a:graphicData>
            </a:graphic>
          </wp:inline>
        </w:drawing>
      </w:r>
    </w:p>
    <w:p w14:paraId="14F0FBA3" w14:textId="77777777" w:rsidR="006B6C49" w:rsidRPr="00415136" w:rsidRDefault="006B6C49" w:rsidP="006B6C49">
      <w:pPr>
        <w:spacing w:after="80"/>
        <w:jc w:val="both"/>
        <w:rPr>
          <w:b/>
          <w:szCs w:val="24"/>
        </w:rPr>
      </w:pPr>
      <w:r>
        <w:rPr>
          <w:szCs w:val="24"/>
        </w:rPr>
        <w:t>7.</w:t>
      </w:r>
      <w:r w:rsidRPr="00415136">
        <w:rPr>
          <w:szCs w:val="24"/>
        </w:rPr>
        <w:t>att.</w:t>
      </w:r>
      <w:r>
        <w:rPr>
          <w:b/>
          <w:szCs w:val="24"/>
        </w:rPr>
        <w:t xml:space="preserve"> </w:t>
      </w:r>
      <w:r w:rsidRPr="00415136">
        <w:rPr>
          <w:b/>
          <w:szCs w:val="24"/>
        </w:rPr>
        <w:t>Patēriņa izdevumu struktūra Latvijā 2016.gadam, (%)</w:t>
      </w:r>
    </w:p>
    <w:p w14:paraId="7BF26771" w14:textId="77777777" w:rsidR="006B6C49" w:rsidRPr="009211B5" w:rsidRDefault="006B6C49" w:rsidP="006B6C49">
      <w:pPr>
        <w:spacing w:after="120"/>
        <w:rPr>
          <w:sz w:val="20"/>
          <w:szCs w:val="20"/>
        </w:rPr>
      </w:pPr>
      <w:r w:rsidRPr="009211B5">
        <w:rPr>
          <w:sz w:val="20"/>
          <w:szCs w:val="20"/>
        </w:rPr>
        <w:t>Avots: : CSP, Latvijas Bankas aprēķini</w:t>
      </w:r>
    </w:p>
    <w:p w14:paraId="1D7741FB" w14:textId="77777777" w:rsidR="006B6C49" w:rsidRDefault="0003185C" w:rsidP="006B6C49">
      <w:pPr>
        <w:ind w:firstLine="709"/>
        <w:jc w:val="both"/>
        <w:rPr>
          <w:sz w:val="26"/>
          <w:szCs w:val="26"/>
        </w:rPr>
      </w:pPr>
      <w:r>
        <w:rPr>
          <w:sz w:val="26"/>
          <w:szCs w:val="26"/>
        </w:rPr>
        <w:t>L</w:t>
      </w:r>
      <w:r w:rsidR="009E5CE9">
        <w:rPr>
          <w:sz w:val="26"/>
          <w:szCs w:val="26"/>
        </w:rPr>
        <w:t xml:space="preserve">atvijas </w:t>
      </w:r>
      <w:r>
        <w:rPr>
          <w:sz w:val="26"/>
          <w:szCs w:val="26"/>
        </w:rPr>
        <w:t>B</w:t>
      </w:r>
      <w:r w:rsidR="009E5CE9">
        <w:rPr>
          <w:sz w:val="26"/>
          <w:szCs w:val="26"/>
        </w:rPr>
        <w:t>anka</w:t>
      </w:r>
      <w:r w:rsidR="006B6C49">
        <w:rPr>
          <w:sz w:val="26"/>
          <w:szCs w:val="26"/>
        </w:rPr>
        <w:t xml:space="preserve"> apkopojusi</w:t>
      </w:r>
      <w:r w:rsidR="006B6C49" w:rsidRPr="00C77705">
        <w:rPr>
          <w:sz w:val="26"/>
          <w:szCs w:val="26"/>
        </w:rPr>
        <w:t xml:space="preserve"> </w:t>
      </w:r>
      <w:r w:rsidR="006B6C49">
        <w:rPr>
          <w:sz w:val="26"/>
          <w:szCs w:val="26"/>
        </w:rPr>
        <w:t>secinājumus:</w:t>
      </w:r>
    </w:p>
    <w:p w14:paraId="032AEB44" w14:textId="77777777" w:rsidR="006B6C49" w:rsidRPr="00C77705" w:rsidRDefault="006B6C49" w:rsidP="006B6C49">
      <w:pPr>
        <w:pStyle w:val="ListParagraph"/>
        <w:numPr>
          <w:ilvl w:val="0"/>
          <w:numId w:val="24"/>
        </w:numPr>
        <w:ind w:left="1276" w:hanging="425"/>
        <w:rPr>
          <w:sz w:val="26"/>
          <w:szCs w:val="26"/>
        </w:rPr>
      </w:pPr>
      <w:r>
        <w:rPr>
          <w:sz w:val="26"/>
          <w:szCs w:val="26"/>
        </w:rPr>
        <w:t>s</w:t>
      </w:r>
      <w:r w:rsidRPr="00C77705">
        <w:rPr>
          <w:sz w:val="26"/>
          <w:szCs w:val="26"/>
        </w:rPr>
        <w:t xml:space="preserve">amazināto </w:t>
      </w:r>
      <w:r w:rsidR="002A3E75">
        <w:rPr>
          <w:sz w:val="26"/>
          <w:szCs w:val="26"/>
        </w:rPr>
        <w:t xml:space="preserve">PVN </w:t>
      </w:r>
      <w:r w:rsidRPr="00C77705">
        <w:rPr>
          <w:sz w:val="26"/>
          <w:szCs w:val="26"/>
        </w:rPr>
        <w:t>likmju plašam pielietojumam ir virkne mīnusu, tādēļ jābūt skaidrai vīzijai</w:t>
      </w:r>
      <w:r w:rsidR="002A3E75">
        <w:rPr>
          <w:sz w:val="26"/>
          <w:szCs w:val="26"/>
        </w:rPr>
        <w:t>,</w:t>
      </w:r>
      <w:r w:rsidRPr="00C77705">
        <w:rPr>
          <w:sz w:val="26"/>
          <w:szCs w:val="26"/>
        </w:rPr>
        <w:t xml:space="preserve"> ko ar tām vēlas panākt</w:t>
      </w:r>
      <w:r>
        <w:rPr>
          <w:sz w:val="26"/>
          <w:szCs w:val="26"/>
        </w:rPr>
        <w:t>;</w:t>
      </w:r>
    </w:p>
    <w:p w14:paraId="20904235" w14:textId="77777777" w:rsidR="006B6C49" w:rsidRPr="00C77705" w:rsidRDefault="006B6C49" w:rsidP="006B6C49">
      <w:pPr>
        <w:pStyle w:val="ListParagraph"/>
        <w:numPr>
          <w:ilvl w:val="0"/>
          <w:numId w:val="24"/>
        </w:numPr>
        <w:ind w:left="1276" w:hanging="425"/>
        <w:rPr>
          <w:sz w:val="26"/>
          <w:szCs w:val="26"/>
        </w:rPr>
      </w:pPr>
      <w:r>
        <w:rPr>
          <w:sz w:val="26"/>
          <w:szCs w:val="26"/>
        </w:rPr>
        <w:t>s</w:t>
      </w:r>
      <w:r w:rsidRPr="00C77705">
        <w:rPr>
          <w:sz w:val="26"/>
          <w:szCs w:val="26"/>
        </w:rPr>
        <w:t>amazinātās PVN nav efektīvākais veids kā palīdzēt iedzīvotājiem ar zemiem</w:t>
      </w:r>
      <w:r>
        <w:rPr>
          <w:sz w:val="26"/>
          <w:szCs w:val="26"/>
        </w:rPr>
        <w:t xml:space="preserve"> </w:t>
      </w:r>
      <w:r w:rsidRPr="00C77705">
        <w:rPr>
          <w:sz w:val="26"/>
          <w:szCs w:val="26"/>
        </w:rPr>
        <w:t>ienākumiem</w:t>
      </w:r>
      <w:r>
        <w:rPr>
          <w:sz w:val="26"/>
          <w:szCs w:val="26"/>
        </w:rPr>
        <w:t>;</w:t>
      </w:r>
    </w:p>
    <w:p w14:paraId="5948AF11" w14:textId="77777777" w:rsidR="006B6C49" w:rsidRDefault="006B6C49" w:rsidP="006B6C49">
      <w:pPr>
        <w:pStyle w:val="ListParagraph"/>
        <w:numPr>
          <w:ilvl w:val="0"/>
          <w:numId w:val="24"/>
        </w:numPr>
        <w:ind w:left="1276" w:hanging="425"/>
        <w:rPr>
          <w:sz w:val="26"/>
          <w:szCs w:val="26"/>
        </w:rPr>
      </w:pPr>
      <w:r>
        <w:rPr>
          <w:sz w:val="26"/>
          <w:szCs w:val="26"/>
        </w:rPr>
        <w:t>n</w:t>
      </w:r>
      <w:r w:rsidRPr="00C77705">
        <w:rPr>
          <w:sz w:val="26"/>
          <w:szCs w:val="26"/>
        </w:rPr>
        <w:t xml:space="preserve">o zemākas likmes ieguvēji ir gan patērētāji, gan saistītās nozares uz </w:t>
      </w:r>
      <w:r w:rsidR="002A3E75">
        <w:rPr>
          <w:sz w:val="26"/>
          <w:szCs w:val="26"/>
        </w:rPr>
        <w:t>valsts</w:t>
      </w:r>
      <w:r w:rsidR="002A3E75" w:rsidRPr="00C77705">
        <w:rPr>
          <w:sz w:val="26"/>
          <w:szCs w:val="26"/>
        </w:rPr>
        <w:t xml:space="preserve"> </w:t>
      </w:r>
      <w:r w:rsidRPr="00C77705">
        <w:rPr>
          <w:sz w:val="26"/>
          <w:szCs w:val="26"/>
        </w:rPr>
        <w:t>budžeta rēķina</w:t>
      </w:r>
      <w:r>
        <w:rPr>
          <w:sz w:val="26"/>
          <w:szCs w:val="26"/>
        </w:rPr>
        <w:t>;</w:t>
      </w:r>
    </w:p>
    <w:p w14:paraId="5470F86A" w14:textId="77777777" w:rsidR="00482FCF" w:rsidRDefault="006B6C49" w:rsidP="00430E16">
      <w:pPr>
        <w:pStyle w:val="ListParagraph"/>
        <w:numPr>
          <w:ilvl w:val="0"/>
          <w:numId w:val="24"/>
        </w:numPr>
        <w:rPr>
          <w:sz w:val="26"/>
          <w:szCs w:val="26"/>
        </w:rPr>
      </w:pPr>
      <w:r w:rsidRPr="006B6C49">
        <w:rPr>
          <w:sz w:val="26"/>
          <w:szCs w:val="26"/>
        </w:rPr>
        <w:t xml:space="preserve">samazinātās </w:t>
      </w:r>
      <w:r w:rsidR="002A3E75">
        <w:rPr>
          <w:sz w:val="26"/>
          <w:szCs w:val="26"/>
        </w:rPr>
        <w:t xml:space="preserve">PVN </w:t>
      </w:r>
      <w:r w:rsidRPr="006B6C49">
        <w:rPr>
          <w:sz w:val="26"/>
          <w:szCs w:val="26"/>
        </w:rPr>
        <w:t xml:space="preserve">likmes var būt lietderīgas, lai veicinātu to preču </w:t>
      </w:r>
      <w:r w:rsidR="002A3E75">
        <w:rPr>
          <w:sz w:val="26"/>
          <w:szCs w:val="26"/>
        </w:rPr>
        <w:t>vai pakalpojumu</w:t>
      </w:r>
      <w:r w:rsidR="002A3E75" w:rsidRPr="006B6C49">
        <w:rPr>
          <w:sz w:val="26"/>
          <w:szCs w:val="26"/>
        </w:rPr>
        <w:t xml:space="preserve"> </w:t>
      </w:r>
      <w:r w:rsidRPr="006B6C49">
        <w:rPr>
          <w:sz w:val="26"/>
          <w:szCs w:val="26"/>
        </w:rPr>
        <w:t>patēriņu, kas sniedz labumu ne tikai to patērētājiem</w:t>
      </w:r>
      <w:r w:rsidR="00430E16" w:rsidRPr="00430E16">
        <w:rPr>
          <w:sz w:val="26"/>
          <w:szCs w:val="26"/>
        </w:rPr>
        <w:t>, bet arī sabiedrībai kopumā</w:t>
      </w:r>
      <w:r w:rsidRPr="006B6C49">
        <w:rPr>
          <w:sz w:val="26"/>
          <w:szCs w:val="26"/>
        </w:rPr>
        <w:t>.</w:t>
      </w:r>
    </w:p>
    <w:p w14:paraId="0CF6E12A" w14:textId="77777777" w:rsidR="0003185C" w:rsidRDefault="0003185C" w:rsidP="0003185C">
      <w:pPr>
        <w:pStyle w:val="ListParagraph"/>
        <w:ind w:left="1276"/>
        <w:rPr>
          <w:sz w:val="26"/>
          <w:szCs w:val="26"/>
        </w:rPr>
      </w:pPr>
    </w:p>
    <w:p w14:paraId="7628B5E3" w14:textId="77777777" w:rsidR="006B7C9B" w:rsidRDefault="006B7C9B">
      <w:pPr>
        <w:rPr>
          <w:rFonts w:ascii="Times New Roman Bold" w:eastAsia="Times New Roman" w:hAnsi="Times New Roman Bold" w:cs="Times New Roman"/>
          <w:b/>
          <w:sz w:val="40"/>
          <w:szCs w:val="24"/>
          <w:lang w:eastAsia="lv-LV"/>
        </w:rPr>
      </w:pPr>
      <w:r>
        <w:br w:type="page"/>
      </w:r>
    </w:p>
    <w:p w14:paraId="12D6B70F" w14:textId="77777777" w:rsidR="00FE1E37" w:rsidRPr="00611E7C" w:rsidRDefault="00FB6397" w:rsidP="00D46FA1">
      <w:pPr>
        <w:pStyle w:val="Heading1"/>
        <w:spacing w:after="0" w:afterAutospacing="0"/>
      </w:pPr>
      <w:bookmarkStart w:id="24" w:name="_Toc33186636"/>
      <w:r>
        <w:lastRenderedPageBreak/>
        <w:t>8</w:t>
      </w:r>
      <w:r w:rsidR="00611E7C">
        <w:t xml:space="preserve">. </w:t>
      </w:r>
      <w:r w:rsidR="0008134A" w:rsidRPr="00611E7C">
        <w:t>Dabas resursu nodoklis</w:t>
      </w:r>
      <w:bookmarkEnd w:id="24"/>
      <w:r w:rsidR="0008134A" w:rsidRPr="00611E7C">
        <w:t xml:space="preserve"> </w:t>
      </w:r>
    </w:p>
    <w:p w14:paraId="52397C03" w14:textId="77777777" w:rsidR="0008134A" w:rsidRPr="00FE1E37" w:rsidRDefault="0008134A" w:rsidP="00FE1E37">
      <w:pPr>
        <w:jc w:val="center"/>
        <w:rPr>
          <w:b/>
          <w:sz w:val="40"/>
          <w:szCs w:val="40"/>
        </w:rPr>
      </w:pPr>
      <w:r w:rsidRPr="00FE1E37">
        <w:rPr>
          <w:b/>
          <w:sz w:val="40"/>
          <w:szCs w:val="40"/>
        </w:rPr>
        <w:t>(VARAM priekšlikumi)</w:t>
      </w:r>
    </w:p>
    <w:p w14:paraId="02575676" w14:textId="77777777" w:rsidR="0008134A" w:rsidRDefault="0008134A" w:rsidP="0008134A">
      <w:pPr>
        <w:rPr>
          <w:b/>
          <w:szCs w:val="24"/>
        </w:rPr>
      </w:pPr>
    </w:p>
    <w:p w14:paraId="6B9C9866" w14:textId="77777777" w:rsidR="0008134A" w:rsidRPr="0008134A" w:rsidRDefault="0008134A" w:rsidP="0008134A">
      <w:pPr>
        <w:spacing w:after="120"/>
        <w:rPr>
          <w:b/>
          <w:sz w:val="26"/>
          <w:szCs w:val="26"/>
        </w:rPr>
      </w:pPr>
      <w:r w:rsidRPr="0008134A">
        <w:rPr>
          <w:b/>
          <w:sz w:val="26"/>
          <w:szCs w:val="26"/>
        </w:rPr>
        <w:t>Priekšlikumi nodokļa likmju izmaiņām:</w:t>
      </w:r>
    </w:p>
    <w:p w14:paraId="718F6F59" w14:textId="77777777" w:rsidR="0008134A" w:rsidRPr="0008134A" w:rsidRDefault="0008134A" w:rsidP="000223DA">
      <w:pPr>
        <w:pStyle w:val="ListParagraph"/>
        <w:numPr>
          <w:ilvl w:val="0"/>
          <w:numId w:val="11"/>
        </w:numPr>
        <w:spacing w:after="120"/>
        <w:ind w:left="426" w:hanging="426"/>
        <w:rPr>
          <w:sz w:val="26"/>
          <w:szCs w:val="26"/>
        </w:rPr>
      </w:pPr>
      <w:r w:rsidRPr="0008134A">
        <w:rPr>
          <w:b/>
          <w:bCs/>
          <w:sz w:val="26"/>
          <w:szCs w:val="26"/>
        </w:rPr>
        <w:t>atcelt atbrīvojumu par CO</w:t>
      </w:r>
      <w:r w:rsidRPr="0008134A">
        <w:rPr>
          <w:b/>
          <w:bCs/>
          <w:sz w:val="26"/>
          <w:szCs w:val="26"/>
          <w:vertAlign w:val="subscript"/>
        </w:rPr>
        <w:t>2</w:t>
      </w:r>
      <w:r w:rsidRPr="0008134A">
        <w:rPr>
          <w:b/>
          <w:bCs/>
          <w:sz w:val="26"/>
          <w:szCs w:val="26"/>
        </w:rPr>
        <w:t xml:space="preserve"> emisijām,</w:t>
      </w:r>
      <w:r w:rsidRPr="0008134A">
        <w:rPr>
          <w:b/>
          <w:sz w:val="26"/>
          <w:szCs w:val="26"/>
        </w:rPr>
        <w:t xml:space="preserve"> ja stacionārajās tehnoloģiskajās iekārtās kā kurināmo izmanto kūdru</w:t>
      </w:r>
      <w:r w:rsidRPr="0008134A">
        <w:rPr>
          <w:sz w:val="26"/>
          <w:szCs w:val="26"/>
        </w:rPr>
        <w:t>.</w:t>
      </w:r>
    </w:p>
    <w:p w14:paraId="26AFA8A3" w14:textId="77777777" w:rsidR="0008134A" w:rsidRDefault="0008134A" w:rsidP="0008134A">
      <w:pPr>
        <w:spacing w:after="120"/>
        <w:ind w:left="425" w:firstLine="1"/>
        <w:jc w:val="both"/>
        <w:rPr>
          <w:sz w:val="26"/>
          <w:szCs w:val="26"/>
        </w:rPr>
      </w:pPr>
      <w:r w:rsidRPr="0008134A">
        <w:rPr>
          <w:sz w:val="26"/>
          <w:szCs w:val="26"/>
        </w:rPr>
        <w:t>Šobrīd kūdras izmantošanai stacionārajās tehnoloģiskajās iekārtās kā kurināmajam  paredzēts labvēlīgs režīms – atbrīvojums no DRN samaksas par CO</w:t>
      </w:r>
      <w:r w:rsidRPr="0008134A">
        <w:rPr>
          <w:sz w:val="26"/>
          <w:szCs w:val="26"/>
          <w:vertAlign w:val="subscript"/>
        </w:rPr>
        <w:t>2</w:t>
      </w:r>
      <w:r w:rsidRPr="0008134A">
        <w:rPr>
          <w:sz w:val="26"/>
          <w:szCs w:val="26"/>
        </w:rPr>
        <w:t xml:space="preserve"> emisijām, kas rodas, izmantojot kūdru. Kūdra nav atjaunojamais energoresurss. Tas ir pretrunā ar vispārējiem politiskajiem uzstādījumiem par siltumnīcefekta gāzu (SEG) emisiju samazināšanu.</w:t>
      </w:r>
    </w:p>
    <w:p w14:paraId="3BE54012" w14:textId="77777777" w:rsidR="0008134A" w:rsidRPr="0008134A" w:rsidRDefault="0008134A" w:rsidP="0008134A">
      <w:pPr>
        <w:spacing w:after="120"/>
        <w:jc w:val="center"/>
        <w:rPr>
          <w:b/>
          <w:szCs w:val="24"/>
        </w:rPr>
      </w:pPr>
      <w:r w:rsidRPr="0008134A">
        <w:rPr>
          <w:szCs w:val="24"/>
        </w:rPr>
        <w:t>2</w:t>
      </w:r>
      <w:r w:rsidR="006C5A20">
        <w:rPr>
          <w:szCs w:val="24"/>
        </w:rPr>
        <w:t>2</w:t>
      </w:r>
      <w:r w:rsidRPr="0008134A">
        <w:rPr>
          <w:szCs w:val="24"/>
        </w:rPr>
        <w:t>.tab.</w:t>
      </w:r>
      <w:r w:rsidRPr="0008134A">
        <w:rPr>
          <w:b/>
          <w:szCs w:val="24"/>
        </w:rPr>
        <w:t xml:space="preserve"> </w:t>
      </w:r>
      <w:r>
        <w:rPr>
          <w:b/>
          <w:szCs w:val="24"/>
        </w:rPr>
        <w:t>A</w:t>
      </w:r>
      <w:r w:rsidRPr="0008134A">
        <w:rPr>
          <w:b/>
          <w:bCs/>
          <w:szCs w:val="24"/>
        </w:rPr>
        <w:t>tbrīvojum</w:t>
      </w:r>
      <w:r>
        <w:rPr>
          <w:b/>
          <w:bCs/>
          <w:szCs w:val="24"/>
        </w:rPr>
        <w:t>a</w:t>
      </w:r>
      <w:r w:rsidRPr="0008134A">
        <w:rPr>
          <w:b/>
          <w:bCs/>
          <w:szCs w:val="24"/>
        </w:rPr>
        <w:t xml:space="preserve"> par CO</w:t>
      </w:r>
      <w:r w:rsidRPr="0008134A">
        <w:rPr>
          <w:b/>
          <w:bCs/>
          <w:szCs w:val="24"/>
          <w:vertAlign w:val="subscript"/>
        </w:rPr>
        <w:t>2</w:t>
      </w:r>
      <w:r w:rsidRPr="0008134A">
        <w:rPr>
          <w:b/>
          <w:bCs/>
          <w:szCs w:val="24"/>
        </w:rPr>
        <w:t xml:space="preserve"> emisijām,</w:t>
      </w:r>
      <w:r w:rsidRPr="0008134A">
        <w:rPr>
          <w:b/>
          <w:szCs w:val="24"/>
        </w:rPr>
        <w:t xml:space="preserve"> ja stacionārajās tehnoloģiskajās iekārtās kā kurināmo izmanto kūdru</w:t>
      </w:r>
      <w:r>
        <w:rPr>
          <w:b/>
          <w:szCs w:val="24"/>
        </w:rPr>
        <w:t>,</w:t>
      </w:r>
      <w:r w:rsidRPr="0008134A">
        <w:rPr>
          <w:b/>
          <w:bCs/>
          <w:szCs w:val="24"/>
        </w:rPr>
        <w:t xml:space="preserve"> atcel</w:t>
      </w:r>
      <w:r w:rsidR="00386F96">
        <w:rPr>
          <w:b/>
          <w:bCs/>
          <w:szCs w:val="24"/>
        </w:rPr>
        <w:t>šana</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34"/>
        <w:gridCol w:w="1134"/>
        <w:gridCol w:w="992"/>
        <w:gridCol w:w="992"/>
      </w:tblGrid>
      <w:tr w:rsidR="0008134A" w:rsidRPr="00CA45ED" w14:paraId="54703954" w14:textId="77777777" w:rsidTr="00DC5987">
        <w:tc>
          <w:tcPr>
            <w:tcW w:w="4282" w:type="dxa"/>
            <w:vMerge w:val="restart"/>
            <w:tcBorders>
              <w:bottom w:val="single" w:sz="4" w:space="0" w:color="FFFFFF" w:themeColor="background1"/>
              <w:right w:val="single" w:sz="4" w:space="0" w:color="FFFFFF" w:themeColor="background1"/>
            </w:tcBorders>
            <w:shd w:val="clear" w:color="auto" w:fill="002060"/>
          </w:tcPr>
          <w:p w14:paraId="64D7B79F" w14:textId="77777777" w:rsidR="0008134A" w:rsidRPr="00CA45ED" w:rsidRDefault="0008134A" w:rsidP="00C0245D">
            <w:pPr>
              <w:rPr>
                <w:b/>
                <w:sz w:val="22"/>
              </w:rPr>
            </w:pPr>
          </w:p>
        </w:tc>
        <w:tc>
          <w:tcPr>
            <w:tcW w:w="1134"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2060"/>
          </w:tcPr>
          <w:p w14:paraId="42AC3ABC" w14:textId="77777777" w:rsidR="0008134A" w:rsidRPr="00CA45ED" w:rsidRDefault="0008134A" w:rsidP="0008134A">
            <w:pPr>
              <w:jc w:val="center"/>
              <w:rPr>
                <w:b/>
                <w:sz w:val="22"/>
              </w:rPr>
            </w:pPr>
            <w:r w:rsidRPr="00CA45ED">
              <w:rPr>
                <w:b/>
                <w:sz w:val="22"/>
              </w:rPr>
              <w:t xml:space="preserve">Esošā likme </w:t>
            </w:r>
          </w:p>
        </w:tc>
        <w:tc>
          <w:tcPr>
            <w:tcW w:w="3118" w:type="dxa"/>
            <w:gridSpan w:val="3"/>
            <w:tcBorders>
              <w:left w:val="single" w:sz="4" w:space="0" w:color="FFFFFF" w:themeColor="background1"/>
              <w:bottom w:val="single" w:sz="4" w:space="0" w:color="FFFFFF" w:themeColor="background1"/>
            </w:tcBorders>
            <w:shd w:val="clear" w:color="auto" w:fill="002060"/>
          </w:tcPr>
          <w:p w14:paraId="64560E52" w14:textId="77777777" w:rsidR="0008134A" w:rsidRPr="00CA45ED" w:rsidRDefault="0008134A" w:rsidP="0008134A">
            <w:pPr>
              <w:jc w:val="center"/>
              <w:rPr>
                <w:b/>
                <w:sz w:val="22"/>
              </w:rPr>
            </w:pPr>
            <w:r w:rsidRPr="00CA45ED">
              <w:rPr>
                <w:b/>
                <w:sz w:val="22"/>
              </w:rPr>
              <w:t>Paaugstinātā likme</w:t>
            </w:r>
          </w:p>
        </w:tc>
      </w:tr>
      <w:tr w:rsidR="0008134A" w:rsidRPr="00CA45ED" w14:paraId="6D39C88D" w14:textId="77777777" w:rsidTr="00DC5987">
        <w:tc>
          <w:tcPr>
            <w:tcW w:w="4282" w:type="dxa"/>
            <w:vMerge/>
            <w:tcBorders>
              <w:top w:val="single" w:sz="4" w:space="0" w:color="FFFFFF" w:themeColor="background1"/>
              <w:right w:val="single" w:sz="4" w:space="0" w:color="FFFFFF" w:themeColor="background1"/>
            </w:tcBorders>
            <w:shd w:val="clear" w:color="auto" w:fill="002060"/>
          </w:tcPr>
          <w:p w14:paraId="705427AD" w14:textId="77777777" w:rsidR="0008134A" w:rsidRPr="00CA45ED" w:rsidRDefault="0008134A" w:rsidP="00C0245D">
            <w:pPr>
              <w:rPr>
                <w:b/>
                <w:sz w:val="22"/>
              </w:rPr>
            </w:pPr>
          </w:p>
        </w:tc>
        <w:tc>
          <w:tcPr>
            <w:tcW w:w="1134" w:type="dxa"/>
            <w:vMerge/>
            <w:tcBorders>
              <w:top w:val="single" w:sz="4" w:space="0" w:color="FFFFFF" w:themeColor="background1"/>
              <w:left w:val="single" w:sz="4" w:space="0" w:color="FFFFFF" w:themeColor="background1"/>
              <w:right w:val="single" w:sz="4" w:space="0" w:color="FFFFFF" w:themeColor="background1"/>
            </w:tcBorders>
            <w:shd w:val="clear" w:color="auto" w:fill="002060"/>
          </w:tcPr>
          <w:p w14:paraId="678301B8" w14:textId="77777777" w:rsidR="0008134A" w:rsidRPr="00CA45ED" w:rsidRDefault="0008134A" w:rsidP="00C0245D">
            <w:pPr>
              <w:jc w:val="center"/>
              <w:rPr>
                <w:b/>
                <w:sz w:val="22"/>
              </w:rPr>
            </w:pP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27E5E303" w14:textId="77777777" w:rsidR="0008134A" w:rsidRPr="00CA45ED" w:rsidRDefault="0008134A" w:rsidP="0008134A">
            <w:pPr>
              <w:jc w:val="center"/>
              <w:rPr>
                <w:b/>
                <w:sz w:val="22"/>
              </w:rPr>
            </w:pPr>
            <w:r w:rsidRPr="00CA45ED">
              <w:rPr>
                <w:b/>
                <w:sz w:val="22"/>
              </w:rPr>
              <w:t>2021</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3942A489" w14:textId="77777777" w:rsidR="0008134A" w:rsidRPr="00CA45ED" w:rsidRDefault="0008134A" w:rsidP="0008134A">
            <w:pPr>
              <w:jc w:val="center"/>
              <w:rPr>
                <w:b/>
                <w:sz w:val="22"/>
              </w:rPr>
            </w:pPr>
            <w:r w:rsidRPr="00CA45ED">
              <w:rPr>
                <w:b/>
                <w:sz w:val="22"/>
              </w:rPr>
              <w:t>2022</w:t>
            </w:r>
          </w:p>
        </w:tc>
        <w:tc>
          <w:tcPr>
            <w:tcW w:w="992" w:type="dxa"/>
            <w:tcBorders>
              <w:top w:val="single" w:sz="4" w:space="0" w:color="FFFFFF" w:themeColor="background1"/>
              <w:left w:val="single" w:sz="4" w:space="0" w:color="FFFFFF" w:themeColor="background1"/>
            </w:tcBorders>
            <w:shd w:val="clear" w:color="auto" w:fill="002060"/>
          </w:tcPr>
          <w:p w14:paraId="4CAEE952" w14:textId="77777777" w:rsidR="0008134A" w:rsidRPr="00CA45ED" w:rsidRDefault="0008134A" w:rsidP="0008134A">
            <w:pPr>
              <w:jc w:val="center"/>
              <w:rPr>
                <w:b/>
                <w:sz w:val="22"/>
              </w:rPr>
            </w:pPr>
            <w:r w:rsidRPr="00CA45ED">
              <w:rPr>
                <w:b/>
                <w:sz w:val="22"/>
              </w:rPr>
              <w:t>2023</w:t>
            </w:r>
          </w:p>
        </w:tc>
      </w:tr>
      <w:tr w:rsidR="0008134A" w:rsidRPr="00473382" w14:paraId="5CAB9E42" w14:textId="77777777" w:rsidTr="00F80F8E">
        <w:trPr>
          <w:trHeight w:val="715"/>
        </w:trPr>
        <w:tc>
          <w:tcPr>
            <w:tcW w:w="4282" w:type="dxa"/>
            <w:tcBorders>
              <w:bottom w:val="single" w:sz="4" w:space="0" w:color="auto"/>
            </w:tcBorders>
            <w:shd w:val="clear" w:color="auto" w:fill="auto"/>
          </w:tcPr>
          <w:p w14:paraId="5CCFBA4A" w14:textId="77777777" w:rsidR="0008134A" w:rsidRPr="0008134A" w:rsidRDefault="0008134A" w:rsidP="0008134A">
            <w:pPr>
              <w:rPr>
                <w:sz w:val="22"/>
              </w:rPr>
            </w:pPr>
            <w:r w:rsidRPr="0008134A">
              <w:rPr>
                <w:sz w:val="22"/>
              </w:rPr>
              <w:t>Oglekļa dioksīda (CO</w:t>
            </w:r>
            <w:r w:rsidRPr="0008134A">
              <w:rPr>
                <w:sz w:val="22"/>
                <w:vertAlign w:val="subscript"/>
              </w:rPr>
              <w:t>2</w:t>
            </w:r>
            <w:r w:rsidRPr="0008134A">
              <w:rPr>
                <w:sz w:val="22"/>
              </w:rPr>
              <w:t>) emisija kūdras izmantošanai stacionārajās tehnoloģiskajās iekārtās</w:t>
            </w:r>
            <w:r>
              <w:rPr>
                <w:sz w:val="22"/>
              </w:rPr>
              <w:t xml:space="preserve">, </w:t>
            </w:r>
            <w:r w:rsidRPr="0008134A">
              <w:rPr>
                <w:i/>
                <w:sz w:val="22"/>
              </w:rPr>
              <w:t>euro par tonnu</w:t>
            </w:r>
          </w:p>
        </w:tc>
        <w:tc>
          <w:tcPr>
            <w:tcW w:w="1134" w:type="dxa"/>
            <w:tcBorders>
              <w:bottom w:val="single" w:sz="4" w:space="0" w:color="auto"/>
            </w:tcBorders>
            <w:shd w:val="clear" w:color="auto" w:fill="D9D9D9" w:themeFill="background1" w:themeFillShade="D9"/>
            <w:vAlign w:val="center"/>
          </w:tcPr>
          <w:p w14:paraId="282A8678" w14:textId="77777777" w:rsidR="0008134A" w:rsidRPr="0008134A" w:rsidRDefault="0008134A" w:rsidP="0008134A">
            <w:pPr>
              <w:jc w:val="center"/>
              <w:rPr>
                <w:b/>
                <w:sz w:val="22"/>
              </w:rPr>
            </w:pPr>
            <w:r w:rsidRPr="0008134A">
              <w:rPr>
                <w:b/>
                <w:sz w:val="22"/>
              </w:rPr>
              <w:t>0</w:t>
            </w:r>
          </w:p>
        </w:tc>
        <w:tc>
          <w:tcPr>
            <w:tcW w:w="1134" w:type="dxa"/>
            <w:tcBorders>
              <w:bottom w:val="single" w:sz="4" w:space="0" w:color="auto"/>
            </w:tcBorders>
            <w:shd w:val="clear" w:color="auto" w:fill="auto"/>
            <w:vAlign w:val="center"/>
          </w:tcPr>
          <w:p w14:paraId="02757E6B" w14:textId="77777777" w:rsidR="0008134A" w:rsidRPr="0008134A" w:rsidRDefault="0008134A" w:rsidP="0008134A">
            <w:pPr>
              <w:jc w:val="center"/>
              <w:rPr>
                <w:b/>
                <w:color w:val="FF0000"/>
                <w:sz w:val="22"/>
              </w:rPr>
            </w:pPr>
            <w:r w:rsidRPr="0008134A">
              <w:rPr>
                <w:b/>
                <w:color w:val="FF0000"/>
                <w:sz w:val="22"/>
              </w:rPr>
              <w:t>12</w:t>
            </w:r>
          </w:p>
        </w:tc>
        <w:tc>
          <w:tcPr>
            <w:tcW w:w="992" w:type="dxa"/>
            <w:tcBorders>
              <w:bottom w:val="single" w:sz="4" w:space="0" w:color="auto"/>
            </w:tcBorders>
            <w:shd w:val="clear" w:color="auto" w:fill="auto"/>
            <w:vAlign w:val="center"/>
          </w:tcPr>
          <w:p w14:paraId="707F73A9" w14:textId="77777777" w:rsidR="0008134A" w:rsidRPr="0008134A" w:rsidRDefault="0008134A" w:rsidP="0008134A">
            <w:pPr>
              <w:jc w:val="center"/>
              <w:rPr>
                <w:b/>
                <w:color w:val="FF0000"/>
                <w:sz w:val="22"/>
              </w:rPr>
            </w:pPr>
            <w:r w:rsidRPr="0008134A">
              <w:rPr>
                <w:b/>
                <w:color w:val="FF0000"/>
                <w:sz w:val="22"/>
              </w:rPr>
              <w:t>15</w:t>
            </w:r>
          </w:p>
        </w:tc>
        <w:tc>
          <w:tcPr>
            <w:tcW w:w="992" w:type="dxa"/>
            <w:tcBorders>
              <w:bottom w:val="single" w:sz="4" w:space="0" w:color="auto"/>
            </w:tcBorders>
            <w:shd w:val="clear" w:color="auto" w:fill="auto"/>
            <w:vAlign w:val="center"/>
          </w:tcPr>
          <w:p w14:paraId="6484FB5A" w14:textId="77777777" w:rsidR="0008134A" w:rsidRPr="0008134A" w:rsidRDefault="0008134A" w:rsidP="0008134A">
            <w:pPr>
              <w:jc w:val="center"/>
              <w:rPr>
                <w:b/>
                <w:color w:val="FF0000"/>
                <w:sz w:val="22"/>
              </w:rPr>
            </w:pPr>
            <w:r w:rsidRPr="0008134A">
              <w:rPr>
                <w:b/>
                <w:color w:val="FF0000"/>
                <w:sz w:val="22"/>
              </w:rPr>
              <w:t>15</w:t>
            </w:r>
          </w:p>
        </w:tc>
      </w:tr>
      <w:tr w:rsidR="0008134A" w:rsidRPr="00473382" w14:paraId="49FF1598" w14:textId="77777777" w:rsidTr="00F80F8E">
        <w:trPr>
          <w:trHeight w:val="512"/>
        </w:trPr>
        <w:tc>
          <w:tcPr>
            <w:tcW w:w="4282" w:type="dxa"/>
            <w:tcBorders>
              <w:bottom w:val="dotted" w:sz="4" w:space="0" w:color="auto"/>
            </w:tcBorders>
            <w:shd w:val="clear" w:color="auto" w:fill="FFE599" w:themeFill="accent4" w:themeFillTint="66"/>
          </w:tcPr>
          <w:p w14:paraId="3EE33FC4" w14:textId="77777777" w:rsidR="0008134A" w:rsidRPr="0008134A" w:rsidRDefault="0008134A" w:rsidP="0008134A">
            <w:pPr>
              <w:rPr>
                <w:sz w:val="22"/>
              </w:rPr>
            </w:pPr>
            <w:r w:rsidRPr="0008134A">
              <w:rPr>
                <w:b/>
                <w:sz w:val="22"/>
              </w:rPr>
              <w:t>Fiskālā ietekme</w:t>
            </w:r>
            <w:r w:rsidRPr="0008134A">
              <w:rPr>
                <w:sz w:val="22"/>
              </w:rPr>
              <w:t xml:space="preserve"> (valsts pamatbudžets), </w:t>
            </w:r>
            <w:r w:rsidRPr="0008134A">
              <w:rPr>
                <w:i/>
                <w:sz w:val="22"/>
              </w:rPr>
              <w:t>milj. euro</w:t>
            </w:r>
          </w:p>
        </w:tc>
        <w:tc>
          <w:tcPr>
            <w:tcW w:w="1134" w:type="dxa"/>
            <w:tcBorders>
              <w:bottom w:val="dotted" w:sz="4" w:space="0" w:color="auto"/>
            </w:tcBorders>
            <w:shd w:val="clear" w:color="auto" w:fill="D9D9D9" w:themeFill="background1" w:themeFillShade="D9"/>
          </w:tcPr>
          <w:p w14:paraId="2F120A5C" w14:textId="77777777" w:rsidR="0008134A" w:rsidRPr="0008134A" w:rsidRDefault="0008134A" w:rsidP="00C0245D">
            <w:pPr>
              <w:jc w:val="center"/>
              <w:rPr>
                <w:sz w:val="22"/>
              </w:rPr>
            </w:pPr>
          </w:p>
        </w:tc>
        <w:tc>
          <w:tcPr>
            <w:tcW w:w="1134" w:type="dxa"/>
            <w:tcBorders>
              <w:bottom w:val="dotted" w:sz="4" w:space="0" w:color="auto"/>
            </w:tcBorders>
            <w:shd w:val="clear" w:color="auto" w:fill="FFE599" w:themeFill="accent4" w:themeFillTint="66"/>
            <w:vAlign w:val="center"/>
          </w:tcPr>
          <w:p w14:paraId="62244230" w14:textId="77777777" w:rsidR="0008134A" w:rsidRPr="004252E4" w:rsidRDefault="00A303CA" w:rsidP="0008134A">
            <w:pPr>
              <w:jc w:val="center"/>
              <w:rPr>
                <w:b/>
                <w:color w:val="00B050"/>
                <w:sz w:val="22"/>
              </w:rPr>
            </w:pPr>
            <w:r w:rsidRPr="004252E4">
              <w:rPr>
                <w:b/>
                <w:color w:val="00B050"/>
                <w:sz w:val="22"/>
              </w:rPr>
              <w:t>+</w:t>
            </w:r>
            <w:r w:rsidR="0008134A" w:rsidRPr="004252E4">
              <w:rPr>
                <w:b/>
                <w:color w:val="00B050"/>
                <w:sz w:val="22"/>
              </w:rPr>
              <w:t>0,0351</w:t>
            </w:r>
          </w:p>
        </w:tc>
        <w:tc>
          <w:tcPr>
            <w:tcW w:w="992" w:type="dxa"/>
            <w:tcBorders>
              <w:bottom w:val="dotted" w:sz="4" w:space="0" w:color="auto"/>
            </w:tcBorders>
            <w:shd w:val="clear" w:color="auto" w:fill="FFE599" w:themeFill="accent4" w:themeFillTint="66"/>
            <w:vAlign w:val="center"/>
          </w:tcPr>
          <w:p w14:paraId="240C1251" w14:textId="77777777" w:rsidR="0008134A" w:rsidRPr="004252E4" w:rsidRDefault="00A303CA" w:rsidP="0008134A">
            <w:pPr>
              <w:jc w:val="center"/>
              <w:rPr>
                <w:b/>
                <w:color w:val="00B050"/>
                <w:sz w:val="22"/>
              </w:rPr>
            </w:pPr>
            <w:r w:rsidRPr="004252E4">
              <w:rPr>
                <w:b/>
                <w:color w:val="00B050"/>
                <w:sz w:val="22"/>
              </w:rPr>
              <w:t>+</w:t>
            </w:r>
            <w:r w:rsidR="0008134A" w:rsidRPr="004252E4">
              <w:rPr>
                <w:b/>
                <w:color w:val="00B050"/>
                <w:sz w:val="22"/>
              </w:rPr>
              <w:t>0,0556</w:t>
            </w:r>
          </w:p>
        </w:tc>
        <w:tc>
          <w:tcPr>
            <w:tcW w:w="992" w:type="dxa"/>
            <w:tcBorders>
              <w:bottom w:val="dotted" w:sz="4" w:space="0" w:color="auto"/>
            </w:tcBorders>
            <w:shd w:val="clear" w:color="auto" w:fill="FFE599" w:themeFill="accent4" w:themeFillTint="66"/>
            <w:vAlign w:val="center"/>
          </w:tcPr>
          <w:p w14:paraId="7E276FF5" w14:textId="77777777" w:rsidR="0008134A" w:rsidRPr="004252E4" w:rsidRDefault="00A303CA" w:rsidP="0008134A">
            <w:pPr>
              <w:jc w:val="center"/>
              <w:rPr>
                <w:b/>
                <w:color w:val="00B050"/>
                <w:sz w:val="22"/>
              </w:rPr>
            </w:pPr>
            <w:r w:rsidRPr="004252E4">
              <w:rPr>
                <w:b/>
                <w:color w:val="00B050"/>
                <w:sz w:val="22"/>
              </w:rPr>
              <w:t>+</w:t>
            </w:r>
            <w:r w:rsidR="0008134A" w:rsidRPr="004252E4">
              <w:rPr>
                <w:b/>
                <w:color w:val="00B050"/>
                <w:sz w:val="22"/>
              </w:rPr>
              <w:t>0,0585</w:t>
            </w:r>
          </w:p>
        </w:tc>
      </w:tr>
      <w:tr w:rsidR="00F80F8E" w:rsidRPr="00473382" w14:paraId="044771E2" w14:textId="77777777" w:rsidTr="00F80F8E">
        <w:trPr>
          <w:trHeight w:val="66"/>
        </w:trPr>
        <w:tc>
          <w:tcPr>
            <w:tcW w:w="4282" w:type="dxa"/>
            <w:tcBorders>
              <w:top w:val="dotted" w:sz="4" w:space="0" w:color="auto"/>
              <w:bottom w:val="dotted" w:sz="4" w:space="0" w:color="auto"/>
            </w:tcBorders>
            <w:shd w:val="clear" w:color="auto" w:fill="FFE599" w:themeFill="accent4" w:themeFillTint="66"/>
          </w:tcPr>
          <w:p w14:paraId="59EC5158" w14:textId="77777777" w:rsidR="00F80F8E" w:rsidRPr="00F80F8E" w:rsidRDefault="00F80F8E" w:rsidP="00F80F8E">
            <w:pPr>
              <w:pStyle w:val="ListParagraph"/>
              <w:numPr>
                <w:ilvl w:val="0"/>
                <w:numId w:val="6"/>
              </w:numPr>
              <w:ind w:left="634" w:hanging="283"/>
              <w:jc w:val="left"/>
              <w:rPr>
                <w:i/>
                <w:sz w:val="20"/>
                <w:szCs w:val="20"/>
              </w:rPr>
            </w:pPr>
            <w:r w:rsidRPr="00F80F8E">
              <w:rPr>
                <w:i/>
                <w:sz w:val="20"/>
                <w:szCs w:val="20"/>
              </w:rPr>
              <w:t>valsts pamatbudžets</w:t>
            </w:r>
          </w:p>
        </w:tc>
        <w:tc>
          <w:tcPr>
            <w:tcW w:w="1134" w:type="dxa"/>
            <w:tcBorders>
              <w:top w:val="dotted" w:sz="4" w:space="0" w:color="auto"/>
              <w:bottom w:val="dotted" w:sz="4" w:space="0" w:color="auto"/>
            </w:tcBorders>
            <w:shd w:val="clear" w:color="auto" w:fill="D9D9D9" w:themeFill="background1" w:themeFillShade="D9"/>
          </w:tcPr>
          <w:p w14:paraId="59F970BD" w14:textId="77777777" w:rsidR="00F80F8E" w:rsidRPr="0008134A" w:rsidRDefault="00F80F8E" w:rsidP="00F80F8E">
            <w:pPr>
              <w:jc w:val="center"/>
              <w:rPr>
                <w:sz w:val="22"/>
              </w:rPr>
            </w:pPr>
          </w:p>
        </w:tc>
        <w:tc>
          <w:tcPr>
            <w:tcW w:w="1134" w:type="dxa"/>
            <w:tcBorders>
              <w:top w:val="dotted" w:sz="4" w:space="0" w:color="auto"/>
              <w:bottom w:val="dotted" w:sz="4" w:space="0" w:color="auto"/>
            </w:tcBorders>
            <w:shd w:val="clear" w:color="auto" w:fill="FFE599" w:themeFill="accent4" w:themeFillTint="66"/>
            <w:vAlign w:val="center"/>
          </w:tcPr>
          <w:p w14:paraId="5166DF59" w14:textId="77777777" w:rsidR="00F80F8E" w:rsidRPr="004252E4" w:rsidRDefault="00F80F8E" w:rsidP="00F80F8E">
            <w:pPr>
              <w:jc w:val="center"/>
              <w:rPr>
                <w:i/>
                <w:color w:val="00B050"/>
                <w:sz w:val="20"/>
                <w:szCs w:val="20"/>
              </w:rPr>
            </w:pPr>
            <w:r w:rsidRPr="004252E4">
              <w:rPr>
                <w:i/>
                <w:color w:val="00B050"/>
                <w:sz w:val="20"/>
                <w:szCs w:val="20"/>
              </w:rPr>
              <w:t>+0,0351</w:t>
            </w:r>
          </w:p>
        </w:tc>
        <w:tc>
          <w:tcPr>
            <w:tcW w:w="992" w:type="dxa"/>
            <w:tcBorders>
              <w:top w:val="dotted" w:sz="4" w:space="0" w:color="auto"/>
              <w:bottom w:val="dotted" w:sz="4" w:space="0" w:color="auto"/>
            </w:tcBorders>
            <w:shd w:val="clear" w:color="auto" w:fill="FFE599" w:themeFill="accent4" w:themeFillTint="66"/>
            <w:vAlign w:val="center"/>
          </w:tcPr>
          <w:p w14:paraId="72932741" w14:textId="77777777" w:rsidR="00F80F8E" w:rsidRPr="004252E4" w:rsidRDefault="00F80F8E" w:rsidP="00F80F8E">
            <w:pPr>
              <w:jc w:val="center"/>
              <w:rPr>
                <w:i/>
                <w:color w:val="00B050"/>
                <w:sz w:val="20"/>
                <w:szCs w:val="20"/>
              </w:rPr>
            </w:pPr>
            <w:r w:rsidRPr="004252E4">
              <w:rPr>
                <w:i/>
                <w:color w:val="00B050"/>
                <w:sz w:val="20"/>
                <w:szCs w:val="20"/>
              </w:rPr>
              <w:t>+0,0556</w:t>
            </w:r>
          </w:p>
        </w:tc>
        <w:tc>
          <w:tcPr>
            <w:tcW w:w="992" w:type="dxa"/>
            <w:tcBorders>
              <w:top w:val="dotted" w:sz="4" w:space="0" w:color="auto"/>
              <w:bottom w:val="dotted" w:sz="4" w:space="0" w:color="auto"/>
            </w:tcBorders>
            <w:shd w:val="clear" w:color="auto" w:fill="FFE599" w:themeFill="accent4" w:themeFillTint="66"/>
            <w:vAlign w:val="center"/>
          </w:tcPr>
          <w:p w14:paraId="1255E539" w14:textId="77777777" w:rsidR="00F80F8E" w:rsidRPr="004252E4" w:rsidRDefault="00F80F8E" w:rsidP="00F80F8E">
            <w:pPr>
              <w:jc w:val="center"/>
              <w:rPr>
                <w:i/>
                <w:color w:val="00B050"/>
                <w:sz w:val="20"/>
                <w:szCs w:val="20"/>
              </w:rPr>
            </w:pPr>
            <w:r w:rsidRPr="004252E4">
              <w:rPr>
                <w:i/>
                <w:color w:val="00B050"/>
                <w:sz w:val="20"/>
                <w:szCs w:val="20"/>
              </w:rPr>
              <w:t>+0,0585</w:t>
            </w:r>
          </w:p>
        </w:tc>
      </w:tr>
      <w:tr w:rsidR="00F80F8E" w:rsidRPr="00473382" w14:paraId="27791966" w14:textId="77777777" w:rsidTr="00F80F8E">
        <w:trPr>
          <w:trHeight w:val="81"/>
        </w:trPr>
        <w:tc>
          <w:tcPr>
            <w:tcW w:w="4282" w:type="dxa"/>
            <w:tcBorders>
              <w:top w:val="dotted" w:sz="4" w:space="0" w:color="auto"/>
            </w:tcBorders>
            <w:shd w:val="clear" w:color="auto" w:fill="FFE599" w:themeFill="accent4" w:themeFillTint="66"/>
          </w:tcPr>
          <w:p w14:paraId="43E8AB17" w14:textId="77777777" w:rsidR="00F80F8E" w:rsidRPr="00F80F8E" w:rsidRDefault="00F80F8E" w:rsidP="00F80F8E">
            <w:pPr>
              <w:pStyle w:val="ListParagraph"/>
              <w:numPr>
                <w:ilvl w:val="0"/>
                <w:numId w:val="6"/>
              </w:numPr>
              <w:ind w:left="634" w:hanging="283"/>
              <w:jc w:val="left"/>
              <w:rPr>
                <w:i/>
                <w:sz w:val="20"/>
                <w:szCs w:val="20"/>
              </w:rPr>
            </w:pPr>
            <w:r w:rsidRPr="00F80F8E">
              <w:rPr>
                <w:i/>
                <w:sz w:val="20"/>
                <w:szCs w:val="20"/>
              </w:rPr>
              <w:t>pašvaldību budžeti</w:t>
            </w:r>
          </w:p>
        </w:tc>
        <w:tc>
          <w:tcPr>
            <w:tcW w:w="1134" w:type="dxa"/>
            <w:tcBorders>
              <w:top w:val="dotted" w:sz="4" w:space="0" w:color="auto"/>
            </w:tcBorders>
            <w:shd w:val="clear" w:color="auto" w:fill="D9D9D9" w:themeFill="background1" w:themeFillShade="D9"/>
          </w:tcPr>
          <w:p w14:paraId="4FF86FD7" w14:textId="77777777" w:rsidR="00F80F8E" w:rsidRPr="0008134A" w:rsidRDefault="00F80F8E" w:rsidP="00F80F8E">
            <w:pPr>
              <w:rPr>
                <w:sz w:val="22"/>
              </w:rPr>
            </w:pPr>
          </w:p>
        </w:tc>
        <w:tc>
          <w:tcPr>
            <w:tcW w:w="1134" w:type="dxa"/>
            <w:tcBorders>
              <w:top w:val="dotted" w:sz="4" w:space="0" w:color="auto"/>
            </w:tcBorders>
            <w:shd w:val="clear" w:color="auto" w:fill="FFE599" w:themeFill="accent4" w:themeFillTint="66"/>
            <w:vAlign w:val="center"/>
          </w:tcPr>
          <w:p w14:paraId="08E766D2" w14:textId="77777777" w:rsidR="00F80F8E" w:rsidRPr="004252E4" w:rsidRDefault="00F80F8E" w:rsidP="00F80F8E">
            <w:pPr>
              <w:jc w:val="center"/>
              <w:rPr>
                <w:b/>
                <w:color w:val="00B050"/>
                <w:sz w:val="22"/>
              </w:rPr>
            </w:pPr>
            <w:r w:rsidRPr="004252E4">
              <w:rPr>
                <w:b/>
                <w:color w:val="00B050"/>
                <w:sz w:val="22"/>
              </w:rPr>
              <w:t>-</w:t>
            </w:r>
          </w:p>
        </w:tc>
        <w:tc>
          <w:tcPr>
            <w:tcW w:w="992" w:type="dxa"/>
            <w:tcBorders>
              <w:top w:val="dotted" w:sz="4" w:space="0" w:color="auto"/>
            </w:tcBorders>
            <w:shd w:val="clear" w:color="auto" w:fill="FFE599" w:themeFill="accent4" w:themeFillTint="66"/>
            <w:vAlign w:val="center"/>
          </w:tcPr>
          <w:p w14:paraId="3060465B" w14:textId="77777777" w:rsidR="00F80F8E" w:rsidRPr="004252E4" w:rsidRDefault="00F80F8E" w:rsidP="00F80F8E">
            <w:pPr>
              <w:jc w:val="center"/>
              <w:rPr>
                <w:b/>
                <w:color w:val="00B050"/>
                <w:sz w:val="22"/>
              </w:rPr>
            </w:pPr>
            <w:r w:rsidRPr="004252E4">
              <w:rPr>
                <w:b/>
                <w:color w:val="00B050"/>
                <w:sz w:val="22"/>
              </w:rPr>
              <w:t>-</w:t>
            </w:r>
          </w:p>
        </w:tc>
        <w:tc>
          <w:tcPr>
            <w:tcW w:w="992" w:type="dxa"/>
            <w:tcBorders>
              <w:top w:val="dotted" w:sz="4" w:space="0" w:color="auto"/>
            </w:tcBorders>
            <w:shd w:val="clear" w:color="auto" w:fill="FFE599" w:themeFill="accent4" w:themeFillTint="66"/>
            <w:vAlign w:val="center"/>
          </w:tcPr>
          <w:p w14:paraId="7877D025" w14:textId="77777777" w:rsidR="00F80F8E" w:rsidRPr="004252E4" w:rsidRDefault="00F80F8E" w:rsidP="00F80F8E">
            <w:pPr>
              <w:jc w:val="center"/>
              <w:rPr>
                <w:b/>
                <w:color w:val="00B050"/>
                <w:sz w:val="22"/>
              </w:rPr>
            </w:pPr>
            <w:r w:rsidRPr="004252E4">
              <w:rPr>
                <w:b/>
                <w:color w:val="00B050"/>
                <w:sz w:val="22"/>
              </w:rPr>
              <w:t>-</w:t>
            </w:r>
          </w:p>
        </w:tc>
      </w:tr>
    </w:tbl>
    <w:p w14:paraId="6BD01E91" w14:textId="77777777" w:rsidR="0008134A" w:rsidRPr="00DF5325" w:rsidRDefault="0008134A" w:rsidP="0008134A">
      <w:pPr>
        <w:ind w:left="426" w:hanging="426"/>
        <w:rPr>
          <w:szCs w:val="24"/>
        </w:rPr>
      </w:pPr>
    </w:p>
    <w:p w14:paraId="2A318994" w14:textId="77777777" w:rsidR="0008134A" w:rsidRPr="00F125CD" w:rsidRDefault="0008134A" w:rsidP="000223DA">
      <w:pPr>
        <w:pStyle w:val="ListParagraph"/>
        <w:numPr>
          <w:ilvl w:val="0"/>
          <w:numId w:val="11"/>
        </w:numPr>
        <w:ind w:left="284" w:hanging="284"/>
        <w:rPr>
          <w:sz w:val="26"/>
          <w:szCs w:val="26"/>
        </w:rPr>
      </w:pPr>
      <w:r w:rsidRPr="00F125CD">
        <w:rPr>
          <w:b/>
          <w:sz w:val="26"/>
          <w:szCs w:val="26"/>
        </w:rPr>
        <w:t>pakāpeniski paaugstināt DRN likmi</w:t>
      </w:r>
      <w:r w:rsidRPr="00F125CD">
        <w:rPr>
          <w:sz w:val="26"/>
          <w:szCs w:val="26"/>
        </w:rPr>
        <w:t xml:space="preserve"> </w:t>
      </w:r>
      <w:r w:rsidRPr="00F125CD">
        <w:rPr>
          <w:b/>
          <w:bCs/>
          <w:sz w:val="26"/>
          <w:szCs w:val="26"/>
        </w:rPr>
        <w:t>sadzīves atkritumu apglabāšanai</w:t>
      </w:r>
      <w:r w:rsidRPr="00F125CD">
        <w:rPr>
          <w:sz w:val="26"/>
          <w:szCs w:val="26"/>
        </w:rPr>
        <w:t xml:space="preserve"> </w:t>
      </w:r>
      <w:r w:rsidRPr="00F125CD">
        <w:rPr>
          <w:b/>
          <w:sz w:val="26"/>
          <w:szCs w:val="26"/>
        </w:rPr>
        <w:t>atkritumu poligonos</w:t>
      </w:r>
      <w:r w:rsidRPr="00F125CD">
        <w:rPr>
          <w:sz w:val="26"/>
          <w:szCs w:val="26"/>
        </w:rPr>
        <w:t xml:space="preserve"> – no </w:t>
      </w:r>
      <w:r w:rsidRPr="00F125CD">
        <w:rPr>
          <w:b/>
          <w:color w:val="C00000"/>
          <w:sz w:val="26"/>
          <w:szCs w:val="26"/>
        </w:rPr>
        <w:t>50</w:t>
      </w:r>
      <w:r w:rsidRPr="00F125CD">
        <w:rPr>
          <w:sz w:val="26"/>
          <w:szCs w:val="26"/>
        </w:rPr>
        <w:t xml:space="preserve"> uz </w:t>
      </w:r>
      <w:r w:rsidRPr="00F125CD">
        <w:rPr>
          <w:b/>
          <w:color w:val="C00000"/>
          <w:sz w:val="26"/>
          <w:szCs w:val="26"/>
        </w:rPr>
        <w:t>80</w:t>
      </w:r>
      <w:r w:rsidRPr="00F125CD">
        <w:rPr>
          <w:sz w:val="26"/>
          <w:szCs w:val="26"/>
        </w:rPr>
        <w:t xml:space="preserve"> </w:t>
      </w:r>
      <w:r w:rsidRPr="00F125CD">
        <w:rPr>
          <w:i/>
          <w:sz w:val="26"/>
          <w:szCs w:val="26"/>
        </w:rPr>
        <w:t>euro</w:t>
      </w:r>
      <w:r w:rsidRPr="00F125CD">
        <w:rPr>
          <w:sz w:val="26"/>
          <w:szCs w:val="26"/>
        </w:rPr>
        <w:t xml:space="preserve"> par tonnu</w:t>
      </w:r>
      <w:r w:rsidRPr="00F125CD">
        <w:rPr>
          <w:color w:val="FF0000"/>
          <w:sz w:val="26"/>
          <w:szCs w:val="26"/>
        </w:rPr>
        <w:t xml:space="preserve"> </w:t>
      </w:r>
    </w:p>
    <w:p w14:paraId="4977B1A1" w14:textId="77777777" w:rsidR="00CA45ED" w:rsidRPr="00F125CD" w:rsidRDefault="00CA45ED" w:rsidP="00CA45ED">
      <w:pPr>
        <w:pStyle w:val="ListParagraph"/>
        <w:ind w:left="284"/>
        <w:rPr>
          <w:sz w:val="26"/>
          <w:szCs w:val="26"/>
        </w:rPr>
      </w:pPr>
    </w:p>
    <w:p w14:paraId="0FE6568A" w14:textId="77777777" w:rsidR="0008134A" w:rsidRPr="00F125CD" w:rsidRDefault="0008134A" w:rsidP="00CA45ED">
      <w:pPr>
        <w:pStyle w:val="ListParagraph"/>
        <w:ind w:left="426"/>
        <w:rPr>
          <w:sz w:val="26"/>
          <w:szCs w:val="26"/>
        </w:rPr>
      </w:pPr>
      <w:r w:rsidRPr="00F125CD">
        <w:rPr>
          <w:sz w:val="26"/>
          <w:szCs w:val="26"/>
        </w:rPr>
        <w:t>VARAM ir atkārtoti izvērtējusi DRN likmi par atkritumu apglabāšanu poligonos, ievērojot Eiropas Savienības direktīvās izvirzītos mērķus atkritumu apsaimniekošanas jomā. Lai veicinātu Latvijas Republikas saistību izpildi attiecībā uz atkritumu pārstrādi un reģenerāciju, kā arī samazinātu poligonos apglabājamo atkritumu apjomu, DRN likmes par sadzīves un bīstamo atkritumu apglabāšanu nepieciešams turpināt paaugstināt.</w:t>
      </w:r>
    </w:p>
    <w:p w14:paraId="1292B8F0" w14:textId="77777777" w:rsidR="00CA45ED" w:rsidRDefault="00CA45ED" w:rsidP="00CA45ED">
      <w:pPr>
        <w:pStyle w:val="ListParagraph"/>
        <w:ind w:left="426"/>
        <w:rPr>
          <w:szCs w:val="24"/>
        </w:rPr>
      </w:pPr>
    </w:p>
    <w:p w14:paraId="21CD89A2" w14:textId="77777777" w:rsidR="00CA45ED" w:rsidRPr="0008134A" w:rsidRDefault="00CA45ED" w:rsidP="00CA45ED">
      <w:pPr>
        <w:spacing w:after="120"/>
        <w:jc w:val="center"/>
        <w:rPr>
          <w:b/>
          <w:szCs w:val="24"/>
        </w:rPr>
      </w:pPr>
      <w:r w:rsidRPr="0008134A">
        <w:rPr>
          <w:szCs w:val="24"/>
        </w:rPr>
        <w:t>2</w:t>
      </w:r>
      <w:r w:rsidR="006C5A20">
        <w:rPr>
          <w:szCs w:val="24"/>
        </w:rPr>
        <w:t>3</w:t>
      </w:r>
      <w:r w:rsidRPr="0008134A">
        <w:rPr>
          <w:szCs w:val="24"/>
        </w:rPr>
        <w:t>.tab.</w:t>
      </w:r>
      <w:r w:rsidRPr="0008134A">
        <w:rPr>
          <w:b/>
          <w:szCs w:val="24"/>
        </w:rPr>
        <w:t xml:space="preserve"> </w:t>
      </w:r>
      <w:r w:rsidR="00A35C05" w:rsidRPr="00CA45ED">
        <w:rPr>
          <w:b/>
          <w:szCs w:val="24"/>
        </w:rPr>
        <w:t>DRN likm</w:t>
      </w:r>
      <w:r w:rsidR="00A35C05">
        <w:rPr>
          <w:b/>
          <w:szCs w:val="24"/>
        </w:rPr>
        <w:t>es</w:t>
      </w:r>
      <w:r w:rsidR="00A35C05" w:rsidRPr="00DF5325">
        <w:rPr>
          <w:szCs w:val="24"/>
        </w:rPr>
        <w:t xml:space="preserve"> </w:t>
      </w:r>
      <w:r w:rsidR="00A35C05" w:rsidRPr="00B056A1">
        <w:rPr>
          <w:b/>
          <w:bCs/>
          <w:szCs w:val="24"/>
        </w:rPr>
        <w:t>sadzīves atkritumu apglabāšanai</w:t>
      </w:r>
      <w:r w:rsidR="00A35C05" w:rsidRPr="00D56601">
        <w:rPr>
          <w:szCs w:val="24"/>
        </w:rPr>
        <w:t xml:space="preserve"> </w:t>
      </w:r>
      <w:r w:rsidR="00A35C05" w:rsidRPr="00CA45ED">
        <w:rPr>
          <w:b/>
          <w:szCs w:val="24"/>
        </w:rPr>
        <w:t>atkritumu poligonos</w:t>
      </w:r>
      <w:r w:rsidR="00A35C05">
        <w:rPr>
          <w:b/>
          <w:szCs w:val="24"/>
        </w:rPr>
        <w:t xml:space="preserve"> paaugstināšana</w:t>
      </w:r>
      <w:r w:rsidR="00A35C05">
        <w:rPr>
          <w:b/>
          <w:bCs/>
          <w:szCs w:val="24"/>
        </w:rPr>
        <w:t xml:space="preserve"> </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34"/>
        <w:gridCol w:w="1134"/>
        <w:gridCol w:w="992"/>
        <w:gridCol w:w="851"/>
      </w:tblGrid>
      <w:tr w:rsidR="00E10A72" w:rsidRPr="00E10A72" w14:paraId="6B5C9EE0" w14:textId="77777777" w:rsidTr="00E10A72">
        <w:trPr>
          <w:trHeight w:val="429"/>
        </w:trPr>
        <w:tc>
          <w:tcPr>
            <w:tcW w:w="4282" w:type="dxa"/>
            <w:vMerge w:val="restart"/>
            <w:tcBorders>
              <w:bottom w:val="single" w:sz="4" w:space="0" w:color="FFFFFF" w:themeColor="background1"/>
              <w:right w:val="single" w:sz="4" w:space="0" w:color="FFFFFF" w:themeColor="background1"/>
            </w:tcBorders>
            <w:shd w:val="clear" w:color="auto" w:fill="002060"/>
          </w:tcPr>
          <w:p w14:paraId="6525D967" w14:textId="77777777" w:rsidR="00A35C05" w:rsidRPr="00E10A72" w:rsidRDefault="00A35C05" w:rsidP="00C0245D">
            <w:pPr>
              <w:rPr>
                <w:b/>
                <w:color w:val="FFFFFF" w:themeColor="background1"/>
                <w:sz w:val="22"/>
              </w:rPr>
            </w:pPr>
          </w:p>
        </w:tc>
        <w:tc>
          <w:tcPr>
            <w:tcW w:w="1134"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2060"/>
          </w:tcPr>
          <w:p w14:paraId="78121E2E" w14:textId="77777777" w:rsidR="00A35C05" w:rsidRPr="00E10A72" w:rsidRDefault="00A35C05" w:rsidP="00E10A72">
            <w:pPr>
              <w:jc w:val="center"/>
              <w:rPr>
                <w:b/>
                <w:color w:val="FFFFFF" w:themeColor="background1"/>
                <w:sz w:val="22"/>
              </w:rPr>
            </w:pPr>
            <w:r w:rsidRPr="00E10A72">
              <w:rPr>
                <w:b/>
                <w:color w:val="FFFFFF" w:themeColor="background1"/>
                <w:sz w:val="22"/>
              </w:rPr>
              <w:t xml:space="preserve">Esošā likme </w:t>
            </w:r>
          </w:p>
        </w:tc>
        <w:tc>
          <w:tcPr>
            <w:tcW w:w="2977" w:type="dxa"/>
            <w:gridSpan w:val="3"/>
            <w:tcBorders>
              <w:left w:val="single" w:sz="4" w:space="0" w:color="FFFFFF" w:themeColor="background1"/>
              <w:bottom w:val="single" w:sz="4" w:space="0" w:color="FFFFFF" w:themeColor="background1"/>
            </w:tcBorders>
            <w:shd w:val="clear" w:color="auto" w:fill="002060"/>
          </w:tcPr>
          <w:p w14:paraId="6A1CBBC7" w14:textId="77777777" w:rsidR="00A35C05" w:rsidRPr="00E10A72" w:rsidRDefault="00A35C05" w:rsidP="008C635B">
            <w:pPr>
              <w:jc w:val="center"/>
              <w:rPr>
                <w:b/>
                <w:color w:val="FFFFFF" w:themeColor="background1"/>
                <w:sz w:val="22"/>
              </w:rPr>
            </w:pPr>
            <w:r w:rsidRPr="00E10A72">
              <w:rPr>
                <w:b/>
                <w:color w:val="FFFFFF" w:themeColor="background1"/>
                <w:sz w:val="22"/>
              </w:rPr>
              <w:t xml:space="preserve">Paaugstinātā likme </w:t>
            </w:r>
          </w:p>
        </w:tc>
      </w:tr>
      <w:tr w:rsidR="00E10A72" w:rsidRPr="00E10A72" w14:paraId="7D2E2A37" w14:textId="77777777" w:rsidTr="00FE1E37">
        <w:tc>
          <w:tcPr>
            <w:tcW w:w="4282" w:type="dxa"/>
            <w:vMerge/>
            <w:tcBorders>
              <w:top w:val="single" w:sz="4" w:space="0" w:color="FFFFFF" w:themeColor="background1"/>
              <w:right w:val="single" w:sz="4" w:space="0" w:color="FFFFFF" w:themeColor="background1"/>
            </w:tcBorders>
            <w:shd w:val="clear" w:color="auto" w:fill="002060"/>
          </w:tcPr>
          <w:p w14:paraId="5B47F28E" w14:textId="77777777" w:rsidR="00A35C05" w:rsidRPr="00E10A72" w:rsidRDefault="00A35C05" w:rsidP="00C0245D">
            <w:pPr>
              <w:rPr>
                <w:b/>
                <w:color w:val="FFFFFF" w:themeColor="background1"/>
                <w:sz w:val="22"/>
              </w:rPr>
            </w:pPr>
          </w:p>
        </w:tc>
        <w:tc>
          <w:tcPr>
            <w:tcW w:w="1134" w:type="dxa"/>
            <w:vMerge/>
            <w:tcBorders>
              <w:top w:val="single" w:sz="4" w:space="0" w:color="FFFFFF" w:themeColor="background1"/>
              <w:left w:val="single" w:sz="4" w:space="0" w:color="FFFFFF" w:themeColor="background1"/>
              <w:right w:val="single" w:sz="4" w:space="0" w:color="FFFFFF" w:themeColor="background1"/>
            </w:tcBorders>
            <w:shd w:val="clear" w:color="auto" w:fill="002060"/>
          </w:tcPr>
          <w:p w14:paraId="72312319" w14:textId="77777777" w:rsidR="00A35C05" w:rsidRPr="00E10A72" w:rsidRDefault="00A35C05" w:rsidP="00C0245D">
            <w:pPr>
              <w:jc w:val="center"/>
              <w:rPr>
                <w:b/>
                <w:color w:val="FFFFFF" w:themeColor="background1"/>
                <w:sz w:val="22"/>
              </w:rPr>
            </w:pP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621C7D67" w14:textId="77777777" w:rsidR="00A35C05" w:rsidRPr="00E10A72" w:rsidRDefault="00E10A72" w:rsidP="00C0245D">
            <w:pPr>
              <w:jc w:val="center"/>
              <w:rPr>
                <w:b/>
                <w:color w:val="FFFFFF" w:themeColor="background1"/>
                <w:sz w:val="22"/>
              </w:rPr>
            </w:pPr>
            <w:r>
              <w:rPr>
                <w:b/>
                <w:color w:val="FFFFFF" w:themeColor="background1"/>
                <w:sz w:val="22"/>
              </w:rPr>
              <w:t>2021</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7A03B40D" w14:textId="77777777" w:rsidR="00A35C05" w:rsidRPr="00E10A72" w:rsidRDefault="00A35C05" w:rsidP="00E10A72">
            <w:pPr>
              <w:jc w:val="center"/>
              <w:rPr>
                <w:b/>
                <w:color w:val="FFFFFF" w:themeColor="background1"/>
                <w:sz w:val="22"/>
              </w:rPr>
            </w:pPr>
            <w:r w:rsidRPr="00E10A72">
              <w:rPr>
                <w:b/>
                <w:color w:val="FFFFFF" w:themeColor="background1"/>
                <w:sz w:val="22"/>
              </w:rPr>
              <w:t>2022</w:t>
            </w:r>
          </w:p>
        </w:tc>
        <w:tc>
          <w:tcPr>
            <w:tcW w:w="851" w:type="dxa"/>
            <w:tcBorders>
              <w:top w:val="single" w:sz="4" w:space="0" w:color="FFFFFF" w:themeColor="background1"/>
              <w:left w:val="single" w:sz="4" w:space="0" w:color="FFFFFF" w:themeColor="background1"/>
            </w:tcBorders>
            <w:shd w:val="clear" w:color="auto" w:fill="002060"/>
          </w:tcPr>
          <w:p w14:paraId="7B1F5C8B" w14:textId="77777777" w:rsidR="00A35C05" w:rsidRPr="00E10A72" w:rsidRDefault="00A35C05" w:rsidP="00E10A72">
            <w:pPr>
              <w:jc w:val="center"/>
              <w:rPr>
                <w:b/>
                <w:color w:val="FFFFFF" w:themeColor="background1"/>
                <w:sz w:val="22"/>
              </w:rPr>
            </w:pPr>
            <w:r w:rsidRPr="00E10A72">
              <w:rPr>
                <w:b/>
                <w:color w:val="FFFFFF" w:themeColor="background1"/>
                <w:sz w:val="22"/>
              </w:rPr>
              <w:t>2023</w:t>
            </w:r>
          </w:p>
        </w:tc>
      </w:tr>
      <w:tr w:rsidR="00A35C05" w:rsidRPr="00A35C05" w14:paraId="50EA05DE" w14:textId="77777777" w:rsidTr="00FE1E37">
        <w:trPr>
          <w:trHeight w:val="435"/>
        </w:trPr>
        <w:tc>
          <w:tcPr>
            <w:tcW w:w="4282" w:type="dxa"/>
            <w:tcBorders>
              <w:bottom w:val="single" w:sz="4" w:space="0" w:color="auto"/>
            </w:tcBorders>
            <w:shd w:val="clear" w:color="auto" w:fill="auto"/>
          </w:tcPr>
          <w:p w14:paraId="6F168B92" w14:textId="77777777" w:rsidR="00A35C05" w:rsidRPr="00A35C05" w:rsidRDefault="00A35C05" w:rsidP="00C0245D">
            <w:pPr>
              <w:rPr>
                <w:sz w:val="22"/>
              </w:rPr>
            </w:pPr>
            <w:r w:rsidRPr="00A35C05">
              <w:rPr>
                <w:sz w:val="22"/>
              </w:rPr>
              <w:t>Sadzīves atkritumu apglabāšana</w:t>
            </w:r>
            <w:r>
              <w:rPr>
                <w:sz w:val="22"/>
              </w:rPr>
              <w:t>,</w:t>
            </w:r>
            <w:r w:rsidRPr="0008134A">
              <w:rPr>
                <w:i/>
                <w:sz w:val="22"/>
              </w:rPr>
              <w:t xml:space="preserve"> euro par tonnu</w:t>
            </w:r>
          </w:p>
        </w:tc>
        <w:tc>
          <w:tcPr>
            <w:tcW w:w="1134" w:type="dxa"/>
            <w:tcBorders>
              <w:bottom w:val="single" w:sz="4" w:space="0" w:color="auto"/>
            </w:tcBorders>
            <w:shd w:val="clear" w:color="auto" w:fill="BFBFBF" w:themeFill="background1" w:themeFillShade="BF"/>
            <w:vAlign w:val="center"/>
          </w:tcPr>
          <w:p w14:paraId="4EF5492A" w14:textId="77777777" w:rsidR="00A35C05" w:rsidRPr="00A35C05" w:rsidRDefault="00A35C05" w:rsidP="00A35C05">
            <w:pPr>
              <w:jc w:val="center"/>
              <w:rPr>
                <w:b/>
                <w:sz w:val="22"/>
              </w:rPr>
            </w:pPr>
            <w:r w:rsidRPr="00A35C05">
              <w:rPr>
                <w:b/>
                <w:sz w:val="22"/>
              </w:rPr>
              <w:t>50</w:t>
            </w:r>
          </w:p>
        </w:tc>
        <w:tc>
          <w:tcPr>
            <w:tcW w:w="1134" w:type="dxa"/>
            <w:tcBorders>
              <w:bottom w:val="single" w:sz="4" w:space="0" w:color="auto"/>
            </w:tcBorders>
            <w:shd w:val="clear" w:color="auto" w:fill="auto"/>
            <w:vAlign w:val="center"/>
          </w:tcPr>
          <w:p w14:paraId="3304A41B" w14:textId="77777777" w:rsidR="00A35C05" w:rsidRPr="00A35C05" w:rsidRDefault="00A35C05" w:rsidP="00A35C05">
            <w:pPr>
              <w:jc w:val="center"/>
              <w:rPr>
                <w:b/>
                <w:color w:val="FF0000"/>
                <w:sz w:val="22"/>
              </w:rPr>
            </w:pPr>
            <w:r w:rsidRPr="00A35C05">
              <w:rPr>
                <w:b/>
                <w:color w:val="FF0000"/>
                <w:sz w:val="22"/>
              </w:rPr>
              <w:t>60</w:t>
            </w:r>
          </w:p>
        </w:tc>
        <w:tc>
          <w:tcPr>
            <w:tcW w:w="992" w:type="dxa"/>
            <w:tcBorders>
              <w:bottom w:val="single" w:sz="4" w:space="0" w:color="auto"/>
            </w:tcBorders>
            <w:shd w:val="clear" w:color="auto" w:fill="auto"/>
            <w:vAlign w:val="center"/>
          </w:tcPr>
          <w:p w14:paraId="54185D19" w14:textId="77777777" w:rsidR="00A35C05" w:rsidRPr="00A35C05" w:rsidRDefault="00A35C05" w:rsidP="00A35C05">
            <w:pPr>
              <w:jc w:val="center"/>
              <w:rPr>
                <w:b/>
                <w:color w:val="FF0000"/>
                <w:sz w:val="22"/>
              </w:rPr>
            </w:pPr>
            <w:r w:rsidRPr="00A35C05">
              <w:rPr>
                <w:b/>
                <w:color w:val="FF0000"/>
                <w:sz w:val="22"/>
              </w:rPr>
              <w:t>70</w:t>
            </w:r>
          </w:p>
        </w:tc>
        <w:tc>
          <w:tcPr>
            <w:tcW w:w="851" w:type="dxa"/>
            <w:tcBorders>
              <w:bottom w:val="single" w:sz="4" w:space="0" w:color="auto"/>
            </w:tcBorders>
            <w:shd w:val="clear" w:color="auto" w:fill="auto"/>
            <w:vAlign w:val="center"/>
          </w:tcPr>
          <w:p w14:paraId="45B87840" w14:textId="77777777" w:rsidR="00A35C05" w:rsidRPr="00A35C05" w:rsidRDefault="00A35C05" w:rsidP="00A35C05">
            <w:pPr>
              <w:jc w:val="center"/>
              <w:rPr>
                <w:b/>
                <w:color w:val="FF0000"/>
                <w:sz w:val="22"/>
              </w:rPr>
            </w:pPr>
            <w:r w:rsidRPr="00A35C05">
              <w:rPr>
                <w:b/>
                <w:color w:val="FF0000"/>
                <w:sz w:val="22"/>
              </w:rPr>
              <w:t>80</w:t>
            </w:r>
          </w:p>
        </w:tc>
      </w:tr>
      <w:tr w:rsidR="00A35C05" w:rsidRPr="00A35C05" w14:paraId="1A8754DA" w14:textId="77777777" w:rsidTr="00FE1E37">
        <w:trPr>
          <w:trHeight w:val="274"/>
        </w:trPr>
        <w:tc>
          <w:tcPr>
            <w:tcW w:w="4282" w:type="dxa"/>
            <w:tcBorders>
              <w:bottom w:val="dotted" w:sz="4" w:space="0" w:color="auto"/>
            </w:tcBorders>
            <w:shd w:val="clear" w:color="auto" w:fill="FFE599" w:themeFill="accent4" w:themeFillTint="66"/>
          </w:tcPr>
          <w:p w14:paraId="3CEFEE97" w14:textId="77777777" w:rsidR="00A35C05" w:rsidRPr="00A35C05" w:rsidRDefault="00A35C05" w:rsidP="00A35C05">
            <w:pPr>
              <w:rPr>
                <w:sz w:val="22"/>
              </w:rPr>
            </w:pPr>
            <w:r w:rsidRPr="0008134A">
              <w:rPr>
                <w:b/>
                <w:sz w:val="22"/>
              </w:rPr>
              <w:t>Fiskālā ietekme</w:t>
            </w:r>
            <w:r>
              <w:rPr>
                <w:b/>
                <w:sz w:val="22"/>
              </w:rPr>
              <w:t xml:space="preserve">, </w:t>
            </w:r>
            <w:r w:rsidRPr="0008134A">
              <w:rPr>
                <w:i/>
                <w:sz w:val="22"/>
              </w:rPr>
              <w:t>milj. euro</w:t>
            </w:r>
          </w:p>
        </w:tc>
        <w:tc>
          <w:tcPr>
            <w:tcW w:w="1134" w:type="dxa"/>
            <w:tcBorders>
              <w:bottom w:val="dotted" w:sz="4" w:space="0" w:color="auto"/>
            </w:tcBorders>
            <w:shd w:val="clear" w:color="auto" w:fill="BFBFBF" w:themeFill="background1" w:themeFillShade="BF"/>
          </w:tcPr>
          <w:p w14:paraId="5BA0E1A2" w14:textId="77777777" w:rsidR="00A35C05" w:rsidRPr="00A35C05" w:rsidRDefault="00A35C05" w:rsidP="00C0245D">
            <w:pPr>
              <w:jc w:val="center"/>
              <w:rPr>
                <w:sz w:val="22"/>
              </w:rPr>
            </w:pPr>
          </w:p>
        </w:tc>
        <w:tc>
          <w:tcPr>
            <w:tcW w:w="1134" w:type="dxa"/>
            <w:tcBorders>
              <w:bottom w:val="dotted" w:sz="4" w:space="0" w:color="auto"/>
            </w:tcBorders>
            <w:shd w:val="clear" w:color="auto" w:fill="FFE599" w:themeFill="accent4" w:themeFillTint="66"/>
            <w:vAlign w:val="center"/>
          </w:tcPr>
          <w:p w14:paraId="45FCE855" w14:textId="77777777" w:rsidR="00A35C05" w:rsidRPr="004252E4" w:rsidRDefault="00A303CA" w:rsidP="00A35C05">
            <w:pPr>
              <w:jc w:val="center"/>
              <w:rPr>
                <w:b/>
                <w:color w:val="00B050"/>
                <w:sz w:val="22"/>
              </w:rPr>
            </w:pPr>
            <w:r w:rsidRPr="004252E4">
              <w:rPr>
                <w:b/>
                <w:color w:val="00B050"/>
                <w:sz w:val="22"/>
              </w:rPr>
              <w:t>+</w:t>
            </w:r>
            <w:r w:rsidR="00A35C05" w:rsidRPr="004252E4">
              <w:rPr>
                <w:b/>
                <w:color w:val="00B050"/>
                <w:sz w:val="22"/>
              </w:rPr>
              <w:t>0,57</w:t>
            </w:r>
          </w:p>
        </w:tc>
        <w:tc>
          <w:tcPr>
            <w:tcW w:w="992" w:type="dxa"/>
            <w:tcBorders>
              <w:bottom w:val="dotted" w:sz="4" w:space="0" w:color="auto"/>
            </w:tcBorders>
            <w:shd w:val="clear" w:color="auto" w:fill="FFE599" w:themeFill="accent4" w:themeFillTint="66"/>
            <w:vAlign w:val="center"/>
          </w:tcPr>
          <w:p w14:paraId="1269CE9D" w14:textId="77777777" w:rsidR="00A35C05" w:rsidRPr="004252E4" w:rsidRDefault="00A303CA" w:rsidP="00A35C05">
            <w:pPr>
              <w:jc w:val="center"/>
              <w:rPr>
                <w:b/>
                <w:color w:val="00B050"/>
                <w:sz w:val="22"/>
              </w:rPr>
            </w:pPr>
            <w:r w:rsidRPr="004252E4">
              <w:rPr>
                <w:b/>
                <w:color w:val="00B050"/>
                <w:sz w:val="22"/>
              </w:rPr>
              <w:t>+</w:t>
            </w:r>
            <w:r w:rsidR="00A35C05" w:rsidRPr="004252E4">
              <w:rPr>
                <w:b/>
                <w:color w:val="00B050"/>
                <w:sz w:val="22"/>
              </w:rPr>
              <w:t>1,32</w:t>
            </w:r>
          </w:p>
        </w:tc>
        <w:tc>
          <w:tcPr>
            <w:tcW w:w="851" w:type="dxa"/>
            <w:tcBorders>
              <w:bottom w:val="dotted" w:sz="4" w:space="0" w:color="auto"/>
            </w:tcBorders>
            <w:shd w:val="clear" w:color="auto" w:fill="FFE599" w:themeFill="accent4" w:themeFillTint="66"/>
            <w:vAlign w:val="center"/>
          </w:tcPr>
          <w:p w14:paraId="00280653" w14:textId="77777777" w:rsidR="00A35C05" w:rsidRPr="004252E4" w:rsidRDefault="00A303CA" w:rsidP="00A35C05">
            <w:pPr>
              <w:jc w:val="center"/>
              <w:rPr>
                <w:b/>
                <w:color w:val="00B050"/>
                <w:sz w:val="22"/>
              </w:rPr>
            </w:pPr>
            <w:r w:rsidRPr="004252E4">
              <w:rPr>
                <w:b/>
                <w:color w:val="00B050"/>
                <w:sz w:val="22"/>
              </w:rPr>
              <w:t>+</w:t>
            </w:r>
            <w:r w:rsidR="00A35C05" w:rsidRPr="004252E4">
              <w:rPr>
                <w:b/>
                <w:color w:val="00B050"/>
                <w:sz w:val="22"/>
              </w:rPr>
              <w:t>2,00</w:t>
            </w:r>
          </w:p>
        </w:tc>
      </w:tr>
      <w:tr w:rsidR="00A35C05" w:rsidRPr="00A35C05" w14:paraId="6E4D5C89" w14:textId="77777777" w:rsidTr="00FE1E37">
        <w:trPr>
          <w:trHeight w:val="70"/>
        </w:trPr>
        <w:tc>
          <w:tcPr>
            <w:tcW w:w="4282" w:type="dxa"/>
            <w:tcBorders>
              <w:top w:val="dotted" w:sz="4" w:space="0" w:color="auto"/>
              <w:bottom w:val="dotted" w:sz="4" w:space="0" w:color="auto"/>
            </w:tcBorders>
            <w:shd w:val="clear" w:color="auto" w:fill="FFE599" w:themeFill="accent4" w:themeFillTint="66"/>
          </w:tcPr>
          <w:p w14:paraId="54CEF99A" w14:textId="77777777" w:rsidR="00A35C05" w:rsidRPr="00F80F8E" w:rsidRDefault="00A35C05" w:rsidP="000223DA">
            <w:pPr>
              <w:pStyle w:val="ListParagraph"/>
              <w:numPr>
                <w:ilvl w:val="0"/>
                <w:numId w:val="6"/>
              </w:numPr>
              <w:ind w:left="634" w:hanging="283"/>
              <w:jc w:val="left"/>
              <w:rPr>
                <w:i/>
                <w:sz w:val="20"/>
                <w:szCs w:val="20"/>
              </w:rPr>
            </w:pPr>
            <w:r w:rsidRPr="00F80F8E">
              <w:rPr>
                <w:i/>
                <w:sz w:val="20"/>
                <w:szCs w:val="20"/>
              </w:rPr>
              <w:t>valsts pamatbudžets</w:t>
            </w:r>
          </w:p>
        </w:tc>
        <w:tc>
          <w:tcPr>
            <w:tcW w:w="1134" w:type="dxa"/>
            <w:tcBorders>
              <w:top w:val="dotted" w:sz="4" w:space="0" w:color="auto"/>
              <w:bottom w:val="dotted" w:sz="4" w:space="0" w:color="auto"/>
            </w:tcBorders>
            <w:shd w:val="clear" w:color="auto" w:fill="BFBFBF" w:themeFill="background1" w:themeFillShade="BF"/>
          </w:tcPr>
          <w:p w14:paraId="234A58F4" w14:textId="77777777" w:rsidR="00A35C05" w:rsidRPr="00A35C05" w:rsidRDefault="00A35C05" w:rsidP="00C0245D">
            <w:pPr>
              <w:jc w:val="center"/>
              <w:rPr>
                <w:sz w:val="20"/>
                <w:szCs w:val="20"/>
              </w:rPr>
            </w:pPr>
          </w:p>
        </w:tc>
        <w:tc>
          <w:tcPr>
            <w:tcW w:w="1134" w:type="dxa"/>
            <w:tcBorders>
              <w:top w:val="dotted" w:sz="4" w:space="0" w:color="auto"/>
              <w:bottom w:val="dotted" w:sz="4" w:space="0" w:color="auto"/>
            </w:tcBorders>
            <w:shd w:val="clear" w:color="auto" w:fill="FFE599" w:themeFill="accent4" w:themeFillTint="66"/>
            <w:vAlign w:val="center"/>
          </w:tcPr>
          <w:p w14:paraId="764343AE" w14:textId="77777777" w:rsidR="00A35C05" w:rsidRPr="004252E4" w:rsidRDefault="00A303CA" w:rsidP="00A35C05">
            <w:pPr>
              <w:jc w:val="center"/>
              <w:rPr>
                <w:i/>
                <w:color w:val="00B050"/>
                <w:sz w:val="20"/>
                <w:szCs w:val="20"/>
              </w:rPr>
            </w:pPr>
            <w:r w:rsidRPr="004252E4">
              <w:rPr>
                <w:i/>
                <w:color w:val="00B050"/>
                <w:sz w:val="20"/>
                <w:szCs w:val="20"/>
              </w:rPr>
              <w:t>+</w:t>
            </w:r>
            <w:r w:rsidR="00A35C05" w:rsidRPr="004252E4">
              <w:rPr>
                <w:i/>
                <w:color w:val="00B050"/>
                <w:sz w:val="20"/>
                <w:szCs w:val="20"/>
              </w:rPr>
              <w:t>0,46</w:t>
            </w:r>
          </w:p>
        </w:tc>
        <w:tc>
          <w:tcPr>
            <w:tcW w:w="992" w:type="dxa"/>
            <w:tcBorders>
              <w:top w:val="dotted" w:sz="4" w:space="0" w:color="auto"/>
              <w:bottom w:val="dotted" w:sz="4" w:space="0" w:color="auto"/>
            </w:tcBorders>
            <w:shd w:val="clear" w:color="auto" w:fill="FFE599" w:themeFill="accent4" w:themeFillTint="66"/>
            <w:vAlign w:val="center"/>
          </w:tcPr>
          <w:p w14:paraId="0D886F83" w14:textId="77777777" w:rsidR="00A35C05" w:rsidRPr="004252E4" w:rsidRDefault="00A303CA" w:rsidP="00A35C05">
            <w:pPr>
              <w:jc w:val="center"/>
              <w:rPr>
                <w:i/>
                <w:color w:val="00B050"/>
                <w:sz w:val="20"/>
                <w:szCs w:val="20"/>
              </w:rPr>
            </w:pPr>
            <w:r w:rsidRPr="004252E4">
              <w:rPr>
                <w:i/>
                <w:color w:val="00B050"/>
                <w:sz w:val="20"/>
                <w:szCs w:val="20"/>
              </w:rPr>
              <w:t>+</w:t>
            </w:r>
            <w:r w:rsidR="00A35C05" w:rsidRPr="004252E4">
              <w:rPr>
                <w:i/>
                <w:color w:val="00B050"/>
                <w:sz w:val="20"/>
                <w:szCs w:val="20"/>
              </w:rPr>
              <w:t>1,06</w:t>
            </w:r>
          </w:p>
        </w:tc>
        <w:tc>
          <w:tcPr>
            <w:tcW w:w="851" w:type="dxa"/>
            <w:tcBorders>
              <w:top w:val="dotted" w:sz="4" w:space="0" w:color="auto"/>
              <w:bottom w:val="dotted" w:sz="4" w:space="0" w:color="auto"/>
            </w:tcBorders>
            <w:shd w:val="clear" w:color="auto" w:fill="FFE599" w:themeFill="accent4" w:themeFillTint="66"/>
            <w:vAlign w:val="center"/>
          </w:tcPr>
          <w:p w14:paraId="462AAD76" w14:textId="77777777" w:rsidR="00A35C05" w:rsidRPr="004252E4" w:rsidRDefault="00A303CA" w:rsidP="00A35C05">
            <w:pPr>
              <w:jc w:val="center"/>
              <w:rPr>
                <w:i/>
                <w:color w:val="00B050"/>
                <w:sz w:val="20"/>
                <w:szCs w:val="20"/>
              </w:rPr>
            </w:pPr>
            <w:r w:rsidRPr="004252E4">
              <w:rPr>
                <w:i/>
                <w:color w:val="00B050"/>
                <w:sz w:val="20"/>
                <w:szCs w:val="20"/>
              </w:rPr>
              <w:t>+</w:t>
            </w:r>
            <w:r w:rsidR="00A35C05" w:rsidRPr="004252E4">
              <w:rPr>
                <w:i/>
                <w:color w:val="00B050"/>
                <w:sz w:val="20"/>
                <w:szCs w:val="20"/>
              </w:rPr>
              <w:t>1,60</w:t>
            </w:r>
          </w:p>
        </w:tc>
      </w:tr>
      <w:tr w:rsidR="00A35C05" w:rsidRPr="00A35C05" w14:paraId="29D6AFC9" w14:textId="77777777" w:rsidTr="00FE1E37">
        <w:trPr>
          <w:trHeight w:val="125"/>
        </w:trPr>
        <w:tc>
          <w:tcPr>
            <w:tcW w:w="4282" w:type="dxa"/>
            <w:tcBorders>
              <w:top w:val="dotted" w:sz="4" w:space="0" w:color="auto"/>
            </w:tcBorders>
            <w:shd w:val="clear" w:color="auto" w:fill="FFE599" w:themeFill="accent4" w:themeFillTint="66"/>
          </w:tcPr>
          <w:p w14:paraId="28E3D75A" w14:textId="77777777" w:rsidR="00A35C05" w:rsidRPr="00F80F8E" w:rsidRDefault="00A35C05" w:rsidP="000223DA">
            <w:pPr>
              <w:pStyle w:val="ListParagraph"/>
              <w:numPr>
                <w:ilvl w:val="0"/>
                <w:numId w:val="6"/>
              </w:numPr>
              <w:ind w:left="634" w:hanging="283"/>
              <w:jc w:val="left"/>
              <w:rPr>
                <w:i/>
                <w:sz w:val="20"/>
                <w:szCs w:val="20"/>
              </w:rPr>
            </w:pPr>
            <w:r w:rsidRPr="00F80F8E">
              <w:rPr>
                <w:i/>
                <w:sz w:val="20"/>
                <w:szCs w:val="20"/>
              </w:rPr>
              <w:t>pašvaldību budžeti</w:t>
            </w:r>
          </w:p>
        </w:tc>
        <w:tc>
          <w:tcPr>
            <w:tcW w:w="1134" w:type="dxa"/>
            <w:tcBorders>
              <w:top w:val="dotted" w:sz="4" w:space="0" w:color="auto"/>
            </w:tcBorders>
            <w:shd w:val="clear" w:color="auto" w:fill="BFBFBF" w:themeFill="background1" w:themeFillShade="BF"/>
          </w:tcPr>
          <w:p w14:paraId="47C95A9B" w14:textId="77777777" w:rsidR="00A35C05" w:rsidRPr="00A35C05" w:rsidRDefault="00A35C05" w:rsidP="00C0245D">
            <w:pPr>
              <w:jc w:val="center"/>
              <w:rPr>
                <w:sz w:val="20"/>
                <w:szCs w:val="20"/>
              </w:rPr>
            </w:pPr>
          </w:p>
        </w:tc>
        <w:tc>
          <w:tcPr>
            <w:tcW w:w="1134" w:type="dxa"/>
            <w:tcBorders>
              <w:top w:val="dotted" w:sz="4" w:space="0" w:color="auto"/>
            </w:tcBorders>
            <w:shd w:val="clear" w:color="auto" w:fill="FFE599" w:themeFill="accent4" w:themeFillTint="66"/>
          </w:tcPr>
          <w:p w14:paraId="12A5CE05" w14:textId="77777777" w:rsidR="00A35C05" w:rsidRPr="004252E4" w:rsidRDefault="00A303CA" w:rsidP="00A35C05">
            <w:pPr>
              <w:jc w:val="center"/>
              <w:rPr>
                <w:i/>
                <w:color w:val="00B050"/>
                <w:sz w:val="20"/>
                <w:szCs w:val="20"/>
              </w:rPr>
            </w:pPr>
            <w:r w:rsidRPr="004252E4">
              <w:rPr>
                <w:i/>
                <w:color w:val="00B050"/>
                <w:sz w:val="20"/>
                <w:szCs w:val="20"/>
              </w:rPr>
              <w:t>+</w:t>
            </w:r>
            <w:r w:rsidR="00A35C05" w:rsidRPr="004252E4">
              <w:rPr>
                <w:i/>
                <w:color w:val="00B050"/>
                <w:sz w:val="20"/>
                <w:szCs w:val="20"/>
              </w:rPr>
              <w:t>0,11</w:t>
            </w:r>
          </w:p>
        </w:tc>
        <w:tc>
          <w:tcPr>
            <w:tcW w:w="992" w:type="dxa"/>
            <w:tcBorders>
              <w:top w:val="dotted" w:sz="4" w:space="0" w:color="auto"/>
            </w:tcBorders>
            <w:shd w:val="clear" w:color="auto" w:fill="FFE599" w:themeFill="accent4" w:themeFillTint="66"/>
          </w:tcPr>
          <w:p w14:paraId="7DDD43E5" w14:textId="77777777" w:rsidR="00A35C05" w:rsidRPr="004252E4" w:rsidRDefault="00A303CA" w:rsidP="00A35C05">
            <w:pPr>
              <w:jc w:val="center"/>
              <w:rPr>
                <w:i/>
                <w:color w:val="00B050"/>
                <w:sz w:val="20"/>
                <w:szCs w:val="20"/>
              </w:rPr>
            </w:pPr>
            <w:r w:rsidRPr="004252E4">
              <w:rPr>
                <w:i/>
                <w:color w:val="00B050"/>
                <w:sz w:val="20"/>
                <w:szCs w:val="20"/>
              </w:rPr>
              <w:t>+</w:t>
            </w:r>
            <w:r w:rsidR="00A35C05" w:rsidRPr="004252E4">
              <w:rPr>
                <w:i/>
                <w:color w:val="00B050"/>
                <w:sz w:val="20"/>
                <w:szCs w:val="20"/>
              </w:rPr>
              <w:t>0,26</w:t>
            </w:r>
          </w:p>
        </w:tc>
        <w:tc>
          <w:tcPr>
            <w:tcW w:w="851" w:type="dxa"/>
            <w:tcBorders>
              <w:top w:val="dotted" w:sz="4" w:space="0" w:color="auto"/>
            </w:tcBorders>
            <w:shd w:val="clear" w:color="auto" w:fill="FFE599" w:themeFill="accent4" w:themeFillTint="66"/>
          </w:tcPr>
          <w:p w14:paraId="2C829D3B" w14:textId="77777777" w:rsidR="00A35C05" w:rsidRPr="004252E4" w:rsidRDefault="00A303CA" w:rsidP="00A35C05">
            <w:pPr>
              <w:jc w:val="center"/>
              <w:rPr>
                <w:i/>
                <w:color w:val="00B050"/>
                <w:sz w:val="20"/>
                <w:szCs w:val="20"/>
              </w:rPr>
            </w:pPr>
            <w:r w:rsidRPr="004252E4">
              <w:rPr>
                <w:i/>
                <w:color w:val="00B050"/>
                <w:sz w:val="20"/>
                <w:szCs w:val="20"/>
              </w:rPr>
              <w:t>+</w:t>
            </w:r>
            <w:r w:rsidR="00A35C05" w:rsidRPr="004252E4">
              <w:rPr>
                <w:i/>
                <w:color w:val="00B050"/>
                <w:sz w:val="20"/>
                <w:szCs w:val="20"/>
              </w:rPr>
              <w:t xml:space="preserve">0,40 </w:t>
            </w:r>
          </w:p>
        </w:tc>
      </w:tr>
    </w:tbl>
    <w:p w14:paraId="2C227335" w14:textId="77777777" w:rsidR="00314902" w:rsidRPr="00314902" w:rsidRDefault="00314902" w:rsidP="00314902">
      <w:pPr>
        <w:pStyle w:val="ListParagraph"/>
        <w:ind w:left="284"/>
        <w:rPr>
          <w:sz w:val="26"/>
          <w:szCs w:val="26"/>
        </w:rPr>
      </w:pPr>
    </w:p>
    <w:p w14:paraId="40AA9324" w14:textId="77777777" w:rsidR="0008134A" w:rsidRPr="00F125CD" w:rsidRDefault="0008134A" w:rsidP="000223DA">
      <w:pPr>
        <w:pStyle w:val="ListParagraph"/>
        <w:numPr>
          <w:ilvl w:val="0"/>
          <w:numId w:val="11"/>
        </w:numPr>
        <w:ind w:left="284" w:hanging="284"/>
        <w:rPr>
          <w:sz w:val="26"/>
          <w:szCs w:val="26"/>
        </w:rPr>
      </w:pPr>
      <w:r w:rsidRPr="00F125CD">
        <w:rPr>
          <w:b/>
          <w:sz w:val="26"/>
          <w:szCs w:val="26"/>
        </w:rPr>
        <w:lastRenderedPageBreak/>
        <w:t xml:space="preserve">pakāpeniski paaugstināt DRN likmi </w:t>
      </w:r>
      <w:r w:rsidRPr="00F125CD">
        <w:rPr>
          <w:b/>
          <w:bCs/>
          <w:sz w:val="26"/>
          <w:szCs w:val="26"/>
        </w:rPr>
        <w:t>bīstamo atkritumu apglabāšanai</w:t>
      </w:r>
      <w:r w:rsidRPr="00F125CD">
        <w:rPr>
          <w:b/>
          <w:sz w:val="26"/>
          <w:szCs w:val="26"/>
        </w:rPr>
        <w:t xml:space="preserve"> atkritumu poligonos </w:t>
      </w:r>
      <w:r w:rsidRPr="00F125CD">
        <w:rPr>
          <w:sz w:val="26"/>
          <w:szCs w:val="26"/>
        </w:rPr>
        <w:t xml:space="preserve">- no </w:t>
      </w:r>
      <w:r w:rsidRPr="00F125CD">
        <w:rPr>
          <w:b/>
          <w:color w:val="C00000"/>
          <w:sz w:val="26"/>
          <w:szCs w:val="26"/>
        </w:rPr>
        <w:t>60</w:t>
      </w:r>
      <w:r w:rsidRPr="00F125CD">
        <w:rPr>
          <w:sz w:val="26"/>
          <w:szCs w:val="26"/>
        </w:rPr>
        <w:t xml:space="preserve"> uz </w:t>
      </w:r>
      <w:r w:rsidRPr="00F125CD">
        <w:rPr>
          <w:b/>
          <w:color w:val="C00000"/>
          <w:sz w:val="26"/>
          <w:szCs w:val="26"/>
        </w:rPr>
        <w:t>90</w:t>
      </w:r>
      <w:r w:rsidRPr="00F125CD">
        <w:rPr>
          <w:sz w:val="26"/>
          <w:szCs w:val="26"/>
        </w:rPr>
        <w:t xml:space="preserve"> </w:t>
      </w:r>
      <w:r w:rsidRPr="00F125CD">
        <w:rPr>
          <w:i/>
          <w:sz w:val="26"/>
          <w:szCs w:val="26"/>
        </w:rPr>
        <w:t>euro</w:t>
      </w:r>
      <w:r w:rsidRPr="00F125CD">
        <w:rPr>
          <w:sz w:val="26"/>
          <w:szCs w:val="26"/>
        </w:rPr>
        <w:t xml:space="preserve"> par tonnu</w:t>
      </w:r>
    </w:p>
    <w:p w14:paraId="6ADBB294" w14:textId="77777777" w:rsidR="00E10A72" w:rsidRDefault="00E10A72" w:rsidP="00E10A72">
      <w:pPr>
        <w:pStyle w:val="ListParagraph"/>
        <w:ind w:left="284"/>
        <w:rPr>
          <w:b/>
          <w:szCs w:val="24"/>
        </w:rPr>
      </w:pPr>
    </w:p>
    <w:p w14:paraId="095EC431" w14:textId="77777777" w:rsidR="00E10A72" w:rsidRPr="0008134A" w:rsidRDefault="00E10A72" w:rsidP="00E10A72">
      <w:pPr>
        <w:spacing w:after="120"/>
        <w:jc w:val="center"/>
        <w:rPr>
          <w:b/>
          <w:szCs w:val="24"/>
        </w:rPr>
      </w:pPr>
      <w:r w:rsidRPr="0008134A">
        <w:rPr>
          <w:szCs w:val="24"/>
        </w:rPr>
        <w:t>2</w:t>
      </w:r>
      <w:r w:rsidR="006C5A20">
        <w:rPr>
          <w:szCs w:val="24"/>
        </w:rPr>
        <w:t>4</w:t>
      </w:r>
      <w:r w:rsidRPr="0008134A">
        <w:rPr>
          <w:szCs w:val="24"/>
        </w:rPr>
        <w:t>.tab.</w:t>
      </w:r>
      <w:r w:rsidRPr="0008134A">
        <w:rPr>
          <w:b/>
          <w:szCs w:val="24"/>
        </w:rPr>
        <w:t xml:space="preserve"> </w:t>
      </w:r>
      <w:r w:rsidRPr="00CA45ED">
        <w:rPr>
          <w:b/>
          <w:szCs w:val="24"/>
        </w:rPr>
        <w:t>DRN likm</w:t>
      </w:r>
      <w:r>
        <w:rPr>
          <w:b/>
          <w:szCs w:val="24"/>
        </w:rPr>
        <w:t>es</w:t>
      </w:r>
      <w:r w:rsidRPr="00DF5325">
        <w:rPr>
          <w:szCs w:val="24"/>
        </w:rPr>
        <w:t xml:space="preserve"> </w:t>
      </w:r>
      <w:r w:rsidRPr="00E10A72">
        <w:rPr>
          <w:b/>
          <w:bCs/>
          <w:szCs w:val="24"/>
        </w:rPr>
        <w:t>bīstamo atkritumu apglabāšanai</w:t>
      </w:r>
      <w:r w:rsidRPr="00E10A72">
        <w:rPr>
          <w:b/>
          <w:szCs w:val="24"/>
        </w:rPr>
        <w:t xml:space="preserve"> atkritumu poligonos</w:t>
      </w:r>
      <w:r>
        <w:rPr>
          <w:b/>
          <w:szCs w:val="24"/>
        </w:rPr>
        <w:t xml:space="preserve"> paaugstināšanas</w:t>
      </w:r>
      <w:r>
        <w:rPr>
          <w:b/>
          <w:bCs/>
          <w:szCs w:val="24"/>
        </w:rPr>
        <w:t xml:space="preserve"> scenārijs</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34"/>
        <w:gridCol w:w="1134"/>
        <w:gridCol w:w="992"/>
        <w:gridCol w:w="851"/>
      </w:tblGrid>
      <w:tr w:rsidR="00E10A72" w:rsidRPr="00E10A72" w14:paraId="58159F07" w14:textId="77777777" w:rsidTr="00C0245D">
        <w:trPr>
          <w:trHeight w:val="429"/>
        </w:trPr>
        <w:tc>
          <w:tcPr>
            <w:tcW w:w="4282" w:type="dxa"/>
            <w:vMerge w:val="restart"/>
            <w:tcBorders>
              <w:bottom w:val="single" w:sz="4" w:space="0" w:color="FFFFFF" w:themeColor="background1"/>
              <w:right w:val="single" w:sz="4" w:space="0" w:color="FFFFFF" w:themeColor="background1"/>
            </w:tcBorders>
            <w:shd w:val="clear" w:color="auto" w:fill="002060"/>
          </w:tcPr>
          <w:p w14:paraId="139938FC" w14:textId="77777777" w:rsidR="00E10A72" w:rsidRPr="00E10A72" w:rsidRDefault="00E10A72" w:rsidP="00C0245D">
            <w:pPr>
              <w:rPr>
                <w:b/>
                <w:color w:val="FFFFFF" w:themeColor="background1"/>
                <w:sz w:val="22"/>
              </w:rPr>
            </w:pPr>
          </w:p>
        </w:tc>
        <w:tc>
          <w:tcPr>
            <w:tcW w:w="1134"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2060"/>
          </w:tcPr>
          <w:p w14:paraId="782BE353" w14:textId="77777777" w:rsidR="00E10A72" w:rsidRPr="00E10A72" w:rsidRDefault="00E10A72" w:rsidP="00C0245D">
            <w:pPr>
              <w:jc w:val="center"/>
              <w:rPr>
                <w:b/>
                <w:color w:val="FFFFFF" w:themeColor="background1"/>
                <w:sz w:val="22"/>
              </w:rPr>
            </w:pPr>
            <w:r w:rsidRPr="00E10A72">
              <w:rPr>
                <w:b/>
                <w:color w:val="FFFFFF" w:themeColor="background1"/>
                <w:sz w:val="22"/>
              </w:rPr>
              <w:t xml:space="preserve">Esošā likme </w:t>
            </w:r>
          </w:p>
        </w:tc>
        <w:tc>
          <w:tcPr>
            <w:tcW w:w="2977" w:type="dxa"/>
            <w:gridSpan w:val="3"/>
            <w:tcBorders>
              <w:left w:val="single" w:sz="4" w:space="0" w:color="FFFFFF" w:themeColor="background1"/>
              <w:bottom w:val="single" w:sz="4" w:space="0" w:color="FFFFFF" w:themeColor="background1"/>
            </w:tcBorders>
            <w:shd w:val="clear" w:color="auto" w:fill="002060"/>
          </w:tcPr>
          <w:p w14:paraId="46BCE7CE" w14:textId="77777777" w:rsidR="00E10A72" w:rsidRPr="00E10A72" w:rsidRDefault="00E10A72" w:rsidP="008C635B">
            <w:pPr>
              <w:jc w:val="center"/>
              <w:rPr>
                <w:b/>
                <w:color w:val="FFFFFF" w:themeColor="background1"/>
                <w:sz w:val="22"/>
              </w:rPr>
            </w:pPr>
            <w:r w:rsidRPr="00E10A72">
              <w:rPr>
                <w:b/>
                <w:color w:val="FFFFFF" w:themeColor="background1"/>
                <w:sz w:val="22"/>
              </w:rPr>
              <w:t xml:space="preserve">Paaugstinātā likme </w:t>
            </w:r>
          </w:p>
        </w:tc>
      </w:tr>
      <w:tr w:rsidR="00E10A72" w:rsidRPr="00E10A72" w14:paraId="70C70A90" w14:textId="77777777" w:rsidTr="00FE1E37">
        <w:tc>
          <w:tcPr>
            <w:tcW w:w="4282" w:type="dxa"/>
            <w:vMerge/>
            <w:tcBorders>
              <w:top w:val="single" w:sz="4" w:space="0" w:color="FFFFFF" w:themeColor="background1"/>
              <w:right w:val="single" w:sz="4" w:space="0" w:color="FFFFFF" w:themeColor="background1"/>
            </w:tcBorders>
            <w:shd w:val="clear" w:color="auto" w:fill="002060"/>
          </w:tcPr>
          <w:p w14:paraId="5082BD89" w14:textId="77777777" w:rsidR="00E10A72" w:rsidRPr="00E10A72" w:rsidRDefault="00E10A72" w:rsidP="00C0245D">
            <w:pPr>
              <w:rPr>
                <w:b/>
                <w:color w:val="FFFFFF" w:themeColor="background1"/>
                <w:sz w:val="22"/>
              </w:rPr>
            </w:pPr>
          </w:p>
        </w:tc>
        <w:tc>
          <w:tcPr>
            <w:tcW w:w="1134" w:type="dxa"/>
            <w:vMerge/>
            <w:tcBorders>
              <w:top w:val="single" w:sz="4" w:space="0" w:color="FFFFFF" w:themeColor="background1"/>
              <w:left w:val="single" w:sz="4" w:space="0" w:color="FFFFFF" w:themeColor="background1"/>
              <w:right w:val="single" w:sz="4" w:space="0" w:color="FFFFFF" w:themeColor="background1"/>
            </w:tcBorders>
            <w:shd w:val="clear" w:color="auto" w:fill="002060"/>
          </w:tcPr>
          <w:p w14:paraId="42AE237C" w14:textId="77777777" w:rsidR="00E10A72" w:rsidRPr="00E10A72" w:rsidRDefault="00E10A72" w:rsidP="00C0245D">
            <w:pPr>
              <w:jc w:val="center"/>
              <w:rPr>
                <w:b/>
                <w:color w:val="FFFFFF" w:themeColor="background1"/>
                <w:sz w:val="22"/>
              </w:rPr>
            </w:pP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2D942969" w14:textId="77777777" w:rsidR="00E10A72" w:rsidRPr="00E10A72" w:rsidRDefault="00E10A72" w:rsidP="00C0245D">
            <w:pPr>
              <w:jc w:val="center"/>
              <w:rPr>
                <w:b/>
                <w:color w:val="FFFFFF" w:themeColor="background1"/>
                <w:sz w:val="22"/>
              </w:rPr>
            </w:pPr>
            <w:r>
              <w:rPr>
                <w:b/>
                <w:color w:val="FFFFFF" w:themeColor="background1"/>
                <w:sz w:val="22"/>
              </w:rPr>
              <w:t>2021</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2805610F" w14:textId="77777777" w:rsidR="00E10A72" w:rsidRPr="00E10A72" w:rsidRDefault="00E10A72" w:rsidP="00C0245D">
            <w:pPr>
              <w:jc w:val="center"/>
              <w:rPr>
                <w:b/>
                <w:color w:val="FFFFFF" w:themeColor="background1"/>
                <w:sz w:val="22"/>
              </w:rPr>
            </w:pPr>
            <w:r w:rsidRPr="00E10A72">
              <w:rPr>
                <w:b/>
                <w:color w:val="FFFFFF" w:themeColor="background1"/>
                <w:sz w:val="22"/>
              </w:rPr>
              <w:t>2022</w:t>
            </w:r>
          </w:p>
        </w:tc>
        <w:tc>
          <w:tcPr>
            <w:tcW w:w="851" w:type="dxa"/>
            <w:tcBorders>
              <w:top w:val="single" w:sz="4" w:space="0" w:color="FFFFFF" w:themeColor="background1"/>
              <w:left w:val="single" w:sz="4" w:space="0" w:color="FFFFFF" w:themeColor="background1"/>
            </w:tcBorders>
            <w:shd w:val="clear" w:color="auto" w:fill="002060"/>
          </w:tcPr>
          <w:p w14:paraId="716953F6" w14:textId="77777777" w:rsidR="00E10A72" w:rsidRPr="00E10A72" w:rsidRDefault="00E10A72" w:rsidP="00C0245D">
            <w:pPr>
              <w:jc w:val="center"/>
              <w:rPr>
                <w:b/>
                <w:color w:val="FFFFFF" w:themeColor="background1"/>
                <w:sz w:val="22"/>
              </w:rPr>
            </w:pPr>
            <w:r w:rsidRPr="00E10A72">
              <w:rPr>
                <w:b/>
                <w:color w:val="FFFFFF" w:themeColor="background1"/>
                <w:sz w:val="22"/>
              </w:rPr>
              <w:t>2023</w:t>
            </w:r>
          </w:p>
        </w:tc>
      </w:tr>
      <w:tr w:rsidR="00E10A72" w:rsidRPr="00A35C05" w14:paraId="60564122" w14:textId="77777777" w:rsidTr="00FE1E37">
        <w:trPr>
          <w:trHeight w:val="435"/>
        </w:trPr>
        <w:tc>
          <w:tcPr>
            <w:tcW w:w="4282" w:type="dxa"/>
            <w:tcBorders>
              <w:bottom w:val="single" w:sz="4" w:space="0" w:color="auto"/>
            </w:tcBorders>
            <w:shd w:val="clear" w:color="auto" w:fill="auto"/>
          </w:tcPr>
          <w:p w14:paraId="1EED1C71" w14:textId="77777777" w:rsidR="00E10A72" w:rsidRPr="00A35C05" w:rsidRDefault="007927A6" w:rsidP="007927A6">
            <w:pPr>
              <w:rPr>
                <w:sz w:val="22"/>
              </w:rPr>
            </w:pPr>
            <w:r>
              <w:rPr>
                <w:sz w:val="22"/>
              </w:rPr>
              <w:t xml:space="preserve">Bīstamo </w:t>
            </w:r>
            <w:r w:rsidR="00E10A72" w:rsidRPr="00A35C05">
              <w:rPr>
                <w:sz w:val="22"/>
              </w:rPr>
              <w:t>atkritumu apglabāšana</w:t>
            </w:r>
            <w:r w:rsidR="00E10A72">
              <w:rPr>
                <w:sz w:val="22"/>
              </w:rPr>
              <w:t>,</w:t>
            </w:r>
            <w:r w:rsidR="00E10A72" w:rsidRPr="0008134A">
              <w:rPr>
                <w:i/>
                <w:sz w:val="22"/>
              </w:rPr>
              <w:t xml:space="preserve"> euro par tonnu</w:t>
            </w:r>
          </w:p>
        </w:tc>
        <w:tc>
          <w:tcPr>
            <w:tcW w:w="1134" w:type="dxa"/>
            <w:tcBorders>
              <w:bottom w:val="single" w:sz="4" w:space="0" w:color="auto"/>
            </w:tcBorders>
            <w:shd w:val="clear" w:color="auto" w:fill="BFBFBF" w:themeFill="background1" w:themeFillShade="BF"/>
            <w:vAlign w:val="center"/>
          </w:tcPr>
          <w:p w14:paraId="0968E4B5" w14:textId="77777777" w:rsidR="00E10A72" w:rsidRPr="00F125CD" w:rsidRDefault="00E10A72" w:rsidP="00E10A72">
            <w:pPr>
              <w:jc w:val="center"/>
              <w:rPr>
                <w:b/>
                <w:sz w:val="22"/>
              </w:rPr>
            </w:pPr>
            <w:r w:rsidRPr="00F125CD">
              <w:rPr>
                <w:b/>
                <w:sz w:val="22"/>
              </w:rPr>
              <w:t>60</w:t>
            </w:r>
          </w:p>
        </w:tc>
        <w:tc>
          <w:tcPr>
            <w:tcW w:w="1134" w:type="dxa"/>
            <w:tcBorders>
              <w:bottom w:val="single" w:sz="4" w:space="0" w:color="auto"/>
            </w:tcBorders>
            <w:shd w:val="clear" w:color="auto" w:fill="auto"/>
            <w:vAlign w:val="center"/>
          </w:tcPr>
          <w:p w14:paraId="181ABC70" w14:textId="77777777" w:rsidR="00E10A72" w:rsidRPr="00E10A72" w:rsidRDefault="00E10A72" w:rsidP="00E10A72">
            <w:pPr>
              <w:jc w:val="center"/>
              <w:rPr>
                <w:b/>
                <w:color w:val="FF0000"/>
                <w:sz w:val="22"/>
              </w:rPr>
            </w:pPr>
            <w:r w:rsidRPr="00E10A72">
              <w:rPr>
                <w:b/>
                <w:color w:val="FF0000"/>
                <w:sz w:val="22"/>
              </w:rPr>
              <w:t>70</w:t>
            </w:r>
          </w:p>
        </w:tc>
        <w:tc>
          <w:tcPr>
            <w:tcW w:w="992" w:type="dxa"/>
            <w:tcBorders>
              <w:bottom w:val="single" w:sz="4" w:space="0" w:color="auto"/>
            </w:tcBorders>
            <w:shd w:val="clear" w:color="auto" w:fill="auto"/>
            <w:vAlign w:val="center"/>
          </w:tcPr>
          <w:p w14:paraId="54BBCF81" w14:textId="77777777" w:rsidR="00E10A72" w:rsidRPr="00E10A72" w:rsidRDefault="00E10A72" w:rsidP="00E10A72">
            <w:pPr>
              <w:jc w:val="center"/>
              <w:rPr>
                <w:b/>
                <w:color w:val="FF0000"/>
                <w:sz w:val="22"/>
              </w:rPr>
            </w:pPr>
            <w:r w:rsidRPr="00E10A72">
              <w:rPr>
                <w:b/>
                <w:color w:val="FF0000"/>
                <w:sz w:val="22"/>
              </w:rPr>
              <w:t>80</w:t>
            </w:r>
          </w:p>
        </w:tc>
        <w:tc>
          <w:tcPr>
            <w:tcW w:w="851" w:type="dxa"/>
            <w:tcBorders>
              <w:bottom w:val="single" w:sz="4" w:space="0" w:color="auto"/>
            </w:tcBorders>
            <w:shd w:val="clear" w:color="auto" w:fill="auto"/>
            <w:vAlign w:val="center"/>
          </w:tcPr>
          <w:p w14:paraId="44147841" w14:textId="77777777" w:rsidR="00E10A72" w:rsidRPr="00E10A72" w:rsidRDefault="00E10A72" w:rsidP="00E10A72">
            <w:pPr>
              <w:jc w:val="center"/>
              <w:rPr>
                <w:b/>
                <w:color w:val="FF0000"/>
                <w:sz w:val="22"/>
              </w:rPr>
            </w:pPr>
            <w:r w:rsidRPr="00E10A72">
              <w:rPr>
                <w:b/>
                <w:color w:val="FF0000"/>
                <w:sz w:val="22"/>
              </w:rPr>
              <w:t>90</w:t>
            </w:r>
          </w:p>
        </w:tc>
      </w:tr>
      <w:tr w:rsidR="00E10A72" w:rsidRPr="00A35C05" w14:paraId="29310F07" w14:textId="77777777" w:rsidTr="00FE1E37">
        <w:trPr>
          <w:trHeight w:val="274"/>
        </w:trPr>
        <w:tc>
          <w:tcPr>
            <w:tcW w:w="4282" w:type="dxa"/>
            <w:tcBorders>
              <w:bottom w:val="dotted" w:sz="4" w:space="0" w:color="auto"/>
            </w:tcBorders>
            <w:shd w:val="clear" w:color="auto" w:fill="FFE599" w:themeFill="accent4" w:themeFillTint="66"/>
          </w:tcPr>
          <w:p w14:paraId="680DA84A" w14:textId="77777777" w:rsidR="00E10A72" w:rsidRPr="00A35C05" w:rsidRDefault="00E10A72" w:rsidP="00C0245D">
            <w:pPr>
              <w:rPr>
                <w:sz w:val="22"/>
              </w:rPr>
            </w:pPr>
            <w:r w:rsidRPr="0008134A">
              <w:rPr>
                <w:b/>
                <w:sz w:val="22"/>
              </w:rPr>
              <w:t>Fiskālā ietekme</w:t>
            </w:r>
            <w:r>
              <w:rPr>
                <w:b/>
                <w:sz w:val="22"/>
              </w:rPr>
              <w:t xml:space="preserve">, </w:t>
            </w:r>
            <w:r w:rsidRPr="0008134A">
              <w:rPr>
                <w:i/>
                <w:sz w:val="22"/>
              </w:rPr>
              <w:t>milj. euro</w:t>
            </w:r>
          </w:p>
        </w:tc>
        <w:tc>
          <w:tcPr>
            <w:tcW w:w="1134" w:type="dxa"/>
            <w:tcBorders>
              <w:bottom w:val="dotted" w:sz="4" w:space="0" w:color="auto"/>
            </w:tcBorders>
            <w:shd w:val="clear" w:color="auto" w:fill="BFBFBF" w:themeFill="background1" w:themeFillShade="BF"/>
          </w:tcPr>
          <w:p w14:paraId="6EFE1125" w14:textId="77777777" w:rsidR="00E10A72" w:rsidRPr="00A35C05" w:rsidRDefault="00E10A72" w:rsidP="00C0245D">
            <w:pPr>
              <w:jc w:val="center"/>
              <w:rPr>
                <w:sz w:val="22"/>
              </w:rPr>
            </w:pPr>
          </w:p>
        </w:tc>
        <w:tc>
          <w:tcPr>
            <w:tcW w:w="1134" w:type="dxa"/>
            <w:tcBorders>
              <w:bottom w:val="dotted" w:sz="4" w:space="0" w:color="auto"/>
            </w:tcBorders>
            <w:shd w:val="clear" w:color="auto" w:fill="FFE599" w:themeFill="accent4" w:themeFillTint="66"/>
            <w:vAlign w:val="center"/>
          </w:tcPr>
          <w:p w14:paraId="23E4B8B8" w14:textId="77777777" w:rsidR="00E10A72" w:rsidRPr="004252E4" w:rsidRDefault="00A303CA" w:rsidP="00F125CD">
            <w:pPr>
              <w:jc w:val="center"/>
              <w:rPr>
                <w:b/>
                <w:color w:val="00B050"/>
                <w:sz w:val="22"/>
              </w:rPr>
            </w:pPr>
            <w:r w:rsidRPr="004252E4">
              <w:rPr>
                <w:b/>
                <w:color w:val="00B050"/>
                <w:sz w:val="22"/>
              </w:rPr>
              <w:t>+</w:t>
            </w:r>
            <w:r w:rsidR="00E10A72" w:rsidRPr="004252E4">
              <w:rPr>
                <w:b/>
                <w:color w:val="00B050"/>
                <w:sz w:val="22"/>
              </w:rPr>
              <w:t>0,</w:t>
            </w:r>
            <w:r w:rsidR="00F125CD" w:rsidRPr="004252E4">
              <w:rPr>
                <w:b/>
                <w:color w:val="00B050"/>
                <w:sz w:val="22"/>
              </w:rPr>
              <w:t>02</w:t>
            </w:r>
            <w:r w:rsidR="00E1375F" w:rsidRPr="004252E4">
              <w:rPr>
                <w:b/>
                <w:color w:val="00B050"/>
                <w:sz w:val="22"/>
              </w:rPr>
              <w:t>0</w:t>
            </w:r>
          </w:p>
        </w:tc>
        <w:tc>
          <w:tcPr>
            <w:tcW w:w="992" w:type="dxa"/>
            <w:tcBorders>
              <w:bottom w:val="dotted" w:sz="4" w:space="0" w:color="auto"/>
            </w:tcBorders>
            <w:shd w:val="clear" w:color="auto" w:fill="FFE599" w:themeFill="accent4" w:themeFillTint="66"/>
            <w:vAlign w:val="center"/>
          </w:tcPr>
          <w:p w14:paraId="188F437D" w14:textId="77777777" w:rsidR="00E10A72" w:rsidRPr="004252E4" w:rsidRDefault="00E1375F" w:rsidP="00F125CD">
            <w:pPr>
              <w:jc w:val="center"/>
              <w:rPr>
                <w:b/>
                <w:color w:val="00B050"/>
                <w:sz w:val="22"/>
              </w:rPr>
            </w:pPr>
            <w:r w:rsidRPr="004252E4">
              <w:rPr>
                <w:b/>
                <w:color w:val="00B050"/>
                <w:sz w:val="22"/>
              </w:rPr>
              <w:t>+</w:t>
            </w:r>
            <w:r w:rsidR="00F125CD" w:rsidRPr="004252E4">
              <w:rPr>
                <w:b/>
                <w:color w:val="00B050"/>
                <w:sz w:val="22"/>
              </w:rPr>
              <w:t>0</w:t>
            </w:r>
            <w:r w:rsidR="00E10A72" w:rsidRPr="004252E4">
              <w:rPr>
                <w:b/>
                <w:color w:val="00B050"/>
                <w:sz w:val="22"/>
              </w:rPr>
              <w:t>,</w:t>
            </w:r>
            <w:r w:rsidR="00F125CD" w:rsidRPr="004252E4">
              <w:rPr>
                <w:b/>
                <w:color w:val="00B050"/>
                <w:sz w:val="22"/>
              </w:rPr>
              <w:t>046</w:t>
            </w:r>
          </w:p>
        </w:tc>
        <w:tc>
          <w:tcPr>
            <w:tcW w:w="851" w:type="dxa"/>
            <w:tcBorders>
              <w:bottom w:val="dotted" w:sz="4" w:space="0" w:color="auto"/>
            </w:tcBorders>
            <w:shd w:val="clear" w:color="auto" w:fill="FFE599" w:themeFill="accent4" w:themeFillTint="66"/>
            <w:vAlign w:val="center"/>
          </w:tcPr>
          <w:p w14:paraId="4B1CC151" w14:textId="77777777" w:rsidR="00E10A72" w:rsidRPr="004252E4" w:rsidRDefault="00E1375F" w:rsidP="00C0245D">
            <w:pPr>
              <w:jc w:val="center"/>
              <w:rPr>
                <w:b/>
                <w:color w:val="00B050"/>
                <w:sz w:val="22"/>
              </w:rPr>
            </w:pPr>
            <w:r w:rsidRPr="004252E4">
              <w:rPr>
                <w:b/>
                <w:color w:val="00B050"/>
                <w:sz w:val="22"/>
              </w:rPr>
              <w:t>+</w:t>
            </w:r>
            <w:r w:rsidR="00F125CD" w:rsidRPr="004252E4">
              <w:rPr>
                <w:b/>
                <w:color w:val="00B050"/>
                <w:sz w:val="22"/>
              </w:rPr>
              <w:t>0</w:t>
            </w:r>
            <w:r w:rsidR="00E10A72" w:rsidRPr="004252E4">
              <w:rPr>
                <w:b/>
                <w:color w:val="00B050"/>
                <w:sz w:val="22"/>
              </w:rPr>
              <w:t>,0</w:t>
            </w:r>
            <w:r w:rsidR="00F125CD" w:rsidRPr="004252E4">
              <w:rPr>
                <w:b/>
                <w:color w:val="00B050"/>
                <w:sz w:val="22"/>
              </w:rPr>
              <w:t>72</w:t>
            </w:r>
          </w:p>
        </w:tc>
      </w:tr>
      <w:tr w:rsidR="00E10A72" w:rsidRPr="00A35C05" w14:paraId="4E2141B8" w14:textId="77777777" w:rsidTr="00FE1E37">
        <w:trPr>
          <w:trHeight w:val="70"/>
        </w:trPr>
        <w:tc>
          <w:tcPr>
            <w:tcW w:w="4282" w:type="dxa"/>
            <w:tcBorders>
              <w:top w:val="dotted" w:sz="4" w:space="0" w:color="auto"/>
              <w:bottom w:val="dotted" w:sz="4" w:space="0" w:color="auto"/>
            </w:tcBorders>
            <w:shd w:val="clear" w:color="auto" w:fill="FFE599" w:themeFill="accent4" w:themeFillTint="66"/>
          </w:tcPr>
          <w:p w14:paraId="5A1A47C6" w14:textId="77777777" w:rsidR="00E10A72" w:rsidRPr="00F80F8E" w:rsidRDefault="00E10A72" w:rsidP="000223DA">
            <w:pPr>
              <w:pStyle w:val="ListParagraph"/>
              <w:numPr>
                <w:ilvl w:val="0"/>
                <w:numId w:val="6"/>
              </w:numPr>
              <w:ind w:left="634" w:hanging="283"/>
              <w:jc w:val="left"/>
              <w:rPr>
                <w:i/>
                <w:sz w:val="20"/>
                <w:szCs w:val="20"/>
              </w:rPr>
            </w:pPr>
            <w:r w:rsidRPr="00F80F8E">
              <w:rPr>
                <w:i/>
                <w:sz w:val="20"/>
                <w:szCs w:val="20"/>
              </w:rPr>
              <w:t>valsts pamatbudžets</w:t>
            </w:r>
          </w:p>
        </w:tc>
        <w:tc>
          <w:tcPr>
            <w:tcW w:w="1134" w:type="dxa"/>
            <w:tcBorders>
              <w:top w:val="dotted" w:sz="4" w:space="0" w:color="auto"/>
              <w:bottom w:val="dotted" w:sz="4" w:space="0" w:color="auto"/>
            </w:tcBorders>
            <w:shd w:val="clear" w:color="auto" w:fill="BFBFBF" w:themeFill="background1" w:themeFillShade="BF"/>
          </w:tcPr>
          <w:p w14:paraId="3D4054AA" w14:textId="77777777" w:rsidR="00E10A72" w:rsidRPr="00A35C05" w:rsidRDefault="00E10A72" w:rsidP="00C0245D">
            <w:pPr>
              <w:jc w:val="center"/>
              <w:rPr>
                <w:sz w:val="20"/>
                <w:szCs w:val="20"/>
              </w:rPr>
            </w:pPr>
          </w:p>
        </w:tc>
        <w:tc>
          <w:tcPr>
            <w:tcW w:w="1134" w:type="dxa"/>
            <w:tcBorders>
              <w:top w:val="dotted" w:sz="4" w:space="0" w:color="auto"/>
              <w:bottom w:val="dotted" w:sz="4" w:space="0" w:color="auto"/>
            </w:tcBorders>
            <w:shd w:val="clear" w:color="auto" w:fill="FFE599" w:themeFill="accent4" w:themeFillTint="66"/>
            <w:vAlign w:val="center"/>
          </w:tcPr>
          <w:p w14:paraId="67FCE083" w14:textId="77777777" w:rsidR="00E10A72" w:rsidRPr="004252E4" w:rsidRDefault="00A303CA" w:rsidP="00F125CD">
            <w:pPr>
              <w:jc w:val="center"/>
              <w:rPr>
                <w:i/>
                <w:color w:val="00B050"/>
                <w:sz w:val="20"/>
                <w:szCs w:val="20"/>
              </w:rPr>
            </w:pPr>
            <w:r w:rsidRPr="004252E4">
              <w:rPr>
                <w:i/>
                <w:color w:val="00B050"/>
                <w:sz w:val="20"/>
                <w:szCs w:val="20"/>
              </w:rPr>
              <w:t>+</w:t>
            </w:r>
            <w:r w:rsidR="00E10A72" w:rsidRPr="004252E4">
              <w:rPr>
                <w:i/>
                <w:color w:val="00B050"/>
                <w:sz w:val="20"/>
                <w:szCs w:val="20"/>
              </w:rPr>
              <w:t>0,</w:t>
            </w:r>
            <w:r w:rsidR="00F125CD" w:rsidRPr="004252E4">
              <w:rPr>
                <w:i/>
                <w:color w:val="00B050"/>
                <w:sz w:val="20"/>
                <w:szCs w:val="20"/>
              </w:rPr>
              <w:t>016</w:t>
            </w:r>
          </w:p>
        </w:tc>
        <w:tc>
          <w:tcPr>
            <w:tcW w:w="992" w:type="dxa"/>
            <w:tcBorders>
              <w:top w:val="dotted" w:sz="4" w:space="0" w:color="auto"/>
              <w:bottom w:val="dotted" w:sz="4" w:space="0" w:color="auto"/>
            </w:tcBorders>
            <w:shd w:val="clear" w:color="auto" w:fill="FFE599" w:themeFill="accent4" w:themeFillTint="66"/>
            <w:vAlign w:val="center"/>
          </w:tcPr>
          <w:p w14:paraId="6B3DEADD" w14:textId="77777777" w:rsidR="00E10A72" w:rsidRPr="004252E4" w:rsidRDefault="00E1375F" w:rsidP="00C0245D">
            <w:pPr>
              <w:jc w:val="center"/>
              <w:rPr>
                <w:i/>
                <w:color w:val="00B050"/>
                <w:sz w:val="20"/>
                <w:szCs w:val="20"/>
              </w:rPr>
            </w:pPr>
            <w:r w:rsidRPr="004252E4">
              <w:rPr>
                <w:i/>
                <w:color w:val="00B050"/>
                <w:sz w:val="20"/>
                <w:szCs w:val="20"/>
              </w:rPr>
              <w:t>+</w:t>
            </w:r>
            <w:r w:rsidR="00F125CD" w:rsidRPr="004252E4">
              <w:rPr>
                <w:i/>
                <w:color w:val="00B050"/>
                <w:sz w:val="20"/>
                <w:szCs w:val="20"/>
              </w:rPr>
              <w:t>0</w:t>
            </w:r>
            <w:r w:rsidR="00E10A72" w:rsidRPr="004252E4">
              <w:rPr>
                <w:i/>
                <w:color w:val="00B050"/>
                <w:sz w:val="20"/>
                <w:szCs w:val="20"/>
              </w:rPr>
              <w:t>,0</w:t>
            </w:r>
            <w:r w:rsidR="00F125CD" w:rsidRPr="004252E4">
              <w:rPr>
                <w:i/>
                <w:color w:val="00B050"/>
                <w:sz w:val="20"/>
                <w:szCs w:val="20"/>
              </w:rPr>
              <w:t>37</w:t>
            </w:r>
          </w:p>
        </w:tc>
        <w:tc>
          <w:tcPr>
            <w:tcW w:w="851" w:type="dxa"/>
            <w:tcBorders>
              <w:top w:val="dotted" w:sz="4" w:space="0" w:color="auto"/>
              <w:bottom w:val="dotted" w:sz="4" w:space="0" w:color="auto"/>
            </w:tcBorders>
            <w:shd w:val="clear" w:color="auto" w:fill="FFE599" w:themeFill="accent4" w:themeFillTint="66"/>
            <w:vAlign w:val="center"/>
          </w:tcPr>
          <w:p w14:paraId="416801FE" w14:textId="77777777" w:rsidR="00E10A72" w:rsidRPr="004252E4" w:rsidRDefault="00E1375F" w:rsidP="00F125CD">
            <w:pPr>
              <w:jc w:val="center"/>
              <w:rPr>
                <w:i/>
                <w:color w:val="00B050"/>
                <w:sz w:val="20"/>
                <w:szCs w:val="20"/>
              </w:rPr>
            </w:pPr>
            <w:r w:rsidRPr="004252E4">
              <w:rPr>
                <w:i/>
                <w:color w:val="00B050"/>
                <w:sz w:val="20"/>
                <w:szCs w:val="20"/>
              </w:rPr>
              <w:t>+</w:t>
            </w:r>
            <w:r w:rsidR="00F125CD" w:rsidRPr="004252E4">
              <w:rPr>
                <w:i/>
                <w:color w:val="00B050"/>
                <w:sz w:val="20"/>
                <w:szCs w:val="20"/>
              </w:rPr>
              <w:t>0</w:t>
            </w:r>
            <w:r w:rsidR="00E10A72" w:rsidRPr="004252E4">
              <w:rPr>
                <w:i/>
                <w:color w:val="00B050"/>
                <w:sz w:val="20"/>
                <w:szCs w:val="20"/>
              </w:rPr>
              <w:t>,0</w:t>
            </w:r>
            <w:r w:rsidR="00F125CD" w:rsidRPr="004252E4">
              <w:rPr>
                <w:i/>
                <w:color w:val="00B050"/>
                <w:sz w:val="20"/>
                <w:szCs w:val="20"/>
              </w:rPr>
              <w:t>58</w:t>
            </w:r>
          </w:p>
        </w:tc>
      </w:tr>
      <w:tr w:rsidR="00E10A72" w:rsidRPr="00A35C05" w14:paraId="4A61CF29" w14:textId="77777777" w:rsidTr="00FE1E37">
        <w:trPr>
          <w:trHeight w:val="125"/>
        </w:trPr>
        <w:tc>
          <w:tcPr>
            <w:tcW w:w="4282" w:type="dxa"/>
            <w:tcBorders>
              <w:top w:val="dotted" w:sz="4" w:space="0" w:color="auto"/>
            </w:tcBorders>
            <w:shd w:val="clear" w:color="auto" w:fill="FFE599" w:themeFill="accent4" w:themeFillTint="66"/>
          </w:tcPr>
          <w:p w14:paraId="6CE2FE84" w14:textId="77777777" w:rsidR="00E10A72" w:rsidRPr="00F80F8E" w:rsidRDefault="00E10A72" w:rsidP="000223DA">
            <w:pPr>
              <w:pStyle w:val="ListParagraph"/>
              <w:numPr>
                <w:ilvl w:val="0"/>
                <w:numId w:val="6"/>
              </w:numPr>
              <w:ind w:left="634" w:hanging="283"/>
              <w:jc w:val="left"/>
              <w:rPr>
                <w:i/>
                <w:sz w:val="20"/>
                <w:szCs w:val="20"/>
              </w:rPr>
            </w:pPr>
            <w:r w:rsidRPr="00F80F8E">
              <w:rPr>
                <w:i/>
                <w:sz w:val="20"/>
                <w:szCs w:val="20"/>
              </w:rPr>
              <w:t>pašvaldību budžeti</w:t>
            </w:r>
          </w:p>
        </w:tc>
        <w:tc>
          <w:tcPr>
            <w:tcW w:w="1134" w:type="dxa"/>
            <w:tcBorders>
              <w:top w:val="dotted" w:sz="4" w:space="0" w:color="auto"/>
            </w:tcBorders>
            <w:shd w:val="clear" w:color="auto" w:fill="BFBFBF" w:themeFill="background1" w:themeFillShade="BF"/>
          </w:tcPr>
          <w:p w14:paraId="5B4B0384" w14:textId="77777777" w:rsidR="00E10A72" w:rsidRPr="00A35C05" w:rsidRDefault="00E10A72" w:rsidP="00C0245D">
            <w:pPr>
              <w:jc w:val="center"/>
              <w:rPr>
                <w:sz w:val="20"/>
                <w:szCs w:val="20"/>
              </w:rPr>
            </w:pPr>
          </w:p>
        </w:tc>
        <w:tc>
          <w:tcPr>
            <w:tcW w:w="1134" w:type="dxa"/>
            <w:tcBorders>
              <w:top w:val="dotted" w:sz="4" w:space="0" w:color="auto"/>
            </w:tcBorders>
            <w:shd w:val="clear" w:color="auto" w:fill="FFE599" w:themeFill="accent4" w:themeFillTint="66"/>
          </w:tcPr>
          <w:p w14:paraId="67D2B8A4" w14:textId="77777777" w:rsidR="00E10A72" w:rsidRPr="004252E4" w:rsidRDefault="00A303CA" w:rsidP="00F125CD">
            <w:pPr>
              <w:jc w:val="center"/>
              <w:rPr>
                <w:i/>
                <w:color w:val="00B050"/>
                <w:sz w:val="20"/>
                <w:szCs w:val="20"/>
              </w:rPr>
            </w:pPr>
            <w:r w:rsidRPr="004252E4">
              <w:rPr>
                <w:i/>
                <w:color w:val="00B050"/>
                <w:sz w:val="20"/>
                <w:szCs w:val="20"/>
              </w:rPr>
              <w:t>+</w:t>
            </w:r>
            <w:r w:rsidR="00E10A72" w:rsidRPr="004252E4">
              <w:rPr>
                <w:i/>
                <w:color w:val="00B050"/>
                <w:sz w:val="20"/>
                <w:szCs w:val="20"/>
              </w:rPr>
              <w:t>0,</w:t>
            </w:r>
            <w:r w:rsidR="00F125CD" w:rsidRPr="004252E4">
              <w:rPr>
                <w:i/>
                <w:color w:val="00B050"/>
                <w:sz w:val="20"/>
                <w:szCs w:val="20"/>
              </w:rPr>
              <w:t>004</w:t>
            </w:r>
          </w:p>
        </w:tc>
        <w:tc>
          <w:tcPr>
            <w:tcW w:w="992" w:type="dxa"/>
            <w:tcBorders>
              <w:top w:val="dotted" w:sz="4" w:space="0" w:color="auto"/>
            </w:tcBorders>
            <w:shd w:val="clear" w:color="auto" w:fill="FFE599" w:themeFill="accent4" w:themeFillTint="66"/>
          </w:tcPr>
          <w:p w14:paraId="1A0255AE" w14:textId="77777777" w:rsidR="00E10A72" w:rsidRPr="004252E4" w:rsidRDefault="00E1375F" w:rsidP="00F125CD">
            <w:pPr>
              <w:jc w:val="center"/>
              <w:rPr>
                <w:i/>
                <w:color w:val="00B050"/>
                <w:sz w:val="20"/>
                <w:szCs w:val="20"/>
              </w:rPr>
            </w:pPr>
            <w:r w:rsidRPr="004252E4">
              <w:rPr>
                <w:i/>
                <w:color w:val="00B050"/>
                <w:sz w:val="20"/>
                <w:szCs w:val="20"/>
              </w:rPr>
              <w:t>+</w:t>
            </w:r>
            <w:r w:rsidR="00E10A72" w:rsidRPr="004252E4">
              <w:rPr>
                <w:i/>
                <w:color w:val="00B050"/>
                <w:sz w:val="20"/>
                <w:szCs w:val="20"/>
              </w:rPr>
              <w:t>0,</w:t>
            </w:r>
            <w:r w:rsidR="00F125CD" w:rsidRPr="004252E4">
              <w:rPr>
                <w:i/>
                <w:color w:val="00B050"/>
                <w:sz w:val="20"/>
                <w:szCs w:val="20"/>
              </w:rPr>
              <w:t>009</w:t>
            </w:r>
          </w:p>
        </w:tc>
        <w:tc>
          <w:tcPr>
            <w:tcW w:w="851" w:type="dxa"/>
            <w:tcBorders>
              <w:top w:val="dotted" w:sz="4" w:space="0" w:color="auto"/>
            </w:tcBorders>
            <w:shd w:val="clear" w:color="auto" w:fill="FFE599" w:themeFill="accent4" w:themeFillTint="66"/>
          </w:tcPr>
          <w:p w14:paraId="669DAF7A" w14:textId="77777777" w:rsidR="00E10A72" w:rsidRPr="004252E4" w:rsidRDefault="00E1375F" w:rsidP="00F125CD">
            <w:pPr>
              <w:jc w:val="center"/>
              <w:rPr>
                <w:i/>
                <w:color w:val="00B050"/>
                <w:sz w:val="20"/>
                <w:szCs w:val="20"/>
              </w:rPr>
            </w:pPr>
            <w:r w:rsidRPr="004252E4">
              <w:rPr>
                <w:i/>
                <w:color w:val="00B050"/>
                <w:sz w:val="20"/>
                <w:szCs w:val="20"/>
              </w:rPr>
              <w:t>+</w:t>
            </w:r>
            <w:r w:rsidR="00E10A72" w:rsidRPr="004252E4">
              <w:rPr>
                <w:i/>
                <w:color w:val="00B050"/>
                <w:sz w:val="20"/>
                <w:szCs w:val="20"/>
              </w:rPr>
              <w:t>0,0</w:t>
            </w:r>
            <w:r w:rsidR="00F125CD" w:rsidRPr="004252E4">
              <w:rPr>
                <w:i/>
                <w:color w:val="00B050"/>
                <w:sz w:val="20"/>
                <w:szCs w:val="20"/>
              </w:rPr>
              <w:t>14</w:t>
            </w:r>
            <w:r w:rsidR="00E10A72" w:rsidRPr="004252E4">
              <w:rPr>
                <w:i/>
                <w:color w:val="00B050"/>
                <w:sz w:val="20"/>
                <w:szCs w:val="20"/>
              </w:rPr>
              <w:t xml:space="preserve"> </w:t>
            </w:r>
          </w:p>
        </w:tc>
      </w:tr>
    </w:tbl>
    <w:p w14:paraId="25552AB1" w14:textId="77777777" w:rsidR="00E10A72" w:rsidRDefault="00E10A72" w:rsidP="00E10A72">
      <w:pPr>
        <w:pStyle w:val="ListParagraph"/>
        <w:ind w:left="284"/>
        <w:rPr>
          <w:szCs w:val="24"/>
        </w:rPr>
      </w:pPr>
    </w:p>
    <w:p w14:paraId="4F539720" w14:textId="77777777" w:rsidR="0008134A" w:rsidRPr="00F125CD" w:rsidRDefault="0008134A" w:rsidP="000223DA">
      <w:pPr>
        <w:pStyle w:val="ListParagraph"/>
        <w:numPr>
          <w:ilvl w:val="0"/>
          <w:numId w:val="11"/>
        </w:numPr>
        <w:spacing w:after="120"/>
        <w:ind w:left="425" w:hanging="425"/>
        <w:rPr>
          <w:sz w:val="26"/>
          <w:szCs w:val="26"/>
        </w:rPr>
      </w:pPr>
      <w:r w:rsidRPr="00F125CD">
        <w:rPr>
          <w:b/>
          <w:sz w:val="26"/>
          <w:szCs w:val="26"/>
        </w:rPr>
        <w:t>paaugstināt DRN likmi</w:t>
      </w:r>
      <w:r w:rsidRPr="00F125CD">
        <w:rPr>
          <w:sz w:val="26"/>
          <w:szCs w:val="26"/>
        </w:rPr>
        <w:t xml:space="preserve"> </w:t>
      </w:r>
      <w:r w:rsidRPr="00F125CD">
        <w:rPr>
          <w:b/>
          <w:bCs/>
          <w:sz w:val="26"/>
          <w:szCs w:val="26"/>
        </w:rPr>
        <w:t>par pirmo reizi pastāvīgi reģistrētiem transportlīdzekļiem</w:t>
      </w:r>
    </w:p>
    <w:p w14:paraId="54D983C3" w14:textId="77777777" w:rsidR="0008134A" w:rsidRDefault="0008134A" w:rsidP="0008134A">
      <w:pPr>
        <w:ind w:left="426"/>
        <w:jc w:val="both"/>
        <w:rPr>
          <w:sz w:val="26"/>
          <w:szCs w:val="26"/>
        </w:rPr>
      </w:pPr>
      <w:r w:rsidRPr="00F125CD">
        <w:rPr>
          <w:sz w:val="26"/>
          <w:szCs w:val="26"/>
        </w:rPr>
        <w:t>VARAM ir izvērtējusi arī DRN piemērošanu Latvijā pirmo reizi pastāvīgi reģistrētiem transportlīdzekļiem un esošo situāciju nolietoto transportlīdzekļu apsaimniekošanas jomā. Lai nodrošinātu, ka transportlīdzekļi, uz kuriem attiecas Nolietotu transportlīdzekļu apsaimniekošanas likums, tiktu atbilstoši apsaimniekoti un motivētu īstenot ražotāju atbildības principu, nepieciešams paaugstināt DRN likmi par transportlīdzekli.</w:t>
      </w:r>
    </w:p>
    <w:p w14:paraId="37A0A136" w14:textId="77777777" w:rsidR="00F125CD" w:rsidRDefault="00F125CD" w:rsidP="0008134A">
      <w:pPr>
        <w:ind w:left="426"/>
        <w:jc w:val="both"/>
        <w:rPr>
          <w:sz w:val="26"/>
          <w:szCs w:val="26"/>
        </w:rPr>
      </w:pPr>
    </w:p>
    <w:p w14:paraId="28557880" w14:textId="77777777" w:rsidR="00F125CD" w:rsidRPr="0008134A" w:rsidRDefault="00F125CD" w:rsidP="00F125CD">
      <w:pPr>
        <w:spacing w:after="120"/>
        <w:jc w:val="center"/>
        <w:rPr>
          <w:b/>
          <w:szCs w:val="24"/>
        </w:rPr>
      </w:pPr>
      <w:r w:rsidRPr="0008134A">
        <w:rPr>
          <w:szCs w:val="24"/>
        </w:rPr>
        <w:t>2</w:t>
      </w:r>
      <w:r w:rsidR="006C5A20">
        <w:rPr>
          <w:szCs w:val="24"/>
        </w:rPr>
        <w:t>5</w:t>
      </w:r>
      <w:r w:rsidRPr="0008134A">
        <w:rPr>
          <w:szCs w:val="24"/>
        </w:rPr>
        <w:t>.tab.</w:t>
      </w:r>
      <w:r w:rsidRPr="0008134A">
        <w:rPr>
          <w:b/>
          <w:szCs w:val="24"/>
        </w:rPr>
        <w:t xml:space="preserve"> </w:t>
      </w:r>
      <w:r w:rsidRPr="00CA45ED">
        <w:rPr>
          <w:b/>
          <w:szCs w:val="24"/>
        </w:rPr>
        <w:t>DRN likm</w:t>
      </w:r>
      <w:r>
        <w:rPr>
          <w:b/>
          <w:szCs w:val="24"/>
        </w:rPr>
        <w:t>es</w:t>
      </w:r>
      <w:r w:rsidRPr="00DF5325">
        <w:rPr>
          <w:szCs w:val="24"/>
        </w:rPr>
        <w:t xml:space="preserve"> </w:t>
      </w:r>
      <w:r w:rsidRPr="00F125CD">
        <w:rPr>
          <w:b/>
          <w:bCs/>
          <w:szCs w:val="24"/>
        </w:rPr>
        <w:t>par pirmo reizi pastāvīgi reģistrētiem transportlīdzekļiem</w:t>
      </w:r>
      <w:r w:rsidR="00386F96">
        <w:rPr>
          <w:b/>
          <w:szCs w:val="24"/>
        </w:rPr>
        <w:t xml:space="preserve"> paaugstināšana</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34"/>
        <w:gridCol w:w="1134"/>
        <w:gridCol w:w="992"/>
        <w:gridCol w:w="851"/>
      </w:tblGrid>
      <w:tr w:rsidR="00F125CD" w:rsidRPr="00E10A72" w14:paraId="66D82A9B" w14:textId="77777777" w:rsidTr="00C0245D">
        <w:trPr>
          <w:trHeight w:val="429"/>
        </w:trPr>
        <w:tc>
          <w:tcPr>
            <w:tcW w:w="4282" w:type="dxa"/>
            <w:vMerge w:val="restart"/>
            <w:tcBorders>
              <w:bottom w:val="single" w:sz="4" w:space="0" w:color="FFFFFF" w:themeColor="background1"/>
              <w:right w:val="single" w:sz="4" w:space="0" w:color="FFFFFF" w:themeColor="background1"/>
            </w:tcBorders>
            <w:shd w:val="clear" w:color="auto" w:fill="002060"/>
          </w:tcPr>
          <w:p w14:paraId="71FC7ED8" w14:textId="77777777" w:rsidR="00F125CD" w:rsidRPr="00E10A72" w:rsidRDefault="00F125CD" w:rsidP="00C0245D">
            <w:pPr>
              <w:rPr>
                <w:b/>
                <w:color w:val="FFFFFF" w:themeColor="background1"/>
                <w:sz w:val="22"/>
              </w:rPr>
            </w:pPr>
          </w:p>
        </w:tc>
        <w:tc>
          <w:tcPr>
            <w:tcW w:w="1134"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2060"/>
          </w:tcPr>
          <w:p w14:paraId="7E9B1515" w14:textId="77777777" w:rsidR="00F125CD" w:rsidRPr="00E10A72" w:rsidRDefault="00F125CD" w:rsidP="00C0245D">
            <w:pPr>
              <w:jc w:val="center"/>
              <w:rPr>
                <w:b/>
                <w:color w:val="FFFFFF" w:themeColor="background1"/>
                <w:sz w:val="22"/>
              </w:rPr>
            </w:pPr>
            <w:r w:rsidRPr="00E10A72">
              <w:rPr>
                <w:b/>
                <w:color w:val="FFFFFF" w:themeColor="background1"/>
                <w:sz w:val="22"/>
              </w:rPr>
              <w:t xml:space="preserve">Esošā likme </w:t>
            </w:r>
          </w:p>
        </w:tc>
        <w:tc>
          <w:tcPr>
            <w:tcW w:w="2977" w:type="dxa"/>
            <w:gridSpan w:val="3"/>
            <w:tcBorders>
              <w:left w:val="single" w:sz="4" w:space="0" w:color="FFFFFF" w:themeColor="background1"/>
              <w:bottom w:val="single" w:sz="4" w:space="0" w:color="FFFFFF" w:themeColor="background1"/>
            </w:tcBorders>
            <w:shd w:val="clear" w:color="auto" w:fill="002060"/>
          </w:tcPr>
          <w:p w14:paraId="1E84C722" w14:textId="77777777" w:rsidR="00F125CD" w:rsidRPr="00E10A72" w:rsidRDefault="00F125CD" w:rsidP="008C635B">
            <w:pPr>
              <w:jc w:val="center"/>
              <w:rPr>
                <w:b/>
                <w:color w:val="FFFFFF" w:themeColor="background1"/>
                <w:sz w:val="22"/>
              </w:rPr>
            </w:pPr>
            <w:r w:rsidRPr="00E10A72">
              <w:rPr>
                <w:b/>
                <w:color w:val="FFFFFF" w:themeColor="background1"/>
                <w:sz w:val="22"/>
              </w:rPr>
              <w:t xml:space="preserve">Paaugstinātā likme </w:t>
            </w:r>
          </w:p>
        </w:tc>
      </w:tr>
      <w:tr w:rsidR="00F125CD" w:rsidRPr="00E10A72" w14:paraId="06762407" w14:textId="77777777" w:rsidTr="00FE1E37">
        <w:tc>
          <w:tcPr>
            <w:tcW w:w="4282" w:type="dxa"/>
            <w:vMerge/>
            <w:tcBorders>
              <w:top w:val="single" w:sz="4" w:space="0" w:color="FFFFFF" w:themeColor="background1"/>
              <w:right w:val="single" w:sz="4" w:space="0" w:color="FFFFFF" w:themeColor="background1"/>
            </w:tcBorders>
            <w:shd w:val="clear" w:color="auto" w:fill="002060"/>
          </w:tcPr>
          <w:p w14:paraId="0DE7728C" w14:textId="77777777" w:rsidR="00F125CD" w:rsidRPr="00E10A72" w:rsidRDefault="00F125CD" w:rsidP="00C0245D">
            <w:pPr>
              <w:rPr>
                <w:b/>
                <w:color w:val="FFFFFF" w:themeColor="background1"/>
                <w:sz w:val="22"/>
              </w:rPr>
            </w:pPr>
          </w:p>
        </w:tc>
        <w:tc>
          <w:tcPr>
            <w:tcW w:w="1134" w:type="dxa"/>
            <w:vMerge/>
            <w:tcBorders>
              <w:top w:val="single" w:sz="4" w:space="0" w:color="FFFFFF" w:themeColor="background1"/>
              <w:left w:val="single" w:sz="4" w:space="0" w:color="FFFFFF" w:themeColor="background1"/>
              <w:right w:val="single" w:sz="4" w:space="0" w:color="FFFFFF" w:themeColor="background1"/>
            </w:tcBorders>
            <w:shd w:val="clear" w:color="auto" w:fill="002060"/>
          </w:tcPr>
          <w:p w14:paraId="03223077" w14:textId="77777777" w:rsidR="00F125CD" w:rsidRPr="00E10A72" w:rsidRDefault="00F125CD" w:rsidP="00C0245D">
            <w:pPr>
              <w:jc w:val="center"/>
              <w:rPr>
                <w:b/>
                <w:color w:val="FFFFFF" w:themeColor="background1"/>
                <w:sz w:val="22"/>
              </w:rPr>
            </w:pP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51AA0345" w14:textId="77777777" w:rsidR="00F125CD" w:rsidRPr="00E10A72" w:rsidRDefault="00F125CD" w:rsidP="00C0245D">
            <w:pPr>
              <w:jc w:val="center"/>
              <w:rPr>
                <w:b/>
                <w:color w:val="FFFFFF" w:themeColor="background1"/>
                <w:sz w:val="22"/>
              </w:rPr>
            </w:pPr>
            <w:r>
              <w:rPr>
                <w:b/>
                <w:color w:val="FFFFFF" w:themeColor="background1"/>
                <w:sz w:val="22"/>
              </w:rPr>
              <w:t>2021</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024C5732" w14:textId="77777777" w:rsidR="00F125CD" w:rsidRPr="00E10A72" w:rsidRDefault="00F125CD" w:rsidP="00C0245D">
            <w:pPr>
              <w:jc w:val="center"/>
              <w:rPr>
                <w:b/>
                <w:color w:val="FFFFFF" w:themeColor="background1"/>
                <w:sz w:val="22"/>
              </w:rPr>
            </w:pPr>
            <w:r w:rsidRPr="00E10A72">
              <w:rPr>
                <w:b/>
                <w:color w:val="FFFFFF" w:themeColor="background1"/>
                <w:sz w:val="22"/>
              </w:rPr>
              <w:t>2022</w:t>
            </w:r>
          </w:p>
        </w:tc>
        <w:tc>
          <w:tcPr>
            <w:tcW w:w="851" w:type="dxa"/>
            <w:tcBorders>
              <w:top w:val="single" w:sz="4" w:space="0" w:color="FFFFFF" w:themeColor="background1"/>
              <w:left w:val="single" w:sz="4" w:space="0" w:color="FFFFFF" w:themeColor="background1"/>
            </w:tcBorders>
            <w:shd w:val="clear" w:color="auto" w:fill="002060"/>
          </w:tcPr>
          <w:p w14:paraId="45B9DD93" w14:textId="77777777" w:rsidR="00F125CD" w:rsidRPr="00E10A72" w:rsidRDefault="00F125CD" w:rsidP="00C0245D">
            <w:pPr>
              <w:jc w:val="center"/>
              <w:rPr>
                <w:b/>
                <w:color w:val="FFFFFF" w:themeColor="background1"/>
                <w:sz w:val="22"/>
              </w:rPr>
            </w:pPr>
            <w:r w:rsidRPr="00E10A72">
              <w:rPr>
                <w:b/>
                <w:color w:val="FFFFFF" w:themeColor="background1"/>
                <w:sz w:val="22"/>
              </w:rPr>
              <w:t>2023</w:t>
            </w:r>
          </w:p>
        </w:tc>
      </w:tr>
      <w:tr w:rsidR="00F125CD" w:rsidRPr="00A35C05" w14:paraId="76ECF7CE" w14:textId="77777777" w:rsidTr="004C7C80">
        <w:trPr>
          <w:trHeight w:val="325"/>
        </w:trPr>
        <w:tc>
          <w:tcPr>
            <w:tcW w:w="4282" w:type="dxa"/>
            <w:tcBorders>
              <w:bottom w:val="single" w:sz="4" w:space="0" w:color="auto"/>
            </w:tcBorders>
            <w:shd w:val="clear" w:color="auto" w:fill="auto"/>
          </w:tcPr>
          <w:p w14:paraId="7D50DFEE" w14:textId="77777777" w:rsidR="00F125CD" w:rsidRPr="00A35C05" w:rsidRDefault="00F125CD" w:rsidP="00F125CD">
            <w:pPr>
              <w:rPr>
                <w:sz w:val="22"/>
              </w:rPr>
            </w:pPr>
            <w:r w:rsidRPr="00F125CD">
              <w:rPr>
                <w:sz w:val="22"/>
              </w:rPr>
              <w:t>Pirmo reizi reģistrētie transportlīdzekļi</w:t>
            </w:r>
            <w:r>
              <w:rPr>
                <w:sz w:val="22"/>
              </w:rPr>
              <w:t>,</w:t>
            </w:r>
            <w:r w:rsidRPr="0008134A">
              <w:rPr>
                <w:i/>
                <w:sz w:val="22"/>
              </w:rPr>
              <w:t xml:space="preserve"> euro </w:t>
            </w:r>
          </w:p>
        </w:tc>
        <w:tc>
          <w:tcPr>
            <w:tcW w:w="1134" w:type="dxa"/>
            <w:tcBorders>
              <w:bottom w:val="single" w:sz="4" w:space="0" w:color="auto"/>
            </w:tcBorders>
            <w:shd w:val="clear" w:color="auto" w:fill="BFBFBF" w:themeFill="background1" w:themeFillShade="BF"/>
            <w:vAlign w:val="center"/>
          </w:tcPr>
          <w:p w14:paraId="22ABA0ED" w14:textId="77777777" w:rsidR="00F125CD" w:rsidRPr="00F125CD" w:rsidRDefault="00F125CD" w:rsidP="00C0245D">
            <w:pPr>
              <w:jc w:val="center"/>
              <w:rPr>
                <w:b/>
                <w:sz w:val="22"/>
              </w:rPr>
            </w:pPr>
            <w:r w:rsidRPr="00F125CD">
              <w:rPr>
                <w:b/>
                <w:sz w:val="22"/>
              </w:rPr>
              <w:t>55</w:t>
            </w:r>
          </w:p>
        </w:tc>
        <w:tc>
          <w:tcPr>
            <w:tcW w:w="2977" w:type="dxa"/>
            <w:gridSpan w:val="3"/>
            <w:tcBorders>
              <w:bottom w:val="single" w:sz="4" w:space="0" w:color="auto"/>
            </w:tcBorders>
            <w:shd w:val="clear" w:color="auto" w:fill="auto"/>
            <w:vAlign w:val="center"/>
          </w:tcPr>
          <w:p w14:paraId="2D497A7E" w14:textId="77777777" w:rsidR="00F125CD" w:rsidRPr="00E10A72" w:rsidRDefault="00F125CD" w:rsidP="00C0245D">
            <w:pPr>
              <w:jc w:val="center"/>
              <w:rPr>
                <w:b/>
                <w:color w:val="FF0000"/>
                <w:sz w:val="22"/>
              </w:rPr>
            </w:pPr>
            <w:r>
              <w:rPr>
                <w:b/>
                <w:color w:val="FF0000"/>
                <w:sz w:val="22"/>
              </w:rPr>
              <w:t>65</w:t>
            </w:r>
          </w:p>
        </w:tc>
      </w:tr>
      <w:tr w:rsidR="00F125CD" w:rsidRPr="00A35C05" w14:paraId="33F0A734" w14:textId="77777777" w:rsidTr="00FE1E37">
        <w:trPr>
          <w:trHeight w:val="274"/>
        </w:trPr>
        <w:tc>
          <w:tcPr>
            <w:tcW w:w="4282" w:type="dxa"/>
            <w:tcBorders>
              <w:bottom w:val="dotted" w:sz="4" w:space="0" w:color="auto"/>
            </w:tcBorders>
            <w:shd w:val="clear" w:color="auto" w:fill="FFE599" w:themeFill="accent4" w:themeFillTint="66"/>
          </w:tcPr>
          <w:p w14:paraId="7BEB9756" w14:textId="77777777" w:rsidR="00F125CD" w:rsidRPr="00A35C05" w:rsidRDefault="00F125CD" w:rsidP="00C0245D">
            <w:pPr>
              <w:rPr>
                <w:sz w:val="22"/>
              </w:rPr>
            </w:pPr>
            <w:r w:rsidRPr="0008134A">
              <w:rPr>
                <w:b/>
                <w:sz w:val="22"/>
              </w:rPr>
              <w:t>Fiskālā ietekme</w:t>
            </w:r>
            <w:r>
              <w:rPr>
                <w:b/>
                <w:sz w:val="22"/>
              </w:rPr>
              <w:t xml:space="preserve">, </w:t>
            </w:r>
            <w:r w:rsidRPr="0008134A">
              <w:rPr>
                <w:i/>
                <w:sz w:val="22"/>
              </w:rPr>
              <w:t>milj. euro</w:t>
            </w:r>
          </w:p>
        </w:tc>
        <w:tc>
          <w:tcPr>
            <w:tcW w:w="1134" w:type="dxa"/>
            <w:tcBorders>
              <w:bottom w:val="dotted" w:sz="4" w:space="0" w:color="auto"/>
            </w:tcBorders>
            <w:shd w:val="clear" w:color="auto" w:fill="BFBFBF" w:themeFill="background1" w:themeFillShade="BF"/>
          </w:tcPr>
          <w:p w14:paraId="1819C80A" w14:textId="77777777" w:rsidR="00F125CD" w:rsidRPr="00A35C05" w:rsidRDefault="00F125CD" w:rsidP="00C0245D">
            <w:pPr>
              <w:jc w:val="center"/>
              <w:rPr>
                <w:sz w:val="22"/>
              </w:rPr>
            </w:pPr>
          </w:p>
        </w:tc>
        <w:tc>
          <w:tcPr>
            <w:tcW w:w="1134" w:type="dxa"/>
            <w:tcBorders>
              <w:bottom w:val="dotted" w:sz="4" w:space="0" w:color="auto"/>
            </w:tcBorders>
            <w:shd w:val="clear" w:color="auto" w:fill="FFE599" w:themeFill="accent4" w:themeFillTint="66"/>
            <w:vAlign w:val="center"/>
          </w:tcPr>
          <w:p w14:paraId="301BDC9C" w14:textId="77777777" w:rsidR="00F125CD" w:rsidRPr="004252E4" w:rsidRDefault="00E1375F" w:rsidP="00F125CD">
            <w:pPr>
              <w:jc w:val="center"/>
              <w:rPr>
                <w:b/>
                <w:color w:val="00B050"/>
                <w:sz w:val="22"/>
              </w:rPr>
            </w:pPr>
            <w:r w:rsidRPr="004252E4">
              <w:rPr>
                <w:b/>
                <w:color w:val="00B050"/>
                <w:sz w:val="22"/>
              </w:rPr>
              <w:t>+</w:t>
            </w:r>
            <w:r w:rsidR="00F125CD" w:rsidRPr="004252E4">
              <w:rPr>
                <w:b/>
                <w:color w:val="00B050"/>
                <w:sz w:val="22"/>
              </w:rPr>
              <w:t>0,58</w:t>
            </w:r>
          </w:p>
        </w:tc>
        <w:tc>
          <w:tcPr>
            <w:tcW w:w="992" w:type="dxa"/>
            <w:tcBorders>
              <w:bottom w:val="dotted" w:sz="4" w:space="0" w:color="auto"/>
            </w:tcBorders>
            <w:shd w:val="clear" w:color="auto" w:fill="FFE599" w:themeFill="accent4" w:themeFillTint="66"/>
            <w:vAlign w:val="center"/>
          </w:tcPr>
          <w:p w14:paraId="37EB1042" w14:textId="77777777" w:rsidR="00F125CD" w:rsidRPr="004252E4" w:rsidRDefault="00E1375F" w:rsidP="00F125CD">
            <w:pPr>
              <w:jc w:val="center"/>
              <w:rPr>
                <w:b/>
                <w:color w:val="00B050"/>
                <w:sz w:val="22"/>
              </w:rPr>
            </w:pPr>
            <w:r w:rsidRPr="004252E4">
              <w:rPr>
                <w:b/>
                <w:color w:val="00B050"/>
                <w:sz w:val="22"/>
              </w:rPr>
              <w:t>+</w:t>
            </w:r>
            <w:r w:rsidR="00F125CD" w:rsidRPr="004252E4">
              <w:rPr>
                <w:b/>
                <w:color w:val="00B050"/>
                <w:sz w:val="22"/>
              </w:rPr>
              <w:t>0,60</w:t>
            </w:r>
          </w:p>
        </w:tc>
        <w:tc>
          <w:tcPr>
            <w:tcW w:w="851" w:type="dxa"/>
            <w:tcBorders>
              <w:bottom w:val="dotted" w:sz="4" w:space="0" w:color="auto"/>
            </w:tcBorders>
            <w:shd w:val="clear" w:color="auto" w:fill="FFE599" w:themeFill="accent4" w:themeFillTint="66"/>
            <w:vAlign w:val="center"/>
          </w:tcPr>
          <w:p w14:paraId="4FDB87AC" w14:textId="77777777" w:rsidR="00F125CD" w:rsidRPr="004252E4" w:rsidRDefault="00E1375F" w:rsidP="00F125CD">
            <w:pPr>
              <w:jc w:val="center"/>
              <w:rPr>
                <w:b/>
                <w:color w:val="00B050"/>
                <w:sz w:val="22"/>
              </w:rPr>
            </w:pPr>
            <w:r w:rsidRPr="004252E4">
              <w:rPr>
                <w:b/>
                <w:color w:val="00B050"/>
                <w:sz w:val="22"/>
              </w:rPr>
              <w:t>+</w:t>
            </w:r>
            <w:r w:rsidR="00F125CD" w:rsidRPr="004252E4">
              <w:rPr>
                <w:b/>
                <w:color w:val="00B050"/>
                <w:sz w:val="22"/>
              </w:rPr>
              <w:t>0,62</w:t>
            </w:r>
          </w:p>
        </w:tc>
      </w:tr>
      <w:tr w:rsidR="00F125CD" w:rsidRPr="00A35C05" w14:paraId="7E30EADA" w14:textId="77777777" w:rsidTr="00FE1E37">
        <w:trPr>
          <w:trHeight w:val="70"/>
        </w:trPr>
        <w:tc>
          <w:tcPr>
            <w:tcW w:w="4282" w:type="dxa"/>
            <w:tcBorders>
              <w:top w:val="dotted" w:sz="4" w:space="0" w:color="auto"/>
              <w:bottom w:val="dotted" w:sz="4" w:space="0" w:color="auto"/>
            </w:tcBorders>
            <w:shd w:val="clear" w:color="auto" w:fill="FFE599" w:themeFill="accent4" w:themeFillTint="66"/>
          </w:tcPr>
          <w:p w14:paraId="324B47F0" w14:textId="77777777" w:rsidR="00F125CD" w:rsidRPr="00F80F8E" w:rsidRDefault="00F125CD" w:rsidP="000223DA">
            <w:pPr>
              <w:pStyle w:val="ListParagraph"/>
              <w:numPr>
                <w:ilvl w:val="0"/>
                <w:numId w:val="6"/>
              </w:numPr>
              <w:ind w:left="634" w:hanging="283"/>
              <w:jc w:val="left"/>
              <w:rPr>
                <w:i/>
                <w:sz w:val="20"/>
                <w:szCs w:val="20"/>
              </w:rPr>
            </w:pPr>
            <w:r w:rsidRPr="00F80F8E">
              <w:rPr>
                <w:i/>
                <w:sz w:val="20"/>
                <w:szCs w:val="20"/>
              </w:rPr>
              <w:t>valsts pamatbudžets</w:t>
            </w:r>
          </w:p>
        </w:tc>
        <w:tc>
          <w:tcPr>
            <w:tcW w:w="1134" w:type="dxa"/>
            <w:tcBorders>
              <w:top w:val="dotted" w:sz="4" w:space="0" w:color="auto"/>
              <w:bottom w:val="dotted" w:sz="4" w:space="0" w:color="auto"/>
            </w:tcBorders>
            <w:shd w:val="clear" w:color="auto" w:fill="BFBFBF" w:themeFill="background1" w:themeFillShade="BF"/>
          </w:tcPr>
          <w:p w14:paraId="0D13980F" w14:textId="77777777" w:rsidR="00F125CD" w:rsidRPr="00A35C05" w:rsidRDefault="00F125CD" w:rsidP="00C0245D">
            <w:pPr>
              <w:jc w:val="center"/>
              <w:rPr>
                <w:sz w:val="20"/>
                <w:szCs w:val="20"/>
              </w:rPr>
            </w:pPr>
          </w:p>
        </w:tc>
        <w:tc>
          <w:tcPr>
            <w:tcW w:w="1134" w:type="dxa"/>
            <w:tcBorders>
              <w:top w:val="dotted" w:sz="4" w:space="0" w:color="auto"/>
              <w:bottom w:val="dotted" w:sz="4" w:space="0" w:color="auto"/>
            </w:tcBorders>
            <w:shd w:val="clear" w:color="auto" w:fill="FFE599" w:themeFill="accent4" w:themeFillTint="66"/>
            <w:vAlign w:val="center"/>
          </w:tcPr>
          <w:p w14:paraId="43BD3112" w14:textId="77777777" w:rsidR="00F125CD" w:rsidRPr="004252E4" w:rsidRDefault="00E1375F" w:rsidP="00F125CD">
            <w:pPr>
              <w:jc w:val="center"/>
              <w:rPr>
                <w:i/>
                <w:color w:val="00B050"/>
                <w:sz w:val="20"/>
                <w:szCs w:val="20"/>
              </w:rPr>
            </w:pPr>
            <w:r w:rsidRPr="004252E4">
              <w:rPr>
                <w:i/>
                <w:color w:val="00B050"/>
                <w:sz w:val="20"/>
                <w:szCs w:val="20"/>
              </w:rPr>
              <w:t>+</w:t>
            </w:r>
            <w:r w:rsidR="00F125CD" w:rsidRPr="004252E4">
              <w:rPr>
                <w:i/>
                <w:color w:val="00B050"/>
                <w:sz w:val="20"/>
                <w:szCs w:val="20"/>
              </w:rPr>
              <w:t>0,58</w:t>
            </w:r>
          </w:p>
        </w:tc>
        <w:tc>
          <w:tcPr>
            <w:tcW w:w="992" w:type="dxa"/>
            <w:tcBorders>
              <w:top w:val="dotted" w:sz="4" w:space="0" w:color="auto"/>
              <w:bottom w:val="dotted" w:sz="4" w:space="0" w:color="auto"/>
            </w:tcBorders>
            <w:shd w:val="clear" w:color="auto" w:fill="FFE599" w:themeFill="accent4" w:themeFillTint="66"/>
            <w:vAlign w:val="center"/>
          </w:tcPr>
          <w:p w14:paraId="4C104D2A" w14:textId="77777777" w:rsidR="00F125CD" w:rsidRPr="004252E4" w:rsidRDefault="00E1375F" w:rsidP="00F125CD">
            <w:pPr>
              <w:jc w:val="center"/>
              <w:rPr>
                <w:i/>
                <w:color w:val="00B050"/>
                <w:sz w:val="20"/>
                <w:szCs w:val="20"/>
              </w:rPr>
            </w:pPr>
            <w:r w:rsidRPr="004252E4">
              <w:rPr>
                <w:i/>
                <w:color w:val="00B050"/>
                <w:sz w:val="20"/>
                <w:szCs w:val="20"/>
              </w:rPr>
              <w:t>+</w:t>
            </w:r>
            <w:r w:rsidR="00F125CD" w:rsidRPr="004252E4">
              <w:rPr>
                <w:i/>
                <w:color w:val="00B050"/>
                <w:sz w:val="20"/>
                <w:szCs w:val="20"/>
              </w:rPr>
              <w:t>0,60</w:t>
            </w:r>
          </w:p>
        </w:tc>
        <w:tc>
          <w:tcPr>
            <w:tcW w:w="851" w:type="dxa"/>
            <w:tcBorders>
              <w:top w:val="dotted" w:sz="4" w:space="0" w:color="auto"/>
              <w:bottom w:val="dotted" w:sz="4" w:space="0" w:color="auto"/>
            </w:tcBorders>
            <w:shd w:val="clear" w:color="auto" w:fill="FFE599" w:themeFill="accent4" w:themeFillTint="66"/>
            <w:vAlign w:val="center"/>
          </w:tcPr>
          <w:p w14:paraId="286D24FE" w14:textId="77777777" w:rsidR="00F125CD" w:rsidRPr="004252E4" w:rsidRDefault="00E1375F" w:rsidP="00F125CD">
            <w:pPr>
              <w:jc w:val="center"/>
              <w:rPr>
                <w:i/>
                <w:color w:val="00B050"/>
                <w:sz w:val="20"/>
                <w:szCs w:val="20"/>
              </w:rPr>
            </w:pPr>
            <w:r w:rsidRPr="004252E4">
              <w:rPr>
                <w:i/>
                <w:color w:val="00B050"/>
                <w:sz w:val="20"/>
                <w:szCs w:val="20"/>
              </w:rPr>
              <w:t>+</w:t>
            </w:r>
            <w:r w:rsidR="00F125CD" w:rsidRPr="004252E4">
              <w:rPr>
                <w:i/>
                <w:color w:val="00B050"/>
                <w:sz w:val="20"/>
                <w:szCs w:val="20"/>
              </w:rPr>
              <w:t>0,62</w:t>
            </w:r>
          </w:p>
        </w:tc>
      </w:tr>
      <w:tr w:rsidR="00F125CD" w:rsidRPr="00A35C05" w14:paraId="64F058C0" w14:textId="77777777" w:rsidTr="00FE1E37">
        <w:trPr>
          <w:trHeight w:val="125"/>
        </w:trPr>
        <w:tc>
          <w:tcPr>
            <w:tcW w:w="4282" w:type="dxa"/>
            <w:tcBorders>
              <w:top w:val="dotted" w:sz="4" w:space="0" w:color="auto"/>
            </w:tcBorders>
            <w:shd w:val="clear" w:color="auto" w:fill="FFE599" w:themeFill="accent4" w:themeFillTint="66"/>
          </w:tcPr>
          <w:p w14:paraId="35AEB172" w14:textId="77777777" w:rsidR="00F125CD" w:rsidRPr="00F80F8E" w:rsidRDefault="00F125CD" w:rsidP="000223DA">
            <w:pPr>
              <w:pStyle w:val="ListParagraph"/>
              <w:numPr>
                <w:ilvl w:val="0"/>
                <w:numId w:val="6"/>
              </w:numPr>
              <w:ind w:left="634" w:hanging="283"/>
              <w:jc w:val="left"/>
              <w:rPr>
                <w:i/>
                <w:sz w:val="20"/>
                <w:szCs w:val="20"/>
              </w:rPr>
            </w:pPr>
            <w:r w:rsidRPr="00F80F8E">
              <w:rPr>
                <w:i/>
                <w:sz w:val="20"/>
                <w:szCs w:val="20"/>
              </w:rPr>
              <w:t>pašvaldību budžeti</w:t>
            </w:r>
          </w:p>
        </w:tc>
        <w:tc>
          <w:tcPr>
            <w:tcW w:w="1134" w:type="dxa"/>
            <w:tcBorders>
              <w:top w:val="dotted" w:sz="4" w:space="0" w:color="auto"/>
            </w:tcBorders>
            <w:shd w:val="clear" w:color="auto" w:fill="BFBFBF" w:themeFill="background1" w:themeFillShade="BF"/>
          </w:tcPr>
          <w:p w14:paraId="09DA2CD2" w14:textId="77777777" w:rsidR="00F125CD" w:rsidRPr="00A35C05" w:rsidRDefault="00F125CD" w:rsidP="00C0245D">
            <w:pPr>
              <w:jc w:val="center"/>
              <w:rPr>
                <w:sz w:val="20"/>
                <w:szCs w:val="20"/>
              </w:rPr>
            </w:pPr>
          </w:p>
        </w:tc>
        <w:tc>
          <w:tcPr>
            <w:tcW w:w="1134" w:type="dxa"/>
            <w:tcBorders>
              <w:top w:val="dotted" w:sz="4" w:space="0" w:color="auto"/>
            </w:tcBorders>
            <w:shd w:val="clear" w:color="auto" w:fill="FFE599" w:themeFill="accent4" w:themeFillTint="66"/>
          </w:tcPr>
          <w:p w14:paraId="11F635EE" w14:textId="77777777" w:rsidR="00F125CD" w:rsidRPr="004252E4" w:rsidRDefault="00E1375F" w:rsidP="00C0245D">
            <w:pPr>
              <w:jc w:val="center"/>
              <w:rPr>
                <w:i/>
                <w:color w:val="00B050"/>
                <w:sz w:val="20"/>
                <w:szCs w:val="20"/>
              </w:rPr>
            </w:pPr>
            <w:r w:rsidRPr="004252E4">
              <w:rPr>
                <w:i/>
                <w:color w:val="00B050"/>
                <w:sz w:val="20"/>
                <w:szCs w:val="20"/>
              </w:rPr>
              <w:t>+</w:t>
            </w:r>
            <w:r w:rsidR="00F125CD" w:rsidRPr="004252E4">
              <w:rPr>
                <w:i/>
                <w:color w:val="00B050"/>
                <w:sz w:val="20"/>
                <w:szCs w:val="20"/>
              </w:rPr>
              <w:t>0,00</w:t>
            </w:r>
          </w:p>
        </w:tc>
        <w:tc>
          <w:tcPr>
            <w:tcW w:w="992" w:type="dxa"/>
            <w:tcBorders>
              <w:top w:val="dotted" w:sz="4" w:space="0" w:color="auto"/>
            </w:tcBorders>
            <w:shd w:val="clear" w:color="auto" w:fill="FFE599" w:themeFill="accent4" w:themeFillTint="66"/>
          </w:tcPr>
          <w:p w14:paraId="2D7FA36F" w14:textId="77777777" w:rsidR="00F125CD" w:rsidRPr="004252E4" w:rsidRDefault="00E1375F" w:rsidP="00C0245D">
            <w:pPr>
              <w:jc w:val="center"/>
              <w:rPr>
                <w:i/>
                <w:color w:val="00B050"/>
                <w:sz w:val="20"/>
                <w:szCs w:val="20"/>
              </w:rPr>
            </w:pPr>
            <w:r w:rsidRPr="004252E4">
              <w:rPr>
                <w:i/>
                <w:color w:val="00B050"/>
                <w:sz w:val="20"/>
                <w:szCs w:val="20"/>
              </w:rPr>
              <w:t>+</w:t>
            </w:r>
            <w:r w:rsidR="00F125CD" w:rsidRPr="004252E4">
              <w:rPr>
                <w:i/>
                <w:color w:val="00B050"/>
                <w:sz w:val="20"/>
                <w:szCs w:val="20"/>
              </w:rPr>
              <w:t>0,00</w:t>
            </w:r>
          </w:p>
        </w:tc>
        <w:tc>
          <w:tcPr>
            <w:tcW w:w="851" w:type="dxa"/>
            <w:tcBorders>
              <w:top w:val="dotted" w:sz="4" w:space="0" w:color="auto"/>
            </w:tcBorders>
            <w:shd w:val="clear" w:color="auto" w:fill="FFE599" w:themeFill="accent4" w:themeFillTint="66"/>
          </w:tcPr>
          <w:p w14:paraId="14ADA71A" w14:textId="77777777" w:rsidR="00F125CD" w:rsidRPr="004252E4" w:rsidRDefault="00E1375F" w:rsidP="00F125CD">
            <w:pPr>
              <w:jc w:val="center"/>
              <w:rPr>
                <w:i/>
                <w:color w:val="00B050"/>
                <w:sz w:val="20"/>
                <w:szCs w:val="20"/>
              </w:rPr>
            </w:pPr>
            <w:r w:rsidRPr="004252E4">
              <w:rPr>
                <w:i/>
                <w:color w:val="00B050"/>
                <w:sz w:val="20"/>
                <w:szCs w:val="20"/>
              </w:rPr>
              <w:t>+</w:t>
            </w:r>
            <w:r w:rsidR="00F125CD" w:rsidRPr="004252E4">
              <w:rPr>
                <w:i/>
                <w:color w:val="00B050"/>
                <w:sz w:val="20"/>
                <w:szCs w:val="20"/>
              </w:rPr>
              <w:t xml:space="preserve">0,00 </w:t>
            </w:r>
          </w:p>
        </w:tc>
      </w:tr>
    </w:tbl>
    <w:p w14:paraId="7389A273" w14:textId="77777777" w:rsidR="00F125CD" w:rsidRDefault="00F125CD" w:rsidP="0008134A">
      <w:pPr>
        <w:ind w:left="426"/>
        <w:jc w:val="both"/>
        <w:rPr>
          <w:sz w:val="26"/>
          <w:szCs w:val="26"/>
        </w:rPr>
      </w:pPr>
    </w:p>
    <w:p w14:paraId="022A1AC7" w14:textId="77777777" w:rsidR="0008134A" w:rsidRPr="00FE1E37" w:rsidRDefault="0008134A" w:rsidP="000223DA">
      <w:pPr>
        <w:pStyle w:val="ListParagraph"/>
        <w:numPr>
          <w:ilvl w:val="0"/>
          <w:numId w:val="11"/>
        </w:numPr>
        <w:spacing w:after="120"/>
        <w:ind w:left="425" w:hanging="425"/>
        <w:rPr>
          <w:sz w:val="26"/>
          <w:szCs w:val="26"/>
        </w:rPr>
      </w:pPr>
      <w:r w:rsidRPr="00FE1E37">
        <w:rPr>
          <w:b/>
          <w:sz w:val="26"/>
          <w:szCs w:val="26"/>
        </w:rPr>
        <w:t>paaugstināt</w:t>
      </w:r>
      <w:r w:rsidRPr="00FE1E37">
        <w:rPr>
          <w:sz w:val="26"/>
          <w:szCs w:val="26"/>
        </w:rPr>
        <w:t xml:space="preserve"> </w:t>
      </w:r>
      <w:r w:rsidRPr="00FE1E37">
        <w:rPr>
          <w:b/>
          <w:bCs/>
          <w:sz w:val="26"/>
          <w:szCs w:val="26"/>
        </w:rPr>
        <w:t>fiksēto nodokļa maksājumu par C kategorijas piesārņojošo darbību emisijām</w:t>
      </w:r>
      <w:r w:rsidRPr="00FE1E37">
        <w:rPr>
          <w:sz w:val="26"/>
          <w:szCs w:val="26"/>
        </w:rPr>
        <w:t xml:space="preserve"> – no </w:t>
      </w:r>
      <w:r w:rsidRPr="00FE1E37">
        <w:rPr>
          <w:b/>
          <w:color w:val="C00000"/>
          <w:sz w:val="26"/>
          <w:szCs w:val="26"/>
        </w:rPr>
        <w:t>71,14</w:t>
      </w:r>
      <w:r w:rsidRPr="00FE1E37">
        <w:rPr>
          <w:color w:val="C00000"/>
          <w:sz w:val="26"/>
          <w:szCs w:val="26"/>
        </w:rPr>
        <w:t xml:space="preserve"> </w:t>
      </w:r>
      <w:r w:rsidRPr="00FE1E37">
        <w:rPr>
          <w:sz w:val="26"/>
          <w:szCs w:val="26"/>
        </w:rPr>
        <w:t xml:space="preserve">līdz </w:t>
      </w:r>
      <w:r w:rsidRPr="00FE1E37">
        <w:rPr>
          <w:b/>
          <w:color w:val="C00000"/>
          <w:sz w:val="26"/>
          <w:szCs w:val="26"/>
        </w:rPr>
        <w:t>250</w:t>
      </w:r>
      <w:r w:rsidRPr="00FE1E37">
        <w:rPr>
          <w:color w:val="C00000"/>
          <w:sz w:val="26"/>
          <w:szCs w:val="26"/>
        </w:rPr>
        <w:t xml:space="preserve"> </w:t>
      </w:r>
      <w:r w:rsidRPr="00FE1E37">
        <w:rPr>
          <w:i/>
          <w:sz w:val="26"/>
          <w:szCs w:val="26"/>
        </w:rPr>
        <w:t>euro</w:t>
      </w:r>
      <w:r w:rsidRPr="00FE1E37">
        <w:rPr>
          <w:sz w:val="26"/>
          <w:szCs w:val="26"/>
        </w:rPr>
        <w:t>;</w:t>
      </w:r>
    </w:p>
    <w:p w14:paraId="245207A8" w14:textId="77777777" w:rsidR="0008134A" w:rsidRDefault="0008134A" w:rsidP="0008134A">
      <w:pPr>
        <w:ind w:left="426"/>
        <w:jc w:val="both"/>
        <w:rPr>
          <w:szCs w:val="24"/>
        </w:rPr>
      </w:pPr>
      <w:r w:rsidRPr="00FE1E37">
        <w:rPr>
          <w:sz w:val="26"/>
          <w:szCs w:val="26"/>
        </w:rPr>
        <w:t xml:space="preserve">Pētījumā “Dabas resursu nodokļa likmju piemērošanas efektivitātes izvērtēšana” (SIA “Ernst &amp; Young Baltic”, 2019.) tika izvērtēta fiksētā nodokļa maksājuma par C kategorijas piesārņojošām darbībām efektivitāte. Fiksētais maksājums par C kategorijas piesārņojošajām darbībām 50 LVL apmērā tika noteikts DRN likumā 2006. gadā, un attiecīgi 2014.gadā konvertēts uz eiro. Šobrīd fiksētais nodokļa maksājums ir 71,14 </w:t>
      </w:r>
      <w:r w:rsidRPr="00FE1E37">
        <w:rPr>
          <w:i/>
          <w:sz w:val="26"/>
          <w:szCs w:val="26"/>
        </w:rPr>
        <w:t>euro</w:t>
      </w:r>
      <w:r w:rsidRPr="00FE1E37">
        <w:rPr>
          <w:sz w:val="26"/>
          <w:szCs w:val="26"/>
        </w:rPr>
        <w:t xml:space="preserve">. 2006.gadā noteiktās DRN likmes par ūdens un gaisa piesārņošanu salīdzinājumā ar 2020.gadā spēkā esošajām likmēm ir paaugstinātas. Turpretī, fiksētais maksājums visā šajā laika periodā nav mainījies, kā rezultātā fiksētais nodokļa maksājums nav proporcionāls citām nodokļa likmēm par vides piesārņošanu un, tādēļ nevar tikt uzskatīts par efektīvu. </w:t>
      </w:r>
      <w:r w:rsidRPr="00FE1E37">
        <w:rPr>
          <w:sz w:val="26"/>
          <w:szCs w:val="26"/>
        </w:rPr>
        <w:lastRenderedPageBreak/>
        <w:t>Pētījumā secināts, ka šo maksājumu nepieciešams pakāpeniski pacelt par 250-300%, atstājot iespēju  nodokli aprēķināt un maksāt atbilstoši nodokļa maksātāja faktiskā piesārņojuma veidam un apjomam</w:t>
      </w:r>
      <w:r w:rsidRPr="00FE1E37">
        <w:rPr>
          <w:szCs w:val="24"/>
        </w:rPr>
        <w:t>.</w:t>
      </w:r>
    </w:p>
    <w:p w14:paraId="79FC76D2" w14:textId="77777777" w:rsidR="00FE1E37" w:rsidRDefault="00FE1E37" w:rsidP="0008134A">
      <w:pPr>
        <w:ind w:left="426"/>
        <w:jc w:val="both"/>
        <w:rPr>
          <w:szCs w:val="24"/>
        </w:rPr>
      </w:pPr>
    </w:p>
    <w:p w14:paraId="65674F5F" w14:textId="77777777" w:rsidR="00FE1E37" w:rsidRPr="00FE1E37" w:rsidRDefault="00FE1E37" w:rsidP="00FE1E37">
      <w:pPr>
        <w:spacing w:after="120"/>
        <w:jc w:val="center"/>
        <w:rPr>
          <w:b/>
          <w:szCs w:val="24"/>
        </w:rPr>
      </w:pPr>
      <w:r w:rsidRPr="0008134A">
        <w:rPr>
          <w:szCs w:val="24"/>
        </w:rPr>
        <w:t>2</w:t>
      </w:r>
      <w:r w:rsidR="006C5A20">
        <w:rPr>
          <w:szCs w:val="24"/>
        </w:rPr>
        <w:t>6</w:t>
      </w:r>
      <w:r w:rsidRPr="0008134A">
        <w:rPr>
          <w:szCs w:val="24"/>
        </w:rPr>
        <w:t>.tab.</w:t>
      </w:r>
      <w:r w:rsidRPr="0008134A">
        <w:rPr>
          <w:b/>
          <w:szCs w:val="24"/>
        </w:rPr>
        <w:t xml:space="preserve"> </w:t>
      </w:r>
      <w:r w:rsidRPr="00CA45ED">
        <w:rPr>
          <w:b/>
          <w:szCs w:val="24"/>
        </w:rPr>
        <w:t xml:space="preserve">DRN </w:t>
      </w:r>
      <w:r>
        <w:rPr>
          <w:b/>
          <w:bCs/>
          <w:szCs w:val="24"/>
        </w:rPr>
        <w:t xml:space="preserve">fiksētā </w:t>
      </w:r>
      <w:r w:rsidRPr="00FE1E37">
        <w:rPr>
          <w:b/>
          <w:bCs/>
          <w:szCs w:val="24"/>
        </w:rPr>
        <w:t>maksājum</w:t>
      </w:r>
      <w:r>
        <w:rPr>
          <w:b/>
          <w:bCs/>
          <w:szCs w:val="24"/>
        </w:rPr>
        <w:t>a</w:t>
      </w:r>
      <w:r w:rsidRPr="00FE1E37">
        <w:rPr>
          <w:b/>
          <w:bCs/>
          <w:szCs w:val="24"/>
        </w:rPr>
        <w:t xml:space="preserve"> par C kategorijas piesārņojošo</w:t>
      </w:r>
      <w:r w:rsidRPr="00FE1E37">
        <w:rPr>
          <w:b/>
          <w:bCs/>
          <w:sz w:val="26"/>
          <w:szCs w:val="26"/>
        </w:rPr>
        <w:t xml:space="preserve"> </w:t>
      </w:r>
      <w:r w:rsidRPr="00FE1E37">
        <w:rPr>
          <w:b/>
          <w:bCs/>
          <w:szCs w:val="24"/>
        </w:rPr>
        <w:t>darbību emisijām</w:t>
      </w:r>
      <w:r w:rsidR="00386F96">
        <w:rPr>
          <w:b/>
          <w:szCs w:val="24"/>
        </w:rPr>
        <w:t xml:space="preserve"> paaugstināšana</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34"/>
        <w:gridCol w:w="1134"/>
        <w:gridCol w:w="992"/>
        <w:gridCol w:w="851"/>
      </w:tblGrid>
      <w:tr w:rsidR="00FE1E37" w:rsidRPr="00E10A72" w14:paraId="668EB182" w14:textId="77777777" w:rsidTr="00C0245D">
        <w:trPr>
          <w:trHeight w:val="429"/>
        </w:trPr>
        <w:tc>
          <w:tcPr>
            <w:tcW w:w="4282" w:type="dxa"/>
            <w:vMerge w:val="restart"/>
            <w:tcBorders>
              <w:bottom w:val="single" w:sz="4" w:space="0" w:color="FFFFFF" w:themeColor="background1"/>
              <w:right w:val="single" w:sz="4" w:space="0" w:color="FFFFFF" w:themeColor="background1"/>
            </w:tcBorders>
            <w:shd w:val="clear" w:color="auto" w:fill="002060"/>
          </w:tcPr>
          <w:p w14:paraId="475CDDBB" w14:textId="77777777" w:rsidR="00FE1E37" w:rsidRPr="00E10A72" w:rsidRDefault="00FE1E37" w:rsidP="00C0245D">
            <w:pPr>
              <w:rPr>
                <w:b/>
                <w:color w:val="FFFFFF" w:themeColor="background1"/>
                <w:sz w:val="22"/>
              </w:rPr>
            </w:pPr>
          </w:p>
        </w:tc>
        <w:tc>
          <w:tcPr>
            <w:tcW w:w="1134"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2060"/>
          </w:tcPr>
          <w:p w14:paraId="50B33031" w14:textId="77777777" w:rsidR="00FE1E37" w:rsidRPr="00E10A72" w:rsidRDefault="00FE1E37" w:rsidP="00C0245D">
            <w:pPr>
              <w:jc w:val="center"/>
              <w:rPr>
                <w:b/>
                <w:color w:val="FFFFFF" w:themeColor="background1"/>
                <w:sz w:val="22"/>
              </w:rPr>
            </w:pPr>
            <w:r w:rsidRPr="00E10A72">
              <w:rPr>
                <w:b/>
                <w:color w:val="FFFFFF" w:themeColor="background1"/>
                <w:sz w:val="22"/>
              </w:rPr>
              <w:t xml:space="preserve">Esošā likme </w:t>
            </w:r>
          </w:p>
        </w:tc>
        <w:tc>
          <w:tcPr>
            <w:tcW w:w="2977" w:type="dxa"/>
            <w:gridSpan w:val="3"/>
            <w:tcBorders>
              <w:left w:val="single" w:sz="4" w:space="0" w:color="FFFFFF" w:themeColor="background1"/>
              <w:bottom w:val="single" w:sz="4" w:space="0" w:color="FFFFFF" w:themeColor="background1"/>
            </w:tcBorders>
            <w:shd w:val="clear" w:color="auto" w:fill="002060"/>
          </w:tcPr>
          <w:p w14:paraId="054C98CD" w14:textId="77777777" w:rsidR="00FE1E37" w:rsidRPr="00E10A72" w:rsidRDefault="00FE1E37" w:rsidP="008C635B">
            <w:pPr>
              <w:jc w:val="center"/>
              <w:rPr>
                <w:b/>
                <w:color w:val="FFFFFF" w:themeColor="background1"/>
                <w:sz w:val="22"/>
              </w:rPr>
            </w:pPr>
            <w:r w:rsidRPr="00E10A72">
              <w:rPr>
                <w:b/>
                <w:color w:val="FFFFFF" w:themeColor="background1"/>
                <w:sz w:val="22"/>
              </w:rPr>
              <w:t xml:space="preserve">Paaugstinātā likme </w:t>
            </w:r>
          </w:p>
        </w:tc>
      </w:tr>
      <w:tr w:rsidR="00FE1E37" w:rsidRPr="00E10A72" w14:paraId="6BE156EE" w14:textId="77777777" w:rsidTr="00FE1E37">
        <w:tc>
          <w:tcPr>
            <w:tcW w:w="4282" w:type="dxa"/>
            <w:vMerge/>
            <w:tcBorders>
              <w:top w:val="single" w:sz="4" w:space="0" w:color="FFFFFF" w:themeColor="background1"/>
              <w:right w:val="single" w:sz="4" w:space="0" w:color="FFFFFF" w:themeColor="background1"/>
            </w:tcBorders>
            <w:shd w:val="clear" w:color="auto" w:fill="002060"/>
          </w:tcPr>
          <w:p w14:paraId="0B3CBB8B" w14:textId="77777777" w:rsidR="00FE1E37" w:rsidRPr="00E10A72" w:rsidRDefault="00FE1E37" w:rsidP="00C0245D">
            <w:pPr>
              <w:rPr>
                <w:b/>
                <w:color w:val="FFFFFF" w:themeColor="background1"/>
                <w:sz w:val="22"/>
              </w:rPr>
            </w:pPr>
          </w:p>
        </w:tc>
        <w:tc>
          <w:tcPr>
            <w:tcW w:w="1134" w:type="dxa"/>
            <w:vMerge/>
            <w:tcBorders>
              <w:top w:val="single" w:sz="4" w:space="0" w:color="FFFFFF" w:themeColor="background1"/>
              <w:left w:val="single" w:sz="4" w:space="0" w:color="FFFFFF" w:themeColor="background1"/>
              <w:right w:val="single" w:sz="4" w:space="0" w:color="FFFFFF" w:themeColor="background1"/>
            </w:tcBorders>
            <w:shd w:val="clear" w:color="auto" w:fill="002060"/>
          </w:tcPr>
          <w:p w14:paraId="33F38BE1" w14:textId="77777777" w:rsidR="00FE1E37" w:rsidRPr="00E10A72" w:rsidRDefault="00FE1E37" w:rsidP="00C0245D">
            <w:pPr>
              <w:jc w:val="center"/>
              <w:rPr>
                <w:b/>
                <w:color w:val="FFFFFF" w:themeColor="background1"/>
                <w:sz w:val="22"/>
              </w:rPr>
            </w:pP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2149FC0D" w14:textId="77777777" w:rsidR="00FE1E37" w:rsidRPr="00E10A72" w:rsidRDefault="00FE1E37" w:rsidP="00C0245D">
            <w:pPr>
              <w:jc w:val="center"/>
              <w:rPr>
                <w:b/>
                <w:color w:val="FFFFFF" w:themeColor="background1"/>
                <w:sz w:val="22"/>
              </w:rPr>
            </w:pPr>
            <w:r>
              <w:rPr>
                <w:b/>
                <w:color w:val="FFFFFF" w:themeColor="background1"/>
                <w:sz w:val="22"/>
              </w:rPr>
              <w:t>2021</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2E5732E0" w14:textId="77777777" w:rsidR="00FE1E37" w:rsidRPr="00E10A72" w:rsidRDefault="00FE1E37" w:rsidP="00C0245D">
            <w:pPr>
              <w:jc w:val="center"/>
              <w:rPr>
                <w:b/>
                <w:color w:val="FFFFFF" w:themeColor="background1"/>
                <w:sz w:val="22"/>
              </w:rPr>
            </w:pPr>
            <w:r w:rsidRPr="00E10A72">
              <w:rPr>
                <w:b/>
                <w:color w:val="FFFFFF" w:themeColor="background1"/>
                <w:sz w:val="22"/>
              </w:rPr>
              <w:t>2022</w:t>
            </w:r>
          </w:p>
        </w:tc>
        <w:tc>
          <w:tcPr>
            <w:tcW w:w="851" w:type="dxa"/>
            <w:tcBorders>
              <w:top w:val="single" w:sz="4" w:space="0" w:color="FFFFFF" w:themeColor="background1"/>
              <w:left w:val="single" w:sz="4" w:space="0" w:color="FFFFFF" w:themeColor="background1"/>
            </w:tcBorders>
            <w:shd w:val="clear" w:color="auto" w:fill="002060"/>
          </w:tcPr>
          <w:p w14:paraId="62477F09" w14:textId="77777777" w:rsidR="00FE1E37" w:rsidRPr="00E10A72" w:rsidRDefault="00FE1E37" w:rsidP="00C0245D">
            <w:pPr>
              <w:jc w:val="center"/>
              <w:rPr>
                <w:b/>
                <w:color w:val="FFFFFF" w:themeColor="background1"/>
                <w:sz w:val="22"/>
              </w:rPr>
            </w:pPr>
            <w:r w:rsidRPr="00E10A72">
              <w:rPr>
                <w:b/>
                <w:color w:val="FFFFFF" w:themeColor="background1"/>
                <w:sz w:val="22"/>
              </w:rPr>
              <w:t>2023</w:t>
            </w:r>
          </w:p>
        </w:tc>
      </w:tr>
      <w:tr w:rsidR="00FE1E37" w:rsidRPr="00A35C05" w14:paraId="27DC4A0D" w14:textId="77777777" w:rsidTr="00FE1E37">
        <w:trPr>
          <w:trHeight w:val="325"/>
        </w:trPr>
        <w:tc>
          <w:tcPr>
            <w:tcW w:w="4282" w:type="dxa"/>
            <w:tcBorders>
              <w:bottom w:val="single" w:sz="4" w:space="0" w:color="auto"/>
            </w:tcBorders>
            <w:shd w:val="clear" w:color="auto" w:fill="auto"/>
          </w:tcPr>
          <w:p w14:paraId="3ED0E06C" w14:textId="77777777" w:rsidR="00FE1E37" w:rsidRPr="00A35C05" w:rsidRDefault="00FE1E37" w:rsidP="00FE1E37">
            <w:pPr>
              <w:rPr>
                <w:sz w:val="22"/>
              </w:rPr>
            </w:pPr>
            <w:r w:rsidRPr="00FE1E37">
              <w:rPr>
                <w:sz w:val="22"/>
              </w:rPr>
              <w:t xml:space="preserve">Fiksētais nodokļa maksājums </w:t>
            </w:r>
            <w:r>
              <w:rPr>
                <w:sz w:val="22"/>
              </w:rPr>
              <w:t>par C kategorijas piesārņojošu darbību,</w:t>
            </w:r>
            <w:r w:rsidRPr="0008134A">
              <w:rPr>
                <w:i/>
                <w:sz w:val="22"/>
              </w:rPr>
              <w:t xml:space="preserve"> euro </w:t>
            </w:r>
          </w:p>
        </w:tc>
        <w:tc>
          <w:tcPr>
            <w:tcW w:w="1134" w:type="dxa"/>
            <w:tcBorders>
              <w:bottom w:val="single" w:sz="4" w:space="0" w:color="auto"/>
            </w:tcBorders>
            <w:shd w:val="clear" w:color="auto" w:fill="BFBFBF" w:themeFill="background1" w:themeFillShade="BF"/>
            <w:vAlign w:val="center"/>
          </w:tcPr>
          <w:p w14:paraId="6E3E61BA" w14:textId="77777777" w:rsidR="00FE1E37" w:rsidRPr="00FE1E37" w:rsidRDefault="00FE1E37" w:rsidP="00C0245D">
            <w:pPr>
              <w:jc w:val="center"/>
              <w:rPr>
                <w:b/>
                <w:sz w:val="22"/>
              </w:rPr>
            </w:pPr>
            <w:r w:rsidRPr="00FE1E37">
              <w:rPr>
                <w:b/>
                <w:sz w:val="22"/>
              </w:rPr>
              <w:t>71,14</w:t>
            </w:r>
          </w:p>
        </w:tc>
        <w:tc>
          <w:tcPr>
            <w:tcW w:w="1134" w:type="dxa"/>
            <w:tcBorders>
              <w:bottom w:val="single" w:sz="4" w:space="0" w:color="auto"/>
            </w:tcBorders>
            <w:shd w:val="clear" w:color="auto" w:fill="auto"/>
            <w:vAlign w:val="center"/>
          </w:tcPr>
          <w:p w14:paraId="6A381C3F" w14:textId="77777777" w:rsidR="00FE1E37" w:rsidRPr="00C0245D" w:rsidRDefault="00C0245D" w:rsidP="00C0245D">
            <w:pPr>
              <w:jc w:val="center"/>
              <w:rPr>
                <w:b/>
                <w:color w:val="FF0000"/>
                <w:sz w:val="22"/>
              </w:rPr>
            </w:pPr>
            <w:r w:rsidRPr="00C0245D">
              <w:rPr>
                <w:b/>
                <w:color w:val="FF0000"/>
                <w:sz w:val="22"/>
              </w:rPr>
              <w:t>178</w:t>
            </w:r>
          </w:p>
        </w:tc>
        <w:tc>
          <w:tcPr>
            <w:tcW w:w="992" w:type="dxa"/>
            <w:tcBorders>
              <w:bottom w:val="single" w:sz="4" w:space="0" w:color="auto"/>
            </w:tcBorders>
            <w:shd w:val="clear" w:color="auto" w:fill="auto"/>
            <w:vAlign w:val="center"/>
          </w:tcPr>
          <w:p w14:paraId="05A08A83" w14:textId="77777777" w:rsidR="00FE1E37" w:rsidRPr="00C0245D" w:rsidRDefault="00C0245D" w:rsidP="00C0245D">
            <w:pPr>
              <w:jc w:val="center"/>
              <w:rPr>
                <w:b/>
                <w:color w:val="FF0000"/>
                <w:sz w:val="22"/>
              </w:rPr>
            </w:pPr>
            <w:r w:rsidRPr="00C0245D">
              <w:rPr>
                <w:b/>
                <w:color w:val="FF0000"/>
                <w:sz w:val="22"/>
              </w:rPr>
              <w:t>200</w:t>
            </w:r>
          </w:p>
        </w:tc>
        <w:tc>
          <w:tcPr>
            <w:tcW w:w="851" w:type="dxa"/>
            <w:tcBorders>
              <w:bottom w:val="single" w:sz="4" w:space="0" w:color="auto"/>
            </w:tcBorders>
            <w:shd w:val="clear" w:color="auto" w:fill="auto"/>
            <w:vAlign w:val="center"/>
          </w:tcPr>
          <w:p w14:paraId="7AEE6D19" w14:textId="77777777" w:rsidR="00FE1E37" w:rsidRPr="00C0245D" w:rsidRDefault="00C0245D" w:rsidP="00C0245D">
            <w:pPr>
              <w:jc w:val="center"/>
              <w:rPr>
                <w:b/>
                <w:color w:val="FF0000"/>
                <w:sz w:val="22"/>
              </w:rPr>
            </w:pPr>
            <w:r w:rsidRPr="00C0245D">
              <w:rPr>
                <w:b/>
                <w:color w:val="FF0000"/>
                <w:sz w:val="22"/>
              </w:rPr>
              <w:t>250</w:t>
            </w:r>
          </w:p>
        </w:tc>
      </w:tr>
      <w:tr w:rsidR="00FE1E37" w:rsidRPr="00A35C05" w14:paraId="11055CC1" w14:textId="77777777" w:rsidTr="00FE1E37">
        <w:trPr>
          <w:trHeight w:val="274"/>
        </w:trPr>
        <w:tc>
          <w:tcPr>
            <w:tcW w:w="4282" w:type="dxa"/>
            <w:tcBorders>
              <w:bottom w:val="dotted" w:sz="4" w:space="0" w:color="auto"/>
            </w:tcBorders>
            <w:shd w:val="clear" w:color="auto" w:fill="FFE599" w:themeFill="accent4" w:themeFillTint="66"/>
          </w:tcPr>
          <w:p w14:paraId="491192D7" w14:textId="77777777" w:rsidR="00FE1E37" w:rsidRPr="00A35C05" w:rsidRDefault="00FE1E37" w:rsidP="00C0245D">
            <w:pPr>
              <w:rPr>
                <w:sz w:val="22"/>
              </w:rPr>
            </w:pPr>
            <w:r w:rsidRPr="0008134A">
              <w:rPr>
                <w:b/>
                <w:sz w:val="22"/>
              </w:rPr>
              <w:t>Fiskālā ietekme</w:t>
            </w:r>
            <w:r>
              <w:rPr>
                <w:b/>
                <w:sz w:val="22"/>
              </w:rPr>
              <w:t xml:space="preserve">, </w:t>
            </w:r>
            <w:r w:rsidRPr="0008134A">
              <w:rPr>
                <w:i/>
                <w:sz w:val="22"/>
              </w:rPr>
              <w:t>milj. euro</w:t>
            </w:r>
          </w:p>
        </w:tc>
        <w:tc>
          <w:tcPr>
            <w:tcW w:w="1134" w:type="dxa"/>
            <w:tcBorders>
              <w:bottom w:val="dotted" w:sz="4" w:space="0" w:color="auto"/>
            </w:tcBorders>
            <w:shd w:val="clear" w:color="auto" w:fill="BFBFBF" w:themeFill="background1" w:themeFillShade="BF"/>
          </w:tcPr>
          <w:p w14:paraId="423B0BD6" w14:textId="77777777" w:rsidR="00FE1E37" w:rsidRPr="00A35C05" w:rsidRDefault="00FE1E37" w:rsidP="00C0245D">
            <w:pPr>
              <w:jc w:val="center"/>
              <w:rPr>
                <w:sz w:val="22"/>
              </w:rPr>
            </w:pPr>
          </w:p>
        </w:tc>
        <w:tc>
          <w:tcPr>
            <w:tcW w:w="1134" w:type="dxa"/>
            <w:tcBorders>
              <w:bottom w:val="dotted" w:sz="4" w:space="0" w:color="auto"/>
            </w:tcBorders>
            <w:shd w:val="clear" w:color="auto" w:fill="FFE599" w:themeFill="accent4" w:themeFillTint="66"/>
            <w:vAlign w:val="center"/>
          </w:tcPr>
          <w:p w14:paraId="6E41E063" w14:textId="77777777" w:rsidR="00FE1E37" w:rsidRPr="004252E4" w:rsidRDefault="00E1375F" w:rsidP="00C0245D">
            <w:pPr>
              <w:jc w:val="center"/>
              <w:rPr>
                <w:b/>
                <w:color w:val="00B050"/>
                <w:sz w:val="22"/>
              </w:rPr>
            </w:pPr>
            <w:r w:rsidRPr="004252E4">
              <w:rPr>
                <w:b/>
                <w:color w:val="00B050"/>
                <w:sz w:val="22"/>
              </w:rPr>
              <w:t>+</w:t>
            </w:r>
            <w:r w:rsidR="00FE1E37" w:rsidRPr="004252E4">
              <w:rPr>
                <w:b/>
                <w:color w:val="00B050"/>
                <w:sz w:val="22"/>
              </w:rPr>
              <w:t>0,</w:t>
            </w:r>
            <w:r w:rsidR="00C0245D" w:rsidRPr="004252E4">
              <w:rPr>
                <w:b/>
                <w:color w:val="00B050"/>
                <w:sz w:val="22"/>
              </w:rPr>
              <w:t>161</w:t>
            </w:r>
          </w:p>
        </w:tc>
        <w:tc>
          <w:tcPr>
            <w:tcW w:w="992" w:type="dxa"/>
            <w:tcBorders>
              <w:bottom w:val="dotted" w:sz="4" w:space="0" w:color="auto"/>
            </w:tcBorders>
            <w:shd w:val="clear" w:color="auto" w:fill="FFE599" w:themeFill="accent4" w:themeFillTint="66"/>
            <w:vAlign w:val="center"/>
          </w:tcPr>
          <w:p w14:paraId="704A3963" w14:textId="77777777" w:rsidR="00FE1E37" w:rsidRPr="004252E4" w:rsidRDefault="00E1375F" w:rsidP="00C0245D">
            <w:pPr>
              <w:jc w:val="center"/>
              <w:rPr>
                <w:b/>
                <w:color w:val="00B050"/>
                <w:sz w:val="22"/>
              </w:rPr>
            </w:pPr>
            <w:r w:rsidRPr="004252E4">
              <w:rPr>
                <w:b/>
                <w:color w:val="00B050"/>
                <w:sz w:val="22"/>
              </w:rPr>
              <w:t>+</w:t>
            </w:r>
            <w:r w:rsidR="00FE1E37" w:rsidRPr="004252E4">
              <w:rPr>
                <w:b/>
                <w:color w:val="00B050"/>
                <w:sz w:val="22"/>
              </w:rPr>
              <w:t>0,</w:t>
            </w:r>
            <w:r w:rsidR="00C0245D" w:rsidRPr="004252E4">
              <w:rPr>
                <w:b/>
                <w:color w:val="00B050"/>
                <w:sz w:val="22"/>
              </w:rPr>
              <w:t>2</w:t>
            </w:r>
            <w:r w:rsidR="00FE1E37" w:rsidRPr="004252E4">
              <w:rPr>
                <w:b/>
                <w:color w:val="00B050"/>
                <w:sz w:val="22"/>
              </w:rPr>
              <w:t>6</w:t>
            </w:r>
            <w:r w:rsidR="00C0245D" w:rsidRPr="004252E4">
              <w:rPr>
                <w:b/>
                <w:color w:val="00B050"/>
                <w:sz w:val="22"/>
              </w:rPr>
              <w:t>8</w:t>
            </w:r>
          </w:p>
        </w:tc>
        <w:tc>
          <w:tcPr>
            <w:tcW w:w="851" w:type="dxa"/>
            <w:tcBorders>
              <w:bottom w:val="dotted" w:sz="4" w:space="0" w:color="auto"/>
            </w:tcBorders>
            <w:shd w:val="clear" w:color="auto" w:fill="FFE599" w:themeFill="accent4" w:themeFillTint="66"/>
            <w:vAlign w:val="center"/>
          </w:tcPr>
          <w:p w14:paraId="6A887BE1" w14:textId="77777777" w:rsidR="00FE1E37" w:rsidRPr="004252E4" w:rsidRDefault="00E1375F" w:rsidP="00C0245D">
            <w:pPr>
              <w:jc w:val="center"/>
              <w:rPr>
                <w:b/>
                <w:color w:val="00B050"/>
                <w:sz w:val="22"/>
              </w:rPr>
            </w:pPr>
            <w:r w:rsidRPr="004252E4">
              <w:rPr>
                <w:b/>
                <w:color w:val="00B050"/>
                <w:sz w:val="22"/>
              </w:rPr>
              <w:t>+</w:t>
            </w:r>
            <w:r w:rsidR="00FE1E37" w:rsidRPr="004252E4">
              <w:rPr>
                <w:b/>
                <w:color w:val="00B050"/>
                <w:sz w:val="22"/>
              </w:rPr>
              <w:t>0,</w:t>
            </w:r>
            <w:r w:rsidR="00C0245D" w:rsidRPr="004252E4">
              <w:rPr>
                <w:b/>
                <w:color w:val="00B050"/>
                <w:sz w:val="22"/>
              </w:rPr>
              <w:t>37</w:t>
            </w:r>
            <w:r w:rsidR="00FE1E37" w:rsidRPr="004252E4">
              <w:rPr>
                <w:b/>
                <w:color w:val="00B050"/>
                <w:sz w:val="22"/>
              </w:rPr>
              <w:t>2</w:t>
            </w:r>
          </w:p>
        </w:tc>
      </w:tr>
      <w:tr w:rsidR="00FE1E37" w:rsidRPr="00A35C05" w14:paraId="5D2CD0C6" w14:textId="77777777" w:rsidTr="00FE1E37">
        <w:trPr>
          <w:trHeight w:val="70"/>
        </w:trPr>
        <w:tc>
          <w:tcPr>
            <w:tcW w:w="4282" w:type="dxa"/>
            <w:tcBorders>
              <w:top w:val="dotted" w:sz="4" w:space="0" w:color="auto"/>
              <w:bottom w:val="dotted" w:sz="4" w:space="0" w:color="auto"/>
            </w:tcBorders>
            <w:shd w:val="clear" w:color="auto" w:fill="FFE599" w:themeFill="accent4" w:themeFillTint="66"/>
          </w:tcPr>
          <w:p w14:paraId="15C40ED0" w14:textId="77777777" w:rsidR="00FE1E37" w:rsidRPr="00F80F8E" w:rsidRDefault="00FE1E37" w:rsidP="000223DA">
            <w:pPr>
              <w:pStyle w:val="ListParagraph"/>
              <w:numPr>
                <w:ilvl w:val="0"/>
                <w:numId w:val="6"/>
              </w:numPr>
              <w:ind w:left="634" w:hanging="283"/>
              <w:jc w:val="left"/>
              <w:rPr>
                <w:i/>
                <w:sz w:val="20"/>
                <w:szCs w:val="20"/>
              </w:rPr>
            </w:pPr>
            <w:r w:rsidRPr="00F80F8E">
              <w:rPr>
                <w:i/>
                <w:sz w:val="20"/>
                <w:szCs w:val="20"/>
              </w:rPr>
              <w:t>valsts pamatbudžets</w:t>
            </w:r>
          </w:p>
        </w:tc>
        <w:tc>
          <w:tcPr>
            <w:tcW w:w="1134" w:type="dxa"/>
            <w:tcBorders>
              <w:top w:val="dotted" w:sz="4" w:space="0" w:color="auto"/>
              <w:bottom w:val="dotted" w:sz="4" w:space="0" w:color="auto"/>
            </w:tcBorders>
            <w:shd w:val="clear" w:color="auto" w:fill="BFBFBF" w:themeFill="background1" w:themeFillShade="BF"/>
          </w:tcPr>
          <w:p w14:paraId="1D790BF8" w14:textId="77777777" w:rsidR="00FE1E37" w:rsidRPr="00A35C05" w:rsidRDefault="00FE1E37" w:rsidP="00C0245D">
            <w:pPr>
              <w:jc w:val="center"/>
              <w:rPr>
                <w:sz w:val="20"/>
                <w:szCs w:val="20"/>
              </w:rPr>
            </w:pPr>
          </w:p>
        </w:tc>
        <w:tc>
          <w:tcPr>
            <w:tcW w:w="1134" w:type="dxa"/>
            <w:tcBorders>
              <w:top w:val="dotted" w:sz="4" w:space="0" w:color="auto"/>
              <w:bottom w:val="dotted" w:sz="4" w:space="0" w:color="auto"/>
            </w:tcBorders>
            <w:shd w:val="clear" w:color="auto" w:fill="FFE599" w:themeFill="accent4" w:themeFillTint="66"/>
            <w:vAlign w:val="center"/>
          </w:tcPr>
          <w:p w14:paraId="47CCEABB" w14:textId="77777777" w:rsidR="00FE1E37" w:rsidRPr="004252E4" w:rsidRDefault="00E1375F" w:rsidP="00C0245D">
            <w:pPr>
              <w:jc w:val="center"/>
              <w:rPr>
                <w:i/>
                <w:color w:val="00B050"/>
                <w:sz w:val="20"/>
                <w:szCs w:val="20"/>
              </w:rPr>
            </w:pPr>
            <w:r w:rsidRPr="004252E4">
              <w:rPr>
                <w:i/>
                <w:color w:val="00B050"/>
                <w:sz w:val="20"/>
                <w:szCs w:val="20"/>
              </w:rPr>
              <w:t>+</w:t>
            </w:r>
            <w:r w:rsidR="00FE1E37" w:rsidRPr="004252E4">
              <w:rPr>
                <w:i/>
                <w:color w:val="00B050"/>
                <w:sz w:val="20"/>
                <w:szCs w:val="20"/>
              </w:rPr>
              <w:t>0,</w:t>
            </w:r>
            <w:r w:rsidR="00C0245D" w:rsidRPr="004252E4">
              <w:rPr>
                <w:i/>
                <w:color w:val="00B050"/>
                <w:sz w:val="20"/>
                <w:szCs w:val="20"/>
              </w:rPr>
              <w:t>097</w:t>
            </w:r>
          </w:p>
        </w:tc>
        <w:tc>
          <w:tcPr>
            <w:tcW w:w="992" w:type="dxa"/>
            <w:tcBorders>
              <w:top w:val="dotted" w:sz="4" w:space="0" w:color="auto"/>
              <w:bottom w:val="dotted" w:sz="4" w:space="0" w:color="auto"/>
            </w:tcBorders>
            <w:shd w:val="clear" w:color="auto" w:fill="FFE599" w:themeFill="accent4" w:themeFillTint="66"/>
            <w:vAlign w:val="center"/>
          </w:tcPr>
          <w:p w14:paraId="1B55E645" w14:textId="77777777" w:rsidR="00FE1E37" w:rsidRPr="004252E4" w:rsidRDefault="00E1375F" w:rsidP="00C0245D">
            <w:pPr>
              <w:jc w:val="center"/>
              <w:rPr>
                <w:i/>
                <w:color w:val="00B050"/>
                <w:sz w:val="20"/>
                <w:szCs w:val="20"/>
              </w:rPr>
            </w:pPr>
            <w:r w:rsidRPr="004252E4">
              <w:rPr>
                <w:i/>
                <w:color w:val="00B050"/>
                <w:sz w:val="20"/>
                <w:szCs w:val="20"/>
              </w:rPr>
              <w:t>+</w:t>
            </w:r>
            <w:r w:rsidR="00FE1E37" w:rsidRPr="004252E4">
              <w:rPr>
                <w:i/>
                <w:color w:val="00B050"/>
                <w:sz w:val="20"/>
                <w:szCs w:val="20"/>
              </w:rPr>
              <w:t>0,</w:t>
            </w:r>
            <w:r w:rsidR="00C0245D" w:rsidRPr="004252E4">
              <w:rPr>
                <w:i/>
                <w:color w:val="00B050"/>
                <w:sz w:val="20"/>
                <w:szCs w:val="20"/>
              </w:rPr>
              <w:t>1</w:t>
            </w:r>
            <w:r w:rsidR="00FE1E37" w:rsidRPr="004252E4">
              <w:rPr>
                <w:i/>
                <w:color w:val="00B050"/>
                <w:sz w:val="20"/>
                <w:szCs w:val="20"/>
              </w:rPr>
              <w:t>6</w:t>
            </w:r>
            <w:r w:rsidR="00C0245D" w:rsidRPr="004252E4">
              <w:rPr>
                <w:i/>
                <w:color w:val="00B050"/>
                <w:sz w:val="20"/>
                <w:szCs w:val="20"/>
              </w:rPr>
              <w:t>1</w:t>
            </w:r>
          </w:p>
        </w:tc>
        <w:tc>
          <w:tcPr>
            <w:tcW w:w="851" w:type="dxa"/>
            <w:tcBorders>
              <w:top w:val="dotted" w:sz="4" w:space="0" w:color="auto"/>
              <w:bottom w:val="dotted" w:sz="4" w:space="0" w:color="auto"/>
            </w:tcBorders>
            <w:shd w:val="clear" w:color="auto" w:fill="FFE599" w:themeFill="accent4" w:themeFillTint="66"/>
            <w:vAlign w:val="center"/>
          </w:tcPr>
          <w:p w14:paraId="496FB2D7" w14:textId="77777777" w:rsidR="00FE1E37" w:rsidRPr="004252E4" w:rsidRDefault="00E1375F" w:rsidP="00C0245D">
            <w:pPr>
              <w:jc w:val="center"/>
              <w:rPr>
                <w:i/>
                <w:color w:val="00B050"/>
                <w:sz w:val="20"/>
                <w:szCs w:val="20"/>
              </w:rPr>
            </w:pPr>
            <w:r w:rsidRPr="004252E4">
              <w:rPr>
                <w:i/>
                <w:color w:val="00B050"/>
                <w:sz w:val="20"/>
                <w:szCs w:val="20"/>
              </w:rPr>
              <w:t>+</w:t>
            </w:r>
            <w:r w:rsidR="00FE1E37" w:rsidRPr="004252E4">
              <w:rPr>
                <w:i/>
                <w:color w:val="00B050"/>
                <w:sz w:val="20"/>
                <w:szCs w:val="20"/>
              </w:rPr>
              <w:t>0,</w:t>
            </w:r>
            <w:r w:rsidR="00C0245D" w:rsidRPr="004252E4">
              <w:rPr>
                <w:i/>
                <w:color w:val="00B050"/>
                <w:sz w:val="20"/>
                <w:szCs w:val="20"/>
              </w:rPr>
              <w:t>2</w:t>
            </w:r>
            <w:r w:rsidR="00FE1E37" w:rsidRPr="004252E4">
              <w:rPr>
                <w:i/>
                <w:color w:val="00B050"/>
                <w:sz w:val="20"/>
                <w:szCs w:val="20"/>
              </w:rPr>
              <w:t>2</w:t>
            </w:r>
            <w:r w:rsidR="00C0245D" w:rsidRPr="004252E4">
              <w:rPr>
                <w:i/>
                <w:color w:val="00B050"/>
                <w:sz w:val="20"/>
                <w:szCs w:val="20"/>
              </w:rPr>
              <w:t>3</w:t>
            </w:r>
          </w:p>
        </w:tc>
      </w:tr>
      <w:tr w:rsidR="00FE1E37" w:rsidRPr="00A35C05" w14:paraId="432B8DB0" w14:textId="77777777" w:rsidTr="00FE1E37">
        <w:trPr>
          <w:trHeight w:val="125"/>
        </w:trPr>
        <w:tc>
          <w:tcPr>
            <w:tcW w:w="4282" w:type="dxa"/>
            <w:tcBorders>
              <w:top w:val="dotted" w:sz="4" w:space="0" w:color="auto"/>
            </w:tcBorders>
            <w:shd w:val="clear" w:color="auto" w:fill="FFE599" w:themeFill="accent4" w:themeFillTint="66"/>
          </w:tcPr>
          <w:p w14:paraId="1B5220A3" w14:textId="77777777" w:rsidR="00FE1E37" w:rsidRPr="00F80F8E" w:rsidRDefault="00FE1E37" w:rsidP="000223DA">
            <w:pPr>
              <w:pStyle w:val="ListParagraph"/>
              <w:numPr>
                <w:ilvl w:val="0"/>
                <w:numId w:val="6"/>
              </w:numPr>
              <w:ind w:left="634" w:hanging="283"/>
              <w:jc w:val="left"/>
              <w:rPr>
                <w:i/>
                <w:sz w:val="20"/>
                <w:szCs w:val="20"/>
              </w:rPr>
            </w:pPr>
            <w:r w:rsidRPr="00F80F8E">
              <w:rPr>
                <w:i/>
                <w:sz w:val="20"/>
                <w:szCs w:val="20"/>
              </w:rPr>
              <w:t>pašvaldību budžeti</w:t>
            </w:r>
          </w:p>
        </w:tc>
        <w:tc>
          <w:tcPr>
            <w:tcW w:w="1134" w:type="dxa"/>
            <w:tcBorders>
              <w:top w:val="dotted" w:sz="4" w:space="0" w:color="auto"/>
            </w:tcBorders>
            <w:shd w:val="clear" w:color="auto" w:fill="BFBFBF" w:themeFill="background1" w:themeFillShade="BF"/>
          </w:tcPr>
          <w:p w14:paraId="38BAC57D" w14:textId="77777777" w:rsidR="00FE1E37" w:rsidRPr="00A35C05" w:rsidRDefault="00FE1E37" w:rsidP="00C0245D">
            <w:pPr>
              <w:jc w:val="center"/>
              <w:rPr>
                <w:sz w:val="20"/>
                <w:szCs w:val="20"/>
              </w:rPr>
            </w:pPr>
          </w:p>
        </w:tc>
        <w:tc>
          <w:tcPr>
            <w:tcW w:w="1134" w:type="dxa"/>
            <w:tcBorders>
              <w:top w:val="dotted" w:sz="4" w:space="0" w:color="auto"/>
            </w:tcBorders>
            <w:shd w:val="clear" w:color="auto" w:fill="FFE599" w:themeFill="accent4" w:themeFillTint="66"/>
          </w:tcPr>
          <w:p w14:paraId="70370FB1" w14:textId="77777777" w:rsidR="00FE1E37" w:rsidRPr="004252E4" w:rsidRDefault="00E1375F" w:rsidP="00C0245D">
            <w:pPr>
              <w:jc w:val="center"/>
              <w:rPr>
                <w:i/>
                <w:color w:val="00B050"/>
                <w:sz w:val="20"/>
                <w:szCs w:val="20"/>
              </w:rPr>
            </w:pPr>
            <w:r w:rsidRPr="004252E4">
              <w:rPr>
                <w:i/>
                <w:color w:val="00B050"/>
                <w:sz w:val="20"/>
                <w:szCs w:val="20"/>
              </w:rPr>
              <w:t>+</w:t>
            </w:r>
            <w:r w:rsidR="00FE1E37" w:rsidRPr="004252E4">
              <w:rPr>
                <w:i/>
                <w:color w:val="00B050"/>
                <w:sz w:val="20"/>
                <w:szCs w:val="20"/>
              </w:rPr>
              <w:t>0,</w:t>
            </w:r>
            <w:r w:rsidR="00C0245D" w:rsidRPr="004252E4">
              <w:rPr>
                <w:i/>
                <w:color w:val="00B050"/>
                <w:sz w:val="20"/>
                <w:szCs w:val="20"/>
              </w:rPr>
              <w:t>064</w:t>
            </w:r>
          </w:p>
        </w:tc>
        <w:tc>
          <w:tcPr>
            <w:tcW w:w="992" w:type="dxa"/>
            <w:tcBorders>
              <w:top w:val="dotted" w:sz="4" w:space="0" w:color="auto"/>
            </w:tcBorders>
            <w:shd w:val="clear" w:color="auto" w:fill="FFE599" w:themeFill="accent4" w:themeFillTint="66"/>
          </w:tcPr>
          <w:p w14:paraId="0B61FDDA" w14:textId="77777777" w:rsidR="00FE1E37" w:rsidRPr="004252E4" w:rsidRDefault="00E1375F" w:rsidP="00C0245D">
            <w:pPr>
              <w:jc w:val="center"/>
              <w:rPr>
                <w:i/>
                <w:color w:val="00B050"/>
                <w:sz w:val="20"/>
                <w:szCs w:val="20"/>
              </w:rPr>
            </w:pPr>
            <w:r w:rsidRPr="004252E4">
              <w:rPr>
                <w:i/>
                <w:color w:val="00B050"/>
                <w:sz w:val="20"/>
                <w:szCs w:val="20"/>
              </w:rPr>
              <w:t>+</w:t>
            </w:r>
            <w:r w:rsidR="00FE1E37" w:rsidRPr="004252E4">
              <w:rPr>
                <w:i/>
                <w:color w:val="00B050"/>
                <w:sz w:val="20"/>
                <w:szCs w:val="20"/>
              </w:rPr>
              <w:t>0,</w:t>
            </w:r>
            <w:r w:rsidR="00C0245D" w:rsidRPr="004252E4">
              <w:rPr>
                <w:i/>
                <w:color w:val="00B050"/>
                <w:sz w:val="20"/>
                <w:szCs w:val="20"/>
              </w:rPr>
              <w:t>107</w:t>
            </w:r>
          </w:p>
        </w:tc>
        <w:tc>
          <w:tcPr>
            <w:tcW w:w="851" w:type="dxa"/>
            <w:tcBorders>
              <w:top w:val="dotted" w:sz="4" w:space="0" w:color="auto"/>
            </w:tcBorders>
            <w:shd w:val="clear" w:color="auto" w:fill="FFE599" w:themeFill="accent4" w:themeFillTint="66"/>
          </w:tcPr>
          <w:p w14:paraId="4954541C" w14:textId="77777777" w:rsidR="00FE1E37" w:rsidRPr="004252E4" w:rsidRDefault="00E1375F" w:rsidP="00C0245D">
            <w:pPr>
              <w:jc w:val="center"/>
              <w:rPr>
                <w:i/>
                <w:color w:val="00B050"/>
                <w:sz w:val="20"/>
                <w:szCs w:val="20"/>
              </w:rPr>
            </w:pPr>
            <w:r w:rsidRPr="004252E4">
              <w:rPr>
                <w:i/>
                <w:color w:val="00B050"/>
                <w:sz w:val="20"/>
                <w:szCs w:val="20"/>
              </w:rPr>
              <w:t>+</w:t>
            </w:r>
            <w:r w:rsidR="00FE1E37" w:rsidRPr="004252E4">
              <w:rPr>
                <w:i/>
                <w:color w:val="00B050"/>
                <w:sz w:val="20"/>
                <w:szCs w:val="20"/>
              </w:rPr>
              <w:t>0,</w:t>
            </w:r>
            <w:r w:rsidR="00C0245D" w:rsidRPr="004252E4">
              <w:rPr>
                <w:i/>
                <w:color w:val="00B050"/>
                <w:sz w:val="20"/>
                <w:szCs w:val="20"/>
              </w:rPr>
              <w:t>149</w:t>
            </w:r>
            <w:r w:rsidR="00FE1E37" w:rsidRPr="004252E4">
              <w:rPr>
                <w:i/>
                <w:color w:val="00B050"/>
                <w:sz w:val="20"/>
                <w:szCs w:val="20"/>
              </w:rPr>
              <w:t xml:space="preserve"> </w:t>
            </w:r>
          </w:p>
        </w:tc>
      </w:tr>
    </w:tbl>
    <w:p w14:paraId="78E778C5" w14:textId="77777777" w:rsidR="00FE1E37" w:rsidRDefault="00FE1E37" w:rsidP="0008134A">
      <w:pPr>
        <w:ind w:left="426"/>
        <w:jc w:val="both"/>
        <w:rPr>
          <w:color w:val="FF0000"/>
          <w:szCs w:val="24"/>
        </w:rPr>
      </w:pPr>
    </w:p>
    <w:p w14:paraId="6311039E" w14:textId="77777777" w:rsidR="0008134A" w:rsidRDefault="0008134A" w:rsidP="000223DA">
      <w:pPr>
        <w:pStyle w:val="ListParagraph"/>
        <w:numPr>
          <w:ilvl w:val="0"/>
          <w:numId w:val="11"/>
        </w:numPr>
        <w:spacing w:after="120"/>
        <w:ind w:left="425" w:hanging="425"/>
        <w:rPr>
          <w:sz w:val="26"/>
          <w:szCs w:val="26"/>
        </w:rPr>
      </w:pPr>
      <w:r w:rsidRPr="00C0245D">
        <w:rPr>
          <w:b/>
          <w:sz w:val="26"/>
          <w:szCs w:val="26"/>
        </w:rPr>
        <w:t>paaugstināt DRN likmes</w:t>
      </w:r>
      <w:r w:rsidRPr="00C0245D">
        <w:rPr>
          <w:sz w:val="26"/>
          <w:szCs w:val="26"/>
        </w:rPr>
        <w:t xml:space="preserve"> </w:t>
      </w:r>
      <w:r w:rsidRPr="00C0245D">
        <w:rPr>
          <w:b/>
          <w:bCs/>
          <w:sz w:val="26"/>
          <w:szCs w:val="26"/>
        </w:rPr>
        <w:t>par emisijām gaisā</w:t>
      </w:r>
      <w:r w:rsidRPr="00C0245D">
        <w:rPr>
          <w:sz w:val="26"/>
          <w:szCs w:val="26"/>
        </w:rPr>
        <w:t xml:space="preserve"> (PM</w:t>
      </w:r>
      <w:r w:rsidRPr="00C0245D">
        <w:rPr>
          <w:sz w:val="26"/>
          <w:szCs w:val="26"/>
          <w:vertAlign w:val="subscript"/>
        </w:rPr>
        <w:t>10</w:t>
      </w:r>
      <w:r w:rsidRPr="00C0245D">
        <w:rPr>
          <w:sz w:val="26"/>
          <w:szCs w:val="26"/>
        </w:rPr>
        <w:t xml:space="preserve">, NH3 un NOx) </w:t>
      </w:r>
    </w:p>
    <w:p w14:paraId="1EC4AD86" w14:textId="77777777" w:rsidR="0008134A" w:rsidRDefault="0008134A" w:rsidP="0008134A">
      <w:pPr>
        <w:ind w:left="426"/>
        <w:jc w:val="both"/>
        <w:rPr>
          <w:sz w:val="26"/>
          <w:szCs w:val="26"/>
        </w:rPr>
      </w:pPr>
      <w:r w:rsidRPr="00C0245D">
        <w:rPr>
          <w:sz w:val="26"/>
          <w:szCs w:val="26"/>
        </w:rPr>
        <w:t>Pētījumā “Dabas resursu nodokļa likmju piemērošanas efektivitātes izvērtēšana” (SIA “Ernst &amp; Young Baltic”, 2019.) tika izvērtēta DRN likmju par gaisa piesārņošanu efektivitāte un izstrādāti priekšlikumi nepieciešamajām likmju izmaiņām, ievērojot piesārņojošo vielu emisiju prognozes un emisiju samazināšanas mērķus 2030.gadam.</w:t>
      </w:r>
    </w:p>
    <w:p w14:paraId="7A41C172" w14:textId="77777777" w:rsidR="00C0245D" w:rsidRDefault="00C0245D" w:rsidP="0008134A">
      <w:pPr>
        <w:ind w:left="426"/>
        <w:jc w:val="both"/>
        <w:rPr>
          <w:sz w:val="26"/>
          <w:szCs w:val="26"/>
        </w:rPr>
      </w:pPr>
    </w:p>
    <w:p w14:paraId="47A73577" w14:textId="77777777" w:rsidR="00C0245D" w:rsidRPr="00FE1E37" w:rsidRDefault="00C0245D" w:rsidP="00C0245D">
      <w:pPr>
        <w:spacing w:after="120"/>
        <w:jc w:val="center"/>
        <w:rPr>
          <w:b/>
          <w:szCs w:val="24"/>
        </w:rPr>
      </w:pPr>
      <w:r w:rsidRPr="0008134A">
        <w:rPr>
          <w:szCs w:val="24"/>
        </w:rPr>
        <w:t>2</w:t>
      </w:r>
      <w:r w:rsidR="006C5A20">
        <w:rPr>
          <w:szCs w:val="24"/>
        </w:rPr>
        <w:t>7</w:t>
      </w:r>
      <w:r w:rsidRPr="0008134A">
        <w:rPr>
          <w:szCs w:val="24"/>
        </w:rPr>
        <w:t>.tab.</w:t>
      </w:r>
      <w:r w:rsidRPr="0008134A">
        <w:rPr>
          <w:b/>
          <w:szCs w:val="24"/>
        </w:rPr>
        <w:t xml:space="preserve"> </w:t>
      </w:r>
      <w:r w:rsidRPr="00C0245D">
        <w:rPr>
          <w:b/>
          <w:szCs w:val="24"/>
        </w:rPr>
        <w:t>DRN likmes</w:t>
      </w:r>
      <w:r w:rsidRPr="00C0245D">
        <w:rPr>
          <w:szCs w:val="24"/>
        </w:rPr>
        <w:t xml:space="preserve"> </w:t>
      </w:r>
      <w:r w:rsidRPr="00C0245D">
        <w:rPr>
          <w:b/>
          <w:bCs/>
          <w:szCs w:val="24"/>
        </w:rPr>
        <w:t>par emisijām gaisā</w:t>
      </w:r>
      <w:r w:rsidR="00386F96">
        <w:rPr>
          <w:b/>
          <w:szCs w:val="24"/>
        </w:rPr>
        <w:t xml:space="preserve"> paaugstināšana</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34"/>
        <w:gridCol w:w="1134"/>
        <w:gridCol w:w="992"/>
        <w:gridCol w:w="851"/>
      </w:tblGrid>
      <w:tr w:rsidR="00C0245D" w:rsidRPr="00E10A72" w14:paraId="571E7BEA" w14:textId="77777777" w:rsidTr="00C0245D">
        <w:trPr>
          <w:trHeight w:val="429"/>
        </w:trPr>
        <w:tc>
          <w:tcPr>
            <w:tcW w:w="4282" w:type="dxa"/>
            <w:vMerge w:val="restart"/>
            <w:tcBorders>
              <w:bottom w:val="single" w:sz="4" w:space="0" w:color="FFFFFF" w:themeColor="background1"/>
              <w:right w:val="single" w:sz="4" w:space="0" w:color="FFFFFF" w:themeColor="background1"/>
            </w:tcBorders>
            <w:shd w:val="clear" w:color="auto" w:fill="002060"/>
          </w:tcPr>
          <w:p w14:paraId="74BAE43A" w14:textId="77777777" w:rsidR="00C0245D" w:rsidRPr="00E10A72" w:rsidRDefault="00C0245D" w:rsidP="00C0245D">
            <w:pPr>
              <w:rPr>
                <w:b/>
                <w:color w:val="FFFFFF" w:themeColor="background1"/>
                <w:sz w:val="22"/>
              </w:rPr>
            </w:pPr>
          </w:p>
        </w:tc>
        <w:tc>
          <w:tcPr>
            <w:tcW w:w="1134"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2060"/>
          </w:tcPr>
          <w:p w14:paraId="40D288A5" w14:textId="77777777" w:rsidR="00C0245D" w:rsidRPr="00E10A72" w:rsidRDefault="00C0245D" w:rsidP="00C0245D">
            <w:pPr>
              <w:jc w:val="center"/>
              <w:rPr>
                <w:b/>
                <w:color w:val="FFFFFF" w:themeColor="background1"/>
                <w:sz w:val="22"/>
              </w:rPr>
            </w:pPr>
            <w:r w:rsidRPr="00E10A72">
              <w:rPr>
                <w:b/>
                <w:color w:val="FFFFFF" w:themeColor="background1"/>
                <w:sz w:val="22"/>
              </w:rPr>
              <w:t xml:space="preserve">Esošā likme </w:t>
            </w:r>
          </w:p>
        </w:tc>
        <w:tc>
          <w:tcPr>
            <w:tcW w:w="2977" w:type="dxa"/>
            <w:gridSpan w:val="3"/>
            <w:tcBorders>
              <w:left w:val="single" w:sz="4" w:space="0" w:color="FFFFFF" w:themeColor="background1"/>
              <w:bottom w:val="single" w:sz="4" w:space="0" w:color="FFFFFF" w:themeColor="background1"/>
            </w:tcBorders>
            <w:shd w:val="clear" w:color="auto" w:fill="002060"/>
          </w:tcPr>
          <w:p w14:paraId="67D0FA48" w14:textId="77777777" w:rsidR="00C0245D" w:rsidRPr="00E10A72" w:rsidRDefault="00C0245D" w:rsidP="008C635B">
            <w:pPr>
              <w:jc w:val="center"/>
              <w:rPr>
                <w:b/>
                <w:color w:val="FFFFFF" w:themeColor="background1"/>
                <w:sz w:val="22"/>
              </w:rPr>
            </w:pPr>
            <w:r w:rsidRPr="00E10A72">
              <w:rPr>
                <w:b/>
                <w:color w:val="FFFFFF" w:themeColor="background1"/>
                <w:sz w:val="22"/>
              </w:rPr>
              <w:t xml:space="preserve">Paaugstinātā likme </w:t>
            </w:r>
          </w:p>
        </w:tc>
      </w:tr>
      <w:tr w:rsidR="00C0245D" w:rsidRPr="00E10A72" w14:paraId="6A8E0A59" w14:textId="77777777" w:rsidTr="00C0245D">
        <w:tc>
          <w:tcPr>
            <w:tcW w:w="4282" w:type="dxa"/>
            <w:vMerge/>
            <w:tcBorders>
              <w:top w:val="single" w:sz="4" w:space="0" w:color="FFFFFF" w:themeColor="background1"/>
              <w:right w:val="single" w:sz="4" w:space="0" w:color="FFFFFF" w:themeColor="background1"/>
            </w:tcBorders>
            <w:shd w:val="clear" w:color="auto" w:fill="002060"/>
          </w:tcPr>
          <w:p w14:paraId="47849F17" w14:textId="77777777" w:rsidR="00C0245D" w:rsidRPr="00E10A72" w:rsidRDefault="00C0245D" w:rsidP="00C0245D">
            <w:pPr>
              <w:rPr>
                <w:b/>
                <w:color w:val="FFFFFF" w:themeColor="background1"/>
                <w:sz w:val="22"/>
              </w:rPr>
            </w:pPr>
          </w:p>
        </w:tc>
        <w:tc>
          <w:tcPr>
            <w:tcW w:w="1134" w:type="dxa"/>
            <w:vMerge/>
            <w:tcBorders>
              <w:top w:val="single" w:sz="4" w:space="0" w:color="FFFFFF" w:themeColor="background1"/>
              <w:left w:val="single" w:sz="4" w:space="0" w:color="FFFFFF" w:themeColor="background1"/>
              <w:right w:val="single" w:sz="4" w:space="0" w:color="FFFFFF" w:themeColor="background1"/>
            </w:tcBorders>
            <w:shd w:val="clear" w:color="auto" w:fill="002060"/>
          </w:tcPr>
          <w:p w14:paraId="45D82273" w14:textId="77777777" w:rsidR="00C0245D" w:rsidRPr="00E10A72" w:rsidRDefault="00C0245D" w:rsidP="00C0245D">
            <w:pPr>
              <w:jc w:val="center"/>
              <w:rPr>
                <w:b/>
                <w:color w:val="FFFFFF" w:themeColor="background1"/>
                <w:sz w:val="22"/>
              </w:rPr>
            </w:pP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0FAE819A" w14:textId="77777777" w:rsidR="00C0245D" w:rsidRPr="00E10A72" w:rsidRDefault="00C0245D" w:rsidP="00C0245D">
            <w:pPr>
              <w:jc w:val="center"/>
              <w:rPr>
                <w:b/>
                <w:color w:val="FFFFFF" w:themeColor="background1"/>
                <w:sz w:val="22"/>
              </w:rPr>
            </w:pPr>
            <w:r>
              <w:rPr>
                <w:b/>
                <w:color w:val="FFFFFF" w:themeColor="background1"/>
                <w:sz w:val="22"/>
              </w:rPr>
              <w:t>2021</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34AEB308" w14:textId="77777777" w:rsidR="00C0245D" w:rsidRPr="00E10A72" w:rsidRDefault="00C0245D" w:rsidP="00C0245D">
            <w:pPr>
              <w:jc w:val="center"/>
              <w:rPr>
                <w:b/>
                <w:color w:val="FFFFFF" w:themeColor="background1"/>
                <w:sz w:val="22"/>
              </w:rPr>
            </w:pPr>
            <w:r w:rsidRPr="00E10A72">
              <w:rPr>
                <w:b/>
                <w:color w:val="FFFFFF" w:themeColor="background1"/>
                <w:sz w:val="22"/>
              </w:rPr>
              <w:t>2022</w:t>
            </w:r>
          </w:p>
        </w:tc>
        <w:tc>
          <w:tcPr>
            <w:tcW w:w="851" w:type="dxa"/>
            <w:tcBorders>
              <w:top w:val="single" w:sz="4" w:space="0" w:color="FFFFFF" w:themeColor="background1"/>
              <w:left w:val="single" w:sz="4" w:space="0" w:color="FFFFFF" w:themeColor="background1"/>
            </w:tcBorders>
            <w:shd w:val="clear" w:color="auto" w:fill="002060"/>
          </w:tcPr>
          <w:p w14:paraId="2D171BB0" w14:textId="77777777" w:rsidR="00C0245D" w:rsidRPr="00E10A72" w:rsidRDefault="00C0245D" w:rsidP="00C0245D">
            <w:pPr>
              <w:jc w:val="center"/>
              <w:rPr>
                <w:b/>
                <w:color w:val="FFFFFF" w:themeColor="background1"/>
                <w:sz w:val="22"/>
              </w:rPr>
            </w:pPr>
            <w:r w:rsidRPr="00E10A72">
              <w:rPr>
                <w:b/>
                <w:color w:val="FFFFFF" w:themeColor="background1"/>
                <w:sz w:val="22"/>
              </w:rPr>
              <w:t>2023</w:t>
            </w:r>
          </w:p>
        </w:tc>
      </w:tr>
      <w:tr w:rsidR="00C0245D" w:rsidRPr="00A35C05" w14:paraId="36EA5700" w14:textId="77777777" w:rsidTr="00C0245D">
        <w:trPr>
          <w:trHeight w:val="325"/>
        </w:trPr>
        <w:tc>
          <w:tcPr>
            <w:tcW w:w="4282" w:type="dxa"/>
            <w:tcBorders>
              <w:bottom w:val="single" w:sz="4" w:space="0" w:color="auto"/>
            </w:tcBorders>
            <w:shd w:val="clear" w:color="auto" w:fill="auto"/>
          </w:tcPr>
          <w:p w14:paraId="662FE93F" w14:textId="77777777" w:rsidR="00C0245D" w:rsidRPr="00A35C05" w:rsidRDefault="00C0245D" w:rsidP="00C0245D">
            <w:pPr>
              <w:rPr>
                <w:sz w:val="22"/>
              </w:rPr>
            </w:pPr>
            <w:r w:rsidRPr="00C0245D">
              <w:rPr>
                <w:sz w:val="22"/>
              </w:rPr>
              <w:t>Daļiņas PM</w:t>
            </w:r>
            <w:r w:rsidRPr="00C0245D">
              <w:rPr>
                <w:sz w:val="22"/>
                <w:vertAlign w:val="subscript"/>
              </w:rPr>
              <w:t>10</w:t>
            </w:r>
            <w:r>
              <w:rPr>
                <w:sz w:val="22"/>
              </w:rPr>
              <w:t>,</w:t>
            </w:r>
            <w:r w:rsidRPr="0008134A">
              <w:rPr>
                <w:i/>
                <w:sz w:val="22"/>
              </w:rPr>
              <w:t xml:space="preserve"> euro </w:t>
            </w:r>
            <w:r>
              <w:rPr>
                <w:i/>
                <w:sz w:val="22"/>
              </w:rPr>
              <w:t>par tonnu</w:t>
            </w:r>
          </w:p>
        </w:tc>
        <w:tc>
          <w:tcPr>
            <w:tcW w:w="1134" w:type="dxa"/>
            <w:tcBorders>
              <w:bottom w:val="single" w:sz="4" w:space="0" w:color="auto"/>
            </w:tcBorders>
            <w:shd w:val="clear" w:color="auto" w:fill="BFBFBF" w:themeFill="background1" w:themeFillShade="BF"/>
            <w:vAlign w:val="center"/>
          </w:tcPr>
          <w:p w14:paraId="57140BD3" w14:textId="77777777" w:rsidR="00C0245D" w:rsidRPr="00C0245D" w:rsidRDefault="00C0245D" w:rsidP="00C0245D">
            <w:pPr>
              <w:jc w:val="center"/>
              <w:rPr>
                <w:b/>
                <w:sz w:val="22"/>
              </w:rPr>
            </w:pPr>
            <w:r w:rsidRPr="00C0245D">
              <w:rPr>
                <w:b/>
                <w:sz w:val="22"/>
              </w:rPr>
              <w:t>75,00</w:t>
            </w:r>
          </w:p>
        </w:tc>
        <w:tc>
          <w:tcPr>
            <w:tcW w:w="1134" w:type="dxa"/>
            <w:tcBorders>
              <w:bottom w:val="single" w:sz="4" w:space="0" w:color="auto"/>
            </w:tcBorders>
            <w:shd w:val="clear" w:color="auto" w:fill="auto"/>
            <w:vAlign w:val="center"/>
          </w:tcPr>
          <w:p w14:paraId="371673BF" w14:textId="77777777" w:rsidR="00C0245D" w:rsidRPr="00C0245D" w:rsidRDefault="00C0245D" w:rsidP="00C0245D">
            <w:pPr>
              <w:jc w:val="center"/>
              <w:rPr>
                <w:b/>
                <w:color w:val="FF0000"/>
                <w:sz w:val="22"/>
              </w:rPr>
            </w:pPr>
            <w:r w:rsidRPr="00C0245D">
              <w:rPr>
                <w:b/>
                <w:color w:val="FF0000"/>
                <w:sz w:val="22"/>
              </w:rPr>
              <w:t>105</w:t>
            </w:r>
          </w:p>
        </w:tc>
        <w:tc>
          <w:tcPr>
            <w:tcW w:w="992" w:type="dxa"/>
            <w:tcBorders>
              <w:bottom w:val="single" w:sz="4" w:space="0" w:color="auto"/>
            </w:tcBorders>
            <w:shd w:val="clear" w:color="auto" w:fill="auto"/>
            <w:vAlign w:val="center"/>
          </w:tcPr>
          <w:p w14:paraId="736334E9" w14:textId="77777777" w:rsidR="00C0245D" w:rsidRPr="00C0245D" w:rsidRDefault="00C0245D" w:rsidP="00C0245D">
            <w:pPr>
              <w:jc w:val="center"/>
              <w:rPr>
                <w:b/>
                <w:color w:val="FF0000"/>
                <w:sz w:val="22"/>
              </w:rPr>
            </w:pPr>
            <w:r w:rsidRPr="00C0245D">
              <w:rPr>
                <w:b/>
                <w:color w:val="FF0000"/>
                <w:sz w:val="22"/>
              </w:rPr>
              <w:t>120</w:t>
            </w:r>
          </w:p>
        </w:tc>
        <w:tc>
          <w:tcPr>
            <w:tcW w:w="851" w:type="dxa"/>
            <w:tcBorders>
              <w:bottom w:val="single" w:sz="4" w:space="0" w:color="auto"/>
            </w:tcBorders>
            <w:shd w:val="clear" w:color="auto" w:fill="auto"/>
            <w:vAlign w:val="center"/>
          </w:tcPr>
          <w:p w14:paraId="3FF1B645" w14:textId="77777777" w:rsidR="00C0245D" w:rsidRPr="00C0245D" w:rsidRDefault="00C0245D" w:rsidP="00C0245D">
            <w:pPr>
              <w:jc w:val="center"/>
              <w:rPr>
                <w:b/>
                <w:color w:val="FF0000"/>
                <w:sz w:val="22"/>
              </w:rPr>
            </w:pPr>
            <w:r w:rsidRPr="00C0245D">
              <w:rPr>
                <w:b/>
                <w:color w:val="FF0000"/>
                <w:sz w:val="22"/>
              </w:rPr>
              <w:t>135</w:t>
            </w:r>
          </w:p>
        </w:tc>
      </w:tr>
      <w:tr w:rsidR="00C0245D" w:rsidRPr="00A35C05" w14:paraId="341A4D96" w14:textId="77777777" w:rsidTr="00C0245D">
        <w:trPr>
          <w:trHeight w:val="274"/>
        </w:trPr>
        <w:tc>
          <w:tcPr>
            <w:tcW w:w="4282" w:type="dxa"/>
            <w:tcBorders>
              <w:bottom w:val="dotted" w:sz="4" w:space="0" w:color="auto"/>
            </w:tcBorders>
            <w:shd w:val="clear" w:color="auto" w:fill="FFE599" w:themeFill="accent4" w:themeFillTint="66"/>
          </w:tcPr>
          <w:p w14:paraId="57185DFC" w14:textId="77777777" w:rsidR="00C0245D" w:rsidRPr="00A35C05" w:rsidRDefault="00C0245D" w:rsidP="00C0245D">
            <w:pPr>
              <w:rPr>
                <w:sz w:val="22"/>
              </w:rPr>
            </w:pPr>
            <w:r w:rsidRPr="0008134A">
              <w:rPr>
                <w:b/>
                <w:sz w:val="22"/>
              </w:rPr>
              <w:t>Fiskālā ietekme</w:t>
            </w:r>
            <w:r>
              <w:rPr>
                <w:b/>
                <w:sz w:val="22"/>
              </w:rPr>
              <w:t xml:space="preserve">, </w:t>
            </w:r>
            <w:r w:rsidRPr="0008134A">
              <w:rPr>
                <w:i/>
                <w:sz w:val="22"/>
              </w:rPr>
              <w:t>milj. euro</w:t>
            </w:r>
          </w:p>
        </w:tc>
        <w:tc>
          <w:tcPr>
            <w:tcW w:w="1134" w:type="dxa"/>
            <w:tcBorders>
              <w:bottom w:val="dotted" w:sz="4" w:space="0" w:color="auto"/>
            </w:tcBorders>
            <w:shd w:val="clear" w:color="auto" w:fill="BFBFBF" w:themeFill="background1" w:themeFillShade="BF"/>
          </w:tcPr>
          <w:p w14:paraId="5CDA7538" w14:textId="77777777" w:rsidR="00C0245D" w:rsidRPr="00A35C05" w:rsidRDefault="00C0245D" w:rsidP="00C0245D">
            <w:pPr>
              <w:jc w:val="center"/>
              <w:rPr>
                <w:sz w:val="22"/>
              </w:rPr>
            </w:pPr>
          </w:p>
        </w:tc>
        <w:tc>
          <w:tcPr>
            <w:tcW w:w="1134" w:type="dxa"/>
            <w:tcBorders>
              <w:bottom w:val="dotted" w:sz="4" w:space="0" w:color="auto"/>
            </w:tcBorders>
            <w:shd w:val="clear" w:color="auto" w:fill="FFE599" w:themeFill="accent4" w:themeFillTint="66"/>
            <w:vAlign w:val="center"/>
          </w:tcPr>
          <w:p w14:paraId="43CFDC08" w14:textId="77777777" w:rsidR="00C0245D" w:rsidRPr="004252E4" w:rsidRDefault="00E1375F" w:rsidP="00C0245D">
            <w:pPr>
              <w:jc w:val="center"/>
              <w:rPr>
                <w:b/>
                <w:color w:val="00B050"/>
                <w:sz w:val="22"/>
              </w:rPr>
            </w:pPr>
            <w:r w:rsidRPr="004252E4">
              <w:rPr>
                <w:b/>
                <w:color w:val="00B050"/>
                <w:sz w:val="22"/>
              </w:rPr>
              <w:t>+</w:t>
            </w:r>
            <w:r w:rsidR="00C0245D" w:rsidRPr="004252E4">
              <w:rPr>
                <w:b/>
                <w:color w:val="00B050"/>
                <w:sz w:val="22"/>
              </w:rPr>
              <w:t>0,186</w:t>
            </w:r>
          </w:p>
        </w:tc>
        <w:tc>
          <w:tcPr>
            <w:tcW w:w="992" w:type="dxa"/>
            <w:tcBorders>
              <w:bottom w:val="dotted" w:sz="4" w:space="0" w:color="auto"/>
            </w:tcBorders>
            <w:shd w:val="clear" w:color="auto" w:fill="FFE599" w:themeFill="accent4" w:themeFillTint="66"/>
            <w:vAlign w:val="center"/>
          </w:tcPr>
          <w:p w14:paraId="1838EDF5" w14:textId="77777777" w:rsidR="00C0245D" w:rsidRPr="004252E4" w:rsidRDefault="00E1375F" w:rsidP="00C0245D">
            <w:pPr>
              <w:jc w:val="center"/>
              <w:rPr>
                <w:b/>
                <w:color w:val="00B050"/>
                <w:sz w:val="22"/>
              </w:rPr>
            </w:pPr>
            <w:r w:rsidRPr="004252E4">
              <w:rPr>
                <w:b/>
                <w:color w:val="00B050"/>
                <w:sz w:val="22"/>
              </w:rPr>
              <w:t>+</w:t>
            </w:r>
            <w:r w:rsidR="00C0245D" w:rsidRPr="004252E4">
              <w:rPr>
                <w:b/>
                <w:color w:val="00B050"/>
                <w:sz w:val="22"/>
              </w:rPr>
              <w:t>0,367</w:t>
            </w:r>
          </w:p>
        </w:tc>
        <w:tc>
          <w:tcPr>
            <w:tcW w:w="851" w:type="dxa"/>
            <w:tcBorders>
              <w:bottom w:val="dotted" w:sz="4" w:space="0" w:color="auto"/>
            </w:tcBorders>
            <w:shd w:val="clear" w:color="auto" w:fill="FFE599" w:themeFill="accent4" w:themeFillTint="66"/>
            <w:vAlign w:val="center"/>
          </w:tcPr>
          <w:p w14:paraId="5B0D9BAE" w14:textId="77777777" w:rsidR="00C0245D" w:rsidRPr="004252E4" w:rsidRDefault="00E1375F" w:rsidP="00C0245D">
            <w:pPr>
              <w:jc w:val="center"/>
              <w:rPr>
                <w:b/>
                <w:color w:val="00B050"/>
                <w:sz w:val="22"/>
              </w:rPr>
            </w:pPr>
            <w:r w:rsidRPr="004252E4">
              <w:rPr>
                <w:b/>
                <w:color w:val="00B050"/>
                <w:sz w:val="22"/>
              </w:rPr>
              <w:t>+</w:t>
            </w:r>
            <w:r w:rsidR="00C0245D" w:rsidRPr="004252E4">
              <w:rPr>
                <w:b/>
                <w:color w:val="00B050"/>
                <w:sz w:val="22"/>
              </w:rPr>
              <w:t>0,48</w:t>
            </w:r>
            <w:r w:rsidR="004C0FE3" w:rsidRPr="004252E4">
              <w:rPr>
                <w:b/>
                <w:color w:val="00B050"/>
                <w:sz w:val="22"/>
              </w:rPr>
              <w:t>9</w:t>
            </w:r>
          </w:p>
        </w:tc>
      </w:tr>
      <w:tr w:rsidR="00C0245D" w:rsidRPr="00A35C05" w14:paraId="147BB3A0" w14:textId="77777777" w:rsidTr="00C0245D">
        <w:trPr>
          <w:trHeight w:val="70"/>
        </w:trPr>
        <w:tc>
          <w:tcPr>
            <w:tcW w:w="4282" w:type="dxa"/>
            <w:tcBorders>
              <w:top w:val="dotted" w:sz="4" w:space="0" w:color="auto"/>
              <w:bottom w:val="dotted" w:sz="4" w:space="0" w:color="auto"/>
            </w:tcBorders>
            <w:shd w:val="clear" w:color="auto" w:fill="FFE599" w:themeFill="accent4" w:themeFillTint="66"/>
          </w:tcPr>
          <w:p w14:paraId="701F3221" w14:textId="77777777" w:rsidR="00C0245D" w:rsidRPr="00F80F8E" w:rsidRDefault="00C0245D" w:rsidP="000223DA">
            <w:pPr>
              <w:pStyle w:val="ListParagraph"/>
              <w:numPr>
                <w:ilvl w:val="0"/>
                <w:numId w:val="6"/>
              </w:numPr>
              <w:ind w:left="634" w:hanging="283"/>
              <w:jc w:val="left"/>
              <w:rPr>
                <w:i/>
                <w:sz w:val="20"/>
                <w:szCs w:val="20"/>
              </w:rPr>
            </w:pPr>
            <w:r w:rsidRPr="00F80F8E">
              <w:rPr>
                <w:i/>
                <w:sz w:val="20"/>
                <w:szCs w:val="20"/>
              </w:rPr>
              <w:t>valsts pamatbudžets</w:t>
            </w:r>
          </w:p>
        </w:tc>
        <w:tc>
          <w:tcPr>
            <w:tcW w:w="1134" w:type="dxa"/>
            <w:tcBorders>
              <w:top w:val="dotted" w:sz="4" w:space="0" w:color="auto"/>
              <w:bottom w:val="dotted" w:sz="4" w:space="0" w:color="auto"/>
            </w:tcBorders>
            <w:shd w:val="clear" w:color="auto" w:fill="BFBFBF" w:themeFill="background1" w:themeFillShade="BF"/>
          </w:tcPr>
          <w:p w14:paraId="77D3167E" w14:textId="77777777" w:rsidR="00C0245D" w:rsidRPr="00A35C05" w:rsidRDefault="00C0245D" w:rsidP="00C0245D">
            <w:pPr>
              <w:jc w:val="center"/>
              <w:rPr>
                <w:sz w:val="20"/>
                <w:szCs w:val="20"/>
              </w:rPr>
            </w:pPr>
          </w:p>
        </w:tc>
        <w:tc>
          <w:tcPr>
            <w:tcW w:w="1134" w:type="dxa"/>
            <w:tcBorders>
              <w:top w:val="dotted" w:sz="4" w:space="0" w:color="auto"/>
              <w:bottom w:val="dotted" w:sz="4" w:space="0" w:color="auto"/>
            </w:tcBorders>
            <w:shd w:val="clear" w:color="auto" w:fill="FFE599" w:themeFill="accent4" w:themeFillTint="66"/>
            <w:vAlign w:val="center"/>
          </w:tcPr>
          <w:p w14:paraId="7812DF60" w14:textId="77777777" w:rsidR="00C0245D" w:rsidRPr="004252E4" w:rsidRDefault="00E1375F" w:rsidP="00C0245D">
            <w:pPr>
              <w:jc w:val="center"/>
              <w:rPr>
                <w:i/>
                <w:color w:val="00B050"/>
                <w:sz w:val="20"/>
                <w:szCs w:val="20"/>
              </w:rPr>
            </w:pPr>
            <w:r w:rsidRPr="004252E4">
              <w:rPr>
                <w:i/>
                <w:color w:val="00B050"/>
                <w:sz w:val="20"/>
                <w:szCs w:val="20"/>
              </w:rPr>
              <w:t>+</w:t>
            </w:r>
            <w:r w:rsidR="00C0245D" w:rsidRPr="004252E4">
              <w:rPr>
                <w:i/>
                <w:color w:val="00B050"/>
                <w:sz w:val="20"/>
                <w:szCs w:val="20"/>
              </w:rPr>
              <w:t>0,112</w:t>
            </w:r>
          </w:p>
        </w:tc>
        <w:tc>
          <w:tcPr>
            <w:tcW w:w="992" w:type="dxa"/>
            <w:tcBorders>
              <w:top w:val="dotted" w:sz="4" w:space="0" w:color="auto"/>
              <w:bottom w:val="dotted" w:sz="4" w:space="0" w:color="auto"/>
            </w:tcBorders>
            <w:shd w:val="clear" w:color="auto" w:fill="FFE599" w:themeFill="accent4" w:themeFillTint="66"/>
            <w:vAlign w:val="center"/>
          </w:tcPr>
          <w:p w14:paraId="07104C9B" w14:textId="77777777" w:rsidR="00C0245D" w:rsidRPr="004252E4" w:rsidRDefault="00E1375F" w:rsidP="00C0245D">
            <w:pPr>
              <w:jc w:val="center"/>
              <w:rPr>
                <w:i/>
                <w:color w:val="00B050"/>
                <w:sz w:val="20"/>
                <w:szCs w:val="20"/>
              </w:rPr>
            </w:pPr>
            <w:r w:rsidRPr="004252E4">
              <w:rPr>
                <w:i/>
                <w:color w:val="00B050"/>
                <w:sz w:val="20"/>
                <w:szCs w:val="20"/>
              </w:rPr>
              <w:t>+</w:t>
            </w:r>
            <w:r w:rsidR="00C0245D" w:rsidRPr="004252E4">
              <w:rPr>
                <w:i/>
                <w:color w:val="00B050"/>
                <w:sz w:val="20"/>
                <w:szCs w:val="20"/>
              </w:rPr>
              <w:t>0,220</w:t>
            </w:r>
          </w:p>
        </w:tc>
        <w:tc>
          <w:tcPr>
            <w:tcW w:w="851" w:type="dxa"/>
            <w:tcBorders>
              <w:top w:val="dotted" w:sz="4" w:space="0" w:color="auto"/>
              <w:bottom w:val="dotted" w:sz="4" w:space="0" w:color="auto"/>
            </w:tcBorders>
            <w:shd w:val="clear" w:color="auto" w:fill="FFE599" w:themeFill="accent4" w:themeFillTint="66"/>
            <w:vAlign w:val="center"/>
          </w:tcPr>
          <w:p w14:paraId="17578AFC" w14:textId="77777777" w:rsidR="00C0245D" w:rsidRPr="004252E4" w:rsidRDefault="00E1375F" w:rsidP="00C0245D">
            <w:pPr>
              <w:jc w:val="center"/>
              <w:rPr>
                <w:i/>
                <w:color w:val="00B050"/>
                <w:sz w:val="20"/>
                <w:szCs w:val="20"/>
              </w:rPr>
            </w:pPr>
            <w:r w:rsidRPr="004252E4">
              <w:rPr>
                <w:i/>
                <w:color w:val="00B050"/>
                <w:sz w:val="20"/>
                <w:szCs w:val="20"/>
              </w:rPr>
              <w:t>+</w:t>
            </w:r>
            <w:r w:rsidR="00C0245D" w:rsidRPr="004252E4">
              <w:rPr>
                <w:i/>
                <w:color w:val="00B050"/>
                <w:sz w:val="20"/>
                <w:szCs w:val="20"/>
              </w:rPr>
              <w:t>0,293</w:t>
            </w:r>
          </w:p>
        </w:tc>
      </w:tr>
      <w:tr w:rsidR="00C0245D" w:rsidRPr="00A35C05" w14:paraId="0E1E50BE" w14:textId="77777777" w:rsidTr="00C0245D">
        <w:trPr>
          <w:trHeight w:val="125"/>
        </w:trPr>
        <w:tc>
          <w:tcPr>
            <w:tcW w:w="4282" w:type="dxa"/>
            <w:tcBorders>
              <w:top w:val="dotted" w:sz="4" w:space="0" w:color="auto"/>
              <w:bottom w:val="dotted" w:sz="4" w:space="0" w:color="auto"/>
            </w:tcBorders>
            <w:shd w:val="clear" w:color="auto" w:fill="FFE599" w:themeFill="accent4" w:themeFillTint="66"/>
          </w:tcPr>
          <w:p w14:paraId="68A6BEF0" w14:textId="77777777" w:rsidR="00C0245D" w:rsidRPr="00F80F8E" w:rsidRDefault="00C0245D" w:rsidP="000223DA">
            <w:pPr>
              <w:pStyle w:val="ListParagraph"/>
              <w:numPr>
                <w:ilvl w:val="0"/>
                <w:numId w:val="6"/>
              </w:numPr>
              <w:ind w:left="634" w:hanging="283"/>
              <w:jc w:val="left"/>
              <w:rPr>
                <w:i/>
                <w:sz w:val="20"/>
                <w:szCs w:val="20"/>
              </w:rPr>
            </w:pPr>
            <w:r w:rsidRPr="00F80F8E">
              <w:rPr>
                <w:i/>
                <w:sz w:val="20"/>
                <w:szCs w:val="20"/>
              </w:rPr>
              <w:t>pašvaldību budžeti</w:t>
            </w:r>
          </w:p>
        </w:tc>
        <w:tc>
          <w:tcPr>
            <w:tcW w:w="1134" w:type="dxa"/>
            <w:tcBorders>
              <w:top w:val="dotted" w:sz="4" w:space="0" w:color="auto"/>
              <w:bottom w:val="dotted" w:sz="4" w:space="0" w:color="auto"/>
            </w:tcBorders>
            <w:shd w:val="clear" w:color="auto" w:fill="BFBFBF" w:themeFill="background1" w:themeFillShade="BF"/>
          </w:tcPr>
          <w:p w14:paraId="5FF7F7C5" w14:textId="77777777" w:rsidR="00C0245D" w:rsidRPr="00A35C05" w:rsidRDefault="00C0245D" w:rsidP="00C0245D">
            <w:pPr>
              <w:jc w:val="center"/>
              <w:rPr>
                <w:sz w:val="20"/>
                <w:szCs w:val="20"/>
              </w:rPr>
            </w:pPr>
          </w:p>
        </w:tc>
        <w:tc>
          <w:tcPr>
            <w:tcW w:w="1134" w:type="dxa"/>
            <w:tcBorders>
              <w:top w:val="dotted" w:sz="4" w:space="0" w:color="auto"/>
              <w:bottom w:val="dotted" w:sz="4" w:space="0" w:color="auto"/>
            </w:tcBorders>
            <w:shd w:val="clear" w:color="auto" w:fill="FFE599" w:themeFill="accent4" w:themeFillTint="66"/>
          </w:tcPr>
          <w:p w14:paraId="46E920B3" w14:textId="77777777" w:rsidR="00C0245D" w:rsidRPr="004252E4" w:rsidRDefault="00E1375F" w:rsidP="00C0245D">
            <w:pPr>
              <w:jc w:val="center"/>
              <w:rPr>
                <w:i/>
                <w:color w:val="00B050"/>
                <w:sz w:val="20"/>
                <w:szCs w:val="20"/>
              </w:rPr>
            </w:pPr>
            <w:r w:rsidRPr="004252E4">
              <w:rPr>
                <w:i/>
                <w:color w:val="00B050"/>
                <w:sz w:val="20"/>
                <w:szCs w:val="20"/>
              </w:rPr>
              <w:t>+</w:t>
            </w:r>
            <w:r w:rsidR="00C0245D" w:rsidRPr="004252E4">
              <w:rPr>
                <w:i/>
                <w:color w:val="00B050"/>
                <w:sz w:val="20"/>
                <w:szCs w:val="20"/>
              </w:rPr>
              <w:t>0,074</w:t>
            </w:r>
          </w:p>
        </w:tc>
        <w:tc>
          <w:tcPr>
            <w:tcW w:w="992" w:type="dxa"/>
            <w:tcBorders>
              <w:top w:val="dotted" w:sz="4" w:space="0" w:color="auto"/>
              <w:bottom w:val="dotted" w:sz="4" w:space="0" w:color="auto"/>
            </w:tcBorders>
            <w:shd w:val="clear" w:color="auto" w:fill="FFE599" w:themeFill="accent4" w:themeFillTint="66"/>
          </w:tcPr>
          <w:p w14:paraId="78984E96" w14:textId="77777777" w:rsidR="00C0245D" w:rsidRPr="004252E4" w:rsidRDefault="00E1375F" w:rsidP="00C0245D">
            <w:pPr>
              <w:jc w:val="center"/>
              <w:rPr>
                <w:i/>
                <w:color w:val="00B050"/>
                <w:sz w:val="20"/>
                <w:szCs w:val="20"/>
              </w:rPr>
            </w:pPr>
            <w:r w:rsidRPr="004252E4">
              <w:rPr>
                <w:i/>
                <w:color w:val="00B050"/>
                <w:sz w:val="20"/>
                <w:szCs w:val="20"/>
              </w:rPr>
              <w:t>+</w:t>
            </w:r>
            <w:r w:rsidR="00C0245D" w:rsidRPr="004252E4">
              <w:rPr>
                <w:i/>
                <w:color w:val="00B050"/>
                <w:sz w:val="20"/>
                <w:szCs w:val="20"/>
              </w:rPr>
              <w:t>0,147</w:t>
            </w:r>
          </w:p>
        </w:tc>
        <w:tc>
          <w:tcPr>
            <w:tcW w:w="851" w:type="dxa"/>
            <w:tcBorders>
              <w:top w:val="dotted" w:sz="4" w:space="0" w:color="auto"/>
              <w:bottom w:val="dotted" w:sz="4" w:space="0" w:color="auto"/>
            </w:tcBorders>
            <w:shd w:val="clear" w:color="auto" w:fill="FFE599" w:themeFill="accent4" w:themeFillTint="66"/>
          </w:tcPr>
          <w:p w14:paraId="060BCF5A" w14:textId="77777777" w:rsidR="00C0245D" w:rsidRPr="004252E4" w:rsidRDefault="00E1375F" w:rsidP="00C0245D">
            <w:pPr>
              <w:jc w:val="center"/>
              <w:rPr>
                <w:i/>
                <w:color w:val="00B050"/>
                <w:sz w:val="20"/>
                <w:szCs w:val="20"/>
              </w:rPr>
            </w:pPr>
            <w:r w:rsidRPr="004252E4">
              <w:rPr>
                <w:i/>
                <w:color w:val="00B050"/>
                <w:sz w:val="20"/>
                <w:szCs w:val="20"/>
              </w:rPr>
              <w:t>+</w:t>
            </w:r>
            <w:r w:rsidR="00C0245D" w:rsidRPr="004252E4">
              <w:rPr>
                <w:i/>
                <w:color w:val="00B050"/>
                <w:sz w:val="20"/>
                <w:szCs w:val="20"/>
              </w:rPr>
              <w:t xml:space="preserve">0,195 </w:t>
            </w:r>
          </w:p>
        </w:tc>
      </w:tr>
      <w:tr w:rsidR="00C0245D" w:rsidRPr="00A35C05" w14:paraId="0D4CB16C" w14:textId="77777777" w:rsidTr="00C0245D">
        <w:trPr>
          <w:trHeight w:val="325"/>
        </w:trPr>
        <w:tc>
          <w:tcPr>
            <w:tcW w:w="4282" w:type="dxa"/>
            <w:tcBorders>
              <w:bottom w:val="single" w:sz="4" w:space="0" w:color="auto"/>
            </w:tcBorders>
            <w:shd w:val="clear" w:color="auto" w:fill="auto"/>
          </w:tcPr>
          <w:p w14:paraId="3C0C4079" w14:textId="77777777" w:rsidR="00C0245D" w:rsidRPr="00A35C05" w:rsidRDefault="00C0245D" w:rsidP="00C0245D">
            <w:pPr>
              <w:rPr>
                <w:sz w:val="22"/>
              </w:rPr>
            </w:pPr>
            <w:r w:rsidRPr="00C0245D">
              <w:rPr>
                <w:sz w:val="22"/>
              </w:rPr>
              <w:t>Amonjaks (NH</w:t>
            </w:r>
            <w:r w:rsidRPr="00C0245D">
              <w:rPr>
                <w:sz w:val="22"/>
                <w:vertAlign w:val="subscript"/>
              </w:rPr>
              <w:t>3</w:t>
            </w:r>
            <w:r w:rsidRPr="00C0245D">
              <w:rPr>
                <w:sz w:val="22"/>
              </w:rPr>
              <w:t>), sērūdeņradis (H</w:t>
            </w:r>
            <w:r w:rsidRPr="00C0245D">
              <w:rPr>
                <w:sz w:val="22"/>
                <w:vertAlign w:val="subscript"/>
              </w:rPr>
              <w:t>2</w:t>
            </w:r>
            <w:r w:rsidRPr="00C0245D">
              <w:rPr>
                <w:sz w:val="22"/>
              </w:rPr>
              <w:t>S) un pārējie neorganiskie savienojumi</w:t>
            </w:r>
            <w:r>
              <w:rPr>
                <w:sz w:val="22"/>
              </w:rPr>
              <w:t>,</w:t>
            </w:r>
            <w:r w:rsidRPr="0008134A">
              <w:rPr>
                <w:i/>
                <w:sz w:val="22"/>
              </w:rPr>
              <w:t xml:space="preserve"> euro </w:t>
            </w:r>
            <w:r>
              <w:rPr>
                <w:i/>
                <w:sz w:val="22"/>
              </w:rPr>
              <w:t>par tonnu</w:t>
            </w:r>
          </w:p>
        </w:tc>
        <w:tc>
          <w:tcPr>
            <w:tcW w:w="1134" w:type="dxa"/>
            <w:tcBorders>
              <w:bottom w:val="single" w:sz="4" w:space="0" w:color="auto"/>
            </w:tcBorders>
            <w:shd w:val="clear" w:color="auto" w:fill="BFBFBF" w:themeFill="background1" w:themeFillShade="BF"/>
            <w:vAlign w:val="center"/>
          </w:tcPr>
          <w:p w14:paraId="3D122551" w14:textId="77777777" w:rsidR="00C0245D" w:rsidRPr="00C0245D" w:rsidRDefault="00C0245D" w:rsidP="00C0245D">
            <w:pPr>
              <w:jc w:val="center"/>
              <w:rPr>
                <w:b/>
                <w:sz w:val="22"/>
              </w:rPr>
            </w:pPr>
            <w:r w:rsidRPr="00C0245D">
              <w:rPr>
                <w:b/>
                <w:sz w:val="22"/>
              </w:rPr>
              <w:t>18,50</w:t>
            </w:r>
          </w:p>
        </w:tc>
        <w:tc>
          <w:tcPr>
            <w:tcW w:w="1134" w:type="dxa"/>
            <w:tcBorders>
              <w:bottom w:val="single" w:sz="4" w:space="0" w:color="auto"/>
            </w:tcBorders>
            <w:shd w:val="clear" w:color="auto" w:fill="auto"/>
            <w:vAlign w:val="center"/>
          </w:tcPr>
          <w:p w14:paraId="7C2E7993" w14:textId="77777777" w:rsidR="00C0245D" w:rsidRPr="00C0245D" w:rsidRDefault="00C0245D" w:rsidP="00C0245D">
            <w:pPr>
              <w:jc w:val="center"/>
              <w:rPr>
                <w:b/>
                <w:color w:val="FF0000"/>
                <w:sz w:val="22"/>
              </w:rPr>
            </w:pPr>
            <w:r>
              <w:rPr>
                <w:b/>
                <w:color w:val="FF0000"/>
                <w:sz w:val="22"/>
              </w:rPr>
              <w:t>50</w:t>
            </w:r>
          </w:p>
        </w:tc>
        <w:tc>
          <w:tcPr>
            <w:tcW w:w="992" w:type="dxa"/>
            <w:tcBorders>
              <w:bottom w:val="single" w:sz="4" w:space="0" w:color="auto"/>
            </w:tcBorders>
            <w:shd w:val="clear" w:color="auto" w:fill="auto"/>
            <w:vAlign w:val="center"/>
          </w:tcPr>
          <w:p w14:paraId="1DFB04D9" w14:textId="77777777" w:rsidR="00C0245D" w:rsidRPr="00C0245D" w:rsidRDefault="00C0245D" w:rsidP="00C0245D">
            <w:pPr>
              <w:jc w:val="center"/>
              <w:rPr>
                <w:b/>
                <w:color w:val="FF0000"/>
                <w:sz w:val="22"/>
              </w:rPr>
            </w:pPr>
            <w:r>
              <w:rPr>
                <w:b/>
                <w:color w:val="FF0000"/>
                <w:sz w:val="22"/>
              </w:rPr>
              <w:t>70</w:t>
            </w:r>
          </w:p>
        </w:tc>
        <w:tc>
          <w:tcPr>
            <w:tcW w:w="851" w:type="dxa"/>
            <w:tcBorders>
              <w:bottom w:val="single" w:sz="4" w:space="0" w:color="auto"/>
            </w:tcBorders>
            <w:shd w:val="clear" w:color="auto" w:fill="auto"/>
            <w:vAlign w:val="center"/>
          </w:tcPr>
          <w:p w14:paraId="41F5C9D4" w14:textId="77777777" w:rsidR="00C0245D" w:rsidRPr="00C0245D" w:rsidRDefault="00C0245D" w:rsidP="00C0245D">
            <w:pPr>
              <w:jc w:val="center"/>
              <w:rPr>
                <w:b/>
                <w:color w:val="FF0000"/>
                <w:sz w:val="22"/>
              </w:rPr>
            </w:pPr>
            <w:r>
              <w:rPr>
                <w:b/>
                <w:color w:val="FF0000"/>
                <w:sz w:val="22"/>
              </w:rPr>
              <w:t>9</w:t>
            </w:r>
            <w:r w:rsidRPr="00C0245D">
              <w:rPr>
                <w:b/>
                <w:color w:val="FF0000"/>
                <w:sz w:val="22"/>
              </w:rPr>
              <w:t>0</w:t>
            </w:r>
          </w:p>
        </w:tc>
      </w:tr>
      <w:tr w:rsidR="00C0245D" w:rsidRPr="00A35C05" w14:paraId="67E3D4A9" w14:textId="77777777" w:rsidTr="00C0245D">
        <w:trPr>
          <w:trHeight w:val="274"/>
        </w:trPr>
        <w:tc>
          <w:tcPr>
            <w:tcW w:w="4282" w:type="dxa"/>
            <w:tcBorders>
              <w:bottom w:val="dotted" w:sz="4" w:space="0" w:color="auto"/>
            </w:tcBorders>
            <w:shd w:val="clear" w:color="auto" w:fill="FFE599" w:themeFill="accent4" w:themeFillTint="66"/>
          </w:tcPr>
          <w:p w14:paraId="523F22D2" w14:textId="77777777" w:rsidR="00C0245D" w:rsidRPr="00A35C05" w:rsidRDefault="00C0245D" w:rsidP="00C0245D">
            <w:pPr>
              <w:rPr>
                <w:sz w:val="22"/>
              </w:rPr>
            </w:pPr>
            <w:r w:rsidRPr="0008134A">
              <w:rPr>
                <w:b/>
                <w:sz w:val="22"/>
              </w:rPr>
              <w:t>Fiskālā ietekme</w:t>
            </w:r>
            <w:r>
              <w:rPr>
                <w:b/>
                <w:sz w:val="22"/>
              </w:rPr>
              <w:t xml:space="preserve">, </w:t>
            </w:r>
            <w:r w:rsidRPr="0008134A">
              <w:rPr>
                <w:i/>
                <w:sz w:val="22"/>
              </w:rPr>
              <w:t>milj. euro</w:t>
            </w:r>
          </w:p>
        </w:tc>
        <w:tc>
          <w:tcPr>
            <w:tcW w:w="1134" w:type="dxa"/>
            <w:tcBorders>
              <w:bottom w:val="dotted" w:sz="4" w:space="0" w:color="auto"/>
            </w:tcBorders>
            <w:shd w:val="clear" w:color="auto" w:fill="BFBFBF" w:themeFill="background1" w:themeFillShade="BF"/>
          </w:tcPr>
          <w:p w14:paraId="5B27C108" w14:textId="77777777" w:rsidR="00C0245D" w:rsidRPr="00A35C05" w:rsidRDefault="00C0245D" w:rsidP="00C0245D">
            <w:pPr>
              <w:jc w:val="center"/>
              <w:rPr>
                <w:sz w:val="22"/>
              </w:rPr>
            </w:pPr>
          </w:p>
        </w:tc>
        <w:tc>
          <w:tcPr>
            <w:tcW w:w="1134" w:type="dxa"/>
            <w:tcBorders>
              <w:bottom w:val="dotted" w:sz="4" w:space="0" w:color="auto"/>
            </w:tcBorders>
            <w:shd w:val="clear" w:color="auto" w:fill="FFE599" w:themeFill="accent4" w:themeFillTint="66"/>
            <w:vAlign w:val="center"/>
          </w:tcPr>
          <w:p w14:paraId="1F253B95" w14:textId="77777777" w:rsidR="00C0245D" w:rsidRPr="004252E4" w:rsidRDefault="00E1375F" w:rsidP="004C0FE3">
            <w:pPr>
              <w:jc w:val="center"/>
              <w:rPr>
                <w:b/>
                <w:color w:val="00B050"/>
                <w:sz w:val="22"/>
              </w:rPr>
            </w:pPr>
            <w:r w:rsidRPr="004252E4">
              <w:rPr>
                <w:b/>
                <w:color w:val="00B050"/>
                <w:sz w:val="22"/>
              </w:rPr>
              <w:t>+</w:t>
            </w:r>
            <w:r w:rsidR="00C0245D" w:rsidRPr="004252E4">
              <w:rPr>
                <w:b/>
                <w:color w:val="00B050"/>
                <w:sz w:val="22"/>
              </w:rPr>
              <w:t>0,1</w:t>
            </w:r>
            <w:r w:rsidR="004C0FE3" w:rsidRPr="004252E4">
              <w:rPr>
                <w:b/>
                <w:color w:val="00B050"/>
                <w:sz w:val="22"/>
              </w:rPr>
              <w:t>28</w:t>
            </w:r>
          </w:p>
        </w:tc>
        <w:tc>
          <w:tcPr>
            <w:tcW w:w="992" w:type="dxa"/>
            <w:tcBorders>
              <w:bottom w:val="dotted" w:sz="4" w:space="0" w:color="auto"/>
            </w:tcBorders>
            <w:shd w:val="clear" w:color="auto" w:fill="FFE599" w:themeFill="accent4" w:themeFillTint="66"/>
            <w:vAlign w:val="center"/>
          </w:tcPr>
          <w:p w14:paraId="726B7747" w14:textId="77777777" w:rsidR="00C0245D" w:rsidRPr="004252E4" w:rsidRDefault="00E1375F" w:rsidP="004C0FE3">
            <w:pPr>
              <w:jc w:val="center"/>
              <w:rPr>
                <w:b/>
                <w:color w:val="00B050"/>
                <w:sz w:val="22"/>
              </w:rPr>
            </w:pPr>
            <w:r w:rsidRPr="004252E4">
              <w:rPr>
                <w:b/>
                <w:color w:val="00B050"/>
                <w:sz w:val="22"/>
              </w:rPr>
              <w:t>+</w:t>
            </w:r>
            <w:r w:rsidR="00C0245D" w:rsidRPr="004252E4">
              <w:rPr>
                <w:b/>
                <w:color w:val="00B050"/>
                <w:sz w:val="22"/>
              </w:rPr>
              <w:t>0,28</w:t>
            </w:r>
            <w:r w:rsidR="004C0FE3" w:rsidRPr="004252E4">
              <w:rPr>
                <w:b/>
                <w:color w:val="00B050"/>
                <w:sz w:val="22"/>
              </w:rPr>
              <w:t>1</w:t>
            </w:r>
          </w:p>
        </w:tc>
        <w:tc>
          <w:tcPr>
            <w:tcW w:w="851" w:type="dxa"/>
            <w:tcBorders>
              <w:bottom w:val="dotted" w:sz="4" w:space="0" w:color="auto"/>
            </w:tcBorders>
            <w:shd w:val="clear" w:color="auto" w:fill="FFE599" w:themeFill="accent4" w:themeFillTint="66"/>
            <w:vAlign w:val="center"/>
          </w:tcPr>
          <w:p w14:paraId="1FCBC8D2" w14:textId="77777777" w:rsidR="00C0245D" w:rsidRPr="004252E4" w:rsidRDefault="00E1375F" w:rsidP="004C0FE3">
            <w:pPr>
              <w:jc w:val="center"/>
              <w:rPr>
                <w:b/>
                <w:color w:val="00B050"/>
                <w:sz w:val="22"/>
              </w:rPr>
            </w:pPr>
            <w:r w:rsidRPr="004252E4">
              <w:rPr>
                <w:b/>
                <w:color w:val="00B050"/>
                <w:sz w:val="22"/>
              </w:rPr>
              <w:t>+</w:t>
            </w:r>
            <w:r w:rsidR="00C0245D" w:rsidRPr="004252E4">
              <w:rPr>
                <w:b/>
                <w:color w:val="00B050"/>
                <w:sz w:val="22"/>
              </w:rPr>
              <w:t>0,3</w:t>
            </w:r>
            <w:r w:rsidR="004C0FE3" w:rsidRPr="004252E4">
              <w:rPr>
                <w:b/>
                <w:color w:val="00B050"/>
                <w:sz w:val="22"/>
              </w:rPr>
              <w:t>90</w:t>
            </w:r>
          </w:p>
        </w:tc>
      </w:tr>
      <w:tr w:rsidR="00C0245D" w:rsidRPr="00A35C05" w14:paraId="66EEF83D" w14:textId="77777777" w:rsidTr="00C0245D">
        <w:trPr>
          <w:trHeight w:val="70"/>
        </w:trPr>
        <w:tc>
          <w:tcPr>
            <w:tcW w:w="4282" w:type="dxa"/>
            <w:tcBorders>
              <w:top w:val="dotted" w:sz="4" w:space="0" w:color="auto"/>
              <w:bottom w:val="dotted" w:sz="4" w:space="0" w:color="auto"/>
            </w:tcBorders>
            <w:shd w:val="clear" w:color="auto" w:fill="FFE599" w:themeFill="accent4" w:themeFillTint="66"/>
          </w:tcPr>
          <w:p w14:paraId="2A625653" w14:textId="77777777" w:rsidR="00C0245D" w:rsidRPr="00F80F8E" w:rsidRDefault="00C0245D" w:rsidP="000223DA">
            <w:pPr>
              <w:pStyle w:val="ListParagraph"/>
              <w:numPr>
                <w:ilvl w:val="0"/>
                <w:numId w:val="6"/>
              </w:numPr>
              <w:ind w:left="634" w:hanging="283"/>
              <w:jc w:val="left"/>
              <w:rPr>
                <w:i/>
                <w:sz w:val="20"/>
                <w:szCs w:val="20"/>
              </w:rPr>
            </w:pPr>
            <w:r w:rsidRPr="00F80F8E">
              <w:rPr>
                <w:i/>
                <w:sz w:val="20"/>
                <w:szCs w:val="20"/>
              </w:rPr>
              <w:t>valsts pamatbudžets</w:t>
            </w:r>
          </w:p>
        </w:tc>
        <w:tc>
          <w:tcPr>
            <w:tcW w:w="1134" w:type="dxa"/>
            <w:tcBorders>
              <w:top w:val="dotted" w:sz="4" w:space="0" w:color="auto"/>
              <w:bottom w:val="dotted" w:sz="4" w:space="0" w:color="auto"/>
            </w:tcBorders>
            <w:shd w:val="clear" w:color="auto" w:fill="BFBFBF" w:themeFill="background1" w:themeFillShade="BF"/>
          </w:tcPr>
          <w:p w14:paraId="19967C75" w14:textId="77777777" w:rsidR="00C0245D" w:rsidRPr="00A35C05" w:rsidRDefault="00C0245D" w:rsidP="00C0245D">
            <w:pPr>
              <w:jc w:val="center"/>
              <w:rPr>
                <w:sz w:val="20"/>
                <w:szCs w:val="20"/>
              </w:rPr>
            </w:pPr>
          </w:p>
        </w:tc>
        <w:tc>
          <w:tcPr>
            <w:tcW w:w="1134" w:type="dxa"/>
            <w:tcBorders>
              <w:top w:val="dotted" w:sz="4" w:space="0" w:color="auto"/>
              <w:bottom w:val="dotted" w:sz="4" w:space="0" w:color="auto"/>
            </w:tcBorders>
            <w:shd w:val="clear" w:color="auto" w:fill="FFE599" w:themeFill="accent4" w:themeFillTint="66"/>
            <w:vAlign w:val="center"/>
          </w:tcPr>
          <w:p w14:paraId="3D3140DD" w14:textId="77777777" w:rsidR="00C0245D" w:rsidRPr="004252E4" w:rsidRDefault="00E1375F" w:rsidP="004C0FE3">
            <w:pPr>
              <w:jc w:val="center"/>
              <w:rPr>
                <w:i/>
                <w:color w:val="00B050"/>
                <w:sz w:val="20"/>
                <w:szCs w:val="20"/>
              </w:rPr>
            </w:pPr>
            <w:r w:rsidRPr="004252E4">
              <w:rPr>
                <w:i/>
                <w:color w:val="00B050"/>
                <w:sz w:val="20"/>
                <w:szCs w:val="20"/>
              </w:rPr>
              <w:t>+</w:t>
            </w:r>
            <w:r w:rsidR="00C0245D" w:rsidRPr="004252E4">
              <w:rPr>
                <w:i/>
                <w:color w:val="00B050"/>
                <w:sz w:val="20"/>
                <w:szCs w:val="20"/>
              </w:rPr>
              <w:t>0,07</w:t>
            </w:r>
            <w:r w:rsidR="004C0FE3" w:rsidRPr="004252E4">
              <w:rPr>
                <w:i/>
                <w:color w:val="00B050"/>
                <w:sz w:val="20"/>
                <w:szCs w:val="20"/>
              </w:rPr>
              <w:t>7</w:t>
            </w:r>
          </w:p>
        </w:tc>
        <w:tc>
          <w:tcPr>
            <w:tcW w:w="992" w:type="dxa"/>
            <w:tcBorders>
              <w:top w:val="dotted" w:sz="4" w:space="0" w:color="auto"/>
              <w:bottom w:val="dotted" w:sz="4" w:space="0" w:color="auto"/>
            </w:tcBorders>
            <w:shd w:val="clear" w:color="auto" w:fill="FFE599" w:themeFill="accent4" w:themeFillTint="66"/>
            <w:vAlign w:val="center"/>
          </w:tcPr>
          <w:p w14:paraId="25922625" w14:textId="77777777" w:rsidR="00C0245D" w:rsidRPr="004252E4" w:rsidRDefault="00E1375F" w:rsidP="004C0FE3">
            <w:pPr>
              <w:jc w:val="center"/>
              <w:rPr>
                <w:i/>
                <w:color w:val="00B050"/>
                <w:sz w:val="20"/>
                <w:szCs w:val="20"/>
              </w:rPr>
            </w:pPr>
            <w:r w:rsidRPr="004252E4">
              <w:rPr>
                <w:i/>
                <w:color w:val="00B050"/>
                <w:sz w:val="20"/>
                <w:szCs w:val="20"/>
              </w:rPr>
              <w:t>+</w:t>
            </w:r>
            <w:r w:rsidR="00C0245D" w:rsidRPr="004252E4">
              <w:rPr>
                <w:i/>
                <w:color w:val="00B050"/>
                <w:sz w:val="20"/>
                <w:szCs w:val="20"/>
              </w:rPr>
              <w:t>0,16</w:t>
            </w:r>
            <w:r w:rsidR="004C0FE3" w:rsidRPr="004252E4">
              <w:rPr>
                <w:i/>
                <w:color w:val="00B050"/>
                <w:sz w:val="20"/>
                <w:szCs w:val="20"/>
              </w:rPr>
              <w:t>9</w:t>
            </w:r>
          </w:p>
        </w:tc>
        <w:tc>
          <w:tcPr>
            <w:tcW w:w="851" w:type="dxa"/>
            <w:tcBorders>
              <w:top w:val="dotted" w:sz="4" w:space="0" w:color="auto"/>
              <w:bottom w:val="dotted" w:sz="4" w:space="0" w:color="auto"/>
            </w:tcBorders>
            <w:shd w:val="clear" w:color="auto" w:fill="FFE599" w:themeFill="accent4" w:themeFillTint="66"/>
            <w:vAlign w:val="center"/>
          </w:tcPr>
          <w:p w14:paraId="72CE1455" w14:textId="77777777" w:rsidR="00C0245D" w:rsidRPr="004252E4" w:rsidRDefault="00E1375F" w:rsidP="004C0FE3">
            <w:pPr>
              <w:jc w:val="center"/>
              <w:rPr>
                <w:i/>
                <w:color w:val="00B050"/>
                <w:sz w:val="20"/>
                <w:szCs w:val="20"/>
              </w:rPr>
            </w:pPr>
            <w:r w:rsidRPr="004252E4">
              <w:rPr>
                <w:i/>
                <w:color w:val="00B050"/>
                <w:sz w:val="20"/>
                <w:szCs w:val="20"/>
              </w:rPr>
              <w:t>+</w:t>
            </w:r>
            <w:r w:rsidR="00C0245D" w:rsidRPr="004252E4">
              <w:rPr>
                <w:i/>
                <w:color w:val="00B050"/>
                <w:sz w:val="20"/>
                <w:szCs w:val="20"/>
              </w:rPr>
              <w:t>0,23</w:t>
            </w:r>
            <w:r w:rsidR="004C0FE3" w:rsidRPr="004252E4">
              <w:rPr>
                <w:i/>
                <w:color w:val="00B050"/>
                <w:sz w:val="20"/>
                <w:szCs w:val="20"/>
              </w:rPr>
              <w:t>4</w:t>
            </w:r>
          </w:p>
        </w:tc>
      </w:tr>
      <w:tr w:rsidR="00C0245D" w:rsidRPr="00A35C05" w14:paraId="31104E05" w14:textId="77777777" w:rsidTr="00C0245D">
        <w:trPr>
          <w:trHeight w:val="125"/>
        </w:trPr>
        <w:tc>
          <w:tcPr>
            <w:tcW w:w="4282" w:type="dxa"/>
            <w:tcBorders>
              <w:top w:val="dotted" w:sz="4" w:space="0" w:color="auto"/>
            </w:tcBorders>
            <w:shd w:val="clear" w:color="auto" w:fill="FFE599" w:themeFill="accent4" w:themeFillTint="66"/>
          </w:tcPr>
          <w:p w14:paraId="78B623A2" w14:textId="77777777" w:rsidR="00C0245D" w:rsidRPr="00F80F8E" w:rsidRDefault="00C0245D" w:rsidP="000223DA">
            <w:pPr>
              <w:pStyle w:val="ListParagraph"/>
              <w:numPr>
                <w:ilvl w:val="0"/>
                <w:numId w:val="6"/>
              </w:numPr>
              <w:ind w:left="634" w:hanging="283"/>
              <w:jc w:val="left"/>
              <w:rPr>
                <w:i/>
                <w:sz w:val="20"/>
                <w:szCs w:val="20"/>
              </w:rPr>
            </w:pPr>
            <w:r w:rsidRPr="00F80F8E">
              <w:rPr>
                <w:i/>
                <w:sz w:val="20"/>
                <w:szCs w:val="20"/>
              </w:rPr>
              <w:t>pašvaldību budžeti</w:t>
            </w:r>
          </w:p>
        </w:tc>
        <w:tc>
          <w:tcPr>
            <w:tcW w:w="1134" w:type="dxa"/>
            <w:tcBorders>
              <w:top w:val="dotted" w:sz="4" w:space="0" w:color="auto"/>
            </w:tcBorders>
            <w:shd w:val="clear" w:color="auto" w:fill="BFBFBF" w:themeFill="background1" w:themeFillShade="BF"/>
          </w:tcPr>
          <w:p w14:paraId="7E81F822" w14:textId="77777777" w:rsidR="00C0245D" w:rsidRPr="00A35C05" w:rsidRDefault="00C0245D" w:rsidP="00C0245D">
            <w:pPr>
              <w:jc w:val="center"/>
              <w:rPr>
                <w:sz w:val="20"/>
                <w:szCs w:val="20"/>
              </w:rPr>
            </w:pPr>
          </w:p>
        </w:tc>
        <w:tc>
          <w:tcPr>
            <w:tcW w:w="1134" w:type="dxa"/>
            <w:tcBorders>
              <w:top w:val="dotted" w:sz="4" w:space="0" w:color="auto"/>
            </w:tcBorders>
            <w:shd w:val="clear" w:color="auto" w:fill="FFE599" w:themeFill="accent4" w:themeFillTint="66"/>
          </w:tcPr>
          <w:p w14:paraId="5B191AF9" w14:textId="77777777" w:rsidR="00C0245D" w:rsidRPr="004252E4" w:rsidRDefault="00E1375F" w:rsidP="004C0FE3">
            <w:pPr>
              <w:jc w:val="center"/>
              <w:rPr>
                <w:i/>
                <w:color w:val="00B050"/>
                <w:sz w:val="20"/>
                <w:szCs w:val="20"/>
              </w:rPr>
            </w:pPr>
            <w:r w:rsidRPr="004252E4">
              <w:rPr>
                <w:i/>
                <w:color w:val="00B050"/>
                <w:sz w:val="20"/>
                <w:szCs w:val="20"/>
              </w:rPr>
              <w:t>+</w:t>
            </w:r>
            <w:r w:rsidR="00C0245D" w:rsidRPr="004252E4">
              <w:rPr>
                <w:i/>
                <w:color w:val="00B050"/>
                <w:sz w:val="20"/>
                <w:szCs w:val="20"/>
              </w:rPr>
              <w:t>0,0</w:t>
            </w:r>
            <w:r w:rsidR="004C0FE3" w:rsidRPr="004252E4">
              <w:rPr>
                <w:i/>
                <w:color w:val="00B050"/>
                <w:sz w:val="20"/>
                <w:szCs w:val="20"/>
              </w:rPr>
              <w:t>51</w:t>
            </w:r>
          </w:p>
        </w:tc>
        <w:tc>
          <w:tcPr>
            <w:tcW w:w="992" w:type="dxa"/>
            <w:tcBorders>
              <w:top w:val="dotted" w:sz="4" w:space="0" w:color="auto"/>
            </w:tcBorders>
            <w:shd w:val="clear" w:color="auto" w:fill="FFE599" w:themeFill="accent4" w:themeFillTint="66"/>
          </w:tcPr>
          <w:p w14:paraId="6D2CAE93" w14:textId="77777777" w:rsidR="00C0245D" w:rsidRPr="004252E4" w:rsidRDefault="00E1375F" w:rsidP="004C0FE3">
            <w:pPr>
              <w:jc w:val="center"/>
              <w:rPr>
                <w:i/>
                <w:color w:val="00B050"/>
                <w:sz w:val="20"/>
                <w:szCs w:val="20"/>
              </w:rPr>
            </w:pPr>
            <w:r w:rsidRPr="004252E4">
              <w:rPr>
                <w:i/>
                <w:color w:val="00B050"/>
                <w:sz w:val="20"/>
                <w:szCs w:val="20"/>
              </w:rPr>
              <w:t>+</w:t>
            </w:r>
            <w:r w:rsidR="00C0245D" w:rsidRPr="004252E4">
              <w:rPr>
                <w:i/>
                <w:color w:val="00B050"/>
                <w:sz w:val="20"/>
                <w:szCs w:val="20"/>
              </w:rPr>
              <w:t>0,1</w:t>
            </w:r>
            <w:r w:rsidR="004C0FE3" w:rsidRPr="004252E4">
              <w:rPr>
                <w:i/>
                <w:color w:val="00B050"/>
                <w:sz w:val="20"/>
                <w:szCs w:val="20"/>
              </w:rPr>
              <w:t>12</w:t>
            </w:r>
          </w:p>
        </w:tc>
        <w:tc>
          <w:tcPr>
            <w:tcW w:w="851" w:type="dxa"/>
            <w:tcBorders>
              <w:top w:val="dotted" w:sz="4" w:space="0" w:color="auto"/>
            </w:tcBorders>
            <w:shd w:val="clear" w:color="auto" w:fill="FFE599" w:themeFill="accent4" w:themeFillTint="66"/>
          </w:tcPr>
          <w:p w14:paraId="663241B9" w14:textId="77777777" w:rsidR="00C0245D" w:rsidRPr="004252E4" w:rsidRDefault="00E1375F" w:rsidP="004C0FE3">
            <w:pPr>
              <w:jc w:val="center"/>
              <w:rPr>
                <w:i/>
                <w:color w:val="00B050"/>
                <w:sz w:val="20"/>
                <w:szCs w:val="20"/>
              </w:rPr>
            </w:pPr>
            <w:r w:rsidRPr="004252E4">
              <w:rPr>
                <w:i/>
                <w:color w:val="00B050"/>
                <w:sz w:val="20"/>
                <w:szCs w:val="20"/>
              </w:rPr>
              <w:t>+</w:t>
            </w:r>
            <w:r w:rsidR="00C0245D" w:rsidRPr="004252E4">
              <w:rPr>
                <w:i/>
                <w:color w:val="00B050"/>
                <w:sz w:val="20"/>
                <w:szCs w:val="20"/>
              </w:rPr>
              <w:t>0,1</w:t>
            </w:r>
            <w:r w:rsidR="004C0FE3" w:rsidRPr="004252E4">
              <w:rPr>
                <w:i/>
                <w:color w:val="00B050"/>
                <w:sz w:val="20"/>
                <w:szCs w:val="20"/>
              </w:rPr>
              <w:t>56</w:t>
            </w:r>
            <w:r w:rsidR="00C0245D" w:rsidRPr="004252E4">
              <w:rPr>
                <w:i/>
                <w:color w:val="00B050"/>
                <w:sz w:val="20"/>
                <w:szCs w:val="20"/>
              </w:rPr>
              <w:t xml:space="preserve"> </w:t>
            </w:r>
          </w:p>
        </w:tc>
      </w:tr>
      <w:tr w:rsidR="00C0245D" w:rsidRPr="00A35C05" w14:paraId="7419B733" w14:textId="77777777" w:rsidTr="00C0245D">
        <w:trPr>
          <w:trHeight w:val="325"/>
        </w:trPr>
        <w:tc>
          <w:tcPr>
            <w:tcW w:w="4282" w:type="dxa"/>
            <w:tcBorders>
              <w:bottom w:val="single" w:sz="4" w:space="0" w:color="auto"/>
            </w:tcBorders>
            <w:shd w:val="clear" w:color="auto" w:fill="auto"/>
          </w:tcPr>
          <w:p w14:paraId="598DDA4D" w14:textId="77777777" w:rsidR="00C0245D" w:rsidRPr="00A35C05" w:rsidRDefault="00C0245D" w:rsidP="00C0245D">
            <w:pPr>
              <w:rPr>
                <w:sz w:val="22"/>
              </w:rPr>
            </w:pPr>
            <w:r w:rsidRPr="00C0245D">
              <w:rPr>
                <w:sz w:val="22"/>
              </w:rPr>
              <w:t>Sēra dioksīds (SO</w:t>
            </w:r>
            <w:r w:rsidRPr="00C0245D">
              <w:rPr>
                <w:sz w:val="22"/>
                <w:vertAlign w:val="subscript"/>
              </w:rPr>
              <w:t>2</w:t>
            </w:r>
            <w:r w:rsidRPr="00C0245D">
              <w:rPr>
                <w:sz w:val="22"/>
              </w:rPr>
              <w:t>), slāpekļa oksīdi (NOx – slāpekļa oksīdu summa, pārrēķināta uz NO</w:t>
            </w:r>
            <w:r w:rsidRPr="00C0245D">
              <w:rPr>
                <w:sz w:val="22"/>
                <w:vertAlign w:val="subscript"/>
              </w:rPr>
              <w:t>2</w:t>
            </w:r>
            <w:r w:rsidRPr="00C0245D">
              <w:rPr>
                <w:sz w:val="22"/>
              </w:rPr>
              <w:t>)</w:t>
            </w:r>
            <w:r>
              <w:rPr>
                <w:sz w:val="22"/>
              </w:rPr>
              <w:t>,</w:t>
            </w:r>
            <w:r w:rsidRPr="0008134A">
              <w:rPr>
                <w:i/>
                <w:sz w:val="22"/>
              </w:rPr>
              <w:t xml:space="preserve"> euro </w:t>
            </w:r>
            <w:r>
              <w:rPr>
                <w:i/>
                <w:sz w:val="22"/>
              </w:rPr>
              <w:t>par tonnu</w:t>
            </w:r>
          </w:p>
        </w:tc>
        <w:tc>
          <w:tcPr>
            <w:tcW w:w="1134" w:type="dxa"/>
            <w:tcBorders>
              <w:bottom w:val="single" w:sz="4" w:space="0" w:color="auto"/>
            </w:tcBorders>
            <w:shd w:val="clear" w:color="auto" w:fill="BFBFBF" w:themeFill="background1" w:themeFillShade="BF"/>
            <w:vAlign w:val="center"/>
          </w:tcPr>
          <w:p w14:paraId="31FC9690" w14:textId="77777777" w:rsidR="00C0245D" w:rsidRPr="00C0245D" w:rsidRDefault="00C0245D" w:rsidP="00C0245D">
            <w:pPr>
              <w:jc w:val="center"/>
              <w:rPr>
                <w:b/>
                <w:sz w:val="22"/>
              </w:rPr>
            </w:pPr>
            <w:r w:rsidRPr="00C0245D">
              <w:rPr>
                <w:b/>
                <w:sz w:val="22"/>
              </w:rPr>
              <w:t>85,37</w:t>
            </w:r>
          </w:p>
        </w:tc>
        <w:tc>
          <w:tcPr>
            <w:tcW w:w="1134" w:type="dxa"/>
            <w:tcBorders>
              <w:bottom w:val="single" w:sz="4" w:space="0" w:color="auto"/>
            </w:tcBorders>
            <w:shd w:val="clear" w:color="auto" w:fill="auto"/>
            <w:vAlign w:val="center"/>
          </w:tcPr>
          <w:p w14:paraId="4228DCF1" w14:textId="77777777" w:rsidR="00C0245D" w:rsidRPr="00C0245D" w:rsidRDefault="00C0245D" w:rsidP="00C0245D">
            <w:pPr>
              <w:jc w:val="center"/>
              <w:rPr>
                <w:b/>
                <w:color w:val="FF0000"/>
                <w:sz w:val="22"/>
              </w:rPr>
            </w:pPr>
            <w:r w:rsidRPr="00C0245D">
              <w:rPr>
                <w:b/>
                <w:color w:val="FF0000"/>
                <w:sz w:val="22"/>
              </w:rPr>
              <w:t>125</w:t>
            </w:r>
          </w:p>
        </w:tc>
        <w:tc>
          <w:tcPr>
            <w:tcW w:w="992" w:type="dxa"/>
            <w:tcBorders>
              <w:bottom w:val="single" w:sz="4" w:space="0" w:color="auto"/>
            </w:tcBorders>
            <w:shd w:val="clear" w:color="auto" w:fill="auto"/>
            <w:vAlign w:val="center"/>
          </w:tcPr>
          <w:p w14:paraId="34B0E018" w14:textId="77777777" w:rsidR="00C0245D" w:rsidRPr="00C0245D" w:rsidRDefault="00C0245D" w:rsidP="00C0245D">
            <w:pPr>
              <w:jc w:val="center"/>
              <w:rPr>
                <w:b/>
                <w:color w:val="FF0000"/>
                <w:sz w:val="22"/>
              </w:rPr>
            </w:pPr>
            <w:r w:rsidRPr="00C0245D">
              <w:rPr>
                <w:b/>
                <w:color w:val="FF0000"/>
                <w:sz w:val="22"/>
              </w:rPr>
              <w:t>140</w:t>
            </w:r>
          </w:p>
        </w:tc>
        <w:tc>
          <w:tcPr>
            <w:tcW w:w="851" w:type="dxa"/>
            <w:tcBorders>
              <w:bottom w:val="single" w:sz="4" w:space="0" w:color="auto"/>
            </w:tcBorders>
            <w:shd w:val="clear" w:color="auto" w:fill="auto"/>
            <w:vAlign w:val="center"/>
          </w:tcPr>
          <w:p w14:paraId="0091CAB2" w14:textId="77777777" w:rsidR="00C0245D" w:rsidRPr="00C0245D" w:rsidRDefault="00C0245D" w:rsidP="00C0245D">
            <w:pPr>
              <w:jc w:val="center"/>
              <w:rPr>
                <w:b/>
                <w:color w:val="FF0000"/>
                <w:sz w:val="22"/>
              </w:rPr>
            </w:pPr>
            <w:r w:rsidRPr="00C0245D">
              <w:rPr>
                <w:b/>
                <w:color w:val="FF0000"/>
                <w:sz w:val="22"/>
              </w:rPr>
              <w:t>160</w:t>
            </w:r>
          </w:p>
        </w:tc>
      </w:tr>
      <w:tr w:rsidR="00C0245D" w:rsidRPr="00A35C05" w14:paraId="47B43609" w14:textId="77777777" w:rsidTr="00C0245D">
        <w:trPr>
          <w:trHeight w:val="274"/>
        </w:trPr>
        <w:tc>
          <w:tcPr>
            <w:tcW w:w="4282" w:type="dxa"/>
            <w:tcBorders>
              <w:bottom w:val="dotted" w:sz="4" w:space="0" w:color="auto"/>
            </w:tcBorders>
            <w:shd w:val="clear" w:color="auto" w:fill="FFE599" w:themeFill="accent4" w:themeFillTint="66"/>
          </w:tcPr>
          <w:p w14:paraId="199603A3" w14:textId="77777777" w:rsidR="00C0245D" w:rsidRPr="00A35C05" w:rsidRDefault="00C0245D" w:rsidP="00C0245D">
            <w:pPr>
              <w:rPr>
                <w:sz w:val="22"/>
              </w:rPr>
            </w:pPr>
            <w:r w:rsidRPr="0008134A">
              <w:rPr>
                <w:b/>
                <w:sz w:val="22"/>
              </w:rPr>
              <w:t>Fiskālā ietekme</w:t>
            </w:r>
            <w:r>
              <w:rPr>
                <w:b/>
                <w:sz w:val="22"/>
              </w:rPr>
              <w:t xml:space="preserve">, </w:t>
            </w:r>
            <w:r w:rsidRPr="0008134A">
              <w:rPr>
                <w:i/>
                <w:sz w:val="22"/>
              </w:rPr>
              <w:t>milj. euro</w:t>
            </w:r>
          </w:p>
        </w:tc>
        <w:tc>
          <w:tcPr>
            <w:tcW w:w="1134" w:type="dxa"/>
            <w:tcBorders>
              <w:bottom w:val="dotted" w:sz="4" w:space="0" w:color="auto"/>
            </w:tcBorders>
            <w:shd w:val="clear" w:color="auto" w:fill="BFBFBF" w:themeFill="background1" w:themeFillShade="BF"/>
          </w:tcPr>
          <w:p w14:paraId="2B1636A5" w14:textId="77777777" w:rsidR="00C0245D" w:rsidRPr="00A35C05" w:rsidRDefault="00C0245D" w:rsidP="00C0245D">
            <w:pPr>
              <w:jc w:val="center"/>
              <w:rPr>
                <w:sz w:val="22"/>
              </w:rPr>
            </w:pPr>
          </w:p>
        </w:tc>
        <w:tc>
          <w:tcPr>
            <w:tcW w:w="1134" w:type="dxa"/>
            <w:tcBorders>
              <w:bottom w:val="dotted" w:sz="4" w:space="0" w:color="auto"/>
            </w:tcBorders>
            <w:shd w:val="clear" w:color="auto" w:fill="FFE599" w:themeFill="accent4" w:themeFillTint="66"/>
            <w:vAlign w:val="center"/>
          </w:tcPr>
          <w:p w14:paraId="0E3B14C9" w14:textId="77777777" w:rsidR="00C0245D" w:rsidRPr="004252E4" w:rsidRDefault="00E1375F" w:rsidP="00DF3B25">
            <w:pPr>
              <w:jc w:val="center"/>
              <w:rPr>
                <w:b/>
                <w:color w:val="00B050"/>
                <w:sz w:val="22"/>
              </w:rPr>
            </w:pPr>
            <w:r w:rsidRPr="004252E4">
              <w:rPr>
                <w:b/>
                <w:color w:val="00B050"/>
                <w:sz w:val="22"/>
              </w:rPr>
              <w:t>+</w:t>
            </w:r>
            <w:r w:rsidR="00C0245D" w:rsidRPr="004252E4">
              <w:rPr>
                <w:b/>
                <w:color w:val="00B050"/>
                <w:sz w:val="22"/>
              </w:rPr>
              <w:t>0,1</w:t>
            </w:r>
            <w:r w:rsidR="00DF3B25" w:rsidRPr="004252E4">
              <w:rPr>
                <w:b/>
                <w:color w:val="00B050"/>
                <w:sz w:val="22"/>
              </w:rPr>
              <w:t>5</w:t>
            </w:r>
            <w:r w:rsidR="00C0245D" w:rsidRPr="004252E4">
              <w:rPr>
                <w:b/>
                <w:color w:val="00B050"/>
                <w:sz w:val="22"/>
              </w:rPr>
              <w:t>1</w:t>
            </w:r>
          </w:p>
        </w:tc>
        <w:tc>
          <w:tcPr>
            <w:tcW w:w="992" w:type="dxa"/>
            <w:tcBorders>
              <w:bottom w:val="dotted" w:sz="4" w:space="0" w:color="auto"/>
            </w:tcBorders>
            <w:shd w:val="clear" w:color="auto" w:fill="FFE599" w:themeFill="accent4" w:themeFillTint="66"/>
            <w:vAlign w:val="center"/>
          </w:tcPr>
          <w:p w14:paraId="0B992961" w14:textId="77777777" w:rsidR="00C0245D" w:rsidRPr="004252E4" w:rsidRDefault="00E1375F" w:rsidP="00DF3B25">
            <w:pPr>
              <w:jc w:val="center"/>
              <w:rPr>
                <w:b/>
                <w:color w:val="00B050"/>
                <w:sz w:val="22"/>
              </w:rPr>
            </w:pPr>
            <w:r w:rsidRPr="004252E4">
              <w:rPr>
                <w:b/>
                <w:color w:val="00B050"/>
                <w:sz w:val="22"/>
              </w:rPr>
              <w:t>+</w:t>
            </w:r>
            <w:r w:rsidR="00C0245D" w:rsidRPr="004252E4">
              <w:rPr>
                <w:b/>
                <w:color w:val="00B050"/>
                <w:sz w:val="22"/>
              </w:rPr>
              <w:t>0,2</w:t>
            </w:r>
            <w:r w:rsidR="00DF3B25" w:rsidRPr="004252E4">
              <w:rPr>
                <w:b/>
                <w:color w:val="00B050"/>
                <w:sz w:val="22"/>
              </w:rPr>
              <w:t>74</w:t>
            </w:r>
          </w:p>
        </w:tc>
        <w:tc>
          <w:tcPr>
            <w:tcW w:w="851" w:type="dxa"/>
            <w:tcBorders>
              <w:bottom w:val="dotted" w:sz="4" w:space="0" w:color="auto"/>
            </w:tcBorders>
            <w:shd w:val="clear" w:color="auto" w:fill="FFE599" w:themeFill="accent4" w:themeFillTint="66"/>
            <w:vAlign w:val="center"/>
          </w:tcPr>
          <w:p w14:paraId="0DD53739" w14:textId="77777777" w:rsidR="00C0245D" w:rsidRPr="004252E4" w:rsidRDefault="00E1375F" w:rsidP="00DF3B25">
            <w:pPr>
              <w:jc w:val="center"/>
              <w:rPr>
                <w:b/>
                <w:color w:val="00B050"/>
                <w:sz w:val="22"/>
              </w:rPr>
            </w:pPr>
            <w:r w:rsidRPr="004252E4">
              <w:rPr>
                <w:b/>
                <w:color w:val="00B050"/>
                <w:sz w:val="22"/>
              </w:rPr>
              <w:t>+</w:t>
            </w:r>
            <w:r w:rsidR="00C0245D" w:rsidRPr="004252E4">
              <w:rPr>
                <w:b/>
                <w:color w:val="00B050"/>
                <w:sz w:val="22"/>
              </w:rPr>
              <w:t>0,37</w:t>
            </w:r>
            <w:r w:rsidR="00DF3B25" w:rsidRPr="004252E4">
              <w:rPr>
                <w:b/>
                <w:color w:val="00B050"/>
                <w:sz w:val="22"/>
              </w:rPr>
              <w:t>4</w:t>
            </w:r>
          </w:p>
        </w:tc>
      </w:tr>
      <w:tr w:rsidR="00C0245D" w:rsidRPr="00A35C05" w14:paraId="12E6475A" w14:textId="77777777" w:rsidTr="00C0245D">
        <w:trPr>
          <w:trHeight w:val="70"/>
        </w:trPr>
        <w:tc>
          <w:tcPr>
            <w:tcW w:w="4282" w:type="dxa"/>
            <w:tcBorders>
              <w:top w:val="dotted" w:sz="4" w:space="0" w:color="auto"/>
              <w:bottom w:val="dotted" w:sz="4" w:space="0" w:color="auto"/>
            </w:tcBorders>
            <w:shd w:val="clear" w:color="auto" w:fill="FFE599" w:themeFill="accent4" w:themeFillTint="66"/>
          </w:tcPr>
          <w:p w14:paraId="6789D72D" w14:textId="77777777" w:rsidR="00C0245D" w:rsidRPr="00F80F8E" w:rsidRDefault="00C0245D" w:rsidP="000223DA">
            <w:pPr>
              <w:pStyle w:val="ListParagraph"/>
              <w:numPr>
                <w:ilvl w:val="0"/>
                <w:numId w:val="6"/>
              </w:numPr>
              <w:ind w:left="634" w:hanging="283"/>
              <w:jc w:val="left"/>
              <w:rPr>
                <w:i/>
                <w:sz w:val="20"/>
                <w:szCs w:val="20"/>
              </w:rPr>
            </w:pPr>
            <w:r w:rsidRPr="00F80F8E">
              <w:rPr>
                <w:i/>
                <w:sz w:val="20"/>
                <w:szCs w:val="20"/>
              </w:rPr>
              <w:t>valsts pamatbudžets</w:t>
            </w:r>
          </w:p>
        </w:tc>
        <w:tc>
          <w:tcPr>
            <w:tcW w:w="1134" w:type="dxa"/>
            <w:tcBorders>
              <w:top w:val="dotted" w:sz="4" w:space="0" w:color="auto"/>
              <w:bottom w:val="dotted" w:sz="4" w:space="0" w:color="auto"/>
            </w:tcBorders>
            <w:shd w:val="clear" w:color="auto" w:fill="BFBFBF" w:themeFill="background1" w:themeFillShade="BF"/>
          </w:tcPr>
          <w:p w14:paraId="2E10C65F" w14:textId="77777777" w:rsidR="00C0245D" w:rsidRPr="00A35C05" w:rsidRDefault="00C0245D" w:rsidP="00C0245D">
            <w:pPr>
              <w:jc w:val="center"/>
              <w:rPr>
                <w:sz w:val="20"/>
                <w:szCs w:val="20"/>
              </w:rPr>
            </w:pPr>
          </w:p>
        </w:tc>
        <w:tc>
          <w:tcPr>
            <w:tcW w:w="1134" w:type="dxa"/>
            <w:tcBorders>
              <w:top w:val="dotted" w:sz="4" w:space="0" w:color="auto"/>
              <w:bottom w:val="dotted" w:sz="4" w:space="0" w:color="auto"/>
            </w:tcBorders>
            <w:shd w:val="clear" w:color="auto" w:fill="FFE599" w:themeFill="accent4" w:themeFillTint="66"/>
            <w:vAlign w:val="center"/>
          </w:tcPr>
          <w:p w14:paraId="5496E900" w14:textId="77777777" w:rsidR="00C0245D" w:rsidRPr="004252E4" w:rsidRDefault="00E1375F" w:rsidP="00DF3B25">
            <w:pPr>
              <w:jc w:val="center"/>
              <w:rPr>
                <w:i/>
                <w:color w:val="00B050"/>
                <w:sz w:val="20"/>
                <w:szCs w:val="20"/>
              </w:rPr>
            </w:pPr>
            <w:r w:rsidRPr="004252E4">
              <w:rPr>
                <w:i/>
                <w:color w:val="00B050"/>
                <w:sz w:val="20"/>
                <w:szCs w:val="20"/>
              </w:rPr>
              <w:t>+</w:t>
            </w:r>
            <w:r w:rsidR="00C0245D" w:rsidRPr="004252E4">
              <w:rPr>
                <w:i/>
                <w:color w:val="00B050"/>
                <w:sz w:val="20"/>
                <w:szCs w:val="20"/>
              </w:rPr>
              <w:t>0,09</w:t>
            </w:r>
            <w:r w:rsidR="00DF3B25" w:rsidRPr="004252E4">
              <w:rPr>
                <w:i/>
                <w:color w:val="00B050"/>
                <w:sz w:val="20"/>
                <w:szCs w:val="20"/>
              </w:rPr>
              <w:t>1</w:t>
            </w:r>
          </w:p>
        </w:tc>
        <w:tc>
          <w:tcPr>
            <w:tcW w:w="992" w:type="dxa"/>
            <w:tcBorders>
              <w:top w:val="dotted" w:sz="4" w:space="0" w:color="auto"/>
              <w:bottom w:val="dotted" w:sz="4" w:space="0" w:color="auto"/>
            </w:tcBorders>
            <w:shd w:val="clear" w:color="auto" w:fill="FFE599" w:themeFill="accent4" w:themeFillTint="66"/>
            <w:vAlign w:val="center"/>
          </w:tcPr>
          <w:p w14:paraId="3C759192" w14:textId="77777777" w:rsidR="00C0245D" w:rsidRPr="004252E4" w:rsidRDefault="00E1375F" w:rsidP="00DF3B25">
            <w:pPr>
              <w:jc w:val="center"/>
              <w:rPr>
                <w:i/>
                <w:color w:val="00B050"/>
                <w:sz w:val="20"/>
                <w:szCs w:val="20"/>
              </w:rPr>
            </w:pPr>
            <w:r w:rsidRPr="004252E4">
              <w:rPr>
                <w:i/>
                <w:color w:val="00B050"/>
                <w:sz w:val="20"/>
                <w:szCs w:val="20"/>
              </w:rPr>
              <w:t>+</w:t>
            </w:r>
            <w:r w:rsidR="00C0245D" w:rsidRPr="004252E4">
              <w:rPr>
                <w:i/>
                <w:color w:val="00B050"/>
                <w:sz w:val="20"/>
                <w:szCs w:val="20"/>
              </w:rPr>
              <w:t>0,16</w:t>
            </w:r>
            <w:r w:rsidR="00DF3B25" w:rsidRPr="004252E4">
              <w:rPr>
                <w:i/>
                <w:color w:val="00B050"/>
                <w:sz w:val="20"/>
                <w:szCs w:val="20"/>
              </w:rPr>
              <w:t>4</w:t>
            </w:r>
          </w:p>
        </w:tc>
        <w:tc>
          <w:tcPr>
            <w:tcW w:w="851" w:type="dxa"/>
            <w:tcBorders>
              <w:top w:val="dotted" w:sz="4" w:space="0" w:color="auto"/>
              <w:bottom w:val="dotted" w:sz="4" w:space="0" w:color="auto"/>
            </w:tcBorders>
            <w:shd w:val="clear" w:color="auto" w:fill="FFE599" w:themeFill="accent4" w:themeFillTint="66"/>
            <w:vAlign w:val="center"/>
          </w:tcPr>
          <w:p w14:paraId="055E6F73" w14:textId="77777777" w:rsidR="00C0245D" w:rsidRPr="004252E4" w:rsidRDefault="00E1375F" w:rsidP="00DF3B25">
            <w:pPr>
              <w:jc w:val="center"/>
              <w:rPr>
                <w:i/>
                <w:color w:val="00B050"/>
                <w:sz w:val="20"/>
                <w:szCs w:val="20"/>
              </w:rPr>
            </w:pPr>
            <w:r w:rsidRPr="004252E4">
              <w:rPr>
                <w:i/>
                <w:color w:val="00B050"/>
                <w:sz w:val="20"/>
                <w:szCs w:val="20"/>
              </w:rPr>
              <w:t>+</w:t>
            </w:r>
            <w:r w:rsidR="00C0245D" w:rsidRPr="004252E4">
              <w:rPr>
                <w:i/>
                <w:color w:val="00B050"/>
                <w:sz w:val="20"/>
                <w:szCs w:val="20"/>
              </w:rPr>
              <w:t>0,22</w:t>
            </w:r>
            <w:r w:rsidR="00DF3B25" w:rsidRPr="004252E4">
              <w:rPr>
                <w:i/>
                <w:color w:val="00B050"/>
                <w:sz w:val="20"/>
                <w:szCs w:val="20"/>
              </w:rPr>
              <w:t>4</w:t>
            </w:r>
          </w:p>
        </w:tc>
      </w:tr>
      <w:tr w:rsidR="00C0245D" w:rsidRPr="00A35C05" w14:paraId="036C5B40" w14:textId="77777777" w:rsidTr="00C0245D">
        <w:trPr>
          <w:trHeight w:val="125"/>
        </w:trPr>
        <w:tc>
          <w:tcPr>
            <w:tcW w:w="4282" w:type="dxa"/>
            <w:tcBorders>
              <w:top w:val="dotted" w:sz="4" w:space="0" w:color="auto"/>
            </w:tcBorders>
            <w:shd w:val="clear" w:color="auto" w:fill="FFE599" w:themeFill="accent4" w:themeFillTint="66"/>
          </w:tcPr>
          <w:p w14:paraId="274C007E" w14:textId="77777777" w:rsidR="00C0245D" w:rsidRPr="00F80F8E" w:rsidRDefault="00C0245D" w:rsidP="000223DA">
            <w:pPr>
              <w:pStyle w:val="ListParagraph"/>
              <w:numPr>
                <w:ilvl w:val="0"/>
                <w:numId w:val="6"/>
              </w:numPr>
              <w:ind w:left="634" w:hanging="283"/>
              <w:jc w:val="left"/>
              <w:rPr>
                <w:i/>
                <w:sz w:val="20"/>
                <w:szCs w:val="20"/>
              </w:rPr>
            </w:pPr>
            <w:r w:rsidRPr="00F80F8E">
              <w:rPr>
                <w:i/>
                <w:sz w:val="20"/>
                <w:szCs w:val="20"/>
              </w:rPr>
              <w:t>pašvaldību budžeti</w:t>
            </w:r>
          </w:p>
        </w:tc>
        <w:tc>
          <w:tcPr>
            <w:tcW w:w="1134" w:type="dxa"/>
            <w:tcBorders>
              <w:top w:val="dotted" w:sz="4" w:space="0" w:color="auto"/>
            </w:tcBorders>
            <w:shd w:val="clear" w:color="auto" w:fill="BFBFBF" w:themeFill="background1" w:themeFillShade="BF"/>
          </w:tcPr>
          <w:p w14:paraId="29BBAF7A" w14:textId="77777777" w:rsidR="00C0245D" w:rsidRPr="00A35C05" w:rsidRDefault="00C0245D" w:rsidP="00C0245D">
            <w:pPr>
              <w:jc w:val="center"/>
              <w:rPr>
                <w:sz w:val="20"/>
                <w:szCs w:val="20"/>
              </w:rPr>
            </w:pPr>
          </w:p>
        </w:tc>
        <w:tc>
          <w:tcPr>
            <w:tcW w:w="1134" w:type="dxa"/>
            <w:tcBorders>
              <w:top w:val="dotted" w:sz="4" w:space="0" w:color="auto"/>
            </w:tcBorders>
            <w:shd w:val="clear" w:color="auto" w:fill="FFE599" w:themeFill="accent4" w:themeFillTint="66"/>
          </w:tcPr>
          <w:p w14:paraId="20479CA9" w14:textId="77777777" w:rsidR="00C0245D" w:rsidRPr="004252E4" w:rsidRDefault="00E1375F" w:rsidP="00DF3B25">
            <w:pPr>
              <w:jc w:val="center"/>
              <w:rPr>
                <w:i/>
                <w:color w:val="00B050"/>
                <w:sz w:val="20"/>
                <w:szCs w:val="20"/>
              </w:rPr>
            </w:pPr>
            <w:r w:rsidRPr="004252E4">
              <w:rPr>
                <w:i/>
                <w:color w:val="00B050"/>
                <w:sz w:val="20"/>
                <w:szCs w:val="20"/>
              </w:rPr>
              <w:t>+</w:t>
            </w:r>
            <w:r w:rsidR="00C0245D" w:rsidRPr="004252E4">
              <w:rPr>
                <w:i/>
                <w:color w:val="00B050"/>
                <w:sz w:val="20"/>
                <w:szCs w:val="20"/>
              </w:rPr>
              <w:t>0,06</w:t>
            </w:r>
            <w:r w:rsidR="00DF3B25" w:rsidRPr="004252E4">
              <w:rPr>
                <w:i/>
                <w:color w:val="00B050"/>
                <w:sz w:val="20"/>
                <w:szCs w:val="20"/>
              </w:rPr>
              <w:t>0</w:t>
            </w:r>
          </w:p>
        </w:tc>
        <w:tc>
          <w:tcPr>
            <w:tcW w:w="992" w:type="dxa"/>
            <w:tcBorders>
              <w:top w:val="dotted" w:sz="4" w:space="0" w:color="auto"/>
            </w:tcBorders>
            <w:shd w:val="clear" w:color="auto" w:fill="FFE599" w:themeFill="accent4" w:themeFillTint="66"/>
          </w:tcPr>
          <w:p w14:paraId="7651C1DA" w14:textId="77777777" w:rsidR="00C0245D" w:rsidRPr="004252E4" w:rsidRDefault="00E1375F" w:rsidP="00DF3B25">
            <w:pPr>
              <w:jc w:val="center"/>
              <w:rPr>
                <w:i/>
                <w:color w:val="00B050"/>
                <w:sz w:val="20"/>
                <w:szCs w:val="20"/>
              </w:rPr>
            </w:pPr>
            <w:r w:rsidRPr="004252E4">
              <w:rPr>
                <w:i/>
                <w:color w:val="00B050"/>
                <w:sz w:val="20"/>
                <w:szCs w:val="20"/>
              </w:rPr>
              <w:t>+</w:t>
            </w:r>
            <w:r w:rsidR="00C0245D" w:rsidRPr="004252E4">
              <w:rPr>
                <w:i/>
                <w:color w:val="00B050"/>
                <w:sz w:val="20"/>
                <w:szCs w:val="20"/>
              </w:rPr>
              <w:t>0,10</w:t>
            </w:r>
            <w:r w:rsidR="00DF3B25" w:rsidRPr="004252E4">
              <w:rPr>
                <w:i/>
                <w:color w:val="00B050"/>
                <w:sz w:val="20"/>
                <w:szCs w:val="20"/>
              </w:rPr>
              <w:t>9</w:t>
            </w:r>
          </w:p>
        </w:tc>
        <w:tc>
          <w:tcPr>
            <w:tcW w:w="851" w:type="dxa"/>
            <w:tcBorders>
              <w:top w:val="dotted" w:sz="4" w:space="0" w:color="auto"/>
            </w:tcBorders>
            <w:shd w:val="clear" w:color="auto" w:fill="FFE599" w:themeFill="accent4" w:themeFillTint="66"/>
          </w:tcPr>
          <w:p w14:paraId="3986CCD2" w14:textId="77777777" w:rsidR="00C0245D" w:rsidRPr="004252E4" w:rsidRDefault="00E1375F" w:rsidP="00DF3B25">
            <w:pPr>
              <w:jc w:val="center"/>
              <w:rPr>
                <w:i/>
                <w:color w:val="00B050"/>
                <w:sz w:val="20"/>
                <w:szCs w:val="20"/>
              </w:rPr>
            </w:pPr>
            <w:r w:rsidRPr="004252E4">
              <w:rPr>
                <w:i/>
                <w:color w:val="00B050"/>
                <w:sz w:val="20"/>
                <w:szCs w:val="20"/>
              </w:rPr>
              <w:t>+</w:t>
            </w:r>
            <w:r w:rsidR="00C0245D" w:rsidRPr="004252E4">
              <w:rPr>
                <w:i/>
                <w:color w:val="00B050"/>
                <w:sz w:val="20"/>
                <w:szCs w:val="20"/>
              </w:rPr>
              <w:t>0,1</w:t>
            </w:r>
            <w:r w:rsidR="00DF3B25" w:rsidRPr="004252E4">
              <w:rPr>
                <w:i/>
                <w:color w:val="00B050"/>
                <w:sz w:val="20"/>
                <w:szCs w:val="20"/>
              </w:rPr>
              <w:t>50</w:t>
            </w:r>
            <w:r w:rsidR="00C0245D" w:rsidRPr="004252E4">
              <w:rPr>
                <w:i/>
                <w:color w:val="00B050"/>
                <w:sz w:val="20"/>
                <w:szCs w:val="20"/>
              </w:rPr>
              <w:t xml:space="preserve"> </w:t>
            </w:r>
          </w:p>
        </w:tc>
      </w:tr>
    </w:tbl>
    <w:p w14:paraId="6EF55A3F" w14:textId="77777777" w:rsidR="0008134A" w:rsidRPr="00C0245D" w:rsidRDefault="0008134A" w:rsidP="0008134A">
      <w:pPr>
        <w:rPr>
          <w:sz w:val="22"/>
        </w:rPr>
      </w:pPr>
    </w:p>
    <w:p w14:paraId="55942556" w14:textId="77777777" w:rsidR="0008134A" w:rsidRPr="00A97FD1" w:rsidRDefault="0008134A" w:rsidP="000223DA">
      <w:pPr>
        <w:pStyle w:val="ListParagraph"/>
        <w:numPr>
          <w:ilvl w:val="0"/>
          <w:numId w:val="11"/>
        </w:numPr>
        <w:spacing w:after="120"/>
        <w:ind w:left="425" w:hanging="425"/>
        <w:rPr>
          <w:b/>
          <w:sz w:val="26"/>
          <w:szCs w:val="26"/>
        </w:rPr>
      </w:pPr>
      <w:r w:rsidRPr="00A97FD1">
        <w:rPr>
          <w:b/>
          <w:sz w:val="26"/>
          <w:szCs w:val="26"/>
        </w:rPr>
        <w:t xml:space="preserve">paaugstināt DRN likmi </w:t>
      </w:r>
      <w:r w:rsidRPr="00A97FD1">
        <w:rPr>
          <w:b/>
          <w:bCs/>
          <w:sz w:val="26"/>
          <w:szCs w:val="26"/>
        </w:rPr>
        <w:t>par zemes dzīļu derīgo īpašību izmantošanu</w:t>
      </w:r>
      <w:r w:rsidRPr="00A97FD1">
        <w:rPr>
          <w:b/>
          <w:sz w:val="26"/>
          <w:szCs w:val="26"/>
        </w:rPr>
        <w:t>, iesūknējot ģeoloģiskajās struktūrās dabasgāzi</w:t>
      </w:r>
    </w:p>
    <w:p w14:paraId="2F693739" w14:textId="77777777" w:rsidR="0008134A" w:rsidRDefault="0008134A" w:rsidP="0008134A">
      <w:pPr>
        <w:ind w:left="426"/>
        <w:jc w:val="both"/>
        <w:rPr>
          <w:sz w:val="26"/>
          <w:szCs w:val="26"/>
        </w:rPr>
      </w:pPr>
      <w:r w:rsidRPr="00A97FD1">
        <w:rPr>
          <w:sz w:val="26"/>
          <w:szCs w:val="26"/>
        </w:rPr>
        <w:t>Ģeoloģiskās struktūras, kurās iespējams glabāt dabas gāzi, ir Latvijas zemes dzīļu bagātība. Likmi sāka piemērot no 2005.gada 1.jūlija, un nodokļa likme nav tikusi pārskatīta kopš tā laika, kas neatbilst ekonomiskajiem procesiem valstī.</w:t>
      </w:r>
    </w:p>
    <w:p w14:paraId="72785D85" w14:textId="77777777" w:rsidR="00A97FD1" w:rsidRPr="00A97FD1" w:rsidRDefault="00A97FD1" w:rsidP="00A97FD1">
      <w:pPr>
        <w:spacing w:after="120"/>
        <w:jc w:val="center"/>
        <w:rPr>
          <w:b/>
          <w:sz w:val="26"/>
          <w:szCs w:val="26"/>
        </w:rPr>
      </w:pPr>
      <w:r w:rsidRPr="00A97FD1">
        <w:rPr>
          <w:szCs w:val="24"/>
        </w:rPr>
        <w:lastRenderedPageBreak/>
        <w:t>2</w:t>
      </w:r>
      <w:r w:rsidR="006C5A20">
        <w:rPr>
          <w:szCs w:val="24"/>
        </w:rPr>
        <w:t>8</w:t>
      </w:r>
      <w:r w:rsidRPr="00A97FD1">
        <w:rPr>
          <w:szCs w:val="24"/>
        </w:rPr>
        <w:t>.tab.</w:t>
      </w:r>
      <w:r w:rsidRPr="00A97FD1">
        <w:rPr>
          <w:b/>
          <w:szCs w:val="24"/>
        </w:rPr>
        <w:t xml:space="preserve"> DRN likmes</w:t>
      </w:r>
      <w:r w:rsidRPr="00A97FD1">
        <w:rPr>
          <w:szCs w:val="24"/>
        </w:rPr>
        <w:t xml:space="preserve"> </w:t>
      </w:r>
      <w:r w:rsidRPr="00A97FD1">
        <w:rPr>
          <w:b/>
          <w:bCs/>
          <w:szCs w:val="24"/>
        </w:rPr>
        <w:t>par zemes dzīļu derīgo īpašību izmantošanu</w:t>
      </w:r>
      <w:r w:rsidRPr="00A97FD1">
        <w:rPr>
          <w:b/>
          <w:szCs w:val="24"/>
        </w:rPr>
        <w:t>, iesūknējot ģeoloģiskajās stru</w:t>
      </w:r>
      <w:r w:rsidR="00941D34">
        <w:rPr>
          <w:b/>
          <w:szCs w:val="24"/>
        </w:rPr>
        <w:t>ktūrās dabasgāzi paaugstināšana</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34"/>
        <w:gridCol w:w="1134"/>
        <w:gridCol w:w="992"/>
        <w:gridCol w:w="851"/>
      </w:tblGrid>
      <w:tr w:rsidR="00A97FD1" w:rsidRPr="00E10A72" w14:paraId="15DB5713" w14:textId="77777777" w:rsidTr="00FB4F10">
        <w:trPr>
          <w:trHeight w:val="429"/>
        </w:trPr>
        <w:tc>
          <w:tcPr>
            <w:tcW w:w="4282" w:type="dxa"/>
            <w:vMerge w:val="restart"/>
            <w:tcBorders>
              <w:bottom w:val="single" w:sz="4" w:space="0" w:color="FFFFFF" w:themeColor="background1"/>
              <w:right w:val="single" w:sz="4" w:space="0" w:color="FFFFFF" w:themeColor="background1"/>
            </w:tcBorders>
            <w:shd w:val="clear" w:color="auto" w:fill="002060"/>
          </w:tcPr>
          <w:p w14:paraId="0EA8B307" w14:textId="77777777" w:rsidR="00A97FD1" w:rsidRPr="00E10A72" w:rsidRDefault="00A97FD1" w:rsidP="00FB4F10">
            <w:pPr>
              <w:rPr>
                <w:b/>
                <w:color w:val="FFFFFF" w:themeColor="background1"/>
                <w:sz w:val="22"/>
              </w:rPr>
            </w:pPr>
          </w:p>
        </w:tc>
        <w:tc>
          <w:tcPr>
            <w:tcW w:w="1134"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2060"/>
          </w:tcPr>
          <w:p w14:paraId="78E8C2D2" w14:textId="77777777" w:rsidR="00A97FD1" w:rsidRPr="00E10A72" w:rsidRDefault="00A97FD1" w:rsidP="00FB4F10">
            <w:pPr>
              <w:jc w:val="center"/>
              <w:rPr>
                <w:b/>
                <w:color w:val="FFFFFF" w:themeColor="background1"/>
                <w:sz w:val="22"/>
              </w:rPr>
            </w:pPr>
            <w:r w:rsidRPr="00E10A72">
              <w:rPr>
                <w:b/>
                <w:color w:val="FFFFFF" w:themeColor="background1"/>
                <w:sz w:val="22"/>
              </w:rPr>
              <w:t xml:space="preserve">Esošā likme </w:t>
            </w:r>
          </w:p>
        </w:tc>
        <w:tc>
          <w:tcPr>
            <w:tcW w:w="2977" w:type="dxa"/>
            <w:gridSpan w:val="3"/>
            <w:tcBorders>
              <w:left w:val="single" w:sz="4" w:space="0" w:color="FFFFFF" w:themeColor="background1"/>
              <w:bottom w:val="single" w:sz="4" w:space="0" w:color="FFFFFF" w:themeColor="background1"/>
            </w:tcBorders>
            <w:shd w:val="clear" w:color="auto" w:fill="002060"/>
          </w:tcPr>
          <w:p w14:paraId="1486E3BC" w14:textId="77777777" w:rsidR="00A97FD1" w:rsidRPr="00E10A72" w:rsidRDefault="00A97FD1" w:rsidP="008C635B">
            <w:pPr>
              <w:jc w:val="center"/>
              <w:rPr>
                <w:b/>
                <w:color w:val="FFFFFF" w:themeColor="background1"/>
                <w:sz w:val="22"/>
              </w:rPr>
            </w:pPr>
            <w:r w:rsidRPr="00E10A72">
              <w:rPr>
                <w:b/>
                <w:color w:val="FFFFFF" w:themeColor="background1"/>
                <w:sz w:val="22"/>
              </w:rPr>
              <w:t>Paaugstinātā likme</w:t>
            </w:r>
          </w:p>
        </w:tc>
      </w:tr>
      <w:tr w:rsidR="00A97FD1" w:rsidRPr="00E10A72" w14:paraId="4DF34212" w14:textId="77777777" w:rsidTr="00FB4F10">
        <w:tc>
          <w:tcPr>
            <w:tcW w:w="4282" w:type="dxa"/>
            <w:vMerge/>
            <w:tcBorders>
              <w:top w:val="single" w:sz="4" w:space="0" w:color="FFFFFF" w:themeColor="background1"/>
              <w:right w:val="single" w:sz="4" w:space="0" w:color="FFFFFF" w:themeColor="background1"/>
            </w:tcBorders>
            <w:shd w:val="clear" w:color="auto" w:fill="002060"/>
          </w:tcPr>
          <w:p w14:paraId="1AA83B16" w14:textId="77777777" w:rsidR="00A97FD1" w:rsidRPr="00E10A72" w:rsidRDefault="00A97FD1" w:rsidP="00FB4F10">
            <w:pPr>
              <w:rPr>
                <w:b/>
                <w:color w:val="FFFFFF" w:themeColor="background1"/>
                <w:sz w:val="22"/>
              </w:rPr>
            </w:pPr>
          </w:p>
        </w:tc>
        <w:tc>
          <w:tcPr>
            <w:tcW w:w="1134" w:type="dxa"/>
            <w:vMerge/>
            <w:tcBorders>
              <w:top w:val="single" w:sz="4" w:space="0" w:color="FFFFFF" w:themeColor="background1"/>
              <w:left w:val="single" w:sz="4" w:space="0" w:color="FFFFFF" w:themeColor="background1"/>
              <w:right w:val="single" w:sz="4" w:space="0" w:color="FFFFFF" w:themeColor="background1"/>
            </w:tcBorders>
            <w:shd w:val="clear" w:color="auto" w:fill="002060"/>
          </w:tcPr>
          <w:p w14:paraId="42EF83E6" w14:textId="77777777" w:rsidR="00A97FD1" w:rsidRPr="00E10A72" w:rsidRDefault="00A97FD1" w:rsidP="00FB4F10">
            <w:pPr>
              <w:jc w:val="center"/>
              <w:rPr>
                <w:b/>
                <w:color w:val="FFFFFF" w:themeColor="background1"/>
                <w:sz w:val="22"/>
              </w:rPr>
            </w:pP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79A3DE46" w14:textId="77777777" w:rsidR="00A97FD1" w:rsidRPr="00E10A72" w:rsidRDefault="00A97FD1" w:rsidP="00FB4F10">
            <w:pPr>
              <w:jc w:val="center"/>
              <w:rPr>
                <w:b/>
                <w:color w:val="FFFFFF" w:themeColor="background1"/>
                <w:sz w:val="22"/>
              </w:rPr>
            </w:pPr>
            <w:r>
              <w:rPr>
                <w:b/>
                <w:color w:val="FFFFFF" w:themeColor="background1"/>
                <w:sz w:val="22"/>
              </w:rPr>
              <w:t>2021</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1E932DD3" w14:textId="77777777" w:rsidR="00A97FD1" w:rsidRPr="00E10A72" w:rsidRDefault="00A97FD1" w:rsidP="00FB4F10">
            <w:pPr>
              <w:jc w:val="center"/>
              <w:rPr>
                <w:b/>
                <w:color w:val="FFFFFF" w:themeColor="background1"/>
                <w:sz w:val="22"/>
              </w:rPr>
            </w:pPr>
            <w:r w:rsidRPr="00E10A72">
              <w:rPr>
                <w:b/>
                <w:color w:val="FFFFFF" w:themeColor="background1"/>
                <w:sz w:val="22"/>
              </w:rPr>
              <w:t>2022</w:t>
            </w:r>
          </w:p>
        </w:tc>
        <w:tc>
          <w:tcPr>
            <w:tcW w:w="851" w:type="dxa"/>
            <w:tcBorders>
              <w:top w:val="single" w:sz="4" w:space="0" w:color="FFFFFF" w:themeColor="background1"/>
              <w:left w:val="single" w:sz="4" w:space="0" w:color="FFFFFF" w:themeColor="background1"/>
            </w:tcBorders>
            <w:shd w:val="clear" w:color="auto" w:fill="002060"/>
          </w:tcPr>
          <w:p w14:paraId="0F51BE03" w14:textId="77777777" w:rsidR="00A97FD1" w:rsidRPr="00E10A72" w:rsidRDefault="00A97FD1" w:rsidP="00FB4F10">
            <w:pPr>
              <w:jc w:val="center"/>
              <w:rPr>
                <w:b/>
                <w:color w:val="FFFFFF" w:themeColor="background1"/>
                <w:sz w:val="22"/>
              </w:rPr>
            </w:pPr>
            <w:r w:rsidRPr="00E10A72">
              <w:rPr>
                <w:b/>
                <w:color w:val="FFFFFF" w:themeColor="background1"/>
                <w:sz w:val="22"/>
              </w:rPr>
              <w:t>2023</w:t>
            </w:r>
          </w:p>
        </w:tc>
      </w:tr>
      <w:tr w:rsidR="00A97FD1" w:rsidRPr="00A35C05" w14:paraId="7BBB7AFA" w14:textId="77777777" w:rsidTr="00FB4F10">
        <w:trPr>
          <w:trHeight w:val="325"/>
        </w:trPr>
        <w:tc>
          <w:tcPr>
            <w:tcW w:w="4282" w:type="dxa"/>
            <w:tcBorders>
              <w:bottom w:val="single" w:sz="4" w:space="0" w:color="auto"/>
            </w:tcBorders>
            <w:shd w:val="clear" w:color="auto" w:fill="auto"/>
          </w:tcPr>
          <w:p w14:paraId="083A833C" w14:textId="77777777" w:rsidR="00A97FD1" w:rsidRPr="00A35C05" w:rsidRDefault="00A97FD1" w:rsidP="00FB4F10">
            <w:pPr>
              <w:rPr>
                <w:sz w:val="22"/>
              </w:rPr>
            </w:pPr>
            <w:r w:rsidRPr="00A97FD1">
              <w:rPr>
                <w:sz w:val="22"/>
              </w:rPr>
              <w:t>Zemes dzīļu derīgo īpašību izmantošana, iesūknējot ģeoloģiskajās struktūrās dabasgāzi</w:t>
            </w:r>
            <w:r>
              <w:rPr>
                <w:sz w:val="22"/>
              </w:rPr>
              <w:t>,</w:t>
            </w:r>
            <w:r w:rsidRPr="0008134A">
              <w:rPr>
                <w:i/>
                <w:sz w:val="22"/>
              </w:rPr>
              <w:t xml:space="preserve"> euro </w:t>
            </w:r>
            <w:r>
              <w:rPr>
                <w:i/>
                <w:sz w:val="22"/>
              </w:rPr>
              <w:t xml:space="preserve">par </w:t>
            </w:r>
            <w:r w:rsidRPr="00A97FD1">
              <w:rPr>
                <w:i/>
                <w:sz w:val="22"/>
              </w:rPr>
              <w:t>100 m³</w:t>
            </w:r>
          </w:p>
        </w:tc>
        <w:tc>
          <w:tcPr>
            <w:tcW w:w="1134" w:type="dxa"/>
            <w:tcBorders>
              <w:bottom w:val="single" w:sz="4" w:space="0" w:color="auto"/>
            </w:tcBorders>
            <w:shd w:val="clear" w:color="auto" w:fill="BFBFBF" w:themeFill="background1" w:themeFillShade="BF"/>
            <w:vAlign w:val="center"/>
          </w:tcPr>
          <w:p w14:paraId="47C94E57" w14:textId="77777777" w:rsidR="00A97FD1" w:rsidRPr="00A97FD1" w:rsidRDefault="00A97FD1" w:rsidP="00FB4F10">
            <w:pPr>
              <w:jc w:val="center"/>
              <w:rPr>
                <w:b/>
                <w:sz w:val="22"/>
              </w:rPr>
            </w:pPr>
            <w:r w:rsidRPr="00A97FD1">
              <w:rPr>
                <w:b/>
                <w:sz w:val="22"/>
              </w:rPr>
              <w:t>0,0143</w:t>
            </w:r>
          </w:p>
        </w:tc>
        <w:tc>
          <w:tcPr>
            <w:tcW w:w="2977" w:type="dxa"/>
            <w:gridSpan w:val="3"/>
            <w:tcBorders>
              <w:bottom w:val="single" w:sz="4" w:space="0" w:color="auto"/>
            </w:tcBorders>
            <w:shd w:val="clear" w:color="auto" w:fill="auto"/>
            <w:vAlign w:val="center"/>
          </w:tcPr>
          <w:p w14:paraId="10CF4CA1" w14:textId="77777777" w:rsidR="00A97FD1" w:rsidRPr="00A97FD1" w:rsidRDefault="00A97FD1" w:rsidP="00FB4F10">
            <w:pPr>
              <w:jc w:val="center"/>
              <w:rPr>
                <w:b/>
                <w:color w:val="FF0000"/>
                <w:sz w:val="22"/>
              </w:rPr>
            </w:pPr>
            <w:r w:rsidRPr="00A97FD1">
              <w:rPr>
                <w:b/>
                <w:color w:val="FF0000"/>
                <w:sz w:val="22"/>
              </w:rPr>
              <w:t>0,3</w:t>
            </w:r>
          </w:p>
        </w:tc>
      </w:tr>
      <w:tr w:rsidR="00A97FD1" w:rsidRPr="00A35C05" w14:paraId="3EFAB563" w14:textId="77777777" w:rsidTr="00FB4F10">
        <w:trPr>
          <w:trHeight w:val="274"/>
        </w:trPr>
        <w:tc>
          <w:tcPr>
            <w:tcW w:w="4282" w:type="dxa"/>
            <w:tcBorders>
              <w:bottom w:val="dotted" w:sz="4" w:space="0" w:color="auto"/>
            </w:tcBorders>
            <w:shd w:val="clear" w:color="auto" w:fill="FFE599" w:themeFill="accent4" w:themeFillTint="66"/>
          </w:tcPr>
          <w:p w14:paraId="6269B564" w14:textId="77777777" w:rsidR="00A97FD1" w:rsidRPr="00A35C05" w:rsidRDefault="00A97FD1" w:rsidP="00A97FD1">
            <w:pPr>
              <w:rPr>
                <w:sz w:val="22"/>
              </w:rPr>
            </w:pPr>
            <w:r w:rsidRPr="0008134A">
              <w:rPr>
                <w:b/>
                <w:sz w:val="22"/>
              </w:rPr>
              <w:t>Fiskālā ietekme</w:t>
            </w:r>
            <w:r>
              <w:rPr>
                <w:b/>
                <w:sz w:val="22"/>
              </w:rPr>
              <w:t xml:space="preserve">, </w:t>
            </w:r>
            <w:r w:rsidRPr="0008134A">
              <w:rPr>
                <w:i/>
                <w:sz w:val="22"/>
              </w:rPr>
              <w:t>milj. euro</w:t>
            </w:r>
          </w:p>
        </w:tc>
        <w:tc>
          <w:tcPr>
            <w:tcW w:w="1134" w:type="dxa"/>
            <w:tcBorders>
              <w:bottom w:val="dotted" w:sz="4" w:space="0" w:color="auto"/>
            </w:tcBorders>
            <w:shd w:val="clear" w:color="auto" w:fill="BFBFBF" w:themeFill="background1" w:themeFillShade="BF"/>
          </w:tcPr>
          <w:p w14:paraId="0C609ED0" w14:textId="77777777" w:rsidR="00A97FD1" w:rsidRPr="00A35C05" w:rsidRDefault="00A97FD1" w:rsidP="00A97FD1">
            <w:pPr>
              <w:jc w:val="center"/>
              <w:rPr>
                <w:sz w:val="22"/>
              </w:rPr>
            </w:pPr>
          </w:p>
        </w:tc>
        <w:tc>
          <w:tcPr>
            <w:tcW w:w="1134" w:type="dxa"/>
            <w:tcBorders>
              <w:bottom w:val="dotted" w:sz="4" w:space="0" w:color="auto"/>
            </w:tcBorders>
            <w:shd w:val="clear" w:color="auto" w:fill="FFE599" w:themeFill="accent4" w:themeFillTint="66"/>
          </w:tcPr>
          <w:p w14:paraId="71B95119" w14:textId="77777777" w:rsidR="00A97FD1" w:rsidRPr="004252E4" w:rsidRDefault="00E1375F" w:rsidP="00A97FD1">
            <w:pPr>
              <w:jc w:val="center"/>
              <w:rPr>
                <w:b/>
                <w:color w:val="00B050"/>
                <w:sz w:val="22"/>
              </w:rPr>
            </w:pPr>
            <w:r w:rsidRPr="004252E4">
              <w:rPr>
                <w:b/>
                <w:color w:val="00B050"/>
                <w:sz w:val="22"/>
              </w:rPr>
              <w:t>+</w:t>
            </w:r>
            <w:r w:rsidR="00A97FD1" w:rsidRPr="004252E4">
              <w:rPr>
                <w:b/>
                <w:color w:val="00B050"/>
                <w:sz w:val="22"/>
              </w:rPr>
              <w:t>0,147</w:t>
            </w:r>
          </w:p>
        </w:tc>
        <w:tc>
          <w:tcPr>
            <w:tcW w:w="992" w:type="dxa"/>
            <w:tcBorders>
              <w:bottom w:val="dotted" w:sz="4" w:space="0" w:color="auto"/>
            </w:tcBorders>
            <w:shd w:val="clear" w:color="auto" w:fill="FFE599" w:themeFill="accent4" w:themeFillTint="66"/>
          </w:tcPr>
          <w:p w14:paraId="6D692D7B" w14:textId="77777777" w:rsidR="00A97FD1" w:rsidRPr="004252E4" w:rsidRDefault="00E1375F" w:rsidP="00A97FD1">
            <w:pPr>
              <w:jc w:val="center"/>
              <w:rPr>
                <w:b/>
                <w:color w:val="00B050"/>
                <w:sz w:val="22"/>
              </w:rPr>
            </w:pPr>
            <w:r w:rsidRPr="004252E4">
              <w:rPr>
                <w:b/>
                <w:color w:val="00B050"/>
                <w:sz w:val="22"/>
              </w:rPr>
              <w:t>+</w:t>
            </w:r>
            <w:r w:rsidR="00A97FD1" w:rsidRPr="004252E4">
              <w:rPr>
                <w:b/>
                <w:color w:val="00B050"/>
                <w:sz w:val="22"/>
              </w:rPr>
              <w:t>0,203</w:t>
            </w:r>
          </w:p>
        </w:tc>
        <w:tc>
          <w:tcPr>
            <w:tcW w:w="851" w:type="dxa"/>
            <w:tcBorders>
              <w:bottom w:val="dotted" w:sz="4" w:space="0" w:color="auto"/>
            </w:tcBorders>
            <w:shd w:val="clear" w:color="auto" w:fill="FFE599" w:themeFill="accent4" w:themeFillTint="66"/>
          </w:tcPr>
          <w:p w14:paraId="7702BC32" w14:textId="77777777" w:rsidR="00A97FD1" w:rsidRPr="004252E4" w:rsidRDefault="00E1375F" w:rsidP="00A97FD1">
            <w:pPr>
              <w:jc w:val="center"/>
              <w:rPr>
                <w:b/>
                <w:color w:val="00B050"/>
                <w:sz w:val="22"/>
              </w:rPr>
            </w:pPr>
            <w:r w:rsidRPr="004252E4">
              <w:rPr>
                <w:b/>
                <w:color w:val="00B050"/>
                <w:sz w:val="22"/>
              </w:rPr>
              <w:t>+</w:t>
            </w:r>
            <w:r w:rsidR="00A97FD1" w:rsidRPr="004252E4">
              <w:rPr>
                <w:b/>
                <w:color w:val="00B050"/>
                <w:sz w:val="22"/>
              </w:rPr>
              <w:t xml:space="preserve">0,209 </w:t>
            </w:r>
          </w:p>
        </w:tc>
      </w:tr>
      <w:tr w:rsidR="00A97FD1" w:rsidRPr="00A35C05" w14:paraId="4B474316" w14:textId="77777777" w:rsidTr="00A97FD1">
        <w:trPr>
          <w:trHeight w:val="70"/>
        </w:trPr>
        <w:tc>
          <w:tcPr>
            <w:tcW w:w="4282" w:type="dxa"/>
            <w:tcBorders>
              <w:top w:val="dotted" w:sz="4" w:space="0" w:color="auto"/>
              <w:bottom w:val="dotted" w:sz="4" w:space="0" w:color="auto"/>
            </w:tcBorders>
            <w:shd w:val="clear" w:color="auto" w:fill="FFE599" w:themeFill="accent4" w:themeFillTint="66"/>
          </w:tcPr>
          <w:p w14:paraId="330D6E1C" w14:textId="77777777" w:rsidR="00A97FD1" w:rsidRPr="00F80F8E" w:rsidRDefault="00A97FD1" w:rsidP="000223DA">
            <w:pPr>
              <w:pStyle w:val="ListParagraph"/>
              <w:numPr>
                <w:ilvl w:val="0"/>
                <w:numId w:val="6"/>
              </w:numPr>
              <w:ind w:left="634" w:hanging="283"/>
              <w:jc w:val="left"/>
              <w:rPr>
                <w:i/>
                <w:sz w:val="20"/>
                <w:szCs w:val="20"/>
              </w:rPr>
            </w:pPr>
            <w:r w:rsidRPr="00F80F8E">
              <w:rPr>
                <w:i/>
                <w:sz w:val="20"/>
                <w:szCs w:val="20"/>
              </w:rPr>
              <w:t>valsts pamatbudžets</w:t>
            </w:r>
          </w:p>
        </w:tc>
        <w:tc>
          <w:tcPr>
            <w:tcW w:w="1134" w:type="dxa"/>
            <w:tcBorders>
              <w:top w:val="dotted" w:sz="4" w:space="0" w:color="auto"/>
              <w:bottom w:val="dotted" w:sz="4" w:space="0" w:color="auto"/>
            </w:tcBorders>
            <w:shd w:val="clear" w:color="auto" w:fill="BFBFBF" w:themeFill="background1" w:themeFillShade="BF"/>
          </w:tcPr>
          <w:p w14:paraId="2545E52A" w14:textId="77777777" w:rsidR="00A97FD1" w:rsidRPr="00A35C05" w:rsidRDefault="00A97FD1" w:rsidP="00FB4F10">
            <w:pPr>
              <w:jc w:val="center"/>
              <w:rPr>
                <w:sz w:val="20"/>
                <w:szCs w:val="20"/>
              </w:rPr>
            </w:pPr>
          </w:p>
        </w:tc>
        <w:tc>
          <w:tcPr>
            <w:tcW w:w="1134" w:type="dxa"/>
            <w:tcBorders>
              <w:top w:val="dotted" w:sz="4" w:space="0" w:color="auto"/>
              <w:bottom w:val="dotted" w:sz="4" w:space="0" w:color="auto"/>
            </w:tcBorders>
            <w:shd w:val="clear" w:color="auto" w:fill="FFE599" w:themeFill="accent4" w:themeFillTint="66"/>
            <w:vAlign w:val="center"/>
          </w:tcPr>
          <w:p w14:paraId="0575508E" w14:textId="77777777" w:rsidR="00A97FD1" w:rsidRPr="004252E4" w:rsidRDefault="00A97FD1" w:rsidP="00FB4F10">
            <w:pPr>
              <w:jc w:val="center"/>
              <w:rPr>
                <w:i/>
                <w:color w:val="00B050"/>
                <w:sz w:val="20"/>
                <w:szCs w:val="20"/>
              </w:rPr>
            </w:pPr>
            <w:r w:rsidRPr="004252E4">
              <w:rPr>
                <w:i/>
                <w:color w:val="00B050"/>
                <w:sz w:val="20"/>
                <w:szCs w:val="20"/>
              </w:rPr>
              <w:t>-</w:t>
            </w:r>
          </w:p>
        </w:tc>
        <w:tc>
          <w:tcPr>
            <w:tcW w:w="992" w:type="dxa"/>
            <w:tcBorders>
              <w:top w:val="dotted" w:sz="4" w:space="0" w:color="auto"/>
              <w:bottom w:val="dotted" w:sz="4" w:space="0" w:color="auto"/>
            </w:tcBorders>
            <w:shd w:val="clear" w:color="auto" w:fill="FFE599" w:themeFill="accent4" w:themeFillTint="66"/>
            <w:vAlign w:val="center"/>
          </w:tcPr>
          <w:p w14:paraId="00A01854" w14:textId="77777777" w:rsidR="00A97FD1" w:rsidRPr="004252E4" w:rsidRDefault="00A97FD1" w:rsidP="00FB4F10">
            <w:pPr>
              <w:jc w:val="center"/>
              <w:rPr>
                <w:i/>
                <w:color w:val="00B050"/>
                <w:sz w:val="20"/>
                <w:szCs w:val="20"/>
              </w:rPr>
            </w:pPr>
            <w:r w:rsidRPr="004252E4">
              <w:rPr>
                <w:i/>
                <w:color w:val="00B050"/>
                <w:sz w:val="20"/>
                <w:szCs w:val="20"/>
              </w:rPr>
              <w:t>-</w:t>
            </w:r>
          </w:p>
        </w:tc>
        <w:tc>
          <w:tcPr>
            <w:tcW w:w="851" w:type="dxa"/>
            <w:tcBorders>
              <w:top w:val="dotted" w:sz="4" w:space="0" w:color="auto"/>
              <w:bottom w:val="dotted" w:sz="4" w:space="0" w:color="auto"/>
            </w:tcBorders>
            <w:shd w:val="clear" w:color="auto" w:fill="FFE599" w:themeFill="accent4" w:themeFillTint="66"/>
            <w:vAlign w:val="center"/>
          </w:tcPr>
          <w:p w14:paraId="18D1FF99" w14:textId="77777777" w:rsidR="00A97FD1" w:rsidRPr="004252E4" w:rsidRDefault="00A97FD1" w:rsidP="00FB4F10">
            <w:pPr>
              <w:jc w:val="center"/>
              <w:rPr>
                <w:i/>
                <w:color w:val="00B050"/>
                <w:sz w:val="20"/>
                <w:szCs w:val="20"/>
              </w:rPr>
            </w:pPr>
            <w:r w:rsidRPr="004252E4">
              <w:rPr>
                <w:i/>
                <w:color w:val="00B050"/>
                <w:sz w:val="20"/>
                <w:szCs w:val="20"/>
              </w:rPr>
              <w:t>-</w:t>
            </w:r>
          </w:p>
        </w:tc>
      </w:tr>
      <w:tr w:rsidR="00A97FD1" w:rsidRPr="00A35C05" w14:paraId="6973A586" w14:textId="77777777" w:rsidTr="00A97FD1">
        <w:trPr>
          <w:trHeight w:val="125"/>
        </w:trPr>
        <w:tc>
          <w:tcPr>
            <w:tcW w:w="4282" w:type="dxa"/>
            <w:tcBorders>
              <w:top w:val="dotted" w:sz="4" w:space="0" w:color="auto"/>
              <w:bottom w:val="single" w:sz="4" w:space="0" w:color="auto"/>
            </w:tcBorders>
            <w:shd w:val="clear" w:color="auto" w:fill="FFE599" w:themeFill="accent4" w:themeFillTint="66"/>
          </w:tcPr>
          <w:p w14:paraId="07E5724F" w14:textId="77777777" w:rsidR="00A97FD1" w:rsidRPr="00F80F8E" w:rsidRDefault="00A97FD1" w:rsidP="000223DA">
            <w:pPr>
              <w:pStyle w:val="ListParagraph"/>
              <w:numPr>
                <w:ilvl w:val="0"/>
                <w:numId w:val="6"/>
              </w:numPr>
              <w:ind w:left="634" w:hanging="283"/>
              <w:jc w:val="left"/>
              <w:rPr>
                <w:i/>
                <w:sz w:val="20"/>
                <w:szCs w:val="20"/>
              </w:rPr>
            </w:pPr>
            <w:r w:rsidRPr="00F80F8E">
              <w:rPr>
                <w:i/>
                <w:sz w:val="20"/>
                <w:szCs w:val="20"/>
              </w:rPr>
              <w:t>pašvaldību budžeti</w:t>
            </w:r>
          </w:p>
        </w:tc>
        <w:tc>
          <w:tcPr>
            <w:tcW w:w="1134" w:type="dxa"/>
            <w:tcBorders>
              <w:top w:val="dotted" w:sz="4" w:space="0" w:color="auto"/>
              <w:bottom w:val="single" w:sz="4" w:space="0" w:color="auto"/>
            </w:tcBorders>
            <w:shd w:val="clear" w:color="auto" w:fill="BFBFBF" w:themeFill="background1" w:themeFillShade="BF"/>
          </w:tcPr>
          <w:p w14:paraId="085EEB43" w14:textId="77777777" w:rsidR="00A97FD1" w:rsidRPr="00A35C05" w:rsidRDefault="00A97FD1" w:rsidP="00FB4F10">
            <w:pPr>
              <w:jc w:val="center"/>
              <w:rPr>
                <w:sz w:val="20"/>
                <w:szCs w:val="20"/>
              </w:rPr>
            </w:pPr>
          </w:p>
        </w:tc>
        <w:tc>
          <w:tcPr>
            <w:tcW w:w="1134" w:type="dxa"/>
            <w:tcBorders>
              <w:top w:val="dotted" w:sz="4" w:space="0" w:color="auto"/>
              <w:bottom w:val="single" w:sz="4" w:space="0" w:color="auto"/>
            </w:tcBorders>
            <w:shd w:val="clear" w:color="auto" w:fill="FFE599" w:themeFill="accent4" w:themeFillTint="66"/>
          </w:tcPr>
          <w:p w14:paraId="3C742369" w14:textId="77777777" w:rsidR="00A97FD1" w:rsidRPr="004252E4" w:rsidRDefault="00E1375F" w:rsidP="00A97FD1">
            <w:pPr>
              <w:jc w:val="center"/>
              <w:rPr>
                <w:i/>
                <w:color w:val="00B050"/>
                <w:sz w:val="20"/>
                <w:szCs w:val="20"/>
              </w:rPr>
            </w:pPr>
            <w:r w:rsidRPr="004252E4">
              <w:rPr>
                <w:i/>
                <w:color w:val="00B050"/>
                <w:sz w:val="20"/>
                <w:szCs w:val="20"/>
              </w:rPr>
              <w:t>+</w:t>
            </w:r>
            <w:r w:rsidR="00A97FD1" w:rsidRPr="004252E4">
              <w:rPr>
                <w:i/>
                <w:color w:val="00B050"/>
                <w:sz w:val="20"/>
                <w:szCs w:val="20"/>
              </w:rPr>
              <w:t>0,147</w:t>
            </w:r>
          </w:p>
        </w:tc>
        <w:tc>
          <w:tcPr>
            <w:tcW w:w="992" w:type="dxa"/>
            <w:tcBorders>
              <w:top w:val="dotted" w:sz="4" w:space="0" w:color="auto"/>
              <w:bottom w:val="single" w:sz="4" w:space="0" w:color="auto"/>
            </w:tcBorders>
            <w:shd w:val="clear" w:color="auto" w:fill="FFE599" w:themeFill="accent4" w:themeFillTint="66"/>
          </w:tcPr>
          <w:p w14:paraId="4E7F4437" w14:textId="77777777" w:rsidR="00A97FD1" w:rsidRPr="004252E4" w:rsidRDefault="00E1375F" w:rsidP="00A97FD1">
            <w:pPr>
              <w:jc w:val="center"/>
              <w:rPr>
                <w:i/>
                <w:color w:val="00B050"/>
                <w:sz w:val="20"/>
                <w:szCs w:val="20"/>
              </w:rPr>
            </w:pPr>
            <w:r w:rsidRPr="004252E4">
              <w:rPr>
                <w:i/>
                <w:color w:val="00B050"/>
                <w:sz w:val="20"/>
                <w:szCs w:val="20"/>
              </w:rPr>
              <w:t>+</w:t>
            </w:r>
            <w:r w:rsidR="00A97FD1" w:rsidRPr="004252E4">
              <w:rPr>
                <w:i/>
                <w:color w:val="00B050"/>
                <w:sz w:val="20"/>
                <w:szCs w:val="20"/>
              </w:rPr>
              <w:t>0,203</w:t>
            </w:r>
          </w:p>
        </w:tc>
        <w:tc>
          <w:tcPr>
            <w:tcW w:w="851" w:type="dxa"/>
            <w:tcBorders>
              <w:top w:val="dotted" w:sz="4" w:space="0" w:color="auto"/>
              <w:bottom w:val="single" w:sz="4" w:space="0" w:color="auto"/>
            </w:tcBorders>
            <w:shd w:val="clear" w:color="auto" w:fill="FFE599" w:themeFill="accent4" w:themeFillTint="66"/>
          </w:tcPr>
          <w:p w14:paraId="0368E05B" w14:textId="77777777" w:rsidR="00A97FD1" w:rsidRPr="004252E4" w:rsidRDefault="00E1375F" w:rsidP="00A97FD1">
            <w:pPr>
              <w:jc w:val="center"/>
              <w:rPr>
                <w:i/>
                <w:color w:val="00B050"/>
                <w:sz w:val="20"/>
                <w:szCs w:val="20"/>
              </w:rPr>
            </w:pPr>
            <w:r w:rsidRPr="004252E4">
              <w:rPr>
                <w:i/>
                <w:color w:val="00B050"/>
                <w:sz w:val="20"/>
                <w:szCs w:val="20"/>
              </w:rPr>
              <w:t>+</w:t>
            </w:r>
            <w:r w:rsidR="00A97FD1" w:rsidRPr="004252E4">
              <w:rPr>
                <w:i/>
                <w:color w:val="00B050"/>
                <w:sz w:val="20"/>
                <w:szCs w:val="20"/>
              </w:rPr>
              <w:t xml:space="preserve">0,209 </w:t>
            </w:r>
          </w:p>
        </w:tc>
      </w:tr>
    </w:tbl>
    <w:p w14:paraId="14A1F4CD" w14:textId="77777777" w:rsidR="0008134A" w:rsidRDefault="0008134A" w:rsidP="0008134A">
      <w:pPr>
        <w:ind w:left="426" w:hanging="426"/>
        <w:rPr>
          <w:szCs w:val="24"/>
        </w:rPr>
      </w:pPr>
    </w:p>
    <w:p w14:paraId="24391E43" w14:textId="77777777" w:rsidR="0008134A" w:rsidRPr="00A97FD1" w:rsidRDefault="0008134A" w:rsidP="000223DA">
      <w:pPr>
        <w:pStyle w:val="ListParagraph"/>
        <w:numPr>
          <w:ilvl w:val="0"/>
          <w:numId w:val="11"/>
        </w:numPr>
        <w:spacing w:after="120"/>
        <w:ind w:left="425" w:hanging="425"/>
        <w:rPr>
          <w:color w:val="FF0000"/>
          <w:sz w:val="26"/>
          <w:szCs w:val="26"/>
        </w:rPr>
      </w:pPr>
      <w:r w:rsidRPr="00A97FD1">
        <w:rPr>
          <w:b/>
          <w:sz w:val="26"/>
          <w:szCs w:val="26"/>
        </w:rPr>
        <w:t>izlīdzināt un paaugstināt DRN likmes</w:t>
      </w:r>
      <w:r w:rsidRPr="00A97FD1">
        <w:rPr>
          <w:sz w:val="26"/>
          <w:szCs w:val="26"/>
        </w:rPr>
        <w:t xml:space="preserve"> </w:t>
      </w:r>
      <w:r w:rsidRPr="00A97FD1">
        <w:rPr>
          <w:b/>
          <w:bCs/>
          <w:sz w:val="26"/>
          <w:szCs w:val="26"/>
        </w:rPr>
        <w:t>par dabas resursu ieguvi</w:t>
      </w:r>
      <w:r w:rsidRPr="00A97FD1">
        <w:rPr>
          <w:sz w:val="26"/>
          <w:szCs w:val="26"/>
        </w:rPr>
        <w:t xml:space="preserve"> </w:t>
      </w:r>
    </w:p>
    <w:p w14:paraId="3E4AB640" w14:textId="77777777" w:rsidR="0008134A" w:rsidRPr="00A97FD1" w:rsidRDefault="0008134A" w:rsidP="00A97FD1">
      <w:pPr>
        <w:spacing w:after="120"/>
        <w:ind w:left="426"/>
        <w:jc w:val="both"/>
        <w:rPr>
          <w:sz w:val="26"/>
          <w:szCs w:val="26"/>
        </w:rPr>
      </w:pPr>
      <w:r w:rsidRPr="00A97FD1">
        <w:rPr>
          <w:sz w:val="26"/>
          <w:szCs w:val="26"/>
        </w:rPr>
        <w:t>Kopš 2014. gada nav pārskatītas DRN likmes par dabas resursu ieguvi šādiem zemes dzīļu resursiem: smilšmāls un mālsmilts, aleirīts, kvarca smilts, smilts, smilts-grants, māls un citi mālainie ieži būvmateriālu ražošanai, dolomīts, kaļķakmens, laukakmeņi, kūdra.</w:t>
      </w:r>
    </w:p>
    <w:p w14:paraId="533E7AC8" w14:textId="77777777" w:rsidR="0008134A" w:rsidRDefault="0008134A" w:rsidP="00A97FD1">
      <w:pPr>
        <w:spacing w:after="120"/>
        <w:ind w:left="426"/>
        <w:jc w:val="both"/>
        <w:rPr>
          <w:sz w:val="26"/>
          <w:szCs w:val="26"/>
        </w:rPr>
      </w:pPr>
      <w:r w:rsidRPr="00A97FD1">
        <w:rPr>
          <w:sz w:val="26"/>
          <w:szCs w:val="26"/>
        </w:rPr>
        <w:t>2017. gadā tika paaugstināta DRN likme augsnei. Ievērojot, ka ar 2021.gadu Latvijā ir jāievieš dalītā atkritumu vākšana bioloģiski noārdāmiem atkritumiem, kuri pēc to savākšanas un nepieciešamās priekšapstrādes tiks izmantoti komposta ražošanai, Latvijā ir jāveicina tirgus pieprasījums pēc komposta materiāla. DRN likme augsnei jāpārskata, lai motivētu racionāli izmantot šo resursu un pēc iespējas aizvietot to ar kompostu.</w:t>
      </w:r>
    </w:p>
    <w:p w14:paraId="1EF93A14" w14:textId="77777777" w:rsidR="007F2FF4" w:rsidRPr="00A97FD1" w:rsidRDefault="007F2FF4" w:rsidP="007F2FF4">
      <w:pPr>
        <w:spacing w:after="120"/>
        <w:jc w:val="center"/>
        <w:rPr>
          <w:b/>
          <w:sz w:val="26"/>
          <w:szCs w:val="26"/>
        </w:rPr>
      </w:pPr>
      <w:r w:rsidRPr="00A97FD1">
        <w:rPr>
          <w:szCs w:val="24"/>
        </w:rPr>
        <w:t>2</w:t>
      </w:r>
      <w:r w:rsidR="006C5A20">
        <w:rPr>
          <w:szCs w:val="24"/>
        </w:rPr>
        <w:t>9</w:t>
      </w:r>
      <w:r w:rsidRPr="00A97FD1">
        <w:rPr>
          <w:szCs w:val="24"/>
        </w:rPr>
        <w:t>.tab.</w:t>
      </w:r>
      <w:r w:rsidRPr="00A97FD1">
        <w:rPr>
          <w:b/>
          <w:szCs w:val="24"/>
        </w:rPr>
        <w:t xml:space="preserve"> DRN likmes</w:t>
      </w:r>
      <w:r w:rsidRPr="00A97FD1">
        <w:rPr>
          <w:szCs w:val="24"/>
        </w:rPr>
        <w:t xml:space="preserve"> </w:t>
      </w:r>
      <w:r w:rsidRPr="007F2FF4">
        <w:rPr>
          <w:b/>
          <w:bCs/>
          <w:szCs w:val="24"/>
        </w:rPr>
        <w:t>par dabas resursu ieguvi</w:t>
      </w:r>
      <w:r w:rsidRPr="007F2FF4">
        <w:rPr>
          <w:szCs w:val="24"/>
        </w:rPr>
        <w:t xml:space="preserve"> </w:t>
      </w:r>
      <w:r w:rsidRPr="007F2FF4">
        <w:rPr>
          <w:b/>
          <w:szCs w:val="24"/>
        </w:rPr>
        <w:t>izlīdzināšanas</w:t>
      </w:r>
      <w:r w:rsidRPr="00A97FD1">
        <w:rPr>
          <w:b/>
          <w:sz w:val="26"/>
          <w:szCs w:val="26"/>
        </w:rPr>
        <w:t xml:space="preserve"> </w:t>
      </w:r>
      <w:r>
        <w:rPr>
          <w:b/>
          <w:sz w:val="26"/>
          <w:szCs w:val="26"/>
        </w:rPr>
        <w:t xml:space="preserve">un </w:t>
      </w:r>
      <w:r w:rsidR="00941D34">
        <w:rPr>
          <w:b/>
          <w:szCs w:val="24"/>
        </w:rPr>
        <w:t>paaugstināšana</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34"/>
        <w:gridCol w:w="1134"/>
        <w:gridCol w:w="992"/>
        <w:gridCol w:w="851"/>
      </w:tblGrid>
      <w:tr w:rsidR="007F2FF4" w:rsidRPr="00E10A72" w14:paraId="53BC7DA7" w14:textId="77777777" w:rsidTr="00FB4F10">
        <w:trPr>
          <w:trHeight w:val="429"/>
        </w:trPr>
        <w:tc>
          <w:tcPr>
            <w:tcW w:w="4282" w:type="dxa"/>
            <w:vMerge w:val="restart"/>
            <w:tcBorders>
              <w:bottom w:val="single" w:sz="4" w:space="0" w:color="FFFFFF" w:themeColor="background1"/>
              <w:right w:val="single" w:sz="4" w:space="0" w:color="FFFFFF" w:themeColor="background1"/>
            </w:tcBorders>
            <w:shd w:val="clear" w:color="auto" w:fill="002060"/>
          </w:tcPr>
          <w:p w14:paraId="5A35C890" w14:textId="77777777" w:rsidR="007F2FF4" w:rsidRPr="00E10A72" w:rsidRDefault="007F2FF4" w:rsidP="00FB4F10">
            <w:pPr>
              <w:rPr>
                <w:b/>
                <w:color w:val="FFFFFF" w:themeColor="background1"/>
                <w:sz w:val="22"/>
              </w:rPr>
            </w:pPr>
          </w:p>
        </w:tc>
        <w:tc>
          <w:tcPr>
            <w:tcW w:w="1134"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2060"/>
          </w:tcPr>
          <w:p w14:paraId="5C5C1819" w14:textId="77777777" w:rsidR="007F2FF4" w:rsidRPr="00E10A72" w:rsidRDefault="007F2FF4" w:rsidP="00FB4F10">
            <w:pPr>
              <w:jc w:val="center"/>
              <w:rPr>
                <w:b/>
                <w:color w:val="FFFFFF" w:themeColor="background1"/>
                <w:sz w:val="22"/>
              </w:rPr>
            </w:pPr>
            <w:r w:rsidRPr="00E10A72">
              <w:rPr>
                <w:b/>
                <w:color w:val="FFFFFF" w:themeColor="background1"/>
                <w:sz w:val="22"/>
              </w:rPr>
              <w:t xml:space="preserve">Esošā likme </w:t>
            </w:r>
          </w:p>
        </w:tc>
        <w:tc>
          <w:tcPr>
            <w:tcW w:w="2977" w:type="dxa"/>
            <w:gridSpan w:val="3"/>
            <w:tcBorders>
              <w:left w:val="single" w:sz="4" w:space="0" w:color="FFFFFF" w:themeColor="background1"/>
              <w:bottom w:val="single" w:sz="4" w:space="0" w:color="FFFFFF" w:themeColor="background1"/>
            </w:tcBorders>
            <w:shd w:val="clear" w:color="auto" w:fill="002060"/>
          </w:tcPr>
          <w:p w14:paraId="5415647A" w14:textId="77777777" w:rsidR="007F2FF4" w:rsidRPr="00E10A72" w:rsidRDefault="007F2FF4" w:rsidP="008C635B">
            <w:pPr>
              <w:jc w:val="center"/>
              <w:rPr>
                <w:b/>
                <w:color w:val="FFFFFF" w:themeColor="background1"/>
                <w:sz w:val="22"/>
              </w:rPr>
            </w:pPr>
            <w:r w:rsidRPr="00E10A72">
              <w:rPr>
                <w:b/>
                <w:color w:val="FFFFFF" w:themeColor="background1"/>
                <w:sz w:val="22"/>
              </w:rPr>
              <w:t>Paaugstinātā likme</w:t>
            </w:r>
          </w:p>
        </w:tc>
      </w:tr>
      <w:tr w:rsidR="007F2FF4" w:rsidRPr="00E10A72" w14:paraId="04B93AF8" w14:textId="77777777" w:rsidTr="00FB4F10">
        <w:tc>
          <w:tcPr>
            <w:tcW w:w="4282" w:type="dxa"/>
            <w:vMerge/>
            <w:tcBorders>
              <w:top w:val="single" w:sz="4" w:space="0" w:color="FFFFFF" w:themeColor="background1"/>
              <w:right w:val="single" w:sz="4" w:space="0" w:color="FFFFFF" w:themeColor="background1"/>
            </w:tcBorders>
            <w:shd w:val="clear" w:color="auto" w:fill="002060"/>
          </w:tcPr>
          <w:p w14:paraId="012D47A3" w14:textId="77777777" w:rsidR="007F2FF4" w:rsidRPr="00E10A72" w:rsidRDefault="007F2FF4" w:rsidP="00FB4F10">
            <w:pPr>
              <w:rPr>
                <w:b/>
                <w:color w:val="FFFFFF" w:themeColor="background1"/>
                <w:sz w:val="22"/>
              </w:rPr>
            </w:pPr>
          </w:p>
        </w:tc>
        <w:tc>
          <w:tcPr>
            <w:tcW w:w="1134" w:type="dxa"/>
            <w:vMerge/>
            <w:tcBorders>
              <w:top w:val="single" w:sz="4" w:space="0" w:color="FFFFFF" w:themeColor="background1"/>
              <w:left w:val="single" w:sz="4" w:space="0" w:color="FFFFFF" w:themeColor="background1"/>
              <w:right w:val="single" w:sz="4" w:space="0" w:color="FFFFFF" w:themeColor="background1"/>
            </w:tcBorders>
            <w:shd w:val="clear" w:color="auto" w:fill="002060"/>
          </w:tcPr>
          <w:p w14:paraId="4121F522" w14:textId="77777777" w:rsidR="007F2FF4" w:rsidRPr="00E10A72" w:rsidRDefault="007F2FF4" w:rsidP="00FB4F10">
            <w:pPr>
              <w:jc w:val="center"/>
              <w:rPr>
                <w:b/>
                <w:color w:val="FFFFFF" w:themeColor="background1"/>
                <w:sz w:val="22"/>
              </w:rPr>
            </w:pP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4EC5E6AE" w14:textId="77777777" w:rsidR="007F2FF4" w:rsidRPr="00E10A72" w:rsidRDefault="007F2FF4" w:rsidP="00FB4F10">
            <w:pPr>
              <w:jc w:val="center"/>
              <w:rPr>
                <w:b/>
                <w:color w:val="FFFFFF" w:themeColor="background1"/>
                <w:sz w:val="22"/>
              </w:rPr>
            </w:pPr>
            <w:r>
              <w:rPr>
                <w:b/>
                <w:color w:val="FFFFFF" w:themeColor="background1"/>
                <w:sz w:val="22"/>
              </w:rPr>
              <w:t>2021</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192F7189" w14:textId="77777777" w:rsidR="007F2FF4" w:rsidRPr="00E10A72" w:rsidRDefault="007F2FF4" w:rsidP="00FB4F10">
            <w:pPr>
              <w:jc w:val="center"/>
              <w:rPr>
                <w:b/>
                <w:color w:val="FFFFFF" w:themeColor="background1"/>
                <w:sz w:val="22"/>
              </w:rPr>
            </w:pPr>
            <w:r w:rsidRPr="00E10A72">
              <w:rPr>
                <w:b/>
                <w:color w:val="FFFFFF" w:themeColor="background1"/>
                <w:sz w:val="22"/>
              </w:rPr>
              <w:t>2022</w:t>
            </w:r>
          </w:p>
        </w:tc>
        <w:tc>
          <w:tcPr>
            <w:tcW w:w="851" w:type="dxa"/>
            <w:tcBorders>
              <w:top w:val="single" w:sz="4" w:space="0" w:color="FFFFFF" w:themeColor="background1"/>
              <w:left w:val="single" w:sz="4" w:space="0" w:color="FFFFFF" w:themeColor="background1"/>
            </w:tcBorders>
            <w:shd w:val="clear" w:color="auto" w:fill="002060"/>
          </w:tcPr>
          <w:p w14:paraId="4C2363D2" w14:textId="77777777" w:rsidR="007F2FF4" w:rsidRPr="00E10A72" w:rsidRDefault="007F2FF4" w:rsidP="00FB4F10">
            <w:pPr>
              <w:jc w:val="center"/>
              <w:rPr>
                <w:b/>
                <w:color w:val="FFFFFF" w:themeColor="background1"/>
                <w:sz w:val="22"/>
              </w:rPr>
            </w:pPr>
            <w:r w:rsidRPr="00E10A72">
              <w:rPr>
                <w:b/>
                <w:color w:val="FFFFFF" w:themeColor="background1"/>
                <w:sz w:val="22"/>
              </w:rPr>
              <w:t>2023</w:t>
            </w:r>
          </w:p>
        </w:tc>
      </w:tr>
      <w:tr w:rsidR="007F2FF4" w:rsidRPr="00A35C05" w14:paraId="6FE648E5" w14:textId="77777777" w:rsidTr="00FB4F10">
        <w:trPr>
          <w:trHeight w:val="325"/>
        </w:trPr>
        <w:tc>
          <w:tcPr>
            <w:tcW w:w="4282" w:type="dxa"/>
            <w:tcBorders>
              <w:bottom w:val="single" w:sz="4" w:space="0" w:color="auto"/>
            </w:tcBorders>
            <w:shd w:val="clear" w:color="auto" w:fill="auto"/>
          </w:tcPr>
          <w:p w14:paraId="5118011A" w14:textId="77777777" w:rsidR="007F2FF4" w:rsidRPr="00A35C05" w:rsidRDefault="007F2FF4" w:rsidP="007F2FF4">
            <w:pPr>
              <w:rPr>
                <w:sz w:val="22"/>
              </w:rPr>
            </w:pPr>
            <w:r>
              <w:rPr>
                <w:rFonts w:cs="Times New Roman"/>
                <w:sz w:val="22"/>
              </w:rPr>
              <w:t>A</w:t>
            </w:r>
            <w:r w:rsidRPr="007F2FF4">
              <w:rPr>
                <w:rFonts w:cs="Times New Roman"/>
                <w:sz w:val="22"/>
              </w:rPr>
              <w:t>ugsne</w:t>
            </w:r>
            <w:r>
              <w:rPr>
                <w:sz w:val="22"/>
              </w:rPr>
              <w:t>,</w:t>
            </w:r>
            <w:r w:rsidRPr="0008134A">
              <w:rPr>
                <w:i/>
                <w:sz w:val="22"/>
              </w:rPr>
              <w:t xml:space="preserve"> euro </w:t>
            </w:r>
            <w:r w:rsidRPr="007F2FF4">
              <w:rPr>
                <w:i/>
                <w:sz w:val="22"/>
              </w:rPr>
              <w:t xml:space="preserve">par </w:t>
            </w:r>
            <w:r w:rsidRPr="007F2FF4">
              <w:rPr>
                <w:rFonts w:cs="Times New Roman"/>
                <w:i/>
                <w:sz w:val="22"/>
              </w:rPr>
              <w:t>m³</w:t>
            </w:r>
          </w:p>
        </w:tc>
        <w:tc>
          <w:tcPr>
            <w:tcW w:w="1134" w:type="dxa"/>
            <w:tcBorders>
              <w:bottom w:val="single" w:sz="4" w:space="0" w:color="auto"/>
            </w:tcBorders>
            <w:shd w:val="clear" w:color="auto" w:fill="BFBFBF" w:themeFill="background1" w:themeFillShade="BF"/>
            <w:vAlign w:val="center"/>
          </w:tcPr>
          <w:p w14:paraId="20EF2773" w14:textId="77777777" w:rsidR="007F2FF4" w:rsidRPr="007F2FF4" w:rsidRDefault="007F2FF4" w:rsidP="00FB4F10">
            <w:pPr>
              <w:jc w:val="center"/>
              <w:rPr>
                <w:b/>
                <w:sz w:val="22"/>
              </w:rPr>
            </w:pPr>
            <w:r w:rsidRPr="007F2FF4">
              <w:rPr>
                <w:rFonts w:cs="Times New Roman"/>
                <w:b/>
                <w:sz w:val="22"/>
              </w:rPr>
              <w:t>0,86</w:t>
            </w:r>
          </w:p>
        </w:tc>
        <w:tc>
          <w:tcPr>
            <w:tcW w:w="2977" w:type="dxa"/>
            <w:gridSpan w:val="3"/>
            <w:tcBorders>
              <w:bottom w:val="single" w:sz="4" w:space="0" w:color="auto"/>
            </w:tcBorders>
            <w:shd w:val="clear" w:color="auto" w:fill="auto"/>
            <w:vAlign w:val="center"/>
          </w:tcPr>
          <w:p w14:paraId="11C93AED" w14:textId="77777777" w:rsidR="007F2FF4" w:rsidRPr="007F2FF4" w:rsidRDefault="007F2FF4" w:rsidP="00FB4F10">
            <w:pPr>
              <w:jc w:val="center"/>
              <w:rPr>
                <w:b/>
                <w:color w:val="FF0000"/>
                <w:sz w:val="22"/>
              </w:rPr>
            </w:pPr>
            <w:r w:rsidRPr="007F2FF4">
              <w:rPr>
                <w:rFonts w:cs="Times New Roman"/>
                <w:b/>
                <w:color w:val="FF0000"/>
                <w:sz w:val="22"/>
              </w:rPr>
              <w:t>1,29</w:t>
            </w:r>
          </w:p>
        </w:tc>
      </w:tr>
      <w:tr w:rsidR="003F4175" w:rsidRPr="00A35C05" w14:paraId="19723C27" w14:textId="77777777" w:rsidTr="00FB4F10">
        <w:trPr>
          <w:trHeight w:val="325"/>
        </w:trPr>
        <w:tc>
          <w:tcPr>
            <w:tcW w:w="4282" w:type="dxa"/>
            <w:tcBorders>
              <w:bottom w:val="single" w:sz="4" w:space="0" w:color="auto"/>
            </w:tcBorders>
            <w:shd w:val="clear" w:color="auto" w:fill="auto"/>
          </w:tcPr>
          <w:p w14:paraId="70877F3C" w14:textId="77777777" w:rsidR="003F4175" w:rsidRPr="00A35C05" w:rsidRDefault="003F4175" w:rsidP="007F2FF4">
            <w:pPr>
              <w:rPr>
                <w:sz w:val="22"/>
              </w:rPr>
            </w:pPr>
            <w:r>
              <w:rPr>
                <w:rFonts w:cs="Times New Roman"/>
                <w:sz w:val="22"/>
              </w:rPr>
              <w:t>S</w:t>
            </w:r>
            <w:r w:rsidRPr="007F2FF4">
              <w:rPr>
                <w:rFonts w:cs="Times New Roman"/>
                <w:sz w:val="22"/>
              </w:rPr>
              <w:t>milšmāls un mālsmilts, aleirīts</w:t>
            </w:r>
            <w:r>
              <w:rPr>
                <w:sz w:val="22"/>
              </w:rPr>
              <w:t>,</w:t>
            </w:r>
            <w:r w:rsidRPr="0008134A">
              <w:rPr>
                <w:i/>
                <w:sz w:val="22"/>
              </w:rPr>
              <w:t xml:space="preserve"> euro </w:t>
            </w:r>
            <w:r w:rsidRPr="007F2FF4">
              <w:rPr>
                <w:i/>
                <w:sz w:val="22"/>
              </w:rPr>
              <w:t xml:space="preserve">par </w:t>
            </w:r>
            <w:r w:rsidRPr="007F2FF4">
              <w:rPr>
                <w:rFonts w:cs="Times New Roman"/>
                <w:i/>
                <w:sz w:val="22"/>
              </w:rPr>
              <w:t>m³</w:t>
            </w:r>
          </w:p>
        </w:tc>
        <w:tc>
          <w:tcPr>
            <w:tcW w:w="1134" w:type="dxa"/>
            <w:tcBorders>
              <w:bottom w:val="single" w:sz="4" w:space="0" w:color="auto"/>
            </w:tcBorders>
            <w:shd w:val="clear" w:color="auto" w:fill="BFBFBF" w:themeFill="background1" w:themeFillShade="BF"/>
            <w:vAlign w:val="center"/>
          </w:tcPr>
          <w:p w14:paraId="19291F5A" w14:textId="77777777" w:rsidR="003F4175" w:rsidRPr="003F4175" w:rsidRDefault="003F4175" w:rsidP="00FB4F10">
            <w:pPr>
              <w:jc w:val="center"/>
              <w:rPr>
                <w:b/>
                <w:sz w:val="22"/>
              </w:rPr>
            </w:pPr>
            <w:r w:rsidRPr="003F4175">
              <w:rPr>
                <w:rFonts w:cs="Times New Roman"/>
                <w:b/>
                <w:sz w:val="22"/>
              </w:rPr>
              <w:t>0,14</w:t>
            </w:r>
          </w:p>
        </w:tc>
        <w:tc>
          <w:tcPr>
            <w:tcW w:w="2977" w:type="dxa"/>
            <w:gridSpan w:val="3"/>
            <w:tcBorders>
              <w:bottom w:val="single" w:sz="4" w:space="0" w:color="auto"/>
            </w:tcBorders>
            <w:shd w:val="clear" w:color="auto" w:fill="auto"/>
            <w:vAlign w:val="center"/>
          </w:tcPr>
          <w:p w14:paraId="59A49197" w14:textId="77777777" w:rsidR="003F4175" w:rsidRPr="003F4175" w:rsidRDefault="003F4175" w:rsidP="00FB4F10">
            <w:pPr>
              <w:jc w:val="center"/>
              <w:rPr>
                <w:b/>
                <w:color w:val="FF0000"/>
                <w:sz w:val="22"/>
              </w:rPr>
            </w:pPr>
            <w:r w:rsidRPr="003F4175">
              <w:rPr>
                <w:rFonts w:cs="Times New Roman"/>
                <w:b/>
                <w:color w:val="FF0000"/>
                <w:sz w:val="22"/>
              </w:rPr>
              <w:t>0,21</w:t>
            </w:r>
          </w:p>
        </w:tc>
      </w:tr>
      <w:tr w:rsidR="003F4175" w:rsidRPr="00A35C05" w14:paraId="654500C1" w14:textId="77777777" w:rsidTr="00FB4F10">
        <w:trPr>
          <w:trHeight w:val="325"/>
        </w:trPr>
        <w:tc>
          <w:tcPr>
            <w:tcW w:w="4282" w:type="dxa"/>
            <w:tcBorders>
              <w:bottom w:val="single" w:sz="4" w:space="0" w:color="auto"/>
            </w:tcBorders>
            <w:shd w:val="clear" w:color="auto" w:fill="auto"/>
          </w:tcPr>
          <w:p w14:paraId="4E7A6608" w14:textId="77777777" w:rsidR="003F4175" w:rsidRPr="007F2FF4" w:rsidRDefault="003F4175" w:rsidP="007F2FF4">
            <w:pPr>
              <w:rPr>
                <w:rFonts w:cs="Times New Roman"/>
                <w:sz w:val="22"/>
              </w:rPr>
            </w:pPr>
            <w:r>
              <w:rPr>
                <w:rFonts w:cs="Times New Roman"/>
                <w:sz w:val="22"/>
              </w:rPr>
              <w:t>K</w:t>
            </w:r>
            <w:r w:rsidRPr="007F2FF4">
              <w:rPr>
                <w:rFonts w:cs="Times New Roman"/>
                <w:sz w:val="22"/>
              </w:rPr>
              <w:t>varca smilts</w:t>
            </w:r>
            <w:r>
              <w:rPr>
                <w:sz w:val="22"/>
              </w:rPr>
              <w:t>,</w:t>
            </w:r>
            <w:r w:rsidRPr="0008134A">
              <w:rPr>
                <w:i/>
                <w:sz w:val="22"/>
              </w:rPr>
              <w:t xml:space="preserve"> euro </w:t>
            </w:r>
            <w:r w:rsidRPr="007F2FF4">
              <w:rPr>
                <w:i/>
                <w:sz w:val="22"/>
              </w:rPr>
              <w:t xml:space="preserve">par </w:t>
            </w:r>
            <w:r w:rsidRPr="007F2FF4">
              <w:rPr>
                <w:rFonts w:cs="Times New Roman"/>
                <w:i/>
                <w:sz w:val="22"/>
              </w:rPr>
              <w:t>m³</w:t>
            </w:r>
          </w:p>
        </w:tc>
        <w:tc>
          <w:tcPr>
            <w:tcW w:w="1134" w:type="dxa"/>
            <w:tcBorders>
              <w:bottom w:val="single" w:sz="4" w:space="0" w:color="auto"/>
            </w:tcBorders>
            <w:shd w:val="clear" w:color="auto" w:fill="BFBFBF" w:themeFill="background1" w:themeFillShade="BF"/>
            <w:vAlign w:val="center"/>
          </w:tcPr>
          <w:p w14:paraId="48A90DC8" w14:textId="77777777" w:rsidR="003F4175" w:rsidRPr="003F4175" w:rsidRDefault="003F4175" w:rsidP="00FB4F10">
            <w:pPr>
              <w:jc w:val="center"/>
              <w:rPr>
                <w:b/>
                <w:sz w:val="22"/>
              </w:rPr>
            </w:pPr>
            <w:r w:rsidRPr="003F4175">
              <w:rPr>
                <w:rFonts w:cs="Times New Roman"/>
                <w:b/>
                <w:sz w:val="22"/>
              </w:rPr>
              <w:t>0,45</w:t>
            </w:r>
          </w:p>
        </w:tc>
        <w:tc>
          <w:tcPr>
            <w:tcW w:w="2977" w:type="dxa"/>
            <w:gridSpan w:val="3"/>
            <w:tcBorders>
              <w:bottom w:val="single" w:sz="4" w:space="0" w:color="auto"/>
            </w:tcBorders>
            <w:shd w:val="clear" w:color="auto" w:fill="auto"/>
            <w:vAlign w:val="center"/>
          </w:tcPr>
          <w:p w14:paraId="1882996F" w14:textId="77777777" w:rsidR="003F4175" w:rsidRPr="003F4175" w:rsidRDefault="003F4175" w:rsidP="00FB4F10">
            <w:pPr>
              <w:jc w:val="center"/>
              <w:rPr>
                <w:b/>
                <w:color w:val="FF0000"/>
                <w:sz w:val="22"/>
              </w:rPr>
            </w:pPr>
            <w:r w:rsidRPr="003F4175">
              <w:rPr>
                <w:rFonts w:cs="Times New Roman"/>
                <w:b/>
                <w:color w:val="FF0000"/>
                <w:sz w:val="22"/>
              </w:rPr>
              <w:t>0,68</w:t>
            </w:r>
          </w:p>
        </w:tc>
      </w:tr>
      <w:tr w:rsidR="003F4175" w:rsidRPr="00A35C05" w14:paraId="1646FA2E" w14:textId="77777777" w:rsidTr="00FB4F10">
        <w:trPr>
          <w:trHeight w:val="274"/>
        </w:trPr>
        <w:tc>
          <w:tcPr>
            <w:tcW w:w="4282" w:type="dxa"/>
            <w:tcBorders>
              <w:bottom w:val="dotted" w:sz="4" w:space="0" w:color="auto"/>
            </w:tcBorders>
            <w:shd w:val="clear" w:color="auto" w:fill="FFFFFF" w:themeFill="background1"/>
          </w:tcPr>
          <w:p w14:paraId="233AC641" w14:textId="77777777" w:rsidR="003F4175" w:rsidRPr="0008134A" w:rsidRDefault="003F4175" w:rsidP="00FB4F10">
            <w:pPr>
              <w:rPr>
                <w:b/>
                <w:sz w:val="22"/>
              </w:rPr>
            </w:pPr>
            <w:r w:rsidRPr="007F2FF4">
              <w:rPr>
                <w:rFonts w:cs="Times New Roman"/>
                <w:sz w:val="22"/>
              </w:rPr>
              <w:t>Smilts</w:t>
            </w:r>
            <w:r>
              <w:rPr>
                <w:rFonts w:cs="Times New Roman"/>
                <w:sz w:val="22"/>
              </w:rPr>
              <w:t>,</w:t>
            </w:r>
            <w:r w:rsidRPr="0008134A">
              <w:rPr>
                <w:i/>
                <w:sz w:val="22"/>
              </w:rPr>
              <w:t xml:space="preserve"> euro </w:t>
            </w:r>
            <w:r w:rsidRPr="007F2FF4">
              <w:rPr>
                <w:i/>
                <w:sz w:val="22"/>
              </w:rPr>
              <w:t xml:space="preserve">par </w:t>
            </w:r>
            <w:r w:rsidRPr="007F2FF4">
              <w:rPr>
                <w:rFonts w:cs="Times New Roman"/>
                <w:i/>
                <w:sz w:val="22"/>
              </w:rPr>
              <w:t>m³</w:t>
            </w:r>
          </w:p>
        </w:tc>
        <w:tc>
          <w:tcPr>
            <w:tcW w:w="1134" w:type="dxa"/>
            <w:tcBorders>
              <w:bottom w:val="dotted" w:sz="4" w:space="0" w:color="auto"/>
            </w:tcBorders>
            <w:shd w:val="clear" w:color="auto" w:fill="D9D9D9" w:themeFill="background1" w:themeFillShade="D9"/>
          </w:tcPr>
          <w:p w14:paraId="20D472CC" w14:textId="77777777" w:rsidR="003F4175" w:rsidRPr="003F4175" w:rsidRDefault="003F4175" w:rsidP="00FB4F10">
            <w:pPr>
              <w:jc w:val="center"/>
              <w:rPr>
                <w:b/>
                <w:sz w:val="22"/>
              </w:rPr>
            </w:pPr>
            <w:r w:rsidRPr="003F4175">
              <w:rPr>
                <w:rFonts w:cs="Times New Roman"/>
                <w:b/>
                <w:sz w:val="22"/>
              </w:rPr>
              <w:t>0,36</w:t>
            </w:r>
          </w:p>
        </w:tc>
        <w:tc>
          <w:tcPr>
            <w:tcW w:w="2977" w:type="dxa"/>
            <w:gridSpan w:val="3"/>
            <w:tcBorders>
              <w:bottom w:val="dotted" w:sz="4" w:space="0" w:color="auto"/>
            </w:tcBorders>
            <w:shd w:val="clear" w:color="auto" w:fill="FFFFFF" w:themeFill="background1"/>
            <w:vAlign w:val="center"/>
          </w:tcPr>
          <w:p w14:paraId="1144C505" w14:textId="77777777" w:rsidR="003F4175" w:rsidRPr="003F4175" w:rsidRDefault="003F4175" w:rsidP="00FB4F10">
            <w:pPr>
              <w:jc w:val="center"/>
              <w:rPr>
                <w:b/>
                <w:color w:val="FF0000"/>
                <w:sz w:val="22"/>
              </w:rPr>
            </w:pPr>
            <w:r w:rsidRPr="003F4175">
              <w:rPr>
                <w:rFonts w:cs="Times New Roman"/>
                <w:b/>
                <w:color w:val="FF0000"/>
                <w:sz w:val="22"/>
              </w:rPr>
              <w:t>0,54</w:t>
            </w:r>
          </w:p>
        </w:tc>
      </w:tr>
      <w:tr w:rsidR="003F4175" w:rsidRPr="00A35C05" w14:paraId="1B176A1E" w14:textId="77777777" w:rsidTr="00FB4F10">
        <w:trPr>
          <w:trHeight w:val="274"/>
        </w:trPr>
        <w:tc>
          <w:tcPr>
            <w:tcW w:w="4282" w:type="dxa"/>
            <w:tcBorders>
              <w:bottom w:val="dotted" w:sz="4" w:space="0" w:color="auto"/>
            </w:tcBorders>
            <w:shd w:val="clear" w:color="auto" w:fill="FFFFFF" w:themeFill="background1"/>
          </w:tcPr>
          <w:p w14:paraId="3BF87461" w14:textId="77777777" w:rsidR="003F4175" w:rsidRPr="0008134A" w:rsidRDefault="003F4175" w:rsidP="007F2FF4">
            <w:pPr>
              <w:rPr>
                <w:b/>
                <w:sz w:val="22"/>
              </w:rPr>
            </w:pPr>
            <w:r>
              <w:rPr>
                <w:rFonts w:cs="Times New Roman"/>
                <w:sz w:val="22"/>
              </w:rPr>
              <w:t>S</w:t>
            </w:r>
            <w:r w:rsidRPr="007F2FF4">
              <w:rPr>
                <w:rFonts w:cs="Times New Roman"/>
                <w:sz w:val="22"/>
              </w:rPr>
              <w:t>milts-grants</w:t>
            </w:r>
            <w:r>
              <w:rPr>
                <w:rFonts w:cs="Times New Roman"/>
                <w:sz w:val="22"/>
              </w:rPr>
              <w:t>,</w:t>
            </w:r>
            <w:r w:rsidRPr="0008134A">
              <w:rPr>
                <w:i/>
                <w:sz w:val="22"/>
              </w:rPr>
              <w:t xml:space="preserve"> euro </w:t>
            </w:r>
            <w:r w:rsidRPr="007F2FF4">
              <w:rPr>
                <w:i/>
                <w:sz w:val="22"/>
              </w:rPr>
              <w:t xml:space="preserve">par </w:t>
            </w:r>
            <w:r w:rsidRPr="007F2FF4">
              <w:rPr>
                <w:rFonts w:cs="Times New Roman"/>
                <w:i/>
                <w:sz w:val="22"/>
              </w:rPr>
              <w:t>m³</w:t>
            </w:r>
          </w:p>
        </w:tc>
        <w:tc>
          <w:tcPr>
            <w:tcW w:w="1134" w:type="dxa"/>
            <w:tcBorders>
              <w:bottom w:val="dotted" w:sz="4" w:space="0" w:color="auto"/>
            </w:tcBorders>
            <w:shd w:val="clear" w:color="auto" w:fill="D9D9D9" w:themeFill="background1" w:themeFillShade="D9"/>
          </w:tcPr>
          <w:p w14:paraId="45957385" w14:textId="77777777" w:rsidR="003F4175" w:rsidRPr="003F4175" w:rsidRDefault="003F4175" w:rsidP="00FB4F10">
            <w:pPr>
              <w:jc w:val="center"/>
              <w:rPr>
                <w:b/>
                <w:sz w:val="22"/>
              </w:rPr>
            </w:pPr>
            <w:r w:rsidRPr="003F4175">
              <w:rPr>
                <w:rFonts w:cs="Times New Roman"/>
                <w:b/>
                <w:sz w:val="22"/>
              </w:rPr>
              <w:t>0,36</w:t>
            </w:r>
          </w:p>
        </w:tc>
        <w:tc>
          <w:tcPr>
            <w:tcW w:w="2977" w:type="dxa"/>
            <w:gridSpan w:val="3"/>
            <w:tcBorders>
              <w:bottom w:val="dotted" w:sz="4" w:space="0" w:color="auto"/>
            </w:tcBorders>
            <w:shd w:val="clear" w:color="auto" w:fill="FFFFFF" w:themeFill="background1"/>
            <w:vAlign w:val="center"/>
          </w:tcPr>
          <w:p w14:paraId="117D9DB2" w14:textId="77777777" w:rsidR="003F4175" w:rsidRPr="003F4175" w:rsidRDefault="003F4175" w:rsidP="00FB4F10">
            <w:pPr>
              <w:jc w:val="center"/>
              <w:rPr>
                <w:b/>
                <w:color w:val="FF0000"/>
                <w:sz w:val="22"/>
              </w:rPr>
            </w:pPr>
            <w:r w:rsidRPr="003F4175">
              <w:rPr>
                <w:rFonts w:cs="Times New Roman"/>
                <w:b/>
                <w:color w:val="FF0000"/>
                <w:sz w:val="22"/>
              </w:rPr>
              <w:t>0,54</w:t>
            </w:r>
          </w:p>
        </w:tc>
      </w:tr>
      <w:tr w:rsidR="003F4175" w:rsidRPr="00A35C05" w14:paraId="166F50A1" w14:textId="77777777" w:rsidTr="00FB4F10">
        <w:trPr>
          <w:trHeight w:val="274"/>
        </w:trPr>
        <w:tc>
          <w:tcPr>
            <w:tcW w:w="4282" w:type="dxa"/>
            <w:tcBorders>
              <w:bottom w:val="dotted" w:sz="4" w:space="0" w:color="auto"/>
            </w:tcBorders>
            <w:shd w:val="clear" w:color="auto" w:fill="FFFFFF" w:themeFill="background1"/>
          </w:tcPr>
          <w:p w14:paraId="6C4EBA11" w14:textId="77777777" w:rsidR="003F4175" w:rsidRPr="0008134A" w:rsidRDefault="003F4175" w:rsidP="007F2FF4">
            <w:pPr>
              <w:rPr>
                <w:b/>
                <w:sz w:val="22"/>
              </w:rPr>
            </w:pPr>
            <w:r>
              <w:rPr>
                <w:rFonts w:cs="Times New Roman"/>
                <w:sz w:val="22"/>
              </w:rPr>
              <w:t>M</w:t>
            </w:r>
            <w:r w:rsidRPr="007F2FF4">
              <w:rPr>
                <w:rFonts w:cs="Times New Roman"/>
                <w:sz w:val="22"/>
              </w:rPr>
              <w:t>āls, citi mālainie ieži būvmateriālu ražošanai</w:t>
            </w:r>
            <w:r>
              <w:rPr>
                <w:rFonts w:cs="Times New Roman"/>
                <w:sz w:val="22"/>
              </w:rPr>
              <w:t>,</w:t>
            </w:r>
            <w:r w:rsidRPr="0008134A">
              <w:rPr>
                <w:i/>
                <w:sz w:val="22"/>
              </w:rPr>
              <w:t xml:space="preserve"> euro </w:t>
            </w:r>
            <w:r w:rsidRPr="007F2FF4">
              <w:rPr>
                <w:i/>
                <w:sz w:val="22"/>
              </w:rPr>
              <w:t xml:space="preserve">par </w:t>
            </w:r>
            <w:r w:rsidRPr="007F2FF4">
              <w:rPr>
                <w:rFonts w:cs="Times New Roman"/>
                <w:i/>
                <w:sz w:val="22"/>
              </w:rPr>
              <w:t>m³</w:t>
            </w:r>
          </w:p>
        </w:tc>
        <w:tc>
          <w:tcPr>
            <w:tcW w:w="1134" w:type="dxa"/>
            <w:tcBorders>
              <w:bottom w:val="dotted" w:sz="4" w:space="0" w:color="auto"/>
            </w:tcBorders>
            <w:shd w:val="clear" w:color="auto" w:fill="D9D9D9" w:themeFill="background1" w:themeFillShade="D9"/>
          </w:tcPr>
          <w:p w14:paraId="23450EB8" w14:textId="77777777" w:rsidR="003F4175" w:rsidRPr="003F4175" w:rsidRDefault="003F4175" w:rsidP="00FB4F10">
            <w:pPr>
              <w:jc w:val="center"/>
              <w:rPr>
                <w:b/>
                <w:sz w:val="22"/>
              </w:rPr>
            </w:pPr>
            <w:r w:rsidRPr="003F4175">
              <w:rPr>
                <w:rFonts w:cs="Times New Roman"/>
                <w:b/>
                <w:sz w:val="22"/>
              </w:rPr>
              <w:t>0,21</w:t>
            </w:r>
          </w:p>
        </w:tc>
        <w:tc>
          <w:tcPr>
            <w:tcW w:w="2977" w:type="dxa"/>
            <w:gridSpan w:val="3"/>
            <w:tcBorders>
              <w:bottom w:val="dotted" w:sz="4" w:space="0" w:color="auto"/>
            </w:tcBorders>
            <w:shd w:val="clear" w:color="auto" w:fill="FFFFFF" w:themeFill="background1"/>
            <w:vAlign w:val="center"/>
          </w:tcPr>
          <w:p w14:paraId="2B527C17" w14:textId="77777777" w:rsidR="003F4175" w:rsidRPr="003F4175" w:rsidRDefault="003F4175" w:rsidP="00FB4F10">
            <w:pPr>
              <w:jc w:val="center"/>
              <w:rPr>
                <w:b/>
                <w:color w:val="FF0000"/>
                <w:sz w:val="22"/>
              </w:rPr>
            </w:pPr>
            <w:r w:rsidRPr="003F4175">
              <w:rPr>
                <w:rFonts w:cs="Times New Roman"/>
                <w:b/>
                <w:color w:val="FF0000"/>
                <w:sz w:val="22"/>
              </w:rPr>
              <w:t>0,32</w:t>
            </w:r>
          </w:p>
        </w:tc>
      </w:tr>
      <w:tr w:rsidR="003F4175" w:rsidRPr="00A35C05" w14:paraId="6F827552" w14:textId="77777777" w:rsidTr="00FB4F10">
        <w:trPr>
          <w:trHeight w:val="274"/>
        </w:trPr>
        <w:tc>
          <w:tcPr>
            <w:tcW w:w="4282" w:type="dxa"/>
            <w:tcBorders>
              <w:bottom w:val="dotted" w:sz="4" w:space="0" w:color="auto"/>
            </w:tcBorders>
            <w:shd w:val="clear" w:color="auto" w:fill="FFFFFF" w:themeFill="background1"/>
          </w:tcPr>
          <w:p w14:paraId="4774F4E6" w14:textId="77777777" w:rsidR="003F4175" w:rsidRPr="0008134A" w:rsidRDefault="003F4175" w:rsidP="007F2FF4">
            <w:pPr>
              <w:rPr>
                <w:b/>
                <w:sz w:val="22"/>
              </w:rPr>
            </w:pPr>
            <w:r>
              <w:rPr>
                <w:rFonts w:cs="Times New Roman"/>
                <w:sz w:val="22"/>
              </w:rPr>
              <w:t>D</w:t>
            </w:r>
            <w:r w:rsidRPr="007F2FF4">
              <w:rPr>
                <w:rFonts w:cs="Times New Roman"/>
                <w:sz w:val="22"/>
              </w:rPr>
              <w:t>olomīts</w:t>
            </w:r>
            <w:r>
              <w:rPr>
                <w:rFonts w:cs="Times New Roman"/>
                <w:sz w:val="22"/>
              </w:rPr>
              <w:t>,</w:t>
            </w:r>
            <w:r w:rsidRPr="0008134A">
              <w:rPr>
                <w:i/>
                <w:sz w:val="22"/>
              </w:rPr>
              <w:t xml:space="preserve"> euro </w:t>
            </w:r>
            <w:r w:rsidRPr="007F2FF4">
              <w:rPr>
                <w:i/>
                <w:sz w:val="22"/>
              </w:rPr>
              <w:t xml:space="preserve">par </w:t>
            </w:r>
            <w:r w:rsidRPr="007F2FF4">
              <w:rPr>
                <w:rFonts w:cs="Times New Roman"/>
                <w:i/>
                <w:sz w:val="22"/>
              </w:rPr>
              <w:t>m³</w:t>
            </w:r>
          </w:p>
        </w:tc>
        <w:tc>
          <w:tcPr>
            <w:tcW w:w="1134" w:type="dxa"/>
            <w:tcBorders>
              <w:bottom w:val="dotted" w:sz="4" w:space="0" w:color="auto"/>
            </w:tcBorders>
            <w:shd w:val="clear" w:color="auto" w:fill="D9D9D9" w:themeFill="background1" w:themeFillShade="D9"/>
          </w:tcPr>
          <w:p w14:paraId="6CE3EF2C" w14:textId="77777777" w:rsidR="003F4175" w:rsidRPr="003F4175" w:rsidRDefault="003F4175" w:rsidP="00FB4F10">
            <w:pPr>
              <w:jc w:val="center"/>
              <w:rPr>
                <w:b/>
                <w:sz w:val="22"/>
              </w:rPr>
            </w:pPr>
            <w:r w:rsidRPr="003F4175">
              <w:rPr>
                <w:rFonts w:cs="Times New Roman"/>
                <w:b/>
                <w:sz w:val="22"/>
              </w:rPr>
              <w:t>0,21</w:t>
            </w:r>
          </w:p>
        </w:tc>
        <w:tc>
          <w:tcPr>
            <w:tcW w:w="2977" w:type="dxa"/>
            <w:gridSpan w:val="3"/>
            <w:tcBorders>
              <w:bottom w:val="dotted" w:sz="4" w:space="0" w:color="auto"/>
            </w:tcBorders>
            <w:shd w:val="clear" w:color="auto" w:fill="FFFFFF" w:themeFill="background1"/>
            <w:vAlign w:val="center"/>
          </w:tcPr>
          <w:p w14:paraId="7F5B6018" w14:textId="77777777" w:rsidR="003F4175" w:rsidRPr="003F4175" w:rsidRDefault="003F4175" w:rsidP="00FB4F10">
            <w:pPr>
              <w:jc w:val="center"/>
              <w:rPr>
                <w:b/>
                <w:color w:val="FF0000"/>
                <w:sz w:val="22"/>
              </w:rPr>
            </w:pPr>
            <w:r w:rsidRPr="003F4175">
              <w:rPr>
                <w:rFonts w:cs="Times New Roman"/>
                <w:b/>
                <w:color w:val="FF0000"/>
                <w:sz w:val="22"/>
              </w:rPr>
              <w:t>0,32</w:t>
            </w:r>
          </w:p>
        </w:tc>
      </w:tr>
      <w:tr w:rsidR="003F4175" w:rsidRPr="00A35C05" w14:paraId="0F6D33A0" w14:textId="77777777" w:rsidTr="00FB4F10">
        <w:trPr>
          <w:trHeight w:val="274"/>
        </w:trPr>
        <w:tc>
          <w:tcPr>
            <w:tcW w:w="4282" w:type="dxa"/>
            <w:tcBorders>
              <w:bottom w:val="dotted" w:sz="4" w:space="0" w:color="auto"/>
            </w:tcBorders>
            <w:shd w:val="clear" w:color="auto" w:fill="FFFFFF" w:themeFill="background1"/>
          </w:tcPr>
          <w:p w14:paraId="7ADBCDAF" w14:textId="77777777" w:rsidR="003F4175" w:rsidRPr="0008134A" w:rsidRDefault="003F4175" w:rsidP="007F2FF4">
            <w:pPr>
              <w:rPr>
                <w:b/>
                <w:sz w:val="22"/>
              </w:rPr>
            </w:pPr>
            <w:r>
              <w:rPr>
                <w:rFonts w:cs="Times New Roman"/>
                <w:sz w:val="22"/>
              </w:rPr>
              <w:t>K</w:t>
            </w:r>
            <w:r w:rsidRPr="007F2FF4">
              <w:rPr>
                <w:rFonts w:cs="Times New Roman"/>
                <w:sz w:val="22"/>
              </w:rPr>
              <w:t>aļķakmens</w:t>
            </w:r>
            <w:r>
              <w:rPr>
                <w:rFonts w:cs="Times New Roman"/>
                <w:sz w:val="22"/>
              </w:rPr>
              <w:t>,</w:t>
            </w:r>
            <w:r w:rsidRPr="0008134A">
              <w:rPr>
                <w:i/>
                <w:sz w:val="22"/>
              </w:rPr>
              <w:t xml:space="preserve"> euro </w:t>
            </w:r>
            <w:r w:rsidRPr="007F2FF4">
              <w:rPr>
                <w:i/>
                <w:sz w:val="22"/>
              </w:rPr>
              <w:t xml:space="preserve">par </w:t>
            </w:r>
            <w:r w:rsidRPr="007F2FF4">
              <w:rPr>
                <w:rFonts w:cs="Times New Roman"/>
                <w:i/>
                <w:sz w:val="22"/>
              </w:rPr>
              <w:t>m³</w:t>
            </w:r>
          </w:p>
        </w:tc>
        <w:tc>
          <w:tcPr>
            <w:tcW w:w="1134" w:type="dxa"/>
            <w:tcBorders>
              <w:bottom w:val="dotted" w:sz="4" w:space="0" w:color="auto"/>
            </w:tcBorders>
            <w:shd w:val="clear" w:color="auto" w:fill="D9D9D9" w:themeFill="background1" w:themeFillShade="D9"/>
          </w:tcPr>
          <w:p w14:paraId="5D6EBF5D" w14:textId="77777777" w:rsidR="003F4175" w:rsidRPr="003F4175" w:rsidRDefault="003F4175" w:rsidP="00FB4F10">
            <w:pPr>
              <w:jc w:val="center"/>
              <w:rPr>
                <w:b/>
                <w:sz w:val="22"/>
              </w:rPr>
            </w:pPr>
            <w:r w:rsidRPr="003F4175">
              <w:rPr>
                <w:rFonts w:cs="Times New Roman"/>
                <w:b/>
                <w:sz w:val="22"/>
              </w:rPr>
              <w:t>0,28</w:t>
            </w:r>
          </w:p>
        </w:tc>
        <w:tc>
          <w:tcPr>
            <w:tcW w:w="2977" w:type="dxa"/>
            <w:gridSpan w:val="3"/>
            <w:tcBorders>
              <w:bottom w:val="dotted" w:sz="4" w:space="0" w:color="auto"/>
            </w:tcBorders>
            <w:shd w:val="clear" w:color="auto" w:fill="FFFFFF" w:themeFill="background1"/>
            <w:vAlign w:val="center"/>
          </w:tcPr>
          <w:p w14:paraId="7CB0384F" w14:textId="77777777" w:rsidR="003F4175" w:rsidRPr="003F4175" w:rsidRDefault="003F4175" w:rsidP="00FB4F10">
            <w:pPr>
              <w:jc w:val="center"/>
              <w:rPr>
                <w:b/>
                <w:color w:val="FF0000"/>
                <w:sz w:val="22"/>
              </w:rPr>
            </w:pPr>
            <w:r w:rsidRPr="003F4175">
              <w:rPr>
                <w:rFonts w:cs="Times New Roman"/>
                <w:b/>
                <w:color w:val="FF0000"/>
                <w:sz w:val="22"/>
              </w:rPr>
              <w:t>0,42</w:t>
            </w:r>
          </w:p>
        </w:tc>
      </w:tr>
      <w:tr w:rsidR="003F4175" w:rsidRPr="00A35C05" w14:paraId="46E9EAAE" w14:textId="77777777" w:rsidTr="00FB4F10">
        <w:trPr>
          <w:trHeight w:val="274"/>
        </w:trPr>
        <w:tc>
          <w:tcPr>
            <w:tcW w:w="4282" w:type="dxa"/>
            <w:tcBorders>
              <w:bottom w:val="dotted" w:sz="4" w:space="0" w:color="auto"/>
            </w:tcBorders>
            <w:shd w:val="clear" w:color="auto" w:fill="FFFFFF" w:themeFill="background1"/>
          </w:tcPr>
          <w:p w14:paraId="6B623D97" w14:textId="77777777" w:rsidR="003F4175" w:rsidRPr="0008134A" w:rsidRDefault="003F4175" w:rsidP="00FB4F10">
            <w:pPr>
              <w:rPr>
                <w:b/>
                <w:sz w:val="22"/>
              </w:rPr>
            </w:pPr>
            <w:r w:rsidRPr="007F2FF4">
              <w:rPr>
                <w:rFonts w:cs="Times New Roman"/>
                <w:sz w:val="22"/>
              </w:rPr>
              <w:t>Laukakmeņi</w:t>
            </w:r>
            <w:r>
              <w:rPr>
                <w:rFonts w:cs="Times New Roman"/>
                <w:sz w:val="22"/>
              </w:rPr>
              <w:t xml:space="preserve">, </w:t>
            </w:r>
            <w:r w:rsidRPr="0008134A">
              <w:rPr>
                <w:i/>
                <w:sz w:val="22"/>
              </w:rPr>
              <w:t xml:space="preserve">euro </w:t>
            </w:r>
            <w:r w:rsidRPr="007F2FF4">
              <w:rPr>
                <w:i/>
                <w:sz w:val="22"/>
              </w:rPr>
              <w:t xml:space="preserve">par </w:t>
            </w:r>
            <w:r w:rsidRPr="007F2FF4">
              <w:rPr>
                <w:rFonts w:cs="Times New Roman"/>
                <w:i/>
                <w:sz w:val="22"/>
              </w:rPr>
              <w:t>m³</w:t>
            </w:r>
          </w:p>
        </w:tc>
        <w:tc>
          <w:tcPr>
            <w:tcW w:w="1134" w:type="dxa"/>
            <w:tcBorders>
              <w:bottom w:val="dotted" w:sz="4" w:space="0" w:color="auto"/>
            </w:tcBorders>
            <w:shd w:val="clear" w:color="auto" w:fill="D9D9D9" w:themeFill="background1" w:themeFillShade="D9"/>
          </w:tcPr>
          <w:p w14:paraId="32E1BA19" w14:textId="77777777" w:rsidR="003F4175" w:rsidRPr="003F4175" w:rsidRDefault="003F4175" w:rsidP="00FB4F10">
            <w:pPr>
              <w:jc w:val="center"/>
              <w:rPr>
                <w:b/>
                <w:sz w:val="22"/>
              </w:rPr>
            </w:pPr>
            <w:r w:rsidRPr="003F4175">
              <w:rPr>
                <w:rFonts w:cs="Times New Roman"/>
                <w:b/>
                <w:sz w:val="22"/>
              </w:rPr>
              <w:t>0,57</w:t>
            </w:r>
          </w:p>
        </w:tc>
        <w:tc>
          <w:tcPr>
            <w:tcW w:w="2977" w:type="dxa"/>
            <w:gridSpan w:val="3"/>
            <w:tcBorders>
              <w:bottom w:val="dotted" w:sz="4" w:space="0" w:color="auto"/>
            </w:tcBorders>
            <w:shd w:val="clear" w:color="auto" w:fill="FFFFFF" w:themeFill="background1"/>
            <w:vAlign w:val="center"/>
          </w:tcPr>
          <w:p w14:paraId="18AD2ED2" w14:textId="77777777" w:rsidR="003F4175" w:rsidRPr="003F4175" w:rsidRDefault="003F4175" w:rsidP="00FB4F10">
            <w:pPr>
              <w:jc w:val="center"/>
              <w:rPr>
                <w:b/>
                <w:color w:val="FF0000"/>
                <w:sz w:val="22"/>
              </w:rPr>
            </w:pPr>
            <w:r w:rsidRPr="003F4175">
              <w:rPr>
                <w:rFonts w:cs="Times New Roman"/>
                <w:b/>
                <w:color w:val="FF0000"/>
                <w:sz w:val="22"/>
              </w:rPr>
              <w:t>0,86</w:t>
            </w:r>
          </w:p>
        </w:tc>
      </w:tr>
      <w:tr w:rsidR="003F4175" w:rsidRPr="00A35C05" w14:paraId="2E5F98A0" w14:textId="77777777" w:rsidTr="00FB4F10">
        <w:trPr>
          <w:trHeight w:val="274"/>
        </w:trPr>
        <w:tc>
          <w:tcPr>
            <w:tcW w:w="4282" w:type="dxa"/>
            <w:tcBorders>
              <w:bottom w:val="dotted" w:sz="4" w:space="0" w:color="auto"/>
            </w:tcBorders>
            <w:shd w:val="clear" w:color="auto" w:fill="FFFFFF" w:themeFill="background1"/>
          </w:tcPr>
          <w:p w14:paraId="16DCFE7D" w14:textId="77777777" w:rsidR="003F4175" w:rsidRPr="0008134A" w:rsidRDefault="003F4175" w:rsidP="007F2FF4">
            <w:pPr>
              <w:rPr>
                <w:b/>
                <w:sz w:val="22"/>
              </w:rPr>
            </w:pPr>
            <w:r>
              <w:rPr>
                <w:rFonts w:cs="Times New Roman"/>
                <w:sz w:val="22"/>
              </w:rPr>
              <w:t>K</w:t>
            </w:r>
            <w:r w:rsidRPr="007F2FF4">
              <w:rPr>
                <w:rFonts w:cs="Times New Roman"/>
                <w:sz w:val="22"/>
              </w:rPr>
              <w:t>ūdra</w:t>
            </w:r>
            <w:r>
              <w:rPr>
                <w:rFonts w:cs="Times New Roman"/>
                <w:sz w:val="22"/>
              </w:rPr>
              <w:t>,</w:t>
            </w:r>
            <w:r w:rsidRPr="0008134A">
              <w:rPr>
                <w:i/>
                <w:sz w:val="22"/>
              </w:rPr>
              <w:t xml:space="preserve"> euro </w:t>
            </w:r>
            <w:r w:rsidRPr="007F2FF4">
              <w:rPr>
                <w:i/>
                <w:sz w:val="22"/>
              </w:rPr>
              <w:t>par</w:t>
            </w:r>
            <w:r>
              <w:rPr>
                <w:i/>
                <w:sz w:val="22"/>
              </w:rPr>
              <w:t xml:space="preserve"> tonnu</w:t>
            </w:r>
          </w:p>
        </w:tc>
        <w:tc>
          <w:tcPr>
            <w:tcW w:w="1134" w:type="dxa"/>
            <w:tcBorders>
              <w:bottom w:val="dotted" w:sz="4" w:space="0" w:color="auto"/>
            </w:tcBorders>
            <w:shd w:val="clear" w:color="auto" w:fill="D9D9D9" w:themeFill="background1" w:themeFillShade="D9"/>
          </w:tcPr>
          <w:p w14:paraId="371BBCC1" w14:textId="77777777" w:rsidR="003F4175" w:rsidRPr="003F4175" w:rsidRDefault="003F4175" w:rsidP="00FB4F10">
            <w:pPr>
              <w:jc w:val="center"/>
              <w:rPr>
                <w:b/>
                <w:sz w:val="22"/>
              </w:rPr>
            </w:pPr>
            <w:r w:rsidRPr="003F4175">
              <w:rPr>
                <w:rFonts w:cs="Times New Roman"/>
                <w:b/>
                <w:sz w:val="22"/>
              </w:rPr>
              <w:t>0,55</w:t>
            </w:r>
          </w:p>
        </w:tc>
        <w:tc>
          <w:tcPr>
            <w:tcW w:w="2977" w:type="dxa"/>
            <w:gridSpan w:val="3"/>
            <w:tcBorders>
              <w:bottom w:val="dotted" w:sz="4" w:space="0" w:color="auto"/>
            </w:tcBorders>
            <w:shd w:val="clear" w:color="auto" w:fill="FFFFFF" w:themeFill="background1"/>
            <w:vAlign w:val="center"/>
          </w:tcPr>
          <w:p w14:paraId="3E250C8F" w14:textId="77777777" w:rsidR="003F4175" w:rsidRPr="003F4175" w:rsidRDefault="003F4175" w:rsidP="00FB4F10">
            <w:pPr>
              <w:jc w:val="center"/>
              <w:rPr>
                <w:b/>
                <w:color w:val="FF0000"/>
                <w:sz w:val="22"/>
              </w:rPr>
            </w:pPr>
            <w:r w:rsidRPr="003F4175">
              <w:rPr>
                <w:rFonts w:cs="Times New Roman"/>
                <w:b/>
                <w:color w:val="FF0000"/>
                <w:sz w:val="22"/>
              </w:rPr>
              <w:t>0,83</w:t>
            </w:r>
          </w:p>
        </w:tc>
      </w:tr>
      <w:tr w:rsidR="00716D33" w:rsidRPr="00A35C05" w14:paraId="551C66F6" w14:textId="77777777" w:rsidTr="00FB4F10">
        <w:trPr>
          <w:trHeight w:val="274"/>
        </w:trPr>
        <w:tc>
          <w:tcPr>
            <w:tcW w:w="4282" w:type="dxa"/>
            <w:tcBorders>
              <w:bottom w:val="dotted" w:sz="4" w:space="0" w:color="auto"/>
            </w:tcBorders>
            <w:shd w:val="clear" w:color="auto" w:fill="FFE599" w:themeFill="accent4" w:themeFillTint="66"/>
          </w:tcPr>
          <w:p w14:paraId="246F0154" w14:textId="77777777" w:rsidR="00716D33" w:rsidRPr="00A35C05" w:rsidRDefault="00716D33" w:rsidP="00716D33">
            <w:pPr>
              <w:rPr>
                <w:sz w:val="22"/>
              </w:rPr>
            </w:pPr>
            <w:r w:rsidRPr="0008134A">
              <w:rPr>
                <w:b/>
                <w:sz w:val="22"/>
              </w:rPr>
              <w:t>Fiskālā ietekme</w:t>
            </w:r>
            <w:r>
              <w:rPr>
                <w:b/>
                <w:sz w:val="22"/>
              </w:rPr>
              <w:t xml:space="preserve">, </w:t>
            </w:r>
            <w:r w:rsidRPr="0008134A">
              <w:rPr>
                <w:i/>
                <w:sz w:val="22"/>
              </w:rPr>
              <w:t>milj. euro</w:t>
            </w:r>
          </w:p>
        </w:tc>
        <w:tc>
          <w:tcPr>
            <w:tcW w:w="1134" w:type="dxa"/>
            <w:tcBorders>
              <w:bottom w:val="dotted" w:sz="4" w:space="0" w:color="auto"/>
            </w:tcBorders>
            <w:shd w:val="clear" w:color="auto" w:fill="BFBFBF" w:themeFill="background1" w:themeFillShade="BF"/>
          </w:tcPr>
          <w:p w14:paraId="5192A6C4" w14:textId="77777777" w:rsidR="00716D33" w:rsidRPr="00A35C05" w:rsidRDefault="00716D33" w:rsidP="00716D33">
            <w:pPr>
              <w:jc w:val="center"/>
              <w:rPr>
                <w:sz w:val="22"/>
              </w:rPr>
            </w:pPr>
          </w:p>
        </w:tc>
        <w:tc>
          <w:tcPr>
            <w:tcW w:w="1134" w:type="dxa"/>
            <w:tcBorders>
              <w:bottom w:val="dotted" w:sz="4" w:space="0" w:color="auto"/>
            </w:tcBorders>
            <w:shd w:val="clear" w:color="auto" w:fill="FFE599" w:themeFill="accent4" w:themeFillTint="66"/>
            <w:vAlign w:val="center"/>
          </w:tcPr>
          <w:p w14:paraId="02149056" w14:textId="77777777" w:rsidR="00716D33" w:rsidRPr="004252E4" w:rsidRDefault="00E1375F" w:rsidP="00716D33">
            <w:pPr>
              <w:jc w:val="center"/>
              <w:rPr>
                <w:rFonts w:cs="Times New Roman"/>
                <w:b/>
                <w:bCs/>
                <w:color w:val="00B050"/>
                <w:sz w:val="22"/>
                <w:lang w:eastAsia="lv-LV"/>
              </w:rPr>
            </w:pPr>
            <w:r w:rsidRPr="004252E4">
              <w:rPr>
                <w:rFonts w:cs="Times New Roman"/>
                <w:b/>
                <w:bCs/>
                <w:color w:val="00B050"/>
                <w:sz w:val="22"/>
                <w:lang w:eastAsia="lv-LV"/>
              </w:rPr>
              <w:t>+</w:t>
            </w:r>
            <w:r w:rsidR="00716D33" w:rsidRPr="004252E4">
              <w:rPr>
                <w:rFonts w:cs="Times New Roman"/>
                <w:b/>
                <w:bCs/>
                <w:color w:val="00B050"/>
                <w:sz w:val="22"/>
                <w:lang w:eastAsia="lv-LV"/>
              </w:rPr>
              <w:t>1,18</w:t>
            </w:r>
          </w:p>
        </w:tc>
        <w:tc>
          <w:tcPr>
            <w:tcW w:w="992" w:type="dxa"/>
            <w:tcBorders>
              <w:bottom w:val="dotted" w:sz="4" w:space="0" w:color="auto"/>
            </w:tcBorders>
            <w:shd w:val="clear" w:color="auto" w:fill="FFE599" w:themeFill="accent4" w:themeFillTint="66"/>
            <w:vAlign w:val="center"/>
          </w:tcPr>
          <w:p w14:paraId="69F1F2A1" w14:textId="77777777" w:rsidR="00716D33" w:rsidRPr="004252E4" w:rsidRDefault="00E1375F" w:rsidP="00716D33">
            <w:pPr>
              <w:jc w:val="center"/>
              <w:rPr>
                <w:rFonts w:cs="Times New Roman"/>
                <w:b/>
                <w:bCs/>
                <w:color w:val="00B050"/>
                <w:sz w:val="22"/>
                <w:lang w:eastAsia="lv-LV"/>
              </w:rPr>
            </w:pPr>
            <w:r w:rsidRPr="004252E4">
              <w:rPr>
                <w:rFonts w:cs="Times New Roman"/>
                <w:b/>
                <w:bCs/>
                <w:color w:val="00B050"/>
                <w:sz w:val="22"/>
                <w:lang w:eastAsia="lv-LV"/>
              </w:rPr>
              <w:t>+</w:t>
            </w:r>
            <w:r w:rsidR="00716D33" w:rsidRPr="004252E4">
              <w:rPr>
                <w:rFonts w:cs="Times New Roman"/>
                <w:b/>
                <w:bCs/>
                <w:color w:val="00B050"/>
                <w:sz w:val="22"/>
                <w:lang w:eastAsia="lv-LV"/>
              </w:rPr>
              <w:t>1,63</w:t>
            </w:r>
          </w:p>
        </w:tc>
        <w:tc>
          <w:tcPr>
            <w:tcW w:w="851" w:type="dxa"/>
            <w:tcBorders>
              <w:bottom w:val="dotted" w:sz="4" w:space="0" w:color="auto"/>
            </w:tcBorders>
            <w:shd w:val="clear" w:color="auto" w:fill="FFE599" w:themeFill="accent4" w:themeFillTint="66"/>
            <w:vAlign w:val="center"/>
          </w:tcPr>
          <w:p w14:paraId="01F5FDF6" w14:textId="77777777" w:rsidR="00716D33" w:rsidRPr="004252E4" w:rsidRDefault="00E1375F" w:rsidP="00716D33">
            <w:pPr>
              <w:jc w:val="center"/>
              <w:rPr>
                <w:rFonts w:cs="Times New Roman"/>
                <w:b/>
                <w:bCs/>
                <w:color w:val="00B050"/>
                <w:sz w:val="22"/>
                <w:lang w:eastAsia="lv-LV"/>
              </w:rPr>
            </w:pPr>
            <w:r w:rsidRPr="004252E4">
              <w:rPr>
                <w:rFonts w:cs="Times New Roman"/>
                <w:b/>
                <w:bCs/>
                <w:color w:val="00B050"/>
                <w:sz w:val="22"/>
                <w:lang w:eastAsia="lv-LV"/>
              </w:rPr>
              <w:t>+</w:t>
            </w:r>
            <w:r w:rsidR="00716D33" w:rsidRPr="004252E4">
              <w:rPr>
                <w:rFonts w:cs="Times New Roman"/>
                <w:b/>
                <w:bCs/>
                <w:color w:val="00B050"/>
                <w:sz w:val="22"/>
                <w:lang w:eastAsia="lv-LV"/>
              </w:rPr>
              <w:t>1,68</w:t>
            </w:r>
          </w:p>
        </w:tc>
      </w:tr>
      <w:tr w:rsidR="00716D33" w:rsidRPr="00A35C05" w14:paraId="56478DB2" w14:textId="77777777" w:rsidTr="00FB4F10">
        <w:trPr>
          <w:trHeight w:val="70"/>
        </w:trPr>
        <w:tc>
          <w:tcPr>
            <w:tcW w:w="4282" w:type="dxa"/>
            <w:tcBorders>
              <w:top w:val="dotted" w:sz="4" w:space="0" w:color="auto"/>
              <w:bottom w:val="dotted" w:sz="4" w:space="0" w:color="auto"/>
            </w:tcBorders>
            <w:shd w:val="clear" w:color="auto" w:fill="FFE599" w:themeFill="accent4" w:themeFillTint="66"/>
          </w:tcPr>
          <w:p w14:paraId="3DA6C5BC" w14:textId="77777777" w:rsidR="00716D33" w:rsidRPr="00941D34" w:rsidRDefault="00716D33" w:rsidP="000223DA">
            <w:pPr>
              <w:pStyle w:val="ListParagraph"/>
              <w:numPr>
                <w:ilvl w:val="0"/>
                <w:numId w:val="6"/>
              </w:numPr>
              <w:ind w:left="634" w:hanging="283"/>
              <w:jc w:val="left"/>
              <w:rPr>
                <w:i/>
                <w:sz w:val="20"/>
                <w:szCs w:val="20"/>
              </w:rPr>
            </w:pPr>
            <w:r w:rsidRPr="00941D34">
              <w:rPr>
                <w:i/>
                <w:sz w:val="20"/>
                <w:szCs w:val="20"/>
              </w:rPr>
              <w:t>valsts pamatbudžets</w:t>
            </w:r>
          </w:p>
        </w:tc>
        <w:tc>
          <w:tcPr>
            <w:tcW w:w="1134" w:type="dxa"/>
            <w:tcBorders>
              <w:top w:val="dotted" w:sz="4" w:space="0" w:color="auto"/>
              <w:bottom w:val="dotted" w:sz="4" w:space="0" w:color="auto"/>
            </w:tcBorders>
            <w:shd w:val="clear" w:color="auto" w:fill="BFBFBF" w:themeFill="background1" w:themeFillShade="BF"/>
          </w:tcPr>
          <w:p w14:paraId="41FC8A06" w14:textId="77777777" w:rsidR="00716D33" w:rsidRPr="00A35C05" w:rsidRDefault="00716D33" w:rsidP="00716D33">
            <w:pPr>
              <w:jc w:val="center"/>
              <w:rPr>
                <w:sz w:val="20"/>
                <w:szCs w:val="20"/>
              </w:rPr>
            </w:pPr>
          </w:p>
        </w:tc>
        <w:tc>
          <w:tcPr>
            <w:tcW w:w="1134" w:type="dxa"/>
            <w:tcBorders>
              <w:top w:val="dotted" w:sz="4" w:space="0" w:color="auto"/>
              <w:bottom w:val="dotted" w:sz="4" w:space="0" w:color="auto"/>
            </w:tcBorders>
            <w:shd w:val="clear" w:color="auto" w:fill="FFE599" w:themeFill="accent4" w:themeFillTint="66"/>
            <w:vAlign w:val="bottom"/>
          </w:tcPr>
          <w:p w14:paraId="1047E206" w14:textId="77777777" w:rsidR="00716D33" w:rsidRPr="004252E4" w:rsidRDefault="00E1375F" w:rsidP="00716D33">
            <w:pPr>
              <w:jc w:val="center"/>
              <w:rPr>
                <w:rFonts w:cs="Times New Roman"/>
                <w:i/>
                <w:iCs/>
                <w:color w:val="00B050"/>
                <w:sz w:val="20"/>
                <w:szCs w:val="20"/>
                <w:lang w:eastAsia="lv-LV"/>
              </w:rPr>
            </w:pPr>
            <w:r w:rsidRPr="004252E4">
              <w:rPr>
                <w:rFonts w:cs="Times New Roman"/>
                <w:i/>
                <w:iCs/>
                <w:color w:val="00B050"/>
                <w:sz w:val="20"/>
                <w:szCs w:val="20"/>
                <w:lang w:eastAsia="lv-LV"/>
              </w:rPr>
              <w:t>+</w:t>
            </w:r>
            <w:r w:rsidR="00716D33" w:rsidRPr="004252E4">
              <w:rPr>
                <w:rFonts w:cs="Times New Roman"/>
                <w:i/>
                <w:iCs/>
                <w:color w:val="00B050"/>
                <w:sz w:val="20"/>
                <w:szCs w:val="20"/>
                <w:lang w:eastAsia="lv-LV"/>
              </w:rPr>
              <w:t>0,71</w:t>
            </w:r>
          </w:p>
        </w:tc>
        <w:tc>
          <w:tcPr>
            <w:tcW w:w="992" w:type="dxa"/>
            <w:tcBorders>
              <w:top w:val="dotted" w:sz="4" w:space="0" w:color="auto"/>
              <w:bottom w:val="dotted" w:sz="4" w:space="0" w:color="auto"/>
            </w:tcBorders>
            <w:shd w:val="clear" w:color="auto" w:fill="FFE599" w:themeFill="accent4" w:themeFillTint="66"/>
            <w:vAlign w:val="bottom"/>
          </w:tcPr>
          <w:p w14:paraId="30B6AB7D" w14:textId="77777777" w:rsidR="00716D33" w:rsidRPr="004252E4" w:rsidRDefault="00E1375F" w:rsidP="00716D33">
            <w:pPr>
              <w:jc w:val="center"/>
              <w:rPr>
                <w:rFonts w:cs="Times New Roman"/>
                <w:i/>
                <w:iCs/>
                <w:color w:val="00B050"/>
                <w:sz w:val="20"/>
                <w:szCs w:val="20"/>
                <w:lang w:eastAsia="lv-LV"/>
              </w:rPr>
            </w:pPr>
            <w:r w:rsidRPr="004252E4">
              <w:rPr>
                <w:rFonts w:cs="Times New Roman"/>
                <w:i/>
                <w:iCs/>
                <w:color w:val="00B050"/>
                <w:sz w:val="20"/>
                <w:szCs w:val="20"/>
                <w:lang w:eastAsia="lv-LV"/>
              </w:rPr>
              <w:t>+</w:t>
            </w:r>
            <w:r w:rsidR="00716D33" w:rsidRPr="004252E4">
              <w:rPr>
                <w:rFonts w:cs="Times New Roman"/>
                <w:i/>
                <w:iCs/>
                <w:color w:val="00B050"/>
                <w:sz w:val="20"/>
                <w:szCs w:val="20"/>
                <w:lang w:eastAsia="lv-LV"/>
              </w:rPr>
              <w:t>0,98</w:t>
            </w:r>
          </w:p>
        </w:tc>
        <w:tc>
          <w:tcPr>
            <w:tcW w:w="851" w:type="dxa"/>
            <w:tcBorders>
              <w:top w:val="dotted" w:sz="4" w:space="0" w:color="auto"/>
              <w:bottom w:val="dotted" w:sz="4" w:space="0" w:color="auto"/>
            </w:tcBorders>
            <w:shd w:val="clear" w:color="auto" w:fill="FFE599" w:themeFill="accent4" w:themeFillTint="66"/>
            <w:vAlign w:val="bottom"/>
          </w:tcPr>
          <w:p w14:paraId="6ADDB3CC" w14:textId="77777777" w:rsidR="00716D33" w:rsidRPr="004252E4" w:rsidRDefault="00E1375F" w:rsidP="00716D33">
            <w:pPr>
              <w:jc w:val="center"/>
              <w:rPr>
                <w:rFonts w:cs="Times New Roman"/>
                <w:i/>
                <w:iCs/>
                <w:color w:val="00B050"/>
                <w:sz w:val="20"/>
                <w:szCs w:val="20"/>
                <w:lang w:eastAsia="lv-LV"/>
              </w:rPr>
            </w:pPr>
            <w:r w:rsidRPr="004252E4">
              <w:rPr>
                <w:rFonts w:cs="Times New Roman"/>
                <w:i/>
                <w:iCs/>
                <w:color w:val="00B050"/>
                <w:sz w:val="20"/>
                <w:szCs w:val="20"/>
                <w:lang w:eastAsia="lv-LV"/>
              </w:rPr>
              <w:t>+</w:t>
            </w:r>
            <w:r w:rsidR="00716D33" w:rsidRPr="004252E4">
              <w:rPr>
                <w:rFonts w:cs="Times New Roman"/>
                <w:i/>
                <w:iCs/>
                <w:color w:val="00B050"/>
                <w:sz w:val="20"/>
                <w:szCs w:val="20"/>
                <w:lang w:eastAsia="lv-LV"/>
              </w:rPr>
              <w:t>1,01</w:t>
            </w:r>
          </w:p>
        </w:tc>
      </w:tr>
      <w:tr w:rsidR="00716D33" w:rsidRPr="00A35C05" w14:paraId="2661A91E" w14:textId="77777777" w:rsidTr="00FB4F10">
        <w:trPr>
          <w:trHeight w:val="125"/>
        </w:trPr>
        <w:tc>
          <w:tcPr>
            <w:tcW w:w="4282" w:type="dxa"/>
            <w:tcBorders>
              <w:top w:val="dotted" w:sz="4" w:space="0" w:color="auto"/>
            </w:tcBorders>
            <w:shd w:val="clear" w:color="auto" w:fill="FFE599" w:themeFill="accent4" w:themeFillTint="66"/>
          </w:tcPr>
          <w:p w14:paraId="1213D7C8" w14:textId="77777777" w:rsidR="00716D33" w:rsidRPr="00941D34" w:rsidRDefault="00716D33" w:rsidP="000223DA">
            <w:pPr>
              <w:pStyle w:val="ListParagraph"/>
              <w:numPr>
                <w:ilvl w:val="0"/>
                <w:numId w:val="6"/>
              </w:numPr>
              <w:ind w:left="634" w:hanging="283"/>
              <w:jc w:val="left"/>
              <w:rPr>
                <w:i/>
                <w:sz w:val="20"/>
                <w:szCs w:val="20"/>
              </w:rPr>
            </w:pPr>
            <w:r w:rsidRPr="00941D34">
              <w:rPr>
                <w:i/>
                <w:sz w:val="20"/>
                <w:szCs w:val="20"/>
              </w:rPr>
              <w:t>pašvaldību budžeti</w:t>
            </w:r>
          </w:p>
        </w:tc>
        <w:tc>
          <w:tcPr>
            <w:tcW w:w="1134" w:type="dxa"/>
            <w:tcBorders>
              <w:top w:val="dotted" w:sz="4" w:space="0" w:color="auto"/>
            </w:tcBorders>
            <w:shd w:val="clear" w:color="auto" w:fill="BFBFBF" w:themeFill="background1" w:themeFillShade="BF"/>
          </w:tcPr>
          <w:p w14:paraId="1E49DFA3" w14:textId="77777777" w:rsidR="00716D33" w:rsidRPr="00A35C05" w:rsidRDefault="00716D33" w:rsidP="00716D33">
            <w:pPr>
              <w:jc w:val="center"/>
              <w:rPr>
                <w:sz w:val="20"/>
                <w:szCs w:val="20"/>
              </w:rPr>
            </w:pPr>
          </w:p>
        </w:tc>
        <w:tc>
          <w:tcPr>
            <w:tcW w:w="1134" w:type="dxa"/>
            <w:tcBorders>
              <w:top w:val="dotted" w:sz="4" w:space="0" w:color="auto"/>
            </w:tcBorders>
            <w:shd w:val="clear" w:color="auto" w:fill="FFE599" w:themeFill="accent4" w:themeFillTint="66"/>
            <w:vAlign w:val="bottom"/>
          </w:tcPr>
          <w:p w14:paraId="13152ABD" w14:textId="77777777" w:rsidR="00716D33" w:rsidRPr="004252E4" w:rsidRDefault="00E1375F" w:rsidP="00716D33">
            <w:pPr>
              <w:jc w:val="center"/>
              <w:rPr>
                <w:rFonts w:cs="Times New Roman"/>
                <w:i/>
                <w:iCs/>
                <w:color w:val="00B050"/>
                <w:sz w:val="20"/>
                <w:szCs w:val="20"/>
                <w:lang w:eastAsia="lv-LV"/>
              </w:rPr>
            </w:pPr>
            <w:r w:rsidRPr="004252E4">
              <w:rPr>
                <w:rFonts w:cs="Times New Roman"/>
                <w:i/>
                <w:iCs/>
                <w:color w:val="00B050"/>
                <w:sz w:val="20"/>
                <w:szCs w:val="20"/>
                <w:lang w:eastAsia="lv-LV"/>
              </w:rPr>
              <w:t>+</w:t>
            </w:r>
            <w:r w:rsidR="00716D33" w:rsidRPr="004252E4">
              <w:rPr>
                <w:rFonts w:cs="Times New Roman"/>
                <w:i/>
                <w:iCs/>
                <w:color w:val="00B050"/>
                <w:sz w:val="20"/>
                <w:szCs w:val="20"/>
                <w:lang w:eastAsia="lv-LV"/>
              </w:rPr>
              <w:t>0,47</w:t>
            </w:r>
          </w:p>
        </w:tc>
        <w:tc>
          <w:tcPr>
            <w:tcW w:w="992" w:type="dxa"/>
            <w:tcBorders>
              <w:top w:val="dotted" w:sz="4" w:space="0" w:color="auto"/>
            </w:tcBorders>
            <w:shd w:val="clear" w:color="auto" w:fill="FFE599" w:themeFill="accent4" w:themeFillTint="66"/>
            <w:vAlign w:val="bottom"/>
          </w:tcPr>
          <w:p w14:paraId="2E1542D1" w14:textId="77777777" w:rsidR="00716D33" w:rsidRPr="004252E4" w:rsidRDefault="00E1375F" w:rsidP="00716D33">
            <w:pPr>
              <w:jc w:val="center"/>
              <w:rPr>
                <w:rFonts w:cs="Times New Roman"/>
                <w:i/>
                <w:iCs/>
                <w:color w:val="00B050"/>
                <w:sz w:val="20"/>
                <w:szCs w:val="20"/>
                <w:lang w:eastAsia="lv-LV"/>
              </w:rPr>
            </w:pPr>
            <w:r w:rsidRPr="004252E4">
              <w:rPr>
                <w:rFonts w:cs="Times New Roman"/>
                <w:i/>
                <w:iCs/>
                <w:color w:val="00B050"/>
                <w:sz w:val="20"/>
                <w:szCs w:val="20"/>
                <w:lang w:eastAsia="lv-LV"/>
              </w:rPr>
              <w:t>+</w:t>
            </w:r>
            <w:r w:rsidR="00716D33" w:rsidRPr="004252E4">
              <w:rPr>
                <w:rFonts w:cs="Times New Roman"/>
                <w:i/>
                <w:iCs/>
                <w:color w:val="00B050"/>
                <w:sz w:val="20"/>
                <w:szCs w:val="20"/>
                <w:lang w:eastAsia="lv-LV"/>
              </w:rPr>
              <w:t>0,65</w:t>
            </w:r>
          </w:p>
        </w:tc>
        <w:tc>
          <w:tcPr>
            <w:tcW w:w="851" w:type="dxa"/>
            <w:tcBorders>
              <w:top w:val="dotted" w:sz="4" w:space="0" w:color="auto"/>
            </w:tcBorders>
            <w:shd w:val="clear" w:color="auto" w:fill="FFE599" w:themeFill="accent4" w:themeFillTint="66"/>
            <w:vAlign w:val="bottom"/>
          </w:tcPr>
          <w:p w14:paraId="00B12193" w14:textId="77777777" w:rsidR="00716D33" w:rsidRPr="004252E4" w:rsidRDefault="00E1375F" w:rsidP="00716D33">
            <w:pPr>
              <w:jc w:val="center"/>
              <w:rPr>
                <w:rFonts w:cs="Times New Roman"/>
                <w:i/>
                <w:iCs/>
                <w:color w:val="00B050"/>
                <w:sz w:val="20"/>
                <w:szCs w:val="20"/>
                <w:lang w:eastAsia="lv-LV"/>
              </w:rPr>
            </w:pPr>
            <w:r w:rsidRPr="004252E4">
              <w:rPr>
                <w:rFonts w:cs="Times New Roman"/>
                <w:i/>
                <w:iCs/>
                <w:color w:val="00B050"/>
                <w:sz w:val="20"/>
                <w:szCs w:val="20"/>
                <w:lang w:eastAsia="lv-LV"/>
              </w:rPr>
              <w:t>+</w:t>
            </w:r>
            <w:r w:rsidR="00716D33" w:rsidRPr="004252E4">
              <w:rPr>
                <w:rFonts w:cs="Times New Roman"/>
                <w:i/>
                <w:iCs/>
                <w:color w:val="00B050"/>
                <w:sz w:val="20"/>
                <w:szCs w:val="20"/>
                <w:lang w:eastAsia="lv-LV"/>
              </w:rPr>
              <w:t>0,67</w:t>
            </w:r>
          </w:p>
        </w:tc>
      </w:tr>
    </w:tbl>
    <w:p w14:paraId="0BA1BDE4" w14:textId="77777777" w:rsidR="0008134A" w:rsidRPr="00DF5325" w:rsidRDefault="0008134A" w:rsidP="0008134A">
      <w:pPr>
        <w:pStyle w:val="ListParagraph"/>
        <w:rPr>
          <w:szCs w:val="24"/>
        </w:rPr>
      </w:pPr>
    </w:p>
    <w:p w14:paraId="56FE9893" w14:textId="77777777" w:rsidR="0008134A" w:rsidRDefault="0008134A" w:rsidP="003F4175">
      <w:pPr>
        <w:jc w:val="both"/>
        <w:rPr>
          <w:b/>
          <w:bCs/>
          <w:sz w:val="26"/>
          <w:szCs w:val="26"/>
        </w:rPr>
      </w:pPr>
      <w:r w:rsidRPr="00A97FD1">
        <w:rPr>
          <w:b/>
          <w:sz w:val="26"/>
          <w:szCs w:val="26"/>
        </w:rPr>
        <w:t>Priekšlikumi izmaiņām n</w:t>
      </w:r>
      <w:r w:rsidR="003F4175">
        <w:rPr>
          <w:b/>
          <w:sz w:val="26"/>
          <w:szCs w:val="26"/>
        </w:rPr>
        <w:t xml:space="preserve">odokļa atbrīvojumu piemērošanā </w:t>
      </w:r>
      <w:r w:rsidRPr="00A97FD1">
        <w:rPr>
          <w:b/>
          <w:sz w:val="26"/>
          <w:szCs w:val="26"/>
        </w:rPr>
        <w:t xml:space="preserve">par iepakojumu </w:t>
      </w:r>
      <w:r w:rsidRPr="00A97FD1">
        <w:rPr>
          <w:b/>
          <w:bCs/>
          <w:sz w:val="26"/>
          <w:szCs w:val="26"/>
        </w:rPr>
        <w:t>un vienreiz lietojamiem traukiem</w:t>
      </w:r>
      <w:r w:rsidR="003F4175">
        <w:rPr>
          <w:b/>
          <w:bCs/>
          <w:sz w:val="26"/>
          <w:szCs w:val="26"/>
        </w:rPr>
        <w:t>:</w:t>
      </w:r>
    </w:p>
    <w:p w14:paraId="00301F34" w14:textId="77777777" w:rsidR="0008134A" w:rsidRPr="003F4175" w:rsidRDefault="0008134A" w:rsidP="000223DA">
      <w:pPr>
        <w:pStyle w:val="ListParagraph"/>
        <w:numPr>
          <w:ilvl w:val="0"/>
          <w:numId w:val="12"/>
        </w:numPr>
        <w:rPr>
          <w:sz w:val="26"/>
          <w:szCs w:val="26"/>
        </w:rPr>
      </w:pPr>
      <w:r w:rsidRPr="003F4175">
        <w:rPr>
          <w:sz w:val="26"/>
          <w:szCs w:val="26"/>
        </w:rPr>
        <w:t xml:space="preserve">atbrīvojumu no DRN noteikt tādā proporcionālā apmērā, kādā ir noteikts attiecīgā materiāla pārstrādes un reģenerācijas mērķis (65%; 67% un 68%), par nepārstrādāto/ nereģenerēto apjomu (35%; 33% un 32%) tiek </w:t>
      </w:r>
      <w:r w:rsidRPr="003F4175">
        <w:rPr>
          <w:sz w:val="26"/>
          <w:szCs w:val="26"/>
        </w:rPr>
        <w:lastRenderedPageBreak/>
        <w:t>maksāts nodoklis. Šādu pieeju neattiecina uz iepakojumu, kam piemērojama depozīta sistēma;</w:t>
      </w:r>
    </w:p>
    <w:p w14:paraId="5129B6F3" w14:textId="77777777" w:rsidR="003F4175" w:rsidRDefault="003F4175" w:rsidP="003F4175">
      <w:pPr>
        <w:pStyle w:val="ListParagraph"/>
        <w:ind w:left="780"/>
        <w:rPr>
          <w:sz w:val="26"/>
          <w:szCs w:val="26"/>
        </w:rPr>
      </w:pPr>
    </w:p>
    <w:p w14:paraId="485C76CC" w14:textId="77777777" w:rsidR="003F4175" w:rsidRPr="00A97FD1" w:rsidRDefault="006C5A20" w:rsidP="003F4175">
      <w:pPr>
        <w:spacing w:after="120"/>
        <w:jc w:val="center"/>
        <w:rPr>
          <w:b/>
          <w:sz w:val="26"/>
          <w:szCs w:val="26"/>
        </w:rPr>
      </w:pPr>
      <w:r>
        <w:rPr>
          <w:szCs w:val="24"/>
        </w:rPr>
        <w:t>30</w:t>
      </w:r>
      <w:r w:rsidR="003F4175" w:rsidRPr="00A97FD1">
        <w:rPr>
          <w:szCs w:val="24"/>
        </w:rPr>
        <w:t>.tab.</w:t>
      </w:r>
      <w:r w:rsidR="003F4175" w:rsidRPr="00A97FD1">
        <w:rPr>
          <w:b/>
          <w:szCs w:val="24"/>
        </w:rPr>
        <w:t xml:space="preserve"> </w:t>
      </w:r>
      <w:r w:rsidR="00D7587E">
        <w:rPr>
          <w:b/>
          <w:szCs w:val="24"/>
        </w:rPr>
        <w:t>A</w:t>
      </w:r>
      <w:r w:rsidR="00D7587E" w:rsidRPr="0008134A">
        <w:rPr>
          <w:b/>
          <w:bCs/>
          <w:szCs w:val="24"/>
        </w:rPr>
        <w:t>tbrīvojum</w:t>
      </w:r>
      <w:r w:rsidR="00D7587E">
        <w:rPr>
          <w:b/>
          <w:bCs/>
          <w:szCs w:val="24"/>
        </w:rPr>
        <w:t>a</w:t>
      </w:r>
      <w:r w:rsidR="00D7587E" w:rsidRPr="0008134A">
        <w:rPr>
          <w:b/>
          <w:bCs/>
          <w:szCs w:val="24"/>
        </w:rPr>
        <w:t xml:space="preserve"> </w:t>
      </w:r>
      <w:r w:rsidR="00D7587E" w:rsidRPr="00D7587E">
        <w:rPr>
          <w:b/>
          <w:szCs w:val="24"/>
        </w:rPr>
        <w:t xml:space="preserve">par iepakojumu </w:t>
      </w:r>
      <w:r w:rsidR="00D7587E" w:rsidRPr="00D7587E">
        <w:rPr>
          <w:b/>
          <w:bCs/>
          <w:szCs w:val="24"/>
        </w:rPr>
        <w:t>un vienreiz lietojamiem traukiem</w:t>
      </w:r>
      <w:r w:rsidR="00D7587E" w:rsidRPr="0008134A">
        <w:rPr>
          <w:b/>
          <w:bCs/>
          <w:szCs w:val="24"/>
        </w:rPr>
        <w:t xml:space="preserve"> </w:t>
      </w:r>
      <w:r w:rsidR="00941D34">
        <w:rPr>
          <w:b/>
          <w:bCs/>
          <w:szCs w:val="24"/>
        </w:rPr>
        <w:t>ierobežošana</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34"/>
        <w:gridCol w:w="1134"/>
        <w:gridCol w:w="992"/>
        <w:gridCol w:w="851"/>
      </w:tblGrid>
      <w:tr w:rsidR="003F4175" w:rsidRPr="00E10A72" w14:paraId="209ED3F7" w14:textId="77777777" w:rsidTr="00FB4F10">
        <w:trPr>
          <w:trHeight w:val="429"/>
        </w:trPr>
        <w:tc>
          <w:tcPr>
            <w:tcW w:w="4282" w:type="dxa"/>
            <w:vMerge w:val="restart"/>
            <w:tcBorders>
              <w:bottom w:val="single" w:sz="4" w:space="0" w:color="FFFFFF" w:themeColor="background1"/>
              <w:right w:val="single" w:sz="4" w:space="0" w:color="FFFFFF" w:themeColor="background1"/>
            </w:tcBorders>
            <w:shd w:val="clear" w:color="auto" w:fill="002060"/>
          </w:tcPr>
          <w:p w14:paraId="1E465544" w14:textId="77777777" w:rsidR="003F4175" w:rsidRPr="00E10A72" w:rsidRDefault="003F4175" w:rsidP="00FB4F10">
            <w:pPr>
              <w:rPr>
                <w:b/>
                <w:color w:val="FFFFFF" w:themeColor="background1"/>
                <w:sz w:val="22"/>
              </w:rPr>
            </w:pPr>
          </w:p>
        </w:tc>
        <w:tc>
          <w:tcPr>
            <w:tcW w:w="1134"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2060"/>
          </w:tcPr>
          <w:p w14:paraId="0B41CD6D" w14:textId="77777777" w:rsidR="003F4175" w:rsidRPr="00E10A72" w:rsidRDefault="003F4175" w:rsidP="003F4175">
            <w:pPr>
              <w:jc w:val="center"/>
              <w:rPr>
                <w:b/>
                <w:color w:val="FFFFFF" w:themeColor="background1"/>
                <w:sz w:val="22"/>
              </w:rPr>
            </w:pPr>
            <w:r>
              <w:rPr>
                <w:b/>
                <w:color w:val="FFFFFF" w:themeColor="background1"/>
                <w:sz w:val="22"/>
              </w:rPr>
              <w:t>Esošais atbrīvo-jums</w:t>
            </w:r>
          </w:p>
        </w:tc>
        <w:tc>
          <w:tcPr>
            <w:tcW w:w="2977" w:type="dxa"/>
            <w:gridSpan w:val="3"/>
            <w:tcBorders>
              <w:left w:val="single" w:sz="4" w:space="0" w:color="FFFFFF" w:themeColor="background1"/>
              <w:bottom w:val="single" w:sz="4" w:space="0" w:color="FFFFFF" w:themeColor="background1"/>
            </w:tcBorders>
            <w:shd w:val="clear" w:color="auto" w:fill="002060"/>
          </w:tcPr>
          <w:p w14:paraId="76727927" w14:textId="77777777" w:rsidR="003F4175" w:rsidRPr="00E10A72" w:rsidRDefault="008C635B" w:rsidP="00FB4F10">
            <w:pPr>
              <w:jc w:val="center"/>
              <w:rPr>
                <w:b/>
                <w:color w:val="FFFFFF" w:themeColor="background1"/>
                <w:sz w:val="22"/>
              </w:rPr>
            </w:pPr>
            <w:r>
              <w:rPr>
                <w:b/>
                <w:color w:val="FFFFFF" w:themeColor="background1"/>
                <w:sz w:val="22"/>
              </w:rPr>
              <w:t>Atbrīvojums</w:t>
            </w:r>
          </w:p>
        </w:tc>
      </w:tr>
      <w:tr w:rsidR="003F4175" w:rsidRPr="00E10A72" w14:paraId="60159705" w14:textId="77777777" w:rsidTr="00FB4F10">
        <w:tc>
          <w:tcPr>
            <w:tcW w:w="4282" w:type="dxa"/>
            <w:vMerge/>
            <w:tcBorders>
              <w:top w:val="single" w:sz="4" w:space="0" w:color="FFFFFF" w:themeColor="background1"/>
              <w:right w:val="single" w:sz="4" w:space="0" w:color="FFFFFF" w:themeColor="background1"/>
            </w:tcBorders>
            <w:shd w:val="clear" w:color="auto" w:fill="002060"/>
          </w:tcPr>
          <w:p w14:paraId="08367BE2" w14:textId="77777777" w:rsidR="003F4175" w:rsidRPr="00E10A72" w:rsidRDefault="003F4175" w:rsidP="00FB4F10">
            <w:pPr>
              <w:rPr>
                <w:b/>
                <w:color w:val="FFFFFF" w:themeColor="background1"/>
                <w:sz w:val="22"/>
              </w:rPr>
            </w:pPr>
          </w:p>
        </w:tc>
        <w:tc>
          <w:tcPr>
            <w:tcW w:w="1134" w:type="dxa"/>
            <w:vMerge/>
            <w:tcBorders>
              <w:top w:val="single" w:sz="4" w:space="0" w:color="FFFFFF" w:themeColor="background1"/>
              <w:left w:val="single" w:sz="4" w:space="0" w:color="FFFFFF" w:themeColor="background1"/>
              <w:right w:val="single" w:sz="4" w:space="0" w:color="FFFFFF" w:themeColor="background1"/>
            </w:tcBorders>
            <w:shd w:val="clear" w:color="auto" w:fill="002060"/>
          </w:tcPr>
          <w:p w14:paraId="2D3B35B7" w14:textId="77777777" w:rsidR="003F4175" w:rsidRPr="00E10A72" w:rsidRDefault="003F4175" w:rsidP="00FB4F10">
            <w:pPr>
              <w:jc w:val="center"/>
              <w:rPr>
                <w:b/>
                <w:color w:val="FFFFFF" w:themeColor="background1"/>
                <w:sz w:val="22"/>
              </w:rPr>
            </w:pP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53887230" w14:textId="77777777" w:rsidR="003F4175" w:rsidRPr="00E10A72" w:rsidRDefault="003F4175" w:rsidP="00FB4F10">
            <w:pPr>
              <w:jc w:val="center"/>
              <w:rPr>
                <w:b/>
                <w:color w:val="FFFFFF" w:themeColor="background1"/>
                <w:sz w:val="22"/>
              </w:rPr>
            </w:pPr>
            <w:r>
              <w:rPr>
                <w:b/>
                <w:color w:val="FFFFFF" w:themeColor="background1"/>
                <w:sz w:val="22"/>
              </w:rPr>
              <w:t>2021</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34918AEF" w14:textId="77777777" w:rsidR="003F4175" w:rsidRPr="00E10A72" w:rsidRDefault="003F4175" w:rsidP="00FB4F10">
            <w:pPr>
              <w:jc w:val="center"/>
              <w:rPr>
                <w:b/>
                <w:color w:val="FFFFFF" w:themeColor="background1"/>
                <w:sz w:val="22"/>
              </w:rPr>
            </w:pPr>
            <w:r w:rsidRPr="00E10A72">
              <w:rPr>
                <w:b/>
                <w:color w:val="FFFFFF" w:themeColor="background1"/>
                <w:sz w:val="22"/>
              </w:rPr>
              <w:t>2022</w:t>
            </w:r>
          </w:p>
        </w:tc>
        <w:tc>
          <w:tcPr>
            <w:tcW w:w="851" w:type="dxa"/>
            <w:tcBorders>
              <w:top w:val="single" w:sz="4" w:space="0" w:color="FFFFFF" w:themeColor="background1"/>
              <w:left w:val="single" w:sz="4" w:space="0" w:color="FFFFFF" w:themeColor="background1"/>
            </w:tcBorders>
            <w:shd w:val="clear" w:color="auto" w:fill="002060"/>
          </w:tcPr>
          <w:p w14:paraId="4E8BB117" w14:textId="77777777" w:rsidR="003F4175" w:rsidRPr="00E10A72" w:rsidRDefault="003F4175" w:rsidP="00FB4F10">
            <w:pPr>
              <w:jc w:val="center"/>
              <w:rPr>
                <w:b/>
                <w:color w:val="FFFFFF" w:themeColor="background1"/>
                <w:sz w:val="22"/>
              </w:rPr>
            </w:pPr>
            <w:r w:rsidRPr="00E10A72">
              <w:rPr>
                <w:b/>
                <w:color w:val="FFFFFF" w:themeColor="background1"/>
                <w:sz w:val="22"/>
              </w:rPr>
              <w:t>2023</w:t>
            </w:r>
          </w:p>
        </w:tc>
      </w:tr>
      <w:tr w:rsidR="003F4175" w:rsidRPr="00A35C05" w14:paraId="19BFA604" w14:textId="77777777" w:rsidTr="003F4175">
        <w:trPr>
          <w:trHeight w:val="325"/>
        </w:trPr>
        <w:tc>
          <w:tcPr>
            <w:tcW w:w="4282" w:type="dxa"/>
            <w:tcBorders>
              <w:bottom w:val="single" w:sz="4" w:space="0" w:color="auto"/>
            </w:tcBorders>
            <w:shd w:val="clear" w:color="auto" w:fill="auto"/>
          </w:tcPr>
          <w:p w14:paraId="374F8896" w14:textId="77777777" w:rsidR="003F4175" w:rsidRPr="003F4175" w:rsidRDefault="003F4175" w:rsidP="008C635B">
            <w:pPr>
              <w:rPr>
                <w:sz w:val="22"/>
              </w:rPr>
            </w:pPr>
            <w:r>
              <w:rPr>
                <w:sz w:val="22"/>
              </w:rPr>
              <w:t>I</w:t>
            </w:r>
            <w:r w:rsidRPr="003F4175">
              <w:rPr>
                <w:sz w:val="22"/>
              </w:rPr>
              <w:t>epakojums un vienreiz lietojamie trauki</w:t>
            </w:r>
          </w:p>
        </w:tc>
        <w:tc>
          <w:tcPr>
            <w:tcW w:w="1134" w:type="dxa"/>
            <w:tcBorders>
              <w:bottom w:val="single" w:sz="4" w:space="0" w:color="auto"/>
            </w:tcBorders>
            <w:shd w:val="clear" w:color="auto" w:fill="BFBFBF" w:themeFill="background1" w:themeFillShade="BF"/>
            <w:vAlign w:val="center"/>
          </w:tcPr>
          <w:p w14:paraId="0137C04E" w14:textId="77777777" w:rsidR="003F4175" w:rsidRPr="00A97FD1" w:rsidRDefault="003F4175" w:rsidP="003F4175">
            <w:pPr>
              <w:jc w:val="center"/>
              <w:rPr>
                <w:b/>
                <w:sz w:val="22"/>
              </w:rPr>
            </w:pPr>
            <w:r>
              <w:rPr>
                <w:b/>
                <w:sz w:val="22"/>
              </w:rPr>
              <w:t>100%</w:t>
            </w:r>
          </w:p>
        </w:tc>
        <w:tc>
          <w:tcPr>
            <w:tcW w:w="1134" w:type="dxa"/>
            <w:tcBorders>
              <w:bottom w:val="single" w:sz="4" w:space="0" w:color="auto"/>
            </w:tcBorders>
            <w:shd w:val="clear" w:color="auto" w:fill="auto"/>
            <w:vAlign w:val="center"/>
          </w:tcPr>
          <w:p w14:paraId="52D933B2" w14:textId="77777777" w:rsidR="003F4175" w:rsidRPr="003F4175" w:rsidRDefault="003F4175" w:rsidP="003F4175">
            <w:pPr>
              <w:jc w:val="center"/>
              <w:rPr>
                <w:b/>
                <w:color w:val="FF0000"/>
                <w:sz w:val="22"/>
              </w:rPr>
            </w:pPr>
            <w:r w:rsidRPr="003F4175">
              <w:rPr>
                <w:b/>
                <w:color w:val="FF0000"/>
                <w:sz w:val="22"/>
              </w:rPr>
              <w:t>65%</w:t>
            </w:r>
          </w:p>
        </w:tc>
        <w:tc>
          <w:tcPr>
            <w:tcW w:w="992" w:type="dxa"/>
            <w:tcBorders>
              <w:bottom w:val="single" w:sz="4" w:space="0" w:color="auto"/>
            </w:tcBorders>
            <w:shd w:val="clear" w:color="auto" w:fill="auto"/>
            <w:vAlign w:val="center"/>
          </w:tcPr>
          <w:p w14:paraId="71A118D1" w14:textId="77777777" w:rsidR="003F4175" w:rsidRPr="003F4175" w:rsidRDefault="003F4175" w:rsidP="003F4175">
            <w:pPr>
              <w:jc w:val="center"/>
              <w:rPr>
                <w:b/>
                <w:color w:val="FF0000"/>
                <w:sz w:val="22"/>
              </w:rPr>
            </w:pPr>
            <w:r w:rsidRPr="003F4175">
              <w:rPr>
                <w:b/>
                <w:color w:val="FF0000"/>
                <w:sz w:val="22"/>
              </w:rPr>
              <w:t>67%</w:t>
            </w:r>
          </w:p>
        </w:tc>
        <w:tc>
          <w:tcPr>
            <w:tcW w:w="851" w:type="dxa"/>
            <w:tcBorders>
              <w:bottom w:val="single" w:sz="4" w:space="0" w:color="auto"/>
            </w:tcBorders>
            <w:shd w:val="clear" w:color="auto" w:fill="auto"/>
            <w:vAlign w:val="center"/>
          </w:tcPr>
          <w:p w14:paraId="4C41F778" w14:textId="77777777" w:rsidR="003F4175" w:rsidRPr="003F4175" w:rsidRDefault="003F4175" w:rsidP="003F4175">
            <w:pPr>
              <w:jc w:val="center"/>
              <w:rPr>
                <w:b/>
                <w:color w:val="FF0000"/>
                <w:sz w:val="22"/>
              </w:rPr>
            </w:pPr>
            <w:r w:rsidRPr="003F4175">
              <w:rPr>
                <w:b/>
                <w:color w:val="FF0000"/>
                <w:sz w:val="22"/>
              </w:rPr>
              <w:t>68%</w:t>
            </w:r>
          </w:p>
        </w:tc>
      </w:tr>
      <w:tr w:rsidR="003F4175" w:rsidRPr="00A35C05" w14:paraId="49E85F70" w14:textId="77777777" w:rsidTr="00FB4F10">
        <w:trPr>
          <w:trHeight w:val="274"/>
        </w:trPr>
        <w:tc>
          <w:tcPr>
            <w:tcW w:w="4282" w:type="dxa"/>
            <w:tcBorders>
              <w:bottom w:val="dotted" w:sz="4" w:space="0" w:color="auto"/>
            </w:tcBorders>
            <w:shd w:val="clear" w:color="auto" w:fill="FFE599" w:themeFill="accent4" w:themeFillTint="66"/>
          </w:tcPr>
          <w:p w14:paraId="68509EC0" w14:textId="77777777" w:rsidR="003F4175" w:rsidRPr="00A35C05" w:rsidRDefault="003F4175" w:rsidP="00FB4F10">
            <w:pPr>
              <w:rPr>
                <w:sz w:val="22"/>
              </w:rPr>
            </w:pPr>
            <w:r w:rsidRPr="0008134A">
              <w:rPr>
                <w:b/>
                <w:sz w:val="22"/>
              </w:rPr>
              <w:t>Fiskālā ietekme</w:t>
            </w:r>
            <w:r>
              <w:rPr>
                <w:b/>
                <w:sz w:val="22"/>
              </w:rPr>
              <w:t xml:space="preserve">, </w:t>
            </w:r>
            <w:r w:rsidRPr="0008134A">
              <w:rPr>
                <w:i/>
                <w:sz w:val="22"/>
              </w:rPr>
              <w:t>milj. euro</w:t>
            </w:r>
          </w:p>
        </w:tc>
        <w:tc>
          <w:tcPr>
            <w:tcW w:w="1134" w:type="dxa"/>
            <w:tcBorders>
              <w:bottom w:val="dotted" w:sz="4" w:space="0" w:color="auto"/>
            </w:tcBorders>
            <w:shd w:val="clear" w:color="auto" w:fill="BFBFBF" w:themeFill="background1" w:themeFillShade="BF"/>
          </w:tcPr>
          <w:p w14:paraId="77E70789" w14:textId="77777777" w:rsidR="003F4175" w:rsidRPr="00A35C05" w:rsidRDefault="003F4175" w:rsidP="00FB4F10">
            <w:pPr>
              <w:jc w:val="center"/>
              <w:rPr>
                <w:sz w:val="22"/>
              </w:rPr>
            </w:pPr>
          </w:p>
        </w:tc>
        <w:tc>
          <w:tcPr>
            <w:tcW w:w="1134" w:type="dxa"/>
            <w:tcBorders>
              <w:bottom w:val="dotted" w:sz="4" w:space="0" w:color="auto"/>
            </w:tcBorders>
            <w:shd w:val="clear" w:color="auto" w:fill="FFE599" w:themeFill="accent4" w:themeFillTint="66"/>
          </w:tcPr>
          <w:p w14:paraId="75190029" w14:textId="77777777" w:rsidR="003F4175" w:rsidRPr="004252E4" w:rsidRDefault="00E1375F" w:rsidP="003F4175">
            <w:pPr>
              <w:jc w:val="center"/>
              <w:rPr>
                <w:b/>
                <w:color w:val="00B050"/>
                <w:sz w:val="22"/>
              </w:rPr>
            </w:pPr>
            <w:r w:rsidRPr="004252E4">
              <w:rPr>
                <w:b/>
                <w:color w:val="00B050"/>
                <w:sz w:val="22"/>
              </w:rPr>
              <w:t>+</w:t>
            </w:r>
            <w:r w:rsidR="003F4175" w:rsidRPr="004252E4">
              <w:rPr>
                <w:b/>
                <w:color w:val="00B050"/>
                <w:sz w:val="22"/>
              </w:rPr>
              <w:t>35,10</w:t>
            </w:r>
          </w:p>
        </w:tc>
        <w:tc>
          <w:tcPr>
            <w:tcW w:w="992" w:type="dxa"/>
            <w:tcBorders>
              <w:bottom w:val="dotted" w:sz="4" w:space="0" w:color="auto"/>
            </w:tcBorders>
            <w:shd w:val="clear" w:color="auto" w:fill="FFE599" w:themeFill="accent4" w:themeFillTint="66"/>
          </w:tcPr>
          <w:p w14:paraId="5B282C97" w14:textId="77777777" w:rsidR="003F4175" w:rsidRPr="004252E4" w:rsidRDefault="00E1375F" w:rsidP="003F4175">
            <w:pPr>
              <w:jc w:val="center"/>
              <w:rPr>
                <w:b/>
                <w:color w:val="00B050"/>
                <w:sz w:val="22"/>
              </w:rPr>
            </w:pPr>
            <w:r w:rsidRPr="004252E4">
              <w:rPr>
                <w:b/>
                <w:color w:val="00B050"/>
                <w:sz w:val="22"/>
              </w:rPr>
              <w:t>+</w:t>
            </w:r>
            <w:r w:rsidR="003F4175" w:rsidRPr="004252E4">
              <w:rPr>
                <w:b/>
                <w:color w:val="00B050"/>
                <w:sz w:val="22"/>
              </w:rPr>
              <w:t>40,59</w:t>
            </w:r>
          </w:p>
        </w:tc>
        <w:tc>
          <w:tcPr>
            <w:tcW w:w="851" w:type="dxa"/>
            <w:tcBorders>
              <w:bottom w:val="dotted" w:sz="4" w:space="0" w:color="auto"/>
            </w:tcBorders>
            <w:shd w:val="clear" w:color="auto" w:fill="FFE599" w:themeFill="accent4" w:themeFillTint="66"/>
          </w:tcPr>
          <w:p w14:paraId="2F4374E6" w14:textId="77777777" w:rsidR="003F4175" w:rsidRPr="004252E4" w:rsidRDefault="00E1375F" w:rsidP="003F4175">
            <w:pPr>
              <w:jc w:val="center"/>
              <w:rPr>
                <w:b/>
                <w:color w:val="00B050"/>
                <w:sz w:val="22"/>
              </w:rPr>
            </w:pPr>
            <w:r w:rsidRPr="004252E4">
              <w:rPr>
                <w:b/>
                <w:color w:val="00B050"/>
                <w:sz w:val="22"/>
              </w:rPr>
              <w:t>+</w:t>
            </w:r>
            <w:r w:rsidR="003F4175" w:rsidRPr="004252E4">
              <w:rPr>
                <w:b/>
                <w:color w:val="00B050"/>
                <w:sz w:val="22"/>
              </w:rPr>
              <w:t xml:space="preserve">39,36 </w:t>
            </w:r>
          </w:p>
        </w:tc>
      </w:tr>
      <w:tr w:rsidR="003F4175" w:rsidRPr="00A35C05" w14:paraId="5DA1A1DA" w14:textId="77777777" w:rsidTr="00FB4F10">
        <w:trPr>
          <w:trHeight w:val="70"/>
        </w:trPr>
        <w:tc>
          <w:tcPr>
            <w:tcW w:w="4282" w:type="dxa"/>
            <w:tcBorders>
              <w:top w:val="dotted" w:sz="4" w:space="0" w:color="auto"/>
              <w:bottom w:val="dotted" w:sz="4" w:space="0" w:color="auto"/>
            </w:tcBorders>
            <w:shd w:val="clear" w:color="auto" w:fill="FFE599" w:themeFill="accent4" w:themeFillTint="66"/>
          </w:tcPr>
          <w:p w14:paraId="72A23B41" w14:textId="77777777" w:rsidR="003F4175" w:rsidRPr="00941D34" w:rsidRDefault="003F4175" w:rsidP="000223DA">
            <w:pPr>
              <w:pStyle w:val="ListParagraph"/>
              <w:numPr>
                <w:ilvl w:val="0"/>
                <w:numId w:val="6"/>
              </w:numPr>
              <w:ind w:left="634" w:hanging="283"/>
              <w:jc w:val="left"/>
              <w:rPr>
                <w:i/>
                <w:sz w:val="20"/>
                <w:szCs w:val="20"/>
              </w:rPr>
            </w:pPr>
            <w:r w:rsidRPr="00941D34">
              <w:rPr>
                <w:i/>
                <w:sz w:val="20"/>
                <w:szCs w:val="20"/>
              </w:rPr>
              <w:t>valsts pamatbudžets</w:t>
            </w:r>
          </w:p>
        </w:tc>
        <w:tc>
          <w:tcPr>
            <w:tcW w:w="1134" w:type="dxa"/>
            <w:tcBorders>
              <w:top w:val="dotted" w:sz="4" w:space="0" w:color="auto"/>
              <w:bottom w:val="dotted" w:sz="4" w:space="0" w:color="auto"/>
            </w:tcBorders>
            <w:shd w:val="clear" w:color="auto" w:fill="BFBFBF" w:themeFill="background1" w:themeFillShade="BF"/>
          </w:tcPr>
          <w:p w14:paraId="54C81836" w14:textId="77777777" w:rsidR="003F4175" w:rsidRPr="00A35C05" w:rsidRDefault="003F4175" w:rsidP="00FB4F10">
            <w:pPr>
              <w:jc w:val="center"/>
              <w:rPr>
                <w:sz w:val="20"/>
                <w:szCs w:val="20"/>
              </w:rPr>
            </w:pPr>
          </w:p>
        </w:tc>
        <w:tc>
          <w:tcPr>
            <w:tcW w:w="1134" w:type="dxa"/>
            <w:tcBorders>
              <w:top w:val="dotted" w:sz="4" w:space="0" w:color="auto"/>
              <w:bottom w:val="dotted" w:sz="4" w:space="0" w:color="auto"/>
            </w:tcBorders>
            <w:shd w:val="clear" w:color="auto" w:fill="FFE599" w:themeFill="accent4" w:themeFillTint="66"/>
            <w:vAlign w:val="center"/>
          </w:tcPr>
          <w:p w14:paraId="1B55A32A" w14:textId="77777777" w:rsidR="003F4175" w:rsidRPr="004252E4" w:rsidRDefault="00E1375F" w:rsidP="00FB4F10">
            <w:pPr>
              <w:jc w:val="center"/>
              <w:rPr>
                <w:i/>
                <w:color w:val="00B050"/>
                <w:sz w:val="20"/>
                <w:szCs w:val="20"/>
              </w:rPr>
            </w:pPr>
            <w:r w:rsidRPr="004252E4">
              <w:rPr>
                <w:i/>
                <w:color w:val="00B050"/>
                <w:sz w:val="20"/>
                <w:szCs w:val="20"/>
              </w:rPr>
              <w:t>+</w:t>
            </w:r>
            <w:r w:rsidR="003F4175" w:rsidRPr="004252E4">
              <w:rPr>
                <w:i/>
                <w:color w:val="00B050"/>
                <w:sz w:val="20"/>
                <w:szCs w:val="20"/>
              </w:rPr>
              <w:t>35,10</w:t>
            </w:r>
          </w:p>
        </w:tc>
        <w:tc>
          <w:tcPr>
            <w:tcW w:w="992" w:type="dxa"/>
            <w:tcBorders>
              <w:top w:val="dotted" w:sz="4" w:space="0" w:color="auto"/>
              <w:bottom w:val="dotted" w:sz="4" w:space="0" w:color="auto"/>
            </w:tcBorders>
            <w:shd w:val="clear" w:color="auto" w:fill="FFE599" w:themeFill="accent4" w:themeFillTint="66"/>
            <w:vAlign w:val="center"/>
          </w:tcPr>
          <w:p w14:paraId="3F614A0A" w14:textId="77777777" w:rsidR="003F4175" w:rsidRPr="004252E4" w:rsidRDefault="00E1375F" w:rsidP="00FB4F10">
            <w:pPr>
              <w:jc w:val="center"/>
              <w:rPr>
                <w:i/>
                <w:color w:val="00B050"/>
                <w:sz w:val="20"/>
                <w:szCs w:val="20"/>
              </w:rPr>
            </w:pPr>
            <w:r w:rsidRPr="004252E4">
              <w:rPr>
                <w:i/>
                <w:color w:val="00B050"/>
                <w:sz w:val="20"/>
                <w:szCs w:val="20"/>
              </w:rPr>
              <w:t>+</w:t>
            </w:r>
            <w:r w:rsidR="003F4175" w:rsidRPr="004252E4">
              <w:rPr>
                <w:i/>
                <w:color w:val="00B050"/>
                <w:sz w:val="20"/>
                <w:szCs w:val="20"/>
              </w:rPr>
              <w:t>40,59</w:t>
            </w:r>
          </w:p>
        </w:tc>
        <w:tc>
          <w:tcPr>
            <w:tcW w:w="851" w:type="dxa"/>
            <w:tcBorders>
              <w:top w:val="dotted" w:sz="4" w:space="0" w:color="auto"/>
              <w:bottom w:val="dotted" w:sz="4" w:space="0" w:color="auto"/>
            </w:tcBorders>
            <w:shd w:val="clear" w:color="auto" w:fill="FFE599" w:themeFill="accent4" w:themeFillTint="66"/>
            <w:vAlign w:val="center"/>
          </w:tcPr>
          <w:p w14:paraId="12623BED" w14:textId="77777777" w:rsidR="003F4175" w:rsidRPr="004252E4" w:rsidRDefault="00E1375F" w:rsidP="00FB4F10">
            <w:pPr>
              <w:jc w:val="center"/>
              <w:rPr>
                <w:i/>
                <w:color w:val="00B050"/>
                <w:sz w:val="20"/>
                <w:szCs w:val="20"/>
              </w:rPr>
            </w:pPr>
            <w:r w:rsidRPr="004252E4">
              <w:rPr>
                <w:i/>
                <w:color w:val="00B050"/>
                <w:sz w:val="20"/>
                <w:szCs w:val="20"/>
              </w:rPr>
              <w:t>+</w:t>
            </w:r>
            <w:r w:rsidR="003F4175" w:rsidRPr="004252E4">
              <w:rPr>
                <w:i/>
                <w:color w:val="00B050"/>
                <w:sz w:val="20"/>
                <w:szCs w:val="20"/>
              </w:rPr>
              <w:t>39,36</w:t>
            </w:r>
          </w:p>
        </w:tc>
      </w:tr>
      <w:tr w:rsidR="003F4175" w:rsidRPr="00A35C05" w14:paraId="0C3772E0" w14:textId="77777777" w:rsidTr="00FB4F10">
        <w:trPr>
          <w:trHeight w:val="125"/>
        </w:trPr>
        <w:tc>
          <w:tcPr>
            <w:tcW w:w="4282" w:type="dxa"/>
            <w:tcBorders>
              <w:top w:val="dotted" w:sz="4" w:space="0" w:color="auto"/>
              <w:bottom w:val="single" w:sz="4" w:space="0" w:color="auto"/>
            </w:tcBorders>
            <w:shd w:val="clear" w:color="auto" w:fill="FFE599" w:themeFill="accent4" w:themeFillTint="66"/>
          </w:tcPr>
          <w:p w14:paraId="1CCB0F39" w14:textId="77777777" w:rsidR="003F4175" w:rsidRPr="00941D34" w:rsidRDefault="003F4175" w:rsidP="000223DA">
            <w:pPr>
              <w:pStyle w:val="ListParagraph"/>
              <w:numPr>
                <w:ilvl w:val="0"/>
                <w:numId w:val="6"/>
              </w:numPr>
              <w:ind w:left="634" w:hanging="283"/>
              <w:jc w:val="left"/>
              <w:rPr>
                <w:i/>
                <w:sz w:val="20"/>
                <w:szCs w:val="20"/>
              </w:rPr>
            </w:pPr>
            <w:r w:rsidRPr="00941D34">
              <w:rPr>
                <w:i/>
                <w:sz w:val="20"/>
                <w:szCs w:val="20"/>
              </w:rPr>
              <w:t>pašvaldību budžeti</w:t>
            </w:r>
          </w:p>
        </w:tc>
        <w:tc>
          <w:tcPr>
            <w:tcW w:w="1134" w:type="dxa"/>
            <w:tcBorders>
              <w:top w:val="dotted" w:sz="4" w:space="0" w:color="auto"/>
              <w:bottom w:val="single" w:sz="4" w:space="0" w:color="auto"/>
            </w:tcBorders>
            <w:shd w:val="clear" w:color="auto" w:fill="BFBFBF" w:themeFill="background1" w:themeFillShade="BF"/>
          </w:tcPr>
          <w:p w14:paraId="3513CE2E" w14:textId="77777777" w:rsidR="003F4175" w:rsidRPr="00A35C05" w:rsidRDefault="003F4175" w:rsidP="00FB4F10">
            <w:pPr>
              <w:jc w:val="center"/>
              <w:rPr>
                <w:sz w:val="20"/>
                <w:szCs w:val="20"/>
              </w:rPr>
            </w:pPr>
          </w:p>
        </w:tc>
        <w:tc>
          <w:tcPr>
            <w:tcW w:w="1134" w:type="dxa"/>
            <w:tcBorders>
              <w:top w:val="dotted" w:sz="4" w:space="0" w:color="auto"/>
              <w:bottom w:val="single" w:sz="4" w:space="0" w:color="auto"/>
            </w:tcBorders>
            <w:shd w:val="clear" w:color="auto" w:fill="FFE599" w:themeFill="accent4" w:themeFillTint="66"/>
          </w:tcPr>
          <w:p w14:paraId="53D997B2" w14:textId="77777777" w:rsidR="003F4175" w:rsidRPr="004252E4" w:rsidRDefault="003F4175" w:rsidP="00FB4F10">
            <w:pPr>
              <w:jc w:val="center"/>
              <w:rPr>
                <w:i/>
                <w:color w:val="00B050"/>
                <w:sz w:val="20"/>
                <w:szCs w:val="20"/>
              </w:rPr>
            </w:pPr>
            <w:r w:rsidRPr="004252E4">
              <w:rPr>
                <w:i/>
                <w:color w:val="00B050"/>
                <w:sz w:val="20"/>
                <w:szCs w:val="20"/>
              </w:rPr>
              <w:t>-</w:t>
            </w:r>
          </w:p>
        </w:tc>
        <w:tc>
          <w:tcPr>
            <w:tcW w:w="992" w:type="dxa"/>
            <w:tcBorders>
              <w:top w:val="dotted" w:sz="4" w:space="0" w:color="auto"/>
              <w:bottom w:val="single" w:sz="4" w:space="0" w:color="auto"/>
            </w:tcBorders>
            <w:shd w:val="clear" w:color="auto" w:fill="FFE599" w:themeFill="accent4" w:themeFillTint="66"/>
          </w:tcPr>
          <w:p w14:paraId="5D9D7176" w14:textId="77777777" w:rsidR="003F4175" w:rsidRPr="004252E4" w:rsidRDefault="003F4175" w:rsidP="00FB4F10">
            <w:pPr>
              <w:jc w:val="center"/>
              <w:rPr>
                <w:i/>
                <w:color w:val="00B050"/>
                <w:sz w:val="20"/>
                <w:szCs w:val="20"/>
              </w:rPr>
            </w:pPr>
            <w:r w:rsidRPr="004252E4">
              <w:rPr>
                <w:i/>
                <w:color w:val="00B050"/>
                <w:sz w:val="20"/>
                <w:szCs w:val="20"/>
              </w:rPr>
              <w:t>-</w:t>
            </w:r>
          </w:p>
        </w:tc>
        <w:tc>
          <w:tcPr>
            <w:tcW w:w="851" w:type="dxa"/>
            <w:tcBorders>
              <w:top w:val="dotted" w:sz="4" w:space="0" w:color="auto"/>
              <w:bottom w:val="single" w:sz="4" w:space="0" w:color="auto"/>
            </w:tcBorders>
            <w:shd w:val="clear" w:color="auto" w:fill="FFE599" w:themeFill="accent4" w:themeFillTint="66"/>
          </w:tcPr>
          <w:p w14:paraId="7C16A7FC" w14:textId="77777777" w:rsidR="003F4175" w:rsidRPr="004252E4" w:rsidRDefault="003F4175" w:rsidP="00FB4F10">
            <w:pPr>
              <w:jc w:val="center"/>
              <w:rPr>
                <w:i/>
                <w:color w:val="00B050"/>
                <w:sz w:val="20"/>
                <w:szCs w:val="20"/>
              </w:rPr>
            </w:pPr>
            <w:r w:rsidRPr="004252E4">
              <w:rPr>
                <w:i/>
                <w:color w:val="00B050"/>
                <w:sz w:val="20"/>
                <w:szCs w:val="20"/>
              </w:rPr>
              <w:t xml:space="preserve">- </w:t>
            </w:r>
          </w:p>
        </w:tc>
      </w:tr>
    </w:tbl>
    <w:p w14:paraId="463EA675" w14:textId="77777777" w:rsidR="003F4175" w:rsidRDefault="003F4175" w:rsidP="003F4175">
      <w:pPr>
        <w:ind w:left="426" w:hanging="426"/>
        <w:rPr>
          <w:szCs w:val="24"/>
        </w:rPr>
      </w:pPr>
    </w:p>
    <w:p w14:paraId="6C84C159" w14:textId="77777777" w:rsidR="0008134A" w:rsidRPr="008C635B" w:rsidRDefault="0008134A" w:rsidP="000223DA">
      <w:pPr>
        <w:pStyle w:val="ListParagraph"/>
        <w:numPr>
          <w:ilvl w:val="0"/>
          <w:numId w:val="12"/>
        </w:numPr>
        <w:rPr>
          <w:sz w:val="26"/>
          <w:szCs w:val="26"/>
        </w:rPr>
      </w:pPr>
      <w:r w:rsidRPr="008C635B">
        <w:rPr>
          <w:sz w:val="26"/>
          <w:szCs w:val="26"/>
        </w:rPr>
        <w:t>noteikt, ka nodokļa atbrīvojumus nepiemēro iepakojumam, kam nav faktiskas pārstrādes iespējas. Nepieciešams noteikt kritērijus pārstrādes iespēju novērtēšanai.</w:t>
      </w:r>
    </w:p>
    <w:p w14:paraId="3BFA7449" w14:textId="77777777" w:rsidR="008C635B" w:rsidRPr="008C635B" w:rsidRDefault="008C635B" w:rsidP="008C635B">
      <w:pPr>
        <w:pStyle w:val="ListParagraph"/>
        <w:ind w:left="780"/>
        <w:rPr>
          <w:color w:val="FF0000"/>
          <w:sz w:val="26"/>
          <w:szCs w:val="26"/>
        </w:rPr>
      </w:pPr>
    </w:p>
    <w:p w14:paraId="124BDF3A" w14:textId="77777777" w:rsidR="0008134A" w:rsidRPr="00A97FD1" w:rsidRDefault="008C635B" w:rsidP="00D7587E">
      <w:pPr>
        <w:jc w:val="both"/>
        <w:rPr>
          <w:b/>
          <w:sz w:val="26"/>
          <w:szCs w:val="26"/>
        </w:rPr>
      </w:pPr>
      <w:r w:rsidRPr="00A97FD1">
        <w:rPr>
          <w:b/>
          <w:sz w:val="26"/>
          <w:szCs w:val="26"/>
        </w:rPr>
        <w:t>Priekšlikumi izmaiņām n</w:t>
      </w:r>
      <w:r>
        <w:rPr>
          <w:b/>
          <w:sz w:val="26"/>
          <w:szCs w:val="26"/>
        </w:rPr>
        <w:t xml:space="preserve">odokļa atbrīvojumu piemērošanā </w:t>
      </w:r>
      <w:r w:rsidR="0008134A" w:rsidRPr="00A97FD1">
        <w:rPr>
          <w:b/>
          <w:sz w:val="26"/>
          <w:szCs w:val="26"/>
        </w:rPr>
        <w:t>par videi kaitīgām precēm</w:t>
      </w:r>
      <w:r w:rsidR="00D7587E">
        <w:rPr>
          <w:b/>
          <w:sz w:val="26"/>
          <w:szCs w:val="26"/>
        </w:rPr>
        <w:t xml:space="preserve"> un</w:t>
      </w:r>
      <w:r w:rsidR="0008134A" w:rsidRPr="00A97FD1">
        <w:rPr>
          <w:b/>
          <w:sz w:val="26"/>
          <w:szCs w:val="26"/>
        </w:rPr>
        <w:t xml:space="preserve"> transportlīdzekļiem:</w:t>
      </w:r>
    </w:p>
    <w:p w14:paraId="03BF6B39" w14:textId="77777777" w:rsidR="0008134A" w:rsidRDefault="008C635B" w:rsidP="000223DA">
      <w:pPr>
        <w:pStyle w:val="ListParagraph"/>
        <w:numPr>
          <w:ilvl w:val="0"/>
          <w:numId w:val="13"/>
        </w:numPr>
        <w:rPr>
          <w:sz w:val="26"/>
          <w:szCs w:val="26"/>
        </w:rPr>
      </w:pPr>
      <w:r w:rsidRPr="008C635B">
        <w:rPr>
          <w:sz w:val="26"/>
          <w:szCs w:val="26"/>
        </w:rPr>
        <w:t>p</w:t>
      </w:r>
      <w:r w:rsidR="0008134A" w:rsidRPr="008C635B">
        <w:rPr>
          <w:sz w:val="26"/>
          <w:szCs w:val="26"/>
        </w:rPr>
        <w:t>lānots noteikt atbrīvojumu atkritumu apsaimniekošanas sistēmā (RAS) sistēmā iesaistītajiem nodokļa maksātājiem 80% apmērā, ja tiek izpildīti normatīvo aktu nosacījumi</w:t>
      </w:r>
    </w:p>
    <w:p w14:paraId="61811131" w14:textId="77777777" w:rsidR="00D7587E" w:rsidRDefault="00D7587E" w:rsidP="00D7587E">
      <w:pPr>
        <w:spacing w:after="120"/>
        <w:rPr>
          <w:szCs w:val="24"/>
        </w:rPr>
      </w:pPr>
    </w:p>
    <w:p w14:paraId="2F7D7A71" w14:textId="77777777" w:rsidR="00D7587E" w:rsidRPr="00D7587E" w:rsidRDefault="00912814" w:rsidP="00D7587E">
      <w:pPr>
        <w:spacing w:after="120"/>
        <w:jc w:val="center"/>
        <w:rPr>
          <w:b/>
          <w:sz w:val="26"/>
          <w:szCs w:val="26"/>
        </w:rPr>
      </w:pPr>
      <w:r>
        <w:rPr>
          <w:szCs w:val="24"/>
        </w:rPr>
        <w:t>3</w:t>
      </w:r>
      <w:r w:rsidR="006C5A20">
        <w:rPr>
          <w:szCs w:val="24"/>
        </w:rPr>
        <w:t>1</w:t>
      </w:r>
      <w:r w:rsidR="00D7587E" w:rsidRPr="00D7587E">
        <w:rPr>
          <w:szCs w:val="24"/>
        </w:rPr>
        <w:t>.tab.</w:t>
      </w:r>
      <w:r w:rsidR="00D7587E" w:rsidRPr="00D7587E">
        <w:rPr>
          <w:b/>
          <w:szCs w:val="24"/>
        </w:rPr>
        <w:t xml:space="preserve"> </w:t>
      </w:r>
      <w:r w:rsidR="00D7587E">
        <w:rPr>
          <w:b/>
          <w:szCs w:val="24"/>
        </w:rPr>
        <w:t>A</w:t>
      </w:r>
      <w:r w:rsidR="00D7587E" w:rsidRPr="0008134A">
        <w:rPr>
          <w:b/>
          <w:bCs/>
          <w:szCs w:val="24"/>
        </w:rPr>
        <w:t>tbrīvojum</w:t>
      </w:r>
      <w:r w:rsidR="00D7587E">
        <w:rPr>
          <w:b/>
          <w:bCs/>
          <w:szCs w:val="24"/>
        </w:rPr>
        <w:t>a</w:t>
      </w:r>
      <w:r w:rsidR="00D7587E" w:rsidRPr="0008134A">
        <w:rPr>
          <w:b/>
          <w:bCs/>
          <w:szCs w:val="24"/>
        </w:rPr>
        <w:t xml:space="preserve"> </w:t>
      </w:r>
      <w:r w:rsidR="00D7587E" w:rsidRPr="00D7587E">
        <w:rPr>
          <w:b/>
          <w:szCs w:val="24"/>
        </w:rPr>
        <w:t>par videi kaitīgām precēm</w:t>
      </w:r>
      <w:r w:rsidR="00D7587E">
        <w:rPr>
          <w:b/>
          <w:szCs w:val="24"/>
        </w:rPr>
        <w:t xml:space="preserve"> un</w:t>
      </w:r>
      <w:r w:rsidR="00D7587E" w:rsidRPr="00D7587E">
        <w:rPr>
          <w:b/>
          <w:szCs w:val="24"/>
        </w:rPr>
        <w:t xml:space="preserve"> transportlīdzekļiem</w:t>
      </w:r>
      <w:r w:rsidR="00E25C09">
        <w:rPr>
          <w:b/>
          <w:bCs/>
          <w:szCs w:val="24"/>
        </w:rPr>
        <w:t xml:space="preserve"> ierobežošana</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34"/>
        <w:gridCol w:w="1134"/>
        <w:gridCol w:w="992"/>
        <w:gridCol w:w="851"/>
      </w:tblGrid>
      <w:tr w:rsidR="008C635B" w:rsidRPr="00E10A72" w14:paraId="785AAC7C" w14:textId="77777777" w:rsidTr="00FB4F10">
        <w:trPr>
          <w:trHeight w:val="429"/>
        </w:trPr>
        <w:tc>
          <w:tcPr>
            <w:tcW w:w="4282" w:type="dxa"/>
            <w:vMerge w:val="restart"/>
            <w:tcBorders>
              <w:bottom w:val="single" w:sz="4" w:space="0" w:color="FFFFFF" w:themeColor="background1"/>
              <w:right w:val="single" w:sz="4" w:space="0" w:color="FFFFFF" w:themeColor="background1"/>
            </w:tcBorders>
            <w:shd w:val="clear" w:color="auto" w:fill="002060"/>
          </w:tcPr>
          <w:p w14:paraId="7BCEFB44" w14:textId="77777777" w:rsidR="008C635B" w:rsidRPr="00D7587E" w:rsidRDefault="008C635B" w:rsidP="00FB4F10">
            <w:pPr>
              <w:rPr>
                <w:b/>
                <w:color w:val="FFFFFF" w:themeColor="background1"/>
                <w:sz w:val="22"/>
              </w:rPr>
            </w:pPr>
          </w:p>
        </w:tc>
        <w:tc>
          <w:tcPr>
            <w:tcW w:w="1134"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2060"/>
          </w:tcPr>
          <w:p w14:paraId="4E8A6513" w14:textId="77777777" w:rsidR="008C635B" w:rsidRPr="00D7587E" w:rsidRDefault="008C635B" w:rsidP="00FB4F10">
            <w:pPr>
              <w:jc w:val="center"/>
              <w:rPr>
                <w:b/>
                <w:color w:val="FFFFFF" w:themeColor="background1"/>
                <w:sz w:val="22"/>
              </w:rPr>
            </w:pPr>
            <w:r w:rsidRPr="00D7587E">
              <w:rPr>
                <w:b/>
                <w:color w:val="FFFFFF" w:themeColor="background1"/>
                <w:sz w:val="22"/>
              </w:rPr>
              <w:t>Esošais atbrīvo-jums</w:t>
            </w:r>
          </w:p>
        </w:tc>
        <w:tc>
          <w:tcPr>
            <w:tcW w:w="2977" w:type="dxa"/>
            <w:gridSpan w:val="3"/>
            <w:tcBorders>
              <w:left w:val="single" w:sz="4" w:space="0" w:color="FFFFFF" w:themeColor="background1"/>
              <w:bottom w:val="single" w:sz="4" w:space="0" w:color="FFFFFF" w:themeColor="background1"/>
            </w:tcBorders>
            <w:shd w:val="clear" w:color="auto" w:fill="002060"/>
          </w:tcPr>
          <w:p w14:paraId="2E547008" w14:textId="77777777" w:rsidR="008C635B" w:rsidRPr="00D7587E" w:rsidRDefault="008C635B" w:rsidP="00FB4F10">
            <w:pPr>
              <w:jc w:val="center"/>
              <w:rPr>
                <w:b/>
                <w:color w:val="FFFFFF" w:themeColor="background1"/>
                <w:sz w:val="22"/>
              </w:rPr>
            </w:pPr>
            <w:r w:rsidRPr="00D7587E">
              <w:rPr>
                <w:b/>
                <w:color w:val="FFFFFF" w:themeColor="background1"/>
                <w:sz w:val="22"/>
              </w:rPr>
              <w:t>Paaugstinātā likme (</w:t>
            </w:r>
            <w:r w:rsidRPr="00D7587E">
              <w:rPr>
                <w:b/>
                <w:i/>
                <w:color w:val="FFFFFF" w:themeColor="background1"/>
                <w:sz w:val="22"/>
              </w:rPr>
              <w:t>euro</w:t>
            </w:r>
            <w:r w:rsidRPr="00D7587E">
              <w:rPr>
                <w:b/>
                <w:color w:val="FFFFFF" w:themeColor="background1"/>
                <w:sz w:val="22"/>
              </w:rPr>
              <w:t>)</w:t>
            </w:r>
          </w:p>
        </w:tc>
      </w:tr>
      <w:tr w:rsidR="008C635B" w:rsidRPr="00E10A72" w14:paraId="1B4F9CC1" w14:textId="77777777" w:rsidTr="00FB4F10">
        <w:tc>
          <w:tcPr>
            <w:tcW w:w="4282" w:type="dxa"/>
            <w:vMerge/>
            <w:tcBorders>
              <w:top w:val="single" w:sz="4" w:space="0" w:color="FFFFFF" w:themeColor="background1"/>
              <w:right w:val="single" w:sz="4" w:space="0" w:color="FFFFFF" w:themeColor="background1"/>
            </w:tcBorders>
            <w:shd w:val="clear" w:color="auto" w:fill="002060"/>
          </w:tcPr>
          <w:p w14:paraId="4997F91F" w14:textId="77777777" w:rsidR="008C635B" w:rsidRPr="00D7587E" w:rsidRDefault="008C635B" w:rsidP="00FB4F10">
            <w:pPr>
              <w:rPr>
                <w:b/>
                <w:color w:val="FFFFFF" w:themeColor="background1"/>
                <w:sz w:val="22"/>
              </w:rPr>
            </w:pPr>
          </w:p>
        </w:tc>
        <w:tc>
          <w:tcPr>
            <w:tcW w:w="1134" w:type="dxa"/>
            <w:vMerge/>
            <w:tcBorders>
              <w:top w:val="single" w:sz="4" w:space="0" w:color="FFFFFF" w:themeColor="background1"/>
              <w:left w:val="single" w:sz="4" w:space="0" w:color="FFFFFF" w:themeColor="background1"/>
              <w:right w:val="single" w:sz="4" w:space="0" w:color="FFFFFF" w:themeColor="background1"/>
            </w:tcBorders>
            <w:shd w:val="clear" w:color="auto" w:fill="002060"/>
          </w:tcPr>
          <w:p w14:paraId="663CFFA3" w14:textId="77777777" w:rsidR="008C635B" w:rsidRPr="00D7587E" w:rsidRDefault="008C635B" w:rsidP="00FB4F10">
            <w:pPr>
              <w:jc w:val="center"/>
              <w:rPr>
                <w:b/>
                <w:color w:val="FFFFFF" w:themeColor="background1"/>
                <w:sz w:val="22"/>
              </w:rPr>
            </w:pP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4D280733" w14:textId="77777777" w:rsidR="008C635B" w:rsidRPr="00D7587E" w:rsidRDefault="008C635B" w:rsidP="00FB4F10">
            <w:pPr>
              <w:jc w:val="center"/>
              <w:rPr>
                <w:b/>
                <w:color w:val="FFFFFF" w:themeColor="background1"/>
                <w:sz w:val="22"/>
              </w:rPr>
            </w:pPr>
            <w:r w:rsidRPr="00D7587E">
              <w:rPr>
                <w:b/>
                <w:color w:val="FFFFFF" w:themeColor="background1"/>
                <w:sz w:val="22"/>
              </w:rPr>
              <w:t>2021</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13A91A74" w14:textId="77777777" w:rsidR="008C635B" w:rsidRPr="00D7587E" w:rsidRDefault="008C635B" w:rsidP="00FB4F10">
            <w:pPr>
              <w:jc w:val="center"/>
              <w:rPr>
                <w:b/>
                <w:color w:val="FFFFFF" w:themeColor="background1"/>
                <w:sz w:val="22"/>
              </w:rPr>
            </w:pPr>
            <w:r w:rsidRPr="00D7587E">
              <w:rPr>
                <w:b/>
                <w:color w:val="FFFFFF" w:themeColor="background1"/>
                <w:sz w:val="22"/>
              </w:rPr>
              <w:t>2022</w:t>
            </w:r>
          </w:p>
        </w:tc>
        <w:tc>
          <w:tcPr>
            <w:tcW w:w="851" w:type="dxa"/>
            <w:tcBorders>
              <w:top w:val="single" w:sz="4" w:space="0" w:color="FFFFFF" w:themeColor="background1"/>
              <w:left w:val="single" w:sz="4" w:space="0" w:color="FFFFFF" w:themeColor="background1"/>
            </w:tcBorders>
            <w:shd w:val="clear" w:color="auto" w:fill="002060"/>
          </w:tcPr>
          <w:p w14:paraId="59688F55" w14:textId="77777777" w:rsidR="008C635B" w:rsidRPr="00D7587E" w:rsidRDefault="008C635B" w:rsidP="00FB4F10">
            <w:pPr>
              <w:jc w:val="center"/>
              <w:rPr>
                <w:b/>
                <w:color w:val="FFFFFF" w:themeColor="background1"/>
                <w:sz w:val="22"/>
              </w:rPr>
            </w:pPr>
            <w:r w:rsidRPr="00D7587E">
              <w:rPr>
                <w:b/>
                <w:color w:val="FFFFFF" w:themeColor="background1"/>
                <w:sz w:val="22"/>
              </w:rPr>
              <w:t>2023</w:t>
            </w:r>
          </w:p>
        </w:tc>
      </w:tr>
      <w:tr w:rsidR="007F6D2B" w:rsidRPr="003F4175" w14:paraId="534275A4" w14:textId="77777777" w:rsidTr="00FB4F10">
        <w:trPr>
          <w:trHeight w:val="325"/>
        </w:trPr>
        <w:tc>
          <w:tcPr>
            <w:tcW w:w="4282" w:type="dxa"/>
            <w:tcBorders>
              <w:bottom w:val="single" w:sz="4" w:space="0" w:color="auto"/>
            </w:tcBorders>
            <w:shd w:val="clear" w:color="auto" w:fill="auto"/>
          </w:tcPr>
          <w:p w14:paraId="583D48AA" w14:textId="77777777" w:rsidR="007F6D2B" w:rsidRPr="00D7587E" w:rsidRDefault="007F6D2B" w:rsidP="008C635B">
            <w:pPr>
              <w:rPr>
                <w:sz w:val="22"/>
              </w:rPr>
            </w:pPr>
            <w:r w:rsidRPr="00D7587E">
              <w:rPr>
                <w:sz w:val="22"/>
              </w:rPr>
              <w:t>Transportlīdzekļi</w:t>
            </w:r>
          </w:p>
        </w:tc>
        <w:tc>
          <w:tcPr>
            <w:tcW w:w="1134" w:type="dxa"/>
            <w:tcBorders>
              <w:bottom w:val="single" w:sz="4" w:space="0" w:color="auto"/>
            </w:tcBorders>
            <w:shd w:val="clear" w:color="auto" w:fill="BFBFBF" w:themeFill="background1" w:themeFillShade="BF"/>
            <w:vAlign w:val="center"/>
          </w:tcPr>
          <w:p w14:paraId="42199692" w14:textId="77777777" w:rsidR="007F6D2B" w:rsidRPr="00D7587E" w:rsidRDefault="007F6D2B" w:rsidP="00FB4F10">
            <w:pPr>
              <w:jc w:val="center"/>
              <w:rPr>
                <w:b/>
                <w:sz w:val="22"/>
              </w:rPr>
            </w:pPr>
            <w:r w:rsidRPr="00D7587E">
              <w:rPr>
                <w:b/>
                <w:sz w:val="22"/>
              </w:rPr>
              <w:t>100%</w:t>
            </w:r>
          </w:p>
        </w:tc>
        <w:tc>
          <w:tcPr>
            <w:tcW w:w="2977" w:type="dxa"/>
            <w:gridSpan w:val="3"/>
            <w:tcBorders>
              <w:bottom w:val="single" w:sz="4" w:space="0" w:color="auto"/>
            </w:tcBorders>
            <w:shd w:val="clear" w:color="auto" w:fill="auto"/>
            <w:vAlign w:val="center"/>
          </w:tcPr>
          <w:p w14:paraId="6AB23FB2" w14:textId="77777777" w:rsidR="007F6D2B" w:rsidRPr="00D7587E" w:rsidRDefault="007F6D2B" w:rsidP="00FB4F10">
            <w:pPr>
              <w:jc w:val="center"/>
              <w:rPr>
                <w:b/>
                <w:color w:val="FF0000"/>
                <w:sz w:val="22"/>
              </w:rPr>
            </w:pPr>
            <w:r w:rsidRPr="00D7587E">
              <w:rPr>
                <w:b/>
                <w:color w:val="FF0000"/>
                <w:sz w:val="22"/>
              </w:rPr>
              <w:t>80%</w:t>
            </w:r>
          </w:p>
        </w:tc>
      </w:tr>
      <w:tr w:rsidR="007F6D2B" w:rsidRPr="003F4175" w14:paraId="0C67A1CC" w14:textId="77777777" w:rsidTr="00FB4F10">
        <w:trPr>
          <w:trHeight w:val="325"/>
        </w:trPr>
        <w:tc>
          <w:tcPr>
            <w:tcW w:w="4282" w:type="dxa"/>
            <w:tcBorders>
              <w:bottom w:val="single" w:sz="4" w:space="0" w:color="auto"/>
            </w:tcBorders>
            <w:shd w:val="clear" w:color="auto" w:fill="auto"/>
          </w:tcPr>
          <w:p w14:paraId="37A7F696" w14:textId="77777777" w:rsidR="007F6D2B" w:rsidRPr="00D7587E" w:rsidRDefault="007F6D2B" w:rsidP="00FB4F10">
            <w:pPr>
              <w:rPr>
                <w:sz w:val="22"/>
              </w:rPr>
            </w:pPr>
            <w:r w:rsidRPr="00D7587E">
              <w:rPr>
                <w:sz w:val="22"/>
              </w:rPr>
              <w:t>Videi kaitīgas preces</w:t>
            </w:r>
          </w:p>
        </w:tc>
        <w:tc>
          <w:tcPr>
            <w:tcW w:w="1134" w:type="dxa"/>
            <w:tcBorders>
              <w:bottom w:val="single" w:sz="4" w:space="0" w:color="auto"/>
            </w:tcBorders>
            <w:shd w:val="clear" w:color="auto" w:fill="BFBFBF" w:themeFill="background1" w:themeFillShade="BF"/>
            <w:vAlign w:val="center"/>
          </w:tcPr>
          <w:p w14:paraId="41ABA272" w14:textId="77777777" w:rsidR="007F6D2B" w:rsidRPr="00D7587E" w:rsidRDefault="007F6D2B" w:rsidP="00FB4F10">
            <w:pPr>
              <w:jc w:val="center"/>
              <w:rPr>
                <w:b/>
                <w:sz w:val="22"/>
              </w:rPr>
            </w:pPr>
            <w:r w:rsidRPr="00D7587E">
              <w:rPr>
                <w:b/>
                <w:sz w:val="22"/>
              </w:rPr>
              <w:t>100%</w:t>
            </w:r>
          </w:p>
        </w:tc>
        <w:tc>
          <w:tcPr>
            <w:tcW w:w="2977" w:type="dxa"/>
            <w:gridSpan w:val="3"/>
            <w:tcBorders>
              <w:bottom w:val="single" w:sz="4" w:space="0" w:color="auto"/>
            </w:tcBorders>
            <w:shd w:val="clear" w:color="auto" w:fill="auto"/>
            <w:vAlign w:val="center"/>
          </w:tcPr>
          <w:p w14:paraId="7083D3F7" w14:textId="77777777" w:rsidR="007F6D2B" w:rsidRPr="00D7587E" w:rsidRDefault="007F6D2B" w:rsidP="00FB4F10">
            <w:pPr>
              <w:jc w:val="center"/>
              <w:rPr>
                <w:b/>
                <w:color w:val="FF0000"/>
                <w:sz w:val="22"/>
              </w:rPr>
            </w:pPr>
            <w:r w:rsidRPr="00D7587E">
              <w:rPr>
                <w:b/>
                <w:color w:val="FF0000"/>
                <w:sz w:val="22"/>
              </w:rPr>
              <w:t>80%</w:t>
            </w:r>
          </w:p>
        </w:tc>
      </w:tr>
      <w:tr w:rsidR="007F6D2B" w:rsidRPr="00A97FD1" w14:paraId="7F8299A5" w14:textId="77777777" w:rsidTr="00FB4F10">
        <w:trPr>
          <w:trHeight w:val="274"/>
        </w:trPr>
        <w:tc>
          <w:tcPr>
            <w:tcW w:w="4282" w:type="dxa"/>
            <w:tcBorders>
              <w:bottom w:val="dotted" w:sz="4" w:space="0" w:color="auto"/>
            </w:tcBorders>
            <w:shd w:val="clear" w:color="auto" w:fill="FFE599" w:themeFill="accent4" w:themeFillTint="66"/>
          </w:tcPr>
          <w:p w14:paraId="7EB6B458" w14:textId="77777777" w:rsidR="007F6D2B" w:rsidRPr="00D7587E" w:rsidRDefault="007F6D2B" w:rsidP="007F6D2B">
            <w:pPr>
              <w:rPr>
                <w:sz w:val="22"/>
              </w:rPr>
            </w:pPr>
            <w:r w:rsidRPr="00D7587E">
              <w:rPr>
                <w:b/>
                <w:sz w:val="22"/>
              </w:rPr>
              <w:t xml:space="preserve">Fiskālā ietekme, </w:t>
            </w:r>
            <w:r w:rsidRPr="00D7587E">
              <w:rPr>
                <w:i/>
                <w:sz w:val="22"/>
              </w:rPr>
              <w:t>milj. euro</w:t>
            </w:r>
          </w:p>
        </w:tc>
        <w:tc>
          <w:tcPr>
            <w:tcW w:w="1134" w:type="dxa"/>
            <w:tcBorders>
              <w:bottom w:val="dotted" w:sz="4" w:space="0" w:color="auto"/>
            </w:tcBorders>
            <w:shd w:val="clear" w:color="auto" w:fill="BFBFBF" w:themeFill="background1" w:themeFillShade="BF"/>
          </w:tcPr>
          <w:p w14:paraId="42319EBC" w14:textId="77777777" w:rsidR="007F6D2B" w:rsidRPr="00D7587E" w:rsidRDefault="007F6D2B" w:rsidP="007F6D2B">
            <w:pPr>
              <w:jc w:val="center"/>
              <w:rPr>
                <w:sz w:val="22"/>
              </w:rPr>
            </w:pPr>
          </w:p>
        </w:tc>
        <w:tc>
          <w:tcPr>
            <w:tcW w:w="1134" w:type="dxa"/>
            <w:tcBorders>
              <w:bottom w:val="dotted" w:sz="4" w:space="0" w:color="auto"/>
            </w:tcBorders>
            <w:shd w:val="clear" w:color="auto" w:fill="FFE599" w:themeFill="accent4" w:themeFillTint="66"/>
          </w:tcPr>
          <w:p w14:paraId="04A37B6D" w14:textId="77777777" w:rsidR="007F6D2B" w:rsidRPr="004252E4" w:rsidRDefault="00E1375F" w:rsidP="007F6D2B">
            <w:pPr>
              <w:jc w:val="center"/>
              <w:rPr>
                <w:b/>
                <w:color w:val="00B050"/>
                <w:sz w:val="22"/>
              </w:rPr>
            </w:pPr>
            <w:r w:rsidRPr="004252E4">
              <w:rPr>
                <w:b/>
                <w:color w:val="00B050"/>
                <w:sz w:val="22"/>
              </w:rPr>
              <w:t>+</w:t>
            </w:r>
            <w:r w:rsidR="007F6D2B" w:rsidRPr="004252E4">
              <w:rPr>
                <w:b/>
                <w:color w:val="00B050"/>
                <w:sz w:val="22"/>
              </w:rPr>
              <w:t>11,63</w:t>
            </w:r>
          </w:p>
        </w:tc>
        <w:tc>
          <w:tcPr>
            <w:tcW w:w="992" w:type="dxa"/>
            <w:tcBorders>
              <w:bottom w:val="dotted" w:sz="4" w:space="0" w:color="auto"/>
            </w:tcBorders>
            <w:shd w:val="clear" w:color="auto" w:fill="FFE599" w:themeFill="accent4" w:themeFillTint="66"/>
          </w:tcPr>
          <w:p w14:paraId="0EC2B202" w14:textId="77777777" w:rsidR="007F6D2B" w:rsidRPr="004252E4" w:rsidRDefault="00E1375F" w:rsidP="007F6D2B">
            <w:pPr>
              <w:jc w:val="center"/>
              <w:rPr>
                <w:b/>
                <w:color w:val="00B050"/>
                <w:sz w:val="22"/>
              </w:rPr>
            </w:pPr>
            <w:r w:rsidRPr="004252E4">
              <w:rPr>
                <w:b/>
                <w:color w:val="00B050"/>
                <w:sz w:val="22"/>
              </w:rPr>
              <w:t>+</w:t>
            </w:r>
            <w:r w:rsidR="007F6D2B" w:rsidRPr="004252E4">
              <w:rPr>
                <w:b/>
                <w:color w:val="00B050"/>
                <w:sz w:val="22"/>
              </w:rPr>
              <w:t>15,50</w:t>
            </w:r>
          </w:p>
        </w:tc>
        <w:tc>
          <w:tcPr>
            <w:tcW w:w="851" w:type="dxa"/>
            <w:tcBorders>
              <w:bottom w:val="dotted" w:sz="4" w:space="0" w:color="auto"/>
            </w:tcBorders>
            <w:shd w:val="clear" w:color="auto" w:fill="FFE599" w:themeFill="accent4" w:themeFillTint="66"/>
          </w:tcPr>
          <w:p w14:paraId="5E33AD0C" w14:textId="77777777" w:rsidR="007F6D2B" w:rsidRPr="004252E4" w:rsidRDefault="00E1375F" w:rsidP="007F6D2B">
            <w:pPr>
              <w:jc w:val="center"/>
              <w:rPr>
                <w:b/>
                <w:color w:val="00B050"/>
                <w:sz w:val="22"/>
              </w:rPr>
            </w:pPr>
            <w:r w:rsidRPr="004252E4">
              <w:rPr>
                <w:b/>
                <w:color w:val="00B050"/>
                <w:sz w:val="22"/>
              </w:rPr>
              <w:t>+</w:t>
            </w:r>
            <w:r w:rsidR="007F6D2B" w:rsidRPr="004252E4">
              <w:rPr>
                <w:b/>
                <w:color w:val="00B050"/>
                <w:sz w:val="22"/>
              </w:rPr>
              <w:t>15,50</w:t>
            </w:r>
          </w:p>
        </w:tc>
      </w:tr>
      <w:tr w:rsidR="007F6D2B" w:rsidRPr="00A35C05" w14:paraId="1EA7B21F" w14:textId="77777777" w:rsidTr="00FB4F10">
        <w:trPr>
          <w:trHeight w:val="70"/>
        </w:trPr>
        <w:tc>
          <w:tcPr>
            <w:tcW w:w="4282" w:type="dxa"/>
            <w:tcBorders>
              <w:top w:val="dotted" w:sz="4" w:space="0" w:color="auto"/>
              <w:bottom w:val="dotted" w:sz="4" w:space="0" w:color="auto"/>
            </w:tcBorders>
            <w:shd w:val="clear" w:color="auto" w:fill="FFE599" w:themeFill="accent4" w:themeFillTint="66"/>
          </w:tcPr>
          <w:p w14:paraId="504D4B8C" w14:textId="77777777" w:rsidR="007F6D2B" w:rsidRPr="00A35C05" w:rsidRDefault="007F6D2B" w:rsidP="000223DA">
            <w:pPr>
              <w:pStyle w:val="ListParagraph"/>
              <w:numPr>
                <w:ilvl w:val="0"/>
                <w:numId w:val="6"/>
              </w:numPr>
              <w:ind w:left="634" w:hanging="283"/>
              <w:jc w:val="left"/>
              <w:rPr>
                <w:sz w:val="20"/>
                <w:szCs w:val="20"/>
              </w:rPr>
            </w:pPr>
            <w:r w:rsidRPr="00A35C05">
              <w:rPr>
                <w:sz w:val="20"/>
                <w:szCs w:val="20"/>
              </w:rPr>
              <w:t>valsts pamatbudžets</w:t>
            </w:r>
          </w:p>
        </w:tc>
        <w:tc>
          <w:tcPr>
            <w:tcW w:w="1134" w:type="dxa"/>
            <w:tcBorders>
              <w:top w:val="dotted" w:sz="4" w:space="0" w:color="auto"/>
              <w:bottom w:val="dotted" w:sz="4" w:space="0" w:color="auto"/>
            </w:tcBorders>
            <w:shd w:val="clear" w:color="auto" w:fill="BFBFBF" w:themeFill="background1" w:themeFillShade="BF"/>
          </w:tcPr>
          <w:p w14:paraId="40581665" w14:textId="77777777" w:rsidR="007F6D2B" w:rsidRPr="00A35C05" w:rsidRDefault="007F6D2B" w:rsidP="007F6D2B">
            <w:pPr>
              <w:jc w:val="center"/>
              <w:rPr>
                <w:sz w:val="20"/>
                <w:szCs w:val="20"/>
              </w:rPr>
            </w:pPr>
          </w:p>
        </w:tc>
        <w:tc>
          <w:tcPr>
            <w:tcW w:w="1134" w:type="dxa"/>
            <w:tcBorders>
              <w:top w:val="dotted" w:sz="4" w:space="0" w:color="auto"/>
              <w:bottom w:val="dotted" w:sz="4" w:space="0" w:color="auto"/>
            </w:tcBorders>
            <w:shd w:val="clear" w:color="auto" w:fill="FFE599" w:themeFill="accent4" w:themeFillTint="66"/>
            <w:vAlign w:val="center"/>
          </w:tcPr>
          <w:p w14:paraId="0E60070C" w14:textId="77777777" w:rsidR="007F6D2B" w:rsidRPr="004252E4" w:rsidRDefault="00E1375F" w:rsidP="007F6D2B">
            <w:pPr>
              <w:jc w:val="center"/>
              <w:rPr>
                <w:i/>
                <w:color w:val="00B050"/>
                <w:sz w:val="20"/>
                <w:szCs w:val="20"/>
              </w:rPr>
            </w:pPr>
            <w:r w:rsidRPr="004252E4">
              <w:rPr>
                <w:i/>
                <w:color w:val="00B050"/>
                <w:sz w:val="20"/>
                <w:szCs w:val="20"/>
              </w:rPr>
              <w:t>+</w:t>
            </w:r>
            <w:r w:rsidR="007F6D2B" w:rsidRPr="004252E4">
              <w:rPr>
                <w:i/>
                <w:color w:val="00B050"/>
                <w:sz w:val="20"/>
                <w:szCs w:val="20"/>
              </w:rPr>
              <w:t>11,63</w:t>
            </w:r>
          </w:p>
        </w:tc>
        <w:tc>
          <w:tcPr>
            <w:tcW w:w="992" w:type="dxa"/>
            <w:tcBorders>
              <w:top w:val="dotted" w:sz="4" w:space="0" w:color="auto"/>
              <w:bottom w:val="dotted" w:sz="4" w:space="0" w:color="auto"/>
            </w:tcBorders>
            <w:shd w:val="clear" w:color="auto" w:fill="FFE599" w:themeFill="accent4" w:themeFillTint="66"/>
            <w:vAlign w:val="center"/>
          </w:tcPr>
          <w:p w14:paraId="14FB0F7C" w14:textId="77777777" w:rsidR="007F6D2B" w:rsidRPr="004252E4" w:rsidRDefault="00E1375F" w:rsidP="007F6D2B">
            <w:pPr>
              <w:jc w:val="center"/>
              <w:rPr>
                <w:i/>
                <w:color w:val="00B050"/>
                <w:sz w:val="20"/>
                <w:szCs w:val="20"/>
              </w:rPr>
            </w:pPr>
            <w:r w:rsidRPr="004252E4">
              <w:rPr>
                <w:i/>
                <w:color w:val="00B050"/>
                <w:sz w:val="20"/>
                <w:szCs w:val="20"/>
              </w:rPr>
              <w:t>+</w:t>
            </w:r>
            <w:r w:rsidR="007F6D2B" w:rsidRPr="004252E4">
              <w:rPr>
                <w:i/>
                <w:color w:val="00B050"/>
                <w:sz w:val="20"/>
                <w:szCs w:val="20"/>
              </w:rPr>
              <w:t>15,50</w:t>
            </w:r>
          </w:p>
        </w:tc>
        <w:tc>
          <w:tcPr>
            <w:tcW w:w="851" w:type="dxa"/>
            <w:tcBorders>
              <w:top w:val="dotted" w:sz="4" w:space="0" w:color="auto"/>
              <w:bottom w:val="dotted" w:sz="4" w:space="0" w:color="auto"/>
            </w:tcBorders>
            <w:shd w:val="clear" w:color="auto" w:fill="FFE599" w:themeFill="accent4" w:themeFillTint="66"/>
            <w:vAlign w:val="center"/>
          </w:tcPr>
          <w:p w14:paraId="7E8DBD64" w14:textId="77777777" w:rsidR="007F6D2B" w:rsidRPr="004252E4" w:rsidRDefault="00E1375F" w:rsidP="007F6D2B">
            <w:pPr>
              <w:jc w:val="center"/>
              <w:rPr>
                <w:i/>
                <w:color w:val="00B050"/>
                <w:sz w:val="20"/>
                <w:szCs w:val="20"/>
              </w:rPr>
            </w:pPr>
            <w:r w:rsidRPr="004252E4">
              <w:rPr>
                <w:i/>
                <w:color w:val="00B050"/>
                <w:sz w:val="20"/>
                <w:szCs w:val="20"/>
              </w:rPr>
              <w:t>+</w:t>
            </w:r>
            <w:r w:rsidR="007F6D2B" w:rsidRPr="004252E4">
              <w:rPr>
                <w:i/>
                <w:color w:val="00B050"/>
                <w:sz w:val="20"/>
                <w:szCs w:val="20"/>
              </w:rPr>
              <w:t>15,50</w:t>
            </w:r>
          </w:p>
        </w:tc>
      </w:tr>
      <w:tr w:rsidR="008C635B" w:rsidRPr="00A35C05" w14:paraId="4E5D0F62" w14:textId="77777777" w:rsidTr="00FB4F10">
        <w:trPr>
          <w:trHeight w:val="125"/>
        </w:trPr>
        <w:tc>
          <w:tcPr>
            <w:tcW w:w="4282" w:type="dxa"/>
            <w:tcBorders>
              <w:top w:val="dotted" w:sz="4" w:space="0" w:color="auto"/>
              <w:bottom w:val="single" w:sz="4" w:space="0" w:color="auto"/>
            </w:tcBorders>
            <w:shd w:val="clear" w:color="auto" w:fill="FFE599" w:themeFill="accent4" w:themeFillTint="66"/>
          </w:tcPr>
          <w:p w14:paraId="22690E6E" w14:textId="77777777" w:rsidR="008C635B" w:rsidRPr="00A35C05" w:rsidRDefault="008C635B" w:rsidP="000223DA">
            <w:pPr>
              <w:pStyle w:val="ListParagraph"/>
              <w:numPr>
                <w:ilvl w:val="0"/>
                <w:numId w:val="6"/>
              </w:numPr>
              <w:ind w:left="634" w:hanging="283"/>
              <w:jc w:val="left"/>
              <w:rPr>
                <w:sz w:val="20"/>
                <w:szCs w:val="20"/>
              </w:rPr>
            </w:pPr>
            <w:r w:rsidRPr="00A35C05">
              <w:rPr>
                <w:sz w:val="20"/>
                <w:szCs w:val="20"/>
              </w:rPr>
              <w:t>pašvaldību budžeti</w:t>
            </w:r>
          </w:p>
        </w:tc>
        <w:tc>
          <w:tcPr>
            <w:tcW w:w="1134" w:type="dxa"/>
            <w:tcBorders>
              <w:top w:val="dotted" w:sz="4" w:space="0" w:color="auto"/>
              <w:bottom w:val="single" w:sz="4" w:space="0" w:color="auto"/>
            </w:tcBorders>
            <w:shd w:val="clear" w:color="auto" w:fill="BFBFBF" w:themeFill="background1" w:themeFillShade="BF"/>
          </w:tcPr>
          <w:p w14:paraId="335B4A29" w14:textId="77777777" w:rsidR="008C635B" w:rsidRPr="00A35C05" w:rsidRDefault="008C635B" w:rsidP="00FB4F10">
            <w:pPr>
              <w:jc w:val="center"/>
              <w:rPr>
                <w:sz w:val="20"/>
                <w:szCs w:val="20"/>
              </w:rPr>
            </w:pPr>
          </w:p>
        </w:tc>
        <w:tc>
          <w:tcPr>
            <w:tcW w:w="1134" w:type="dxa"/>
            <w:tcBorders>
              <w:top w:val="dotted" w:sz="4" w:space="0" w:color="auto"/>
              <w:bottom w:val="single" w:sz="4" w:space="0" w:color="auto"/>
            </w:tcBorders>
            <w:shd w:val="clear" w:color="auto" w:fill="FFE599" w:themeFill="accent4" w:themeFillTint="66"/>
          </w:tcPr>
          <w:p w14:paraId="5038C336" w14:textId="77777777" w:rsidR="008C635B" w:rsidRPr="004252E4" w:rsidRDefault="008C635B" w:rsidP="00FB4F10">
            <w:pPr>
              <w:jc w:val="center"/>
              <w:rPr>
                <w:i/>
                <w:color w:val="00B050"/>
                <w:sz w:val="20"/>
                <w:szCs w:val="20"/>
              </w:rPr>
            </w:pPr>
            <w:r w:rsidRPr="004252E4">
              <w:rPr>
                <w:i/>
                <w:color w:val="00B050"/>
                <w:sz w:val="20"/>
                <w:szCs w:val="20"/>
              </w:rPr>
              <w:t>-</w:t>
            </w:r>
          </w:p>
        </w:tc>
        <w:tc>
          <w:tcPr>
            <w:tcW w:w="992" w:type="dxa"/>
            <w:tcBorders>
              <w:top w:val="dotted" w:sz="4" w:space="0" w:color="auto"/>
              <w:bottom w:val="single" w:sz="4" w:space="0" w:color="auto"/>
            </w:tcBorders>
            <w:shd w:val="clear" w:color="auto" w:fill="FFE599" w:themeFill="accent4" w:themeFillTint="66"/>
          </w:tcPr>
          <w:p w14:paraId="2CA5D0ED" w14:textId="77777777" w:rsidR="008C635B" w:rsidRPr="004252E4" w:rsidRDefault="008C635B" w:rsidP="00FB4F10">
            <w:pPr>
              <w:jc w:val="center"/>
              <w:rPr>
                <w:i/>
                <w:color w:val="00B050"/>
                <w:sz w:val="20"/>
                <w:szCs w:val="20"/>
              </w:rPr>
            </w:pPr>
            <w:r w:rsidRPr="004252E4">
              <w:rPr>
                <w:i/>
                <w:color w:val="00B050"/>
                <w:sz w:val="20"/>
                <w:szCs w:val="20"/>
              </w:rPr>
              <w:t>-</w:t>
            </w:r>
          </w:p>
        </w:tc>
        <w:tc>
          <w:tcPr>
            <w:tcW w:w="851" w:type="dxa"/>
            <w:tcBorders>
              <w:top w:val="dotted" w:sz="4" w:space="0" w:color="auto"/>
              <w:bottom w:val="single" w:sz="4" w:space="0" w:color="auto"/>
            </w:tcBorders>
            <w:shd w:val="clear" w:color="auto" w:fill="FFE599" w:themeFill="accent4" w:themeFillTint="66"/>
          </w:tcPr>
          <w:p w14:paraId="704CD38F" w14:textId="77777777" w:rsidR="008C635B" w:rsidRPr="004252E4" w:rsidRDefault="008C635B" w:rsidP="00FB4F10">
            <w:pPr>
              <w:jc w:val="center"/>
              <w:rPr>
                <w:i/>
                <w:color w:val="00B050"/>
                <w:sz w:val="20"/>
                <w:szCs w:val="20"/>
              </w:rPr>
            </w:pPr>
            <w:r w:rsidRPr="004252E4">
              <w:rPr>
                <w:i/>
                <w:color w:val="00B050"/>
                <w:sz w:val="20"/>
                <w:szCs w:val="20"/>
              </w:rPr>
              <w:t xml:space="preserve">- </w:t>
            </w:r>
          </w:p>
        </w:tc>
      </w:tr>
    </w:tbl>
    <w:p w14:paraId="6323F4F2" w14:textId="77777777" w:rsidR="008C635B" w:rsidRPr="008C635B" w:rsidRDefault="008C635B" w:rsidP="008C635B">
      <w:pPr>
        <w:pStyle w:val="ListParagraph"/>
        <w:rPr>
          <w:sz w:val="26"/>
          <w:szCs w:val="26"/>
        </w:rPr>
      </w:pPr>
    </w:p>
    <w:p w14:paraId="7578D9A7" w14:textId="77777777" w:rsidR="00611E7C" w:rsidRDefault="00611E7C">
      <w:pPr>
        <w:rPr>
          <w:sz w:val="26"/>
          <w:szCs w:val="26"/>
        </w:rPr>
      </w:pPr>
      <w:r>
        <w:rPr>
          <w:sz w:val="26"/>
          <w:szCs w:val="26"/>
        </w:rPr>
        <w:br w:type="page"/>
      </w:r>
    </w:p>
    <w:p w14:paraId="7C4F618E" w14:textId="673DFC06" w:rsidR="00B570AB" w:rsidRPr="00611E7C" w:rsidRDefault="00FB6397" w:rsidP="00B570AB">
      <w:pPr>
        <w:pStyle w:val="Heading1"/>
      </w:pPr>
      <w:bookmarkStart w:id="25" w:name="_Toc33186637"/>
      <w:r>
        <w:lastRenderedPageBreak/>
        <w:t>9</w:t>
      </w:r>
      <w:r w:rsidR="00611E7C">
        <w:t xml:space="preserve">. </w:t>
      </w:r>
      <w:r w:rsidR="00B570AB" w:rsidRPr="00611E7C">
        <w:t>Transportlī</w:t>
      </w:r>
      <w:r w:rsidR="00B570AB">
        <w:t>dzekļu nodokļi un nodevas</w:t>
      </w:r>
      <w:bookmarkEnd w:id="25"/>
      <w:r w:rsidR="00B570AB">
        <w:t xml:space="preserve"> </w:t>
      </w:r>
    </w:p>
    <w:p w14:paraId="3842D188" w14:textId="06C5CC95" w:rsidR="00611E7C" w:rsidRPr="00611E7C" w:rsidRDefault="00B570AB" w:rsidP="00B570AB">
      <w:pPr>
        <w:pStyle w:val="Heading2"/>
        <w:tabs>
          <w:tab w:val="left" w:pos="709"/>
        </w:tabs>
      </w:pPr>
      <w:bookmarkStart w:id="26" w:name="_Toc33186638"/>
      <w:r>
        <w:t xml:space="preserve">9.1. </w:t>
      </w:r>
      <w:r>
        <w:tab/>
      </w:r>
      <w:r w:rsidR="00611E7C" w:rsidRPr="00611E7C">
        <w:t>Transportlī</w:t>
      </w:r>
      <w:r w:rsidR="00611E7C">
        <w:t>dzekļa ekspluatācijas nodoklis</w:t>
      </w:r>
      <w:bookmarkEnd w:id="26"/>
      <w:r w:rsidR="00611E7C">
        <w:t xml:space="preserve"> </w:t>
      </w:r>
    </w:p>
    <w:p w14:paraId="766D1D9A" w14:textId="77777777" w:rsidR="000223DA" w:rsidRDefault="000223DA" w:rsidP="000223DA">
      <w:pPr>
        <w:spacing w:after="120"/>
        <w:ind w:firstLine="720"/>
        <w:jc w:val="both"/>
        <w:rPr>
          <w:rFonts w:cs="Times New Roman"/>
          <w:sz w:val="26"/>
          <w:szCs w:val="26"/>
        </w:rPr>
      </w:pPr>
      <w:r w:rsidRPr="00EA6CAE">
        <w:rPr>
          <w:rFonts w:cs="Times New Roman"/>
          <w:sz w:val="26"/>
          <w:szCs w:val="26"/>
        </w:rPr>
        <w:t>Transportlīdzekļa ekspluatācijas nodokli (</w:t>
      </w:r>
      <w:r>
        <w:rPr>
          <w:rFonts w:cs="Times New Roman"/>
          <w:sz w:val="26"/>
          <w:szCs w:val="26"/>
        </w:rPr>
        <w:t xml:space="preserve">turpmāk – </w:t>
      </w:r>
      <w:r w:rsidRPr="00EA6CAE">
        <w:rPr>
          <w:rFonts w:cs="Times New Roman"/>
          <w:sz w:val="26"/>
          <w:szCs w:val="26"/>
        </w:rPr>
        <w:t xml:space="preserve">TEN) jeb ikgadējo nodokli transportlīdzekļiem piemēro lielākais vairums ES dalībvalstu un OECD dalībvalstu, izņemot Igauniju, Lietuvu, Poliju un Slovēniju, tomēr Polijā un Slovēnijā piemēro vieglajiem automobiļiem reģistrācijas nodokli. </w:t>
      </w:r>
    </w:p>
    <w:p w14:paraId="53159CEC" w14:textId="77777777" w:rsidR="000223DA" w:rsidRPr="00EA6CAE" w:rsidRDefault="000223DA" w:rsidP="000223DA">
      <w:pPr>
        <w:spacing w:after="120"/>
        <w:ind w:firstLine="720"/>
        <w:jc w:val="both"/>
        <w:rPr>
          <w:rFonts w:cs="Times New Roman"/>
          <w:sz w:val="26"/>
          <w:szCs w:val="26"/>
        </w:rPr>
      </w:pPr>
      <w:r w:rsidRPr="00EA6CAE">
        <w:rPr>
          <w:rFonts w:cs="Times New Roman"/>
          <w:sz w:val="26"/>
          <w:szCs w:val="26"/>
        </w:rPr>
        <w:t xml:space="preserve">Savukārt ikgadējo nodokli vieglajiem transportlīdzekļiem Lietuva un Igaunija nav ieviesusi vispār, līdz ar to nav pamatots apgalvojums, ka šajās valstīs ikgadējais nodoklis vieglajiem transportlīdzekļiem ir iekļauts akcīzes </w:t>
      </w:r>
      <w:r>
        <w:rPr>
          <w:rFonts w:cs="Times New Roman"/>
          <w:sz w:val="26"/>
          <w:szCs w:val="26"/>
        </w:rPr>
        <w:t>nodoklī</w:t>
      </w:r>
      <w:r w:rsidRPr="00EA6CAE">
        <w:rPr>
          <w:rFonts w:cs="Times New Roman"/>
          <w:sz w:val="26"/>
          <w:szCs w:val="26"/>
        </w:rPr>
        <w:t xml:space="preserve"> par degvielu.</w:t>
      </w:r>
    </w:p>
    <w:p w14:paraId="7F31ECDC" w14:textId="77777777" w:rsidR="00340F7E" w:rsidRPr="00727C2C" w:rsidRDefault="00340F7E" w:rsidP="00205650">
      <w:pPr>
        <w:ind w:firstLine="709"/>
        <w:contextualSpacing/>
        <w:jc w:val="both"/>
        <w:rPr>
          <w:sz w:val="26"/>
          <w:szCs w:val="26"/>
        </w:rPr>
      </w:pPr>
      <w:r w:rsidRPr="00727C2C">
        <w:rPr>
          <w:sz w:val="26"/>
          <w:szCs w:val="26"/>
        </w:rPr>
        <w:t>TEN likmes vieglajiem automobiļiem aprēķina šādi:</w:t>
      </w:r>
    </w:p>
    <w:p w14:paraId="3958C00A" w14:textId="77777777" w:rsidR="00340F7E" w:rsidRDefault="00340F7E" w:rsidP="00727C2C">
      <w:pPr>
        <w:widowControl w:val="0"/>
        <w:numPr>
          <w:ilvl w:val="0"/>
          <w:numId w:val="44"/>
        </w:numPr>
        <w:ind w:left="993" w:hanging="284"/>
        <w:contextualSpacing/>
        <w:jc w:val="both"/>
        <w:rPr>
          <w:sz w:val="26"/>
          <w:szCs w:val="26"/>
        </w:rPr>
      </w:pPr>
      <w:r w:rsidRPr="00727C2C">
        <w:rPr>
          <w:sz w:val="26"/>
          <w:szCs w:val="26"/>
        </w:rPr>
        <w:t>automobiļiem, kuri pirmo reizi reģistrēti līdz 31.12.2004.  – pēc pilnas masas;</w:t>
      </w:r>
    </w:p>
    <w:p w14:paraId="1CCC0CE3" w14:textId="77777777" w:rsidR="00340F7E" w:rsidRDefault="00340F7E" w:rsidP="00727C2C">
      <w:pPr>
        <w:widowControl w:val="0"/>
        <w:numPr>
          <w:ilvl w:val="0"/>
          <w:numId w:val="44"/>
        </w:numPr>
        <w:ind w:left="993" w:hanging="284"/>
        <w:contextualSpacing/>
        <w:jc w:val="both"/>
        <w:rPr>
          <w:sz w:val="26"/>
          <w:szCs w:val="26"/>
        </w:rPr>
      </w:pPr>
      <w:r w:rsidRPr="00727C2C">
        <w:rPr>
          <w:sz w:val="26"/>
          <w:szCs w:val="26"/>
        </w:rPr>
        <w:t>automobiļiem, kuri pirmo reizi reģistrēti no 01.01.2005. – 31.12.2008.  – pēc pilnas masas, motora tilpuma un motora maksimālās jaudas;</w:t>
      </w:r>
    </w:p>
    <w:p w14:paraId="5B171E5B" w14:textId="77777777" w:rsidR="00340F7E" w:rsidRPr="00205650" w:rsidRDefault="00340F7E" w:rsidP="00727C2C">
      <w:pPr>
        <w:widowControl w:val="0"/>
        <w:numPr>
          <w:ilvl w:val="0"/>
          <w:numId w:val="44"/>
        </w:numPr>
        <w:ind w:left="993" w:hanging="284"/>
        <w:contextualSpacing/>
        <w:jc w:val="both"/>
        <w:rPr>
          <w:sz w:val="26"/>
          <w:szCs w:val="26"/>
        </w:rPr>
      </w:pPr>
      <w:r w:rsidRPr="007114A6">
        <w:rPr>
          <w:sz w:val="26"/>
          <w:szCs w:val="26"/>
        </w:rPr>
        <w:t>automobiļiem, kuri pirmo reizi reģistrēti no 01.01.2009. – pēc CO</w:t>
      </w:r>
      <w:r w:rsidRPr="00727C2C">
        <w:rPr>
          <w:sz w:val="26"/>
          <w:szCs w:val="26"/>
          <w:vertAlign w:val="subscript"/>
        </w:rPr>
        <w:t>2</w:t>
      </w:r>
      <w:r w:rsidRPr="007114A6">
        <w:rPr>
          <w:sz w:val="26"/>
          <w:szCs w:val="26"/>
        </w:rPr>
        <w:t xml:space="preserve"> izmešiem</w:t>
      </w:r>
      <w:r>
        <w:rPr>
          <w:sz w:val="26"/>
          <w:szCs w:val="26"/>
        </w:rPr>
        <w:t>.</w:t>
      </w:r>
    </w:p>
    <w:p w14:paraId="6F267DBD" w14:textId="01569D20" w:rsidR="00611E7C" w:rsidRPr="00727C2C" w:rsidRDefault="00611E7C" w:rsidP="00727C2C"/>
    <w:p w14:paraId="0DC12054" w14:textId="77777777" w:rsidR="00543A9D" w:rsidRPr="00543A9D" w:rsidRDefault="00543A9D" w:rsidP="007000F3">
      <w:pPr>
        <w:spacing w:after="120"/>
        <w:rPr>
          <w:b/>
          <w:sz w:val="26"/>
          <w:szCs w:val="26"/>
        </w:rPr>
      </w:pPr>
      <w:r w:rsidRPr="00543A9D">
        <w:rPr>
          <w:b/>
          <w:sz w:val="26"/>
          <w:szCs w:val="26"/>
        </w:rPr>
        <w:t>Priekšlikumi izmaiņām TEN noteikšanā transportlīdzekļiem:</w:t>
      </w:r>
    </w:p>
    <w:p w14:paraId="4501F35B" w14:textId="00FCDC92" w:rsidR="00611E7C" w:rsidRPr="00205650" w:rsidRDefault="00205650" w:rsidP="007000F3">
      <w:pPr>
        <w:pStyle w:val="ListParagraph"/>
        <w:numPr>
          <w:ilvl w:val="0"/>
          <w:numId w:val="14"/>
        </w:numPr>
        <w:ind w:left="709" w:hanging="426"/>
        <w:rPr>
          <w:sz w:val="26"/>
          <w:szCs w:val="26"/>
        </w:rPr>
      </w:pPr>
      <w:r w:rsidRPr="00727C2C">
        <w:rPr>
          <w:sz w:val="26"/>
          <w:szCs w:val="26"/>
        </w:rPr>
        <w:t>TEN piemērošanas principu (pēc CO</w:t>
      </w:r>
      <w:r w:rsidRPr="00727C2C">
        <w:rPr>
          <w:sz w:val="26"/>
          <w:szCs w:val="26"/>
          <w:vertAlign w:val="subscript"/>
        </w:rPr>
        <w:t>2</w:t>
      </w:r>
      <w:r w:rsidRPr="00727C2C">
        <w:rPr>
          <w:sz w:val="26"/>
          <w:szCs w:val="26"/>
        </w:rPr>
        <w:t xml:space="preserve">) attiecināt uz kravas automobiļiem, </w:t>
      </w:r>
      <w:bookmarkStart w:id="27" w:name="_Hlk32936136"/>
      <w:r w:rsidRPr="00727C2C">
        <w:rPr>
          <w:sz w:val="26"/>
          <w:szCs w:val="26"/>
        </w:rPr>
        <w:t>kuri pirmo reizi reģistrēti no 2009</w:t>
      </w:r>
      <w:bookmarkEnd w:id="27"/>
      <w:r>
        <w:rPr>
          <w:sz w:val="26"/>
          <w:szCs w:val="26"/>
        </w:rPr>
        <w:t>.gada 1.janvāra</w:t>
      </w:r>
      <w:r w:rsidRPr="00727C2C">
        <w:rPr>
          <w:sz w:val="26"/>
          <w:szCs w:val="26"/>
        </w:rPr>
        <w:t>, ar pilno masu līdz 3,5 t (N1 kategorija), kā arī ņemot vērā EURO izmešu standartu (šobrīd TEN nosaka tikai pēc pilnās masas)</w:t>
      </w:r>
      <w:r>
        <w:rPr>
          <w:sz w:val="26"/>
          <w:szCs w:val="26"/>
        </w:rPr>
        <w:t>;</w:t>
      </w:r>
    </w:p>
    <w:p w14:paraId="76E1D6C7" w14:textId="77777777" w:rsidR="00AA67DF" w:rsidRDefault="00AA67DF" w:rsidP="00AA67DF">
      <w:pPr>
        <w:rPr>
          <w:szCs w:val="24"/>
        </w:rPr>
      </w:pPr>
    </w:p>
    <w:p w14:paraId="50F97FA3" w14:textId="77777777" w:rsidR="00AA67DF" w:rsidRPr="00AA67DF" w:rsidRDefault="00AA67DF" w:rsidP="00AA67DF">
      <w:pPr>
        <w:tabs>
          <w:tab w:val="left" w:pos="1276"/>
        </w:tabs>
        <w:spacing w:after="120"/>
        <w:jc w:val="center"/>
        <w:rPr>
          <w:szCs w:val="24"/>
        </w:rPr>
      </w:pPr>
      <w:r w:rsidRPr="00AA67DF">
        <w:rPr>
          <w:szCs w:val="24"/>
        </w:rPr>
        <w:t>3</w:t>
      </w:r>
      <w:r w:rsidR="006C5A20">
        <w:rPr>
          <w:szCs w:val="24"/>
        </w:rPr>
        <w:t>2</w:t>
      </w:r>
      <w:r w:rsidRPr="00AA67DF">
        <w:rPr>
          <w:szCs w:val="24"/>
        </w:rPr>
        <w:t>.tab.</w:t>
      </w:r>
      <w:r w:rsidRPr="00AA67DF">
        <w:rPr>
          <w:b/>
          <w:szCs w:val="24"/>
        </w:rPr>
        <w:t xml:space="preserve"> TEN likmju </w:t>
      </w:r>
      <w:r w:rsidR="004009E0" w:rsidRPr="004009E0">
        <w:rPr>
          <w:b/>
          <w:szCs w:val="24"/>
        </w:rPr>
        <w:t>principa (pēc CO</w:t>
      </w:r>
      <w:r w:rsidR="004009E0" w:rsidRPr="004009E0">
        <w:rPr>
          <w:b/>
          <w:szCs w:val="24"/>
          <w:vertAlign w:val="subscript"/>
        </w:rPr>
        <w:t>2</w:t>
      </w:r>
      <w:r w:rsidR="00515CB4">
        <w:rPr>
          <w:b/>
          <w:szCs w:val="24"/>
          <w:vertAlign w:val="subscript"/>
        </w:rPr>
        <w:t xml:space="preserve"> </w:t>
      </w:r>
      <w:r w:rsidR="00515CB4" w:rsidRPr="00515CB4">
        <w:rPr>
          <w:b/>
          <w:szCs w:val="24"/>
        </w:rPr>
        <w:t>izmešiem</w:t>
      </w:r>
      <w:r w:rsidR="004009E0" w:rsidRPr="004009E0">
        <w:rPr>
          <w:b/>
          <w:szCs w:val="24"/>
        </w:rPr>
        <w:t>) piemērošana</w:t>
      </w:r>
      <w:r w:rsidRPr="004009E0">
        <w:rPr>
          <w:b/>
          <w:szCs w:val="24"/>
        </w:rPr>
        <w:t xml:space="preserve"> kravas automobiļiem ar pilno masu līdz 3,5 t (N</w:t>
      </w:r>
      <w:r w:rsidRPr="004009E0">
        <w:rPr>
          <w:b/>
          <w:szCs w:val="24"/>
          <w:vertAlign w:val="subscript"/>
        </w:rPr>
        <w:t>1</w:t>
      </w:r>
      <w:r w:rsidRPr="004009E0">
        <w:rPr>
          <w:b/>
          <w:szCs w:val="24"/>
        </w:rPr>
        <w:t xml:space="preserve"> kategorija)</w:t>
      </w:r>
      <w:r w:rsidR="004009E0">
        <w:rPr>
          <w:b/>
          <w:szCs w:val="24"/>
        </w:rPr>
        <w:t xml:space="preserve"> </w:t>
      </w:r>
    </w:p>
    <w:tbl>
      <w:tblPr>
        <w:tblStyle w:val="TableGrid"/>
        <w:tblW w:w="8335" w:type="dxa"/>
        <w:tblInd w:w="279" w:type="dxa"/>
        <w:tblLook w:val="04A0" w:firstRow="1" w:lastRow="0" w:firstColumn="1" w:lastColumn="0" w:noHBand="0" w:noVBand="1"/>
      </w:tblPr>
      <w:tblGrid>
        <w:gridCol w:w="1573"/>
        <w:gridCol w:w="760"/>
        <w:gridCol w:w="974"/>
        <w:gridCol w:w="1371"/>
        <w:gridCol w:w="1097"/>
        <w:gridCol w:w="1219"/>
        <w:gridCol w:w="1341"/>
      </w:tblGrid>
      <w:tr w:rsidR="0058370E" w:rsidRPr="0058370E" w14:paraId="4A924A1A" w14:textId="77777777" w:rsidTr="00D46FA1">
        <w:tc>
          <w:tcPr>
            <w:tcW w:w="1573" w:type="dxa"/>
            <w:tcBorders>
              <w:right w:val="single" w:sz="4" w:space="0" w:color="FFFFFF" w:themeColor="background1"/>
            </w:tcBorders>
            <w:shd w:val="clear" w:color="auto" w:fill="002060"/>
          </w:tcPr>
          <w:p w14:paraId="0EA2670F" w14:textId="77777777" w:rsidR="00611E7C" w:rsidRPr="0058370E" w:rsidRDefault="00611E7C" w:rsidP="00FB4F10">
            <w:pPr>
              <w:pStyle w:val="ListParagraph"/>
              <w:ind w:left="0"/>
              <w:jc w:val="center"/>
              <w:rPr>
                <w:b/>
                <w:sz w:val="22"/>
              </w:rPr>
            </w:pPr>
            <w:r w:rsidRPr="0058370E">
              <w:rPr>
                <w:b/>
                <w:sz w:val="22"/>
              </w:rPr>
              <w:t>Kravas auto</w:t>
            </w:r>
            <w:r w:rsidR="004009E0" w:rsidRPr="00AA67DF">
              <w:rPr>
                <w:sz w:val="26"/>
                <w:szCs w:val="26"/>
              </w:rPr>
              <w:t xml:space="preserve"> </w:t>
            </w:r>
            <w:r w:rsidR="004009E0" w:rsidRPr="004009E0">
              <w:rPr>
                <w:sz w:val="22"/>
              </w:rPr>
              <w:t>(piemēram)</w:t>
            </w:r>
          </w:p>
        </w:tc>
        <w:tc>
          <w:tcPr>
            <w:tcW w:w="760" w:type="dxa"/>
            <w:tcBorders>
              <w:left w:val="single" w:sz="4" w:space="0" w:color="FFFFFF" w:themeColor="background1"/>
              <w:right w:val="single" w:sz="4" w:space="0" w:color="FFFFFF" w:themeColor="background1"/>
            </w:tcBorders>
            <w:shd w:val="clear" w:color="auto" w:fill="002060"/>
          </w:tcPr>
          <w:p w14:paraId="075871EF" w14:textId="77777777" w:rsidR="00611E7C" w:rsidRPr="0058370E" w:rsidRDefault="00611E7C" w:rsidP="00FB4F10">
            <w:pPr>
              <w:pStyle w:val="ListParagraph"/>
              <w:ind w:left="0"/>
              <w:jc w:val="center"/>
              <w:rPr>
                <w:b/>
                <w:sz w:val="22"/>
              </w:rPr>
            </w:pPr>
            <w:r w:rsidRPr="0058370E">
              <w:rPr>
                <w:b/>
                <w:sz w:val="22"/>
              </w:rPr>
              <w:t>Pilna masa</w:t>
            </w:r>
            <w:r w:rsidR="00D46FA1">
              <w:rPr>
                <w:b/>
                <w:sz w:val="22"/>
              </w:rPr>
              <w:t xml:space="preserve">, </w:t>
            </w:r>
            <w:r w:rsidR="00D46FA1" w:rsidRPr="00D46FA1">
              <w:rPr>
                <w:i/>
                <w:sz w:val="22"/>
              </w:rPr>
              <w:t>kg</w:t>
            </w:r>
          </w:p>
        </w:tc>
        <w:tc>
          <w:tcPr>
            <w:tcW w:w="974" w:type="dxa"/>
            <w:tcBorders>
              <w:left w:val="single" w:sz="4" w:space="0" w:color="FFFFFF" w:themeColor="background1"/>
              <w:right w:val="single" w:sz="4" w:space="0" w:color="FFFFFF" w:themeColor="background1"/>
            </w:tcBorders>
            <w:shd w:val="clear" w:color="auto" w:fill="002060"/>
          </w:tcPr>
          <w:p w14:paraId="67179C3D" w14:textId="4558749E" w:rsidR="00611E7C" w:rsidRPr="0058370E" w:rsidRDefault="00611E7C" w:rsidP="00E550CD">
            <w:pPr>
              <w:pStyle w:val="ListParagraph"/>
              <w:ind w:left="0"/>
              <w:jc w:val="center"/>
              <w:rPr>
                <w:b/>
                <w:sz w:val="22"/>
              </w:rPr>
            </w:pPr>
            <w:r w:rsidRPr="0058370E">
              <w:rPr>
                <w:b/>
                <w:sz w:val="22"/>
              </w:rPr>
              <w:t>CO</w:t>
            </w:r>
            <w:r w:rsidRPr="0058370E">
              <w:rPr>
                <w:b/>
                <w:sz w:val="22"/>
                <w:vertAlign w:val="subscript"/>
              </w:rPr>
              <w:t>2</w:t>
            </w:r>
            <w:r w:rsidRPr="0058370E">
              <w:rPr>
                <w:b/>
                <w:sz w:val="22"/>
              </w:rPr>
              <w:t xml:space="preserve"> izmeši</w:t>
            </w:r>
            <w:r w:rsidR="00D46FA1">
              <w:rPr>
                <w:b/>
                <w:sz w:val="22"/>
              </w:rPr>
              <w:t xml:space="preserve">, </w:t>
            </w:r>
            <w:r w:rsidR="00D46FA1" w:rsidRPr="00D46FA1">
              <w:rPr>
                <w:i/>
                <w:sz w:val="22"/>
              </w:rPr>
              <w:t>g/km</w:t>
            </w:r>
            <w:r w:rsidRPr="0058370E">
              <w:rPr>
                <w:b/>
                <w:sz w:val="22"/>
              </w:rPr>
              <w:t xml:space="preserve"> </w:t>
            </w:r>
          </w:p>
        </w:tc>
        <w:tc>
          <w:tcPr>
            <w:tcW w:w="1371" w:type="dxa"/>
            <w:tcBorders>
              <w:left w:val="single" w:sz="4" w:space="0" w:color="FFFFFF" w:themeColor="background1"/>
              <w:right w:val="single" w:sz="4" w:space="0" w:color="FFFFFF" w:themeColor="background1"/>
            </w:tcBorders>
            <w:shd w:val="clear" w:color="auto" w:fill="002060"/>
          </w:tcPr>
          <w:p w14:paraId="0FD1B5C4" w14:textId="77777777" w:rsidR="00611E7C" w:rsidRPr="0058370E" w:rsidRDefault="00611E7C" w:rsidP="00FB4F10">
            <w:pPr>
              <w:pStyle w:val="ListParagraph"/>
              <w:ind w:left="0"/>
              <w:jc w:val="center"/>
              <w:rPr>
                <w:b/>
                <w:sz w:val="22"/>
              </w:rPr>
            </w:pPr>
            <w:r w:rsidRPr="0058370E">
              <w:rPr>
                <w:b/>
                <w:sz w:val="22"/>
              </w:rPr>
              <w:t>Dzinējs</w:t>
            </w:r>
          </w:p>
        </w:tc>
        <w:tc>
          <w:tcPr>
            <w:tcW w:w="1097" w:type="dxa"/>
            <w:tcBorders>
              <w:left w:val="single" w:sz="4" w:space="0" w:color="FFFFFF" w:themeColor="background1"/>
              <w:right w:val="single" w:sz="4" w:space="0" w:color="FFFFFF" w:themeColor="background1"/>
            </w:tcBorders>
            <w:shd w:val="clear" w:color="auto" w:fill="002060"/>
          </w:tcPr>
          <w:p w14:paraId="7B36DF5D" w14:textId="77777777" w:rsidR="00611E7C" w:rsidRPr="0058370E" w:rsidRDefault="00611E7C" w:rsidP="00FB4F10">
            <w:pPr>
              <w:pStyle w:val="ListParagraph"/>
              <w:ind w:left="0"/>
              <w:jc w:val="center"/>
              <w:rPr>
                <w:b/>
                <w:sz w:val="22"/>
              </w:rPr>
            </w:pPr>
            <w:r w:rsidRPr="0058370E">
              <w:rPr>
                <w:b/>
                <w:sz w:val="22"/>
              </w:rPr>
              <w:t>Motora izmešu  standarts</w:t>
            </w:r>
          </w:p>
        </w:tc>
        <w:tc>
          <w:tcPr>
            <w:tcW w:w="1219" w:type="dxa"/>
            <w:tcBorders>
              <w:left w:val="single" w:sz="4" w:space="0" w:color="FFFFFF" w:themeColor="background1"/>
              <w:right w:val="single" w:sz="4" w:space="0" w:color="FFFFFF" w:themeColor="background1"/>
            </w:tcBorders>
            <w:shd w:val="clear" w:color="auto" w:fill="002060"/>
          </w:tcPr>
          <w:p w14:paraId="0323F7B6" w14:textId="77777777" w:rsidR="00611E7C" w:rsidRPr="0058370E" w:rsidRDefault="00611E7C" w:rsidP="00FB4F10">
            <w:pPr>
              <w:pStyle w:val="ListParagraph"/>
              <w:ind w:left="0"/>
              <w:jc w:val="center"/>
              <w:rPr>
                <w:b/>
                <w:sz w:val="22"/>
              </w:rPr>
            </w:pPr>
            <w:r w:rsidRPr="0058370E">
              <w:rPr>
                <w:b/>
                <w:sz w:val="22"/>
              </w:rPr>
              <w:t>TEN likme 2020.gadā</w:t>
            </w:r>
            <w:r w:rsidR="007078D9">
              <w:rPr>
                <w:b/>
                <w:sz w:val="22"/>
              </w:rPr>
              <w:t>,</w:t>
            </w:r>
            <w:r w:rsidR="007078D9" w:rsidRPr="0058370E">
              <w:rPr>
                <w:i/>
                <w:sz w:val="22"/>
              </w:rPr>
              <w:t xml:space="preserve"> euro</w:t>
            </w:r>
          </w:p>
        </w:tc>
        <w:tc>
          <w:tcPr>
            <w:tcW w:w="1341" w:type="dxa"/>
            <w:tcBorders>
              <w:left w:val="single" w:sz="4" w:space="0" w:color="FFFFFF" w:themeColor="background1"/>
            </w:tcBorders>
            <w:shd w:val="clear" w:color="auto" w:fill="002060"/>
          </w:tcPr>
          <w:p w14:paraId="15E2BD96" w14:textId="77777777" w:rsidR="00611E7C" w:rsidRDefault="00611E7C" w:rsidP="00FB4F10">
            <w:pPr>
              <w:pStyle w:val="ListParagraph"/>
              <w:ind w:left="0"/>
              <w:jc w:val="center"/>
              <w:rPr>
                <w:b/>
                <w:sz w:val="22"/>
              </w:rPr>
            </w:pPr>
            <w:r w:rsidRPr="0058370E">
              <w:rPr>
                <w:b/>
                <w:sz w:val="22"/>
              </w:rPr>
              <w:t>TEN likme 2021.gadā</w:t>
            </w:r>
            <w:r w:rsidR="007078D9">
              <w:rPr>
                <w:b/>
                <w:sz w:val="22"/>
              </w:rPr>
              <w:t>,</w:t>
            </w:r>
          </w:p>
          <w:p w14:paraId="368FED60" w14:textId="77777777" w:rsidR="007078D9" w:rsidRPr="0058370E" w:rsidRDefault="007078D9" w:rsidP="00FB4F10">
            <w:pPr>
              <w:pStyle w:val="ListParagraph"/>
              <w:ind w:left="0"/>
              <w:jc w:val="center"/>
              <w:rPr>
                <w:b/>
                <w:sz w:val="22"/>
              </w:rPr>
            </w:pPr>
            <w:r w:rsidRPr="0058370E">
              <w:rPr>
                <w:i/>
                <w:sz w:val="22"/>
              </w:rPr>
              <w:t>euro</w:t>
            </w:r>
          </w:p>
        </w:tc>
      </w:tr>
      <w:tr w:rsidR="00D46FA1" w:rsidRPr="0058370E" w14:paraId="01C4F1DB" w14:textId="77777777" w:rsidTr="00D46FA1">
        <w:tc>
          <w:tcPr>
            <w:tcW w:w="1573" w:type="dxa"/>
          </w:tcPr>
          <w:p w14:paraId="69319332" w14:textId="77777777" w:rsidR="00D46FA1" w:rsidRPr="0058370E" w:rsidRDefault="00D46FA1" w:rsidP="00D46FA1">
            <w:pPr>
              <w:pStyle w:val="ListParagraph"/>
              <w:ind w:left="0"/>
              <w:jc w:val="center"/>
              <w:rPr>
                <w:sz w:val="22"/>
              </w:rPr>
            </w:pPr>
            <w:r w:rsidRPr="0058370E">
              <w:rPr>
                <w:sz w:val="22"/>
              </w:rPr>
              <w:t>Toyota Hilux SR Double Cab ar mehānisko pārnesumkārbu</w:t>
            </w:r>
          </w:p>
        </w:tc>
        <w:tc>
          <w:tcPr>
            <w:tcW w:w="760" w:type="dxa"/>
            <w:vAlign w:val="center"/>
          </w:tcPr>
          <w:p w14:paraId="2DE8D782" w14:textId="77777777" w:rsidR="00D46FA1" w:rsidRPr="0058370E" w:rsidRDefault="00D46FA1" w:rsidP="00D46FA1">
            <w:pPr>
              <w:pStyle w:val="ListParagraph"/>
              <w:ind w:left="0"/>
              <w:jc w:val="center"/>
              <w:rPr>
                <w:sz w:val="22"/>
              </w:rPr>
            </w:pPr>
            <w:r w:rsidRPr="0058370E">
              <w:rPr>
                <w:sz w:val="22"/>
              </w:rPr>
              <w:t xml:space="preserve">3210 </w:t>
            </w:r>
          </w:p>
        </w:tc>
        <w:tc>
          <w:tcPr>
            <w:tcW w:w="974" w:type="dxa"/>
            <w:vAlign w:val="center"/>
          </w:tcPr>
          <w:p w14:paraId="58A050BF" w14:textId="77777777" w:rsidR="00D46FA1" w:rsidRPr="0058370E" w:rsidRDefault="00D46FA1" w:rsidP="00D46FA1">
            <w:pPr>
              <w:pStyle w:val="ListParagraph"/>
              <w:ind w:left="0"/>
              <w:jc w:val="center"/>
              <w:rPr>
                <w:sz w:val="22"/>
              </w:rPr>
            </w:pPr>
            <w:r w:rsidRPr="0058370E">
              <w:rPr>
                <w:sz w:val="22"/>
              </w:rPr>
              <w:t xml:space="preserve">247 </w:t>
            </w:r>
          </w:p>
        </w:tc>
        <w:tc>
          <w:tcPr>
            <w:tcW w:w="1371" w:type="dxa"/>
            <w:vAlign w:val="center"/>
          </w:tcPr>
          <w:p w14:paraId="194683E9" w14:textId="77777777" w:rsidR="00D46FA1" w:rsidRPr="0058370E" w:rsidRDefault="00D46FA1" w:rsidP="00D46FA1">
            <w:pPr>
              <w:pStyle w:val="ListParagraph"/>
              <w:ind w:left="0"/>
              <w:jc w:val="center"/>
              <w:rPr>
                <w:sz w:val="22"/>
              </w:rPr>
            </w:pPr>
            <w:r w:rsidRPr="0058370E">
              <w:rPr>
                <w:sz w:val="22"/>
              </w:rPr>
              <w:t>Dīzeļdzinējs, 2396 cm</w:t>
            </w:r>
            <w:r w:rsidRPr="0058370E">
              <w:rPr>
                <w:sz w:val="22"/>
                <w:vertAlign w:val="superscript"/>
              </w:rPr>
              <w:t>3</w:t>
            </w:r>
            <w:r w:rsidRPr="0058370E">
              <w:rPr>
                <w:sz w:val="22"/>
              </w:rPr>
              <w:t>, 110 kW</w:t>
            </w:r>
          </w:p>
        </w:tc>
        <w:tc>
          <w:tcPr>
            <w:tcW w:w="1097" w:type="dxa"/>
            <w:vAlign w:val="center"/>
          </w:tcPr>
          <w:p w14:paraId="413F30ED" w14:textId="77777777" w:rsidR="00D46FA1" w:rsidRPr="004009E0" w:rsidRDefault="00D46FA1" w:rsidP="00D46FA1">
            <w:pPr>
              <w:pStyle w:val="ListParagraph"/>
              <w:ind w:left="0"/>
              <w:jc w:val="center"/>
              <w:rPr>
                <w:sz w:val="20"/>
                <w:szCs w:val="20"/>
              </w:rPr>
            </w:pPr>
            <w:r w:rsidRPr="004009E0">
              <w:rPr>
                <w:sz w:val="20"/>
                <w:szCs w:val="20"/>
              </w:rPr>
              <w:t>Euro 6</w:t>
            </w:r>
          </w:p>
        </w:tc>
        <w:tc>
          <w:tcPr>
            <w:tcW w:w="1219" w:type="dxa"/>
            <w:shd w:val="clear" w:color="auto" w:fill="D9D9D9" w:themeFill="background1" w:themeFillShade="D9"/>
            <w:vAlign w:val="center"/>
          </w:tcPr>
          <w:p w14:paraId="3044BF2D" w14:textId="77777777" w:rsidR="00D46FA1" w:rsidRPr="007078D9" w:rsidRDefault="00D46FA1" w:rsidP="00D46FA1">
            <w:pPr>
              <w:pStyle w:val="ListParagraph"/>
              <w:ind w:left="0"/>
              <w:jc w:val="center"/>
              <w:rPr>
                <w:b/>
                <w:sz w:val="22"/>
              </w:rPr>
            </w:pPr>
            <w:r w:rsidRPr="007078D9">
              <w:rPr>
                <w:b/>
                <w:sz w:val="22"/>
              </w:rPr>
              <w:t xml:space="preserve">219 </w:t>
            </w:r>
          </w:p>
        </w:tc>
        <w:tc>
          <w:tcPr>
            <w:tcW w:w="1341" w:type="dxa"/>
            <w:vAlign w:val="center"/>
          </w:tcPr>
          <w:p w14:paraId="5866FB56" w14:textId="77777777" w:rsidR="00D46FA1" w:rsidRPr="007078D9" w:rsidRDefault="002C5C2C" w:rsidP="00D46FA1">
            <w:pPr>
              <w:pStyle w:val="ListParagraph"/>
              <w:ind w:left="0"/>
              <w:jc w:val="center"/>
              <w:rPr>
                <w:b/>
                <w:color w:val="C00000"/>
                <w:sz w:val="22"/>
              </w:rPr>
            </w:pPr>
            <w:r>
              <w:rPr>
                <w:b/>
                <w:color w:val="C00000"/>
                <w:sz w:val="22"/>
              </w:rPr>
              <w:t>264</w:t>
            </w:r>
          </w:p>
        </w:tc>
      </w:tr>
    </w:tbl>
    <w:p w14:paraId="7B7F0957" w14:textId="77777777" w:rsidR="00611E7C" w:rsidRPr="004E1257" w:rsidRDefault="00611E7C" w:rsidP="00611E7C">
      <w:pPr>
        <w:pStyle w:val="ListParagraph"/>
        <w:rPr>
          <w:szCs w:val="24"/>
        </w:rPr>
      </w:pPr>
    </w:p>
    <w:p w14:paraId="539643F2" w14:textId="2DD6E6AE" w:rsidR="00611E7C" w:rsidRPr="004009E0" w:rsidRDefault="00611E7C" w:rsidP="007000F3">
      <w:pPr>
        <w:pStyle w:val="ListParagraph"/>
        <w:numPr>
          <w:ilvl w:val="0"/>
          <w:numId w:val="14"/>
        </w:numPr>
        <w:ind w:left="709" w:hanging="425"/>
        <w:rPr>
          <w:sz w:val="26"/>
          <w:szCs w:val="26"/>
        </w:rPr>
      </w:pPr>
      <w:r w:rsidRPr="004009E0">
        <w:rPr>
          <w:sz w:val="26"/>
          <w:szCs w:val="26"/>
        </w:rPr>
        <w:t>pārskatīt TEN likmes kravas automobiļiem un autobusiem, ņemot vērā inflācijas pieauguma tempu kopš 2011.gada, (ar TEN aizstāja ikgadējo transportlīdzekļu nodevu, likmes nepārskatot)</w:t>
      </w:r>
      <w:r w:rsidR="00205650">
        <w:rPr>
          <w:sz w:val="26"/>
          <w:szCs w:val="26"/>
        </w:rPr>
        <w:t>.</w:t>
      </w:r>
    </w:p>
    <w:p w14:paraId="46B976B3" w14:textId="77777777" w:rsidR="00611E7C" w:rsidRDefault="00611E7C" w:rsidP="00611E7C">
      <w:pPr>
        <w:pStyle w:val="ListParagraph"/>
        <w:rPr>
          <w:sz w:val="26"/>
          <w:szCs w:val="26"/>
        </w:rPr>
      </w:pPr>
    </w:p>
    <w:p w14:paraId="540B9E6C" w14:textId="77777777" w:rsidR="008F7352" w:rsidRDefault="008F7352">
      <w:pPr>
        <w:rPr>
          <w:rFonts w:eastAsia="Calibri" w:cs="Times New Roman"/>
          <w:b/>
          <w:sz w:val="26"/>
          <w:szCs w:val="26"/>
        </w:rPr>
      </w:pPr>
      <w:r>
        <w:rPr>
          <w:b/>
          <w:sz w:val="26"/>
          <w:szCs w:val="26"/>
        </w:rPr>
        <w:br w:type="page"/>
      </w:r>
    </w:p>
    <w:p w14:paraId="5CC97691" w14:textId="77777777" w:rsidR="0038561A" w:rsidRPr="007000F3" w:rsidRDefault="0038561A" w:rsidP="007000F3">
      <w:pPr>
        <w:pStyle w:val="ListParagraph"/>
        <w:ind w:left="0"/>
        <w:rPr>
          <w:b/>
          <w:sz w:val="26"/>
          <w:szCs w:val="26"/>
        </w:rPr>
      </w:pPr>
      <w:r w:rsidRPr="007000F3">
        <w:rPr>
          <w:b/>
          <w:sz w:val="26"/>
          <w:szCs w:val="26"/>
        </w:rPr>
        <w:lastRenderedPageBreak/>
        <w:t>Satiksmes ministrijas priekšlikumi:</w:t>
      </w:r>
    </w:p>
    <w:p w14:paraId="37D670A4" w14:textId="53E7958A" w:rsidR="007775B5" w:rsidRPr="00E550CD" w:rsidRDefault="007775B5" w:rsidP="007775B5">
      <w:pPr>
        <w:pStyle w:val="ListParagraph"/>
        <w:numPr>
          <w:ilvl w:val="0"/>
          <w:numId w:val="40"/>
        </w:numPr>
        <w:spacing w:after="120"/>
        <w:ind w:left="850" w:hanging="493"/>
        <w:rPr>
          <w:sz w:val="26"/>
          <w:szCs w:val="26"/>
        </w:rPr>
      </w:pPr>
      <w:r w:rsidRPr="002977A4">
        <w:rPr>
          <w:sz w:val="26"/>
          <w:szCs w:val="26"/>
        </w:rPr>
        <w:t>piemērot jaun</w:t>
      </w:r>
      <w:r>
        <w:rPr>
          <w:sz w:val="26"/>
          <w:szCs w:val="26"/>
        </w:rPr>
        <w:t>as TEN</w:t>
      </w:r>
      <w:r w:rsidRPr="002977A4">
        <w:rPr>
          <w:sz w:val="26"/>
          <w:szCs w:val="26"/>
        </w:rPr>
        <w:t xml:space="preserve"> aprēķin</w:t>
      </w:r>
      <w:r>
        <w:rPr>
          <w:sz w:val="26"/>
          <w:szCs w:val="26"/>
        </w:rPr>
        <w:t>a likmes tiem trans</w:t>
      </w:r>
      <w:r>
        <w:rPr>
          <w:sz w:val="26"/>
          <w:szCs w:val="26"/>
        </w:rPr>
        <w:softHyphen/>
        <w:t>portlīdzekļiem, kuriem</w:t>
      </w:r>
      <w:r w:rsidRPr="002977A4">
        <w:rPr>
          <w:sz w:val="26"/>
          <w:szCs w:val="26"/>
        </w:rPr>
        <w:t xml:space="preserve"> CO</w:t>
      </w:r>
      <w:r w:rsidRPr="002977A4">
        <w:rPr>
          <w:sz w:val="26"/>
          <w:szCs w:val="26"/>
          <w:vertAlign w:val="subscript"/>
        </w:rPr>
        <w:t>2</w:t>
      </w:r>
      <w:r>
        <w:rPr>
          <w:sz w:val="26"/>
          <w:szCs w:val="26"/>
        </w:rPr>
        <w:t xml:space="preserve"> izmeši</w:t>
      </w:r>
      <w:r w:rsidRPr="002977A4">
        <w:rPr>
          <w:sz w:val="26"/>
          <w:szCs w:val="26"/>
        </w:rPr>
        <w:t xml:space="preserve"> ir noteikti </w:t>
      </w:r>
      <w:r>
        <w:rPr>
          <w:sz w:val="26"/>
          <w:szCs w:val="26"/>
        </w:rPr>
        <w:t xml:space="preserve">atbilstoši </w:t>
      </w:r>
      <w:r w:rsidRPr="002977A4">
        <w:rPr>
          <w:sz w:val="26"/>
          <w:szCs w:val="26"/>
        </w:rPr>
        <w:t>jaunajai CO</w:t>
      </w:r>
      <w:r w:rsidRPr="002977A4">
        <w:rPr>
          <w:sz w:val="26"/>
          <w:szCs w:val="26"/>
          <w:vertAlign w:val="subscript"/>
        </w:rPr>
        <w:t>2</w:t>
      </w:r>
      <w:r w:rsidRPr="002977A4">
        <w:rPr>
          <w:sz w:val="26"/>
          <w:szCs w:val="26"/>
        </w:rPr>
        <w:t xml:space="preserve"> izmešu metodei (WLTP)</w:t>
      </w:r>
      <w:r w:rsidRPr="002977A4">
        <w:rPr>
          <w:rStyle w:val="FootnoteReference"/>
          <w:sz w:val="26"/>
          <w:szCs w:val="26"/>
        </w:rPr>
        <w:footnoteReference w:id="7"/>
      </w:r>
      <w:r>
        <w:rPr>
          <w:sz w:val="26"/>
          <w:szCs w:val="26"/>
        </w:rPr>
        <w:t xml:space="preserve"> un,</w:t>
      </w:r>
      <w:r w:rsidRPr="002977A4">
        <w:rPr>
          <w:sz w:val="26"/>
          <w:szCs w:val="26"/>
        </w:rPr>
        <w:t xml:space="preserve"> </w:t>
      </w:r>
      <w:r>
        <w:rPr>
          <w:sz w:val="26"/>
          <w:szCs w:val="26"/>
        </w:rPr>
        <w:t>lai tās būtu pielīdzināmas TEN likmēm, kas aprēķinātas, izmantojot</w:t>
      </w:r>
      <w:r w:rsidRPr="002977A4">
        <w:rPr>
          <w:sz w:val="26"/>
          <w:szCs w:val="26"/>
        </w:rPr>
        <w:t xml:space="preserve"> ar iepriekšējo metodi (NEDC)</w:t>
      </w:r>
      <w:r w:rsidRPr="002977A4">
        <w:rPr>
          <w:rStyle w:val="FootnoteReference"/>
          <w:sz w:val="26"/>
          <w:szCs w:val="26"/>
        </w:rPr>
        <w:footnoteReference w:id="8"/>
      </w:r>
      <w:r w:rsidRPr="002977A4">
        <w:rPr>
          <w:sz w:val="26"/>
          <w:szCs w:val="26"/>
        </w:rPr>
        <w:t xml:space="preserve"> </w:t>
      </w:r>
      <w:r>
        <w:rPr>
          <w:sz w:val="26"/>
          <w:szCs w:val="26"/>
        </w:rPr>
        <w:t>noteiktos CO</w:t>
      </w:r>
      <w:r w:rsidRPr="007B217F">
        <w:rPr>
          <w:sz w:val="26"/>
          <w:szCs w:val="26"/>
          <w:vertAlign w:val="subscript"/>
        </w:rPr>
        <w:t xml:space="preserve">2 </w:t>
      </w:r>
      <w:r>
        <w:rPr>
          <w:sz w:val="26"/>
          <w:szCs w:val="26"/>
        </w:rPr>
        <w:t xml:space="preserve">izmešus. </w:t>
      </w:r>
      <w:r w:rsidRPr="002977A4">
        <w:rPr>
          <w:sz w:val="26"/>
          <w:szCs w:val="26"/>
        </w:rPr>
        <w:t>Transportlīdzekļiem, kuriem CO</w:t>
      </w:r>
      <w:r w:rsidRPr="002977A4">
        <w:rPr>
          <w:sz w:val="26"/>
          <w:szCs w:val="26"/>
          <w:vertAlign w:val="subscript"/>
        </w:rPr>
        <w:t>2</w:t>
      </w:r>
      <w:r w:rsidRPr="002977A4">
        <w:rPr>
          <w:sz w:val="26"/>
          <w:szCs w:val="26"/>
        </w:rPr>
        <w:t xml:space="preserve"> izmeši ir noteikti, izmantojot gan NEDC metodi, gan WLTP metodi, TEN aprēķinam izmantot CO</w:t>
      </w:r>
      <w:r w:rsidRPr="002977A4">
        <w:rPr>
          <w:sz w:val="26"/>
          <w:szCs w:val="26"/>
          <w:vertAlign w:val="subscript"/>
        </w:rPr>
        <w:t>2</w:t>
      </w:r>
      <w:r w:rsidRPr="002977A4">
        <w:rPr>
          <w:sz w:val="26"/>
          <w:szCs w:val="26"/>
        </w:rPr>
        <w:t xml:space="preserve"> radītājus, kas noteikti saskaņā ar WLTP metodi</w:t>
      </w:r>
      <w:r w:rsidR="00205650">
        <w:rPr>
          <w:sz w:val="26"/>
          <w:szCs w:val="26"/>
        </w:rPr>
        <w:t xml:space="preserve">. </w:t>
      </w:r>
      <w:r w:rsidR="00164FD5" w:rsidRPr="00E550CD">
        <w:rPr>
          <w:sz w:val="26"/>
          <w:szCs w:val="26"/>
        </w:rPr>
        <w:t>Satiksmes ministrijas novērtētā</w:t>
      </w:r>
      <w:r w:rsidR="00164FD5" w:rsidRPr="002977A4">
        <w:rPr>
          <w:sz w:val="26"/>
          <w:szCs w:val="26"/>
        </w:rPr>
        <w:t xml:space="preserve"> </w:t>
      </w:r>
      <w:r w:rsidR="00164FD5">
        <w:rPr>
          <w:sz w:val="26"/>
          <w:szCs w:val="26"/>
        </w:rPr>
        <w:t>p</w:t>
      </w:r>
      <w:r w:rsidR="00205650" w:rsidRPr="00E550CD">
        <w:rPr>
          <w:sz w:val="26"/>
          <w:szCs w:val="26"/>
        </w:rPr>
        <w:t>rovizoriskā ietekme uz budžetu ir neitrāla</w:t>
      </w:r>
      <w:r w:rsidRPr="00E550CD">
        <w:rPr>
          <w:sz w:val="26"/>
          <w:szCs w:val="26"/>
        </w:rPr>
        <w:t>;</w:t>
      </w:r>
    </w:p>
    <w:p w14:paraId="38AC26DC" w14:textId="2CBB9682" w:rsidR="007000F3" w:rsidRPr="007775B5" w:rsidRDefault="007775B5" w:rsidP="007775B5">
      <w:pPr>
        <w:tabs>
          <w:tab w:val="left" w:pos="851"/>
        </w:tabs>
        <w:spacing w:after="120"/>
        <w:ind w:left="851" w:hanging="425"/>
        <w:jc w:val="both"/>
        <w:rPr>
          <w:sz w:val="26"/>
          <w:szCs w:val="26"/>
        </w:rPr>
      </w:pPr>
      <w:r w:rsidRPr="007775B5">
        <w:rPr>
          <w:sz w:val="26"/>
          <w:szCs w:val="26"/>
        </w:rPr>
        <w:t>2)</w:t>
      </w:r>
      <w:r>
        <w:rPr>
          <w:b/>
          <w:sz w:val="26"/>
          <w:szCs w:val="26"/>
        </w:rPr>
        <w:t xml:space="preserve"> </w:t>
      </w:r>
      <w:r>
        <w:rPr>
          <w:b/>
          <w:sz w:val="26"/>
          <w:szCs w:val="26"/>
        </w:rPr>
        <w:tab/>
      </w:r>
      <w:r w:rsidR="0038561A" w:rsidRPr="007775B5">
        <w:rPr>
          <w:sz w:val="26"/>
          <w:szCs w:val="26"/>
        </w:rPr>
        <w:t>ieviest TEN likmi 90% apmērā</w:t>
      </w:r>
      <w:r w:rsidR="007000F3" w:rsidRPr="007775B5">
        <w:rPr>
          <w:sz w:val="26"/>
          <w:szCs w:val="26"/>
        </w:rPr>
        <w:t xml:space="preserve"> (tiktu piemērots koeficients – 0,9)</w:t>
      </w:r>
      <w:r w:rsidR="0038561A" w:rsidRPr="007775B5">
        <w:rPr>
          <w:sz w:val="26"/>
          <w:szCs w:val="26"/>
        </w:rPr>
        <w:t>, ja transportlīdzeklim veikta pārbūve un kā degvielas veids ir norādīts dabasgāze vai naftas gāze</w:t>
      </w:r>
      <w:r w:rsidR="007000F3" w:rsidRPr="007775B5">
        <w:rPr>
          <w:sz w:val="26"/>
          <w:szCs w:val="26"/>
        </w:rPr>
        <w:t>. Tas ir samazinātu CO</w:t>
      </w:r>
      <w:r w:rsidR="007000F3" w:rsidRPr="007775B5">
        <w:rPr>
          <w:sz w:val="26"/>
          <w:szCs w:val="26"/>
          <w:vertAlign w:val="subscript"/>
        </w:rPr>
        <w:t>2</w:t>
      </w:r>
      <w:r w:rsidR="007000F3" w:rsidRPr="007775B5">
        <w:rPr>
          <w:sz w:val="26"/>
          <w:szCs w:val="26"/>
        </w:rPr>
        <w:t xml:space="preserve"> izmešus vidēji par 20-25%. Tādējādi tiktu piemēroti TEN atvieglojumi tiem transportlīdzekļiem, kas pārbūvējot ir aprīkoti ar gāzes barošanas iekārtām un kā degvielas veidu izmanto naftas gāzi vai dabasgāzi</w:t>
      </w:r>
      <w:r w:rsidR="00205650">
        <w:rPr>
          <w:sz w:val="26"/>
          <w:szCs w:val="26"/>
        </w:rPr>
        <w:t xml:space="preserve">. </w:t>
      </w:r>
      <w:r w:rsidR="00164FD5" w:rsidRPr="00E550CD">
        <w:rPr>
          <w:sz w:val="26"/>
          <w:szCs w:val="26"/>
        </w:rPr>
        <w:t>Satiksmes ministrijas novērtētā</w:t>
      </w:r>
      <w:r w:rsidR="00164FD5" w:rsidRPr="002977A4">
        <w:rPr>
          <w:sz w:val="26"/>
          <w:szCs w:val="26"/>
        </w:rPr>
        <w:t xml:space="preserve"> </w:t>
      </w:r>
      <w:r w:rsidR="00164FD5">
        <w:rPr>
          <w:sz w:val="26"/>
          <w:szCs w:val="26"/>
        </w:rPr>
        <w:t>p</w:t>
      </w:r>
      <w:r w:rsidR="00205650" w:rsidRPr="00E550CD">
        <w:rPr>
          <w:sz w:val="26"/>
          <w:szCs w:val="26"/>
        </w:rPr>
        <w:t xml:space="preserve">rovizoriskā ietekme uz budžetu ir </w:t>
      </w:r>
      <w:r w:rsidR="00205650" w:rsidRPr="00E550CD">
        <w:rPr>
          <w:b/>
          <w:color w:val="FF0000"/>
          <w:sz w:val="26"/>
          <w:szCs w:val="26"/>
        </w:rPr>
        <w:t>-1</w:t>
      </w:r>
      <w:r w:rsidR="00205650" w:rsidRPr="00E550CD">
        <w:rPr>
          <w:b/>
          <w:sz w:val="26"/>
          <w:szCs w:val="26"/>
        </w:rPr>
        <w:t xml:space="preserve"> milj. </w:t>
      </w:r>
      <w:r w:rsidR="00205650" w:rsidRPr="00E550CD">
        <w:rPr>
          <w:i/>
          <w:iCs/>
          <w:sz w:val="26"/>
          <w:szCs w:val="26"/>
        </w:rPr>
        <w:t>euro</w:t>
      </w:r>
      <w:r w:rsidR="002977A4" w:rsidRPr="007775B5">
        <w:rPr>
          <w:sz w:val="26"/>
          <w:szCs w:val="26"/>
        </w:rPr>
        <w:t>;</w:t>
      </w:r>
    </w:p>
    <w:p w14:paraId="3F5B9340" w14:textId="52B347EA" w:rsidR="002977A4" w:rsidRDefault="002977A4" w:rsidP="007775B5">
      <w:pPr>
        <w:tabs>
          <w:tab w:val="left" w:pos="709"/>
        </w:tabs>
        <w:spacing w:after="120"/>
        <w:ind w:left="851" w:hanging="491"/>
        <w:jc w:val="both"/>
        <w:rPr>
          <w:sz w:val="26"/>
          <w:szCs w:val="26"/>
        </w:rPr>
      </w:pPr>
      <w:r w:rsidRPr="002977A4">
        <w:rPr>
          <w:sz w:val="26"/>
          <w:szCs w:val="26"/>
        </w:rPr>
        <w:t xml:space="preserve">3) </w:t>
      </w:r>
      <w:r>
        <w:rPr>
          <w:sz w:val="26"/>
          <w:szCs w:val="26"/>
        </w:rPr>
        <w:tab/>
      </w:r>
      <w:r w:rsidR="007775B5">
        <w:rPr>
          <w:sz w:val="26"/>
          <w:szCs w:val="26"/>
        </w:rPr>
        <w:tab/>
      </w:r>
      <w:r w:rsidR="0038561A" w:rsidRPr="002977A4">
        <w:rPr>
          <w:sz w:val="26"/>
          <w:szCs w:val="26"/>
        </w:rPr>
        <w:t>ieviest aprēķinā papildus nodokļa likmes atkarībā no transportlīdzekļa motora izmešu līmeņa (EURO I, II, III, IV, V, VI) autobusiem un kravas transportlīdzekļiem</w:t>
      </w:r>
      <w:r w:rsidR="00205650">
        <w:rPr>
          <w:sz w:val="26"/>
          <w:szCs w:val="26"/>
        </w:rPr>
        <w:t xml:space="preserve">. </w:t>
      </w:r>
      <w:r w:rsidR="00164FD5" w:rsidRPr="00E550CD">
        <w:rPr>
          <w:sz w:val="26"/>
          <w:szCs w:val="26"/>
        </w:rPr>
        <w:t>Satiksmes ministrijas novērtētā</w:t>
      </w:r>
      <w:r w:rsidR="00164FD5" w:rsidRPr="002977A4">
        <w:rPr>
          <w:sz w:val="26"/>
          <w:szCs w:val="26"/>
        </w:rPr>
        <w:t xml:space="preserve"> </w:t>
      </w:r>
      <w:r w:rsidR="00164FD5">
        <w:rPr>
          <w:sz w:val="26"/>
          <w:szCs w:val="26"/>
        </w:rPr>
        <w:t>p</w:t>
      </w:r>
      <w:r w:rsidR="00205650" w:rsidRPr="007114A6">
        <w:rPr>
          <w:sz w:val="26"/>
          <w:szCs w:val="26"/>
        </w:rPr>
        <w:t xml:space="preserve">rovizoriskā ietekme uz budžetu ir </w:t>
      </w:r>
      <w:r w:rsidR="00205650" w:rsidRPr="00E550CD">
        <w:rPr>
          <w:b/>
          <w:color w:val="00B050"/>
          <w:sz w:val="26"/>
          <w:szCs w:val="26"/>
        </w:rPr>
        <w:t>+1</w:t>
      </w:r>
      <w:r w:rsidR="00205650" w:rsidRPr="007114A6">
        <w:rPr>
          <w:b/>
          <w:sz w:val="26"/>
          <w:szCs w:val="26"/>
        </w:rPr>
        <w:t xml:space="preserve"> milj. </w:t>
      </w:r>
      <w:r w:rsidR="00205650" w:rsidRPr="007114A6">
        <w:rPr>
          <w:i/>
          <w:iCs/>
          <w:sz w:val="26"/>
          <w:szCs w:val="26"/>
        </w:rPr>
        <w:t>euro</w:t>
      </w:r>
      <w:r>
        <w:rPr>
          <w:sz w:val="26"/>
          <w:szCs w:val="26"/>
        </w:rPr>
        <w:t>;</w:t>
      </w:r>
      <w:r w:rsidRPr="002977A4">
        <w:rPr>
          <w:sz w:val="26"/>
          <w:szCs w:val="26"/>
        </w:rPr>
        <w:t xml:space="preserve"> </w:t>
      </w:r>
    </w:p>
    <w:p w14:paraId="372CC31C" w14:textId="34FC902B" w:rsidR="00FB1B6A" w:rsidRDefault="002977A4" w:rsidP="007775B5">
      <w:pPr>
        <w:tabs>
          <w:tab w:val="left" w:pos="709"/>
        </w:tabs>
        <w:spacing w:after="120"/>
        <w:ind w:left="851" w:hanging="491"/>
        <w:jc w:val="both"/>
        <w:rPr>
          <w:sz w:val="26"/>
          <w:szCs w:val="26"/>
        </w:rPr>
      </w:pPr>
      <w:r>
        <w:rPr>
          <w:sz w:val="26"/>
          <w:szCs w:val="26"/>
        </w:rPr>
        <w:t xml:space="preserve">4) </w:t>
      </w:r>
      <w:r>
        <w:rPr>
          <w:sz w:val="26"/>
          <w:szCs w:val="26"/>
        </w:rPr>
        <w:tab/>
      </w:r>
      <w:r>
        <w:rPr>
          <w:sz w:val="26"/>
          <w:szCs w:val="26"/>
        </w:rPr>
        <w:tab/>
      </w:r>
      <w:r w:rsidR="00102BD3" w:rsidRPr="002977A4">
        <w:rPr>
          <w:sz w:val="26"/>
          <w:szCs w:val="26"/>
        </w:rPr>
        <w:t xml:space="preserve">samazināt TEN  likmes </w:t>
      </w:r>
      <w:r w:rsidRPr="002977A4">
        <w:rPr>
          <w:sz w:val="26"/>
          <w:szCs w:val="26"/>
        </w:rPr>
        <w:t>visiem transportlīdzekļiem līdz 50%, vienlaikus ieviešot ALN (vinjetes) piemērošanu vieglajiem transportlīdzekļiem</w:t>
      </w:r>
      <w:r w:rsidR="007775B5">
        <w:rPr>
          <w:rStyle w:val="FootnoteReference"/>
          <w:sz w:val="26"/>
          <w:szCs w:val="26"/>
        </w:rPr>
        <w:footnoteReference w:id="9"/>
      </w:r>
      <w:r w:rsidR="00164FD5">
        <w:rPr>
          <w:sz w:val="26"/>
          <w:szCs w:val="26"/>
        </w:rPr>
        <w:t xml:space="preserve"> (skat. 9.4.apakšnodaļas 3.priekšlikumu)</w:t>
      </w:r>
      <w:r w:rsidR="00FB1B6A">
        <w:rPr>
          <w:sz w:val="26"/>
          <w:szCs w:val="26"/>
        </w:rPr>
        <w:t>.</w:t>
      </w:r>
      <w:r w:rsidR="007775B5">
        <w:rPr>
          <w:sz w:val="26"/>
          <w:szCs w:val="26"/>
        </w:rPr>
        <w:t xml:space="preserve"> </w:t>
      </w:r>
      <w:r w:rsidR="00FB1B6A">
        <w:rPr>
          <w:sz w:val="26"/>
          <w:szCs w:val="26"/>
        </w:rPr>
        <w:t>M</w:t>
      </w:r>
      <w:r w:rsidR="00E04A26" w:rsidRPr="002977A4">
        <w:rPr>
          <w:sz w:val="26"/>
          <w:szCs w:val="26"/>
        </w:rPr>
        <w:t>ērķi</w:t>
      </w:r>
      <w:r w:rsidR="00FB1B6A">
        <w:rPr>
          <w:sz w:val="26"/>
          <w:szCs w:val="26"/>
        </w:rPr>
        <w:t>s ir</w:t>
      </w:r>
      <w:r w:rsidR="00E04A26" w:rsidRPr="002977A4">
        <w:rPr>
          <w:sz w:val="26"/>
          <w:szCs w:val="26"/>
        </w:rPr>
        <w:t>, ka piesārņotājs maksā atkarībā no uz ceļa pavadītā laika, nevis no aktīvās piekļuves ceļu satiksmes statusa</w:t>
      </w:r>
      <w:r w:rsidR="00FB1B6A" w:rsidRPr="00FB1B6A">
        <w:t xml:space="preserve"> </w:t>
      </w:r>
      <w:r w:rsidR="00FB1B6A" w:rsidRPr="00FB1B6A">
        <w:rPr>
          <w:sz w:val="26"/>
          <w:szCs w:val="26"/>
        </w:rPr>
        <w:t>un atrašanās ekspluatācijā</w:t>
      </w:r>
      <w:r w:rsidR="00E04A26" w:rsidRPr="00FB1B6A">
        <w:rPr>
          <w:sz w:val="26"/>
          <w:szCs w:val="26"/>
        </w:rPr>
        <w:t>.</w:t>
      </w:r>
      <w:r w:rsidR="00FB1B6A">
        <w:rPr>
          <w:sz w:val="26"/>
          <w:szCs w:val="26"/>
        </w:rPr>
        <w:t xml:space="preserve"> </w:t>
      </w:r>
      <w:r w:rsidR="00FB1B6A" w:rsidRPr="00FB1B6A">
        <w:rPr>
          <w:sz w:val="26"/>
          <w:szCs w:val="26"/>
        </w:rPr>
        <w:t>Tas nozīmē, ka transportlīdzekļiem, kas neizmanto valsts galvenos autoceļus, būs mazāki izdevumi ceļu nodokļiem.</w:t>
      </w:r>
      <w:r w:rsidR="00FB1B6A">
        <w:rPr>
          <w:sz w:val="26"/>
          <w:szCs w:val="26"/>
        </w:rPr>
        <w:t xml:space="preserve"> </w:t>
      </w:r>
      <w:r w:rsidR="00FB1B6A" w:rsidRPr="00FB1B6A">
        <w:rPr>
          <w:sz w:val="26"/>
          <w:szCs w:val="26"/>
        </w:rPr>
        <w:t>Savukārt, laika ALN (vinjetes) piemērošana ārzemēs reģistrētiem transportlīdzekļiem, kas šķērso Latvijas teritoriju, ļaus palielināt Valsts autoceļu fonda finansējumu, ko var novirzīt galveno autoceļu atjaunošanai un uzturēšanai</w:t>
      </w:r>
      <w:r w:rsidR="00FB1B6A">
        <w:rPr>
          <w:sz w:val="26"/>
          <w:szCs w:val="26"/>
        </w:rPr>
        <w:t>.</w:t>
      </w:r>
      <w:r w:rsidR="00FB1B6A" w:rsidRPr="002977A4">
        <w:rPr>
          <w:sz w:val="26"/>
          <w:szCs w:val="26"/>
        </w:rPr>
        <w:t xml:space="preserve"> </w:t>
      </w:r>
      <w:r w:rsidR="007775B5" w:rsidRPr="00E550CD">
        <w:rPr>
          <w:sz w:val="26"/>
          <w:szCs w:val="26"/>
        </w:rPr>
        <w:t>Satiksmes ministrijas novērtētā</w:t>
      </w:r>
      <w:r w:rsidR="007775B5" w:rsidRPr="002977A4">
        <w:rPr>
          <w:sz w:val="26"/>
          <w:szCs w:val="26"/>
        </w:rPr>
        <w:t xml:space="preserve"> provizoriskā ietekme</w:t>
      </w:r>
      <w:r w:rsidR="00205650">
        <w:rPr>
          <w:sz w:val="26"/>
          <w:szCs w:val="26"/>
        </w:rPr>
        <w:t xml:space="preserve"> uz budžetu</w:t>
      </w:r>
      <w:r w:rsidR="007775B5">
        <w:rPr>
          <w:sz w:val="26"/>
          <w:szCs w:val="26"/>
        </w:rPr>
        <w:t>:</w:t>
      </w:r>
      <w:r w:rsidR="007775B5" w:rsidRPr="002977A4">
        <w:rPr>
          <w:sz w:val="26"/>
          <w:szCs w:val="26"/>
        </w:rPr>
        <w:t xml:space="preserve"> </w:t>
      </w:r>
      <w:r w:rsidR="007775B5">
        <w:rPr>
          <w:sz w:val="26"/>
          <w:szCs w:val="26"/>
        </w:rPr>
        <w:t xml:space="preserve">no </w:t>
      </w:r>
      <w:r w:rsidR="007775B5" w:rsidRPr="007775B5">
        <w:rPr>
          <w:sz w:val="26"/>
          <w:szCs w:val="26"/>
          <w:u w:val="single"/>
        </w:rPr>
        <w:t>TEN likmes samazināšanas par 50%</w:t>
      </w:r>
      <w:r w:rsidR="007775B5" w:rsidRPr="002977A4">
        <w:rPr>
          <w:b/>
          <w:sz w:val="26"/>
          <w:szCs w:val="26"/>
        </w:rPr>
        <w:t xml:space="preserve"> </w:t>
      </w:r>
      <w:r w:rsidR="007775B5" w:rsidRPr="002977A4">
        <w:rPr>
          <w:b/>
          <w:color w:val="FF0000"/>
          <w:sz w:val="26"/>
          <w:szCs w:val="26"/>
        </w:rPr>
        <w:t xml:space="preserve">-54 </w:t>
      </w:r>
      <w:r w:rsidR="007775B5" w:rsidRPr="002977A4">
        <w:rPr>
          <w:b/>
          <w:sz w:val="26"/>
          <w:szCs w:val="26"/>
        </w:rPr>
        <w:t xml:space="preserve">milj. </w:t>
      </w:r>
      <w:r w:rsidR="007775B5" w:rsidRPr="002977A4">
        <w:rPr>
          <w:i/>
          <w:sz w:val="26"/>
          <w:szCs w:val="26"/>
        </w:rPr>
        <w:t>euro</w:t>
      </w:r>
      <w:r w:rsidR="007775B5">
        <w:rPr>
          <w:sz w:val="26"/>
          <w:szCs w:val="26"/>
        </w:rPr>
        <w:t xml:space="preserve">, savukārt </w:t>
      </w:r>
      <w:r w:rsidR="007775B5" w:rsidRPr="007775B5">
        <w:rPr>
          <w:sz w:val="26"/>
          <w:szCs w:val="26"/>
          <w:u w:val="single"/>
        </w:rPr>
        <w:t>no ANL ieviešanas visiem transportlīdzekļiem</w:t>
      </w:r>
      <w:r w:rsidR="007775B5">
        <w:rPr>
          <w:sz w:val="26"/>
          <w:szCs w:val="26"/>
        </w:rPr>
        <w:t xml:space="preserve"> </w:t>
      </w:r>
      <w:r w:rsidR="00102BD3" w:rsidRPr="002977A4">
        <w:rPr>
          <w:color w:val="00B050"/>
          <w:sz w:val="26"/>
          <w:szCs w:val="26"/>
        </w:rPr>
        <w:t>+</w:t>
      </w:r>
      <w:r w:rsidR="00816583" w:rsidRPr="002977A4">
        <w:rPr>
          <w:b/>
          <w:color w:val="00B050"/>
          <w:sz w:val="26"/>
          <w:szCs w:val="26"/>
        </w:rPr>
        <w:t>5</w:t>
      </w:r>
      <w:r w:rsidR="00816583">
        <w:rPr>
          <w:b/>
          <w:color w:val="00B050"/>
          <w:sz w:val="26"/>
          <w:szCs w:val="26"/>
        </w:rPr>
        <w:t>5</w:t>
      </w:r>
      <w:r w:rsidR="00816583" w:rsidRPr="002977A4">
        <w:rPr>
          <w:b/>
          <w:color w:val="00B050"/>
          <w:sz w:val="26"/>
          <w:szCs w:val="26"/>
        </w:rPr>
        <w:t xml:space="preserve"> </w:t>
      </w:r>
      <w:r w:rsidR="00102BD3" w:rsidRPr="002977A4">
        <w:rPr>
          <w:b/>
          <w:sz w:val="26"/>
          <w:szCs w:val="26"/>
        </w:rPr>
        <w:t xml:space="preserve">milj. </w:t>
      </w:r>
      <w:r w:rsidR="00102BD3" w:rsidRPr="002977A4">
        <w:rPr>
          <w:i/>
          <w:sz w:val="26"/>
          <w:szCs w:val="26"/>
        </w:rPr>
        <w:t>euro</w:t>
      </w:r>
      <w:r w:rsidR="00102BD3" w:rsidRPr="00FB1B6A">
        <w:rPr>
          <w:sz w:val="26"/>
          <w:szCs w:val="26"/>
        </w:rPr>
        <w:t>;</w:t>
      </w:r>
    </w:p>
    <w:p w14:paraId="4B45E03D" w14:textId="38D7ED53" w:rsidR="00164FD5" w:rsidRDefault="00164FD5">
      <w:pPr>
        <w:rPr>
          <w:sz w:val="26"/>
          <w:szCs w:val="26"/>
        </w:rPr>
      </w:pPr>
      <w:r>
        <w:rPr>
          <w:sz w:val="26"/>
          <w:szCs w:val="26"/>
        </w:rPr>
        <w:br w:type="page"/>
      </w:r>
    </w:p>
    <w:p w14:paraId="6759B87E" w14:textId="4B3B7A1A" w:rsidR="0047403B" w:rsidRPr="00E73D32" w:rsidRDefault="00B570AB" w:rsidP="00164FD5">
      <w:pPr>
        <w:pStyle w:val="Heading2"/>
      </w:pPr>
      <w:bookmarkStart w:id="28" w:name="_Toc33186639"/>
      <w:r>
        <w:lastRenderedPageBreak/>
        <w:t>9</w:t>
      </w:r>
      <w:r w:rsidR="00D46FA1">
        <w:t>.</w:t>
      </w:r>
      <w:r>
        <w:t>2.</w:t>
      </w:r>
      <w:r w:rsidR="00D46FA1">
        <w:t xml:space="preserve"> </w:t>
      </w:r>
      <w:r>
        <w:tab/>
      </w:r>
      <w:r w:rsidR="0047403B" w:rsidRPr="00E73D32">
        <w:t>Uzņēmumu vieglo transportlīdzekļu nodoklis</w:t>
      </w:r>
      <w:bookmarkEnd w:id="28"/>
      <w:r w:rsidR="0047403B" w:rsidRPr="00E73D32">
        <w:t xml:space="preserve"> </w:t>
      </w:r>
    </w:p>
    <w:p w14:paraId="7807A73E" w14:textId="77777777" w:rsidR="001B1006" w:rsidRPr="001B1006" w:rsidRDefault="001B1006" w:rsidP="001B1006">
      <w:pPr>
        <w:shd w:val="clear" w:color="auto" w:fill="FFFFFF"/>
        <w:spacing w:after="120"/>
        <w:ind w:firstLine="709"/>
        <w:jc w:val="both"/>
        <w:rPr>
          <w:rFonts w:eastAsia="Times New Roman" w:cs="Times New Roman"/>
          <w:color w:val="000000"/>
          <w:sz w:val="26"/>
          <w:szCs w:val="26"/>
          <w:lang w:eastAsia="lv-LV"/>
        </w:rPr>
      </w:pPr>
      <w:r w:rsidRPr="001B1006">
        <w:rPr>
          <w:rFonts w:eastAsia="Times New Roman" w:cs="Times New Roman"/>
          <w:color w:val="000000"/>
          <w:sz w:val="26"/>
          <w:szCs w:val="26"/>
          <w:lang w:eastAsia="lv-LV"/>
        </w:rPr>
        <w:t xml:space="preserve">Uzņēmumu vieglo transportlīdzekļu nodokļa </w:t>
      </w:r>
      <w:r>
        <w:rPr>
          <w:rFonts w:eastAsia="Times New Roman" w:cs="Times New Roman"/>
          <w:color w:val="000000"/>
          <w:sz w:val="26"/>
          <w:szCs w:val="26"/>
          <w:lang w:eastAsia="lv-LV"/>
        </w:rPr>
        <w:t xml:space="preserve">(turpmāk – UVTN) </w:t>
      </w:r>
      <w:r w:rsidRPr="001B1006">
        <w:rPr>
          <w:rFonts w:eastAsia="Times New Roman" w:cs="Times New Roman"/>
          <w:b/>
          <w:color w:val="000000"/>
          <w:sz w:val="26"/>
          <w:szCs w:val="26"/>
          <w:lang w:eastAsia="lv-LV"/>
        </w:rPr>
        <w:t>mērķis</w:t>
      </w:r>
      <w:r w:rsidRPr="001B1006">
        <w:rPr>
          <w:rFonts w:eastAsia="Times New Roman" w:cs="Times New Roman"/>
          <w:color w:val="000000"/>
          <w:sz w:val="26"/>
          <w:szCs w:val="26"/>
          <w:lang w:eastAsia="lv-LV"/>
        </w:rPr>
        <w:t xml:space="preserve"> ir piemērot nodokli par automobiļiem, kuri ir uzņēmēju īpašumā vai turējumā un tiek izmantoti ne tikai saimnieciskās darbības nodrošināšanai, bet arī privātajām vajadzībām. Uzņēmēji, kuri automobiļus izmanto tikai saimnieciskajā darbībā, tos deklarē Ceļu satiksmes drošības direkcijas uzturētajā Transportlīdzekļu un to vadītāju valsts reģistrā un ir atbrīvoti no uzņēmumu vieglo transportlīdzekļu nodokļa maksāšanas.</w:t>
      </w:r>
    </w:p>
    <w:p w14:paraId="58A7DDD3" w14:textId="77777777" w:rsidR="00856E4D" w:rsidRPr="001B1006" w:rsidRDefault="001B1006" w:rsidP="00856E4D">
      <w:pPr>
        <w:shd w:val="clear" w:color="auto" w:fill="FFFFFF"/>
        <w:spacing w:after="120"/>
        <w:ind w:firstLine="709"/>
        <w:jc w:val="both"/>
        <w:rPr>
          <w:rFonts w:eastAsia="Times New Roman" w:cs="Times New Roman"/>
          <w:color w:val="000000"/>
          <w:sz w:val="26"/>
          <w:szCs w:val="26"/>
          <w:lang w:eastAsia="lv-LV"/>
        </w:rPr>
      </w:pPr>
      <w:r>
        <w:rPr>
          <w:rFonts w:eastAsia="Times New Roman" w:cs="Times New Roman"/>
          <w:color w:val="000000"/>
          <w:sz w:val="26"/>
          <w:szCs w:val="26"/>
          <w:lang w:eastAsia="lv-LV"/>
        </w:rPr>
        <w:t>UVTN</w:t>
      </w:r>
      <w:r w:rsidRPr="001B1006">
        <w:rPr>
          <w:rFonts w:eastAsia="Times New Roman" w:cs="Times New Roman"/>
          <w:color w:val="000000"/>
          <w:sz w:val="26"/>
          <w:szCs w:val="26"/>
          <w:lang w:eastAsia="lv-LV"/>
        </w:rPr>
        <w:t xml:space="preserve"> likmes ir noteiktas kā nemainīgs skaitlis, nevis izteiktas procentuālā izteiksmē, kā lielākajai daļai nodokļu. Tādējādi šāda veida nodokļa likmes paliek nemainīgas, neskatoties uz patēriņa cenu izmaiņām. Ņemot to vērā, ir nepieciešams pārskatīt </w:t>
      </w:r>
      <w:r>
        <w:rPr>
          <w:rFonts w:eastAsia="Times New Roman" w:cs="Times New Roman"/>
          <w:color w:val="000000"/>
          <w:sz w:val="26"/>
          <w:szCs w:val="26"/>
          <w:lang w:eastAsia="lv-LV"/>
        </w:rPr>
        <w:t>UVTN</w:t>
      </w:r>
      <w:r w:rsidRPr="001B1006">
        <w:rPr>
          <w:rFonts w:eastAsia="Times New Roman" w:cs="Times New Roman"/>
          <w:color w:val="000000"/>
          <w:sz w:val="26"/>
          <w:szCs w:val="26"/>
          <w:lang w:eastAsia="lv-LV"/>
        </w:rPr>
        <w:t xml:space="preserve"> likmes ik pēc noteikta laika perioda un veikt to indeksēšanu atbilstoši inflācijas apjomam. Ievērojot šos nosacījumus </w:t>
      </w:r>
      <w:r>
        <w:rPr>
          <w:rFonts w:eastAsia="Times New Roman" w:cs="Times New Roman"/>
          <w:color w:val="000000"/>
          <w:sz w:val="26"/>
          <w:szCs w:val="26"/>
          <w:lang w:eastAsia="lv-LV"/>
        </w:rPr>
        <w:t>UVTN</w:t>
      </w:r>
      <w:r w:rsidRPr="001B1006">
        <w:rPr>
          <w:rFonts w:eastAsia="Times New Roman" w:cs="Times New Roman"/>
          <w:color w:val="000000"/>
          <w:sz w:val="26"/>
          <w:szCs w:val="26"/>
          <w:lang w:eastAsia="lv-LV"/>
        </w:rPr>
        <w:t xml:space="preserve"> likmes tiek palielinātas, ņemot vērā patēriņa cenu indeksa izmaiņas, sākot no 2017.gada.</w:t>
      </w:r>
      <w:r w:rsidR="00856E4D">
        <w:rPr>
          <w:rFonts w:eastAsia="Times New Roman" w:cs="Times New Roman"/>
          <w:color w:val="000000"/>
          <w:sz w:val="26"/>
          <w:szCs w:val="26"/>
          <w:lang w:eastAsia="lv-LV"/>
        </w:rPr>
        <w:t xml:space="preserve"> </w:t>
      </w:r>
      <w:r w:rsidR="00856E4D" w:rsidRPr="001B1006">
        <w:rPr>
          <w:rFonts w:eastAsia="Times New Roman" w:cs="Times New Roman"/>
          <w:color w:val="000000"/>
          <w:sz w:val="26"/>
          <w:szCs w:val="26"/>
          <w:lang w:eastAsia="lv-LV"/>
        </w:rPr>
        <w:t xml:space="preserve">Arī iepriekš </w:t>
      </w:r>
      <w:r w:rsidR="00856E4D">
        <w:rPr>
          <w:rFonts w:eastAsia="Times New Roman" w:cs="Times New Roman"/>
          <w:color w:val="000000"/>
          <w:sz w:val="26"/>
          <w:szCs w:val="26"/>
          <w:lang w:eastAsia="lv-LV"/>
        </w:rPr>
        <w:t>UVTN</w:t>
      </w:r>
      <w:r w:rsidR="00856E4D" w:rsidRPr="001B1006">
        <w:rPr>
          <w:rFonts w:eastAsia="Times New Roman" w:cs="Times New Roman"/>
          <w:color w:val="000000"/>
          <w:sz w:val="26"/>
          <w:szCs w:val="26"/>
          <w:lang w:eastAsia="lv-LV"/>
        </w:rPr>
        <w:t xml:space="preserve"> likmes indeksēja, ievērojot Centrālās statistikas pārvaldes aprēķinātā patēriņa cenu indeksa izmaiņas 2014.gadā pret 2010.gadu un tās attiecīgi piemēroja ar 2016.gada 1.janvāri. </w:t>
      </w:r>
    </w:p>
    <w:p w14:paraId="3AF5BB7F" w14:textId="77777777" w:rsidR="0047403B" w:rsidRPr="00D46FA1" w:rsidRDefault="00D46FA1" w:rsidP="00D46FA1">
      <w:pPr>
        <w:spacing w:after="120"/>
        <w:jc w:val="center"/>
        <w:rPr>
          <w:b/>
          <w:color w:val="1F497D"/>
        </w:rPr>
      </w:pPr>
      <w:r w:rsidRPr="00AA67DF">
        <w:rPr>
          <w:szCs w:val="24"/>
        </w:rPr>
        <w:t>3</w:t>
      </w:r>
      <w:r w:rsidR="00281B3C">
        <w:rPr>
          <w:szCs w:val="24"/>
        </w:rPr>
        <w:t>3</w:t>
      </w:r>
      <w:r w:rsidRPr="00AA67DF">
        <w:rPr>
          <w:szCs w:val="24"/>
        </w:rPr>
        <w:t>.tab</w:t>
      </w:r>
      <w:r w:rsidRPr="005138B5">
        <w:rPr>
          <w:szCs w:val="24"/>
        </w:rPr>
        <w:t>.</w:t>
      </w:r>
      <w:r w:rsidRPr="005138B5">
        <w:rPr>
          <w:b/>
          <w:szCs w:val="24"/>
        </w:rPr>
        <w:t xml:space="preserve"> </w:t>
      </w:r>
      <w:r w:rsidR="0047403B" w:rsidRPr="00D46FA1">
        <w:rPr>
          <w:rFonts w:cs="Times New Roman"/>
          <w:b/>
          <w:color w:val="000000"/>
          <w:szCs w:val="24"/>
        </w:rPr>
        <w:t>UVTN likmju indeksācija, ņemot vērā inflācijas pieauguma tempu no 2017.gada</w:t>
      </w:r>
    </w:p>
    <w:tbl>
      <w:tblPr>
        <w:tblW w:w="0" w:type="auto"/>
        <w:tblCellMar>
          <w:left w:w="0" w:type="dxa"/>
          <w:right w:w="0" w:type="dxa"/>
        </w:tblCellMar>
        <w:tblLook w:val="04A0" w:firstRow="1" w:lastRow="0" w:firstColumn="1" w:lastColumn="0" w:noHBand="0" w:noVBand="1"/>
      </w:tblPr>
      <w:tblGrid>
        <w:gridCol w:w="2967"/>
        <w:gridCol w:w="1843"/>
        <w:gridCol w:w="1843"/>
        <w:gridCol w:w="1633"/>
      </w:tblGrid>
      <w:tr w:rsidR="0047403B" w14:paraId="77ECE746" w14:textId="77777777" w:rsidTr="001E5B57">
        <w:trPr>
          <w:trHeight w:val="684"/>
        </w:trPr>
        <w:tc>
          <w:tcPr>
            <w:tcW w:w="2967" w:type="dxa"/>
            <w:tcBorders>
              <w:top w:val="single" w:sz="8" w:space="0" w:color="auto"/>
              <w:left w:val="single" w:sz="8" w:space="0" w:color="auto"/>
              <w:bottom w:val="single" w:sz="8" w:space="0" w:color="auto"/>
              <w:right w:val="single" w:sz="4" w:space="0" w:color="FFFFFF" w:themeColor="background1"/>
            </w:tcBorders>
            <w:shd w:val="clear" w:color="auto" w:fill="002060"/>
            <w:tcMar>
              <w:top w:w="0" w:type="dxa"/>
              <w:left w:w="108" w:type="dxa"/>
              <w:bottom w:w="0" w:type="dxa"/>
              <w:right w:w="108" w:type="dxa"/>
            </w:tcMar>
          </w:tcPr>
          <w:p w14:paraId="0026DACC" w14:textId="77777777" w:rsidR="0047403B" w:rsidRPr="00D46FA1" w:rsidRDefault="0047403B" w:rsidP="00A303CA">
            <w:pPr>
              <w:rPr>
                <w:rFonts w:cs="Times New Roman"/>
                <w:b/>
                <w:sz w:val="22"/>
              </w:rPr>
            </w:pPr>
          </w:p>
          <w:p w14:paraId="6DA4678C" w14:textId="77777777" w:rsidR="0047403B" w:rsidRPr="00D46FA1" w:rsidRDefault="0047403B" w:rsidP="00A303CA">
            <w:pPr>
              <w:jc w:val="center"/>
              <w:rPr>
                <w:rFonts w:cs="Times New Roman"/>
                <w:b/>
                <w:sz w:val="22"/>
              </w:rPr>
            </w:pPr>
            <w:r w:rsidRPr="00D46FA1">
              <w:rPr>
                <w:rFonts w:cs="Times New Roman"/>
                <w:b/>
                <w:sz w:val="22"/>
              </w:rPr>
              <w:t>Transportlīdzekļi</w:t>
            </w:r>
          </w:p>
        </w:tc>
        <w:tc>
          <w:tcPr>
            <w:tcW w:w="1843"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Mar>
              <w:top w:w="0" w:type="dxa"/>
              <w:left w:w="108" w:type="dxa"/>
              <w:bottom w:w="0" w:type="dxa"/>
              <w:right w:w="108" w:type="dxa"/>
            </w:tcMar>
            <w:hideMark/>
          </w:tcPr>
          <w:p w14:paraId="572562D7" w14:textId="77777777" w:rsidR="00D46FA1" w:rsidRPr="00D46FA1" w:rsidRDefault="0047403B" w:rsidP="00A303CA">
            <w:pPr>
              <w:jc w:val="center"/>
              <w:rPr>
                <w:rFonts w:cs="Times New Roman"/>
                <w:b/>
                <w:sz w:val="22"/>
              </w:rPr>
            </w:pPr>
            <w:r w:rsidRPr="00D46FA1">
              <w:rPr>
                <w:rFonts w:cs="Times New Roman"/>
                <w:b/>
                <w:sz w:val="22"/>
              </w:rPr>
              <w:t xml:space="preserve">UVTN likme </w:t>
            </w:r>
            <w:r w:rsidR="00D46FA1" w:rsidRPr="00D46FA1">
              <w:rPr>
                <w:rFonts w:cs="Times New Roman"/>
                <w:b/>
                <w:sz w:val="22"/>
              </w:rPr>
              <w:t>2020.gadā,</w:t>
            </w:r>
          </w:p>
          <w:p w14:paraId="504DB96E" w14:textId="77777777" w:rsidR="0047403B" w:rsidRPr="001E5B57" w:rsidRDefault="00D46FA1" w:rsidP="00D46FA1">
            <w:pPr>
              <w:jc w:val="center"/>
              <w:rPr>
                <w:rFonts w:cs="Times New Roman"/>
                <w:i/>
                <w:sz w:val="22"/>
              </w:rPr>
            </w:pPr>
            <w:r w:rsidRPr="00D46FA1">
              <w:rPr>
                <w:rFonts w:cs="Times New Roman"/>
                <w:b/>
                <w:sz w:val="22"/>
              </w:rPr>
              <w:t xml:space="preserve"> </w:t>
            </w:r>
            <w:r w:rsidR="0047403B" w:rsidRPr="001E5B57">
              <w:rPr>
                <w:rFonts w:cs="Times New Roman"/>
                <w:i/>
                <w:sz w:val="22"/>
              </w:rPr>
              <w:t>euro mēnesī</w:t>
            </w:r>
          </w:p>
        </w:tc>
        <w:tc>
          <w:tcPr>
            <w:tcW w:w="1843"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Mar>
              <w:top w:w="0" w:type="dxa"/>
              <w:left w:w="108" w:type="dxa"/>
              <w:bottom w:w="0" w:type="dxa"/>
              <w:right w:w="108" w:type="dxa"/>
            </w:tcMar>
            <w:hideMark/>
          </w:tcPr>
          <w:p w14:paraId="50CF9D4E" w14:textId="77777777" w:rsidR="00D46FA1" w:rsidRPr="00D46FA1" w:rsidRDefault="0047403B" w:rsidP="00A303CA">
            <w:pPr>
              <w:jc w:val="center"/>
              <w:rPr>
                <w:rFonts w:cs="Times New Roman"/>
                <w:b/>
                <w:sz w:val="22"/>
              </w:rPr>
            </w:pPr>
            <w:r w:rsidRPr="00D46FA1">
              <w:rPr>
                <w:rFonts w:cs="Times New Roman"/>
                <w:b/>
                <w:sz w:val="22"/>
              </w:rPr>
              <w:t xml:space="preserve">UVTN likme </w:t>
            </w:r>
            <w:r w:rsidR="00D46FA1" w:rsidRPr="00D46FA1">
              <w:rPr>
                <w:rFonts w:cs="Times New Roman"/>
                <w:b/>
                <w:sz w:val="22"/>
              </w:rPr>
              <w:t xml:space="preserve">2021.gadā. </w:t>
            </w:r>
          </w:p>
          <w:p w14:paraId="47D2AC33" w14:textId="77777777" w:rsidR="0047403B" w:rsidRPr="001E5B57" w:rsidRDefault="0047403B" w:rsidP="001E5B57">
            <w:pPr>
              <w:jc w:val="center"/>
              <w:rPr>
                <w:rFonts w:cs="Times New Roman"/>
                <w:i/>
                <w:sz w:val="22"/>
              </w:rPr>
            </w:pPr>
            <w:r w:rsidRPr="001E5B57">
              <w:rPr>
                <w:rFonts w:cs="Times New Roman"/>
                <w:i/>
                <w:sz w:val="22"/>
              </w:rPr>
              <w:t>euro mēnesī</w:t>
            </w:r>
          </w:p>
        </w:tc>
        <w:tc>
          <w:tcPr>
            <w:tcW w:w="1633" w:type="dxa"/>
            <w:tcBorders>
              <w:top w:val="single" w:sz="8" w:space="0" w:color="auto"/>
              <w:left w:val="single" w:sz="4" w:space="0" w:color="FFFFFF" w:themeColor="background1"/>
              <w:bottom w:val="single" w:sz="8" w:space="0" w:color="auto"/>
              <w:right w:val="single" w:sz="8" w:space="0" w:color="auto"/>
            </w:tcBorders>
            <w:shd w:val="clear" w:color="auto" w:fill="002060"/>
            <w:tcMar>
              <w:top w:w="0" w:type="dxa"/>
              <w:left w:w="108" w:type="dxa"/>
              <w:bottom w:w="0" w:type="dxa"/>
              <w:right w:w="108" w:type="dxa"/>
            </w:tcMar>
            <w:hideMark/>
          </w:tcPr>
          <w:p w14:paraId="78250BD2" w14:textId="77777777" w:rsidR="00D46FA1" w:rsidRPr="00D46FA1" w:rsidRDefault="00D46FA1" w:rsidP="00A303CA">
            <w:pPr>
              <w:jc w:val="center"/>
              <w:rPr>
                <w:rFonts w:cs="Times New Roman"/>
                <w:b/>
                <w:sz w:val="22"/>
              </w:rPr>
            </w:pPr>
            <w:r w:rsidRPr="00D46FA1">
              <w:rPr>
                <w:rFonts w:cs="Times New Roman"/>
                <w:b/>
                <w:sz w:val="22"/>
              </w:rPr>
              <w:t>Fiskālā i</w:t>
            </w:r>
            <w:r w:rsidR="0047403B" w:rsidRPr="00D46FA1">
              <w:rPr>
                <w:rFonts w:cs="Times New Roman"/>
                <w:b/>
                <w:sz w:val="22"/>
              </w:rPr>
              <w:t>etekme</w:t>
            </w:r>
            <w:r w:rsidRPr="00D46FA1">
              <w:rPr>
                <w:rFonts w:cs="Times New Roman"/>
                <w:b/>
                <w:sz w:val="22"/>
              </w:rPr>
              <w:t xml:space="preserve">, </w:t>
            </w:r>
          </w:p>
          <w:p w14:paraId="40437BB0" w14:textId="77777777" w:rsidR="0047403B" w:rsidRPr="001E5B57" w:rsidRDefault="00D46FA1" w:rsidP="00A303CA">
            <w:pPr>
              <w:jc w:val="center"/>
              <w:rPr>
                <w:rFonts w:cs="Times New Roman"/>
                <w:i/>
                <w:sz w:val="22"/>
              </w:rPr>
            </w:pPr>
            <w:r w:rsidRPr="001E5B57">
              <w:rPr>
                <w:rFonts w:cs="Times New Roman"/>
                <w:i/>
                <w:sz w:val="22"/>
              </w:rPr>
              <w:t>milj. euro</w:t>
            </w:r>
          </w:p>
        </w:tc>
      </w:tr>
      <w:tr w:rsidR="0047403B" w:rsidRPr="00E73D32" w14:paraId="7B7EFF82" w14:textId="77777777" w:rsidTr="00D46F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16E8D" w14:textId="77777777" w:rsidR="0047403B" w:rsidRPr="00D46FA1" w:rsidRDefault="0047403B" w:rsidP="00A303CA">
            <w:pPr>
              <w:rPr>
                <w:rFonts w:cs="Times New Roman"/>
                <w:sz w:val="22"/>
              </w:rPr>
            </w:pPr>
            <w:r w:rsidRPr="00D46FA1">
              <w:rPr>
                <w:rFonts w:cs="Times New Roman"/>
                <w:sz w:val="22"/>
              </w:rPr>
              <w:t>Līdz 2000 cm</w:t>
            </w:r>
            <w:r w:rsidRPr="00D46FA1">
              <w:rPr>
                <w:rFonts w:cs="Times New Roman"/>
                <w:sz w:val="22"/>
                <w:vertAlign w:val="superscript"/>
              </w:rPr>
              <w:t>3</w:t>
            </w:r>
          </w:p>
        </w:tc>
        <w:tc>
          <w:tcPr>
            <w:tcW w:w="184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8AAF675" w14:textId="77777777" w:rsidR="0047403B" w:rsidRPr="00D46FA1" w:rsidRDefault="0047403B" w:rsidP="00A303CA">
            <w:pPr>
              <w:jc w:val="center"/>
              <w:rPr>
                <w:rFonts w:cs="Times New Roman"/>
                <w:b/>
                <w:sz w:val="22"/>
              </w:rPr>
            </w:pPr>
            <w:r w:rsidRPr="00D46FA1">
              <w:rPr>
                <w:rFonts w:cs="Times New Roman"/>
                <w:b/>
                <w:sz w:val="22"/>
              </w:rPr>
              <w:t>29</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1BDBB2D" w14:textId="77777777" w:rsidR="0047403B" w:rsidRPr="005E160C" w:rsidRDefault="00FE05F2" w:rsidP="00A303CA">
            <w:pPr>
              <w:jc w:val="center"/>
              <w:rPr>
                <w:rFonts w:cs="Times New Roman"/>
                <w:b/>
                <w:color w:val="FF0000"/>
                <w:sz w:val="22"/>
              </w:rPr>
            </w:pPr>
            <w:r w:rsidRPr="005E160C">
              <w:rPr>
                <w:rFonts w:cs="Times New Roman"/>
                <w:b/>
                <w:color w:val="FF0000"/>
                <w:sz w:val="22"/>
              </w:rPr>
              <w:t>31</w:t>
            </w:r>
          </w:p>
        </w:tc>
        <w:tc>
          <w:tcPr>
            <w:tcW w:w="1633" w:type="dxa"/>
            <w:tcBorders>
              <w:top w:val="nil"/>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tcPr>
          <w:p w14:paraId="56C26A90" w14:textId="77777777" w:rsidR="0047403B" w:rsidRPr="004252E4" w:rsidRDefault="005E160C" w:rsidP="00A303CA">
            <w:pPr>
              <w:jc w:val="center"/>
              <w:rPr>
                <w:rFonts w:cs="Times New Roman"/>
                <w:b/>
                <w:color w:val="00B050"/>
                <w:sz w:val="22"/>
              </w:rPr>
            </w:pPr>
            <w:r w:rsidRPr="004252E4">
              <w:rPr>
                <w:rFonts w:cs="Times New Roman"/>
                <w:b/>
                <w:color w:val="00B050"/>
                <w:sz w:val="22"/>
              </w:rPr>
              <w:t>+</w:t>
            </w:r>
            <w:r w:rsidR="00FE05F2" w:rsidRPr="004252E4">
              <w:rPr>
                <w:rFonts w:cs="Times New Roman"/>
                <w:b/>
                <w:color w:val="00B050"/>
                <w:sz w:val="22"/>
              </w:rPr>
              <w:t>1,2</w:t>
            </w:r>
          </w:p>
        </w:tc>
      </w:tr>
      <w:tr w:rsidR="0047403B" w:rsidRPr="00E73D32" w14:paraId="08EED123" w14:textId="77777777" w:rsidTr="00D46F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D1F54" w14:textId="77777777" w:rsidR="0047403B" w:rsidRPr="00D46FA1" w:rsidRDefault="0047403B" w:rsidP="00A303CA">
            <w:pPr>
              <w:rPr>
                <w:rFonts w:cs="Times New Roman"/>
                <w:sz w:val="22"/>
              </w:rPr>
            </w:pPr>
            <w:r w:rsidRPr="00D46FA1">
              <w:rPr>
                <w:rFonts w:cs="Times New Roman"/>
                <w:sz w:val="22"/>
              </w:rPr>
              <w:t>No 2001 cm</w:t>
            </w:r>
            <w:r w:rsidRPr="00D46FA1">
              <w:rPr>
                <w:rFonts w:cs="Times New Roman"/>
                <w:sz w:val="22"/>
                <w:vertAlign w:val="superscript"/>
              </w:rPr>
              <w:t>3</w:t>
            </w:r>
            <w:r w:rsidRPr="00D46FA1">
              <w:rPr>
                <w:rFonts w:cs="Times New Roman"/>
                <w:sz w:val="22"/>
              </w:rPr>
              <w:t xml:space="preserve"> līdz 2500 cm</w:t>
            </w:r>
            <w:r w:rsidRPr="00D46FA1">
              <w:rPr>
                <w:rFonts w:cs="Times New Roman"/>
                <w:sz w:val="22"/>
                <w:vertAlign w:val="superscript"/>
              </w:rPr>
              <w:t>3</w:t>
            </w:r>
          </w:p>
        </w:tc>
        <w:tc>
          <w:tcPr>
            <w:tcW w:w="184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247B228" w14:textId="77777777" w:rsidR="0047403B" w:rsidRPr="00D46FA1" w:rsidRDefault="0047403B" w:rsidP="00A303CA">
            <w:pPr>
              <w:jc w:val="center"/>
              <w:rPr>
                <w:rFonts w:cs="Times New Roman"/>
                <w:b/>
                <w:sz w:val="22"/>
              </w:rPr>
            </w:pPr>
            <w:r w:rsidRPr="00D46FA1">
              <w:rPr>
                <w:rFonts w:cs="Times New Roman"/>
                <w:b/>
                <w:sz w:val="22"/>
              </w:rPr>
              <w:t>46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38A7DCC" w14:textId="77777777" w:rsidR="0047403B" w:rsidRPr="005E160C" w:rsidRDefault="00FE05F2" w:rsidP="00A303CA">
            <w:pPr>
              <w:jc w:val="center"/>
              <w:rPr>
                <w:rFonts w:cs="Times New Roman"/>
                <w:b/>
                <w:color w:val="FF0000"/>
                <w:sz w:val="22"/>
              </w:rPr>
            </w:pPr>
            <w:r w:rsidRPr="005E160C">
              <w:rPr>
                <w:rFonts w:cs="Times New Roman"/>
                <w:b/>
                <w:color w:val="FF0000"/>
                <w:sz w:val="22"/>
              </w:rPr>
              <w:t>49</w:t>
            </w:r>
          </w:p>
        </w:tc>
        <w:tc>
          <w:tcPr>
            <w:tcW w:w="1633" w:type="dxa"/>
            <w:tcBorders>
              <w:top w:val="nil"/>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tcPr>
          <w:p w14:paraId="0308F014" w14:textId="77777777" w:rsidR="0047403B" w:rsidRPr="004252E4" w:rsidRDefault="005E160C" w:rsidP="00A303CA">
            <w:pPr>
              <w:jc w:val="center"/>
              <w:rPr>
                <w:rFonts w:cs="Times New Roman"/>
                <w:b/>
                <w:color w:val="00B050"/>
                <w:sz w:val="22"/>
              </w:rPr>
            </w:pPr>
            <w:r w:rsidRPr="004252E4">
              <w:rPr>
                <w:rFonts w:cs="Times New Roman"/>
                <w:b/>
                <w:color w:val="00B050"/>
                <w:sz w:val="22"/>
              </w:rPr>
              <w:t>+</w:t>
            </w:r>
            <w:r w:rsidR="00FE05F2" w:rsidRPr="004252E4">
              <w:rPr>
                <w:rFonts w:cs="Times New Roman"/>
                <w:b/>
                <w:color w:val="00B050"/>
                <w:sz w:val="22"/>
              </w:rPr>
              <w:t>0,1</w:t>
            </w:r>
          </w:p>
        </w:tc>
      </w:tr>
      <w:tr w:rsidR="0047403B" w:rsidRPr="00E73D32" w14:paraId="710C387A" w14:textId="77777777" w:rsidTr="00D46FA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9E317" w14:textId="77777777" w:rsidR="0047403B" w:rsidRPr="00D46FA1" w:rsidRDefault="0047403B" w:rsidP="00A303CA">
            <w:pPr>
              <w:rPr>
                <w:rFonts w:cs="Times New Roman"/>
                <w:sz w:val="22"/>
              </w:rPr>
            </w:pPr>
            <w:r w:rsidRPr="00D46FA1">
              <w:rPr>
                <w:rFonts w:cs="Times New Roman"/>
                <w:sz w:val="22"/>
              </w:rPr>
              <w:t>No 2501 cm</w:t>
            </w:r>
            <w:r w:rsidRPr="00D46FA1">
              <w:rPr>
                <w:rFonts w:cs="Times New Roman"/>
                <w:sz w:val="22"/>
                <w:vertAlign w:val="superscript"/>
              </w:rPr>
              <w:t>3</w:t>
            </w:r>
            <w:r w:rsidRPr="00D46FA1">
              <w:rPr>
                <w:rFonts w:cs="Times New Roman"/>
                <w:sz w:val="22"/>
              </w:rPr>
              <w:t xml:space="preserve"> līdz 3000 cm</w:t>
            </w:r>
            <w:r w:rsidRPr="00D46FA1">
              <w:rPr>
                <w:rFonts w:cs="Times New Roman"/>
                <w:sz w:val="22"/>
                <w:vertAlign w:val="superscript"/>
              </w:rPr>
              <w:t>3</w:t>
            </w:r>
          </w:p>
        </w:tc>
        <w:tc>
          <w:tcPr>
            <w:tcW w:w="184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DE9BCBD" w14:textId="77777777" w:rsidR="0047403B" w:rsidRPr="00D46FA1" w:rsidRDefault="0047403B" w:rsidP="00A303CA">
            <w:pPr>
              <w:jc w:val="center"/>
              <w:rPr>
                <w:rFonts w:cs="Times New Roman"/>
                <w:b/>
                <w:sz w:val="22"/>
              </w:rPr>
            </w:pPr>
            <w:r w:rsidRPr="00D46FA1">
              <w:rPr>
                <w:rFonts w:cs="Times New Roman"/>
                <w:b/>
                <w:sz w:val="22"/>
              </w:rPr>
              <w:t>62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AFA95F2" w14:textId="77777777" w:rsidR="0047403B" w:rsidRPr="005E160C" w:rsidRDefault="00FE05F2" w:rsidP="00A303CA">
            <w:pPr>
              <w:jc w:val="center"/>
              <w:rPr>
                <w:rFonts w:cs="Times New Roman"/>
                <w:b/>
                <w:color w:val="FF0000"/>
                <w:sz w:val="22"/>
              </w:rPr>
            </w:pPr>
            <w:r w:rsidRPr="005E160C">
              <w:rPr>
                <w:rFonts w:cs="Times New Roman"/>
                <w:b/>
                <w:color w:val="FF0000"/>
                <w:sz w:val="22"/>
              </w:rPr>
              <w:t>66</w:t>
            </w:r>
          </w:p>
        </w:tc>
        <w:tc>
          <w:tcPr>
            <w:tcW w:w="1633" w:type="dxa"/>
            <w:tcBorders>
              <w:top w:val="nil"/>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tcPr>
          <w:p w14:paraId="2A574559" w14:textId="77777777" w:rsidR="0047403B" w:rsidRPr="004252E4" w:rsidRDefault="005E160C" w:rsidP="00A303CA">
            <w:pPr>
              <w:jc w:val="center"/>
              <w:rPr>
                <w:rFonts w:cs="Times New Roman"/>
                <w:b/>
                <w:color w:val="00B050"/>
                <w:sz w:val="22"/>
              </w:rPr>
            </w:pPr>
            <w:r w:rsidRPr="004252E4">
              <w:rPr>
                <w:rFonts w:cs="Times New Roman"/>
                <w:b/>
                <w:color w:val="00B050"/>
                <w:sz w:val="22"/>
              </w:rPr>
              <w:t>+</w:t>
            </w:r>
            <w:r w:rsidR="00FE05F2" w:rsidRPr="004252E4">
              <w:rPr>
                <w:rFonts w:cs="Times New Roman"/>
                <w:b/>
                <w:color w:val="00B050"/>
                <w:sz w:val="22"/>
              </w:rPr>
              <w:t>0,2</w:t>
            </w:r>
          </w:p>
        </w:tc>
      </w:tr>
    </w:tbl>
    <w:p w14:paraId="7CDF95A8" w14:textId="77777777" w:rsidR="00856E4D" w:rsidRDefault="00856E4D" w:rsidP="00856E4D">
      <w:pPr>
        <w:shd w:val="clear" w:color="auto" w:fill="FFFFFF"/>
        <w:spacing w:after="120"/>
        <w:ind w:firstLine="709"/>
        <w:jc w:val="both"/>
        <w:rPr>
          <w:rFonts w:eastAsia="Times New Roman" w:cs="Times New Roman"/>
          <w:color w:val="000000"/>
          <w:sz w:val="26"/>
          <w:szCs w:val="26"/>
          <w:lang w:eastAsia="lv-LV"/>
        </w:rPr>
      </w:pPr>
    </w:p>
    <w:p w14:paraId="287D3941" w14:textId="77777777" w:rsidR="00856E4D" w:rsidRPr="001B1006" w:rsidRDefault="00856E4D" w:rsidP="00856E4D">
      <w:pPr>
        <w:shd w:val="clear" w:color="auto" w:fill="FFFFFF"/>
        <w:spacing w:after="120"/>
        <w:ind w:firstLine="709"/>
        <w:jc w:val="both"/>
        <w:rPr>
          <w:rFonts w:eastAsia="Times New Roman" w:cs="Times New Roman"/>
          <w:color w:val="000000"/>
          <w:sz w:val="26"/>
          <w:szCs w:val="26"/>
          <w:lang w:eastAsia="lv-LV"/>
        </w:rPr>
      </w:pPr>
      <w:r w:rsidRPr="001B1006">
        <w:rPr>
          <w:rFonts w:eastAsia="Times New Roman" w:cs="Times New Roman"/>
          <w:color w:val="000000"/>
          <w:sz w:val="26"/>
          <w:szCs w:val="26"/>
          <w:lang w:eastAsia="lv-LV"/>
        </w:rPr>
        <w:t>Papildus iepriekšminētajām izmaiņām ir veikts arī sīkāks sadalījums automobiļiem pēc to motora tilpuma, kā rezultātā atsevišķi ir izdalīti transportlīdzekļi ar lielu motora tilpuma, proti, automobiļiem ar motora tilpumu, kas pārsniedz 3000 cm</w:t>
      </w:r>
      <w:r w:rsidRPr="001B1006">
        <w:rPr>
          <w:rFonts w:eastAsia="Times New Roman" w:cs="Times New Roman"/>
          <w:color w:val="000000"/>
          <w:sz w:val="26"/>
          <w:szCs w:val="26"/>
          <w:vertAlign w:val="superscript"/>
          <w:lang w:eastAsia="lv-LV"/>
        </w:rPr>
        <w:t>3</w:t>
      </w:r>
      <w:r w:rsidRPr="001B1006">
        <w:rPr>
          <w:rFonts w:eastAsia="Times New Roman" w:cs="Times New Roman"/>
          <w:color w:val="000000"/>
          <w:sz w:val="26"/>
          <w:szCs w:val="26"/>
          <w:lang w:eastAsia="lv-LV"/>
        </w:rPr>
        <w:t xml:space="preserve"> tiek noteikta jauna </w:t>
      </w:r>
      <w:r>
        <w:rPr>
          <w:rFonts w:eastAsia="Times New Roman" w:cs="Times New Roman"/>
          <w:color w:val="000000"/>
          <w:sz w:val="26"/>
          <w:szCs w:val="26"/>
          <w:lang w:eastAsia="lv-LV"/>
        </w:rPr>
        <w:t>UVTN</w:t>
      </w:r>
      <w:r w:rsidRPr="001B1006">
        <w:rPr>
          <w:rFonts w:eastAsia="Times New Roman" w:cs="Times New Roman"/>
          <w:color w:val="000000"/>
          <w:sz w:val="26"/>
          <w:szCs w:val="26"/>
          <w:lang w:eastAsia="lv-LV"/>
        </w:rPr>
        <w:t xml:space="preserve"> likme 82 </w:t>
      </w:r>
      <w:r w:rsidRPr="00856E4D">
        <w:rPr>
          <w:rFonts w:eastAsia="Times New Roman" w:cs="Times New Roman"/>
          <w:i/>
          <w:color w:val="000000"/>
          <w:sz w:val="26"/>
          <w:szCs w:val="26"/>
          <w:lang w:eastAsia="lv-LV"/>
        </w:rPr>
        <w:t>euro</w:t>
      </w:r>
      <w:r w:rsidRPr="001B1006">
        <w:rPr>
          <w:rFonts w:eastAsia="Times New Roman" w:cs="Times New Roman"/>
          <w:color w:val="000000"/>
          <w:sz w:val="26"/>
          <w:szCs w:val="26"/>
          <w:lang w:eastAsia="lv-LV"/>
        </w:rPr>
        <w:t xml:space="preserve"> apmērā. Ņemot vērā to, ka šobrīd būtiski ir stiprināt rīcību klimata pārmaiņu mazināšanai, tad kā viens no pasākumiem ir mēģināt ierobežot komersantus izmantot automobiļus ar liela tilpuma motoru privātajām vajadzībām. </w:t>
      </w:r>
    </w:p>
    <w:p w14:paraId="670A49C1" w14:textId="77777777" w:rsidR="0047403B" w:rsidRDefault="001E5B57" w:rsidP="00D46FA1">
      <w:pPr>
        <w:spacing w:after="120"/>
        <w:jc w:val="center"/>
        <w:rPr>
          <w:rFonts w:cs="Times New Roman"/>
          <w:color w:val="000000"/>
          <w:szCs w:val="24"/>
        </w:rPr>
      </w:pPr>
      <w:r w:rsidRPr="00AA67DF">
        <w:rPr>
          <w:szCs w:val="24"/>
        </w:rPr>
        <w:t>3</w:t>
      </w:r>
      <w:r w:rsidR="00281B3C">
        <w:rPr>
          <w:szCs w:val="24"/>
        </w:rPr>
        <w:t>4</w:t>
      </w:r>
      <w:r w:rsidRPr="00AA67DF">
        <w:rPr>
          <w:szCs w:val="24"/>
        </w:rPr>
        <w:t>.tab</w:t>
      </w:r>
      <w:r w:rsidRPr="005138B5">
        <w:rPr>
          <w:szCs w:val="24"/>
        </w:rPr>
        <w:t>.</w:t>
      </w:r>
      <w:r w:rsidRPr="005138B5">
        <w:rPr>
          <w:b/>
          <w:szCs w:val="24"/>
        </w:rPr>
        <w:t xml:space="preserve"> </w:t>
      </w:r>
      <w:r w:rsidRPr="001E5B57">
        <w:rPr>
          <w:rFonts w:cs="Times New Roman"/>
          <w:b/>
          <w:color w:val="000000"/>
          <w:szCs w:val="24"/>
        </w:rPr>
        <w:t>P</w:t>
      </w:r>
      <w:r w:rsidR="0047403B" w:rsidRPr="001E5B57">
        <w:rPr>
          <w:rFonts w:cs="Times New Roman"/>
          <w:b/>
          <w:color w:val="000000"/>
          <w:szCs w:val="24"/>
        </w:rPr>
        <w:t>apildu</w:t>
      </w:r>
      <w:r w:rsidRPr="001E5B57">
        <w:rPr>
          <w:rFonts w:cs="Times New Roman"/>
          <w:b/>
          <w:color w:val="000000"/>
          <w:szCs w:val="24"/>
        </w:rPr>
        <w:t>s</w:t>
      </w:r>
      <w:r w:rsidR="0047403B" w:rsidRPr="001E5B57">
        <w:rPr>
          <w:rFonts w:cs="Times New Roman"/>
          <w:b/>
          <w:color w:val="000000"/>
          <w:szCs w:val="24"/>
        </w:rPr>
        <w:t xml:space="preserve"> likm</w:t>
      </w:r>
      <w:r w:rsidRPr="001E5B57">
        <w:rPr>
          <w:rFonts w:cs="Times New Roman"/>
          <w:b/>
          <w:color w:val="000000"/>
          <w:szCs w:val="24"/>
        </w:rPr>
        <w:t>es</w:t>
      </w:r>
      <w:r w:rsidR="0047403B" w:rsidRPr="001E5B57">
        <w:rPr>
          <w:rFonts w:cs="Times New Roman"/>
          <w:b/>
          <w:color w:val="000000"/>
          <w:szCs w:val="24"/>
        </w:rPr>
        <w:t xml:space="preserve"> transportlīdzekļiem, kuru motora tilpums pārsniedz 3000 </w:t>
      </w:r>
      <w:r w:rsidR="007259AB">
        <w:rPr>
          <w:rFonts w:cs="Times New Roman"/>
          <w:b/>
          <w:color w:val="000000"/>
          <w:szCs w:val="24"/>
        </w:rPr>
        <w:t>c</w:t>
      </w:r>
      <w:r w:rsidR="0047403B" w:rsidRPr="001E5B57">
        <w:rPr>
          <w:rFonts w:cs="Times New Roman"/>
          <w:b/>
          <w:color w:val="000000"/>
          <w:szCs w:val="24"/>
        </w:rPr>
        <w:t>m</w:t>
      </w:r>
      <w:r w:rsidR="0047403B" w:rsidRPr="001E5B57">
        <w:rPr>
          <w:rFonts w:cs="Times New Roman"/>
          <w:b/>
          <w:color w:val="000000"/>
          <w:szCs w:val="24"/>
          <w:vertAlign w:val="superscript"/>
        </w:rPr>
        <w:t>3</w:t>
      </w:r>
      <w:r w:rsidRPr="001E5B57">
        <w:rPr>
          <w:rFonts w:cs="Times New Roman"/>
          <w:b/>
          <w:color w:val="000000"/>
          <w:szCs w:val="24"/>
        </w:rPr>
        <w:t>, noteikšana</w:t>
      </w:r>
    </w:p>
    <w:p w14:paraId="10BC5479" w14:textId="77777777" w:rsidR="0047403B" w:rsidRDefault="0047403B" w:rsidP="0047403B">
      <w:pPr>
        <w:jc w:val="both"/>
        <w:rPr>
          <w:color w:val="1F497D"/>
        </w:rPr>
      </w:pPr>
    </w:p>
    <w:tbl>
      <w:tblPr>
        <w:tblW w:w="0" w:type="auto"/>
        <w:tblCellMar>
          <w:left w:w="0" w:type="dxa"/>
          <w:right w:w="0" w:type="dxa"/>
        </w:tblCellMar>
        <w:tblLook w:val="04A0" w:firstRow="1" w:lastRow="0" w:firstColumn="1" w:lastColumn="0" w:noHBand="0" w:noVBand="1"/>
      </w:tblPr>
      <w:tblGrid>
        <w:gridCol w:w="2967"/>
        <w:gridCol w:w="1843"/>
        <w:gridCol w:w="1843"/>
        <w:gridCol w:w="1633"/>
      </w:tblGrid>
      <w:tr w:rsidR="001E5B57" w:rsidRPr="001E5B57" w14:paraId="34163E32" w14:textId="77777777" w:rsidTr="001E5B57">
        <w:tc>
          <w:tcPr>
            <w:tcW w:w="2967" w:type="dxa"/>
            <w:tcBorders>
              <w:top w:val="single" w:sz="8" w:space="0" w:color="auto"/>
              <w:left w:val="single" w:sz="8" w:space="0" w:color="auto"/>
              <w:bottom w:val="single" w:sz="8" w:space="0" w:color="auto"/>
              <w:right w:val="single" w:sz="4" w:space="0" w:color="FFFFFF" w:themeColor="background1"/>
            </w:tcBorders>
            <w:shd w:val="clear" w:color="auto" w:fill="002060"/>
            <w:tcMar>
              <w:top w:w="0" w:type="dxa"/>
              <w:left w:w="108" w:type="dxa"/>
              <w:bottom w:w="0" w:type="dxa"/>
              <w:right w:w="108" w:type="dxa"/>
            </w:tcMar>
          </w:tcPr>
          <w:p w14:paraId="240153E4" w14:textId="77777777" w:rsidR="001E5B57" w:rsidRPr="001E5B57" w:rsidRDefault="001E5B57" w:rsidP="001E5B57">
            <w:pPr>
              <w:jc w:val="center"/>
              <w:rPr>
                <w:b/>
                <w:sz w:val="22"/>
              </w:rPr>
            </w:pPr>
          </w:p>
          <w:p w14:paraId="61FC1290" w14:textId="77777777" w:rsidR="001E5B57" w:rsidRPr="001E5B57" w:rsidRDefault="001E5B57" w:rsidP="001E5B57">
            <w:pPr>
              <w:jc w:val="center"/>
              <w:rPr>
                <w:b/>
                <w:sz w:val="22"/>
              </w:rPr>
            </w:pPr>
            <w:r w:rsidRPr="001E5B57">
              <w:rPr>
                <w:rFonts w:cs="Times New Roman"/>
                <w:b/>
                <w:sz w:val="22"/>
              </w:rPr>
              <w:t>Transportlīdzekļi</w:t>
            </w:r>
          </w:p>
        </w:tc>
        <w:tc>
          <w:tcPr>
            <w:tcW w:w="1843"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Pr>
          <w:p w14:paraId="1E611C1F" w14:textId="77777777" w:rsidR="001E5B57" w:rsidRPr="00D46FA1" w:rsidRDefault="001E5B57" w:rsidP="001E5B57">
            <w:pPr>
              <w:jc w:val="center"/>
              <w:rPr>
                <w:rFonts w:cs="Times New Roman"/>
                <w:b/>
                <w:sz w:val="22"/>
              </w:rPr>
            </w:pPr>
            <w:r w:rsidRPr="00D46FA1">
              <w:rPr>
                <w:rFonts w:cs="Times New Roman"/>
                <w:b/>
                <w:sz w:val="22"/>
              </w:rPr>
              <w:t>UVTN likme 2020.gadā,</w:t>
            </w:r>
          </w:p>
          <w:p w14:paraId="0E8083C4" w14:textId="77777777" w:rsidR="001E5B57" w:rsidRPr="001E5B57" w:rsidRDefault="001E5B57" w:rsidP="001E5B57">
            <w:pPr>
              <w:jc w:val="center"/>
              <w:rPr>
                <w:rFonts w:cs="Times New Roman"/>
                <w:b/>
                <w:sz w:val="22"/>
              </w:rPr>
            </w:pPr>
            <w:r w:rsidRPr="00D46FA1">
              <w:rPr>
                <w:rFonts w:cs="Times New Roman"/>
                <w:b/>
                <w:sz w:val="22"/>
              </w:rPr>
              <w:t xml:space="preserve"> </w:t>
            </w:r>
            <w:r w:rsidRPr="001E5B57">
              <w:rPr>
                <w:rFonts w:cs="Times New Roman"/>
                <w:i/>
                <w:sz w:val="22"/>
              </w:rPr>
              <w:t>euro mēnesī</w:t>
            </w:r>
          </w:p>
        </w:tc>
        <w:tc>
          <w:tcPr>
            <w:tcW w:w="1843"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Mar>
              <w:top w:w="0" w:type="dxa"/>
              <w:left w:w="108" w:type="dxa"/>
              <w:bottom w:w="0" w:type="dxa"/>
              <w:right w:w="108" w:type="dxa"/>
            </w:tcMar>
            <w:hideMark/>
          </w:tcPr>
          <w:p w14:paraId="734BBA03" w14:textId="77777777" w:rsidR="001E5B57" w:rsidRPr="00D46FA1" w:rsidRDefault="001E5B57" w:rsidP="001E5B57">
            <w:pPr>
              <w:jc w:val="center"/>
              <w:rPr>
                <w:rFonts w:cs="Times New Roman"/>
                <w:b/>
                <w:sz w:val="22"/>
              </w:rPr>
            </w:pPr>
            <w:r w:rsidRPr="00D46FA1">
              <w:rPr>
                <w:rFonts w:cs="Times New Roman"/>
                <w:b/>
                <w:sz w:val="22"/>
              </w:rPr>
              <w:t xml:space="preserve">UVTN likme 2021.gadā. </w:t>
            </w:r>
          </w:p>
          <w:p w14:paraId="3B2BEDB1" w14:textId="77777777" w:rsidR="001E5B57" w:rsidRPr="001E5B57" w:rsidRDefault="001E5B57" w:rsidP="001E5B57">
            <w:pPr>
              <w:jc w:val="center"/>
              <w:rPr>
                <w:rFonts w:cs="Times New Roman"/>
                <w:i/>
                <w:sz w:val="22"/>
              </w:rPr>
            </w:pPr>
            <w:r w:rsidRPr="001E5B57">
              <w:rPr>
                <w:rFonts w:cs="Times New Roman"/>
                <w:i/>
                <w:sz w:val="22"/>
              </w:rPr>
              <w:t>euro mēnesī</w:t>
            </w:r>
          </w:p>
        </w:tc>
        <w:tc>
          <w:tcPr>
            <w:tcW w:w="1633" w:type="dxa"/>
            <w:tcBorders>
              <w:top w:val="single" w:sz="8" w:space="0" w:color="auto"/>
              <w:left w:val="single" w:sz="4" w:space="0" w:color="FFFFFF" w:themeColor="background1"/>
              <w:bottom w:val="single" w:sz="8" w:space="0" w:color="auto"/>
              <w:right w:val="single" w:sz="8" w:space="0" w:color="auto"/>
            </w:tcBorders>
            <w:shd w:val="clear" w:color="auto" w:fill="002060"/>
            <w:tcMar>
              <w:top w:w="0" w:type="dxa"/>
              <w:left w:w="108" w:type="dxa"/>
              <w:bottom w:w="0" w:type="dxa"/>
              <w:right w:w="108" w:type="dxa"/>
            </w:tcMar>
            <w:hideMark/>
          </w:tcPr>
          <w:p w14:paraId="1F4A68A8" w14:textId="77777777" w:rsidR="001E5B57" w:rsidRPr="00D46FA1" w:rsidRDefault="001E5B57" w:rsidP="001E5B57">
            <w:pPr>
              <w:jc w:val="center"/>
              <w:rPr>
                <w:rFonts w:cs="Times New Roman"/>
                <w:b/>
                <w:sz w:val="22"/>
              </w:rPr>
            </w:pPr>
            <w:r w:rsidRPr="00D46FA1">
              <w:rPr>
                <w:rFonts w:cs="Times New Roman"/>
                <w:b/>
                <w:sz w:val="22"/>
              </w:rPr>
              <w:t xml:space="preserve">Fiskālā ietekme, </w:t>
            </w:r>
          </w:p>
          <w:p w14:paraId="049DC835" w14:textId="77777777" w:rsidR="001E5B57" w:rsidRPr="001E5B57" w:rsidRDefault="001E5B57" w:rsidP="001E5B57">
            <w:pPr>
              <w:jc w:val="center"/>
              <w:rPr>
                <w:rFonts w:cs="Times New Roman"/>
                <w:i/>
                <w:sz w:val="22"/>
              </w:rPr>
            </w:pPr>
            <w:r w:rsidRPr="001E5B57">
              <w:rPr>
                <w:rFonts w:cs="Times New Roman"/>
                <w:i/>
                <w:sz w:val="22"/>
              </w:rPr>
              <w:t>milj. euro</w:t>
            </w:r>
          </w:p>
        </w:tc>
      </w:tr>
      <w:tr w:rsidR="0047403B" w:rsidRPr="001E5B57" w14:paraId="3AF59E47" w14:textId="77777777" w:rsidTr="001E5B57">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CCCB2" w14:textId="77777777" w:rsidR="0047403B" w:rsidRPr="001E5B57" w:rsidRDefault="0047403B" w:rsidP="00A303CA">
            <w:pPr>
              <w:rPr>
                <w:rFonts w:cs="Times New Roman"/>
                <w:sz w:val="22"/>
              </w:rPr>
            </w:pPr>
            <w:r w:rsidRPr="001E5B57">
              <w:rPr>
                <w:rFonts w:cs="Times New Roman"/>
                <w:sz w:val="22"/>
              </w:rPr>
              <w:t>Virs 3000 cm</w:t>
            </w:r>
            <w:r w:rsidRPr="001E5B57">
              <w:rPr>
                <w:rFonts w:cs="Times New Roman"/>
                <w:sz w:val="22"/>
                <w:vertAlign w:val="superscript"/>
              </w:rPr>
              <w:t>3</w:t>
            </w:r>
          </w:p>
        </w:tc>
        <w:tc>
          <w:tcPr>
            <w:tcW w:w="1843" w:type="dxa"/>
            <w:tcBorders>
              <w:top w:val="single" w:sz="8" w:space="0" w:color="auto"/>
              <w:left w:val="nil"/>
              <w:bottom w:val="single" w:sz="8" w:space="0" w:color="auto"/>
              <w:right w:val="single" w:sz="4" w:space="0" w:color="auto"/>
            </w:tcBorders>
            <w:shd w:val="clear" w:color="auto" w:fill="D9D9D9" w:themeFill="background1" w:themeFillShade="D9"/>
          </w:tcPr>
          <w:p w14:paraId="07259BEA" w14:textId="77777777" w:rsidR="0047403B" w:rsidRPr="001E5B57" w:rsidRDefault="0047403B" w:rsidP="00A303CA">
            <w:pPr>
              <w:jc w:val="center"/>
              <w:rPr>
                <w:rFonts w:cs="Times New Roman"/>
                <w:b/>
                <w:sz w:val="22"/>
              </w:rPr>
            </w:pPr>
            <w:r w:rsidRPr="001E5B57">
              <w:rPr>
                <w:rFonts w:cs="Times New Roman"/>
                <w:b/>
                <w:sz w:val="22"/>
              </w:rPr>
              <w:t>62</w:t>
            </w:r>
          </w:p>
        </w:tc>
        <w:tc>
          <w:tcPr>
            <w:tcW w:w="184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8DB0BEA" w14:textId="77777777" w:rsidR="0047403B" w:rsidRPr="001E5B57" w:rsidRDefault="0047403B" w:rsidP="00A303CA">
            <w:pPr>
              <w:jc w:val="center"/>
              <w:rPr>
                <w:rFonts w:cs="Times New Roman"/>
                <w:b/>
                <w:sz w:val="22"/>
              </w:rPr>
            </w:pPr>
            <w:r w:rsidRPr="001E5B57">
              <w:rPr>
                <w:rFonts w:cs="Times New Roman"/>
                <w:b/>
                <w:color w:val="FF0000"/>
                <w:sz w:val="22"/>
              </w:rPr>
              <w:t>82</w:t>
            </w:r>
          </w:p>
        </w:tc>
        <w:tc>
          <w:tcPr>
            <w:tcW w:w="1633" w:type="dxa"/>
            <w:tcBorders>
              <w:top w:val="nil"/>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tcPr>
          <w:p w14:paraId="1664FAC9" w14:textId="77777777" w:rsidR="0047403B" w:rsidRPr="005E160C" w:rsidRDefault="005E160C" w:rsidP="00A303CA">
            <w:pPr>
              <w:jc w:val="center"/>
              <w:rPr>
                <w:rFonts w:cs="Times New Roman"/>
                <w:b/>
                <w:sz w:val="22"/>
              </w:rPr>
            </w:pPr>
            <w:r w:rsidRPr="004252E4">
              <w:rPr>
                <w:rFonts w:cs="Times New Roman"/>
                <w:b/>
                <w:color w:val="00B050"/>
                <w:sz w:val="22"/>
              </w:rPr>
              <w:t>+</w:t>
            </w:r>
            <w:r w:rsidR="00FE05F2" w:rsidRPr="004252E4">
              <w:rPr>
                <w:rFonts w:cs="Times New Roman"/>
                <w:b/>
                <w:color w:val="00B050"/>
                <w:sz w:val="22"/>
              </w:rPr>
              <w:t>0,2</w:t>
            </w:r>
          </w:p>
        </w:tc>
      </w:tr>
    </w:tbl>
    <w:p w14:paraId="7BC5D88A" w14:textId="77777777" w:rsidR="0047403B" w:rsidRDefault="0047403B" w:rsidP="0047403B"/>
    <w:p w14:paraId="294E9F93" w14:textId="77777777" w:rsidR="00856E4D" w:rsidRPr="00856E4D" w:rsidRDefault="00856E4D" w:rsidP="00856E4D">
      <w:pPr>
        <w:spacing w:after="120"/>
        <w:jc w:val="center"/>
        <w:rPr>
          <w:rFonts w:cs="Times New Roman"/>
          <w:b/>
          <w:sz w:val="26"/>
          <w:szCs w:val="26"/>
        </w:rPr>
      </w:pPr>
      <w:r w:rsidRPr="00856E4D">
        <w:rPr>
          <w:rFonts w:cs="Times New Roman"/>
          <w:b/>
          <w:sz w:val="26"/>
          <w:szCs w:val="26"/>
        </w:rPr>
        <w:t>Informācijai</w:t>
      </w:r>
    </w:p>
    <w:p w14:paraId="484C84FF" w14:textId="77777777" w:rsidR="001B1006" w:rsidRPr="001B1006" w:rsidRDefault="001B1006" w:rsidP="001B1006">
      <w:pPr>
        <w:shd w:val="clear" w:color="auto" w:fill="FFFFFF"/>
        <w:spacing w:after="120"/>
        <w:ind w:firstLine="709"/>
        <w:jc w:val="both"/>
        <w:rPr>
          <w:rFonts w:eastAsia="Times New Roman" w:cs="Times New Roman"/>
          <w:color w:val="000000"/>
          <w:sz w:val="26"/>
          <w:szCs w:val="26"/>
          <w:lang w:eastAsia="lv-LV"/>
        </w:rPr>
      </w:pPr>
      <w:r w:rsidRPr="001B1006">
        <w:rPr>
          <w:rFonts w:eastAsia="Times New Roman" w:cs="Times New Roman"/>
          <w:color w:val="000000"/>
          <w:sz w:val="26"/>
          <w:szCs w:val="26"/>
          <w:lang w:eastAsia="lv-LV"/>
        </w:rPr>
        <w:t xml:space="preserve">Arī Igaunijā no 2018.gada 1.janvāra ir ieviests nodoklis par uzņēmuma automobiļa izmantošanu darbinieku personīgajām vajadzībām. Nodokli </w:t>
      </w:r>
      <w:r w:rsidRPr="001B1006">
        <w:rPr>
          <w:rFonts w:eastAsia="Times New Roman" w:cs="Times New Roman"/>
          <w:color w:val="000000"/>
          <w:sz w:val="26"/>
          <w:szCs w:val="26"/>
          <w:lang w:eastAsia="lv-LV"/>
        </w:rPr>
        <w:lastRenderedPageBreak/>
        <w:t>aprēķina, ņemot vērā divus kritērijus, proti, automobiļa vecumu un motora maksimālo jaudu kilovatos. Tāpat Igaunijas uzņēmējiem ir iespējams deklarēt to, ka transportlīdzeklis tiek izmantots tikai saimnieciskās darbības vajadzībām un nodokli par automobili nemaksāt.</w:t>
      </w:r>
    </w:p>
    <w:p w14:paraId="3A970620" w14:textId="496547F8" w:rsidR="00DC5987" w:rsidRDefault="00BB0B5A" w:rsidP="00BB0B5A">
      <w:pPr>
        <w:spacing w:after="120"/>
        <w:ind w:firstLine="709"/>
        <w:jc w:val="both"/>
        <w:rPr>
          <w:b/>
          <w:bCs/>
          <w:sz w:val="26"/>
          <w:szCs w:val="26"/>
        </w:rPr>
      </w:pPr>
      <w:r w:rsidRPr="005D01E8">
        <w:rPr>
          <w:b/>
          <w:sz w:val="26"/>
          <w:szCs w:val="26"/>
        </w:rPr>
        <w:t>SM piedāvā</w:t>
      </w:r>
      <w:r w:rsidRPr="00BB0B5A">
        <w:rPr>
          <w:sz w:val="26"/>
          <w:szCs w:val="26"/>
        </w:rPr>
        <w:t xml:space="preserve"> </w:t>
      </w:r>
      <w:r w:rsidR="00DC5987" w:rsidRPr="00BB0B5A">
        <w:rPr>
          <w:sz w:val="26"/>
          <w:szCs w:val="26"/>
        </w:rPr>
        <w:t xml:space="preserve">atbrīvot no </w:t>
      </w:r>
      <w:r w:rsidRPr="00BB0B5A">
        <w:rPr>
          <w:sz w:val="26"/>
          <w:szCs w:val="26"/>
        </w:rPr>
        <w:t>UVTN</w:t>
      </w:r>
      <w:r w:rsidR="00DC5987" w:rsidRPr="00BB0B5A">
        <w:rPr>
          <w:sz w:val="26"/>
          <w:szCs w:val="26"/>
        </w:rPr>
        <w:t xml:space="preserve"> nomaksas transportlīdzekļus, kurus izmanto pasažieru komercpārvadājumos ar taksometriem, lai novērstu iespēju, samaksājot UVTN taksometra pārvadājumi tiek veikti neieslēdzot skaitītāju vai vispār bez tā, kontrolei sniedzot informāciju, ka pasažieru pārvadājumi šajā brīdī netiek veikti, līdz ar to neuzskaitot ieņēmumus. Vienlaikus ietverot izņēmumu par taksometriem </w:t>
      </w:r>
      <w:r w:rsidR="00DC5987" w:rsidRPr="00BB0B5A">
        <w:rPr>
          <w:i/>
          <w:sz w:val="26"/>
          <w:szCs w:val="26"/>
        </w:rPr>
        <w:t>Transportlīdzekļa ekspluatācijas nodokļa un uzņēmumu vieglo transportlīdzekļu nodokļa likumā</w:t>
      </w:r>
      <w:r w:rsidR="00DC5987" w:rsidRPr="00BB0B5A">
        <w:rPr>
          <w:sz w:val="26"/>
          <w:szCs w:val="26"/>
        </w:rPr>
        <w:t xml:space="preserve">, priekšlikums noteikt, ka transportlīdzekļiem jābūt komersanta īpašumā (izņemot finanšu līzinga gadījumā). Transportlīdzekļu reģistrācija komersanta īpašumā uzdod par pienākumu komersantam veikt transportlīdzekļa ekspluatācijas laika un izmaksu uzskaiti, kā arī tiek nodrošinātas VID tiesības liegumiem darbībām ar komersanta īpašumā esošu mantu nodokļu nenomaksas gadījumos. </w:t>
      </w:r>
      <w:r w:rsidR="00164FD5" w:rsidRPr="00E550CD">
        <w:rPr>
          <w:sz w:val="26"/>
          <w:szCs w:val="26"/>
        </w:rPr>
        <w:t>Satiksmes ministrijas novērtētā</w:t>
      </w:r>
      <w:r w:rsidR="00164FD5" w:rsidRPr="002977A4">
        <w:rPr>
          <w:sz w:val="26"/>
          <w:szCs w:val="26"/>
        </w:rPr>
        <w:t xml:space="preserve"> </w:t>
      </w:r>
      <w:r w:rsidR="00164FD5" w:rsidRPr="003D1112">
        <w:rPr>
          <w:bCs/>
          <w:sz w:val="26"/>
          <w:szCs w:val="26"/>
        </w:rPr>
        <w:t>p</w:t>
      </w:r>
      <w:r w:rsidRPr="003D1112">
        <w:rPr>
          <w:bCs/>
          <w:sz w:val="26"/>
          <w:szCs w:val="26"/>
        </w:rPr>
        <w:t>rovizoriskā fiskālā ietekme uz budžetu ir līdz</w:t>
      </w:r>
      <w:r w:rsidRPr="00BB0B5A">
        <w:rPr>
          <w:b/>
          <w:bCs/>
          <w:sz w:val="26"/>
          <w:szCs w:val="26"/>
        </w:rPr>
        <w:t xml:space="preserve"> </w:t>
      </w:r>
      <w:r w:rsidRPr="00BB0B5A">
        <w:rPr>
          <w:b/>
          <w:bCs/>
          <w:color w:val="C00000"/>
          <w:sz w:val="26"/>
          <w:szCs w:val="26"/>
        </w:rPr>
        <w:t xml:space="preserve">–0,06 </w:t>
      </w:r>
      <w:r w:rsidRPr="00BB0B5A">
        <w:rPr>
          <w:b/>
          <w:bCs/>
          <w:sz w:val="26"/>
          <w:szCs w:val="26"/>
        </w:rPr>
        <w:t xml:space="preserve">milj. </w:t>
      </w:r>
      <w:r w:rsidRPr="003D1112">
        <w:rPr>
          <w:bCs/>
          <w:i/>
          <w:iCs/>
          <w:sz w:val="26"/>
          <w:szCs w:val="26"/>
        </w:rPr>
        <w:t>euro</w:t>
      </w:r>
      <w:r w:rsidRPr="003D1112">
        <w:rPr>
          <w:bCs/>
          <w:sz w:val="26"/>
          <w:szCs w:val="26"/>
        </w:rPr>
        <w:t xml:space="preserve"> gadā.</w:t>
      </w:r>
    </w:p>
    <w:p w14:paraId="486AD730" w14:textId="77777777" w:rsidR="00B570AB" w:rsidRPr="00BB0B5A" w:rsidRDefault="00B570AB" w:rsidP="00BB0B5A">
      <w:pPr>
        <w:spacing w:after="120"/>
        <w:ind w:firstLine="709"/>
        <w:jc w:val="both"/>
        <w:rPr>
          <w:sz w:val="26"/>
          <w:szCs w:val="26"/>
        </w:rPr>
      </w:pPr>
    </w:p>
    <w:p w14:paraId="07C83C43" w14:textId="3FB2C8AD" w:rsidR="00611E7C" w:rsidRDefault="00B570AB" w:rsidP="00B570AB">
      <w:pPr>
        <w:pStyle w:val="Heading2"/>
      </w:pPr>
      <w:bookmarkStart w:id="29" w:name="_Toc33186640"/>
      <w:r>
        <w:t>9</w:t>
      </w:r>
      <w:r w:rsidR="00D46FA1">
        <w:t>.</w:t>
      </w:r>
      <w:r>
        <w:t>3.</w:t>
      </w:r>
      <w:r w:rsidR="00D46FA1">
        <w:t xml:space="preserve"> </w:t>
      </w:r>
      <w:r>
        <w:tab/>
      </w:r>
      <w:r w:rsidR="00611E7C" w:rsidRPr="007020EC">
        <w:t>Vieglo automobiļu reģistrācijas nodoklis</w:t>
      </w:r>
      <w:bookmarkEnd w:id="29"/>
    </w:p>
    <w:p w14:paraId="27BC8672" w14:textId="77777777" w:rsidR="00424FF8" w:rsidRDefault="00424FF8" w:rsidP="00424FF8">
      <w:pPr>
        <w:spacing w:after="120"/>
        <w:ind w:firstLine="709"/>
        <w:jc w:val="both"/>
        <w:rPr>
          <w:rFonts w:cs="Times New Roman"/>
          <w:sz w:val="26"/>
          <w:szCs w:val="26"/>
        </w:rPr>
      </w:pPr>
      <w:r>
        <w:rPr>
          <w:rFonts w:cs="Times New Roman"/>
          <w:sz w:val="26"/>
          <w:szCs w:val="26"/>
        </w:rPr>
        <w:t>Ņemot vērā esošās tendences vairākās Eiropas pilsētās mazināt gaisa piesārņojumu, liedzot to centros iebraukt automobiļiem ar zemāku emisiju standartu, tādejādi var papalielināties vecu un ekoloģiski kaitīgāku vieglo automobiļu, it sevišķi ar dīzeļdzinēju aprīkotu, plūsma uz Latviju. Atbilstoši VARAM priekšlikumam, lai ietekmētu patērētāja izvēli par labu klimatam un videi draudzīgāka vieglā automobiļa iegādes brīdī, ir nepieciešams atkārtoti ieviest transportlīdzekļu reģistrācijas nodokli (turpmāk - TRN).</w:t>
      </w:r>
    </w:p>
    <w:p w14:paraId="067E8E6C" w14:textId="77777777" w:rsidR="009E5CE9" w:rsidRPr="00EA6CAE" w:rsidRDefault="009E5CE9" w:rsidP="009E5CE9">
      <w:pPr>
        <w:spacing w:after="120"/>
        <w:ind w:firstLine="720"/>
        <w:jc w:val="both"/>
        <w:rPr>
          <w:rFonts w:cs="Times New Roman"/>
          <w:sz w:val="26"/>
          <w:szCs w:val="26"/>
        </w:rPr>
      </w:pPr>
      <w:r w:rsidRPr="00EA6CAE">
        <w:rPr>
          <w:rFonts w:cs="Times New Roman"/>
          <w:sz w:val="26"/>
          <w:szCs w:val="26"/>
        </w:rPr>
        <w:t>Lietuvā ar 2020.gada 1.jūliju ir paredzēts ieviest reģistrācijas nodokli vieglajiem un kravas automobiļiem (M</w:t>
      </w:r>
      <w:r w:rsidRPr="00EA6CAE">
        <w:rPr>
          <w:rFonts w:cs="Times New Roman"/>
          <w:sz w:val="26"/>
          <w:szCs w:val="26"/>
          <w:vertAlign w:val="subscript"/>
        </w:rPr>
        <w:t>1</w:t>
      </w:r>
      <w:r w:rsidRPr="00EA6CAE">
        <w:rPr>
          <w:rFonts w:cs="Times New Roman"/>
          <w:sz w:val="26"/>
          <w:szCs w:val="26"/>
        </w:rPr>
        <w:t xml:space="preserve"> un N</w:t>
      </w:r>
      <w:r w:rsidRPr="00EA6CAE">
        <w:rPr>
          <w:rFonts w:cs="Times New Roman"/>
          <w:sz w:val="26"/>
          <w:szCs w:val="26"/>
          <w:vertAlign w:val="subscript"/>
        </w:rPr>
        <w:t>1</w:t>
      </w:r>
      <w:r w:rsidRPr="00EA6CAE">
        <w:rPr>
          <w:rFonts w:cs="Times New Roman"/>
          <w:sz w:val="26"/>
          <w:szCs w:val="26"/>
        </w:rPr>
        <w:t xml:space="preserve"> kategorija) atkarībā no CO</w:t>
      </w:r>
      <w:r w:rsidRPr="00EA6CAE">
        <w:rPr>
          <w:rFonts w:cs="Times New Roman"/>
          <w:sz w:val="26"/>
          <w:szCs w:val="26"/>
          <w:vertAlign w:val="subscript"/>
        </w:rPr>
        <w:t>2</w:t>
      </w:r>
      <w:r w:rsidRPr="00EA6CAE">
        <w:rPr>
          <w:rFonts w:cs="Times New Roman"/>
          <w:sz w:val="26"/>
          <w:szCs w:val="26"/>
        </w:rPr>
        <w:t xml:space="preserve"> izmešiem, vienlaikus paredzot atbrīvojumu no reģistrācijas nodokļa, ja CO</w:t>
      </w:r>
      <w:r w:rsidRPr="00EA6CAE">
        <w:rPr>
          <w:rFonts w:cs="Times New Roman"/>
          <w:sz w:val="26"/>
          <w:szCs w:val="26"/>
          <w:vertAlign w:val="subscript"/>
        </w:rPr>
        <w:t>2</w:t>
      </w:r>
      <w:r w:rsidRPr="00EA6CAE">
        <w:rPr>
          <w:rFonts w:cs="Times New Roman"/>
          <w:sz w:val="26"/>
          <w:szCs w:val="26"/>
        </w:rPr>
        <w:t xml:space="preserve"> izmešu apjoms ir līdz 130g/km. Turklāt reģistrācijas nodokļa apmērs par tādā paša CO</w:t>
      </w:r>
      <w:r w:rsidRPr="00EA6CAE">
        <w:rPr>
          <w:rFonts w:cs="Times New Roman"/>
          <w:sz w:val="26"/>
          <w:szCs w:val="26"/>
          <w:vertAlign w:val="subscript"/>
        </w:rPr>
        <w:t>2</w:t>
      </w:r>
      <w:r w:rsidRPr="00EA6CAE">
        <w:rPr>
          <w:rFonts w:cs="Times New Roman"/>
          <w:sz w:val="26"/>
          <w:szCs w:val="26"/>
        </w:rPr>
        <w:t xml:space="preserve"> emisiju daudzumu transportlīdzekļiem, kas ir aprīkoti ar dīzeļdzinēju, būs divas reizes augstāks nekā ar benzīna dzinēju aprīkotam transportlīdzeklim, bet transportlīdzeklim, kurš ir aprīkots ar gāzes kā degvielas barošanas iekārtu, reģistrācijas nodokļa apmērs tiek samazināts par 10%.</w:t>
      </w:r>
    </w:p>
    <w:p w14:paraId="7C4DF517" w14:textId="77777777" w:rsidR="00B570AB" w:rsidRDefault="00B570AB">
      <w:pPr>
        <w:rPr>
          <w:szCs w:val="24"/>
        </w:rPr>
      </w:pPr>
      <w:r>
        <w:rPr>
          <w:szCs w:val="24"/>
        </w:rPr>
        <w:br w:type="page"/>
      </w:r>
    </w:p>
    <w:p w14:paraId="402A71E4" w14:textId="6846B9AC" w:rsidR="007259AB" w:rsidRPr="00E633F7" w:rsidRDefault="00515CB4" w:rsidP="00E633F7">
      <w:pPr>
        <w:spacing w:after="120"/>
        <w:ind w:firstLine="709"/>
        <w:jc w:val="center"/>
        <w:rPr>
          <w:b/>
          <w:szCs w:val="24"/>
        </w:rPr>
      </w:pPr>
      <w:r w:rsidRPr="00AA67DF">
        <w:rPr>
          <w:szCs w:val="24"/>
        </w:rPr>
        <w:lastRenderedPageBreak/>
        <w:t>3</w:t>
      </w:r>
      <w:r w:rsidR="00281B3C">
        <w:rPr>
          <w:szCs w:val="24"/>
        </w:rPr>
        <w:t>5</w:t>
      </w:r>
      <w:r w:rsidRPr="00AA67DF">
        <w:rPr>
          <w:szCs w:val="24"/>
        </w:rPr>
        <w:t>.tab</w:t>
      </w:r>
      <w:r w:rsidRPr="005138B5">
        <w:rPr>
          <w:szCs w:val="24"/>
        </w:rPr>
        <w:t>.</w:t>
      </w:r>
      <w:r w:rsidRPr="005138B5">
        <w:rPr>
          <w:b/>
          <w:szCs w:val="24"/>
        </w:rPr>
        <w:t xml:space="preserve"> </w:t>
      </w:r>
      <w:r w:rsidR="007259AB" w:rsidRPr="00E633F7">
        <w:rPr>
          <w:b/>
          <w:szCs w:val="24"/>
        </w:rPr>
        <w:t>Lietuvā piemērojamās vieglajiem automobiļiem un vieglajiem kravas automobiļiem (M1 un N1 kategorija) reģistrācijas nodokļa likmes, kas stāsies spēkā no 2020.gada 1.jūlija, EUR</w:t>
      </w:r>
    </w:p>
    <w:tbl>
      <w:tblPr>
        <w:tblStyle w:val="TableGrid"/>
        <w:tblW w:w="0" w:type="auto"/>
        <w:tblLook w:val="04A0" w:firstRow="1" w:lastRow="0" w:firstColumn="1" w:lastColumn="0" w:noHBand="0" w:noVBand="1"/>
      </w:tblPr>
      <w:tblGrid>
        <w:gridCol w:w="1659"/>
        <w:gridCol w:w="1659"/>
        <w:gridCol w:w="1659"/>
        <w:gridCol w:w="1659"/>
        <w:gridCol w:w="1660"/>
      </w:tblGrid>
      <w:tr w:rsidR="007259AB" w:rsidRPr="007259AB" w14:paraId="1F3144B5" w14:textId="77777777" w:rsidTr="007259AB">
        <w:tc>
          <w:tcPr>
            <w:tcW w:w="3318" w:type="dxa"/>
            <w:gridSpan w:val="2"/>
            <w:tcBorders>
              <w:bottom w:val="single" w:sz="4" w:space="0" w:color="FFFFFF" w:themeColor="background1"/>
              <w:right w:val="single" w:sz="4" w:space="0" w:color="FFFFFF" w:themeColor="background1"/>
            </w:tcBorders>
            <w:shd w:val="clear" w:color="auto" w:fill="002060"/>
          </w:tcPr>
          <w:p w14:paraId="37601B8F" w14:textId="77777777" w:rsidR="007259AB" w:rsidRPr="007259AB" w:rsidRDefault="007259AB" w:rsidP="007259AB">
            <w:pPr>
              <w:jc w:val="center"/>
              <w:rPr>
                <w:rFonts w:cs="Times New Roman"/>
                <w:b/>
                <w:sz w:val="22"/>
              </w:rPr>
            </w:pPr>
            <w:r w:rsidRPr="007259AB">
              <w:rPr>
                <w:rFonts w:cs="Times New Roman"/>
                <w:b/>
                <w:sz w:val="22"/>
              </w:rPr>
              <w:t>CO</w:t>
            </w:r>
            <w:r w:rsidRPr="007259AB">
              <w:rPr>
                <w:rFonts w:cs="Times New Roman"/>
                <w:b/>
                <w:sz w:val="22"/>
                <w:vertAlign w:val="subscript"/>
              </w:rPr>
              <w:t>2</w:t>
            </w:r>
            <w:r w:rsidRPr="007259AB">
              <w:rPr>
                <w:rFonts w:cs="Times New Roman"/>
                <w:b/>
                <w:sz w:val="22"/>
              </w:rPr>
              <w:t xml:space="preserve"> emisija</w:t>
            </w:r>
          </w:p>
        </w:tc>
        <w:tc>
          <w:tcPr>
            <w:tcW w:w="4978" w:type="dxa"/>
            <w:gridSpan w:val="3"/>
            <w:tcBorders>
              <w:left w:val="single" w:sz="4" w:space="0" w:color="FFFFFF" w:themeColor="background1"/>
              <w:bottom w:val="single" w:sz="4" w:space="0" w:color="FFFFFF" w:themeColor="background1"/>
            </w:tcBorders>
            <w:shd w:val="clear" w:color="auto" w:fill="002060"/>
          </w:tcPr>
          <w:p w14:paraId="7D0E0DB8" w14:textId="77777777" w:rsidR="007259AB" w:rsidRPr="007259AB" w:rsidRDefault="007259AB" w:rsidP="007259AB">
            <w:pPr>
              <w:jc w:val="center"/>
              <w:rPr>
                <w:rFonts w:cs="Times New Roman"/>
                <w:b/>
                <w:sz w:val="22"/>
              </w:rPr>
            </w:pPr>
            <w:r w:rsidRPr="007259AB">
              <w:rPr>
                <w:rFonts w:cs="Times New Roman"/>
                <w:b/>
                <w:sz w:val="22"/>
              </w:rPr>
              <w:t>Nodokļa likme atkarībā no degvielas veida</w:t>
            </w:r>
          </w:p>
        </w:tc>
      </w:tr>
      <w:tr w:rsidR="007259AB" w:rsidRPr="007259AB" w14:paraId="70645313" w14:textId="77777777" w:rsidTr="007259AB">
        <w:tc>
          <w:tcPr>
            <w:tcW w:w="1659" w:type="dxa"/>
            <w:tcBorders>
              <w:top w:val="single" w:sz="4" w:space="0" w:color="FFFFFF" w:themeColor="background1"/>
              <w:right w:val="single" w:sz="4" w:space="0" w:color="FFFFFF" w:themeColor="background1"/>
            </w:tcBorders>
            <w:shd w:val="clear" w:color="auto" w:fill="002060"/>
          </w:tcPr>
          <w:p w14:paraId="402586C8" w14:textId="77777777" w:rsidR="007259AB" w:rsidRPr="007259AB" w:rsidRDefault="007259AB" w:rsidP="007259AB">
            <w:pPr>
              <w:jc w:val="center"/>
              <w:rPr>
                <w:rFonts w:cs="Times New Roman"/>
                <w:b/>
                <w:sz w:val="22"/>
              </w:rPr>
            </w:pPr>
            <w:r w:rsidRPr="007259AB">
              <w:rPr>
                <w:rFonts w:cs="Times New Roman"/>
                <w:b/>
                <w:sz w:val="22"/>
              </w:rPr>
              <w:t>no</w:t>
            </w:r>
          </w:p>
        </w:tc>
        <w:tc>
          <w:tcPr>
            <w:tcW w:w="1659"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7AB074E1" w14:textId="77777777" w:rsidR="007259AB" w:rsidRPr="007259AB" w:rsidRDefault="007259AB" w:rsidP="007259AB">
            <w:pPr>
              <w:jc w:val="center"/>
              <w:rPr>
                <w:rFonts w:cs="Times New Roman"/>
                <w:b/>
                <w:sz w:val="22"/>
              </w:rPr>
            </w:pPr>
            <w:r w:rsidRPr="007259AB">
              <w:rPr>
                <w:rFonts w:cs="Times New Roman"/>
                <w:b/>
                <w:sz w:val="22"/>
              </w:rPr>
              <w:t>līdz</w:t>
            </w:r>
          </w:p>
        </w:tc>
        <w:tc>
          <w:tcPr>
            <w:tcW w:w="1659"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5E80CDDA" w14:textId="77777777" w:rsidR="007259AB" w:rsidRPr="007259AB" w:rsidRDefault="007259AB" w:rsidP="007259AB">
            <w:pPr>
              <w:jc w:val="center"/>
              <w:rPr>
                <w:rFonts w:cs="Times New Roman"/>
                <w:b/>
                <w:sz w:val="22"/>
              </w:rPr>
            </w:pPr>
            <w:r w:rsidRPr="007259AB">
              <w:rPr>
                <w:rFonts w:cs="Times New Roman"/>
                <w:b/>
                <w:sz w:val="22"/>
              </w:rPr>
              <w:t>Dīzelis</w:t>
            </w:r>
          </w:p>
        </w:tc>
        <w:tc>
          <w:tcPr>
            <w:tcW w:w="1659"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0E66169D" w14:textId="77777777" w:rsidR="007259AB" w:rsidRPr="007259AB" w:rsidRDefault="007259AB" w:rsidP="007259AB">
            <w:pPr>
              <w:jc w:val="center"/>
              <w:rPr>
                <w:rFonts w:cs="Times New Roman"/>
                <w:b/>
                <w:sz w:val="22"/>
              </w:rPr>
            </w:pPr>
            <w:r w:rsidRPr="007259AB">
              <w:rPr>
                <w:rFonts w:cs="Times New Roman"/>
                <w:b/>
                <w:sz w:val="22"/>
              </w:rPr>
              <w:t>Benzīns</w:t>
            </w:r>
          </w:p>
        </w:tc>
        <w:tc>
          <w:tcPr>
            <w:tcW w:w="1660" w:type="dxa"/>
            <w:tcBorders>
              <w:top w:val="single" w:sz="4" w:space="0" w:color="FFFFFF" w:themeColor="background1"/>
              <w:left w:val="single" w:sz="4" w:space="0" w:color="FFFFFF" w:themeColor="background1"/>
            </w:tcBorders>
            <w:shd w:val="clear" w:color="auto" w:fill="002060"/>
          </w:tcPr>
          <w:p w14:paraId="7D7E4685" w14:textId="77777777" w:rsidR="007259AB" w:rsidRPr="007259AB" w:rsidRDefault="007259AB" w:rsidP="007259AB">
            <w:pPr>
              <w:jc w:val="center"/>
              <w:rPr>
                <w:rFonts w:cs="Times New Roman"/>
                <w:b/>
                <w:sz w:val="22"/>
              </w:rPr>
            </w:pPr>
            <w:r w:rsidRPr="007259AB">
              <w:rPr>
                <w:rFonts w:cs="Times New Roman"/>
                <w:b/>
                <w:sz w:val="22"/>
              </w:rPr>
              <w:t>Gāze</w:t>
            </w:r>
          </w:p>
        </w:tc>
      </w:tr>
      <w:tr w:rsidR="007259AB" w:rsidRPr="007259AB" w14:paraId="78B5A80B" w14:textId="77777777" w:rsidTr="004610C9">
        <w:tc>
          <w:tcPr>
            <w:tcW w:w="1659" w:type="dxa"/>
          </w:tcPr>
          <w:p w14:paraId="53D3FC5B" w14:textId="77777777" w:rsidR="007259AB" w:rsidRPr="00E633F7" w:rsidRDefault="007259AB" w:rsidP="007259AB">
            <w:pPr>
              <w:jc w:val="center"/>
              <w:rPr>
                <w:rFonts w:cs="Times New Roman"/>
                <w:b/>
                <w:sz w:val="22"/>
              </w:rPr>
            </w:pPr>
            <w:r w:rsidRPr="00E633F7">
              <w:rPr>
                <w:rFonts w:cs="Times New Roman"/>
                <w:b/>
                <w:sz w:val="22"/>
              </w:rPr>
              <w:t>0</w:t>
            </w:r>
          </w:p>
        </w:tc>
        <w:tc>
          <w:tcPr>
            <w:tcW w:w="1659" w:type="dxa"/>
          </w:tcPr>
          <w:p w14:paraId="06852407" w14:textId="77777777" w:rsidR="007259AB" w:rsidRPr="00E633F7" w:rsidRDefault="007259AB" w:rsidP="007259AB">
            <w:pPr>
              <w:jc w:val="center"/>
              <w:rPr>
                <w:rFonts w:cs="Times New Roman"/>
                <w:b/>
                <w:sz w:val="22"/>
              </w:rPr>
            </w:pPr>
            <w:r w:rsidRPr="00E633F7">
              <w:rPr>
                <w:rFonts w:cs="Times New Roman"/>
                <w:b/>
                <w:sz w:val="22"/>
              </w:rPr>
              <w:t>115</w:t>
            </w:r>
          </w:p>
        </w:tc>
        <w:tc>
          <w:tcPr>
            <w:tcW w:w="1659" w:type="dxa"/>
          </w:tcPr>
          <w:p w14:paraId="3CC3C269" w14:textId="77777777" w:rsidR="007259AB" w:rsidRPr="007259AB" w:rsidRDefault="007259AB" w:rsidP="007259AB">
            <w:pPr>
              <w:jc w:val="center"/>
              <w:rPr>
                <w:rFonts w:cs="Times New Roman"/>
                <w:sz w:val="22"/>
              </w:rPr>
            </w:pPr>
            <w:r w:rsidRPr="007259AB">
              <w:rPr>
                <w:rFonts w:cs="Times New Roman"/>
                <w:sz w:val="22"/>
              </w:rPr>
              <w:t>0</w:t>
            </w:r>
          </w:p>
        </w:tc>
        <w:tc>
          <w:tcPr>
            <w:tcW w:w="1659" w:type="dxa"/>
          </w:tcPr>
          <w:p w14:paraId="3D0613E1" w14:textId="77777777" w:rsidR="007259AB" w:rsidRPr="007259AB" w:rsidRDefault="007259AB" w:rsidP="007259AB">
            <w:pPr>
              <w:jc w:val="center"/>
              <w:rPr>
                <w:rFonts w:cs="Times New Roman"/>
                <w:sz w:val="22"/>
              </w:rPr>
            </w:pPr>
            <w:r w:rsidRPr="007259AB">
              <w:rPr>
                <w:rFonts w:cs="Times New Roman"/>
                <w:sz w:val="22"/>
              </w:rPr>
              <w:t>0</w:t>
            </w:r>
          </w:p>
        </w:tc>
        <w:tc>
          <w:tcPr>
            <w:tcW w:w="1660" w:type="dxa"/>
          </w:tcPr>
          <w:p w14:paraId="2D35817F" w14:textId="77777777" w:rsidR="007259AB" w:rsidRPr="007259AB" w:rsidRDefault="007259AB" w:rsidP="007259AB">
            <w:pPr>
              <w:jc w:val="center"/>
              <w:rPr>
                <w:rFonts w:cs="Times New Roman"/>
                <w:sz w:val="22"/>
              </w:rPr>
            </w:pPr>
            <w:r w:rsidRPr="007259AB">
              <w:rPr>
                <w:rFonts w:cs="Times New Roman"/>
                <w:sz w:val="22"/>
              </w:rPr>
              <w:t>0</w:t>
            </w:r>
          </w:p>
        </w:tc>
      </w:tr>
      <w:tr w:rsidR="007259AB" w:rsidRPr="007259AB" w14:paraId="751E6F98" w14:textId="77777777" w:rsidTr="004610C9">
        <w:tc>
          <w:tcPr>
            <w:tcW w:w="1659" w:type="dxa"/>
          </w:tcPr>
          <w:p w14:paraId="6BFCB610" w14:textId="77777777" w:rsidR="007259AB" w:rsidRPr="00E633F7" w:rsidRDefault="007259AB" w:rsidP="007259AB">
            <w:pPr>
              <w:jc w:val="center"/>
              <w:rPr>
                <w:rFonts w:cs="Times New Roman"/>
                <w:b/>
                <w:sz w:val="22"/>
              </w:rPr>
            </w:pPr>
            <w:r w:rsidRPr="00E633F7">
              <w:rPr>
                <w:rFonts w:cs="Times New Roman"/>
                <w:b/>
                <w:sz w:val="22"/>
              </w:rPr>
              <w:t>116</w:t>
            </w:r>
          </w:p>
        </w:tc>
        <w:tc>
          <w:tcPr>
            <w:tcW w:w="1659" w:type="dxa"/>
          </w:tcPr>
          <w:p w14:paraId="58E17E9E" w14:textId="77777777" w:rsidR="007259AB" w:rsidRPr="00E633F7" w:rsidRDefault="007259AB" w:rsidP="007259AB">
            <w:pPr>
              <w:jc w:val="center"/>
              <w:rPr>
                <w:rFonts w:cs="Times New Roman"/>
                <w:b/>
                <w:sz w:val="22"/>
              </w:rPr>
            </w:pPr>
            <w:r w:rsidRPr="00E633F7">
              <w:rPr>
                <w:rFonts w:cs="Times New Roman"/>
                <w:b/>
                <w:sz w:val="22"/>
              </w:rPr>
              <w:t>130</w:t>
            </w:r>
          </w:p>
        </w:tc>
        <w:tc>
          <w:tcPr>
            <w:tcW w:w="1659" w:type="dxa"/>
          </w:tcPr>
          <w:p w14:paraId="5DC36883" w14:textId="77777777" w:rsidR="007259AB" w:rsidRPr="007259AB" w:rsidRDefault="007259AB" w:rsidP="007259AB">
            <w:pPr>
              <w:jc w:val="center"/>
              <w:rPr>
                <w:rFonts w:cs="Times New Roman"/>
                <w:sz w:val="22"/>
              </w:rPr>
            </w:pPr>
            <w:r w:rsidRPr="007259AB">
              <w:rPr>
                <w:rFonts w:cs="Times New Roman"/>
                <w:sz w:val="22"/>
              </w:rPr>
              <w:t>0</w:t>
            </w:r>
          </w:p>
        </w:tc>
        <w:tc>
          <w:tcPr>
            <w:tcW w:w="1659" w:type="dxa"/>
          </w:tcPr>
          <w:p w14:paraId="2C8D3FC2" w14:textId="77777777" w:rsidR="007259AB" w:rsidRPr="007259AB" w:rsidRDefault="007259AB" w:rsidP="007259AB">
            <w:pPr>
              <w:jc w:val="center"/>
              <w:rPr>
                <w:rFonts w:cs="Times New Roman"/>
                <w:sz w:val="22"/>
              </w:rPr>
            </w:pPr>
            <w:r w:rsidRPr="007259AB">
              <w:rPr>
                <w:rFonts w:cs="Times New Roman"/>
                <w:sz w:val="22"/>
              </w:rPr>
              <w:t>0</w:t>
            </w:r>
          </w:p>
        </w:tc>
        <w:tc>
          <w:tcPr>
            <w:tcW w:w="1660" w:type="dxa"/>
          </w:tcPr>
          <w:p w14:paraId="41D3CAF8" w14:textId="77777777" w:rsidR="007259AB" w:rsidRPr="007259AB" w:rsidRDefault="007259AB" w:rsidP="007259AB">
            <w:pPr>
              <w:jc w:val="center"/>
              <w:rPr>
                <w:rFonts w:cs="Times New Roman"/>
                <w:sz w:val="22"/>
              </w:rPr>
            </w:pPr>
            <w:r w:rsidRPr="007259AB">
              <w:rPr>
                <w:rFonts w:cs="Times New Roman"/>
                <w:sz w:val="22"/>
              </w:rPr>
              <w:t>0</w:t>
            </w:r>
          </w:p>
        </w:tc>
      </w:tr>
      <w:tr w:rsidR="007259AB" w:rsidRPr="007259AB" w14:paraId="43DDD7E1" w14:textId="77777777" w:rsidTr="004610C9">
        <w:tc>
          <w:tcPr>
            <w:tcW w:w="1659" w:type="dxa"/>
          </w:tcPr>
          <w:p w14:paraId="2BAC22D1" w14:textId="77777777" w:rsidR="007259AB" w:rsidRPr="00E633F7" w:rsidRDefault="007259AB" w:rsidP="007259AB">
            <w:pPr>
              <w:jc w:val="center"/>
              <w:rPr>
                <w:rFonts w:cs="Times New Roman"/>
                <w:b/>
                <w:sz w:val="22"/>
              </w:rPr>
            </w:pPr>
            <w:r w:rsidRPr="00E633F7">
              <w:rPr>
                <w:rFonts w:cs="Times New Roman"/>
                <w:b/>
                <w:sz w:val="22"/>
              </w:rPr>
              <w:t>131</w:t>
            </w:r>
          </w:p>
        </w:tc>
        <w:tc>
          <w:tcPr>
            <w:tcW w:w="1659" w:type="dxa"/>
          </w:tcPr>
          <w:p w14:paraId="05C06480" w14:textId="77777777" w:rsidR="007259AB" w:rsidRPr="00E633F7" w:rsidRDefault="007259AB" w:rsidP="007259AB">
            <w:pPr>
              <w:jc w:val="center"/>
              <w:rPr>
                <w:rFonts w:cs="Times New Roman"/>
                <w:b/>
                <w:sz w:val="22"/>
              </w:rPr>
            </w:pPr>
            <w:r w:rsidRPr="00E633F7">
              <w:rPr>
                <w:rFonts w:cs="Times New Roman"/>
                <w:b/>
                <w:sz w:val="22"/>
              </w:rPr>
              <w:t>140</w:t>
            </w:r>
          </w:p>
        </w:tc>
        <w:tc>
          <w:tcPr>
            <w:tcW w:w="1659" w:type="dxa"/>
          </w:tcPr>
          <w:p w14:paraId="40DC3B4C" w14:textId="77777777" w:rsidR="007259AB" w:rsidRPr="007259AB" w:rsidRDefault="007259AB" w:rsidP="007259AB">
            <w:pPr>
              <w:jc w:val="center"/>
              <w:rPr>
                <w:rFonts w:cs="Times New Roman"/>
                <w:sz w:val="22"/>
              </w:rPr>
            </w:pPr>
            <w:r w:rsidRPr="007259AB">
              <w:rPr>
                <w:rFonts w:cs="Times New Roman"/>
                <w:sz w:val="22"/>
              </w:rPr>
              <w:t>30</w:t>
            </w:r>
          </w:p>
        </w:tc>
        <w:tc>
          <w:tcPr>
            <w:tcW w:w="1659" w:type="dxa"/>
          </w:tcPr>
          <w:p w14:paraId="5BDBA04F" w14:textId="77777777" w:rsidR="007259AB" w:rsidRPr="007259AB" w:rsidRDefault="007259AB" w:rsidP="007259AB">
            <w:pPr>
              <w:jc w:val="center"/>
              <w:rPr>
                <w:rFonts w:cs="Times New Roman"/>
                <w:sz w:val="22"/>
              </w:rPr>
            </w:pPr>
            <w:r w:rsidRPr="007259AB">
              <w:rPr>
                <w:rFonts w:cs="Times New Roman"/>
                <w:sz w:val="22"/>
              </w:rPr>
              <w:t>15</w:t>
            </w:r>
          </w:p>
        </w:tc>
        <w:tc>
          <w:tcPr>
            <w:tcW w:w="1660" w:type="dxa"/>
          </w:tcPr>
          <w:p w14:paraId="13A1DE67" w14:textId="77777777" w:rsidR="007259AB" w:rsidRPr="007259AB" w:rsidRDefault="007259AB" w:rsidP="007259AB">
            <w:pPr>
              <w:jc w:val="center"/>
              <w:rPr>
                <w:rFonts w:cs="Times New Roman"/>
                <w:sz w:val="22"/>
              </w:rPr>
            </w:pPr>
            <w:r w:rsidRPr="007259AB">
              <w:rPr>
                <w:rFonts w:cs="Times New Roman"/>
                <w:sz w:val="22"/>
              </w:rPr>
              <w:t>13,5</w:t>
            </w:r>
          </w:p>
        </w:tc>
      </w:tr>
      <w:tr w:rsidR="007259AB" w:rsidRPr="007259AB" w14:paraId="02E4D5A7" w14:textId="77777777" w:rsidTr="004610C9">
        <w:tc>
          <w:tcPr>
            <w:tcW w:w="1659" w:type="dxa"/>
          </w:tcPr>
          <w:p w14:paraId="30AFB100" w14:textId="77777777" w:rsidR="007259AB" w:rsidRPr="00E633F7" w:rsidRDefault="007259AB" w:rsidP="007259AB">
            <w:pPr>
              <w:jc w:val="center"/>
              <w:rPr>
                <w:rFonts w:cs="Times New Roman"/>
                <w:b/>
                <w:sz w:val="22"/>
              </w:rPr>
            </w:pPr>
            <w:r w:rsidRPr="00E633F7">
              <w:rPr>
                <w:rFonts w:cs="Times New Roman"/>
                <w:b/>
                <w:sz w:val="22"/>
              </w:rPr>
              <w:t>141</w:t>
            </w:r>
          </w:p>
        </w:tc>
        <w:tc>
          <w:tcPr>
            <w:tcW w:w="1659" w:type="dxa"/>
          </w:tcPr>
          <w:p w14:paraId="5F2613CE" w14:textId="77777777" w:rsidR="007259AB" w:rsidRPr="00E633F7" w:rsidRDefault="007259AB" w:rsidP="007259AB">
            <w:pPr>
              <w:jc w:val="center"/>
              <w:rPr>
                <w:rFonts w:cs="Times New Roman"/>
                <w:b/>
                <w:sz w:val="22"/>
              </w:rPr>
            </w:pPr>
            <w:r w:rsidRPr="00E633F7">
              <w:rPr>
                <w:rFonts w:cs="Times New Roman"/>
                <w:b/>
                <w:sz w:val="22"/>
              </w:rPr>
              <w:t>150</w:t>
            </w:r>
          </w:p>
        </w:tc>
        <w:tc>
          <w:tcPr>
            <w:tcW w:w="1659" w:type="dxa"/>
          </w:tcPr>
          <w:p w14:paraId="52D2B8A0" w14:textId="77777777" w:rsidR="007259AB" w:rsidRPr="007259AB" w:rsidRDefault="007259AB" w:rsidP="007259AB">
            <w:pPr>
              <w:jc w:val="center"/>
              <w:rPr>
                <w:rFonts w:cs="Times New Roman"/>
                <w:sz w:val="22"/>
              </w:rPr>
            </w:pPr>
            <w:r w:rsidRPr="007259AB">
              <w:rPr>
                <w:rFonts w:cs="Times New Roman"/>
                <w:sz w:val="22"/>
              </w:rPr>
              <w:t>60</w:t>
            </w:r>
          </w:p>
        </w:tc>
        <w:tc>
          <w:tcPr>
            <w:tcW w:w="1659" w:type="dxa"/>
          </w:tcPr>
          <w:p w14:paraId="7901B673" w14:textId="77777777" w:rsidR="007259AB" w:rsidRPr="007259AB" w:rsidRDefault="007259AB" w:rsidP="007259AB">
            <w:pPr>
              <w:jc w:val="center"/>
              <w:rPr>
                <w:rFonts w:cs="Times New Roman"/>
                <w:sz w:val="22"/>
              </w:rPr>
            </w:pPr>
            <w:r w:rsidRPr="007259AB">
              <w:rPr>
                <w:rFonts w:cs="Times New Roman"/>
                <w:sz w:val="22"/>
              </w:rPr>
              <w:t>30</w:t>
            </w:r>
          </w:p>
        </w:tc>
        <w:tc>
          <w:tcPr>
            <w:tcW w:w="1660" w:type="dxa"/>
          </w:tcPr>
          <w:p w14:paraId="51C1624C" w14:textId="77777777" w:rsidR="007259AB" w:rsidRPr="007259AB" w:rsidRDefault="007259AB" w:rsidP="007259AB">
            <w:pPr>
              <w:jc w:val="center"/>
              <w:rPr>
                <w:rFonts w:cs="Times New Roman"/>
                <w:sz w:val="22"/>
              </w:rPr>
            </w:pPr>
            <w:r w:rsidRPr="007259AB">
              <w:rPr>
                <w:rFonts w:cs="Times New Roman"/>
                <w:sz w:val="22"/>
              </w:rPr>
              <w:t>27</w:t>
            </w:r>
          </w:p>
        </w:tc>
      </w:tr>
      <w:tr w:rsidR="007259AB" w:rsidRPr="007259AB" w14:paraId="608AAD04" w14:textId="77777777" w:rsidTr="004610C9">
        <w:tc>
          <w:tcPr>
            <w:tcW w:w="1659" w:type="dxa"/>
          </w:tcPr>
          <w:p w14:paraId="1FE52B8E" w14:textId="77777777" w:rsidR="007259AB" w:rsidRPr="00E633F7" w:rsidRDefault="007259AB" w:rsidP="007259AB">
            <w:pPr>
              <w:jc w:val="center"/>
              <w:rPr>
                <w:rFonts w:cs="Times New Roman"/>
                <w:b/>
                <w:sz w:val="22"/>
              </w:rPr>
            </w:pPr>
            <w:r w:rsidRPr="00E633F7">
              <w:rPr>
                <w:rFonts w:cs="Times New Roman"/>
                <w:b/>
                <w:sz w:val="22"/>
              </w:rPr>
              <w:t>151</w:t>
            </w:r>
          </w:p>
        </w:tc>
        <w:tc>
          <w:tcPr>
            <w:tcW w:w="1659" w:type="dxa"/>
          </w:tcPr>
          <w:p w14:paraId="35C4AFCB" w14:textId="77777777" w:rsidR="007259AB" w:rsidRPr="00E633F7" w:rsidRDefault="007259AB" w:rsidP="007259AB">
            <w:pPr>
              <w:jc w:val="center"/>
              <w:rPr>
                <w:rFonts w:cs="Times New Roman"/>
                <w:b/>
                <w:sz w:val="22"/>
              </w:rPr>
            </w:pPr>
            <w:r w:rsidRPr="00E633F7">
              <w:rPr>
                <w:rFonts w:cs="Times New Roman"/>
                <w:b/>
                <w:sz w:val="22"/>
              </w:rPr>
              <w:t>160</w:t>
            </w:r>
          </w:p>
        </w:tc>
        <w:tc>
          <w:tcPr>
            <w:tcW w:w="1659" w:type="dxa"/>
          </w:tcPr>
          <w:p w14:paraId="5598DAFB" w14:textId="77777777" w:rsidR="007259AB" w:rsidRPr="007259AB" w:rsidRDefault="007259AB" w:rsidP="007259AB">
            <w:pPr>
              <w:jc w:val="center"/>
              <w:rPr>
                <w:rFonts w:cs="Times New Roman"/>
                <w:sz w:val="22"/>
              </w:rPr>
            </w:pPr>
            <w:r w:rsidRPr="007259AB">
              <w:rPr>
                <w:rFonts w:cs="Times New Roman"/>
                <w:sz w:val="22"/>
              </w:rPr>
              <w:t>90</w:t>
            </w:r>
          </w:p>
        </w:tc>
        <w:tc>
          <w:tcPr>
            <w:tcW w:w="1659" w:type="dxa"/>
          </w:tcPr>
          <w:p w14:paraId="6415C006" w14:textId="77777777" w:rsidR="007259AB" w:rsidRPr="007259AB" w:rsidRDefault="007259AB" w:rsidP="007259AB">
            <w:pPr>
              <w:jc w:val="center"/>
              <w:rPr>
                <w:rFonts w:cs="Times New Roman"/>
                <w:sz w:val="22"/>
              </w:rPr>
            </w:pPr>
            <w:r w:rsidRPr="007259AB">
              <w:rPr>
                <w:rFonts w:cs="Times New Roman"/>
                <w:sz w:val="22"/>
              </w:rPr>
              <w:t>45</w:t>
            </w:r>
          </w:p>
        </w:tc>
        <w:tc>
          <w:tcPr>
            <w:tcW w:w="1660" w:type="dxa"/>
          </w:tcPr>
          <w:p w14:paraId="31749526" w14:textId="77777777" w:rsidR="007259AB" w:rsidRPr="007259AB" w:rsidRDefault="007259AB" w:rsidP="007259AB">
            <w:pPr>
              <w:jc w:val="center"/>
              <w:rPr>
                <w:rFonts w:cs="Times New Roman"/>
                <w:sz w:val="22"/>
              </w:rPr>
            </w:pPr>
            <w:r w:rsidRPr="007259AB">
              <w:rPr>
                <w:rFonts w:cs="Times New Roman"/>
                <w:sz w:val="22"/>
              </w:rPr>
              <w:t>40,5</w:t>
            </w:r>
          </w:p>
        </w:tc>
      </w:tr>
      <w:tr w:rsidR="007259AB" w:rsidRPr="007259AB" w14:paraId="5AC4B521" w14:textId="77777777" w:rsidTr="004610C9">
        <w:tc>
          <w:tcPr>
            <w:tcW w:w="1659" w:type="dxa"/>
          </w:tcPr>
          <w:p w14:paraId="431C66F7" w14:textId="77777777" w:rsidR="007259AB" w:rsidRPr="00E633F7" w:rsidRDefault="007259AB" w:rsidP="007259AB">
            <w:pPr>
              <w:jc w:val="center"/>
              <w:rPr>
                <w:rFonts w:cs="Times New Roman"/>
                <w:b/>
                <w:sz w:val="22"/>
              </w:rPr>
            </w:pPr>
            <w:r w:rsidRPr="00E633F7">
              <w:rPr>
                <w:rFonts w:cs="Times New Roman"/>
                <w:b/>
                <w:sz w:val="22"/>
              </w:rPr>
              <w:t>161</w:t>
            </w:r>
          </w:p>
        </w:tc>
        <w:tc>
          <w:tcPr>
            <w:tcW w:w="1659" w:type="dxa"/>
          </w:tcPr>
          <w:p w14:paraId="33A6FCE1" w14:textId="77777777" w:rsidR="007259AB" w:rsidRPr="00E633F7" w:rsidRDefault="007259AB" w:rsidP="007259AB">
            <w:pPr>
              <w:jc w:val="center"/>
              <w:rPr>
                <w:rFonts w:cs="Times New Roman"/>
                <w:b/>
                <w:sz w:val="22"/>
              </w:rPr>
            </w:pPr>
            <w:r w:rsidRPr="00E633F7">
              <w:rPr>
                <w:rFonts w:cs="Times New Roman"/>
                <w:b/>
                <w:sz w:val="22"/>
              </w:rPr>
              <w:t>170</w:t>
            </w:r>
          </w:p>
        </w:tc>
        <w:tc>
          <w:tcPr>
            <w:tcW w:w="1659" w:type="dxa"/>
          </w:tcPr>
          <w:p w14:paraId="284013D7" w14:textId="77777777" w:rsidR="007259AB" w:rsidRPr="007259AB" w:rsidRDefault="007259AB" w:rsidP="007259AB">
            <w:pPr>
              <w:jc w:val="center"/>
              <w:rPr>
                <w:rFonts w:cs="Times New Roman"/>
                <w:sz w:val="22"/>
              </w:rPr>
            </w:pPr>
            <w:r w:rsidRPr="007259AB">
              <w:rPr>
                <w:rFonts w:cs="Times New Roman"/>
                <w:sz w:val="22"/>
              </w:rPr>
              <w:t>120</w:t>
            </w:r>
          </w:p>
        </w:tc>
        <w:tc>
          <w:tcPr>
            <w:tcW w:w="1659" w:type="dxa"/>
          </w:tcPr>
          <w:p w14:paraId="3D45D940" w14:textId="77777777" w:rsidR="007259AB" w:rsidRPr="007259AB" w:rsidRDefault="007259AB" w:rsidP="007259AB">
            <w:pPr>
              <w:jc w:val="center"/>
              <w:rPr>
                <w:rFonts w:cs="Times New Roman"/>
                <w:sz w:val="22"/>
              </w:rPr>
            </w:pPr>
            <w:r w:rsidRPr="007259AB">
              <w:rPr>
                <w:rFonts w:cs="Times New Roman"/>
                <w:sz w:val="22"/>
              </w:rPr>
              <w:t>60</w:t>
            </w:r>
          </w:p>
        </w:tc>
        <w:tc>
          <w:tcPr>
            <w:tcW w:w="1660" w:type="dxa"/>
          </w:tcPr>
          <w:p w14:paraId="3BAC444B" w14:textId="77777777" w:rsidR="007259AB" w:rsidRPr="007259AB" w:rsidRDefault="007259AB" w:rsidP="007259AB">
            <w:pPr>
              <w:jc w:val="center"/>
              <w:rPr>
                <w:rFonts w:cs="Times New Roman"/>
                <w:sz w:val="22"/>
              </w:rPr>
            </w:pPr>
            <w:r w:rsidRPr="007259AB">
              <w:rPr>
                <w:rFonts w:cs="Times New Roman"/>
                <w:sz w:val="22"/>
              </w:rPr>
              <w:t>54</w:t>
            </w:r>
          </w:p>
        </w:tc>
      </w:tr>
      <w:tr w:rsidR="007259AB" w:rsidRPr="007259AB" w14:paraId="19C08FE2" w14:textId="77777777" w:rsidTr="004610C9">
        <w:tc>
          <w:tcPr>
            <w:tcW w:w="1659" w:type="dxa"/>
          </w:tcPr>
          <w:p w14:paraId="4765A28E" w14:textId="77777777" w:rsidR="007259AB" w:rsidRPr="00E633F7" w:rsidRDefault="007259AB" w:rsidP="007259AB">
            <w:pPr>
              <w:jc w:val="center"/>
              <w:rPr>
                <w:rFonts w:cs="Times New Roman"/>
                <w:b/>
                <w:sz w:val="22"/>
              </w:rPr>
            </w:pPr>
            <w:r w:rsidRPr="00E633F7">
              <w:rPr>
                <w:rFonts w:cs="Times New Roman"/>
                <w:b/>
                <w:sz w:val="22"/>
              </w:rPr>
              <w:t>171</w:t>
            </w:r>
          </w:p>
        </w:tc>
        <w:tc>
          <w:tcPr>
            <w:tcW w:w="1659" w:type="dxa"/>
          </w:tcPr>
          <w:p w14:paraId="211A0D2F" w14:textId="77777777" w:rsidR="007259AB" w:rsidRPr="00E633F7" w:rsidRDefault="007259AB" w:rsidP="007259AB">
            <w:pPr>
              <w:jc w:val="center"/>
              <w:rPr>
                <w:rFonts w:cs="Times New Roman"/>
                <w:b/>
                <w:sz w:val="22"/>
              </w:rPr>
            </w:pPr>
            <w:r w:rsidRPr="00E633F7">
              <w:rPr>
                <w:rFonts w:cs="Times New Roman"/>
                <w:b/>
                <w:sz w:val="22"/>
              </w:rPr>
              <w:t>180</w:t>
            </w:r>
          </w:p>
        </w:tc>
        <w:tc>
          <w:tcPr>
            <w:tcW w:w="1659" w:type="dxa"/>
          </w:tcPr>
          <w:p w14:paraId="7F78979E" w14:textId="77777777" w:rsidR="007259AB" w:rsidRPr="007259AB" w:rsidRDefault="007259AB" w:rsidP="007259AB">
            <w:pPr>
              <w:jc w:val="center"/>
              <w:rPr>
                <w:rFonts w:cs="Times New Roman"/>
                <w:sz w:val="22"/>
              </w:rPr>
            </w:pPr>
            <w:r w:rsidRPr="007259AB">
              <w:rPr>
                <w:rFonts w:cs="Times New Roman"/>
                <w:sz w:val="22"/>
              </w:rPr>
              <w:t>150</w:t>
            </w:r>
          </w:p>
        </w:tc>
        <w:tc>
          <w:tcPr>
            <w:tcW w:w="1659" w:type="dxa"/>
          </w:tcPr>
          <w:p w14:paraId="505D768B" w14:textId="77777777" w:rsidR="007259AB" w:rsidRPr="007259AB" w:rsidRDefault="007259AB" w:rsidP="007259AB">
            <w:pPr>
              <w:jc w:val="center"/>
              <w:rPr>
                <w:rFonts w:cs="Times New Roman"/>
                <w:sz w:val="22"/>
              </w:rPr>
            </w:pPr>
            <w:r w:rsidRPr="007259AB">
              <w:rPr>
                <w:rFonts w:cs="Times New Roman"/>
                <w:sz w:val="22"/>
              </w:rPr>
              <w:t>75</w:t>
            </w:r>
          </w:p>
        </w:tc>
        <w:tc>
          <w:tcPr>
            <w:tcW w:w="1660" w:type="dxa"/>
          </w:tcPr>
          <w:p w14:paraId="2C998CF0" w14:textId="77777777" w:rsidR="007259AB" w:rsidRPr="007259AB" w:rsidRDefault="007259AB" w:rsidP="007259AB">
            <w:pPr>
              <w:jc w:val="center"/>
              <w:rPr>
                <w:rFonts w:cs="Times New Roman"/>
                <w:sz w:val="22"/>
              </w:rPr>
            </w:pPr>
            <w:r w:rsidRPr="007259AB">
              <w:rPr>
                <w:rFonts w:cs="Times New Roman"/>
                <w:sz w:val="22"/>
              </w:rPr>
              <w:t>67,5</w:t>
            </w:r>
          </w:p>
        </w:tc>
      </w:tr>
      <w:tr w:rsidR="007259AB" w:rsidRPr="007259AB" w14:paraId="1C9B0BBD" w14:textId="77777777" w:rsidTr="004610C9">
        <w:tc>
          <w:tcPr>
            <w:tcW w:w="1659" w:type="dxa"/>
          </w:tcPr>
          <w:p w14:paraId="0B5C8987" w14:textId="77777777" w:rsidR="007259AB" w:rsidRPr="00E633F7" w:rsidRDefault="007259AB" w:rsidP="007259AB">
            <w:pPr>
              <w:jc w:val="center"/>
              <w:rPr>
                <w:rFonts w:cs="Times New Roman"/>
                <w:b/>
                <w:sz w:val="22"/>
              </w:rPr>
            </w:pPr>
            <w:r w:rsidRPr="00E633F7">
              <w:rPr>
                <w:rFonts w:cs="Times New Roman"/>
                <w:b/>
                <w:sz w:val="22"/>
              </w:rPr>
              <w:t>181</w:t>
            </w:r>
          </w:p>
        </w:tc>
        <w:tc>
          <w:tcPr>
            <w:tcW w:w="1659" w:type="dxa"/>
          </w:tcPr>
          <w:p w14:paraId="7814AAE6" w14:textId="77777777" w:rsidR="007259AB" w:rsidRPr="00E633F7" w:rsidRDefault="007259AB" w:rsidP="007259AB">
            <w:pPr>
              <w:jc w:val="center"/>
              <w:rPr>
                <w:rFonts w:cs="Times New Roman"/>
                <w:b/>
                <w:sz w:val="22"/>
              </w:rPr>
            </w:pPr>
            <w:r w:rsidRPr="00E633F7">
              <w:rPr>
                <w:rFonts w:cs="Times New Roman"/>
                <w:b/>
                <w:sz w:val="22"/>
              </w:rPr>
              <w:t>190</w:t>
            </w:r>
          </w:p>
        </w:tc>
        <w:tc>
          <w:tcPr>
            <w:tcW w:w="1659" w:type="dxa"/>
          </w:tcPr>
          <w:p w14:paraId="4BED35DC" w14:textId="77777777" w:rsidR="007259AB" w:rsidRPr="007259AB" w:rsidRDefault="007259AB" w:rsidP="007259AB">
            <w:pPr>
              <w:jc w:val="center"/>
              <w:rPr>
                <w:rFonts w:cs="Times New Roman"/>
                <w:sz w:val="22"/>
              </w:rPr>
            </w:pPr>
            <w:r w:rsidRPr="007259AB">
              <w:rPr>
                <w:rFonts w:cs="Times New Roman"/>
                <w:sz w:val="22"/>
              </w:rPr>
              <w:t>180</w:t>
            </w:r>
          </w:p>
        </w:tc>
        <w:tc>
          <w:tcPr>
            <w:tcW w:w="1659" w:type="dxa"/>
          </w:tcPr>
          <w:p w14:paraId="66381FF2" w14:textId="77777777" w:rsidR="007259AB" w:rsidRPr="007259AB" w:rsidRDefault="007259AB" w:rsidP="007259AB">
            <w:pPr>
              <w:jc w:val="center"/>
              <w:rPr>
                <w:rFonts w:cs="Times New Roman"/>
                <w:sz w:val="22"/>
              </w:rPr>
            </w:pPr>
            <w:r w:rsidRPr="007259AB">
              <w:rPr>
                <w:rFonts w:cs="Times New Roman"/>
                <w:sz w:val="22"/>
              </w:rPr>
              <w:t>90</w:t>
            </w:r>
          </w:p>
        </w:tc>
        <w:tc>
          <w:tcPr>
            <w:tcW w:w="1660" w:type="dxa"/>
          </w:tcPr>
          <w:p w14:paraId="122E7DC1" w14:textId="77777777" w:rsidR="007259AB" w:rsidRPr="007259AB" w:rsidRDefault="007259AB" w:rsidP="007259AB">
            <w:pPr>
              <w:jc w:val="center"/>
              <w:rPr>
                <w:rFonts w:cs="Times New Roman"/>
                <w:sz w:val="22"/>
              </w:rPr>
            </w:pPr>
            <w:r w:rsidRPr="007259AB">
              <w:rPr>
                <w:rFonts w:cs="Times New Roman"/>
                <w:sz w:val="22"/>
              </w:rPr>
              <w:t>81</w:t>
            </w:r>
          </w:p>
        </w:tc>
      </w:tr>
      <w:tr w:rsidR="007259AB" w:rsidRPr="007259AB" w14:paraId="283D11FD" w14:textId="77777777" w:rsidTr="004610C9">
        <w:tc>
          <w:tcPr>
            <w:tcW w:w="1659" w:type="dxa"/>
          </w:tcPr>
          <w:p w14:paraId="031E151A" w14:textId="77777777" w:rsidR="007259AB" w:rsidRPr="00E633F7" w:rsidRDefault="007259AB" w:rsidP="007259AB">
            <w:pPr>
              <w:jc w:val="center"/>
              <w:rPr>
                <w:rFonts w:cs="Times New Roman"/>
                <w:b/>
                <w:sz w:val="22"/>
              </w:rPr>
            </w:pPr>
            <w:r w:rsidRPr="00E633F7">
              <w:rPr>
                <w:rFonts w:cs="Times New Roman"/>
                <w:b/>
                <w:sz w:val="22"/>
              </w:rPr>
              <w:t>191</w:t>
            </w:r>
          </w:p>
        </w:tc>
        <w:tc>
          <w:tcPr>
            <w:tcW w:w="1659" w:type="dxa"/>
          </w:tcPr>
          <w:p w14:paraId="341C25D7" w14:textId="77777777" w:rsidR="007259AB" w:rsidRPr="00E633F7" w:rsidRDefault="007259AB" w:rsidP="007259AB">
            <w:pPr>
              <w:jc w:val="center"/>
              <w:rPr>
                <w:rFonts w:cs="Times New Roman"/>
                <w:b/>
                <w:sz w:val="22"/>
              </w:rPr>
            </w:pPr>
            <w:r w:rsidRPr="00E633F7">
              <w:rPr>
                <w:rFonts w:cs="Times New Roman"/>
                <w:b/>
                <w:sz w:val="22"/>
              </w:rPr>
              <w:t>200</w:t>
            </w:r>
          </w:p>
        </w:tc>
        <w:tc>
          <w:tcPr>
            <w:tcW w:w="1659" w:type="dxa"/>
          </w:tcPr>
          <w:p w14:paraId="36E48712" w14:textId="77777777" w:rsidR="007259AB" w:rsidRPr="007259AB" w:rsidRDefault="007259AB" w:rsidP="007259AB">
            <w:pPr>
              <w:jc w:val="center"/>
              <w:rPr>
                <w:rFonts w:cs="Times New Roman"/>
                <w:sz w:val="22"/>
              </w:rPr>
            </w:pPr>
            <w:r w:rsidRPr="007259AB">
              <w:rPr>
                <w:rFonts w:cs="Times New Roman"/>
                <w:sz w:val="22"/>
              </w:rPr>
              <w:t>210</w:t>
            </w:r>
          </w:p>
        </w:tc>
        <w:tc>
          <w:tcPr>
            <w:tcW w:w="1659" w:type="dxa"/>
          </w:tcPr>
          <w:p w14:paraId="781E7F79" w14:textId="77777777" w:rsidR="007259AB" w:rsidRPr="007259AB" w:rsidRDefault="007259AB" w:rsidP="007259AB">
            <w:pPr>
              <w:jc w:val="center"/>
              <w:rPr>
                <w:rFonts w:cs="Times New Roman"/>
                <w:sz w:val="22"/>
              </w:rPr>
            </w:pPr>
            <w:r w:rsidRPr="007259AB">
              <w:rPr>
                <w:rFonts w:cs="Times New Roman"/>
                <w:sz w:val="22"/>
              </w:rPr>
              <w:t>105</w:t>
            </w:r>
          </w:p>
        </w:tc>
        <w:tc>
          <w:tcPr>
            <w:tcW w:w="1660" w:type="dxa"/>
          </w:tcPr>
          <w:p w14:paraId="450D3F2A" w14:textId="77777777" w:rsidR="007259AB" w:rsidRPr="007259AB" w:rsidRDefault="007259AB" w:rsidP="007259AB">
            <w:pPr>
              <w:jc w:val="center"/>
              <w:rPr>
                <w:rFonts w:cs="Times New Roman"/>
                <w:sz w:val="22"/>
              </w:rPr>
            </w:pPr>
            <w:r w:rsidRPr="007259AB">
              <w:rPr>
                <w:rFonts w:cs="Times New Roman"/>
                <w:sz w:val="22"/>
              </w:rPr>
              <w:t>94,5</w:t>
            </w:r>
          </w:p>
        </w:tc>
      </w:tr>
      <w:tr w:rsidR="007259AB" w:rsidRPr="007259AB" w14:paraId="480D3713" w14:textId="77777777" w:rsidTr="007259AB">
        <w:trPr>
          <w:trHeight w:val="66"/>
        </w:trPr>
        <w:tc>
          <w:tcPr>
            <w:tcW w:w="1659" w:type="dxa"/>
          </w:tcPr>
          <w:p w14:paraId="49E7E7AF" w14:textId="77777777" w:rsidR="007259AB" w:rsidRPr="00E633F7" w:rsidRDefault="007259AB" w:rsidP="007259AB">
            <w:pPr>
              <w:jc w:val="center"/>
              <w:rPr>
                <w:rFonts w:cs="Times New Roman"/>
                <w:b/>
                <w:sz w:val="22"/>
              </w:rPr>
            </w:pPr>
            <w:r w:rsidRPr="00E633F7">
              <w:rPr>
                <w:rFonts w:cs="Times New Roman"/>
                <w:b/>
                <w:sz w:val="22"/>
              </w:rPr>
              <w:t>201</w:t>
            </w:r>
          </w:p>
        </w:tc>
        <w:tc>
          <w:tcPr>
            <w:tcW w:w="1659" w:type="dxa"/>
          </w:tcPr>
          <w:p w14:paraId="60AFF712" w14:textId="77777777" w:rsidR="007259AB" w:rsidRPr="00E633F7" w:rsidRDefault="007259AB" w:rsidP="007259AB">
            <w:pPr>
              <w:jc w:val="center"/>
              <w:rPr>
                <w:rFonts w:cs="Times New Roman"/>
                <w:b/>
                <w:sz w:val="22"/>
              </w:rPr>
            </w:pPr>
            <w:r w:rsidRPr="00E633F7">
              <w:rPr>
                <w:rFonts w:cs="Times New Roman"/>
                <w:b/>
                <w:sz w:val="22"/>
              </w:rPr>
              <w:t>210</w:t>
            </w:r>
          </w:p>
        </w:tc>
        <w:tc>
          <w:tcPr>
            <w:tcW w:w="1659" w:type="dxa"/>
          </w:tcPr>
          <w:p w14:paraId="59A646DA" w14:textId="77777777" w:rsidR="007259AB" w:rsidRPr="007259AB" w:rsidRDefault="007259AB" w:rsidP="007259AB">
            <w:pPr>
              <w:jc w:val="center"/>
              <w:rPr>
                <w:rFonts w:cs="Times New Roman"/>
                <w:sz w:val="22"/>
              </w:rPr>
            </w:pPr>
            <w:r w:rsidRPr="007259AB">
              <w:rPr>
                <w:rFonts w:cs="Times New Roman"/>
                <w:sz w:val="22"/>
              </w:rPr>
              <w:t>240</w:t>
            </w:r>
          </w:p>
        </w:tc>
        <w:tc>
          <w:tcPr>
            <w:tcW w:w="1659" w:type="dxa"/>
          </w:tcPr>
          <w:p w14:paraId="5AF906D0" w14:textId="77777777" w:rsidR="007259AB" w:rsidRPr="007259AB" w:rsidRDefault="007259AB" w:rsidP="007259AB">
            <w:pPr>
              <w:jc w:val="center"/>
              <w:rPr>
                <w:rFonts w:cs="Times New Roman"/>
                <w:sz w:val="22"/>
              </w:rPr>
            </w:pPr>
            <w:r w:rsidRPr="007259AB">
              <w:rPr>
                <w:rFonts w:cs="Times New Roman"/>
                <w:sz w:val="22"/>
              </w:rPr>
              <w:t>120</w:t>
            </w:r>
          </w:p>
        </w:tc>
        <w:tc>
          <w:tcPr>
            <w:tcW w:w="1660" w:type="dxa"/>
          </w:tcPr>
          <w:p w14:paraId="1E874FCD" w14:textId="77777777" w:rsidR="007259AB" w:rsidRPr="007259AB" w:rsidRDefault="007259AB" w:rsidP="007259AB">
            <w:pPr>
              <w:jc w:val="center"/>
              <w:rPr>
                <w:rFonts w:cs="Times New Roman"/>
                <w:sz w:val="22"/>
              </w:rPr>
            </w:pPr>
            <w:r w:rsidRPr="007259AB">
              <w:rPr>
                <w:rFonts w:cs="Times New Roman"/>
                <w:sz w:val="22"/>
              </w:rPr>
              <w:t>108</w:t>
            </w:r>
          </w:p>
        </w:tc>
      </w:tr>
      <w:tr w:rsidR="007259AB" w:rsidRPr="007259AB" w14:paraId="66992FB6" w14:textId="77777777" w:rsidTr="004610C9">
        <w:tc>
          <w:tcPr>
            <w:tcW w:w="1659" w:type="dxa"/>
          </w:tcPr>
          <w:p w14:paraId="3E06B84F" w14:textId="77777777" w:rsidR="007259AB" w:rsidRPr="00E633F7" w:rsidRDefault="007259AB" w:rsidP="007259AB">
            <w:pPr>
              <w:jc w:val="center"/>
              <w:rPr>
                <w:rFonts w:cs="Times New Roman"/>
                <w:b/>
                <w:sz w:val="22"/>
              </w:rPr>
            </w:pPr>
            <w:r w:rsidRPr="00E633F7">
              <w:rPr>
                <w:rFonts w:cs="Times New Roman"/>
                <w:b/>
                <w:sz w:val="22"/>
              </w:rPr>
              <w:t>211</w:t>
            </w:r>
          </w:p>
        </w:tc>
        <w:tc>
          <w:tcPr>
            <w:tcW w:w="1659" w:type="dxa"/>
          </w:tcPr>
          <w:p w14:paraId="22D97176" w14:textId="77777777" w:rsidR="007259AB" w:rsidRPr="00E633F7" w:rsidRDefault="007259AB" w:rsidP="007259AB">
            <w:pPr>
              <w:jc w:val="center"/>
              <w:rPr>
                <w:rFonts w:cs="Times New Roman"/>
                <w:b/>
                <w:sz w:val="22"/>
              </w:rPr>
            </w:pPr>
            <w:r w:rsidRPr="00E633F7">
              <w:rPr>
                <w:rFonts w:cs="Times New Roman"/>
                <w:b/>
                <w:sz w:val="22"/>
              </w:rPr>
              <w:t>220</w:t>
            </w:r>
          </w:p>
        </w:tc>
        <w:tc>
          <w:tcPr>
            <w:tcW w:w="1659" w:type="dxa"/>
          </w:tcPr>
          <w:p w14:paraId="0AE28FA4" w14:textId="77777777" w:rsidR="007259AB" w:rsidRPr="007259AB" w:rsidRDefault="007259AB" w:rsidP="007259AB">
            <w:pPr>
              <w:jc w:val="center"/>
              <w:rPr>
                <w:rFonts w:cs="Times New Roman"/>
                <w:sz w:val="22"/>
              </w:rPr>
            </w:pPr>
            <w:r w:rsidRPr="007259AB">
              <w:rPr>
                <w:rFonts w:cs="Times New Roman"/>
                <w:sz w:val="22"/>
              </w:rPr>
              <w:t>270</w:t>
            </w:r>
          </w:p>
        </w:tc>
        <w:tc>
          <w:tcPr>
            <w:tcW w:w="1659" w:type="dxa"/>
          </w:tcPr>
          <w:p w14:paraId="30AD3CE7" w14:textId="77777777" w:rsidR="007259AB" w:rsidRPr="007259AB" w:rsidRDefault="007259AB" w:rsidP="007259AB">
            <w:pPr>
              <w:jc w:val="center"/>
              <w:rPr>
                <w:rFonts w:cs="Times New Roman"/>
                <w:sz w:val="22"/>
              </w:rPr>
            </w:pPr>
            <w:r w:rsidRPr="007259AB">
              <w:rPr>
                <w:rFonts w:cs="Times New Roman"/>
                <w:sz w:val="22"/>
              </w:rPr>
              <w:t>135</w:t>
            </w:r>
          </w:p>
        </w:tc>
        <w:tc>
          <w:tcPr>
            <w:tcW w:w="1660" w:type="dxa"/>
          </w:tcPr>
          <w:p w14:paraId="010637D9" w14:textId="77777777" w:rsidR="007259AB" w:rsidRPr="007259AB" w:rsidRDefault="007259AB" w:rsidP="007259AB">
            <w:pPr>
              <w:jc w:val="center"/>
              <w:rPr>
                <w:rFonts w:cs="Times New Roman"/>
                <w:sz w:val="22"/>
              </w:rPr>
            </w:pPr>
            <w:r w:rsidRPr="007259AB">
              <w:rPr>
                <w:rFonts w:cs="Times New Roman"/>
                <w:sz w:val="22"/>
              </w:rPr>
              <w:t>121,5</w:t>
            </w:r>
          </w:p>
        </w:tc>
      </w:tr>
      <w:tr w:rsidR="007259AB" w:rsidRPr="007259AB" w14:paraId="28C0EB01" w14:textId="77777777" w:rsidTr="004610C9">
        <w:tc>
          <w:tcPr>
            <w:tcW w:w="1659" w:type="dxa"/>
          </w:tcPr>
          <w:p w14:paraId="1DC83595" w14:textId="77777777" w:rsidR="007259AB" w:rsidRPr="00E633F7" w:rsidRDefault="007259AB" w:rsidP="007259AB">
            <w:pPr>
              <w:jc w:val="center"/>
              <w:rPr>
                <w:rFonts w:cs="Times New Roman"/>
                <w:b/>
                <w:sz w:val="22"/>
              </w:rPr>
            </w:pPr>
            <w:r w:rsidRPr="00E633F7">
              <w:rPr>
                <w:rFonts w:cs="Times New Roman"/>
                <w:b/>
                <w:sz w:val="22"/>
              </w:rPr>
              <w:t>221</w:t>
            </w:r>
          </w:p>
        </w:tc>
        <w:tc>
          <w:tcPr>
            <w:tcW w:w="1659" w:type="dxa"/>
          </w:tcPr>
          <w:p w14:paraId="24BC599E" w14:textId="77777777" w:rsidR="007259AB" w:rsidRPr="00E633F7" w:rsidRDefault="007259AB" w:rsidP="007259AB">
            <w:pPr>
              <w:jc w:val="center"/>
              <w:rPr>
                <w:rFonts w:cs="Times New Roman"/>
                <w:b/>
                <w:sz w:val="22"/>
              </w:rPr>
            </w:pPr>
            <w:r w:rsidRPr="00E633F7">
              <w:rPr>
                <w:rFonts w:cs="Times New Roman"/>
                <w:b/>
                <w:sz w:val="22"/>
              </w:rPr>
              <w:t>230</w:t>
            </w:r>
          </w:p>
        </w:tc>
        <w:tc>
          <w:tcPr>
            <w:tcW w:w="1659" w:type="dxa"/>
          </w:tcPr>
          <w:p w14:paraId="68C6B69F" w14:textId="77777777" w:rsidR="007259AB" w:rsidRPr="007259AB" w:rsidRDefault="007259AB" w:rsidP="007259AB">
            <w:pPr>
              <w:jc w:val="center"/>
              <w:rPr>
                <w:rFonts w:cs="Times New Roman"/>
                <w:sz w:val="22"/>
              </w:rPr>
            </w:pPr>
            <w:r w:rsidRPr="007259AB">
              <w:rPr>
                <w:rFonts w:cs="Times New Roman"/>
                <w:sz w:val="22"/>
              </w:rPr>
              <w:t>300</w:t>
            </w:r>
          </w:p>
        </w:tc>
        <w:tc>
          <w:tcPr>
            <w:tcW w:w="1659" w:type="dxa"/>
          </w:tcPr>
          <w:p w14:paraId="2A58E2C1" w14:textId="77777777" w:rsidR="007259AB" w:rsidRPr="007259AB" w:rsidRDefault="007259AB" w:rsidP="007259AB">
            <w:pPr>
              <w:jc w:val="center"/>
              <w:rPr>
                <w:rFonts w:cs="Times New Roman"/>
                <w:sz w:val="22"/>
              </w:rPr>
            </w:pPr>
            <w:r w:rsidRPr="007259AB">
              <w:rPr>
                <w:rFonts w:cs="Times New Roman"/>
                <w:sz w:val="22"/>
              </w:rPr>
              <w:t>150</w:t>
            </w:r>
          </w:p>
        </w:tc>
        <w:tc>
          <w:tcPr>
            <w:tcW w:w="1660" w:type="dxa"/>
          </w:tcPr>
          <w:p w14:paraId="2EFFDCA8" w14:textId="77777777" w:rsidR="007259AB" w:rsidRPr="007259AB" w:rsidRDefault="007259AB" w:rsidP="007259AB">
            <w:pPr>
              <w:jc w:val="center"/>
              <w:rPr>
                <w:rFonts w:cs="Times New Roman"/>
                <w:sz w:val="22"/>
              </w:rPr>
            </w:pPr>
            <w:r w:rsidRPr="007259AB">
              <w:rPr>
                <w:rFonts w:cs="Times New Roman"/>
                <w:sz w:val="22"/>
              </w:rPr>
              <w:t>135</w:t>
            </w:r>
          </w:p>
        </w:tc>
      </w:tr>
      <w:tr w:rsidR="007259AB" w:rsidRPr="007259AB" w14:paraId="52581FCE" w14:textId="77777777" w:rsidTr="004610C9">
        <w:tc>
          <w:tcPr>
            <w:tcW w:w="1659" w:type="dxa"/>
          </w:tcPr>
          <w:p w14:paraId="0C045444" w14:textId="77777777" w:rsidR="007259AB" w:rsidRPr="00E633F7" w:rsidRDefault="007259AB" w:rsidP="007259AB">
            <w:pPr>
              <w:jc w:val="center"/>
              <w:rPr>
                <w:rFonts w:cs="Times New Roman"/>
                <w:b/>
                <w:sz w:val="22"/>
              </w:rPr>
            </w:pPr>
            <w:r w:rsidRPr="00E633F7">
              <w:rPr>
                <w:rFonts w:cs="Times New Roman"/>
                <w:b/>
                <w:sz w:val="22"/>
              </w:rPr>
              <w:t>231</w:t>
            </w:r>
          </w:p>
        </w:tc>
        <w:tc>
          <w:tcPr>
            <w:tcW w:w="1659" w:type="dxa"/>
          </w:tcPr>
          <w:p w14:paraId="1D217272" w14:textId="77777777" w:rsidR="007259AB" w:rsidRPr="00E633F7" w:rsidRDefault="007259AB" w:rsidP="007259AB">
            <w:pPr>
              <w:jc w:val="center"/>
              <w:rPr>
                <w:rFonts w:cs="Times New Roman"/>
                <w:b/>
                <w:sz w:val="22"/>
              </w:rPr>
            </w:pPr>
            <w:r w:rsidRPr="00E633F7">
              <w:rPr>
                <w:rFonts w:cs="Times New Roman"/>
                <w:b/>
                <w:sz w:val="22"/>
              </w:rPr>
              <w:t>240</w:t>
            </w:r>
          </w:p>
        </w:tc>
        <w:tc>
          <w:tcPr>
            <w:tcW w:w="1659" w:type="dxa"/>
          </w:tcPr>
          <w:p w14:paraId="27304CAB" w14:textId="77777777" w:rsidR="007259AB" w:rsidRPr="007259AB" w:rsidRDefault="007259AB" w:rsidP="007259AB">
            <w:pPr>
              <w:jc w:val="center"/>
              <w:rPr>
                <w:rFonts w:cs="Times New Roman"/>
                <w:sz w:val="22"/>
              </w:rPr>
            </w:pPr>
            <w:r w:rsidRPr="007259AB">
              <w:rPr>
                <w:rFonts w:cs="Times New Roman"/>
                <w:sz w:val="22"/>
              </w:rPr>
              <w:t>330</w:t>
            </w:r>
          </w:p>
        </w:tc>
        <w:tc>
          <w:tcPr>
            <w:tcW w:w="1659" w:type="dxa"/>
          </w:tcPr>
          <w:p w14:paraId="02F9FA04" w14:textId="77777777" w:rsidR="007259AB" w:rsidRPr="007259AB" w:rsidRDefault="007259AB" w:rsidP="007259AB">
            <w:pPr>
              <w:jc w:val="center"/>
              <w:rPr>
                <w:rFonts w:cs="Times New Roman"/>
                <w:sz w:val="22"/>
              </w:rPr>
            </w:pPr>
            <w:r w:rsidRPr="007259AB">
              <w:rPr>
                <w:rFonts w:cs="Times New Roman"/>
                <w:sz w:val="22"/>
              </w:rPr>
              <w:t>165</w:t>
            </w:r>
          </w:p>
        </w:tc>
        <w:tc>
          <w:tcPr>
            <w:tcW w:w="1660" w:type="dxa"/>
          </w:tcPr>
          <w:p w14:paraId="4AF92047" w14:textId="77777777" w:rsidR="007259AB" w:rsidRPr="007259AB" w:rsidRDefault="007259AB" w:rsidP="007259AB">
            <w:pPr>
              <w:jc w:val="center"/>
              <w:rPr>
                <w:rFonts w:cs="Times New Roman"/>
                <w:sz w:val="22"/>
              </w:rPr>
            </w:pPr>
            <w:r w:rsidRPr="007259AB">
              <w:rPr>
                <w:rFonts w:cs="Times New Roman"/>
                <w:sz w:val="22"/>
              </w:rPr>
              <w:t>148,5</w:t>
            </w:r>
          </w:p>
        </w:tc>
      </w:tr>
      <w:tr w:rsidR="007259AB" w:rsidRPr="007259AB" w14:paraId="0FAA6DB2" w14:textId="77777777" w:rsidTr="004610C9">
        <w:tc>
          <w:tcPr>
            <w:tcW w:w="1659" w:type="dxa"/>
          </w:tcPr>
          <w:p w14:paraId="19C914C7" w14:textId="77777777" w:rsidR="007259AB" w:rsidRPr="00E633F7" w:rsidRDefault="007259AB" w:rsidP="007259AB">
            <w:pPr>
              <w:jc w:val="center"/>
              <w:rPr>
                <w:rFonts w:cs="Times New Roman"/>
                <w:b/>
                <w:sz w:val="22"/>
              </w:rPr>
            </w:pPr>
            <w:r w:rsidRPr="00E633F7">
              <w:rPr>
                <w:rFonts w:cs="Times New Roman"/>
                <w:b/>
                <w:sz w:val="22"/>
              </w:rPr>
              <w:t>241</w:t>
            </w:r>
          </w:p>
        </w:tc>
        <w:tc>
          <w:tcPr>
            <w:tcW w:w="1659" w:type="dxa"/>
          </w:tcPr>
          <w:p w14:paraId="522EE232" w14:textId="77777777" w:rsidR="007259AB" w:rsidRPr="00E633F7" w:rsidRDefault="007259AB" w:rsidP="007259AB">
            <w:pPr>
              <w:jc w:val="center"/>
              <w:rPr>
                <w:rFonts w:cs="Times New Roman"/>
                <w:b/>
                <w:sz w:val="22"/>
              </w:rPr>
            </w:pPr>
            <w:r w:rsidRPr="00E633F7">
              <w:rPr>
                <w:rFonts w:cs="Times New Roman"/>
                <w:b/>
                <w:sz w:val="22"/>
              </w:rPr>
              <w:t>250</w:t>
            </w:r>
          </w:p>
        </w:tc>
        <w:tc>
          <w:tcPr>
            <w:tcW w:w="1659" w:type="dxa"/>
          </w:tcPr>
          <w:p w14:paraId="6BA87213" w14:textId="77777777" w:rsidR="007259AB" w:rsidRPr="007259AB" w:rsidRDefault="007259AB" w:rsidP="007259AB">
            <w:pPr>
              <w:jc w:val="center"/>
              <w:rPr>
                <w:rFonts w:cs="Times New Roman"/>
                <w:sz w:val="22"/>
              </w:rPr>
            </w:pPr>
            <w:r w:rsidRPr="007259AB">
              <w:rPr>
                <w:rFonts w:cs="Times New Roman"/>
                <w:sz w:val="22"/>
              </w:rPr>
              <w:t>360</w:t>
            </w:r>
          </w:p>
        </w:tc>
        <w:tc>
          <w:tcPr>
            <w:tcW w:w="1659" w:type="dxa"/>
          </w:tcPr>
          <w:p w14:paraId="382D41E8" w14:textId="77777777" w:rsidR="007259AB" w:rsidRPr="007259AB" w:rsidRDefault="007259AB" w:rsidP="007259AB">
            <w:pPr>
              <w:jc w:val="center"/>
              <w:rPr>
                <w:rFonts w:cs="Times New Roman"/>
                <w:sz w:val="22"/>
              </w:rPr>
            </w:pPr>
            <w:r w:rsidRPr="007259AB">
              <w:rPr>
                <w:rFonts w:cs="Times New Roman"/>
                <w:sz w:val="22"/>
              </w:rPr>
              <w:t>180</w:t>
            </w:r>
          </w:p>
        </w:tc>
        <w:tc>
          <w:tcPr>
            <w:tcW w:w="1660" w:type="dxa"/>
          </w:tcPr>
          <w:p w14:paraId="3B4636A0" w14:textId="77777777" w:rsidR="007259AB" w:rsidRPr="007259AB" w:rsidRDefault="007259AB" w:rsidP="007259AB">
            <w:pPr>
              <w:jc w:val="center"/>
              <w:rPr>
                <w:rFonts w:cs="Times New Roman"/>
                <w:sz w:val="22"/>
              </w:rPr>
            </w:pPr>
            <w:r w:rsidRPr="007259AB">
              <w:rPr>
                <w:rFonts w:cs="Times New Roman"/>
                <w:sz w:val="22"/>
              </w:rPr>
              <w:t>162</w:t>
            </w:r>
          </w:p>
        </w:tc>
      </w:tr>
      <w:tr w:rsidR="007259AB" w:rsidRPr="007259AB" w14:paraId="51C51090" w14:textId="77777777" w:rsidTr="004610C9">
        <w:tc>
          <w:tcPr>
            <w:tcW w:w="1659" w:type="dxa"/>
          </w:tcPr>
          <w:p w14:paraId="183F09C7" w14:textId="77777777" w:rsidR="007259AB" w:rsidRPr="00E633F7" w:rsidRDefault="007259AB" w:rsidP="007259AB">
            <w:pPr>
              <w:jc w:val="center"/>
              <w:rPr>
                <w:rFonts w:cs="Times New Roman"/>
                <w:b/>
                <w:sz w:val="22"/>
              </w:rPr>
            </w:pPr>
            <w:r w:rsidRPr="00E633F7">
              <w:rPr>
                <w:rFonts w:cs="Times New Roman"/>
                <w:b/>
                <w:sz w:val="22"/>
              </w:rPr>
              <w:t>251</w:t>
            </w:r>
          </w:p>
        </w:tc>
        <w:tc>
          <w:tcPr>
            <w:tcW w:w="1659" w:type="dxa"/>
          </w:tcPr>
          <w:p w14:paraId="4566CF0A" w14:textId="77777777" w:rsidR="007259AB" w:rsidRPr="00E633F7" w:rsidRDefault="007259AB" w:rsidP="007259AB">
            <w:pPr>
              <w:jc w:val="center"/>
              <w:rPr>
                <w:rFonts w:cs="Times New Roman"/>
                <w:b/>
                <w:sz w:val="22"/>
              </w:rPr>
            </w:pPr>
            <w:r w:rsidRPr="00E633F7">
              <w:rPr>
                <w:rFonts w:cs="Times New Roman"/>
                <w:b/>
                <w:sz w:val="22"/>
              </w:rPr>
              <w:t>260</w:t>
            </w:r>
          </w:p>
        </w:tc>
        <w:tc>
          <w:tcPr>
            <w:tcW w:w="1659" w:type="dxa"/>
          </w:tcPr>
          <w:p w14:paraId="142191DF" w14:textId="77777777" w:rsidR="007259AB" w:rsidRPr="007259AB" w:rsidRDefault="007259AB" w:rsidP="007259AB">
            <w:pPr>
              <w:jc w:val="center"/>
              <w:rPr>
                <w:rFonts w:cs="Times New Roman"/>
                <w:sz w:val="22"/>
              </w:rPr>
            </w:pPr>
            <w:r w:rsidRPr="007259AB">
              <w:rPr>
                <w:rFonts w:cs="Times New Roman"/>
                <w:sz w:val="22"/>
              </w:rPr>
              <w:t>390</w:t>
            </w:r>
          </w:p>
        </w:tc>
        <w:tc>
          <w:tcPr>
            <w:tcW w:w="1659" w:type="dxa"/>
          </w:tcPr>
          <w:p w14:paraId="66E5C651" w14:textId="77777777" w:rsidR="007259AB" w:rsidRPr="007259AB" w:rsidRDefault="007259AB" w:rsidP="007259AB">
            <w:pPr>
              <w:jc w:val="center"/>
              <w:rPr>
                <w:rFonts w:cs="Times New Roman"/>
                <w:sz w:val="22"/>
              </w:rPr>
            </w:pPr>
            <w:r w:rsidRPr="007259AB">
              <w:rPr>
                <w:rFonts w:cs="Times New Roman"/>
                <w:sz w:val="22"/>
              </w:rPr>
              <w:t>195</w:t>
            </w:r>
          </w:p>
        </w:tc>
        <w:tc>
          <w:tcPr>
            <w:tcW w:w="1660" w:type="dxa"/>
          </w:tcPr>
          <w:p w14:paraId="17F5F502" w14:textId="77777777" w:rsidR="007259AB" w:rsidRPr="007259AB" w:rsidRDefault="007259AB" w:rsidP="007259AB">
            <w:pPr>
              <w:jc w:val="center"/>
              <w:rPr>
                <w:rFonts w:cs="Times New Roman"/>
                <w:sz w:val="22"/>
              </w:rPr>
            </w:pPr>
            <w:r w:rsidRPr="007259AB">
              <w:rPr>
                <w:rFonts w:cs="Times New Roman"/>
                <w:sz w:val="22"/>
              </w:rPr>
              <w:t>175,5</w:t>
            </w:r>
          </w:p>
        </w:tc>
      </w:tr>
      <w:tr w:rsidR="007259AB" w:rsidRPr="007259AB" w14:paraId="58AC45FC" w14:textId="77777777" w:rsidTr="004610C9">
        <w:tc>
          <w:tcPr>
            <w:tcW w:w="1659" w:type="dxa"/>
          </w:tcPr>
          <w:p w14:paraId="10193F0E" w14:textId="77777777" w:rsidR="007259AB" w:rsidRPr="00E633F7" w:rsidRDefault="007259AB" w:rsidP="007259AB">
            <w:pPr>
              <w:jc w:val="center"/>
              <w:rPr>
                <w:rFonts w:cs="Times New Roman"/>
                <w:b/>
                <w:sz w:val="22"/>
              </w:rPr>
            </w:pPr>
            <w:r w:rsidRPr="00E633F7">
              <w:rPr>
                <w:rFonts w:cs="Times New Roman"/>
                <w:b/>
                <w:sz w:val="22"/>
              </w:rPr>
              <w:t>261</w:t>
            </w:r>
          </w:p>
        </w:tc>
        <w:tc>
          <w:tcPr>
            <w:tcW w:w="1659" w:type="dxa"/>
          </w:tcPr>
          <w:p w14:paraId="3394AE4A" w14:textId="77777777" w:rsidR="007259AB" w:rsidRPr="00E633F7" w:rsidRDefault="007259AB" w:rsidP="007259AB">
            <w:pPr>
              <w:jc w:val="center"/>
              <w:rPr>
                <w:rFonts w:cs="Times New Roman"/>
                <w:b/>
                <w:sz w:val="22"/>
              </w:rPr>
            </w:pPr>
            <w:r w:rsidRPr="00E633F7">
              <w:rPr>
                <w:rFonts w:cs="Times New Roman"/>
                <w:b/>
                <w:sz w:val="22"/>
              </w:rPr>
              <w:t>270</w:t>
            </w:r>
          </w:p>
        </w:tc>
        <w:tc>
          <w:tcPr>
            <w:tcW w:w="1659" w:type="dxa"/>
          </w:tcPr>
          <w:p w14:paraId="69EF1B2E" w14:textId="77777777" w:rsidR="007259AB" w:rsidRPr="007259AB" w:rsidRDefault="007259AB" w:rsidP="007259AB">
            <w:pPr>
              <w:jc w:val="center"/>
              <w:rPr>
                <w:rFonts w:cs="Times New Roman"/>
                <w:sz w:val="22"/>
              </w:rPr>
            </w:pPr>
            <w:r w:rsidRPr="007259AB">
              <w:rPr>
                <w:rFonts w:cs="Times New Roman"/>
                <w:sz w:val="22"/>
              </w:rPr>
              <w:t>420</w:t>
            </w:r>
          </w:p>
        </w:tc>
        <w:tc>
          <w:tcPr>
            <w:tcW w:w="1659" w:type="dxa"/>
          </w:tcPr>
          <w:p w14:paraId="14F2ACCC" w14:textId="77777777" w:rsidR="007259AB" w:rsidRPr="007259AB" w:rsidRDefault="007259AB" w:rsidP="007259AB">
            <w:pPr>
              <w:jc w:val="center"/>
              <w:rPr>
                <w:rFonts w:cs="Times New Roman"/>
                <w:sz w:val="22"/>
              </w:rPr>
            </w:pPr>
            <w:r w:rsidRPr="007259AB">
              <w:rPr>
                <w:rFonts w:cs="Times New Roman"/>
                <w:sz w:val="22"/>
              </w:rPr>
              <w:t>210</w:t>
            </w:r>
          </w:p>
        </w:tc>
        <w:tc>
          <w:tcPr>
            <w:tcW w:w="1660" w:type="dxa"/>
          </w:tcPr>
          <w:p w14:paraId="3CDBD5F7" w14:textId="77777777" w:rsidR="007259AB" w:rsidRPr="007259AB" w:rsidRDefault="007259AB" w:rsidP="007259AB">
            <w:pPr>
              <w:jc w:val="center"/>
              <w:rPr>
                <w:rFonts w:cs="Times New Roman"/>
                <w:sz w:val="22"/>
              </w:rPr>
            </w:pPr>
            <w:r w:rsidRPr="007259AB">
              <w:rPr>
                <w:rFonts w:cs="Times New Roman"/>
                <w:sz w:val="22"/>
              </w:rPr>
              <w:t>189</w:t>
            </w:r>
          </w:p>
        </w:tc>
      </w:tr>
      <w:tr w:rsidR="007259AB" w:rsidRPr="007259AB" w14:paraId="3A5C13CC" w14:textId="77777777" w:rsidTr="004610C9">
        <w:tc>
          <w:tcPr>
            <w:tcW w:w="1659" w:type="dxa"/>
          </w:tcPr>
          <w:p w14:paraId="6405CBE8" w14:textId="77777777" w:rsidR="007259AB" w:rsidRPr="00E633F7" w:rsidRDefault="007259AB" w:rsidP="007259AB">
            <w:pPr>
              <w:jc w:val="center"/>
              <w:rPr>
                <w:rFonts w:cs="Times New Roman"/>
                <w:b/>
                <w:sz w:val="22"/>
              </w:rPr>
            </w:pPr>
            <w:r w:rsidRPr="00E633F7">
              <w:rPr>
                <w:rFonts w:cs="Times New Roman"/>
                <w:b/>
                <w:sz w:val="22"/>
              </w:rPr>
              <w:t>271</w:t>
            </w:r>
          </w:p>
        </w:tc>
        <w:tc>
          <w:tcPr>
            <w:tcW w:w="1659" w:type="dxa"/>
          </w:tcPr>
          <w:p w14:paraId="4D6C6AAF" w14:textId="77777777" w:rsidR="007259AB" w:rsidRPr="00E633F7" w:rsidRDefault="007259AB" w:rsidP="007259AB">
            <w:pPr>
              <w:jc w:val="center"/>
              <w:rPr>
                <w:rFonts w:cs="Times New Roman"/>
                <w:b/>
                <w:sz w:val="22"/>
              </w:rPr>
            </w:pPr>
            <w:r w:rsidRPr="00E633F7">
              <w:rPr>
                <w:rFonts w:cs="Times New Roman"/>
                <w:b/>
                <w:sz w:val="22"/>
              </w:rPr>
              <w:t>280</w:t>
            </w:r>
          </w:p>
        </w:tc>
        <w:tc>
          <w:tcPr>
            <w:tcW w:w="1659" w:type="dxa"/>
          </w:tcPr>
          <w:p w14:paraId="53458886" w14:textId="77777777" w:rsidR="007259AB" w:rsidRPr="007259AB" w:rsidRDefault="007259AB" w:rsidP="007259AB">
            <w:pPr>
              <w:jc w:val="center"/>
              <w:rPr>
                <w:rFonts w:cs="Times New Roman"/>
                <w:sz w:val="22"/>
              </w:rPr>
            </w:pPr>
            <w:r w:rsidRPr="007259AB">
              <w:rPr>
                <w:rFonts w:cs="Times New Roman"/>
                <w:sz w:val="22"/>
              </w:rPr>
              <w:t>450</w:t>
            </w:r>
          </w:p>
        </w:tc>
        <w:tc>
          <w:tcPr>
            <w:tcW w:w="1659" w:type="dxa"/>
          </w:tcPr>
          <w:p w14:paraId="2D936B6D" w14:textId="77777777" w:rsidR="007259AB" w:rsidRPr="007259AB" w:rsidRDefault="007259AB" w:rsidP="007259AB">
            <w:pPr>
              <w:jc w:val="center"/>
              <w:rPr>
                <w:rFonts w:cs="Times New Roman"/>
                <w:sz w:val="22"/>
              </w:rPr>
            </w:pPr>
            <w:r w:rsidRPr="007259AB">
              <w:rPr>
                <w:rFonts w:cs="Times New Roman"/>
                <w:sz w:val="22"/>
              </w:rPr>
              <w:t>225</w:t>
            </w:r>
          </w:p>
        </w:tc>
        <w:tc>
          <w:tcPr>
            <w:tcW w:w="1660" w:type="dxa"/>
          </w:tcPr>
          <w:p w14:paraId="0B8CF9E9" w14:textId="77777777" w:rsidR="007259AB" w:rsidRPr="007259AB" w:rsidRDefault="007259AB" w:rsidP="007259AB">
            <w:pPr>
              <w:jc w:val="center"/>
              <w:rPr>
                <w:rFonts w:cs="Times New Roman"/>
                <w:sz w:val="22"/>
              </w:rPr>
            </w:pPr>
            <w:r w:rsidRPr="007259AB">
              <w:rPr>
                <w:rFonts w:cs="Times New Roman"/>
                <w:sz w:val="22"/>
              </w:rPr>
              <w:t>202,5</w:t>
            </w:r>
          </w:p>
        </w:tc>
      </w:tr>
      <w:tr w:rsidR="007259AB" w:rsidRPr="007259AB" w14:paraId="2BC87812" w14:textId="77777777" w:rsidTr="004610C9">
        <w:tc>
          <w:tcPr>
            <w:tcW w:w="1659" w:type="dxa"/>
          </w:tcPr>
          <w:p w14:paraId="79703CC4" w14:textId="77777777" w:rsidR="007259AB" w:rsidRPr="00E633F7" w:rsidRDefault="007259AB" w:rsidP="007259AB">
            <w:pPr>
              <w:jc w:val="center"/>
              <w:rPr>
                <w:rFonts w:cs="Times New Roman"/>
                <w:b/>
                <w:sz w:val="22"/>
              </w:rPr>
            </w:pPr>
            <w:r w:rsidRPr="00E633F7">
              <w:rPr>
                <w:rFonts w:cs="Times New Roman"/>
                <w:b/>
                <w:sz w:val="22"/>
              </w:rPr>
              <w:t>281</w:t>
            </w:r>
          </w:p>
        </w:tc>
        <w:tc>
          <w:tcPr>
            <w:tcW w:w="1659" w:type="dxa"/>
          </w:tcPr>
          <w:p w14:paraId="61D82C3A" w14:textId="77777777" w:rsidR="007259AB" w:rsidRPr="00E633F7" w:rsidRDefault="007259AB" w:rsidP="007259AB">
            <w:pPr>
              <w:jc w:val="center"/>
              <w:rPr>
                <w:rFonts w:cs="Times New Roman"/>
                <w:b/>
                <w:sz w:val="22"/>
              </w:rPr>
            </w:pPr>
            <w:r w:rsidRPr="00E633F7">
              <w:rPr>
                <w:rFonts w:cs="Times New Roman"/>
                <w:b/>
                <w:sz w:val="22"/>
              </w:rPr>
              <w:t>290</w:t>
            </w:r>
          </w:p>
        </w:tc>
        <w:tc>
          <w:tcPr>
            <w:tcW w:w="1659" w:type="dxa"/>
          </w:tcPr>
          <w:p w14:paraId="3D25A52E" w14:textId="77777777" w:rsidR="007259AB" w:rsidRPr="007259AB" w:rsidRDefault="007259AB" w:rsidP="007259AB">
            <w:pPr>
              <w:jc w:val="center"/>
              <w:rPr>
                <w:rFonts w:cs="Times New Roman"/>
                <w:sz w:val="22"/>
              </w:rPr>
            </w:pPr>
            <w:r w:rsidRPr="007259AB">
              <w:rPr>
                <w:rFonts w:cs="Times New Roman"/>
                <w:sz w:val="22"/>
              </w:rPr>
              <w:t>480</w:t>
            </w:r>
          </w:p>
        </w:tc>
        <w:tc>
          <w:tcPr>
            <w:tcW w:w="1659" w:type="dxa"/>
          </w:tcPr>
          <w:p w14:paraId="683EB611" w14:textId="77777777" w:rsidR="007259AB" w:rsidRPr="007259AB" w:rsidRDefault="007259AB" w:rsidP="007259AB">
            <w:pPr>
              <w:jc w:val="center"/>
              <w:rPr>
                <w:rFonts w:cs="Times New Roman"/>
                <w:sz w:val="22"/>
              </w:rPr>
            </w:pPr>
            <w:r w:rsidRPr="007259AB">
              <w:rPr>
                <w:rFonts w:cs="Times New Roman"/>
                <w:sz w:val="22"/>
              </w:rPr>
              <w:t>240</w:t>
            </w:r>
          </w:p>
        </w:tc>
        <w:tc>
          <w:tcPr>
            <w:tcW w:w="1660" w:type="dxa"/>
          </w:tcPr>
          <w:p w14:paraId="48DB9AA5" w14:textId="77777777" w:rsidR="007259AB" w:rsidRPr="007259AB" w:rsidRDefault="007259AB" w:rsidP="007259AB">
            <w:pPr>
              <w:jc w:val="center"/>
              <w:rPr>
                <w:rFonts w:cs="Times New Roman"/>
                <w:sz w:val="22"/>
              </w:rPr>
            </w:pPr>
            <w:r w:rsidRPr="007259AB">
              <w:rPr>
                <w:rFonts w:cs="Times New Roman"/>
                <w:sz w:val="22"/>
              </w:rPr>
              <w:t>216</w:t>
            </w:r>
          </w:p>
        </w:tc>
      </w:tr>
      <w:tr w:rsidR="007259AB" w:rsidRPr="007259AB" w14:paraId="442D3C83" w14:textId="77777777" w:rsidTr="004610C9">
        <w:tc>
          <w:tcPr>
            <w:tcW w:w="1659" w:type="dxa"/>
          </w:tcPr>
          <w:p w14:paraId="44B312FF" w14:textId="77777777" w:rsidR="007259AB" w:rsidRPr="00E633F7" w:rsidRDefault="007259AB" w:rsidP="007259AB">
            <w:pPr>
              <w:jc w:val="center"/>
              <w:rPr>
                <w:rFonts w:cs="Times New Roman"/>
                <w:b/>
                <w:sz w:val="22"/>
              </w:rPr>
            </w:pPr>
            <w:r w:rsidRPr="00E633F7">
              <w:rPr>
                <w:rFonts w:cs="Times New Roman"/>
                <w:b/>
                <w:sz w:val="22"/>
              </w:rPr>
              <w:t>291</w:t>
            </w:r>
          </w:p>
        </w:tc>
        <w:tc>
          <w:tcPr>
            <w:tcW w:w="1659" w:type="dxa"/>
          </w:tcPr>
          <w:p w14:paraId="24EC8CEA" w14:textId="77777777" w:rsidR="007259AB" w:rsidRPr="00E633F7" w:rsidRDefault="007259AB" w:rsidP="007259AB">
            <w:pPr>
              <w:jc w:val="center"/>
              <w:rPr>
                <w:rFonts w:cs="Times New Roman"/>
                <w:b/>
                <w:sz w:val="22"/>
              </w:rPr>
            </w:pPr>
            <w:r w:rsidRPr="00E633F7">
              <w:rPr>
                <w:rFonts w:cs="Times New Roman"/>
                <w:b/>
                <w:sz w:val="22"/>
              </w:rPr>
              <w:t>300</w:t>
            </w:r>
          </w:p>
        </w:tc>
        <w:tc>
          <w:tcPr>
            <w:tcW w:w="1659" w:type="dxa"/>
          </w:tcPr>
          <w:p w14:paraId="21E6C367" w14:textId="77777777" w:rsidR="007259AB" w:rsidRPr="007259AB" w:rsidRDefault="007259AB" w:rsidP="007259AB">
            <w:pPr>
              <w:jc w:val="center"/>
              <w:rPr>
                <w:rFonts w:cs="Times New Roman"/>
                <w:sz w:val="22"/>
              </w:rPr>
            </w:pPr>
            <w:r w:rsidRPr="007259AB">
              <w:rPr>
                <w:rFonts w:cs="Times New Roman"/>
                <w:sz w:val="22"/>
              </w:rPr>
              <w:t>510</w:t>
            </w:r>
          </w:p>
        </w:tc>
        <w:tc>
          <w:tcPr>
            <w:tcW w:w="1659" w:type="dxa"/>
          </w:tcPr>
          <w:p w14:paraId="2CE30A74" w14:textId="77777777" w:rsidR="007259AB" w:rsidRPr="007259AB" w:rsidRDefault="007259AB" w:rsidP="007259AB">
            <w:pPr>
              <w:jc w:val="center"/>
              <w:rPr>
                <w:rFonts w:cs="Times New Roman"/>
                <w:sz w:val="22"/>
              </w:rPr>
            </w:pPr>
            <w:r w:rsidRPr="007259AB">
              <w:rPr>
                <w:rFonts w:cs="Times New Roman"/>
                <w:sz w:val="22"/>
              </w:rPr>
              <w:t>255</w:t>
            </w:r>
          </w:p>
        </w:tc>
        <w:tc>
          <w:tcPr>
            <w:tcW w:w="1660" w:type="dxa"/>
          </w:tcPr>
          <w:p w14:paraId="1D14DB49" w14:textId="77777777" w:rsidR="007259AB" w:rsidRPr="007259AB" w:rsidRDefault="007259AB" w:rsidP="007259AB">
            <w:pPr>
              <w:jc w:val="center"/>
              <w:rPr>
                <w:rFonts w:cs="Times New Roman"/>
                <w:sz w:val="22"/>
              </w:rPr>
            </w:pPr>
            <w:r w:rsidRPr="007259AB">
              <w:rPr>
                <w:rFonts w:cs="Times New Roman"/>
                <w:sz w:val="22"/>
              </w:rPr>
              <w:t>229,5</w:t>
            </w:r>
          </w:p>
        </w:tc>
      </w:tr>
      <w:tr w:rsidR="007259AB" w:rsidRPr="007259AB" w14:paraId="7FB78010" w14:textId="77777777" w:rsidTr="004610C9">
        <w:tc>
          <w:tcPr>
            <w:tcW w:w="3318" w:type="dxa"/>
            <w:gridSpan w:val="2"/>
          </w:tcPr>
          <w:p w14:paraId="167741E3" w14:textId="77777777" w:rsidR="007259AB" w:rsidRPr="00E633F7" w:rsidRDefault="007259AB" w:rsidP="007259AB">
            <w:pPr>
              <w:jc w:val="center"/>
              <w:rPr>
                <w:rFonts w:cs="Times New Roman"/>
                <w:b/>
                <w:sz w:val="22"/>
              </w:rPr>
            </w:pPr>
            <w:r w:rsidRPr="00E633F7">
              <w:rPr>
                <w:rFonts w:cs="Times New Roman"/>
                <w:b/>
                <w:sz w:val="22"/>
              </w:rPr>
              <w:t>301 un vairāk</w:t>
            </w:r>
          </w:p>
        </w:tc>
        <w:tc>
          <w:tcPr>
            <w:tcW w:w="1659" w:type="dxa"/>
          </w:tcPr>
          <w:p w14:paraId="78276233" w14:textId="77777777" w:rsidR="007259AB" w:rsidRPr="007259AB" w:rsidRDefault="007259AB" w:rsidP="007259AB">
            <w:pPr>
              <w:jc w:val="center"/>
              <w:rPr>
                <w:rFonts w:cs="Times New Roman"/>
                <w:sz w:val="22"/>
              </w:rPr>
            </w:pPr>
            <w:r w:rsidRPr="007259AB">
              <w:rPr>
                <w:rFonts w:cs="Times New Roman"/>
                <w:sz w:val="22"/>
              </w:rPr>
              <w:t>540</w:t>
            </w:r>
          </w:p>
        </w:tc>
        <w:tc>
          <w:tcPr>
            <w:tcW w:w="1659" w:type="dxa"/>
          </w:tcPr>
          <w:p w14:paraId="19EF3C56" w14:textId="77777777" w:rsidR="007259AB" w:rsidRPr="007259AB" w:rsidRDefault="007259AB" w:rsidP="007259AB">
            <w:pPr>
              <w:jc w:val="center"/>
              <w:rPr>
                <w:rFonts w:cs="Times New Roman"/>
                <w:sz w:val="22"/>
              </w:rPr>
            </w:pPr>
            <w:r w:rsidRPr="007259AB">
              <w:rPr>
                <w:rFonts w:cs="Times New Roman"/>
                <w:sz w:val="22"/>
              </w:rPr>
              <w:t>270</w:t>
            </w:r>
          </w:p>
        </w:tc>
        <w:tc>
          <w:tcPr>
            <w:tcW w:w="1660" w:type="dxa"/>
          </w:tcPr>
          <w:p w14:paraId="09EA61D3" w14:textId="77777777" w:rsidR="007259AB" w:rsidRPr="007259AB" w:rsidRDefault="007259AB" w:rsidP="007259AB">
            <w:pPr>
              <w:jc w:val="center"/>
              <w:rPr>
                <w:rFonts w:cs="Times New Roman"/>
                <w:sz w:val="22"/>
              </w:rPr>
            </w:pPr>
            <w:r w:rsidRPr="007259AB">
              <w:rPr>
                <w:rFonts w:cs="Times New Roman"/>
                <w:sz w:val="22"/>
              </w:rPr>
              <w:t>243</w:t>
            </w:r>
          </w:p>
        </w:tc>
      </w:tr>
    </w:tbl>
    <w:p w14:paraId="3DB8F0A8" w14:textId="77777777" w:rsidR="009E5CE9" w:rsidRDefault="002008F9" w:rsidP="009E5CE9">
      <w:pPr>
        <w:spacing w:after="120"/>
        <w:ind w:firstLine="709"/>
        <w:jc w:val="both"/>
      </w:pPr>
      <w:r>
        <w:tab/>
      </w:r>
      <w:bookmarkStart w:id="30" w:name="_Toc32227673"/>
    </w:p>
    <w:p w14:paraId="7AF526D5" w14:textId="77777777" w:rsidR="009E5CE9" w:rsidRDefault="009E5CE9" w:rsidP="009E5CE9">
      <w:pPr>
        <w:spacing w:after="120"/>
        <w:ind w:firstLine="709"/>
        <w:jc w:val="both"/>
        <w:rPr>
          <w:sz w:val="26"/>
          <w:szCs w:val="26"/>
        </w:rPr>
      </w:pPr>
      <w:r>
        <w:rPr>
          <w:sz w:val="26"/>
          <w:szCs w:val="26"/>
        </w:rPr>
        <w:t xml:space="preserve">Lai novērstu vecu un nolietotu vieglo auto ievešanu reģistrēšanu Latvijā no Rietumeiropas valstīm, kā arī no Lietuvas ir nepieciešams </w:t>
      </w:r>
      <w:r w:rsidR="00781BBC">
        <w:rPr>
          <w:sz w:val="26"/>
          <w:szCs w:val="26"/>
        </w:rPr>
        <w:t xml:space="preserve">izvērtēt, kādā apmērā </w:t>
      </w:r>
      <w:r>
        <w:rPr>
          <w:sz w:val="26"/>
          <w:szCs w:val="26"/>
        </w:rPr>
        <w:t>noteikt reģistrācijas nodokļa likmes, kā arī tās koriģēt atkarībā no motora emisiju standarta.</w:t>
      </w:r>
    </w:p>
    <w:p w14:paraId="29DFB65C" w14:textId="77777777" w:rsidR="009E5CE9" w:rsidRDefault="009E5CE9" w:rsidP="009E5CE9">
      <w:pPr>
        <w:spacing w:after="120"/>
        <w:ind w:firstLine="709"/>
        <w:jc w:val="both"/>
        <w:rPr>
          <w:b/>
          <w:sz w:val="26"/>
          <w:szCs w:val="26"/>
        </w:rPr>
      </w:pPr>
      <w:r>
        <w:rPr>
          <w:b/>
          <w:sz w:val="26"/>
          <w:szCs w:val="26"/>
        </w:rPr>
        <w:t xml:space="preserve">Priekšlikumi </w:t>
      </w:r>
      <w:r w:rsidRPr="00EA6CAE">
        <w:rPr>
          <w:b/>
          <w:sz w:val="26"/>
          <w:szCs w:val="26"/>
        </w:rPr>
        <w:t>T</w:t>
      </w:r>
      <w:r>
        <w:rPr>
          <w:b/>
          <w:sz w:val="26"/>
          <w:szCs w:val="26"/>
        </w:rPr>
        <w:t>RN ieviešanai</w:t>
      </w:r>
      <w:r w:rsidRPr="00EA6CAE">
        <w:rPr>
          <w:b/>
          <w:sz w:val="26"/>
          <w:szCs w:val="26"/>
        </w:rPr>
        <w:t xml:space="preserve"> transportlīdzekļiem</w:t>
      </w:r>
      <w:r>
        <w:rPr>
          <w:b/>
          <w:sz w:val="26"/>
          <w:szCs w:val="26"/>
        </w:rPr>
        <w:t>:</w:t>
      </w:r>
    </w:p>
    <w:p w14:paraId="0663C05E" w14:textId="77777777" w:rsidR="009E5CE9" w:rsidRPr="00D46FA1" w:rsidRDefault="009E5CE9" w:rsidP="009E5CE9">
      <w:pPr>
        <w:pStyle w:val="ListParagraph"/>
        <w:numPr>
          <w:ilvl w:val="0"/>
          <w:numId w:val="15"/>
        </w:numPr>
        <w:spacing w:after="120"/>
        <w:ind w:left="1276" w:hanging="567"/>
        <w:rPr>
          <w:sz w:val="26"/>
          <w:szCs w:val="26"/>
        </w:rPr>
      </w:pPr>
      <w:r w:rsidRPr="00D46FA1">
        <w:rPr>
          <w:sz w:val="26"/>
          <w:szCs w:val="26"/>
        </w:rPr>
        <w:t>atjaunot vieglo automobiļu reģistrācijas nodokli, lai novērstu vecu un ekoloģiski kaitīgu vieglo automobiļu ieplūšanu no Rietumeiropas un reģistrēšanu L</w:t>
      </w:r>
      <w:r w:rsidR="00281B3C">
        <w:rPr>
          <w:sz w:val="26"/>
          <w:szCs w:val="26"/>
        </w:rPr>
        <w:t>atvijā</w:t>
      </w:r>
      <w:r w:rsidRPr="00D46FA1">
        <w:rPr>
          <w:sz w:val="26"/>
          <w:szCs w:val="26"/>
        </w:rPr>
        <w:t>, ņemot vērā VARAM un SM izteiktos piedāvājumus. Reģistrācijas nodokļa likmes noteikšanai kā kritērijus izmantojot vieglā automobiļa vecumu, degvielas tipu, CO</w:t>
      </w:r>
      <w:r w:rsidRPr="00D46FA1">
        <w:rPr>
          <w:sz w:val="26"/>
          <w:szCs w:val="26"/>
          <w:vertAlign w:val="subscript"/>
        </w:rPr>
        <w:t>2</w:t>
      </w:r>
      <w:r w:rsidRPr="00D46FA1">
        <w:rPr>
          <w:sz w:val="26"/>
          <w:szCs w:val="26"/>
        </w:rPr>
        <w:t xml:space="preserve"> izmešus, EURO standartu un automobiļa vērtību, neieskaitot PVN;</w:t>
      </w:r>
    </w:p>
    <w:p w14:paraId="3BD77A90" w14:textId="77777777" w:rsidR="009E5CE9" w:rsidRPr="00D46FA1" w:rsidRDefault="009E5CE9" w:rsidP="009E5CE9">
      <w:pPr>
        <w:pStyle w:val="ListParagraph"/>
        <w:numPr>
          <w:ilvl w:val="0"/>
          <w:numId w:val="15"/>
        </w:numPr>
        <w:spacing w:after="120"/>
        <w:ind w:left="1276" w:hanging="567"/>
        <w:rPr>
          <w:sz w:val="26"/>
          <w:szCs w:val="26"/>
        </w:rPr>
      </w:pPr>
      <w:r w:rsidRPr="00D46FA1">
        <w:rPr>
          <w:sz w:val="26"/>
          <w:szCs w:val="26"/>
        </w:rPr>
        <w:t>atjaunot reģistrācijas nodokli arī motocikliem, ņemot vērā motora darba tilpumu (cm</w:t>
      </w:r>
      <w:r w:rsidRPr="00D46FA1">
        <w:rPr>
          <w:sz w:val="26"/>
          <w:szCs w:val="26"/>
          <w:vertAlign w:val="superscript"/>
        </w:rPr>
        <w:t>3</w:t>
      </w:r>
      <w:r w:rsidRPr="00D46FA1">
        <w:rPr>
          <w:sz w:val="26"/>
          <w:szCs w:val="26"/>
        </w:rPr>
        <w:t>).</w:t>
      </w:r>
    </w:p>
    <w:p w14:paraId="5485CACA" w14:textId="77777777" w:rsidR="00234A0B" w:rsidRPr="00B01120" w:rsidRDefault="00234A0B" w:rsidP="009E5CE9">
      <w:pPr>
        <w:spacing w:after="120"/>
        <w:ind w:firstLine="709"/>
        <w:jc w:val="both"/>
        <w:rPr>
          <w:b/>
          <w:sz w:val="26"/>
          <w:szCs w:val="26"/>
        </w:rPr>
      </w:pPr>
      <w:r w:rsidRPr="00B01120">
        <w:rPr>
          <w:sz w:val="26"/>
          <w:szCs w:val="26"/>
        </w:rPr>
        <w:t xml:space="preserve">Latvijā 2019.gadā pirmoreiz reģistrēto vieglo (M1) un vieglo kravas (N1) automobiļu skaits bija </w:t>
      </w:r>
      <w:r w:rsidR="00CA2C28" w:rsidRPr="00B01120">
        <w:rPr>
          <w:sz w:val="26"/>
          <w:szCs w:val="26"/>
        </w:rPr>
        <w:t>71 tūkst.</w:t>
      </w:r>
      <w:bookmarkEnd w:id="30"/>
    </w:p>
    <w:p w14:paraId="2BC1977A" w14:textId="77777777" w:rsidR="00234A0B" w:rsidRPr="00B01120" w:rsidRDefault="00F33096" w:rsidP="00B01120">
      <w:pPr>
        <w:spacing w:after="120"/>
        <w:ind w:firstLine="709"/>
        <w:jc w:val="both"/>
        <w:rPr>
          <w:b/>
          <w:sz w:val="26"/>
          <w:szCs w:val="26"/>
        </w:rPr>
      </w:pPr>
      <w:bookmarkStart w:id="31" w:name="_Toc32227674"/>
      <w:r w:rsidRPr="00B01120">
        <w:rPr>
          <w:sz w:val="26"/>
          <w:szCs w:val="26"/>
        </w:rPr>
        <w:t>P</w:t>
      </w:r>
      <w:r w:rsidR="002008F9" w:rsidRPr="00B01120">
        <w:rPr>
          <w:sz w:val="26"/>
          <w:szCs w:val="26"/>
        </w:rPr>
        <w:t>iemērojot Lietuvas modeli</w:t>
      </w:r>
      <w:r w:rsidR="00CA2C28" w:rsidRPr="00B01120">
        <w:rPr>
          <w:sz w:val="26"/>
          <w:szCs w:val="26"/>
        </w:rPr>
        <w:t xml:space="preserve">, </w:t>
      </w:r>
      <w:r w:rsidR="00234A0B" w:rsidRPr="00B01120">
        <w:rPr>
          <w:sz w:val="26"/>
          <w:szCs w:val="26"/>
        </w:rPr>
        <w:t>jāņem vērā, ka reģistrācijas nodokli nemaksātu 2</w:t>
      </w:r>
      <w:r w:rsidR="00CA2C28" w:rsidRPr="00B01120">
        <w:rPr>
          <w:sz w:val="26"/>
          <w:szCs w:val="26"/>
        </w:rPr>
        <w:t>6</w:t>
      </w:r>
      <w:r w:rsidR="00234A0B" w:rsidRPr="00B01120">
        <w:rPr>
          <w:sz w:val="26"/>
          <w:szCs w:val="26"/>
        </w:rPr>
        <w:t xml:space="preserve">% pirmoreiz reģistrēto vieglo (M1) un vieglo kravas (N1) automobiļu ar dīzeļa motora tipu, </w:t>
      </w:r>
      <w:r w:rsidR="00CA2C28" w:rsidRPr="00B01120">
        <w:rPr>
          <w:sz w:val="26"/>
          <w:szCs w:val="26"/>
        </w:rPr>
        <w:t>41</w:t>
      </w:r>
      <w:r w:rsidR="00234A0B" w:rsidRPr="00B01120">
        <w:rPr>
          <w:sz w:val="26"/>
          <w:szCs w:val="26"/>
        </w:rPr>
        <w:t xml:space="preserve">% ar benzīna motora tipu un </w:t>
      </w:r>
      <w:r w:rsidR="00CA2C28" w:rsidRPr="00B01120">
        <w:rPr>
          <w:sz w:val="26"/>
          <w:szCs w:val="26"/>
        </w:rPr>
        <w:t>12</w:t>
      </w:r>
      <w:r w:rsidR="00234A0B" w:rsidRPr="00B01120">
        <w:rPr>
          <w:sz w:val="26"/>
          <w:szCs w:val="26"/>
        </w:rPr>
        <w:t>% ar papildu gāzes (LPG, CNG/LNG) iekārtām aprīkotu pirmoreiz reģistrēto  automobiļu, jo tie atbilst CO</w:t>
      </w:r>
      <w:r w:rsidR="00234A0B" w:rsidRPr="00B01120">
        <w:rPr>
          <w:sz w:val="26"/>
          <w:szCs w:val="26"/>
          <w:vertAlign w:val="subscript"/>
        </w:rPr>
        <w:t xml:space="preserve">2 </w:t>
      </w:r>
      <w:r w:rsidR="00234A0B" w:rsidRPr="00B01120">
        <w:rPr>
          <w:sz w:val="26"/>
          <w:szCs w:val="26"/>
        </w:rPr>
        <w:t>izmešu kategorijai, kas atbrīvota no nodokļa.</w:t>
      </w:r>
      <w:bookmarkEnd w:id="31"/>
    </w:p>
    <w:p w14:paraId="3CDCF2F8" w14:textId="77777777" w:rsidR="00CA2C28" w:rsidRDefault="00CA2C28" w:rsidP="003D1112">
      <w:pPr>
        <w:ind w:firstLine="709"/>
        <w:rPr>
          <w:sz w:val="26"/>
          <w:szCs w:val="26"/>
        </w:rPr>
      </w:pPr>
      <w:r>
        <w:rPr>
          <w:sz w:val="26"/>
          <w:szCs w:val="26"/>
        </w:rPr>
        <w:lastRenderedPageBreak/>
        <w:t>Fiskālā ietekme vērtēta divās komponentēs:</w:t>
      </w:r>
    </w:p>
    <w:p w14:paraId="0361F129" w14:textId="77777777" w:rsidR="00CA2C28" w:rsidRPr="00B33A39" w:rsidRDefault="00B33A39" w:rsidP="00E554C7">
      <w:pPr>
        <w:pStyle w:val="ListParagraph"/>
        <w:numPr>
          <w:ilvl w:val="0"/>
          <w:numId w:val="36"/>
        </w:numPr>
        <w:spacing w:after="120"/>
      </w:pPr>
      <w:r>
        <w:rPr>
          <w:sz w:val="26"/>
          <w:szCs w:val="26"/>
        </w:rPr>
        <w:t xml:space="preserve">tiem </w:t>
      </w:r>
      <w:r w:rsidRPr="00B33A39">
        <w:rPr>
          <w:sz w:val="26"/>
          <w:szCs w:val="26"/>
        </w:rPr>
        <w:t xml:space="preserve">pirmo reizi reģistrētajiem </w:t>
      </w:r>
      <w:r>
        <w:rPr>
          <w:sz w:val="26"/>
          <w:szCs w:val="26"/>
        </w:rPr>
        <w:t xml:space="preserve">automobiļiem, kuriem ir norādīta </w:t>
      </w:r>
      <w:r w:rsidRPr="00E0360C">
        <w:rPr>
          <w:sz w:val="26"/>
          <w:szCs w:val="26"/>
        </w:rPr>
        <w:t>CO</w:t>
      </w:r>
      <w:r w:rsidRPr="00E0360C">
        <w:rPr>
          <w:sz w:val="26"/>
          <w:szCs w:val="26"/>
          <w:vertAlign w:val="subscript"/>
        </w:rPr>
        <w:t>2</w:t>
      </w:r>
      <w:r>
        <w:rPr>
          <w:sz w:val="26"/>
          <w:szCs w:val="26"/>
        </w:rPr>
        <w:t xml:space="preserve"> vērtība (</w:t>
      </w:r>
      <w:r w:rsidR="00CA2C28" w:rsidRPr="00CA2C28">
        <w:rPr>
          <w:sz w:val="26"/>
          <w:szCs w:val="26"/>
        </w:rPr>
        <w:t xml:space="preserve">indikatīvi fiskālā ietekme uz budžetu būtu +5,0 milj. </w:t>
      </w:r>
      <w:r w:rsidR="00CA2C28" w:rsidRPr="00CA2C28">
        <w:rPr>
          <w:i/>
          <w:sz w:val="26"/>
          <w:szCs w:val="26"/>
        </w:rPr>
        <w:t>euro</w:t>
      </w:r>
      <w:r w:rsidR="00CA2C28" w:rsidRPr="00CA2C28">
        <w:rPr>
          <w:sz w:val="26"/>
          <w:szCs w:val="26"/>
        </w:rPr>
        <w:t xml:space="preserve"> gadā</w:t>
      </w:r>
      <w:r>
        <w:rPr>
          <w:sz w:val="26"/>
          <w:szCs w:val="26"/>
        </w:rPr>
        <w:t>);</w:t>
      </w:r>
    </w:p>
    <w:p w14:paraId="5F6D55EF" w14:textId="77777777" w:rsidR="00046ACE" w:rsidRPr="00B33A39" w:rsidRDefault="00F33096" w:rsidP="00E554C7">
      <w:pPr>
        <w:pStyle w:val="ListParagraph"/>
        <w:numPr>
          <w:ilvl w:val="0"/>
          <w:numId w:val="36"/>
        </w:numPr>
        <w:spacing w:after="120"/>
        <w:rPr>
          <w:sz w:val="26"/>
          <w:szCs w:val="26"/>
        </w:rPr>
      </w:pPr>
      <w:r w:rsidRPr="00B33A39">
        <w:rPr>
          <w:sz w:val="26"/>
          <w:szCs w:val="26"/>
        </w:rPr>
        <w:t xml:space="preserve">tiem pirmo reizi reģistrētajiem </w:t>
      </w:r>
      <w:r w:rsidR="00234A0B" w:rsidRPr="00B33A39">
        <w:rPr>
          <w:sz w:val="26"/>
          <w:szCs w:val="26"/>
        </w:rPr>
        <w:t>automobiļiem</w:t>
      </w:r>
      <w:r w:rsidRPr="00B33A39">
        <w:rPr>
          <w:sz w:val="26"/>
          <w:szCs w:val="26"/>
        </w:rPr>
        <w:t>, kuriem CO</w:t>
      </w:r>
      <w:r w:rsidRPr="00B33A39">
        <w:rPr>
          <w:sz w:val="26"/>
          <w:szCs w:val="26"/>
          <w:vertAlign w:val="subscript"/>
        </w:rPr>
        <w:t>2</w:t>
      </w:r>
      <w:r w:rsidRPr="00B33A39">
        <w:rPr>
          <w:sz w:val="26"/>
          <w:szCs w:val="26"/>
        </w:rPr>
        <w:t xml:space="preserve"> </w:t>
      </w:r>
      <w:r w:rsidR="00E0360C" w:rsidRPr="00B33A39">
        <w:rPr>
          <w:sz w:val="26"/>
          <w:szCs w:val="26"/>
        </w:rPr>
        <w:t xml:space="preserve">vērtība nav norādīta. Kopējā </w:t>
      </w:r>
      <w:r w:rsidR="00046ACE" w:rsidRPr="00B33A39">
        <w:rPr>
          <w:sz w:val="26"/>
          <w:szCs w:val="26"/>
        </w:rPr>
        <w:t xml:space="preserve">pirmo reizi reģistrēto </w:t>
      </w:r>
      <w:r w:rsidR="00234A0B" w:rsidRPr="00B33A39">
        <w:rPr>
          <w:sz w:val="26"/>
          <w:szCs w:val="26"/>
        </w:rPr>
        <w:t>automobiļu</w:t>
      </w:r>
      <w:r w:rsidR="00046ACE" w:rsidRPr="00B33A39">
        <w:rPr>
          <w:sz w:val="26"/>
          <w:szCs w:val="26"/>
        </w:rPr>
        <w:t xml:space="preserve"> </w:t>
      </w:r>
      <w:r w:rsidR="00E0360C" w:rsidRPr="00B33A39">
        <w:rPr>
          <w:sz w:val="26"/>
          <w:szCs w:val="26"/>
        </w:rPr>
        <w:t xml:space="preserve">skaitā tie ir </w:t>
      </w:r>
      <w:r w:rsidR="00046ACE" w:rsidRPr="00B33A39">
        <w:rPr>
          <w:sz w:val="26"/>
          <w:szCs w:val="26"/>
        </w:rPr>
        <w:t>27</w:t>
      </w:r>
      <w:r w:rsidR="00E0360C" w:rsidRPr="00B33A39">
        <w:rPr>
          <w:sz w:val="26"/>
          <w:szCs w:val="26"/>
        </w:rPr>
        <w:t>% un fiskālās ietekmes aprēķinā tiem piemērota vidējā svērtā likme, kas reizināta ar koeficientu 1,5</w:t>
      </w:r>
      <w:r w:rsidR="00B33A39">
        <w:rPr>
          <w:sz w:val="26"/>
          <w:szCs w:val="26"/>
        </w:rPr>
        <w:t xml:space="preserve"> </w:t>
      </w:r>
      <w:r w:rsidR="00B33A39" w:rsidRPr="00B33A39">
        <w:rPr>
          <w:sz w:val="26"/>
          <w:szCs w:val="26"/>
        </w:rPr>
        <w:t>(i</w:t>
      </w:r>
      <w:r w:rsidR="00E0360C" w:rsidRPr="00B33A39">
        <w:rPr>
          <w:sz w:val="26"/>
          <w:szCs w:val="26"/>
        </w:rPr>
        <w:t>ndikatīvi fiskālā ietekme būtu +</w:t>
      </w:r>
      <w:r w:rsidR="00B33A39">
        <w:rPr>
          <w:sz w:val="26"/>
          <w:szCs w:val="26"/>
        </w:rPr>
        <w:t> </w:t>
      </w:r>
      <w:r w:rsidR="002C1429" w:rsidRPr="00B33A39">
        <w:rPr>
          <w:sz w:val="26"/>
          <w:szCs w:val="26"/>
        </w:rPr>
        <w:t>5,7</w:t>
      </w:r>
      <w:r w:rsidR="00B33A39">
        <w:rPr>
          <w:sz w:val="26"/>
          <w:szCs w:val="26"/>
        </w:rPr>
        <w:t> </w:t>
      </w:r>
      <w:r w:rsidR="00E0360C" w:rsidRPr="00B33A39">
        <w:rPr>
          <w:sz w:val="26"/>
          <w:szCs w:val="26"/>
        </w:rPr>
        <w:t>milj.</w:t>
      </w:r>
      <w:r w:rsidR="00B33A39">
        <w:rPr>
          <w:sz w:val="26"/>
          <w:szCs w:val="26"/>
        </w:rPr>
        <w:t> </w:t>
      </w:r>
      <w:r w:rsidR="00E0360C" w:rsidRPr="00B33A39">
        <w:rPr>
          <w:sz w:val="26"/>
          <w:szCs w:val="26"/>
        </w:rPr>
        <w:t>euro</w:t>
      </w:r>
      <w:r w:rsidR="00B33A39">
        <w:rPr>
          <w:sz w:val="26"/>
          <w:szCs w:val="26"/>
        </w:rPr>
        <w:t xml:space="preserve"> gadā</w:t>
      </w:r>
      <w:r w:rsidR="00B33A39" w:rsidRPr="00B33A39">
        <w:rPr>
          <w:sz w:val="26"/>
          <w:szCs w:val="26"/>
        </w:rPr>
        <w:t>)</w:t>
      </w:r>
      <w:r w:rsidR="00E0360C" w:rsidRPr="00B33A39">
        <w:rPr>
          <w:sz w:val="26"/>
          <w:szCs w:val="26"/>
        </w:rPr>
        <w:t>.</w:t>
      </w:r>
    </w:p>
    <w:p w14:paraId="008699D4" w14:textId="77777777" w:rsidR="00F33096" w:rsidRPr="00E0360C" w:rsidRDefault="002C1429" w:rsidP="00E554C7">
      <w:pPr>
        <w:spacing w:after="120"/>
        <w:ind w:firstLine="709"/>
        <w:jc w:val="both"/>
        <w:rPr>
          <w:sz w:val="26"/>
          <w:szCs w:val="26"/>
        </w:rPr>
      </w:pPr>
      <w:r>
        <w:rPr>
          <w:b/>
          <w:sz w:val="26"/>
          <w:szCs w:val="26"/>
        </w:rPr>
        <w:t xml:space="preserve">Līdz ar to kopējā fiskālā ietekme vērtējama kā </w:t>
      </w:r>
      <w:r w:rsidRPr="00E554C7">
        <w:rPr>
          <w:b/>
          <w:color w:val="00B050"/>
          <w:sz w:val="26"/>
          <w:szCs w:val="26"/>
        </w:rPr>
        <w:t xml:space="preserve">+10,7 </w:t>
      </w:r>
      <w:r>
        <w:rPr>
          <w:b/>
          <w:sz w:val="26"/>
          <w:szCs w:val="26"/>
        </w:rPr>
        <w:t>milj. euro.</w:t>
      </w:r>
    </w:p>
    <w:p w14:paraId="46C811FD" w14:textId="77777777" w:rsidR="008C521D" w:rsidRDefault="008C521D" w:rsidP="00FB76C4">
      <w:pPr>
        <w:ind w:firstLine="709"/>
        <w:jc w:val="both"/>
        <w:rPr>
          <w:sz w:val="26"/>
          <w:szCs w:val="26"/>
        </w:rPr>
      </w:pPr>
      <w:r w:rsidRPr="00FB76C4">
        <w:rPr>
          <w:b/>
          <w:sz w:val="26"/>
          <w:szCs w:val="26"/>
        </w:rPr>
        <w:t>Satiksmes ministrijas priekšlikums</w:t>
      </w:r>
      <w:r w:rsidR="00FB76C4">
        <w:rPr>
          <w:b/>
          <w:sz w:val="26"/>
          <w:szCs w:val="26"/>
        </w:rPr>
        <w:t xml:space="preserve"> - </w:t>
      </w:r>
      <w:r w:rsidR="00FB76C4" w:rsidRPr="00FB76C4">
        <w:rPr>
          <w:b/>
          <w:bCs/>
          <w:sz w:val="26"/>
          <w:szCs w:val="26"/>
        </w:rPr>
        <w:t>no 202</w:t>
      </w:r>
      <w:r w:rsidR="008F7352">
        <w:rPr>
          <w:b/>
          <w:bCs/>
          <w:sz w:val="26"/>
          <w:szCs w:val="26"/>
        </w:rPr>
        <w:t>1</w:t>
      </w:r>
      <w:r w:rsidR="00FB76C4" w:rsidRPr="00FB76C4">
        <w:rPr>
          <w:b/>
          <w:bCs/>
          <w:sz w:val="26"/>
          <w:szCs w:val="26"/>
        </w:rPr>
        <w:t>. gada</w:t>
      </w:r>
      <w:r w:rsidR="00FB76C4" w:rsidRPr="00FB76C4">
        <w:rPr>
          <w:b/>
          <w:sz w:val="26"/>
          <w:szCs w:val="26"/>
        </w:rPr>
        <w:t xml:space="preserve"> </w:t>
      </w:r>
      <w:r w:rsidR="00FB76C4" w:rsidRPr="00FB76C4">
        <w:rPr>
          <w:sz w:val="26"/>
          <w:szCs w:val="26"/>
        </w:rPr>
        <w:t xml:space="preserve">piemērot </w:t>
      </w:r>
      <w:r w:rsidRPr="00FB76C4">
        <w:rPr>
          <w:sz w:val="26"/>
          <w:szCs w:val="26"/>
        </w:rPr>
        <w:t>nodok</w:t>
      </w:r>
      <w:r w:rsidR="00FB76C4">
        <w:rPr>
          <w:sz w:val="26"/>
          <w:szCs w:val="26"/>
        </w:rPr>
        <w:t>li</w:t>
      </w:r>
      <w:r w:rsidRPr="00FB76C4">
        <w:rPr>
          <w:sz w:val="26"/>
          <w:szCs w:val="26"/>
        </w:rPr>
        <w:t xml:space="preserve"> </w:t>
      </w:r>
      <w:r w:rsidR="00BB7B21">
        <w:rPr>
          <w:sz w:val="26"/>
          <w:szCs w:val="26"/>
        </w:rPr>
        <w:t xml:space="preserve">(TEN par ievešanu) </w:t>
      </w:r>
      <w:r w:rsidRPr="00FB76C4">
        <w:rPr>
          <w:sz w:val="26"/>
          <w:szCs w:val="26"/>
        </w:rPr>
        <w:t>tiem</w:t>
      </w:r>
      <w:r w:rsidR="00FB76C4" w:rsidRPr="00FB76C4">
        <w:rPr>
          <w:b/>
          <w:bCs/>
          <w:sz w:val="26"/>
          <w:szCs w:val="26"/>
        </w:rPr>
        <w:t xml:space="preserve"> </w:t>
      </w:r>
      <w:r w:rsidR="00FB76C4" w:rsidRPr="00FB76C4">
        <w:rPr>
          <w:bCs/>
          <w:sz w:val="26"/>
          <w:szCs w:val="26"/>
        </w:rPr>
        <w:t>vieglajiem</w:t>
      </w:r>
      <w:r w:rsidRPr="00FB76C4">
        <w:rPr>
          <w:sz w:val="26"/>
          <w:szCs w:val="26"/>
        </w:rPr>
        <w:t xml:space="preserve"> transportlīdzekļiem, kas  tiek otrreiz reģistrēti (ievedot) Latvijā, un ir vecāki par 5 gadiem, lai daļēji ierobežotu nolietoto ar fosilo degvielu darbināmos transportlīdzekļus ievešanu Latvijā</w:t>
      </w:r>
      <w:r w:rsidR="00FB76C4">
        <w:rPr>
          <w:sz w:val="26"/>
          <w:szCs w:val="26"/>
        </w:rPr>
        <w:t>.</w:t>
      </w:r>
      <w:r w:rsidRPr="00FB76C4">
        <w:rPr>
          <w:sz w:val="26"/>
          <w:szCs w:val="26"/>
        </w:rPr>
        <w:t xml:space="preserve"> Satiksmes ministrijas novērtētā </w:t>
      </w:r>
      <w:r w:rsidR="00FB76C4" w:rsidRPr="00FB76C4">
        <w:rPr>
          <w:bCs/>
          <w:sz w:val="26"/>
          <w:szCs w:val="26"/>
        </w:rPr>
        <w:t>provizoriskā</w:t>
      </w:r>
      <w:r w:rsidR="00FB76C4" w:rsidRPr="00FB76C4">
        <w:rPr>
          <w:b/>
          <w:bCs/>
          <w:sz w:val="26"/>
          <w:szCs w:val="26"/>
        </w:rPr>
        <w:t xml:space="preserve"> </w:t>
      </w:r>
      <w:r w:rsidRPr="00FB76C4">
        <w:rPr>
          <w:sz w:val="26"/>
          <w:szCs w:val="26"/>
        </w:rPr>
        <w:t xml:space="preserve">fiskālā ietekme </w:t>
      </w:r>
      <w:r w:rsidRPr="00FB76C4">
        <w:rPr>
          <w:b/>
          <w:color w:val="00B050"/>
          <w:sz w:val="26"/>
          <w:szCs w:val="26"/>
        </w:rPr>
        <w:t>+18</w:t>
      </w:r>
      <w:r w:rsidRPr="00FB76C4">
        <w:rPr>
          <w:color w:val="00B050"/>
          <w:sz w:val="26"/>
          <w:szCs w:val="26"/>
        </w:rPr>
        <w:t xml:space="preserve"> </w:t>
      </w:r>
      <w:r w:rsidRPr="003D1112">
        <w:rPr>
          <w:b/>
          <w:sz w:val="26"/>
          <w:szCs w:val="26"/>
        </w:rPr>
        <w:t>milj.</w:t>
      </w:r>
      <w:r w:rsidRPr="00FB76C4">
        <w:rPr>
          <w:sz w:val="26"/>
          <w:szCs w:val="26"/>
        </w:rPr>
        <w:t xml:space="preserve"> </w:t>
      </w:r>
      <w:r w:rsidRPr="00FB76C4">
        <w:rPr>
          <w:i/>
          <w:sz w:val="26"/>
          <w:szCs w:val="26"/>
        </w:rPr>
        <w:t>euro</w:t>
      </w:r>
      <w:r w:rsidRPr="00FB76C4">
        <w:rPr>
          <w:sz w:val="26"/>
          <w:szCs w:val="26"/>
        </w:rPr>
        <w:t>.</w:t>
      </w:r>
    </w:p>
    <w:p w14:paraId="0466E4B1" w14:textId="77777777" w:rsidR="005A720A" w:rsidRPr="005A720A" w:rsidRDefault="005A720A" w:rsidP="00FB76C4">
      <w:pPr>
        <w:ind w:firstLine="709"/>
        <w:jc w:val="both"/>
        <w:rPr>
          <w:sz w:val="14"/>
          <w:szCs w:val="14"/>
        </w:rPr>
      </w:pPr>
    </w:p>
    <w:p w14:paraId="7A6007B4" w14:textId="77777777" w:rsidR="00F11F67" w:rsidRDefault="00F11F67" w:rsidP="005A720A">
      <w:pPr>
        <w:spacing w:after="120"/>
        <w:ind w:firstLine="709"/>
        <w:jc w:val="both"/>
        <w:rPr>
          <w:sz w:val="26"/>
          <w:szCs w:val="26"/>
        </w:rPr>
      </w:pPr>
      <w:r w:rsidRPr="00AA67DF">
        <w:rPr>
          <w:szCs w:val="24"/>
        </w:rPr>
        <w:t>3</w:t>
      </w:r>
      <w:r>
        <w:rPr>
          <w:szCs w:val="24"/>
        </w:rPr>
        <w:t>6</w:t>
      </w:r>
      <w:r w:rsidRPr="00AA67DF">
        <w:rPr>
          <w:szCs w:val="24"/>
        </w:rPr>
        <w:t>.tab</w:t>
      </w:r>
      <w:r w:rsidRPr="005138B5">
        <w:rPr>
          <w:szCs w:val="24"/>
        </w:rPr>
        <w:t>.</w:t>
      </w:r>
      <w:r w:rsidRPr="005138B5">
        <w:rPr>
          <w:b/>
          <w:szCs w:val="24"/>
        </w:rPr>
        <w:t xml:space="preserve"> </w:t>
      </w:r>
      <w:r>
        <w:rPr>
          <w:b/>
          <w:szCs w:val="24"/>
        </w:rPr>
        <w:t>Piemērs TEN ievešanas likmēm TL, kas reģistrēti no 2009.gada</w:t>
      </w:r>
    </w:p>
    <w:tbl>
      <w:tblPr>
        <w:tblStyle w:val="TableGrid"/>
        <w:tblW w:w="0" w:type="auto"/>
        <w:jc w:val="center"/>
        <w:tblLook w:val="04A0" w:firstRow="1" w:lastRow="0" w:firstColumn="1" w:lastColumn="0" w:noHBand="0" w:noVBand="1"/>
      </w:tblPr>
      <w:tblGrid>
        <w:gridCol w:w="1980"/>
        <w:gridCol w:w="3827"/>
      </w:tblGrid>
      <w:tr w:rsidR="005A720A" w:rsidRPr="005A720A" w14:paraId="68B377EE" w14:textId="77777777" w:rsidTr="005A720A">
        <w:trPr>
          <w:jc w:val="center"/>
        </w:trPr>
        <w:tc>
          <w:tcPr>
            <w:tcW w:w="1980" w:type="dxa"/>
            <w:tcBorders>
              <w:right w:val="single" w:sz="4" w:space="0" w:color="FFFFFF" w:themeColor="background1"/>
            </w:tcBorders>
            <w:shd w:val="clear" w:color="auto" w:fill="002060"/>
            <w:vAlign w:val="bottom"/>
          </w:tcPr>
          <w:p w14:paraId="51148771" w14:textId="77777777" w:rsidR="00F11F67" w:rsidRPr="005A720A" w:rsidRDefault="00E554C7" w:rsidP="001E0A42">
            <w:pPr>
              <w:jc w:val="center"/>
              <w:rPr>
                <w:rFonts w:eastAsia="Times New Roman" w:cs="Times New Roman"/>
                <w:b/>
                <w:bCs/>
                <w:color w:val="FFFFFF" w:themeColor="background1"/>
                <w:sz w:val="22"/>
                <w:lang w:eastAsia="lv-LV"/>
              </w:rPr>
            </w:pPr>
            <w:r w:rsidRPr="005A720A">
              <w:rPr>
                <w:rFonts w:cs="Times New Roman"/>
                <w:color w:val="FFFFFF" w:themeColor="background1"/>
                <w:sz w:val="22"/>
              </w:rPr>
              <w:br w:type="page"/>
            </w:r>
            <w:r w:rsidR="00F11F67" w:rsidRPr="005A720A">
              <w:rPr>
                <w:rFonts w:eastAsia="Times New Roman" w:cs="Times New Roman"/>
                <w:b/>
                <w:bCs/>
                <w:color w:val="FFFFFF" w:themeColor="background1"/>
                <w:sz w:val="22"/>
                <w:lang w:eastAsia="lv-LV"/>
              </w:rPr>
              <w:t>CO</w:t>
            </w:r>
            <w:r w:rsidR="00F11F67" w:rsidRPr="005A720A">
              <w:rPr>
                <w:rFonts w:eastAsia="Times New Roman" w:cs="Times New Roman"/>
                <w:b/>
                <w:bCs/>
                <w:color w:val="FFFFFF" w:themeColor="background1"/>
                <w:sz w:val="22"/>
                <w:vertAlign w:val="subscript"/>
                <w:lang w:eastAsia="lv-LV"/>
              </w:rPr>
              <w:t xml:space="preserve">2 </w:t>
            </w:r>
            <w:r w:rsidR="00F11F67" w:rsidRPr="005A720A">
              <w:rPr>
                <w:rFonts w:eastAsia="Times New Roman" w:cs="Times New Roman"/>
                <w:b/>
                <w:bCs/>
                <w:color w:val="FFFFFF" w:themeColor="background1"/>
                <w:sz w:val="22"/>
                <w:lang w:eastAsia="lv-LV"/>
              </w:rPr>
              <w:t>rādītājs</w:t>
            </w:r>
          </w:p>
        </w:tc>
        <w:tc>
          <w:tcPr>
            <w:tcW w:w="3827" w:type="dxa"/>
            <w:tcBorders>
              <w:left w:val="single" w:sz="4" w:space="0" w:color="FFFFFF" w:themeColor="background1"/>
            </w:tcBorders>
            <w:shd w:val="clear" w:color="auto" w:fill="002060"/>
          </w:tcPr>
          <w:p w14:paraId="1B9CC80E" w14:textId="77777777" w:rsidR="00F11F67" w:rsidRPr="005A720A" w:rsidRDefault="00F11F67" w:rsidP="001E0A42">
            <w:pPr>
              <w:jc w:val="center"/>
              <w:rPr>
                <w:rFonts w:cs="Times New Roman"/>
                <w:color w:val="FFFFFF" w:themeColor="background1"/>
                <w:sz w:val="22"/>
              </w:rPr>
            </w:pPr>
            <w:r w:rsidRPr="005A720A">
              <w:rPr>
                <w:rFonts w:eastAsia="Times New Roman" w:cs="Times New Roman"/>
                <w:b/>
                <w:bCs/>
                <w:color w:val="FFFFFF" w:themeColor="background1"/>
                <w:sz w:val="22"/>
                <w:lang w:eastAsia="lv-LV"/>
              </w:rPr>
              <w:t xml:space="preserve">Ievešanas likme, </w:t>
            </w:r>
            <w:r w:rsidRPr="005A720A">
              <w:rPr>
                <w:rFonts w:eastAsia="Times New Roman" w:cs="Times New Roman"/>
                <w:bCs/>
                <w:i/>
                <w:color w:val="FFFFFF" w:themeColor="background1"/>
                <w:sz w:val="22"/>
                <w:lang w:eastAsia="lv-LV"/>
              </w:rPr>
              <w:t>euro</w:t>
            </w:r>
          </w:p>
        </w:tc>
      </w:tr>
      <w:tr w:rsidR="00F11F67" w:rsidRPr="00F11F67" w14:paraId="7BD91B89" w14:textId="77777777" w:rsidTr="00F11F67">
        <w:trPr>
          <w:jc w:val="center"/>
        </w:trPr>
        <w:tc>
          <w:tcPr>
            <w:tcW w:w="1980" w:type="dxa"/>
            <w:vAlign w:val="bottom"/>
          </w:tcPr>
          <w:p w14:paraId="480CE42A" w14:textId="77777777" w:rsidR="00F11F67" w:rsidRPr="005A720A" w:rsidRDefault="00F11F67" w:rsidP="001E0A42">
            <w:pPr>
              <w:jc w:val="center"/>
              <w:rPr>
                <w:rFonts w:eastAsia="Times New Roman" w:cs="Times New Roman"/>
                <w:color w:val="000000"/>
                <w:sz w:val="22"/>
                <w:lang w:eastAsia="lv-LV"/>
              </w:rPr>
            </w:pPr>
            <w:r w:rsidRPr="005A720A">
              <w:rPr>
                <w:rFonts w:eastAsia="Times New Roman" w:cs="Times New Roman"/>
                <w:color w:val="000000"/>
                <w:sz w:val="22"/>
                <w:lang w:eastAsia="lv-LV"/>
              </w:rPr>
              <w:t>līdz 50</w:t>
            </w:r>
          </w:p>
        </w:tc>
        <w:tc>
          <w:tcPr>
            <w:tcW w:w="3827" w:type="dxa"/>
            <w:vAlign w:val="bottom"/>
          </w:tcPr>
          <w:p w14:paraId="3199FF04" w14:textId="77777777" w:rsidR="00F11F67" w:rsidRPr="005A720A" w:rsidRDefault="00F11F67" w:rsidP="001E0A42">
            <w:pPr>
              <w:jc w:val="center"/>
              <w:rPr>
                <w:rFonts w:eastAsia="Times New Roman" w:cs="Times New Roman"/>
                <w:b/>
                <w:color w:val="FF0000"/>
                <w:sz w:val="22"/>
                <w:lang w:eastAsia="lv-LV"/>
              </w:rPr>
            </w:pPr>
            <w:r w:rsidRPr="005A720A">
              <w:rPr>
                <w:rFonts w:eastAsia="Times New Roman" w:cs="Times New Roman"/>
                <w:b/>
                <w:color w:val="FF0000"/>
                <w:sz w:val="22"/>
                <w:lang w:eastAsia="lv-LV"/>
              </w:rPr>
              <w:t>200</w:t>
            </w:r>
          </w:p>
        </w:tc>
      </w:tr>
      <w:tr w:rsidR="00F11F67" w:rsidRPr="00F11F67" w14:paraId="25843143" w14:textId="77777777" w:rsidTr="00F11F67">
        <w:trPr>
          <w:jc w:val="center"/>
        </w:trPr>
        <w:tc>
          <w:tcPr>
            <w:tcW w:w="1980" w:type="dxa"/>
            <w:vAlign w:val="bottom"/>
          </w:tcPr>
          <w:p w14:paraId="530243DD" w14:textId="77777777" w:rsidR="00F11F67" w:rsidRPr="005A720A" w:rsidRDefault="00F11F67" w:rsidP="001E0A42">
            <w:pPr>
              <w:jc w:val="center"/>
              <w:rPr>
                <w:rFonts w:eastAsia="Times New Roman" w:cs="Times New Roman"/>
                <w:color w:val="000000"/>
                <w:sz w:val="22"/>
                <w:lang w:eastAsia="lv-LV"/>
              </w:rPr>
            </w:pPr>
            <w:r w:rsidRPr="005A720A">
              <w:rPr>
                <w:rFonts w:eastAsia="Times New Roman" w:cs="Times New Roman"/>
                <w:color w:val="000000"/>
                <w:sz w:val="22"/>
                <w:lang w:eastAsia="lv-LV"/>
              </w:rPr>
              <w:t>51-95</w:t>
            </w:r>
          </w:p>
        </w:tc>
        <w:tc>
          <w:tcPr>
            <w:tcW w:w="3827" w:type="dxa"/>
            <w:vAlign w:val="bottom"/>
          </w:tcPr>
          <w:p w14:paraId="18F2611C" w14:textId="77777777" w:rsidR="00F11F67" w:rsidRPr="005A720A" w:rsidRDefault="00F11F67" w:rsidP="001E0A42">
            <w:pPr>
              <w:jc w:val="center"/>
              <w:rPr>
                <w:rFonts w:eastAsia="Times New Roman" w:cs="Times New Roman"/>
                <w:b/>
                <w:color w:val="FF0000"/>
                <w:sz w:val="22"/>
                <w:lang w:eastAsia="lv-LV"/>
              </w:rPr>
            </w:pPr>
            <w:r w:rsidRPr="005A720A">
              <w:rPr>
                <w:rFonts w:eastAsia="Times New Roman" w:cs="Times New Roman"/>
                <w:b/>
                <w:color w:val="FF0000"/>
                <w:sz w:val="22"/>
                <w:lang w:eastAsia="lv-LV"/>
              </w:rPr>
              <w:t>212</w:t>
            </w:r>
          </w:p>
        </w:tc>
      </w:tr>
      <w:tr w:rsidR="00F11F67" w:rsidRPr="00F11F67" w14:paraId="26C6B062" w14:textId="77777777" w:rsidTr="00F11F67">
        <w:trPr>
          <w:jc w:val="center"/>
        </w:trPr>
        <w:tc>
          <w:tcPr>
            <w:tcW w:w="1980" w:type="dxa"/>
            <w:vAlign w:val="bottom"/>
          </w:tcPr>
          <w:p w14:paraId="5B6292C2" w14:textId="77777777" w:rsidR="00F11F67" w:rsidRPr="005A720A" w:rsidRDefault="00F11F67" w:rsidP="001E0A42">
            <w:pPr>
              <w:jc w:val="center"/>
              <w:rPr>
                <w:rFonts w:eastAsia="Times New Roman" w:cs="Times New Roman"/>
                <w:color w:val="000000"/>
                <w:sz w:val="22"/>
                <w:lang w:eastAsia="lv-LV"/>
              </w:rPr>
            </w:pPr>
            <w:r w:rsidRPr="005A720A">
              <w:rPr>
                <w:rFonts w:eastAsia="Times New Roman" w:cs="Times New Roman"/>
                <w:color w:val="000000"/>
                <w:sz w:val="22"/>
                <w:lang w:eastAsia="lv-LV"/>
              </w:rPr>
              <w:t>96-115</w:t>
            </w:r>
          </w:p>
        </w:tc>
        <w:tc>
          <w:tcPr>
            <w:tcW w:w="3827" w:type="dxa"/>
            <w:vAlign w:val="bottom"/>
          </w:tcPr>
          <w:p w14:paraId="6FA4F7E3" w14:textId="77777777" w:rsidR="00F11F67" w:rsidRPr="005A720A" w:rsidRDefault="00F11F67" w:rsidP="001E0A42">
            <w:pPr>
              <w:jc w:val="center"/>
              <w:rPr>
                <w:rFonts w:eastAsia="Times New Roman" w:cs="Times New Roman"/>
                <w:b/>
                <w:color w:val="FF0000"/>
                <w:sz w:val="22"/>
                <w:lang w:eastAsia="lv-LV"/>
              </w:rPr>
            </w:pPr>
            <w:r w:rsidRPr="005A720A">
              <w:rPr>
                <w:rFonts w:eastAsia="Times New Roman" w:cs="Times New Roman"/>
                <w:b/>
                <w:color w:val="FF0000"/>
                <w:sz w:val="22"/>
                <w:lang w:eastAsia="lv-LV"/>
              </w:rPr>
              <w:t>248</w:t>
            </w:r>
          </w:p>
        </w:tc>
      </w:tr>
      <w:tr w:rsidR="00F11F67" w:rsidRPr="00F11F67" w14:paraId="29341278" w14:textId="77777777" w:rsidTr="00F11F67">
        <w:trPr>
          <w:jc w:val="center"/>
        </w:trPr>
        <w:tc>
          <w:tcPr>
            <w:tcW w:w="1980" w:type="dxa"/>
            <w:vAlign w:val="bottom"/>
          </w:tcPr>
          <w:p w14:paraId="2F696F40" w14:textId="77777777" w:rsidR="00F11F67" w:rsidRPr="005A720A" w:rsidRDefault="00F11F67" w:rsidP="001E0A42">
            <w:pPr>
              <w:jc w:val="center"/>
              <w:rPr>
                <w:rFonts w:eastAsia="Times New Roman" w:cs="Times New Roman"/>
                <w:color w:val="000000"/>
                <w:sz w:val="22"/>
                <w:lang w:eastAsia="lv-LV"/>
              </w:rPr>
            </w:pPr>
            <w:r w:rsidRPr="005A720A">
              <w:rPr>
                <w:rFonts w:eastAsia="Times New Roman" w:cs="Times New Roman"/>
                <w:color w:val="000000"/>
                <w:sz w:val="22"/>
                <w:lang w:eastAsia="lv-LV"/>
              </w:rPr>
              <w:t>116-130</w:t>
            </w:r>
          </w:p>
        </w:tc>
        <w:tc>
          <w:tcPr>
            <w:tcW w:w="3827" w:type="dxa"/>
            <w:vAlign w:val="bottom"/>
          </w:tcPr>
          <w:p w14:paraId="7ADDC74F" w14:textId="77777777" w:rsidR="00F11F67" w:rsidRPr="005A720A" w:rsidRDefault="00F11F67" w:rsidP="001E0A42">
            <w:pPr>
              <w:jc w:val="center"/>
              <w:rPr>
                <w:rFonts w:eastAsia="Times New Roman" w:cs="Times New Roman"/>
                <w:b/>
                <w:color w:val="FF0000"/>
                <w:sz w:val="22"/>
                <w:lang w:eastAsia="lv-LV"/>
              </w:rPr>
            </w:pPr>
            <w:r w:rsidRPr="005A720A">
              <w:rPr>
                <w:rFonts w:eastAsia="Times New Roman" w:cs="Times New Roman"/>
                <w:b/>
                <w:color w:val="FF0000"/>
                <w:sz w:val="22"/>
                <w:lang w:eastAsia="lv-LV"/>
              </w:rPr>
              <w:t>284</w:t>
            </w:r>
          </w:p>
        </w:tc>
      </w:tr>
      <w:tr w:rsidR="00F11F67" w:rsidRPr="00F11F67" w14:paraId="6AF13D3B" w14:textId="77777777" w:rsidTr="00F11F67">
        <w:trPr>
          <w:jc w:val="center"/>
        </w:trPr>
        <w:tc>
          <w:tcPr>
            <w:tcW w:w="1980" w:type="dxa"/>
            <w:vAlign w:val="bottom"/>
          </w:tcPr>
          <w:p w14:paraId="4DB5474E" w14:textId="77777777" w:rsidR="00F11F67" w:rsidRPr="005A720A" w:rsidRDefault="00F11F67" w:rsidP="001E0A42">
            <w:pPr>
              <w:jc w:val="center"/>
              <w:rPr>
                <w:rFonts w:eastAsia="Times New Roman" w:cs="Times New Roman"/>
                <w:color w:val="000000"/>
                <w:sz w:val="22"/>
                <w:lang w:eastAsia="lv-LV"/>
              </w:rPr>
            </w:pPr>
            <w:r w:rsidRPr="005A720A">
              <w:rPr>
                <w:rFonts w:eastAsia="Times New Roman" w:cs="Times New Roman"/>
                <w:color w:val="000000"/>
                <w:sz w:val="22"/>
                <w:lang w:eastAsia="lv-LV"/>
              </w:rPr>
              <w:t>131-155</w:t>
            </w:r>
          </w:p>
        </w:tc>
        <w:tc>
          <w:tcPr>
            <w:tcW w:w="3827" w:type="dxa"/>
            <w:vAlign w:val="bottom"/>
          </w:tcPr>
          <w:p w14:paraId="3E7D60A4" w14:textId="77777777" w:rsidR="00F11F67" w:rsidRPr="005A720A" w:rsidRDefault="00F11F67" w:rsidP="001E0A42">
            <w:pPr>
              <w:jc w:val="center"/>
              <w:rPr>
                <w:rFonts w:eastAsia="Times New Roman" w:cs="Times New Roman"/>
                <w:b/>
                <w:color w:val="FF0000"/>
                <w:sz w:val="22"/>
                <w:lang w:eastAsia="lv-LV"/>
              </w:rPr>
            </w:pPr>
            <w:r w:rsidRPr="005A720A">
              <w:rPr>
                <w:rFonts w:eastAsia="Times New Roman" w:cs="Times New Roman"/>
                <w:b/>
                <w:color w:val="FF0000"/>
                <w:sz w:val="22"/>
                <w:lang w:eastAsia="lv-LV"/>
              </w:rPr>
              <w:t>320</w:t>
            </w:r>
          </w:p>
        </w:tc>
      </w:tr>
      <w:tr w:rsidR="00F11F67" w:rsidRPr="00F11F67" w14:paraId="7C326AA1" w14:textId="77777777" w:rsidTr="00F11F67">
        <w:trPr>
          <w:jc w:val="center"/>
        </w:trPr>
        <w:tc>
          <w:tcPr>
            <w:tcW w:w="1980" w:type="dxa"/>
            <w:vAlign w:val="bottom"/>
          </w:tcPr>
          <w:p w14:paraId="43C6EF7A" w14:textId="77777777" w:rsidR="00F11F67" w:rsidRPr="005A720A" w:rsidRDefault="00F11F67" w:rsidP="001E0A42">
            <w:pPr>
              <w:jc w:val="center"/>
              <w:rPr>
                <w:rFonts w:eastAsia="Times New Roman" w:cs="Times New Roman"/>
                <w:color w:val="000000"/>
                <w:sz w:val="22"/>
                <w:lang w:eastAsia="lv-LV"/>
              </w:rPr>
            </w:pPr>
            <w:r w:rsidRPr="005A720A">
              <w:rPr>
                <w:rFonts w:eastAsia="Times New Roman" w:cs="Times New Roman"/>
                <w:color w:val="000000"/>
                <w:sz w:val="22"/>
                <w:lang w:eastAsia="lv-LV"/>
              </w:rPr>
              <w:t>156-175</w:t>
            </w:r>
          </w:p>
        </w:tc>
        <w:tc>
          <w:tcPr>
            <w:tcW w:w="3827" w:type="dxa"/>
            <w:vAlign w:val="bottom"/>
          </w:tcPr>
          <w:p w14:paraId="41DDFCA7" w14:textId="77777777" w:rsidR="00F11F67" w:rsidRPr="005A720A" w:rsidRDefault="00F11F67" w:rsidP="001E0A42">
            <w:pPr>
              <w:jc w:val="center"/>
              <w:rPr>
                <w:rFonts w:eastAsia="Times New Roman" w:cs="Times New Roman"/>
                <w:b/>
                <w:color w:val="FF0000"/>
                <w:sz w:val="22"/>
                <w:lang w:eastAsia="lv-LV"/>
              </w:rPr>
            </w:pPr>
            <w:r w:rsidRPr="005A720A">
              <w:rPr>
                <w:rFonts w:eastAsia="Times New Roman" w:cs="Times New Roman"/>
                <w:b/>
                <w:color w:val="FF0000"/>
                <w:sz w:val="22"/>
                <w:lang w:eastAsia="lv-LV"/>
              </w:rPr>
              <w:t>344</w:t>
            </w:r>
          </w:p>
        </w:tc>
      </w:tr>
      <w:tr w:rsidR="00F11F67" w:rsidRPr="00F11F67" w14:paraId="5CA3F4F0" w14:textId="77777777" w:rsidTr="00F11F67">
        <w:trPr>
          <w:jc w:val="center"/>
        </w:trPr>
        <w:tc>
          <w:tcPr>
            <w:tcW w:w="1980" w:type="dxa"/>
            <w:vAlign w:val="bottom"/>
          </w:tcPr>
          <w:p w14:paraId="3531AC22" w14:textId="77777777" w:rsidR="00F11F67" w:rsidRPr="005A720A" w:rsidRDefault="00F11F67" w:rsidP="001E0A42">
            <w:pPr>
              <w:jc w:val="center"/>
              <w:rPr>
                <w:rFonts w:eastAsia="Times New Roman" w:cs="Times New Roman"/>
                <w:color w:val="000000"/>
                <w:sz w:val="22"/>
                <w:lang w:eastAsia="lv-LV"/>
              </w:rPr>
            </w:pPr>
            <w:r w:rsidRPr="005A720A">
              <w:rPr>
                <w:rFonts w:eastAsia="Times New Roman" w:cs="Times New Roman"/>
                <w:color w:val="000000"/>
                <w:sz w:val="22"/>
                <w:lang w:eastAsia="lv-LV"/>
              </w:rPr>
              <w:t>176-200</w:t>
            </w:r>
          </w:p>
        </w:tc>
        <w:tc>
          <w:tcPr>
            <w:tcW w:w="3827" w:type="dxa"/>
            <w:vAlign w:val="bottom"/>
          </w:tcPr>
          <w:p w14:paraId="4DA561C1" w14:textId="77777777" w:rsidR="00F11F67" w:rsidRPr="005A720A" w:rsidRDefault="00F11F67" w:rsidP="001E0A42">
            <w:pPr>
              <w:jc w:val="center"/>
              <w:rPr>
                <w:rFonts w:eastAsia="Times New Roman" w:cs="Times New Roman"/>
                <w:b/>
                <w:color w:val="FF0000"/>
                <w:sz w:val="22"/>
                <w:lang w:eastAsia="lv-LV"/>
              </w:rPr>
            </w:pPr>
            <w:r w:rsidRPr="005A720A">
              <w:rPr>
                <w:rFonts w:eastAsia="Times New Roman" w:cs="Times New Roman"/>
                <w:b/>
                <w:color w:val="FF0000"/>
                <w:sz w:val="22"/>
                <w:lang w:eastAsia="lv-LV"/>
              </w:rPr>
              <w:t>368</w:t>
            </w:r>
          </w:p>
        </w:tc>
      </w:tr>
      <w:tr w:rsidR="00F11F67" w:rsidRPr="00F11F67" w14:paraId="3E0D5473" w14:textId="77777777" w:rsidTr="00F11F67">
        <w:trPr>
          <w:jc w:val="center"/>
        </w:trPr>
        <w:tc>
          <w:tcPr>
            <w:tcW w:w="1980" w:type="dxa"/>
            <w:vAlign w:val="bottom"/>
          </w:tcPr>
          <w:p w14:paraId="18F89480" w14:textId="77777777" w:rsidR="00F11F67" w:rsidRPr="005A720A" w:rsidRDefault="00F11F67" w:rsidP="001E0A42">
            <w:pPr>
              <w:jc w:val="center"/>
              <w:rPr>
                <w:rFonts w:eastAsia="Times New Roman" w:cs="Times New Roman"/>
                <w:color w:val="000000"/>
                <w:sz w:val="22"/>
                <w:lang w:eastAsia="lv-LV"/>
              </w:rPr>
            </w:pPr>
            <w:r w:rsidRPr="005A720A">
              <w:rPr>
                <w:rFonts w:eastAsia="Times New Roman" w:cs="Times New Roman"/>
                <w:color w:val="000000"/>
                <w:sz w:val="22"/>
                <w:lang w:eastAsia="lv-LV"/>
              </w:rPr>
              <w:t>201-250</w:t>
            </w:r>
          </w:p>
        </w:tc>
        <w:tc>
          <w:tcPr>
            <w:tcW w:w="3827" w:type="dxa"/>
            <w:vAlign w:val="bottom"/>
          </w:tcPr>
          <w:p w14:paraId="1365A8E7" w14:textId="77777777" w:rsidR="00F11F67" w:rsidRPr="005A720A" w:rsidRDefault="00F11F67" w:rsidP="001E0A42">
            <w:pPr>
              <w:jc w:val="center"/>
              <w:rPr>
                <w:rFonts w:eastAsia="Times New Roman" w:cs="Times New Roman"/>
                <w:b/>
                <w:color w:val="FF0000"/>
                <w:sz w:val="22"/>
                <w:lang w:eastAsia="lv-LV"/>
              </w:rPr>
            </w:pPr>
            <w:r w:rsidRPr="005A720A">
              <w:rPr>
                <w:rFonts w:eastAsia="Times New Roman" w:cs="Times New Roman"/>
                <w:b/>
                <w:color w:val="FF0000"/>
                <w:sz w:val="22"/>
                <w:lang w:eastAsia="lv-LV"/>
              </w:rPr>
              <w:t>464</w:t>
            </w:r>
          </w:p>
        </w:tc>
      </w:tr>
      <w:tr w:rsidR="00F11F67" w:rsidRPr="00F11F67" w14:paraId="0AD93532" w14:textId="77777777" w:rsidTr="00F11F67">
        <w:trPr>
          <w:jc w:val="center"/>
        </w:trPr>
        <w:tc>
          <w:tcPr>
            <w:tcW w:w="1980" w:type="dxa"/>
            <w:vAlign w:val="bottom"/>
          </w:tcPr>
          <w:p w14:paraId="206D91E7" w14:textId="77777777" w:rsidR="00F11F67" w:rsidRPr="005A720A" w:rsidRDefault="00F11F67" w:rsidP="001E0A42">
            <w:pPr>
              <w:jc w:val="center"/>
              <w:rPr>
                <w:rFonts w:eastAsia="Times New Roman" w:cs="Times New Roman"/>
                <w:color w:val="000000"/>
                <w:sz w:val="22"/>
                <w:lang w:eastAsia="lv-LV"/>
              </w:rPr>
            </w:pPr>
            <w:r w:rsidRPr="005A720A">
              <w:rPr>
                <w:rFonts w:eastAsia="Times New Roman" w:cs="Times New Roman"/>
                <w:color w:val="000000"/>
                <w:sz w:val="22"/>
                <w:lang w:eastAsia="lv-LV"/>
              </w:rPr>
              <w:t>251-300</w:t>
            </w:r>
          </w:p>
        </w:tc>
        <w:tc>
          <w:tcPr>
            <w:tcW w:w="3827" w:type="dxa"/>
            <w:vAlign w:val="bottom"/>
          </w:tcPr>
          <w:p w14:paraId="26830165" w14:textId="77777777" w:rsidR="00F11F67" w:rsidRPr="005A720A" w:rsidRDefault="00F11F67" w:rsidP="001E0A42">
            <w:pPr>
              <w:jc w:val="center"/>
              <w:rPr>
                <w:rFonts w:eastAsia="Times New Roman" w:cs="Times New Roman"/>
                <w:b/>
                <w:color w:val="FF0000"/>
                <w:sz w:val="22"/>
                <w:lang w:eastAsia="lv-LV"/>
              </w:rPr>
            </w:pPr>
            <w:r w:rsidRPr="005A720A">
              <w:rPr>
                <w:rFonts w:eastAsia="Times New Roman" w:cs="Times New Roman"/>
                <w:b/>
                <w:color w:val="FF0000"/>
                <w:sz w:val="22"/>
                <w:lang w:eastAsia="lv-LV"/>
              </w:rPr>
              <w:t>608</w:t>
            </w:r>
          </w:p>
        </w:tc>
      </w:tr>
      <w:tr w:rsidR="00F11F67" w:rsidRPr="00F11F67" w14:paraId="45E248EA" w14:textId="77777777" w:rsidTr="00F11F67">
        <w:trPr>
          <w:jc w:val="center"/>
        </w:trPr>
        <w:tc>
          <w:tcPr>
            <w:tcW w:w="1980" w:type="dxa"/>
            <w:vAlign w:val="bottom"/>
          </w:tcPr>
          <w:p w14:paraId="49DA66CD" w14:textId="77777777" w:rsidR="00F11F67" w:rsidRPr="005A720A" w:rsidRDefault="00F11F67" w:rsidP="001E0A42">
            <w:pPr>
              <w:jc w:val="center"/>
              <w:rPr>
                <w:rFonts w:eastAsia="Times New Roman" w:cs="Times New Roman"/>
                <w:color w:val="000000"/>
                <w:sz w:val="22"/>
                <w:lang w:eastAsia="lv-LV"/>
              </w:rPr>
            </w:pPr>
            <w:r w:rsidRPr="005A720A">
              <w:rPr>
                <w:rFonts w:eastAsia="Times New Roman" w:cs="Times New Roman"/>
                <w:color w:val="000000"/>
                <w:sz w:val="22"/>
                <w:lang w:eastAsia="lv-LV"/>
              </w:rPr>
              <w:t>301-350</w:t>
            </w:r>
          </w:p>
        </w:tc>
        <w:tc>
          <w:tcPr>
            <w:tcW w:w="3827" w:type="dxa"/>
            <w:vAlign w:val="bottom"/>
          </w:tcPr>
          <w:p w14:paraId="5AA6A3AF" w14:textId="77777777" w:rsidR="00F11F67" w:rsidRPr="005A720A" w:rsidRDefault="00F11F67" w:rsidP="001E0A42">
            <w:pPr>
              <w:jc w:val="center"/>
              <w:rPr>
                <w:rFonts w:eastAsia="Times New Roman" w:cs="Times New Roman"/>
                <w:b/>
                <w:color w:val="FF0000"/>
                <w:sz w:val="22"/>
                <w:lang w:eastAsia="lv-LV"/>
              </w:rPr>
            </w:pPr>
            <w:r w:rsidRPr="005A720A">
              <w:rPr>
                <w:rFonts w:eastAsia="Times New Roman" w:cs="Times New Roman"/>
                <w:b/>
                <w:color w:val="FF0000"/>
                <w:sz w:val="22"/>
                <w:lang w:eastAsia="lv-LV"/>
              </w:rPr>
              <w:t>752</w:t>
            </w:r>
          </w:p>
        </w:tc>
      </w:tr>
      <w:tr w:rsidR="00F11F67" w:rsidRPr="00F11F67" w14:paraId="09233B9E" w14:textId="77777777" w:rsidTr="00F11F67">
        <w:trPr>
          <w:jc w:val="center"/>
        </w:trPr>
        <w:tc>
          <w:tcPr>
            <w:tcW w:w="1980" w:type="dxa"/>
            <w:vAlign w:val="bottom"/>
          </w:tcPr>
          <w:p w14:paraId="151418C5" w14:textId="77777777" w:rsidR="00F11F67" w:rsidRPr="005A720A" w:rsidRDefault="00F11F67" w:rsidP="001E0A42">
            <w:pPr>
              <w:jc w:val="center"/>
              <w:rPr>
                <w:rFonts w:eastAsia="Times New Roman" w:cs="Times New Roman"/>
                <w:color w:val="000000"/>
                <w:sz w:val="22"/>
                <w:lang w:eastAsia="lv-LV"/>
              </w:rPr>
            </w:pPr>
            <w:r w:rsidRPr="005A720A">
              <w:rPr>
                <w:rFonts w:eastAsia="Times New Roman" w:cs="Times New Roman"/>
                <w:color w:val="000000"/>
                <w:sz w:val="22"/>
                <w:lang w:eastAsia="lv-LV"/>
              </w:rPr>
              <w:t>virs 350</w:t>
            </w:r>
          </w:p>
        </w:tc>
        <w:tc>
          <w:tcPr>
            <w:tcW w:w="3827" w:type="dxa"/>
            <w:vAlign w:val="bottom"/>
          </w:tcPr>
          <w:p w14:paraId="3F06F64A" w14:textId="77777777" w:rsidR="00F11F67" w:rsidRPr="005A720A" w:rsidRDefault="00F11F67" w:rsidP="001E0A42">
            <w:pPr>
              <w:jc w:val="center"/>
              <w:rPr>
                <w:rFonts w:eastAsia="Times New Roman" w:cs="Times New Roman"/>
                <w:b/>
                <w:color w:val="FF0000"/>
                <w:sz w:val="22"/>
                <w:lang w:eastAsia="lv-LV"/>
              </w:rPr>
            </w:pPr>
            <w:r w:rsidRPr="005A720A">
              <w:rPr>
                <w:rFonts w:eastAsia="Times New Roman" w:cs="Times New Roman"/>
                <w:b/>
                <w:color w:val="FF0000"/>
                <w:sz w:val="22"/>
                <w:lang w:eastAsia="lv-LV"/>
              </w:rPr>
              <w:t>956</w:t>
            </w:r>
          </w:p>
        </w:tc>
      </w:tr>
    </w:tbl>
    <w:p w14:paraId="27B2E1DC" w14:textId="5AE00DB7" w:rsidR="00803C30" w:rsidRPr="001F7441" w:rsidRDefault="00B570AB" w:rsidP="00B570AB">
      <w:pPr>
        <w:pStyle w:val="Heading2"/>
      </w:pPr>
      <w:bookmarkStart w:id="32" w:name="_Toc33186641"/>
      <w:r>
        <w:t>9</w:t>
      </w:r>
      <w:r w:rsidR="00803C30">
        <w:t>.</w:t>
      </w:r>
      <w:r>
        <w:t>4.</w:t>
      </w:r>
      <w:r w:rsidR="00803C30">
        <w:t xml:space="preserve"> </w:t>
      </w:r>
      <w:r>
        <w:tab/>
      </w:r>
      <w:r w:rsidR="00803C30" w:rsidRPr="001F7441">
        <w:t>Autoceļu lietošanas nodeva</w:t>
      </w:r>
      <w:bookmarkEnd w:id="32"/>
    </w:p>
    <w:p w14:paraId="148F7703" w14:textId="77777777" w:rsidR="00803C30" w:rsidRPr="00803C30" w:rsidRDefault="00803C30" w:rsidP="00803C30">
      <w:pPr>
        <w:widowControl w:val="0"/>
        <w:tabs>
          <w:tab w:val="left" w:pos="993"/>
        </w:tabs>
        <w:ind w:firstLine="709"/>
        <w:contextualSpacing/>
        <w:jc w:val="both"/>
        <w:rPr>
          <w:sz w:val="26"/>
          <w:szCs w:val="26"/>
        </w:rPr>
      </w:pPr>
      <w:r w:rsidRPr="00803C30">
        <w:rPr>
          <w:b/>
          <w:sz w:val="26"/>
          <w:szCs w:val="26"/>
        </w:rPr>
        <w:t>Satiksmes ministrijas priekšlikum</w:t>
      </w:r>
      <w:r>
        <w:rPr>
          <w:b/>
          <w:sz w:val="26"/>
          <w:szCs w:val="26"/>
        </w:rPr>
        <w:t>i:</w:t>
      </w:r>
    </w:p>
    <w:p w14:paraId="5ED56982" w14:textId="7C7B80C1" w:rsidR="00803C30" w:rsidRPr="00803C30" w:rsidRDefault="00803C30" w:rsidP="00003E4D">
      <w:pPr>
        <w:widowControl w:val="0"/>
        <w:numPr>
          <w:ilvl w:val="0"/>
          <w:numId w:val="47"/>
        </w:numPr>
        <w:tabs>
          <w:tab w:val="left" w:pos="1134"/>
        </w:tabs>
        <w:ind w:left="1134" w:hanging="425"/>
        <w:contextualSpacing/>
        <w:jc w:val="both"/>
        <w:rPr>
          <w:sz w:val="26"/>
          <w:szCs w:val="26"/>
        </w:rPr>
      </w:pPr>
      <w:r>
        <w:rPr>
          <w:sz w:val="26"/>
          <w:szCs w:val="26"/>
        </w:rPr>
        <w:t>i</w:t>
      </w:r>
      <w:r w:rsidRPr="00803C30">
        <w:rPr>
          <w:sz w:val="26"/>
          <w:szCs w:val="26"/>
        </w:rPr>
        <w:t>eviest ALN kravas transportlīdzekļiem ar pilnu masu līdz 3000 kg</w:t>
      </w:r>
      <w:r>
        <w:rPr>
          <w:sz w:val="26"/>
          <w:szCs w:val="26"/>
        </w:rPr>
        <w:t>.</w:t>
      </w:r>
      <w:r w:rsidRPr="00803C30">
        <w:rPr>
          <w:sz w:val="26"/>
          <w:szCs w:val="26"/>
        </w:rPr>
        <w:t xml:space="preserve"> </w:t>
      </w:r>
      <w:r w:rsidR="00164FD5" w:rsidRPr="00FB76C4">
        <w:rPr>
          <w:sz w:val="26"/>
          <w:szCs w:val="26"/>
        </w:rPr>
        <w:t xml:space="preserve">Satiksmes ministrijas novērtētā </w:t>
      </w:r>
      <w:r w:rsidR="00164FD5">
        <w:rPr>
          <w:sz w:val="26"/>
          <w:szCs w:val="26"/>
        </w:rPr>
        <w:t>p</w:t>
      </w:r>
      <w:r w:rsidRPr="00803C30">
        <w:rPr>
          <w:sz w:val="26"/>
          <w:szCs w:val="26"/>
        </w:rPr>
        <w:t xml:space="preserve">rovizoriskā ietekme uz budžetu ir līdz </w:t>
      </w:r>
      <w:r w:rsidRPr="00803C30">
        <w:rPr>
          <w:b/>
          <w:color w:val="00B050"/>
          <w:sz w:val="26"/>
          <w:szCs w:val="26"/>
        </w:rPr>
        <w:t>+8</w:t>
      </w:r>
      <w:r w:rsidRPr="00803C30">
        <w:rPr>
          <w:b/>
          <w:sz w:val="26"/>
          <w:szCs w:val="26"/>
        </w:rPr>
        <w:t xml:space="preserve"> milj.</w:t>
      </w:r>
      <w:r w:rsidRPr="00803C30">
        <w:rPr>
          <w:sz w:val="26"/>
          <w:szCs w:val="26"/>
        </w:rPr>
        <w:t xml:space="preserve"> </w:t>
      </w:r>
      <w:r w:rsidRPr="00803C30">
        <w:rPr>
          <w:i/>
          <w:sz w:val="26"/>
          <w:szCs w:val="26"/>
        </w:rPr>
        <w:t>euro</w:t>
      </w:r>
      <w:r w:rsidRPr="00803C30">
        <w:rPr>
          <w:sz w:val="26"/>
          <w:szCs w:val="26"/>
        </w:rPr>
        <w:t>;</w:t>
      </w:r>
    </w:p>
    <w:p w14:paraId="3C3D7BA4" w14:textId="5756556F" w:rsidR="00803C30" w:rsidRDefault="00803C30" w:rsidP="00003E4D">
      <w:pPr>
        <w:widowControl w:val="0"/>
        <w:numPr>
          <w:ilvl w:val="0"/>
          <w:numId w:val="47"/>
        </w:numPr>
        <w:tabs>
          <w:tab w:val="left" w:pos="1134"/>
        </w:tabs>
        <w:ind w:left="1134" w:hanging="425"/>
        <w:contextualSpacing/>
        <w:jc w:val="both"/>
        <w:rPr>
          <w:sz w:val="26"/>
          <w:szCs w:val="26"/>
        </w:rPr>
      </w:pPr>
      <w:r>
        <w:rPr>
          <w:sz w:val="26"/>
          <w:szCs w:val="26"/>
        </w:rPr>
        <w:t>i</w:t>
      </w:r>
      <w:r w:rsidRPr="00803C30">
        <w:rPr>
          <w:sz w:val="26"/>
          <w:szCs w:val="26"/>
        </w:rPr>
        <w:t>eviest ALN piemērošanu autobusiem un T5 kategorijas riteņtraktoriem, kuri konstruktīvi paredzēti braukšanai ar ātrumu, kas pārsniedz 40 km/h</w:t>
      </w:r>
      <w:r w:rsidR="00164FD5">
        <w:rPr>
          <w:sz w:val="26"/>
          <w:szCs w:val="26"/>
        </w:rPr>
        <w:t>.</w:t>
      </w:r>
      <w:r w:rsidRPr="00803C30">
        <w:rPr>
          <w:sz w:val="26"/>
          <w:szCs w:val="26"/>
        </w:rPr>
        <w:t xml:space="preserve"> </w:t>
      </w:r>
      <w:r w:rsidR="00164FD5" w:rsidRPr="00FB76C4">
        <w:rPr>
          <w:sz w:val="26"/>
          <w:szCs w:val="26"/>
        </w:rPr>
        <w:t xml:space="preserve">Satiksmes ministrijas novērtētā </w:t>
      </w:r>
      <w:r w:rsidR="00164FD5">
        <w:rPr>
          <w:sz w:val="26"/>
          <w:szCs w:val="26"/>
        </w:rPr>
        <w:t>p</w:t>
      </w:r>
      <w:r w:rsidRPr="00803C30">
        <w:rPr>
          <w:sz w:val="26"/>
          <w:szCs w:val="26"/>
        </w:rPr>
        <w:t xml:space="preserve">rovizoriskā ietekme uz budžetu ir līdz </w:t>
      </w:r>
      <w:r w:rsidRPr="00803C30">
        <w:rPr>
          <w:b/>
          <w:color w:val="00B050"/>
          <w:sz w:val="26"/>
          <w:szCs w:val="26"/>
        </w:rPr>
        <w:t>+4</w:t>
      </w:r>
      <w:r w:rsidRPr="00803C30">
        <w:rPr>
          <w:b/>
          <w:sz w:val="26"/>
          <w:szCs w:val="26"/>
        </w:rPr>
        <w:t xml:space="preserve"> milj.</w:t>
      </w:r>
      <w:r w:rsidRPr="00803C30">
        <w:rPr>
          <w:sz w:val="26"/>
          <w:szCs w:val="26"/>
        </w:rPr>
        <w:t xml:space="preserve"> </w:t>
      </w:r>
      <w:r w:rsidRPr="00803C30">
        <w:rPr>
          <w:i/>
          <w:sz w:val="26"/>
          <w:szCs w:val="26"/>
        </w:rPr>
        <w:t>euro</w:t>
      </w:r>
      <w:r>
        <w:rPr>
          <w:i/>
          <w:sz w:val="26"/>
          <w:szCs w:val="26"/>
        </w:rPr>
        <w:t>;</w:t>
      </w:r>
    </w:p>
    <w:p w14:paraId="1DBD0D22" w14:textId="610142C8" w:rsidR="00803C30" w:rsidRPr="00803C30" w:rsidRDefault="00803C30" w:rsidP="00003E4D">
      <w:pPr>
        <w:widowControl w:val="0"/>
        <w:numPr>
          <w:ilvl w:val="0"/>
          <w:numId w:val="47"/>
        </w:numPr>
        <w:tabs>
          <w:tab w:val="left" w:pos="1134"/>
        </w:tabs>
        <w:ind w:left="1134" w:hanging="425"/>
        <w:contextualSpacing/>
        <w:jc w:val="both"/>
        <w:rPr>
          <w:sz w:val="26"/>
          <w:szCs w:val="26"/>
        </w:rPr>
      </w:pPr>
      <w:r w:rsidRPr="00803C30">
        <w:rPr>
          <w:sz w:val="26"/>
          <w:szCs w:val="26"/>
        </w:rPr>
        <w:t>ieviest ALN (vinjetes) piemērošanu vieglajiem transportlīdzekļiem, vienlaikus samazinot TEN visiem transportlīdzekļiem līdz 50%, kas reģistrēti Latvijā</w:t>
      </w:r>
      <w:r w:rsidR="003D1112">
        <w:rPr>
          <w:sz w:val="26"/>
          <w:szCs w:val="26"/>
        </w:rPr>
        <w:t xml:space="preserve"> (skat. 9.1.apakšnodaļas SM 4.priekšlikumu)</w:t>
      </w:r>
      <w:r w:rsidRPr="00803C30">
        <w:rPr>
          <w:sz w:val="26"/>
          <w:szCs w:val="26"/>
        </w:rPr>
        <w:t xml:space="preserve">. Mērķis: piesārņotājs maksā. </w:t>
      </w:r>
      <w:r w:rsidR="003D1112" w:rsidRPr="00E550CD">
        <w:rPr>
          <w:sz w:val="26"/>
          <w:szCs w:val="26"/>
        </w:rPr>
        <w:t>Satiksmes ministrijas novērtētā</w:t>
      </w:r>
      <w:r w:rsidR="003D1112" w:rsidRPr="002977A4">
        <w:rPr>
          <w:sz w:val="26"/>
          <w:szCs w:val="26"/>
        </w:rPr>
        <w:t xml:space="preserve"> provizoriskā ietekme</w:t>
      </w:r>
      <w:r w:rsidR="003D1112">
        <w:rPr>
          <w:sz w:val="26"/>
          <w:szCs w:val="26"/>
        </w:rPr>
        <w:t xml:space="preserve"> uz budžetu:</w:t>
      </w:r>
      <w:r w:rsidR="003D1112" w:rsidRPr="002977A4">
        <w:rPr>
          <w:sz w:val="26"/>
          <w:szCs w:val="26"/>
        </w:rPr>
        <w:t xml:space="preserve"> </w:t>
      </w:r>
      <w:r w:rsidR="003D1112">
        <w:rPr>
          <w:sz w:val="26"/>
          <w:szCs w:val="26"/>
        </w:rPr>
        <w:t xml:space="preserve">no </w:t>
      </w:r>
      <w:r w:rsidR="003D1112" w:rsidRPr="007775B5">
        <w:rPr>
          <w:sz w:val="26"/>
          <w:szCs w:val="26"/>
          <w:u w:val="single"/>
        </w:rPr>
        <w:t>TEN likmes samazināšanas par 50%</w:t>
      </w:r>
      <w:r w:rsidR="003D1112" w:rsidRPr="002977A4">
        <w:rPr>
          <w:b/>
          <w:sz w:val="26"/>
          <w:szCs w:val="26"/>
        </w:rPr>
        <w:t xml:space="preserve"> </w:t>
      </w:r>
      <w:r w:rsidR="003D1112" w:rsidRPr="002977A4">
        <w:rPr>
          <w:b/>
          <w:color w:val="FF0000"/>
          <w:sz w:val="26"/>
          <w:szCs w:val="26"/>
        </w:rPr>
        <w:t xml:space="preserve">-54 </w:t>
      </w:r>
      <w:r w:rsidR="003D1112" w:rsidRPr="002977A4">
        <w:rPr>
          <w:b/>
          <w:sz w:val="26"/>
          <w:szCs w:val="26"/>
        </w:rPr>
        <w:t xml:space="preserve">milj. </w:t>
      </w:r>
      <w:r w:rsidR="003D1112" w:rsidRPr="002977A4">
        <w:rPr>
          <w:i/>
          <w:sz w:val="26"/>
          <w:szCs w:val="26"/>
        </w:rPr>
        <w:t>euro</w:t>
      </w:r>
      <w:r w:rsidR="003D1112">
        <w:rPr>
          <w:sz w:val="26"/>
          <w:szCs w:val="26"/>
        </w:rPr>
        <w:t xml:space="preserve">, savukārt </w:t>
      </w:r>
      <w:r w:rsidR="003D1112" w:rsidRPr="007775B5">
        <w:rPr>
          <w:sz w:val="26"/>
          <w:szCs w:val="26"/>
          <w:u w:val="single"/>
        </w:rPr>
        <w:t>no ANL ieviešanas visiem transportlīdzekļiem</w:t>
      </w:r>
      <w:r w:rsidR="003D1112">
        <w:rPr>
          <w:sz w:val="26"/>
          <w:szCs w:val="26"/>
        </w:rPr>
        <w:t xml:space="preserve"> </w:t>
      </w:r>
      <w:r w:rsidR="003D1112" w:rsidRPr="002977A4">
        <w:rPr>
          <w:color w:val="00B050"/>
          <w:sz w:val="26"/>
          <w:szCs w:val="26"/>
        </w:rPr>
        <w:t>+</w:t>
      </w:r>
      <w:r w:rsidR="003D1112" w:rsidRPr="002977A4">
        <w:rPr>
          <w:b/>
          <w:color w:val="00B050"/>
          <w:sz w:val="26"/>
          <w:szCs w:val="26"/>
        </w:rPr>
        <w:t>5</w:t>
      </w:r>
      <w:r w:rsidR="003D1112">
        <w:rPr>
          <w:b/>
          <w:color w:val="00B050"/>
          <w:sz w:val="26"/>
          <w:szCs w:val="26"/>
        </w:rPr>
        <w:t>5</w:t>
      </w:r>
      <w:r w:rsidR="003D1112" w:rsidRPr="002977A4">
        <w:rPr>
          <w:b/>
          <w:color w:val="00B050"/>
          <w:sz w:val="26"/>
          <w:szCs w:val="26"/>
        </w:rPr>
        <w:t xml:space="preserve"> </w:t>
      </w:r>
      <w:r w:rsidR="003D1112" w:rsidRPr="002977A4">
        <w:rPr>
          <w:b/>
          <w:sz w:val="26"/>
          <w:szCs w:val="26"/>
        </w:rPr>
        <w:t xml:space="preserve">milj. </w:t>
      </w:r>
      <w:r w:rsidR="003D1112" w:rsidRPr="002977A4">
        <w:rPr>
          <w:i/>
          <w:sz w:val="26"/>
          <w:szCs w:val="26"/>
        </w:rPr>
        <w:t>euro</w:t>
      </w:r>
      <w:r w:rsidRPr="00803C30">
        <w:rPr>
          <w:sz w:val="26"/>
          <w:szCs w:val="26"/>
        </w:rPr>
        <w:t>.</w:t>
      </w:r>
    </w:p>
    <w:p w14:paraId="78ADA0EC" w14:textId="77777777" w:rsidR="00803C30" w:rsidRDefault="00803C30" w:rsidP="00803C30">
      <w:pPr>
        <w:rPr>
          <w:sz w:val="26"/>
          <w:szCs w:val="26"/>
        </w:rPr>
      </w:pPr>
    </w:p>
    <w:p w14:paraId="38037A31" w14:textId="27ADEFE3" w:rsidR="00003E4D" w:rsidRDefault="00803C30" w:rsidP="00003E4D">
      <w:pPr>
        <w:ind w:firstLine="709"/>
        <w:rPr>
          <w:i/>
          <w:sz w:val="26"/>
          <w:szCs w:val="26"/>
        </w:rPr>
      </w:pPr>
      <w:r w:rsidRPr="00803C30">
        <w:rPr>
          <w:sz w:val="26"/>
          <w:szCs w:val="26"/>
        </w:rPr>
        <w:t xml:space="preserve">Kopējā </w:t>
      </w:r>
      <w:r w:rsidR="00164FD5" w:rsidRPr="00FB76C4">
        <w:rPr>
          <w:sz w:val="26"/>
          <w:szCs w:val="26"/>
        </w:rPr>
        <w:t xml:space="preserve">Satiksmes ministrijas novērtētā </w:t>
      </w:r>
      <w:r w:rsidR="00164FD5">
        <w:rPr>
          <w:sz w:val="26"/>
          <w:szCs w:val="26"/>
        </w:rPr>
        <w:t>p</w:t>
      </w:r>
      <w:r w:rsidR="00164FD5" w:rsidRPr="00803C30">
        <w:rPr>
          <w:sz w:val="26"/>
          <w:szCs w:val="26"/>
        </w:rPr>
        <w:t xml:space="preserve">rovizoriskā </w:t>
      </w:r>
      <w:r w:rsidRPr="00803C30">
        <w:rPr>
          <w:sz w:val="26"/>
          <w:szCs w:val="26"/>
        </w:rPr>
        <w:t xml:space="preserve">ietekme uz budžetu ir līdz </w:t>
      </w:r>
      <w:r w:rsidRPr="00803C30">
        <w:rPr>
          <w:b/>
          <w:color w:val="00B050"/>
          <w:sz w:val="26"/>
          <w:szCs w:val="26"/>
        </w:rPr>
        <w:t xml:space="preserve">+67 </w:t>
      </w:r>
      <w:r w:rsidRPr="00803C30">
        <w:rPr>
          <w:b/>
          <w:sz w:val="26"/>
          <w:szCs w:val="26"/>
        </w:rPr>
        <w:t>milj.</w:t>
      </w:r>
      <w:r w:rsidRPr="00803C30">
        <w:rPr>
          <w:sz w:val="26"/>
          <w:szCs w:val="26"/>
        </w:rPr>
        <w:t xml:space="preserve"> </w:t>
      </w:r>
      <w:r w:rsidRPr="00803C30">
        <w:rPr>
          <w:i/>
          <w:sz w:val="26"/>
          <w:szCs w:val="26"/>
        </w:rPr>
        <w:t>euro</w:t>
      </w:r>
      <w:r>
        <w:rPr>
          <w:i/>
          <w:sz w:val="26"/>
          <w:szCs w:val="26"/>
        </w:rPr>
        <w:t>.</w:t>
      </w:r>
    </w:p>
    <w:p w14:paraId="78737866" w14:textId="77777777" w:rsidR="00003E4D" w:rsidRDefault="00003E4D" w:rsidP="00003E4D">
      <w:pPr>
        <w:ind w:firstLine="709"/>
        <w:rPr>
          <w:i/>
          <w:sz w:val="26"/>
          <w:szCs w:val="26"/>
        </w:rPr>
      </w:pPr>
    </w:p>
    <w:p w14:paraId="00DECFA7" w14:textId="29C1E27C" w:rsidR="00003E4D" w:rsidRPr="00003E4D" w:rsidRDefault="00B570AB" w:rsidP="00B570AB">
      <w:pPr>
        <w:pStyle w:val="Heading2"/>
        <w:tabs>
          <w:tab w:val="left" w:pos="709"/>
        </w:tabs>
        <w:ind w:left="709" w:hanging="709"/>
        <w:jc w:val="both"/>
      </w:pPr>
      <w:bookmarkStart w:id="33" w:name="_Toc33186642"/>
      <w:r>
        <w:t>9</w:t>
      </w:r>
      <w:r w:rsidR="00003E4D">
        <w:t>.</w:t>
      </w:r>
      <w:r>
        <w:t>5.</w:t>
      </w:r>
      <w:r w:rsidR="00003E4D">
        <w:t xml:space="preserve"> </w:t>
      </w:r>
      <w:r>
        <w:tab/>
      </w:r>
      <w:r w:rsidR="00003E4D" w:rsidRPr="00003E4D">
        <w:t>Valsts nodeva par lielgabarīta un smagsvara pārvadājumu atļaujas izsniegšanu</w:t>
      </w:r>
      <w:bookmarkEnd w:id="33"/>
    </w:p>
    <w:p w14:paraId="7ED0F109" w14:textId="5EB6FDC1" w:rsidR="00727C2C" w:rsidRPr="00003E4D" w:rsidRDefault="00003E4D" w:rsidP="00003E4D">
      <w:pPr>
        <w:spacing w:after="120"/>
        <w:ind w:firstLine="720"/>
        <w:contextualSpacing/>
        <w:jc w:val="both"/>
        <w:rPr>
          <w:sz w:val="26"/>
          <w:szCs w:val="26"/>
        </w:rPr>
      </w:pPr>
      <w:r w:rsidRPr="00803C30">
        <w:rPr>
          <w:b/>
          <w:sz w:val="26"/>
          <w:szCs w:val="26"/>
        </w:rPr>
        <w:t xml:space="preserve">Satiksmes ministrijas </w:t>
      </w:r>
      <w:r w:rsidRPr="00003E4D">
        <w:rPr>
          <w:b/>
          <w:sz w:val="26"/>
          <w:szCs w:val="26"/>
        </w:rPr>
        <w:t>priekšlikums:</w:t>
      </w:r>
      <w:r>
        <w:rPr>
          <w:sz w:val="26"/>
          <w:szCs w:val="26"/>
        </w:rPr>
        <w:t xml:space="preserve"> p</w:t>
      </w:r>
      <w:r w:rsidRPr="00003E4D">
        <w:rPr>
          <w:sz w:val="26"/>
          <w:szCs w:val="26"/>
        </w:rPr>
        <w:t xml:space="preserve">ārskatīt no 2021.gada nodevas par lielgabarīta un smagsvara pārvadājumu atļaujas izsniegšanu un pilnveidot nodevas aprēķināšanas metodoloģiju. </w:t>
      </w:r>
      <w:r w:rsidR="00164FD5" w:rsidRPr="00FB76C4">
        <w:rPr>
          <w:sz w:val="26"/>
          <w:szCs w:val="26"/>
        </w:rPr>
        <w:t xml:space="preserve">Satiksmes ministrijas novērtētā </w:t>
      </w:r>
      <w:r w:rsidR="00164FD5">
        <w:rPr>
          <w:sz w:val="26"/>
          <w:szCs w:val="26"/>
        </w:rPr>
        <w:t>p</w:t>
      </w:r>
      <w:r w:rsidRPr="00003E4D">
        <w:rPr>
          <w:sz w:val="26"/>
          <w:szCs w:val="26"/>
        </w:rPr>
        <w:t xml:space="preserve">rovizoriskā ietekme uz budžetu </w:t>
      </w:r>
      <w:r w:rsidRPr="00003E4D">
        <w:rPr>
          <w:b/>
          <w:color w:val="00B050"/>
          <w:sz w:val="26"/>
          <w:szCs w:val="26"/>
        </w:rPr>
        <w:t xml:space="preserve">+1,5 </w:t>
      </w:r>
      <w:r w:rsidRPr="00003E4D">
        <w:rPr>
          <w:b/>
          <w:sz w:val="26"/>
          <w:szCs w:val="26"/>
        </w:rPr>
        <w:t>milj.</w:t>
      </w:r>
      <w:r w:rsidRPr="00003E4D">
        <w:rPr>
          <w:sz w:val="26"/>
          <w:szCs w:val="26"/>
        </w:rPr>
        <w:t xml:space="preserve"> </w:t>
      </w:r>
      <w:r w:rsidRPr="00003E4D">
        <w:rPr>
          <w:i/>
          <w:sz w:val="26"/>
          <w:szCs w:val="26"/>
        </w:rPr>
        <w:t>euro</w:t>
      </w:r>
      <w:r>
        <w:rPr>
          <w:sz w:val="26"/>
          <w:szCs w:val="26"/>
        </w:rPr>
        <w:t>.</w:t>
      </w:r>
    </w:p>
    <w:p w14:paraId="30BBEF64" w14:textId="77777777" w:rsidR="00003E4D" w:rsidRDefault="00003E4D">
      <w:pPr>
        <w:rPr>
          <w:rFonts w:ascii="Times New Roman Bold" w:eastAsia="Times New Roman" w:hAnsi="Times New Roman Bold" w:cs="Times New Roman"/>
          <w:b/>
          <w:sz w:val="40"/>
          <w:szCs w:val="24"/>
          <w:lang w:eastAsia="lv-LV"/>
        </w:rPr>
      </w:pPr>
      <w:r>
        <w:br w:type="page"/>
      </w:r>
    </w:p>
    <w:p w14:paraId="34DB9DC7" w14:textId="6B4BC42D" w:rsidR="005177A5" w:rsidRPr="00FE1E37" w:rsidRDefault="00D32D77" w:rsidP="005177A5">
      <w:pPr>
        <w:pStyle w:val="Heading1"/>
      </w:pPr>
      <w:bookmarkStart w:id="34" w:name="_Toc33186643"/>
      <w:r>
        <w:lastRenderedPageBreak/>
        <w:t>1</w:t>
      </w:r>
      <w:r w:rsidR="00B570AB">
        <w:t>0</w:t>
      </w:r>
      <w:r w:rsidR="005177A5">
        <w:t>. Digitālās ekonomikas nodokļu izaicinājumi</w:t>
      </w:r>
      <w:bookmarkEnd w:id="34"/>
      <w:r w:rsidR="005177A5">
        <w:t xml:space="preserve"> </w:t>
      </w:r>
    </w:p>
    <w:p w14:paraId="6840BBF3" w14:textId="77777777" w:rsidR="006839E3" w:rsidRPr="006839E3" w:rsidRDefault="006839E3" w:rsidP="006839E3">
      <w:pPr>
        <w:spacing w:after="120"/>
        <w:ind w:firstLine="709"/>
        <w:jc w:val="both"/>
        <w:rPr>
          <w:rFonts w:cs="Times New Roman"/>
          <w:sz w:val="26"/>
          <w:szCs w:val="26"/>
        </w:rPr>
      </w:pPr>
      <w:r w:rsidRPr="006839E3">
        <w:rPr>
          <w:rFonts w:cs="Times New Roman"/>
          <w:sz w:val="26"/>
          <w:szCs w:val="26"/>
        </w:rPr>
        <w:t xml:space="preserve">OECD līmenī </w:t>
      </w:r>
      <w:r>
        <w:rPr>
          <w:rFonts w:cs="Times New Roman"/>
          <w:sz w:val="26"/>
          <w:szCs w:val="26"/>
        </w:rPr>
        <w:t>a</w:t>
      </w:r>
      <w:r w:rsidRPr="006839E3">
        <w:rPr>
          <w:rFonts w:cs="Times New Roman"/>
          <w:sz w:val="26"/>
          <w:szCs w:val="26"/>
        </w:rPr>
        <w:t>ktīvi turpinās</w:t>
      </w:r>
      <w:r>
        <w:rPr>
          <w:rFonts w:cs="Times New Roman"/>
          <w:sz w:val="26"/>
          <w:szCs w:val="26"/>
        </w:rPr>
        <w:t xml:space="preserve"> </w:t>
      </w:r>
      <w:r w:rsidRPr="006839E3">
        <w:rPr>
          <w:rFonts w:cs="Times New Roman"/>
          <w:sz w:val="26"/>
          <w:szCs w:val="26"/>
        </w:rPr>
        <w:t>darb</w:t>
      </w:r>
      <w:r>
        <w:rPr>
          <w:rFonts w:cs="Times New Roman"/>
          <w:sz w:val="26"/>
          <w:szCs w:val="26"/>
        </w:rPr>
        <w:t>s</w:t>
      </w:r>
      <w:r w:rsidRPr="006839E3">
        <w:rPr>
          <w:rFonts w:cs="Times New Roman"/>
          <w:sz w:val="26"/>
          <w:szCs w:val="26"/>
        </w:rPr>
        <w:t xml:space="preserve"> pie vienošanās par globālo risinājumu attiecībā uz nodokļu uzlikšanu digitālo uzņēmējsabiedrību peļņai, kura patreiz netiek aplikta ar nodokļiem to tirgus vai lietotāju jurisdikcijās. Vienota un globāla starptautisko nodokļu noteikumu saskaņota maiņa nodrošinās jaunā risinājuma koordinētu ieviešanu, nodrošinot tā atbilstību starptautiskajiem nodokļu līgumiem un tiesībām. Tā kā nodokļu uzlikšanas tiesības realizēt gadījumos, kad uzņēmumam nav fiziskas pārstāvniecības valstī, ir iespējams tikai ciešas starpvalstu sadarbības rezultātā, pēc iespējas plašākas starptautiskās vienošanās panākšana ir Latvijas interesēs, kas var nodrošināt efektīvu un ieņēmumiem atbilstošu administrēšanas sistēmu. </w:t>
      </w:r>
    </w:p>
    <w:p w14:paraId="16773F42" w14:textId="77777777" w:rsidR="006839E3" w:rsidRPr="006839E3" w:rsidRDefault="006839E3" w:rsidP="006839E3">
      <w:pPr>
        <w:spacing w:after="120"/>
        <w:ind w:firstLine="709"/>
        <w:jc w:val="both"/>
        <w:rPr>
          <w:rFonts w:cs="Times New Roman"/>
          <w:sz w:val="26"/>
          <w:szCs w:val="26"/>
        </w:rPr>
      </w:pPr>
      <w:r>
        <w:rPr>
          <w:rFonts w:cs="Times New Roman"/>
          <w:sz w:val="26"/>
          <w:szCs w:val="26"/>
        </w:rPr>
        <w:t>Tāpat a</w:t>
      </w:r>
      <w:r w:rsidRPr="006839E3">
        <w:rPr>
          <w:rFonts w:cs="Times New Roman"/>
          <w:sz w:val="26"/>
          <w:szCs w:val="26"/>
        </w:rPr>
        <w:t>ktīvi turpinās</w:t>
      </w:r>
      <w:r>
        <w:rPr>
          <w:rFonts w:cs="Times New Roman"/>
          <w:sz w:val="26"/>
          <w:szCs w:val="26"/>
        </w:rPr>
        <w:t xml:space="preserve"> </w:t>
      </w:r>
      <w:r w:rsidRPr="006839E3">
        <w:rPr>
          <w:rFonts w:cs="Times New Roman"/>
          <w:sz w:val="26"/>
          <w:szCs w:val="26"/>
        </w:rPr>
        <w:t>darb</w:t>
      </w:r>
      <w:r>
        <w:rPr>
          <w:rFonts w:cs="Times New Roman"/>
          <w:sz w:val="26"/>
          <w:szCs w:val="26"/>
        </w:rPr>
        <w:t>s</w:t>
      </w:r>
      <w:r w:rsidRPr="006839E3">
        <w:rPr>
          <w:rFonts w:cs="Times New Roman"/>
          <w:sz w:val="26"/>
          <w:szCs w:val="26"/>
        </w:rPr>
        <w:t xml:space="preserve"> ES līmenī, apzinot dalībvalstu pozīcijas un sekojot līdzi jauno risinājumu atbilstīb</w:t>
      </w:r>
      <w:r>
        <w:rPr>
          <w:rFonts w:cs="Times New Roman"/>
          <w:sz w:val="26"/>
          <w:szCs w:val="26"/>
        </w:rPr>
        <w:t>ai</w:t>
      </w:r>
      <w:r w:rsidRPr="006839E3">
        <w:rPr>
          <w:rFonts w:cs="Times New Roman"/>
          <w:sz w:val="26"/>
          <w:szCs w:val="26"/>
        </w:rPr>
        <w:t xml:space="preserve"> ES tiesībām izvērtēšanā</w:t>
      </w:r>
      <w:r>
        <w:rPr>
          <w:rFonts w:cs="Times New Roman"/>
          <w:sz w:val="26"/>
          <w:szCs w:val="26"/>
        </w:rPr>
        <w:t>. Latvijas puse</w:t>
      </w:r>
      <w:r w:rsidRPr="006839E3">
        <w:rPr>
          <w:rFonts w:cs="Times New Roman"/>
          <w:sz w:val="26"/>
          <w:szCs w:val="26"/>
        </w:rPr>
        <w:t xml:space="preserve"> iestāsies par kopīgu administrēšanas sistēmas izveidi</w:t>
      </w:r>
      <w:r>
        <w:rPr>
          <w:rFonts w:cs="Times New Roman"/>
          <w:sz w:val="26"/>
          <w:szCs w:val="26"/>
        </w:rPr>
        <w:t xml:space="preserve"> un</w:t>
      </w:r>
      <w:r w:rsidRPr="006839E3">
        <w:rPr>
          <w:rFonts w:cs="Times New Roman"/>
          <w:sz w:val="26"/>
          <w:szCs w:val="26"/>
        </w:rPr>
        <w:t xml:space="preserve"> </w:t>
      </w:r>
      <w:r>
        <w:rPr>
          <w:rFonts w:cs="Times New Roman"/>
          <w:sz w:val="26"/>
          <w:szCs w:val="26"/>
        </w:rPr>
        <w:t>n</w:t>
      </w:r>
      <w:r w:rsidRPr="006839E3">
        <w:rPr>
          <w:rFonts w:cs="Times New Roman"/>
          <w:sz w:val="26"/>
          <w:szCs w:val="26"/>
        </w:rPr>
        <w:t>epieciešamības gadījumā piedalīs</w:t>
      </w:r>
      <w:r>
        <w:rPr>
          <w:rFonts w:cs="Times New Roman"/>
          <w:sz w:val="26"/>
          <w:szCs w:val="26"/>
        </w:rPr>
        <w:t>i</w:t>
      </w:r>
      <w:r w:rsidRPr="006839E3">
        <w:rPr>
          <w:rFonts w:cs="Times New Roman"/>
          <w:sz w:val="26"/>
          <w:szCs w:val="26"/>
        </w:rPr>
        <w:t xml:space="preserve">es kopēja ES risinājuma izstrādē. </w:t>
      </w:r>
    </w:p>
    <w:p w14:paraId="77C2829E" w14:textId="77777777" w:rsidR="006839E3" w:rsidRPr="006839E3" w:rsidRDefault="006839E3" w:rsidP="006839E3">
      <w:pPr>
        <w:spacing w:after="120"/>
        <w:ind w:firstLine="709"/>
        <w:jc w:val="both"/>
        <w:rPr>
          <w:rFonts w:cs="Times New Roman"/>
          <w:sz w:val="26"/>
          <w:szCs w:val="26"/>
        </w:rPr>
      </w:pPr>
      <w:r>
        <w:rPr>
          <w:rFonts w:cs="Times New Roman"/>
          <w:sz w:val="26"/>
          <w:szCs w:val="26"/>
        </w:rPr>
        <w:t>Ministru kabinets tiks</w:t>
      </w:r>
      <w:r w:rsidRPr="006839E3">
        <w:rPr>
          <w:rFonts w:cs="Times New Roman"/>
          <w:sz w:val="26"/>
          <w:szCs w:val="26"/>
        </w:rPr>
        <w:t xml:space="preserve"> </w:t>
      </w:r>
      <w:r>
        <w:rPr>
          <w:rFonts w:cs="Times New Roman"/>
          <w:sz w:val="26"/>
          <w:szCs w:val="26"/>
        </w:rPr>
        <w:t>s</w:t>
      </w:r>
      <w:r w:rsidRPr="006839E3">
        <w:rPr>
          <w:rFonts w:cs="Times New Roman"/>
          <w:sz w:val="26"/>
          <w:szCs w:val="26"/>
        </w:rPr>
        <w:t>avlaicīgi informē</w:t>
      </w:r>
      <w:r>
        <w:rPr>
          <w:rFonts w:cs="Times New Roman"/>
          <w:sz w:val="26"/>
          <w:szCs w:val="26"/>
        </w:rPr>
        <w:t>t</w:t>
      </w:r>
      <w:r w:rsidRPr="006839E3">
        <w:rPr>
          <w:rFonts w:cs="Times New Roman"/>
          <w:sz w:val="26"/>
          <w:szCs w:val="26"/>
        </w:rPr>
        <w:t xml:space="preserve">s par progresu OECD vai ES risinājuma izstrādē par iespējamajiem risinājumiem nodokļu uzlikšanai digitālo uzņēmējsabiedrību peļņai. </w:t>
      </w:r>
    </w:p>
    <w:p w14:paraId="7C19D7B6" w14:textId="77777777" w:rsidR="006839E3" w:rsidRPr="006839E3" w:rsidRDefault="006839E3" w:rsidP="006839E3">
      <w:pPr>
        <w:spacing w:before="60" w:after="60"/>
        <w:jc w:val="both"/>
        <w:rPr>
          <w:rFonts w:cs="Times New Roman"/>
          <w:sz w:val="26"/>
          <w:szCs w:val="26"/>
        </w:rPr>
      </w:pPr>
    </w:p>
    <w:p w14:paraId="06756C1D" w14:textId="77777777" w:rsidR="006839E3" w:rsidRPr="006839E3" w:rsidRDefault="006839E3" w:rsidP="006839E3">
      <w:pPr>
        <w:spacing w:after="120"/>
        <w:ind w:left="425"/>
        <w:contextualSpacing/>
        <w:jc w:val="center"/>
        <w:rPr>
          <w:rFonts w:eastAsia="Calibri" w:cs="Times New Roman"/>
          <w:sz w:val="26"/>
          <w:szCs w:val="26"/>
        </w:rPr>
      </w:pPr>
      <w:r w:rsidRPr="006839E3">
        <w:rPr>
          <w:rFonts w:eastAsia="Calibri" w:cs="Times New Roman"/>
          <w:b/>
          <w:sz w:val="26"/>
          <w:szCs w:val="26"/>
        </w:rPr>
        <w:t>Informācijai</w:t>
      </w:r>
    </w:p>
    <w:p w14:paraId="61C145E9" w14:textId="77777777" w:rsidR="006839E3" w:rsidRPr="006839E3" w:rsidRDefault="006839E3" w:rsidP="006839E3">
      <w:pPr>
        <w:spacing w:before="60" w:after="60"/>
        <w:jc w:val="both"/>
        <w:rPr>
          <w:rFonts w:cs="Times New Roman"/>
          <w:sz w:val="26"/>
          <w:szCs w:val="26"/>
        </w:rPr>
      </w:pPr>
    </w:p>
    <w:p w14:paraId="4EA3F062" w14:textId="77777777" w:rsidR="006839E3" w:rsidRPr="006839E3" w:rsidRDefault="006839E3" w:rsidP="006839E3">
      <w:pPr>
        <w:spacing w:before="60" w:after="60"/>
        <w:ind w:firstLine="709"/>
        <w:jc w:val="both"/>
        <w:rPr>
          <w:rFonts w:cs="Times New Roman"/>
          <w:sz w:val="26"/>
          <w:szCs w:val="26"/>
        </w:rPr>
      </w:pPr>
      <w:r w:rsidRPr="006839E3">
        <w:rPr>
          <w:rFonts w:cs="Times New Roman"/>
          <w:sz w:val="26"/>
          <w:szCs w:val="26"/>
        </w:rPr>
        <w:t>Pašreizējie starptautiskie uzņēmējdarbības nodokļu noteikumi, ņemot vērā ekonomikas digitalizācijas paātrināšanos, bieži vien var radīt  neatbilstību starp vietu, kurā peļņa tiek aplikta ar nodokli, un vietu, kurā tiek radīta vērtība. Īpaši tas attiecas uz uzņēmējdarbības modeļiem, kas ir būtiski atkarīgi no lietotāju līdzdalības. Raugoties no nodokļu perspektīvas, tas rada vairākas problēmas. Pirmkārt, ieguldījums, ko uzņēmums gūst no lietotājiem un, kas faktiski ir vērtības radīšana uzņēmumam, var atrasties tādā nodokļu jurisdikcijā, kurā digitālās darbības veicošais uzņēmums fiziski neatrodas (un tādējādi nav reģistrēts nodokļu vajadzībām saskaņā ar pašreizējiem noteikumiem) un kura peļņa, kas gūta no šādām darbībām, tajā nevar tikt aplikta ar nodokli. Otrkārt, pat ja jurisdikcijā, kurā atrodas lietotāji, uzņēmumam ir pastāvīgā pārstāvniecība, lietotāju līdzdalības radītā vērtība netiek ņemta vērā, lemjot par to, cik lielā mērā nodoklis būtu jāmaksā šajā valstī. Tas rada būtiskus riskus gan attiecībā uz godīgas konkurences nodrošināšanu, gan valstu nodokļu ieņēmumiem. Tādejādi patreiz OECD norisinās aktīvs darbs, lai sagatavotu priekšlikumus starptautisko uzņēmumu nodokļu noteikumu izmaiņām, salāgojot tos ar mūsdienu reālo situāciju.</w:t>
      </w:r>
    </w:p>
    <w:p w14:paraId="0249B94B" w14:textId="77777777" w:rsidR="004636FE" w:rsidRDefault="004636FE" w:rsidP="006839E3">
      <w:pPr>
        <w:pStyle w:val="NormalWeb"/>
        <w:jc w:val="center"/>
        <w:rPr>
          <w:b/>
          <w:bCs/>
          <w:color w:val="000000"/>
          <w:sz w:val="26"/>
          <w:szCs w:val="26"/>
        </w:rPr>
      </w:pPr>
    </w:p>
    <w:p w14:paraId="615635FB" w14:textId="77777777" w:rsidR="004636FE" w:rsidRDefault="004636FE" w:rsidP="006839E3">
      <w:pPr>
        <w:pStyle w:val="NormalWeb"/>
        <w:jc w:val="center"/>
        <w:rPr>
          <w:b/>
          <w:bCs/>
          <w:color w:val="000000"/>
          <w:sz w:val="26"/>
          <w:szCs w:val="26"/>
        </w:rPr>
      </w:pPr>
    </w:p>
    <w:p w14:paraId="4361BFD1" w14:textId="77777777" w:rsidR="006839E3" w:rsidRPr="006839E3" w:rsidRDefault="006839E3" w:rsidP="006839E3">
      <w:pPr>
        <w:pStyle w:val="NormalWeb"/>
        <w:jc w:val="center"/>
        <w:rPr>
          <w:b/>
          <w:bCs/>
          <w:color w:val="000000"/>
          <w:sz w:val="26"/>
          <w:szCs w:val="26"/>
        </w:rPr>
      </w:pPr>
      <w:r w:rsidRPr="006839E3">
        <w:rPr>
          <w:b/>
          <w:bCs/>
          <w:color w:val="000000"/>
          <w:sz w:val="26"/>
          <w:szCs w:val="26"/>
        </w:rPr>
        <w:lastRenderedPageBreak/>
        <w:t xml:space="preserve">Darbs OECD </w:t>
      </w:r>
    </w:p>
    <w:p w14:paraId="18089968" w14:textId="77777777" w:rsidR="006839E3" w:rsidRPr="006839E3" w:rsidRDefault="006839E3" w:rsidP="004636FE">
      <w:pPr>
        <w:pStyle w:val="NormalWeb"/>
        <w:spacing w:before="0" w:beforeAutospacing="0" w:after="120" w:afterAutospacing="0"/>
        <w:ind w:firstLine="709"/>
        <w:rPr>
          <w:sz w:val="26"/>
          <w:szCs w:val="26"/>
        </w:rPr>
      </w:pPr>
      <w:r w:rsidRPr="006839E3">
        <w:rPr>
          <w:color w:val="000000"/>
          <w:sz w:val="26"/>
          <w:szCs w:val="26"/>
        </w:rPr>
        <w:t xml:space="preserve">2019.gada maijā OECD tika apstiprināta turpmākā Darba programma, lai izstrādātu konsensus risinājumu nodokļu izaicinājumiem, kas rodas ekonomikas digitalizācijas rezultātā. Programma tika apstiprināta arī G20 valstu jūnija sanāksmē. </w:t>
      </w:r>
    </w:p>
    <w:p w14:paraId="1CF1F483" w14:textId="77777777" w:rsidR="006839E3" w:rsidRPr="006839E3" w:rsidRDefault="006839E3" w:rsidP="004636FE">
      <w:pPr>
        <w:spacing w:after="120"/>
        <w:ind w:firstLine="709"/>
        <w:jc w:val="both"/>
        <w:rPr>
          <w:rFonts w:cs="Times New Roman"/>
          <w:sz w:val="26"/>
          <w:szCs w:val="26"/>
          <w:u w:val="single"/>
        </w:rPr>
      </w:pPr>
      <w:r w:rsidRPr="006839E3">
        <w:rPr>
          <w:rFonts w:cs="Times New Roman"/>
          <w:sz w:val="26"/>
          <w:szCs w:val="26"/>
        </w:rPr>
        <w:t>Ņemot vērā iepriekš minēto, kā arī dažu valstu vēlmi veikt vēl fundamentālākas izmaiņas starptautiskajos nodokļu noteikumos, OECD pašreizējais darbs notiek divos galvenajos virzienos, kas tiek apzīmēti, kā I pīlārs un II pīlārs</w:t>
      </w:r>
      <w:r w:rsidRPr="006839E3">
        <w:rPr>
          <w:rFonts w:cs="Times New Roman"/>
          <w:sz w:val="26"/>
          <w:szCs w:val="26"/>
          <w:u w:val="single"/>
        </w:rPr>
        <w:t>.</w:t>
      </w:r>
    </w:p>
    <w:p w14:paraId="093E153E" w14:textId="77777777" w:rsidR="006839E3" w:rsidRPr="006839E3" w:rsidRDefault="006839E3" w:rsidP="004636FE">
      <w:pPr>
        <w:spacing w:after="120"/>
        <w:ind w:firstLine="709"/>
        <w:jc w:val="both"/>
        <w:rPr>
          <w:rFonts w:cs="Times New Roman"/>
          <w:sz w:val="26"/>
          <w:szCs w:val="26"/>
        </w:rPr>
      </w:pPr>
      <w:r w:rsidRPr="006839E3">
        <w:rPr>
          <w:rFonts w:cs="Times New Roman"/>
          <w:sz w:val="26"/>
          <w:szCs w:val="26"/>
          <w:u w:val="single"/>
        </w:rPr>
        <w:t>I pīlārs</w:t>
      </w:r>
      <w:r w:rsidRPr="006839E3">
        <w:rPr>
          <w:rFonts w:cs="Times New Roman"/>
          <w:sz w:val="26"/>
          <w:szCs w:val="26"/>
        </w:rPr>
        <w:t xml:space="preserve"> ietver vairāku valstu ierosinājumu apvienotu pieeju (Unified Approach), paredzot pārskatīt noteikumus attiecībā uz to, kur maksājami digitālo uzņēmējsabiedrību  nodokļi un kāda peļņas daļa tiek attiecināta uz attiecīgo jurisdikciju (nexus and profit allocation). Šādi noteikumi ļautu tirgus vai lietotāju jurisdikcijai uzlikt nodokli peļņas daļai, kas attiecas uz šo jurisdikciju, pat, ja uzņēmumam nav fiziskas klātbūtnes tajā.</w:t>
      </w:r>
    </w:p>
    <w:p w14:paraId="2DC1A239" w14:textId="77777777" w:rsidR="006839E3" w:rsidRDefault="006839E3" w:rsidP="004636FE">
      <w:pPr>
        <w:ind w:firstLine="709"/>
        <w:jc w:val="both"/>
        <w:rPr>
          <w:rFonts w:cs="Times New Roman"/>
          <w:sz w:val="26"/>
          <w:szCs w:val="26"/>
        </w:rPr>
      </w:pPr>
      <w:r w:rsidRPr="006839E3">
        <w:rPr>
          <w:rFonts w:cs="Times New Roman"/>
          <w:sz w:val="26"/>
          <w:szCs w:val="26"/>
          <w:u w:val="single"/>
        </w:rPr>
        <w:t>II pīlārs</w:t>
      </w:r>
      <w:r w:rsidRPr="006839E3">
        <w:rPr>
          <w:rFonts w:cs="Times New Roman"/>
          <w:sz w:val="26"/>
          <w:szCs w:val="26"/>
        </w:rPr>
        <w:t xml:space="preserve"> ietver Vācijas un Francijas ierosinājumu jauniem starptautiskajiem noteikumiem, kas vērsti pret nodokļu bāzes samazināšanu (GloBE - global anti-base erosion), paredzot, ka starptautiskie uzņēmumi, neatkarīgi no tā, vai tie darbojas digitālajā vai tradicionālajā vidē, maksā nodokli vismaz noteiktā minimālā līmenī. Šis priekšlikums paredz jurisdikcijām piešķirt tiesības nodrošināt to nodokļu bāzes aizsardzību no peļņas pārnešanas uz jurisdikcijām, kuras piemēro nodokļus zem noteiktā minimālā līmeņa. Jāatzīmē, ka ieviešanas gadījumā šis priekšlikums ir piemērojams tikai situācijās, kad starptautiskajam uzņēmumam ir fiziska klātbūtne tirgus vai lietotāju jurisdikcijā (izmantojot meitas uzņēmumu vai pastāvīgo pārstāvniecību), un līdz ar to tas nav piemērojams situācijās, kad  digitālā uzņēmējsabiedrība gūst peļņu tirgus vai lietotāju jurisdikcijās bez fiziskas klātbūtnes tajās. </w:t>
      </w:r>
    </w:p>
    <w:p w14:paraId="78792F1C" w14:textId="77777777" w:rsidR="004636FE" w:rsidRPr="006839E3" w:rsidRDefault="004636FE" w:rsidP="004636FE">
      <w:pPr>
        <w:ind w:firstLine="709"/>
        <w:jc w:val="both"/>
        <w:rPr>
          <w:rFonts w:cs="Times New Roman"/>
          <w:sz w:val="26"/>
          <w:szCs w:val="26"/>
        </w:rPr>
      </w:pPr>
    </w:p>
    <w:p w14:paraId="5C112D2C" w14:textId="77777777" w:rsidR="006839E3" w:rsidRPr="006839E3" w:rsidRDefault="006839E3" w:rsidP="004636FE">
      <w:pPr>
        <w:spacing w:after="120"/>
        <w:jc w:val="center"/>
        <w:rPr>
          <w:rFonts w:cs="Times New Roman"/>
          <w:b/>
          <w:bCs/>
          <w:sz w:val="26"/>
          <w:szCs w:val="26"/>
        </w:rPr>
      </w:pPr>
      <w:r w:rsidRPr="006839E3">
        <w:rPr>
          <w:rFonts w:cs="Times New Roman"/>
          <w:b/>
          <w:bCs/>
          <w:sz w:val="26"/>
          <w:szCs w:val="26"/>
        </w:rPr>
        <w:t>Darbs Eiropas Savienībā</w:t>
      </w:r>
    </w:p>
    <w:p w14:paraId="19FECF52" w14:textId="77777777" w:rsidR="006839E3" w:rsidRPr="006839E3" w:rsidRDefault="006839E3" w:rsidP="004636FE">
      <w:pPr>
        <w:spacing w:after="120"/>
        <w:ind w:firstLine="709"/>
        <w:jc w:val="both"/>
        <w:rPr>
          <w:rFonts w:cs="Times New Roman"/>
          <w:sz w:val="26"/>
          <w:szCs w:val="26"/>
        </w:rPr>
      </w:pPr>
      <w:r w:rsidRPr="006839E3">
        <w:rPr>
          <w:rFonts w:cs="Times New Roman"/>
          <w:sz w:val="26"/>
          <w:szCs w:val="26"/>
        </w:rPr>
        <w:t xml:space="preserve">Ņemot vērā to, ka 2019.gada martā ES līmenī nebija iespējams panākt vienprātību par EK piedāvāto ES pagaidu risinājumu, tika nolemts nevirzīt ES priekšlikumu un  nogaidīt līdz tiks panākta starptautiska līmeņa vienošanās OECD līdz 2020.gada beigām. Tomēr, jaunas ES iniciatīvas virzīšana ir paredzama, ja OECD līmenī netiks panākts visaptverošs globālais risinājums. </w:t>
      </w:r>
    </w:p>
    <w:p w14:paraId="5F644A90" w14:textId="77777777" w:rsidR="006839E3" w:rsidRPr="006839E3" w:rsidRDefault="006839E3" w:rsidP="004636FE">
      <w:pPr>
        <w:spacing w:after="120"/>
        <w:ind w:firstLine="709"/>
        <w:jc w:val="both"/>
        <w:rPr>
          <w:rFonts w:cs="Times New Roman"/>
          <w:b/>
          <w:bCs/>
          <w:sz w:val="26"/>
          <w:szCs w:val="26"/>
          <w:u w:val="single"/>
        </w:rPr>
      </w:pPr>
      <w:r w:rsidRPr="006839E3">
        <w:rPr>
          <w:rFonts w:cs="Times New Roman"/>
          <w:sz w:val="26"/>
          <w:szCs w:val="26"/>
        </w:rPr>
        <w:t>ES līmenī šobrīd galvenā uzmanība tiek pievērsta OECD piedāvāto risinājumu ietekmes izvērtējumiem attiecībā uz ES kopumā un tās dalībvalstīm, kā arī piedāvāto risinājumu saderībai ar ES tiesībām.</w:t>
      </w:r>
    </w:p>
    <w:p w14:paraId="258D64FC" w14:textId="77777777" w:rsidR="006839E3" w:rsidRDefault="006839E3" w:rsidP="006839E3">
      <w:pPr>
        <w:rPr>
          <w:rFonts w:ascii="Calibri" w:hAnsi="Calibri" w:cs="Calibri"/>
          <w:color w:val="1F497D"/>
          <w:sz w:val="22"/>
        </w:rPr>
      </w:pPr>
    </w:p>
    <w:p w14:paraId="3C67D5E3" w14:textId="77777777" w:rsidR="006839E3" w:rsidRDefault="006839E3" w:rsidP="006839E3">
      <w:pPr>
        <w:spacing w:before="60" w:after="60"/>
        <w:jc w:val="both"/>
        <w:rPr>
          <w:rFonts w:cs="Times New Roman"/>
          <w:szCs w:val="24"/>
        </w:rPr>
      </w:pPr>
    </w:p>
    <w:p w14:paraId="76854419" w14:textId="77777777" w:rsidR="00F40E52" w:rsidRDefault="00F40E52"/>
    <w:p w14:paraId="71925CBA" w14:textId="77777777" w:rsidR="008D599A" w:rsidRDefault="008D599A">
      <w:pPr>
        <w:rPr>
          <w:rFonts w:cs="Times New Roman"/>
          <w:b/>
        </w:rPr>
      </w:pPr>
      <w:r>
        <w:rPr>
          <w:rFonts w:cs="Times New Roman"/>
          <w:b/>
        </w:rPr>
        <w:br w:type="page"/>
      </w:r>
    </w:p>
    <w:p w14:paraId="16FC5045" w14:textId="617D7D1E" w:rsidR="008D599A" w:rsidRPr="00B837B0" w:rsidRDefault="00D32D77" w:rsidP="008D599A">
      <w:pPr>
        <w:pStyle w:val="Heading1"/>
      </w:pPr>
      <w:bookmarkStart w:id="35" w:name="_Toc33186644"/>
      <w:r>
        <w:lastRenderedPageBreak/>
        <w:t>1</w:t>
      </w:r>
      <w:r w:rsidR="00B570AB">
        <w:t>1</w:t>
      </w:r>
      <w:r w:rsidR="008D599A">
        <w:t xml:space="preserve">. </w:t>
      </w:r>
      <w:r w:rsidR="008D599A" w:rsidRPr="00B837B0">
        <w:t>VID iniciatīvas</w:t>
      </w:r>
      <w:r w:rsidR="009E5CE9">
        <w:t xml:space="preserve"> administrēšanas pilnveidošanai</w:t>
      </w:r>
      <w:bookmarkEnd w:id="35"/>
      <w:r w:rsidR="008D599A" w:rsidRPr="00B837B0">
        <w:t xml:space="preserve"> </w:t>
      </w:r>
    </w:p>
    <w:p w14:paraId="68A034EA" w14:textId="77777777" w:rsidR="008D599A" w:rsidRPr="00B837B0" w:rsidRDefault="008D599A" w:rsidP="008D599A">
      <w:pPr>
        <w:jc w:val="center"/>
        <w:rPr>
          <w:rFonts w:cs="Times New Roman"/>
          <w:b/>
          <w:sz w:val="28"/>
        </w:rPr>
      </w:pPr>
    </w:p>
    <w:p w14:paraId="651AEAA5" w14:textId="77777777" w:rsidR="008D599A" w:rsidRPr="00020BD9" w:rsidRDefault="008D599A" w:rsidP="00020BD9">
      <w:pPr>
        <w:pStyle w:val="ListParagraph"/>
        <w:numPr>
          <w:ilvl w:val="0"/>
          <w:numId w:val="28"/>
        </w:numPr>
        <w:spacing w:after="120"/>
        <w:ind w:left="426" w:hanging="426"/>
        <w:rPr>
          <w:b/>
          <w:sz w:val="26"/>
          <w:szCs w:val="26"/>
        </w:rPr>
      </w:pPr>
      <w:r w:rsidRPr="00020BD9">
        <w:rPr>
          <w:b/>
          <w:sz w:val="26"/>
          <w:szCs w:val="26"/>
        </w:rPr>
        <w:t>Pāreja uz elektroniskiem darījumu apliecinošiem dokumentiem.</w:t>
      </w:r>
    </w:p>
    <w:p w14:paraId="54A89C86" w14:textId="77777777" w:rsidR="008D599A" w:rsidRPr="00020BD9" w:rsidRDefault="008D599A" w:rsidP="00020BD9">
      <w:pPr>
        <w:jc w:val="both"/>
        <w:rPr>
          <w:rFonts w:cs="Times New Roman"/>
          <w:b/>
          <w:bCs/>
          <w:sz w:val="26"/>
          <w:szCs w:val="26"/>
        </w:rPr>
      </w:pPr>
    </w:p>
    <w:p w14:paraId="63899FB0" w14:textId="77777777" w:rsidR="00020BD9" w:rsidRDefault="008D599A" w:rsidP="00020BD9">
      <w:pPr>
        <w:spacing w:after="120"/>
        <w:ind w:firstLine="709"/>
        <w:jc w:val="both"/>
        <w:rPr>
          <w:rFonts w:cs="Times New Roman"/>
          <w:sz w:val="26"/>
          <w:szCs w:val="26"/>
        </w:rPr>
      </w:pPr>
      <w:r w:rsidRPr="00020BD9">
        <w:rPr>
          <w:rFonts w:cs="Times New Roman"/>
          <w:b/>
          <w:bCs/>
          <w:sz w:val="26"/>
          <w:szCs w:val="26"/>
          <w:u w:val="single"/>
        </w:rPr>
        <w:t>Mērķis</w:t>
      </w:r>
      <w:r w:rsidRPr="00020BD9">
        <w:rPr>
          <w:rFonts w:cs="Times New Roman"/>
          <w:b/>
          <w:bCs/>
          <w:sz w:val="26"/>
          <w:szCs w:val="26"/>
        </w:rPr>
        <w:t xml:space="preserve"> - </w:t>
      </w:r>
      <w:r w:rsidRPr="00020BD9">
        <w:rPr>
          <w:rFonts w:cs="Times New Roman"/>
          <w:bCs/>
          <w:sz w:val="26"/>
          <w:szCs w:val="26"/>
        </w:rPr>
        <w:t>radīt vienotu koplietošanas risinājumu – platformu</w:t>
      </w:r>
      <w:r w:rsidRPr="00020BD9">
        <w:rPr>
          <w:rFonts w:cs="Times New Roman"/>
          <w:sz w:val="26"/>
          <w:szCs w:val="26"/>
        </w:rPr>
        <w:t xml:space="preserve">, kas nodrošina drošu un ātru darījumu apliecinošo dokumentu (rēķins, kases čeks) un preču pārvietošanas dokumentu piegādi starp iesaistītajām pusēm (B2B, B2G). </w:t>
      </w:r>
    </w:p>
    <w:p w14:paraId="31C00911" w14:textId="77777777" w:rsidR="008D599A" w:rsidRPr="00020BD9" w:rsidRDefault="008D599A" w:rsidP="00020BD9">
      <w:pPr>
        <w:spacing w:after="120"/>
        <w:ind w:firstLine="709"/>
        <w:jc w:val="both"/>
        <w:rPr>
          <w:rFonts w:cs="Times New Roman"/>
          <w:sz w:val="26"/>
          <w:szCs w:val="26"/>
        </w:rPr>
      </w:pPr>
      <w:r w:rsidRPr="00020BD9">
        <w:rPr>
          <w:rFonts w:cs="Times New Roman"/>
          <w:sz w:val="26"/>
          <w:szCs w:val="26"/>
        </w:rPr>
        <w:t>Platforma:</w:t>
      </w:r>
    </w:p>
    <w:p w14:paraId="2F289AC2" w14:textId="77777777" w:rsidR="008D599A" w:rsidRPr="00020BD9" w:rsidRDefault="008D599A" w:rsidP="00020BD9">
      <w:pPr>
        <w:pStyle w:val="ListParagraph"/>
        <w:numPr>
          <w:ilvl w:val="0"/>
          <w:numId w:val="27"/>
        </w:numPr>
        <w:spacing w:after="120"/>
        <w:ind w:left="1134" w:hanging="425"/>
        <w:rPr>
          <w:sz w:val="26"/>
          <w:szCs w:val="26"/>
        </w:rPr>
      </w:pPr>
      <w:r w:rsidRPr="00020BD9">
        <w:rPr>
          <w:sz w:val="26"/>
          <w:szCs w:val="26"/>
        </w:rPr>
        <w:t>darbojas 24/7 režīmā;</w:t>
      </w:r>
    </w:p>
    <w:p w14:paraId="43C5C630" w14:textId="77777777" w:rsidR="008D599A" w:rsidRPr="00020BD9" w:rsidRDefault="008D599A" w:rsidP="00020BD9">
      <w:pPr>
        <w:pStyle w:val="ListParagraph"/>
        <w:numPr>
          <w:ilvl w:val="0"/>
          <w:numId w:val="27"/>
        </w:numPr>
        <w:spacing w:after="120"/>
        <w:ind w:left="1134" w:hanging="425"/>
        <w:rPr>
          <w:sz w:val="26"/>
          <w:szCs w:val="26"/>
        </w:rPr>
      </w:pPr>
      <w:r w:rsidRPr="00020BD9">
        <w:rPr>
          <w:sz w:val="26"/>
          <w:szCs w:val="26"/>
        </w:rPr>
        <w:t>viens no komercdarbības nodrošināšanas atbalsta instrumentiem;</w:t>
      </w:r>
    </w:p>
    <w:p w14:paraId="155104BE" w14:textId="77777777" w:rsidR="008D599A" w:rsidRPr="00020BD9" w:rsidRDefault="008D599A" w:rsidP="00020BD9">
      <w:pPr>
        <w:pStyle w:val="ListParagraph"/>
        <w:numPr>
          <w:ilvl w:val="0"/>
          <w:numId w:val="27"/>
        </w:numPr>
        <w:spacing w:after="120"/>
        <w:ind w:left="1134" w:hanging="425"/>
        <w:rPr>
          <w:sz w:val="26"/>
          <w:szCs w:val="26"/>
        </w:rPr>
      </w:pPr>
      <w:r w:rsidRPr="00020BD9">
        <w:rPr>
          <w:sz w:val="26"/>
          <w:szCs w:val="26"/>
        </w:rPr>
        <w:t>veicina jaunu lietotāju un pakalpojumu ienākšanu gan publiskajā sektorā, piem., automātiskā PVN deklarācijas izveide, gan privātajā sektorā, piem., arhīvu veidošana, analītisku atskaišu veidošana.</w:t>
      </w:r>
    </w:p>
    <w:p w14:paraId="602FB6AD" w14:textId="77777777" w:rsidR="008D599A" w:rsidRPr="00020BD9" w:rsidRDefault="008D599A" w:rsidP="00020BD9">
      <w:pPr>
        <w:spacing w:after="120"/>
        <w:ind w:firstLine="709"/>
        <w:jc w:val="both"/>
        <w:rPr>
          <w:rFonts w:cs="Times New Roman"/>
          <w:b/>
          <w:bCs/>
          <w:sz w:val="26"/>
          <w:szCs w:val="26"/>
          <w:u w:val="single"/>
        </w:rPr>
      </w:pPr>
      <w:r w:rsidRPr="00020BD9">
        <w:rPr>
          <w:rFonts w:cs="Times New Roman"/>
          <w:b/>
          <w:bCs/>
          <w:sz w:val="26"/>
          <w:szCs w:val="26"/>
          <w:u w:val="single"/>
        </w:rPr>
        <w:t>Ieguvumi</w:t>
      </w:r>
      <w:r w:rsidR="00020BD9">
        <w:rPr>
          <w:rFonts w:cs="Times New Roman"/>
          <w:b/>
          <w:bCs/>
          <w:sz w:val="26"/>
          <w:szCs w:val="26"/>
          <w:u w:val="single"/>
        </w:rPr>
        <w:t>:</w:t>
      </w:r>
    </w:p>
    <w:p w14:paraId="217FF9E5" w14:textId="77777777" w:rsidR="008D599A" w:rsidRPr="00020BD9" w:rsidRDefault="008D599A" w:rsidP="00020BD9">
      <w:pPr>
        <w:tabs>
          <w:tab w:val="left" w:pos="1134"/>
        </w:tabs>
        <w:ind w:left="1134" w:hanging="425"/>
        <w:jc w:val="both"/>
        <w:rPr>
          <w:rFonts w:cs="Times New Roman"/>
          <w:b/>
          <w:bCs/>
          <w:sz w:val="26"/>
          <w:szCs w:val="26"/>
        </w:rPr>
      </w:pPr>
      <w:r w:rsidRPr="00020BD9">
        <w:rPr>
          <w:rFonts w:cs="Times New Roman"/>
          <w:sz w:val="26"/>
          <w:szCs w:val="26"/>
        </w:rPr>
        <w:t xml:space="preserve">- </w:t>
      </w:r>
      <w:r w:rsidR="00020BD9">
        <w:rPr>
          <w:rFonts w:cs="Times New Roman"/>
          <w:sz w:val="26"/>
          <w:szCs w:val="26"/>
        </w:rPr>
        <w:tab/>
        <w:t>p</w:t>
      </w:r>
      <w:r w:rsidRPr="00020BD9">
        <w:rPr>
          <w:rFonts w:cs="Times New Roman"/>
          <w:sz w:val="26"/>
          <w:szCs w:val="26"/>
        </w:rPr>
        <w:t xml:space="preserve">latformas dati </w:t>
      </w:r>
      <w:r w:rsidRPr="00020BD9">
        <w:rPr>
          <w:rFonts w:cs="Times New Roman"/>
          <w:bCs/>
          <w:sz w:val="26"/>
          <w:szCs w:val="26"/>
        </w:rPr>
        <w:t>veicinās</w:t>
      </w:r>
      <w:r w:rsidRPr="00020BD9">
        <w:rPr>
          <w:rFonts w:cs="Times New Roman"/>
          <w:b/>
          <w:bCs/>
          <w:sz w:val="26"/>
          <w:szCs w:val="26"/>
        </w:rPr>
        <w:t xml:space="preserve"> labprātīgas saistību izpildes principa izplatīšanu</w:t>
      </w:r>
      <w:r w:rsidR="00020BD9">
        <w:rPr>
          <w:rFonts w:cs="Times New Roman"/>
          <w:b/>
          <w:bCs/>
          <w:sz w:val="26"/>
          <w:szCs w:val="26"/>
        </w:rPr>
        <w:t>;</w:t>
      </w:r>
      <w:r w:rsidRPr="00020BD9">
        <w:rPr>
          <w:rFonts w:cs="Times New Roman"/>
          <w:b/>
          <w:bCs/>
          <w:sz w:val="26"/>
          <w:szCs w:val="26"/>
        </w:rPr>
        <w:t xml:space="preserve"> </w:t>
      </w:r>
    </w:p>
    <w:p w14:paraId="45A28103" w14:textId="77777777" w:rsidR="008D599A" w:rsidRPr="00020BD9" w:rsidRDefault="008D599A" w:rsidP="00020BD9">
      <w:pPr>
        <w:tabs>
          <w:tab w:val="left" w:pos="1134"/>
        </w:tabs>
        <w:ind w:left="1134" w:hanging="425"/>
        <w:jc w:val="both"/>
        <w:rPr>
          <w:rFonts w:cs="Times New Roman"/>
          <w:sz w:val="26"/>
          <w:szCs w:val="26"/>
        </w:rPr>
      </w:pPr>
      <w:r w:rsidRPr="00020BD9">
        <w:rPr>
          <w:rFonts w:cs="Times New Roman"/>
          <w:b/>
          <w:bCs/>
          <w:sz w:val="26"/>
          <w:szCs w:val="26"/>
        </w:rPr>
        <w:t xml:space="preserve">- </w:t>
      </w:r>
      <w:r w:rsidR="00020BD9">
        <w:rPr>
          <w:rFonts w:cs="Times New Roman"/>
          <w:b/>
          <w:bCs/>
          <w:sz w:val="26"/>
          <w:szCs w:val="26"/>
        </w:rPr>
        <w:tab/>
      </w:r>
      <w:r w:rsidR="00020BD9">
        <w:rPr>
          <w:rFonts w:cs="Times New Roman"/>
          <w:bCs/>
          <w:sz w:val="26"/>
          <w:szCs w:val="26"/>
        </w:rPr>
        <w:t>b</w:t>
      </w:r>
      <w:r w:rsidRPr="00020BD9">
        <w:rPr>
          <w:rFonts w:cs="Times New Roman"/>
          <w:bCs/>
          <w:sz w:val="26"/>
          <w:szCs w:val="26"/>
        </w:rPr>
        <w:t>ūtiski uzlabos nodokļu nomaksas uzraudzību, nodrošinot iespēju VID savlaicīgāk un precīzāk noteikt nodokļu nemaksātājus</w:t>
      </w:r>
      <w:r w:rsidR="00020BD9">
        <w:rPr>
          <w:rFonts w:cs="Times New Roman"/>
          <w:bCs/>
          <w:sz w:val="26"/>
          <w:szCs w:val="26"/>
        </w:rPr>
        <w:t>;</w:t>
      </w:r>
    </w:p>
    <w:p w14:paraId="063C1A1F" w14:textId="77777777" w:rsidR="008D599A" w:rsidRPr="00020BD9" w:rsidRDefault="008D599A" w:rsidP="00020BD9">
      <w:pPr>
        <w:tabs>
          <w:tab w:val="left" w:pos="1134"/>
        </w:tabs>
        <w:ind w:left="1134" w:hanging="425"/>
        <w:jc w:val="both"/>
        <w:rPr>
          <w:rFonts w:cs="Times New Roman"/>
          <w:sz w:val="26"/>
          <w:szCs w:val="26"/>
        </w:rPr>
      </w:pPr>
      <w:r w:rsidRPr="00020BD9">
        <w:rPr>
          <w:rFonts w:cs="Times New Roman"/>
          <w:b/>
          <w:bCs/>
          <w:sz w:val="26"/>
          <w:szCs w:val="26"/>
        </w:rPr>
        <w:t xml:space="preserve">- </w:t>
      </w:r>
      <w:r w:rsidR="00020BD9">
        <w:rPr>
          <w:rFonts w:cs="Times New Roman"/>
          <w:b/>
          <w:bCs/>
          <w:sz w:val="26"/>
          <w:szCs w:val="26"/>
        </w:rPr>
        <w:tab/>
      </w:r>
      <w:r w:rsidRPr="00020BD9">
        <w:rPr>
          <w:rFonts w:cs="Times New Roman"/>
          <w:b/>
          <w:bCs/>
          <w:sz w:val="26"/>
          <w:szCs w:val="26"/>
        </w:rPr>
        <w:t>PVN deklarācijā</w:t>
      </w:r>
      <w:r w:rsidRPr="00020BD9">
        <w:rPr>
          <w:rFonts w:cs="Times New Roman"/>
          <w:sz w:val="26"/>
          <w:szCs w:val="26"/>
        </w:rPr>
        <w:t xml:space="preserve"> varētu </w:t>
      </w:r>
      <w:r w:rsidRPr="00020BD9">
        <w:rPr>
          <w:rFonts w:cs="Times New Roman"/>
          <w:b/>
          <w:bCs/>
          <w:sz w:val="26"/>
          <w:szCs w:val="26"/>
        </w:rPr>
        <w:t>automātiski iekļaut datus</w:t>
      </w:r>
      <w:r w:rsidRPr="00020BD9">
        <w:rPr>
          <w:rFonts w:cs="Times New Roman"/>
          <w:sz w:val="26"/>
          <w:szCs w:val="26"/>
        </w:rPr>
        <w:t xml:space="preserve"> par veik</w:t>
      </w:r>
      <w:r w:rsidR="00020BD9">
        <w:rPr>
          <w:rFonts w:cs="Times New Roman"/>
          <w:sz w:val="26"/>
          <w:szCs w:val="26"/>
        </w:rPr>
        <w:t>tajiem realizācijas darījumiem;</w:t>
      </w:r>
    </w:p>
    <w:p w14:paraId="4AC2DC6C" w14:textId="77777777" w:rsidR="008D599A" w:rsidRPr="00020BD9" w:rsidRDefault="008D599A" w:rsidP="00020BD9">
      <w:pPr>
        <w:tabs>
          <w:tab w:val="left" w:pos="1134"/>
        </w:tabs>
        <w:ind w:left="1134" w:hanging="425"/>
        <w:jc w:val="both"/>
        <w:rPr>
          <w:rFonts w:cs="Times New Roman"/>
          <w:sz w:val="26"/>
          <w:szCs w:val="26"/>
        </w:rPr>
      </w:pPr>
      <w:r w:rsidRPr="00020BD9">
        <w:rPr>
          <w:rFonts w:cs="Times New Roman"/>
          <w:sz w:val="26"/>
          <w:szCs w:val="26"/>
        </w:rPr>
        <w:t xml:space="preserve">- </w:t>
      </w:r>
      <w:r w:rsidR="00020BD9">
        <w:rPr>
          <w:rFonts w:cs="Times New Roman"/>
          <w:sz w:val="26"/>
          <w:szCs w:val="26"/>
        </w:rPr>
        <w:tab/>
        <w:t>d</w:t>
      </w:r>
      <w:r w:rsidRPr="00020BD9">
        <w:rPr>
          <w:rFonts w:cs="Times New Roman"/>
          <w:sz w:val="26"/>
          <w:szCs w:val="26"/>
        </w:rPr>
        <w:t xml:space="preserve">ati par preču pārvadājumiem varētu </w:t>
      </w:r>
      <w:r w:rsidRPr="00020BD9">
        <w:rPr>
          <w:rFonts w:cs="Times New Roman"/>
          <w:bCs/>
          <w:sz w:val="26"/>
          <w:szCs w:val="26"/>
        </w:rPr>
        <w:t>aizstāt preču transportēšanas dokumentus papīra formā</w:t>
      </w:r>
      <w:r w:rsidRPr="00020BD9">
        <w:rPr>
          <w:rFonts w:cs="Times New Roman"/>
          <w:sz w:val="26"/>
          <w:szCs w:val="26"/>
        </w:rPr>
        <w:t>.</w:t>
      </w:r>
    </w:p>
    <w:p w14:paraId="308EE7D0" w14:textId="77777777" w:rsidR="008D599A" w:rsidRPr="00020BD9" w:rsidRDefault="008D599A" w:rsidP="00020BD9">
      <w:pPr>
        <w:spacing w:after="120"/>
        <w:jc w:val="both"/>
        <w:rPr>
          <w:rFonts w:cs="Times New Roman"/>
          <w:b/>
          <w:sz w:val="26"/>
          <w:szCs w:val="26"/>
        </w:rPr>
      </w:pPr>
    </w:p>
    <w:p w14:paraId="755FE276" w14:textId="77777777" w:rsidR="008D599A" w:rsidRPr="00020BD9" w:rsidRDefault="008D599A" w:rsidP="00020BD9">
      <w:pPr>
        <w:pStyle w:val="ListParagraph"/>
        <w:numPr>
          <w:ilvl w:val="0"/>
          <w:numId w:val="28"/>
        </w:numPr>
        <w:spacing w:after="120"/>
        <w:ind w:left="426" w:hanging="426"/>
        <w:rPr>
          <w:b/>
          <w:sz w:val="26"/>
          <w:szCs w:val="26"/>
        </w:rPr>
      </w:pPr>
      <w:r w:rsidRPr="00020BD9">
        <w:rPr>
          <w:b/>
          <w:sz w:val="26"/>
          <w:szCs w:val="26"/>
        </w:rPr>
        <w:t>VID lēmumu publiskošana.</w:t>
      </w:r>
    </w:p>
    <w:p w14:paraId="7A7FC924" w14:textId="77777777" w:rsidR="00BE3FF5" w:rsidRDefault="00BE3FF5" w:rsidP="00BE3FF5">
      <w:pPr>
        <w:spacing w:after="120"/>
        <w:ind w:firstLine="709"/>
        <w:jc w:val="both"/>
        <w:rPr>
          <w:rFonts w:cs="Times New Roman"/>
          <w:color w:val="000000" w:themeColor="text1"/>
          <w:sz w:val="26"/>
          <w:szCs w:val="26"/>
        </w:rPr>
      </w:pPr>
      <w:r w:rsidRPr="00BE3FF5">
        <w:rPr>
          <w:rFonts w:cs="Times New Roman"/>
          <w:color w:val="000000" w:themeColor="text1"/>
          <w:sz w:val="26"/>
          <w:szCs w:val="26"/>
        </w:rPr>
        <w:t>VID publisko informāciju par sabiedrībai nozīmīgiem juridiskajai personai pieņemtajiem lēmumiem par nodokļu vai muitas normatīvo aktu pārkāpumiem, speciālo atļauju (licenču), atļauju, izziņu izmantošanas nosacījumu pārkāpumiem vai, ja par pārkāpumiem atņemts/anulēts kāds īpašais statuss (piemēram, nodrošinātāja vai apvienotās noliktavas statuss), norādot termiņu, kurā publisko informāciju par lēmumu, kā arī norāda termiņu, cik ilgi informācija par lēmumu publiski pieejama. Publiskojamā informācijā norāda juridiskās personas nosaukumu un reģistrācijas numuru; pieņemtā lēmuma spēkā stāšanās datumu; lēmuma būtību un nolemjošo daļu; informāciju, vai lēmums ir pārsūdzēts.</w:t>
      </w:r>
    </w:p>
    <w:p w14:paraId="37574BB0" w14:textId="77777777" w:rsidR="008D599A" w:rsidRPr="00020BD9" w:rsidRDefault="008D599A" w:rsidP="00727C2C">
      <w:pPr>
        <w:ind w:firstLine="709"/>
        <w:jc w:val="both"/>
        <w:rPr>
          <w:rFonts w:cs="Times New Roman"/>
          <w:b/>
          <w:sz w:val="26"/>
          <w:szCs w:val="26"/>
        </w:rPr>
      </w:pPr>
    </w:p>
    <w:p w14:paraId="2AFF71A9" w14:textId="77777777" w:rsidR="008D599A" w:rsidRPr="00020BD9" w:rsidRDefault="008D599A" w:rsidP="00020BD9">
      <w:pPr>
        <w:pStyle w:val="ListParagraph"/>
        <w:numPr>
          <w:ilvl w:val="0"/>
          <w:numId w:val="28"/>
        </w:numPr>
        <w:spacing w:after="120"/>
        <w:ind w:left="426" w:hanging="720"/>
        <w:rPr>
          <w:b/>
          <w:sz w:val="26"/>
          <w:szCs w:val="26"/>
        </w:rPr>
      </w:pPr>
      <w:r w:rsidRPr="00020BD9">
        <w:rPr>
          <w:b/>
          <w:sz w:val="26"/>
          <w:szCs w:val="26"/>
        </w:rPr>
        <w:t>Par fakta legālo prezumpcijas tiesisko regulējumu attiecībā uz “aplokšņu algām”</w:t>
      </w:r>
    </w:p>
    <w:p w14:paraId="24B82841" w14:textId="77777777" w:rsidR="008D599A" w:rsidRDefault="008D599A" w:rsidP="00020BD9">
      <w:pPr>
        <w:spacing w:after="120"/>
        <w:ind w:firstLine="709"/>
        <w:jc w:val="both"/>
        <w:rPr>
          <w:rFonts w:cs="Times New Roman"/>
          <w:sz w:val="26"/>
          <w:szCs w:val="26"/>
        </w:rPr>
      </w:pPr>
      <w:r w:rsidRPr="00020BD9">
        <w:rPr>
          <w:rFonts w:cs="Times New Roman"/>
          <w:sz w:val="26"/>
          <w:szCs w:val="26"/>
        </w:rPr>
        <w:t xml:space="preserve">Tiesiskajā regulējumā, iespējams, būtu nosakāmi konkrēti fakti – pierādījumu kopums, kas ļaus nodokļu administrācijai prezumēt “aplokšņu algu” </w:t>
      </w:r>
      <w:r w:rsidRPr="00020BD9">
        <w:rPr>
          <w:rFonts w:cs="Times New Roman"/>
          <w:sz w:val="26"/>
          <w:szCs w:val="26"/>
        </w:rPr>
        <w:lastRenderedPageBreak/>
        <w:t>izmaksu. Ja šāds pierādījumu kopums nebūs uzskaitīts tiesiskajā regulējumā, pastāv risks, ka nodokļu maksātāji vērsīsies tiesā apšaubot fakta legālās prezumpcijas piemērošanas tiesiskumu saistībā ar “aplokšņu algu” izmaksu.</w:t>
      </w:r>
    </w:p>
    <w:p w14:paraId="47ED0082" w14:textId="77777777" w:rsidR="00020BD9" w:rsidRPr="00020BD9" w:rsidRDefault="00020BD9" w:rsidP="00020BD9">
      <w:pPr>
        <w:spacing w:after="120"/>
        <w:ind w:firstLine="709"/>
        <w:jc w:val="both"/>
        <w:rPr>
          <w:rFonts w:cs="Times New Roman"/>
          <w:sz w:val="26"/>
          <w:szCs w:val="26"/>
        </w:rPr>
      </w:pPr>
    </w:p>
    <w:p w14:paraId="6A394C39" w14:textId="77777777" w:rsidR="008D599A" w:rsidRPr="00020BD9" w:rsidRDefault="008D599A" w:rsidP="00020BD9">
      <w:pPr>
        <w:pStyle w:val="ListParagraph"/>
        <w:numPr>
          <w:ilvl w:val="0"/>
          <w:numId w:val="28"/>
        </w:numPr>
        <w:spacing w:after="120"/>
        <w:ind w:left="426" w:hanging="426"/>
        <w:rPr>
          <w:b/>
          <w:sz w:val="26"/>
          <w:szCs w:val="26"/>
        </w:rPr>
      </w:pPr>
      <w:r w:rsidRPr="00020BD9">
        <w:rPr>
          <w:b/>
          <w:sz w:val="26"/>
          <w:szCs w:val="26"/>
        </w:rPr>
        <w:t>Pārbaužu veidu konsolidācija.</w:t>
      </w:r>
    </w:p>
    <w:p w14:paraId="332E0E1C" w14:textId="77777777" w:rsidR="008D599A" w:rsidRPr="00020BD9" w:rsidRDefault="008D599A" w:rsidP="00020BD9">
      <w:pPr>
        <w:spacing w:after="120"/>
        <w:ind w:firstLine="709"/>
        <w:jc w:val="both"/>
        <w:rPr>
          <w:rFonts w:cs="Times New Roman"/>
          <w:sz w:val="26"/>
          <w:szCs w:val="26"/>
        </w:rPr>
      </w:pPr>
      <w:r w:rsidRPr="00020BD9">
        <w:rPr>
          <w:rFonts w:cs="Times New Roman"/>
          <w:sz w:val="26"/>
          <w:szCs w:val="26"/>
        </w:rPr>
        <w:t>Jauna nodokļu kontroles regulējuma ieviešana, t.i., nodokļu kontroles procesa regulējuma izmaiņas – apvienot pārbaužu veidus. VID izteiktais piedāvājums ir skatāms kopsakarā ar nodokļu maksātāju segmentēšanu un atbilstošu pakalpojuma grozu, un plānotajām VID strukturālajām izmaiņām.</w:t>
      </w:r>
    </w:p>
    <w:p w14:paraId="08E01520" w14:textId="77777777" w:rsidR="004636FE" w:rsidRDefault="004636FE" w:rsidP="00020BD9">
      <w:pPr>
        <w:spacing w:after="120"/>
        <w:jc w:val="both"/>
        <w:rPr>
          <w:b/>
          <w:color w:val="FF0000"/>
          <w:sz w:val="26"/>
          <w:szCs w:val="26"/>
        </w:rPr>
      </w:pPr>
    </w:p>
    <w:p w14:paraId="246127F5" w14:textId="77777777" w:rsidR="00E7036F" w:rsidRDefault="00E7036F" w:rsidP="00C14DCD">
      <w:pPr>
        <w:tabs>
          <w:tab w:val="left" w:pos="6946"/>
        </w:tabs>
        <w:rPr>
          <w:color w:val="000000"/>
          <w:szCs w:val="24"/>
        </w:rPr>
      </w:pPr>
    </w:p>
    <w:p w14:paraId="1A89C65A" w14:textId="77777777" w:rsidR="00E7036F" w:rsidRDefault="00E7036F" w:rsidP="00C14DCD">
      <w:pPr>
        <w:tabs>
          <w:tab w:val="left" w:pos="6946"/>
        </w:tabs>
        <w:rPr>
          <w:color w:val="000000"/>
          <w:szCs w:val="24"/>
        </w:rPr>
      </w:pPr>
    </w:p>
    <w:p w14:paraId="37F26A8D" w14:textId="77777777" w:rsidR="00E7036F" w:rsidRDefault="00E7036F" w:rsidP="00C14DCD">
      <w:pPr>
        <w:tabs>
          <w:tab w:val="left" w:pos="6946"/>
        </w:tabs>
        <w:rPr>
          <w:color w:val="000000"/>
          <w:szCs w:val="24"/>
        </w:rPr>
      </w:pPr>
    </w:p>
    <w:p w14:paraId="17973502" w14:textId="797C7DC8" w:rsidR="00C14DCD" w:rsidRDefault="00C14DCD" w:rsidP="00C14DCD">
      <w:pPr>
        <w:tabs>
          <w:tab w:val="left" w:pos="6946"/>
        </w:tabs>
        <w:rPr>
          <w:color w:val="000000"/>
          <w:szCs w:val="24"/>
        </w:rPr>
      </w:pPr>
      <w:r>
        <w:rPr>
          <w:color w:val="000000"/>
          <w:szCs w:val="24"/>
        </w:rPr>
        <w:t>Finanšu ministrs</w:t>
      </w:r>
      <w:r>
        <w:rPr>
          <w:color w:val="000000"/>
          <w:szCs w:val="24"/>
        </w:rPr>
        <w:tab/>
        <w:t>Jānis Reirs</w:t>
      </w:r>
    </w:p>
    <w:p w14:paraId="1ED9530A" w14:textId="437CFF9F" w:rsidR="00C14DCD" w:rsidRDefault="00C14DCD" w:rsidP="00C14DCD">
      <w:pPr>
        <w:tabs>
          <w:tab w:val="left" w:pos="6946"/>
        </w:tabs>
        <w:rPr>
          <w:color w:val="000000"/>
          <w:szCs w:val="24"/>
        </w:rPr>
      </w:pPr>
    </w:p>
    <w:p w14:paraId="2D675147" w14:textId="7D089E8A" w:rsidR="00B30B4F" w:rsidRDefault="00B30B4F" w:rsidP="00C14DCD">
      <w:pPr>
        <w:tabs>
          <w:tab w:val="left" w:pos="6946"/>
        </w:tabs>
        <w:rPr>
          <w:color w:val="000000"/>
          <w:szCs w:val="24"/>
        </w:rPr>
      </w:pPr>
    </w:p>
    <w:p w14:paraId="4EB6FDA2" w14:textId="67B096A1" w:rsidR="00B30B4F" w:rsidRDefault="00B30B4F" w:rsidP="00C14DCD">
      <w:pPr>
        <w:tabs>
          <w:tab w:val="left" w:pos="6946"/>
        </w:tabs>
        <w:rPr>
          <w:color w:val="000000"/>
          <w:szCs w:val="24"/>
        </w:rPr>
      </w:pPr>
    </w:p>
    <w:p w14:paraId="7C8F8BA8" w14:textId="1BA33E76" w:rsidR="00B30B4F" w:rsidRDefault="00B30B4F" w:rsidP="00C14DCD">
      <w:pPr>
        <w:tabs>
          <w:tab w:val="left" w:pos="6946"/>
        </w:tabs>
        <w:rPr>
          <w:color w:val="000000"/>
          <w:szCs w:val="24"/>
        </w:rPr>
      </w:pPr>
    </w:p>
    <w:p w14:paraId="609FE917" w14:textId="58FEFD39" w:rsidR="00B30B4F" w:rsidRDefault="00B30B4F" w:rsidP="00C14DCD">
      <w:pPr>
        <w:tabs>
          <w:tab w:val="left" w:pos="6946"/>
        </w:tabs>
        <w:rPr>
          <w:color w:val="000000"/>
          <w:szCs w:val="24"/>
        </w:rPr>
      </w:pPr>
    </w:p>
    <w:p w14:paraId="494560A7" w14:textId="39774D8F" w:rsidR="00B30B4F" w:rsidRDefault="00B30B4F" w:rsidP="00C14DCD">
      <w:pPr>
        <w:tabs>
          <w:tab w:val="left" w:pos="6946"/>
        </w:tabs>
        <w:rPr>
          <w:color w:val="000000"/>
          <w:szCs w:val="24"/>
        </w:rPr>
      </w:pPr>
    </w:p>
    <w:p w14:paraId="30E74729" w14:textId="651B3E70" w:rsidR="00B30B4F" w:rsidRDefault="00B30B4F" w:rsidP="00C14DCD">
      <w:pPr>
        <w:tabs>
          <w:tab w:val="left" w:pos="6946"/>
        </w:tabs>
        <w:rPr>
          <w:color w:val="000000"/>
          <w:szCs w:val="24"/>
        </w:rPr>
      </w:pPr>
    </w:p>
    <w:p w14:paraId="61374047" w14:textId="2DE14A1B" w:rsidR="00B30B4F" w:rsidRDefault="00B30B4F" w:rsidP="00C14DCD">
      <w:pPr>
        <w:tabs>
          <w:tab w:val="left" w:pos="6946"/>
        </w:tabs>
        <w:rPr>
          <w:color w:val="000000"/>
          <w:szCs w:val="24"/>
        </w:rPr>
      </w:pPr>
    </w:p>
    <w:p w14:paraId="36E4B73D" w14:textId="3429889A" w:rsidR="00B30B4F" w:rsidRDefault="00B30B4F" w:rsidP="00C14DCD">
      <w:pPr>
        <w:tabs>
          <w:tab w:val="left" w:pos="6946"/>
        </w:tabs>
        <w:rPr>
          <w:color w:val="000000"/>
          <w:szCs w:val="24"/>
        </w:rPr>
      </w:pPr>
    </w:p>
    <w:p w14:paraId="386A53E9" w14:textId="0C1A5AD2" w:rsidR="00B30B4F" w:rsidRDefault="00B30B4F" w:rsidP="00C14DCD">
      <w:pPr>
        <w:tabs>
          <w:tab w:val="left" w:pos="6946"/>
        </w:tabs>
        <w:rPr>
          <w:color w:val="000000"/>
          <w:szCs w:val="24"/>
        </w:rPr>
      </w:pPr>
    </w:p>
    <w:p w14:paraId="6A1ADEE3" w14:textId="0481DC35" w:rsidR="00B30B4F" w:rsidRDefault="00B30B4F" w:rsidP="00C14DCD">
      <w:pPr>
        <w:tabs>
          <w:tab w:val="left" w:pos="6946"/>
        </w:tabs>
        <w:rPr>
          <w:color w:val="000000"/>
          <w:szCs w:val="24"/>
        </w:rPr>
      </w:pPr>
    </w:p>
    <w:p w14:paraId="04E97D8D" w14:textId="159B952D" w:rsidR="00B30B4F" w:rsidRDefault="00B30B4F" w:rsidP="00C14DCD">
      <w:pPr>
        <w:tabs>
          <w:tab w:val="left" w:pos="6946"/>
        </w:tabs>
        <w:rPr>
          <w:color w:val="000000"/>
          <w:szCs w:val="24"/>
        </w:rPr>
      </w:pPr>
    </w:p>
    <w:p w14:paraId="0CB69992" w14:textId="543C20CB" w:rsidR="00B30B4F" w:rsidRDefault="00B30B4F" w:rsidP="00C14DCD">
      <w:pPr>
        <w:tabs>
          <w:tab w:val="left" w:pos="6946"/>
        </w:tabs>
        <w:rPr>
          <w:color w:val="000000"/>
          <w:szCs w:val="24"/>
        </w:rPr>
      </w:pPr>
    </w:p>
    <w:p w14:paraId="21C2ED15" w14:textId="66E5D905" w:rsidR="00B30B4F" w:rsidRDefault="00B30B4F" w:rsidP="00C14DCD">
      <w:pPr>
        <w:tabs>
          <w:tab w:val="left" w:pos="6946"/>
        </w:tabs>
        <w:rPr>
          <w:color w:val="000000"/>
          <w:szCs w:val="24"/>
        </w:rPr>
      </w:pPr>
    </w:p>
    <w:p w14:paraId="1AC37B8C" w14:textId="05AC07B5" w:rsidR="00B30B4F" w:rsidRDefault="00B30B4F" w:rsidP="00C14DCD">
      <w:pPr>
        <w:tabs>
          <w:tab w:val="left" w:pos="6946"/>
        </w:tabs>
        <w:rPr>
          <w:color w:val="000000"/>
          <w:szCs w:val="24"/>
        </w:rPr>
      </w:pPr>
    </w:p>
    <w:p w14:paraId="33B05517" w14:textId="3DCA1E85" w:rsidR="00B30B4F" w:rsidRDefault="00B30B4F" w:rsidP="00C14DCD">
      <w:pPr>
        <w:tabs>
          <w:tab w:val="left" w:pos="6946"/>
        </w:tabs>
        <w:rPr>
          <w:color w:val="000000"/>
          <w:szCs w:val="24"/>
        </w:rPr>
      </w:pPr>
    </w:p>
    <w:p w14:paraId="0E019C67" w14:textId="034EB7EA" w:rsidR="00B30B4F" w:rsidRDefault="00B30B4F" w:rsidP="00C14DCD">
      <w:pPr>
        <w:tabs>
          <w:tab w:val="left" w:pos="6946"/>
        </w:tabs>
        <w:rPr>
          <w:color w:val="000000"/>
          <w:szCs w:val="24"/>
        </w:rPr>
      </w:pPr>
    </w:p>
    <w:p w14:paraId="7DF24D7E" w14:textId="7CE71122" w:rsidR="00B30B4F" w:rsidRDefault="00B30B4F" w:rsidP="00C14DCD">
      <w:pPr>
        <w:tabs>
          <w:tab w:val="left" w:pos="6946"/>
        </w:tabs>
        <w:rPr>
          <w:color w:val="000000"/>
          <w:szCs w:val="24"/>
        </w:rPr>
      </w:pPr>
    </w:p>
    <w:p w14:paraId="4789481A" w14:textId="777496AC" w:rsidR="00B30B4F" w:rsidRDefault="00B30B4F" w:rsidP="00C14DCD">
      <w:pPr>
        <w:tabs>
          <w:tab w:val="left" w:pos="6946"/>
        </w:tabs>
        <w:rPr>
          <w:color w:val="000000"/>
          <w:szCs w:val="24"/>
        </w:rPr>
      </w:pPr>
    </w:p>
    <w:p w14:paraId="4EC54B21" w14:textId="64AA6E5E" w:rsidR="00B30B4F" w:rsidRDefault="00B30B4F" w:rsidP="00C14DCD">
      <w:pPr>
        <w:tabs>
          <w:tab w:val="left" w:pos="6946"/>
        </w:tabs>
        <w:rPr>
          <w:color w:val="000000"/>
          <w:szCs w:val="24"/>
        </w:rPr>
      </w:pPr>
    </w:p>
    <w:p w14:paraId="7958F352" w14:textId="5F2E25A2" w:rsidR="00B30B4F" w:rsidRDefault="00B30B4F" w:rsidP="00C14DCD">
      <w:pPr>
        <w:tabs>
          <w:tab w:val="left" w:pos="6946"/>
        </w:tabs>
        <w:rPr>
          <w:color w:val="000000"/>
          <w:szCs w:val="24"/>
        </w:rPr>
      </w:pPr>
    </w:p>
    <w:p w14:paraId="08669D15" w14:textId="7832FAE0" w:rsidR="00B30B4F" w:rsidRDefault="00B30B4F" w:rsidP="00C14DCD">
      <w:pPr>
        <w:tabs>
          <w:tab w:val="left" w:pos="6946"/>
        </w:tabs>
        <w:rPr>
          <w:color w:val="000000"/>
          <w:szCs w:val="24"/>
        </w:rPr>
      </w:pPr>
    </w:p>
    <w:p w14:paraId="56CF574A" w14:textId="6264D647" w:rsidR="00B30B4F" w:rsidRDefault="00B30B4F" w:rsidP="00C14DCD">
      <w:pPr>
        <w:tabs>
          <w:tab w:val="left" w:pos="6946"/>
        </w:tabs>
        <w:rPr>
          <w:color w:val="000000"/>
          <w:szCs w:val="24"/>
        </w:rPr>
      </w:pPr>
    </w:p>
    <w:p w14:paraId="517D3DF4" w14:textId="68F9AC0C" w:rsidR="00B30B4F" w:rsidRDefault="00B30B4F" w:rsidP="00C14DCD">
      <w:pPr>
        <w:tabs>
          <w:tab w:val="left" w:pos="6946"/>
        </w:tabs>
        <w:rPr>
          <w:color w:val="000000"/>
          <w:szCs w:val="24"/>
        </w:rPr>
      </w:pPr>
    </w:p>
    <w:p w14:paraId="4D4A4065" w14:textId="08830051" w:rsidR="00B30B4F" w:rsidRDefault="00B30B4F" w:rsidP="00C14DCD">
      <w:pPr>
        <w:tabs>
          <w:tab w:val="left" w:pos="6946"/>
        </w:tabs>
        <w:rPr>
          <w:color w:val="000000"/>
          <w:szCs w:val="24"/>
        </w:rPr>
      </w:pPr>
    </w:p>
    <w:p w14:paraId="24AFC90B" w14:textId="7FBFF099" w:rsidR="00B30B4F" w:rsidRDefault="00B30B4F" w:rsidP="00C14DCD">
      <w:pPr>
        <w:tabs>
          <w:tab w:val="left" w:pos="6946"/>
        </w:tabs>
        <w:rPr>
          <w:color w:val="000000"/>
          <w:szCs w:val="24"/>
        </w:rPr>
      </w:pPr>
    </w:p>
    <w:p w14:paraId="017E0F07" w14:textId="3066FFD4" w:rsidR="00B30B4F" w:rsidRDefault="00B30B4F" w:rsidP="00C14DCD">
      <w:pPr>
        <w:tabs>
          <w:tab w:val="left" w:pos="6946"/>
        </w:tabs>
        <w:rPr>
          <w:color w:val="000000"/>
          <w:szCs w:val="24"/>
        </w:rPr>
      </w:pPr>
    </w:p>
    <w:p w14:paraId="7A712FB8" w14:textId="2333CBCF" w:rsidR="00B30B4F" w:rsidRDefault="00B30B4F" w:rsidP="00C14DCD">
      <w:pPr>
        <w:tabs>
          <w:tab w:val="left" w:pos="6946"/>
        </w:tabs>
        <w:rPr>
          <w:color w:val="000000"/>
          <w:szCs w:val="24"/>
        </w:rPr>
      </w:pPr>
    </w:p>
    <w:p w14:paraId="151E9832" w14:textId="77777777" w:rsidR="00B30B4F" w:rsidRDefault="00B30B4F" w:rsidP="00C14DCD">
      <w:pPr>
        <w:tabs>
          <w:tab w:val="left" w:pos="6946"/>
        </w:tabs>
        <w:rPr>
          <w:color w:val="000000"/>
          <w:szCs w:val="24"/>
        </w:rPr>
      </w:pPr>
    </w:p>
    <w:p w14:paraId="12535AC9" w14:textId="77777777" w:rsidR="00C14DCD" w:rsidRPr="00C14DCD" w:rsidRDefault="00C14DCD" w:rsidP="00C14DCD">
      <w:pPr>
        <w:tabs>
          <w:tab w:val="left" w:pos="6946"/>
        </w:tabs>
        <w:rPr>
          <w:color w:val="000000"/>
          <w:szCs w:val="24"/>
        </w:rPr>
      </w:pPr>
      <w:r>
        <w:rPr>
          <w:color w:val="000000"/>
          <w:szCs w:val="24"/>
        </w:rPr>
        <w:t>I.Kodoliņa-Miglāne 67083902</w:t>
      </w:r>
    </w:p>
    <w:p w14:paraId="22CE94AF" w14:textId="77777777" w:rsidR="00C14DCD" w:rsidRDefault="00E7036F" w:rsidP="00C14DCD">
      <w:pPr>
        <w:tabs>
          <w:tab w:val="left" w:pos="6946"/>
        </w:tabs>
        <w:rPr>
          <w:color w:val="000000"/>
          <w:szCs w:val="24"/>
        </w:rPr>
      </w:pPr>
      <w:hyperlink r:id="rId15" w:history="1">
        <w:r w:rsidR="00C14DCD" w:rsidRPr="003C77BA">
          <w:rPr>
            <w:rStyle w:val="Hyperlink"/>
            <w:szCs w:val="24"/>
          </w:rPr>
          <w:t>ieva.kodolina-miglane@fm.gov.lv</w:t>
        </w:r>
      </w:hyperlink>
    </w:p>
    <w:p w14:paraId="23746D60" w14:textId="77777777" w:rsidR="00C14DCD" w:rsidRPr="00020BD9" w:rsidRDefault="00C14DCD" w:rsidP="00020BD9">
      <w:pPr>
        <w:spacing w:after="120"/>
        <w:jc w:val="both"/>
        <w:rPr>
          <w:b/>
          <w:color w:val="FF0000"/>
          <w:sz w:val="26"/>
          <w:szCs w:val="26"/>
        </w:rPr>
      </w:pPr>
    </w:p>
    <w:sectPr w:rsidR="00C14DCD" w:rsidRPr="00020BD9">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AB2EB" w14:textId="77777777" w:rsidR="00FE0BFA" w:rsidRDefault="00FE0BFA" w:rsidP="00860B45">
      <w:r>
        <w:separator/>
      </w:r>
    </w:p>
  </w:endnote>
  <w:endnote w:type="continuationSeparator" w:id="0">
    <w:p w14:paraId="09526A49" w14:textId="77777777" w:rsidR="00FE0BFA" w:rsidRDefault="00FE0BFA" w:rsidP="0086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074451"/>
      <w:docPartObj>
        <w:docPartGallery w:val="Page Numbers (Bottom of Page)"/>
        <w:docPartUnique/>
      </w:docPartObj>
    </w:sdtPr>
    <w:sdtEndPr>
      <w:rPr>
        <w:noProof/>
        <w:sz w:val="20"/>
        <w:szCs w:val="20"/>
      </w:rPr>
    </w:sdtEndPr>
    <w:sdtContent>
      <w:p w14:paraId="357C731A" w14:textId="1800C6B3" w:rsidR="00FE0BFA" w:rsidRPr="00044E77" w:rsidRDefault="00FE0BFA">
        <w:pPr>
          <w:pStyle w:val="Footer"/>
          <w:jc w:val="center"/>
          <w:rPr>
            <w:sz w:val="20"/>
            <w:szCs w:val="20"/>
          </w:rPr>
        </w:pPr>
        <w:r w:rsidRPr="00044E77">
          <w:rPr>
            <w:sz w:val="20"/>
            <w:szCs w:val="20"/>
          </w:rPr>
          <w:fldChar w:fldCharType="begin"/>
        </w:r>
        <w:r w:rsidRPr="00044E77">
          <w:rPr>
            <w:sz w:val="20"/>
            <w:szCs w:val="20"/>
          </w:rPr>
          <w:instrText xml:space="preserve"> PAGE   \* MERGEFORMAT </w:instrText>
        </w:r>
        <w:r w:rsidRPr="00044E77">
          <w:rPr>
            <w:sz w:val="20"/>
            <w:szCs w:val="20"/>
          </w:rPr>
          <w:fldChar w:fldCharType="separate"/>
        </w:r>
        <w:r w:rsidR="00E7036F">
          <w:rPr>
            <w:noProof/>
            <w:sz w:val="20"/>
            <w:szCs w:val="20"/>
          </w:rPr>
          <w:t>19</w:t>
        </w:r>
        <w:r w:rsidRPr="00044E77">
          <w:rPr>
            <w:noProof/>
            <w:sz w:val="20"/>
            <w:szCs w:val="20"/>
          </w:rPr>
          <w:fldChar w:fldCharType="end"/>
        </w:r>
      </w:p>
    </w:sdtContent>
  </w:sdt>
  <w:p w14:paraId="02587FD8" w14:textId="7D1B0465" w:rsidR="00FE0BFA" w:rsidRPr="002F7EA2" w:rsidRDefault="00FE0BFA" w:rsidP="00B01120">
    <w:pPr>
      <w:pStyle w:val="Footer"/>
      <w:jc w:val="center"/>
      <w:rPr>
        <w:sz w:val="18"/>
        <w:szCs w:val="18"/>
      </w:rPr>
    </w:pPr>
    <w:r w:rsidRPr="00C96E5C">
      <w:rPr>
        <w:sz w:val="18"/>
        <w:szCs w:val="18"/>
      </w:rPr>
      <w:t>InfZin_VNPP_</w:t>
    </w:r>
    <w:r>
      <w:rPr>
        <w:sz w:val="18"/>
        <w:szCs w:val="18"/>
      </w:rPr>
      <w:t>25</w:t>
    </w:r>
    <w:r w:rsidRPr="00C96E5C">
      <w:rPr>
        <w:sz w:val="18"/>
        <w:szCs w:val="18"/>
      </w:rPr>
      <w:t>022020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37E05" w14:textId="77777777" w:rsidR="00FE0BFA" w:rsidRDefault="00FE0BFA" w:rsidP="00860B45">
      <w:r>
        <w:separator/>
      </w:r>
    </w:p>
  </w:footnote>
  <w:footnote w:type="continuationSeparator" w:id="0">
    <w:p w14:paraId="28126EF8" w14:textId="77777777" w:rsidR="00FE0BFA" w:rsidRDefault="00FE0BFA" w:rsidP="00860B45">
      <w:r>
        <w:continuationSeparator/>
      </w:r>
    </w:p>
  </w:footnote>
  <w:footnote w:id="1">
    <w:p w14:paraId="09590898" w14:textId="77777777" w:rsidR="00FE0BFA" w:rsidRPr="00860B45" w:rsidRDefault="00FE0BFA" w:rsidP="00860B45">
      <w:pPr>
        <w:pStyle w:val="FootnoteText"/>
        <w:ind w:left="284" w:hanging="284"/>
        <w:rPr>
          <w:sz w:val="18"/>
          <w:szCs w:val="18"/>
        </w:rPr>
      </w:pPr>
      <w:r w:rsidRPr="00860B45">
        <w:rPr>
          <w:rStyle w:val="FootnoteReference"/>
          <w:sz w:val="18"/>
          <w:szCs w:val="18"/>
        </w:rPr>
        <w:footnoteRef/>
      </w:r>
      <w:r w:rsidRPr="00860B45">
        <w:rPr>
          <w:sz w:val="18"/>
          <w:szCs w:val="18"/>
        </w:rPr>
        <w:t xml:space="preserve"> </w:t>
      </w:r>
      <w:r w:rsidRPr="00860B45">
        <w:rPr>
          <w:sz w:val="18"/>
          <w:szCs w:val="18"/>
        </w:rPr>
        <w:tab/>
      </w:r>
      <w:r w:rsidRPr="00860B45">
        <w:rPr>
          <w:rFonts w:eastAsia="Times New Roman" w:cs="Times New Roman"/>
          <w:sz w:val="18"/>
          <w:szCs w:val="18"/>
          <w:lang w:eastAsia="lv-LV"/>
        </w:rPr>
        <w:t xml:space="preserve">Valdības koalīciju veidojošās </w:t>
      </w:r>
      <w:r w:rsidRPr="00860B45">
        <w:rPr>
          <w:sz w:val="18"/>
          <w:szCs w:val="18"/>
        </w:rPr>
        <w:t>partijas:</w:t>
      </w:r>
    </w:p>
    <w:p w14:paraId="37AB6DDC" w14:textId="77777777" w:rsidR="00FE0BFA" w:rsidRPr="00860B45" w:rsidRDefault="00FE0BFA" w:rsidP="00860B45">
      <w:pPr>
        <w:pStyle w:val="FootnoteText"/>
        <w:numPr>
          <w:ilvl w:val="0"/>
          <w:numId w:val="2"/>
        </w:numPr>
        <w:rPr>
          <w:sz w:val="18"/>
          <w:szCs w:val="18"/>
        </w:rPr>
      </w:pPr>
      <w:r w:rsidRPr="00860B45">
        <w:rPr>
          <w:sz w:val="18"/>
          <w:szCs w:val="18"/>
        </w:rPr>
        <w:t xml:space="preserve">partiju apvienība “Jaunā Vienotība”, </w:t>
      </w:r>
    </w:p>
    <w:p w14:paraId="46A26511" w14:textId="77777777" w:rsidR="00FE0BFA" w:rsidRPr="00860B45" w:rsidRDefault="00FE0BFA" w:rsidP="00860B45">
      <w:pPr>
        <w:pStyle w:val="FootnoteText"/>
        <w:numPr>
          <w:ilvl w:val="0"/>
          <w:numId w:val="2"/>
        </w:numPr>
        <w:rPr>
          <w:sz w:val="18"/>
          <w:szCs w:val="18"/>
        </w:rPr>
      </w:pPr>
      <w:r w:rsidRPr="00860B45">
        <w:rPr>
          <w:sz w:val="18"/>
          <w:szCs w:val="18"/>
        </w:rPr>
        <w:t>politiskā partija “</w:t>
      </w:r>
      <w:r w:rsidRPr="00860B45">
        <w:rPr>
          <w:rFonts w:cs="Times New Roman"/>
          <w:sz w:val="18"/>
          <w:szCs w:val="18"/>
        </w:rPr>
        <w:t>KPV LV”,</w:t>
      </w:r>
      <w:r w:rsidRPr="00860B45">
        <w:rPr>
          <w:sz w:val="18"/>
          <w:szCs w:val="18"/>
        </w:rPr>
        <w:t xml:space="preserve"> </w:t>
      </w:r>
    </w:p>
    <w:p w14:paraId="5F0C1657" w14:textId="77777777" w:rsidR="00FE0BFA" w:rsidRPr="00860B45" w:rsidRDefault="00FE0BFA" w:rsidP="00860B45">
      <w:pPr>
        <w:pStyle w:val="FootnoteText"/>
        <w:numPr>
          <w:ilvl w:val="0"/>
          <w:numId w:val="2"/>
        </w:numPr>
        <w:rPr>
          <w:sz w:val="18"/>
          <w:szCs w:val="18"/>
        </w:rPr>
      </w:pPr>
      <w:r w:rsidRPr="00860B45">
        <w:rPr>
          <w:rFonts w:cs="Times New Roman"/>
          <w:sz w:val="18"/>
          <w:szCs w:val="18"/>
        </w:rPr>
        <w:t xml:space="preserve">Jaunā konservatīvā partija, </w:t>
      </w:r>
    </w:p>
    <w:p w14:paraId="6DC1E749" w14:textId="77777777" w:rsidR="00FE0BFA" w:rsidRPr="00860B45" w:rsidRDefault="00FE0BFA" w:rsidP="00860B45">
      <w:pPr>
        <w:pStyle w:val="FootnoteText"/>
        <w:numPr>
          <w:ilvl w:val="0"/>
          <w:numId w:val="2"/>
        </w:numPr>
        <w:rPr>
          <w:sz w:val="18"/>
          <w:szCs w:val="18"/>
        </w:rPr>
      </w:pPr>
      <w:r w:rsidRPr="00860B45">
        <w:rPr>
          <w:rFonts w:cs="Times New Roman"/>
          <w:sz w:val="18"/>
          <w:szCs w:val="18"/>
        </w:rPr>
        <w:t xml:space="preserve">Nacionālā apvienība „Visu Latvijai!” – „Tēvzemei un Brīvībai/LNNK” </w:t>
      </w:r>
    </w:p>
    <w:p w14:paraId="42D2DA00" w14:textId="77777777" w:rsidR="00FE0BFA" w:rsidRPr="00860B45" w:rsidRDefault="00FE0BFA" w:rsidP="00860B45">
      <w:pPr>
        <w:pStyle w:val="FootnoteText"/>
        <w:numPr>
          <w:ilvl w:val="0"/>
          <w:numId w:val="2"/>
        </w:numPr>
        <w:rPr>
          <w:sz w:val="18"/>
          <w:szCs w:val="18"/>
        </w:rPr>
      </w:pPr>
      <w:r w:rsidRPr="00860B45">
        <w:rPr>
          <w:sz w:val="18"/>
          <w:szCs w:val="18"/>
        </w:rPr>
        <w:t>partiju apvienība “</w:t>
      </w:r>
      <w:r w:rsidRPr="00860B45">
        <w:rPr>
          <w:rFonts w:cs="Times New Roman"/>
          <w:sz w:val="18"/>
          <w:szCs w:val="18"/>
        </w:rPr>
        <w:t xml:space="preserve">Attīstībai/Par!” </w:t>
      </w:r>
    </w:p>
  </w:footnote>
  <w:footnote w:id="2">
    <w:p w14:paraId="2E01FCDB" w14:textId="77777777" w:rsidR="00FE0BFA" w:rsidRPr="00860B45" w:rsidRDefault="00FE0BFA" w:rsidP="00860B45">
      <w:pPr>
        <w:pStyle w:val="FootnoteText"/>
        <w:rPr>
          <w:sz w:val="18"/>
          <w:szCs w:val="18"/>
        </w:rPr>
      </w:pPr>
      <w:r w:rsidRPr="00860B45">
        <w:rPr>
          <w:rStyle w:val="FootnoteReference"/>
          <w:sz w:val="18"/>
          <w:szCs w:val="18"/>
        </w:rPr>
        <w:footnoteRef/>
      </w:r>
      <w:r w:rsidRPr="00860B45">
        <w:rPr>
          <w:sz w:val="18"/>
          <w:szCs w:val="18"/>
        </w:rPr>
        <w:t xml:space="preserve"> </w:t>
      </w:r>
      <w:hyperlink r:id="rId1" w:history="1">
        <w:r w:rsidRPr="00860B45">
          <w:rPr>
            <w:rStyle w:val="Hyperlink"/>
            <w:rFonts w:cs="Times New Roman"/>
            <w:sz w:val="18"/>
            <w:szCs w:val="18"/>
          </w:rPr>
          <w:t>https://ec.europa.eu/energy/observatory/reports/Oil_Bulletin_Duties_and_taxes.pdf</w:t>
        </w:r>
      </w:hyperlink>
      <w:r w:rsidRPr="00860B45">
        <w:rPr>
          <w:sz w:val="18"/>
          <w:szCs w:val="18"/>
        </w:rPr>
        <w:t xml:space="preserve"> </w:t>
      </w:r>
    </w:p>
  </w:footnote>
  <w:footnote w:id="3">
    <w:p w14:paraId="1D4E22A5" w14:textId="77777777" w:rsidR="00FE0BFA" w:rsidRPr="00860B45" w:rsidRDefault="00FE0BFA" w:rsidP="00860B45">
      <w:pPr>
        <w:pStyle w:val="FootnoteText"/>
        <w:ind w:left="284" w:hanging="284"/>
        <w:jc w:val="both"/>
        <w:rPr>
          <w:sz w:val="18"/>
          <w:szCs w:val="18"/>
        </w:rPr>
      </w:pPr>
      <w:r w:rsidRPr="00860B45">
        <w:rPr>
          <w:rStyle w:val="FootnoteReference"/>
          <w:sz w:val="18"/>
          <w:szCs w:val="18"/>
        </w:rPr>
        <w:footnoteRef/>
      </w:r>
      <w:r w:rsidRPr="00860B45">
        <w:rPr>
          <w:sz w:val="18"/>
          <w:szCs w:val="18"/>
        </w:rPr>
        <w:t xml:space="preserve"> </w:t>
      </w:r>
      <w:r w:rsidRPr="00860B45">
        <w:rPr>
          <w:sz w:val="18"/>
          <w:szCs w:val="18"/>
        </w:rPr>
        <w:tab/>
      </w:r>
      <w:r w:rsidRPr="00860B45">
        <w:rPr>
          <w:rFonts w:cs="Times New Roman"/>
          <w:sz w:val="18"/>
          <w:szCs w:val="18"/>
        </w:rPr>
        <w:t>AN likme biodīzeļdegvielai un parafinizētajai biodīzeļdegvielai saskaņā ar Saeimā iesniegto likumprojektu “Grozījumi likumā “Par akcīzes nodokli”” (Nr.383/Lp13) Likumprojekts pieņemts 1.lasījumā 26.09.2019.</w:t>
      </w:r>
    </w:p>
  </w:footnote>
  <w:footnote w:id="4">
    <w:p w14:paraId="5993D98C" w14:textId="77777777" w:rsidR="00FE0BFA" w:rsidRPr="0044668C" w:rsidRDefault="00FE0BFA" w:rsidP="0044668C">
      <w:pPr>
        <w:pStyle w:val="FootnoteText"/>
        <w:tabs>
          <w:tab w:val="left" w:pos="284"/>
        </w:tabs>
        <w:rPr>
          <w:sz w:val="18"/>
          <w:szCs w:val="18"/>
        </w:rPr>
      </w:pPr>
      <w:r w:rsidRPr="0044668C">
        <w:rPr>
          <w:rStyle w:val="FootnoteReference"/>
          <w:sz w:val="18"/>
          <w:szCs w:val="18"/>
        </w:rPr>
        <w:footnoteRef/>
      </w:r>
      <w:r w:rsidRPr="0044668C">
        <w:rPr>
          <w:sz w:val="18"/>
          <w:szCs w:val="18"/>
        </w:rPr>
        <w:t xml:space="preserve"> </w:t>
      </w:r>
      <w:r w:rsidRPr="0044668C">
        <w:rPr>
          <w:sz w:val="18"/>
          <w:szCs w:val="18"/>
        </w:rPr>
        <w:tab/>
        <w:t xml:space="preserve">Naftas gāzes balona (50 litru) mazumtirdzniecības cena 26,50 </w:t>
      </w:r>
      <w:r w:rsidRPr="0044668C">
        <w:rPr>
          <w:i/>
          <w:sz w:val="18"/>
          <w:szCs w:val="18"/>
        </w:rPr>
        <w:t>euro</w:t>
      </w:r>
    </w:p>
  </w:footnote>
  <w:footnote w:id="5">
    <w:p w14:paraId="180DC640" w14:textId="77777777" w:rsidR="00FE0BFA" w:rsidRPr="0044668C" w:rsidRDefault="00FE0BFA" w:rsidP="0044668C">
      <w:pPr>
        <w:pStyle w:val="FootnoteText"/>
        <w:tabs>
          <w:tab w:val="left" w:pos="284"/>
        </w:tabs>
        <w:rPr>
          <w:sz w:val="18"/>
          <w:szCs w:val="18"/>
        </w:rPr>
      </w:pPr>
      <w:r w:rsidRPr="0044668C">
        <w:rPr>
          <w:rStyle w:val="FootnoteReference"/>
          <w:sz w:val="18"/>
          <w:szCs w:val="18"/>
        </w:rPr>
        <w:footnoteRef/>
      </w:r>
      <w:r w:rsidRPr="0044668C">
        <w:rPr>
          <w:sz w:val="18"/>
          <w:szCs w:val="18"/>
        </w:rPr>
        <w:t xml:space="preserve"> </w:t>
      </w:r>
      <w:r w:rsidRPr="0044668C">
        <w:rPr>
          <w:sz w:val="18"/>
          <w:szCs w:val="18"/>
        </w:rPr>
        <w:tab/>
      </w:r>
      <w:hyperlink r:id="rId2" w:history="1">
        <w:r w:rsidRPr="007C2A1D">
          <w:rPr>
            <w:rStyle w:val="Hyperlink"/>
            <w:sz w:val="18"/>
            <w:szCs w:val="18"/>
          </w:rPr>
          <w:t>https://lg.lv/majai/tarifi-un-kalkulators</w:t>
        </w:r>
      </w:hyperlink>
      <w:r>
        <w:rPr>
          <w:sz w:val="18"/>
          <w:szCs w:val="18"/>
        </w:rPr>
        <w:t xml:space="preserve"> </w:t>
      </w:r>
    </w:p>
  </w:footnote>
  <w:footnote w:id="6">
    <w:p w14:paraId="637B386D" w14:textId="77777777" w:rsidR="00FE0BFA" w:rsidRPr="002C4803" w:rsidRDefault="00FE0BFA" w:rsidP="002C4803">
      <w:pPr>
        <w:pStyle w:val="FootnoteText"/>
        <w:tabs>
          <w:tab w:val="left" w:pos="284"/>
        </w:tabs>
        <w:ind w:left="284" w:hanging="284"/>
        <w:jc w:val="both"/>
        <w:rPr>
          <w:sz w:val="18"/>
          <w:szCs w:val="18"/>
        </w:rPr>
      </w:pPr>
      <w:r w:rsidRPr="002C4803">
        <w:rPr>
          <w:rStyle w:val="FootnoteReference"/>
          <w:sz w:val="18"/>
          <w:szCs w:val="18"/>
        </w:rPr>
        <w:footnoteRef/>
      </w:r>
      <w:r w:rsidRPr="002C4803">
        <w:rPr>
          <w:sz w:val="18"/>
          <w:szCs w:val="18"/>
        </w:rPr>
        <w:t xml:space="preserve"> </w:t>
      </w:r>
      <w:r>
        <w:rPr>
          <w:sz w:val="18"/>
          <w:szCs w:val="18"/>
        </w:rPr>
        <w:t xml:space="preserve"> Jautājums skatīts </w:t>
      </w:r>
      <w:r w:rsidRPr="002C4803">
        <w:rPr>
          <w:sz w:val="18"/>
          <w:szCs w:val="18"/>
        </w:rPr>
        <w:t>20</w:t>
      </w:r>
      <w:r>
        <w:rPr>
          <w:sz w:val="18"/>
          <w:szCs w:val="18"/>
        </w:rPr>
        <w:t>20</w:t>
      </w:r>
      <w:r w:rsidRPr="002C4803">
        <w:rPr>
          <w:sz w:val="18"/>
          <w:szCs w:val="18"/>
        </w:rPr>
        <w:t>.</w:t>
      </w:r>
      <w:r>
        <w:rPr>
          <w:sz w:val="18"/>
          <w:szCs w:val="18"/>
        </w:rPr>
        <w:t xml:space="preserve">gada </w:t>
      </w:r>
      <w:r w:rsidRPr="002C4803">
        <w:rPr>
          <w:sz w:val="18"/>
          <w:szCs w:val="18"/>
        </w:rPr>
        <w:t>20.</w:t>
      </w:r>
      <w:r>
        <w:rPr>
          <w:sz w:val="18"/>
          <w:szCs w:val="18"/>
        </w:rPr>
        <w:t>janvāra Saeimas</w:t>
      </w:r>
      <w:r w:rsidRPr="002C4803">
        <w:rPr>
          <w:sz w:val="18"/>
          <w:szCs w:val="18"/>
        </w:rPr>
        <w:t xml:space="preserve"> Budžeta un finanšu (nodokļu) komisijas Nodokļu politikas apakškomisijas sēdē</w:t>
      </w:r>
    </w:p>
  </w:footnote>
  <w:footnote w:id="7">
    <w:p w14:paraId="093089C3" w14:textId="77777777" w:rsidR="00FE0BFA" w:rsidRPr="002977A4" w:rsidRDefault="00FE0BFA" w:rsidP="007775B5">
      <w:pPr>
        <w:pStyle w:val="FootnoteText"/>
        <w:tabs>
          <w:tab w:val="left" w:pos="284"/>
        </w:tabs>
        <w:spacing w:after="80"/>
        <w:ind w:left="284" w:hanging="284"/>
        <w:jc w:val="both"/>
        <w:rPr>
          <w:i/>
          <w:sz w:val="18"/>
          <w:szCs w:val="18"/>
        </w:rPr>
      </w:pPr>
      <w:r w:rsidRPr="002977A4">
        <w:rPr>
          <w:rStyle w:val="FootnoteReference"/>
          <w:i/>
          <w:sz w:val="18"/>
          <w:szCs w:val="18"/>
        </w:rPr>
        <w:footnoteRef/>
      </w:r>
      <w:r w:rsidRPr="002977A4">
        <w:rPr>
          <w:i/>
          <w:sz w:val="18"/>
          <w:szCs w:val="18"/>
        </w:rPr>
        <w:t xml:space="preserve"> </w:t>
      </w:r>
      <w:r w:rsidRPr="002977A4">
        <w:rPr>
          <w:i/>
          <w:sz w:val="18"/>
          <w:szCs w:val="18"/>
        </w:rPr>
        <w:tab/>
        <w:t>Pasaulē saskaņotā vieglo transportlīdzekļu testēšanas procedūra (Worldwide Harmonised Light Vehicle Test Procedure WLTP), spēkā no 2018.gada 1.septembra</w:t>
      </w:r>
    </w:p>
  </w:footnote>
  <w:footnote w:id="8">
    <w:p w14:paraId="2621C15A" w14:textId="77777777" w:rsidR="00FE0BFA" w:rsidRPr="002977A4" w:rsidRDefault="00FE0BFA" w:rsidP="007775B5">
      <w:pPr>
        <w:pStyle w:val="FootnoteText"/>
        <w:tabs>
          <w:tab w:val="left" w:pos="284"/>
        </w:tabs>
        <w:spacing w:after="80"/>
        <w:ind w:left="284" w:hanging="284"/>
        <w:jc w:val="both"/>
        <w:rPr>
          <w:i/>
          <w:sz w:val="18"/>
          <w:szCs w:val="18"/>
        </w:rPr>
      </w:pPr>
      <w:r w:rsidRPr="0081318F">
        <w:rPr>
          <w:rStyle w:val="FootnoteReference"/>
          <w:i/>
          <w:sz w:val="18"/>
          <w:szCs w:val="18"/>
        </w:rPr>
        <w:footnoteRef/>
      </w:r>
      <w:r w:rsidRPr="0081318F">
        <w:rPr>
          <w:i/>
          <w:sz w:val="18"/>
          <w:szCs w:val="18"/>
        </w:rPr>
        <w:t xml:space="preserve"> </w:t>
      </w:r>
      <w:r>
        <w:rPr>
          <w:i/>
          <w:sz w:val="18"/>
          <w:szCs w:val="18"/>
        </w:rPr>
        <w:tab/>
      </w:r>
      <w:r w:rsidRPr="002977A4">
        <w:rPr>
          <w:i/>
          <w:sz w:val="18"/>
          <w:szCs w:val="18"/>
        </w:rPr>
        <w:t>Jaunais Eiropas braukšanas cikls (New European Driving Cycle (NEDC))</w:t>
      </w:r>
    </w:p>
  </w:footnote>
  <w:footnote w:id="9">
    <w:p w14:paraId="7803666B" w14:textId="77777777" w:rsidR="00FE0BFA" w:rsidRDefault="00FE0BFA" w:rsidP="007775B5">
      <w:pPr>
        <w:pStyle w:val="FootnoteText"/>
        <w:tabs>
          <w:tab w:val="left" w:pos="284"/>
        </w:tabs>
        <w:spacing w:after="80"/>
        <w:ind w:left="284" w:hanging="284"/>
        <w:jc w:val="both"/>
      </w:pPr>
      <w:r w:rsidRPr="002977A4">
        <w:rPr>
          <w:rStyle w:val="FootnoteReference"/>
          <w:i/>
          <w:sz w:val="18"/>
          <w:szCs w:val="18"/>
        </w:rPr>
        <w:footnoteRef/>
      </w:r>
      <w:r w:rsidRPr="002977A4">
        <w:rPr>
          <w:i/>
          <w:sz w:val="18"/>
          <w:szCs w:val="18"/>
        </w:rPr>
        <w:t xml:space="preserve"> </w:t>
      </w:r>
      <w:r w:rsidRPr="002977A4">
        <w:rPr>
          <w:i/>
          <w:sz w:val="18"/>
          <w:szCs w:val="18"/>
        </w:rPr>
        <w:tab/>
        <w:t>Ņemot vērā to, ka šobrīd notiek ES Direktīvas 1999/62/EK “Par dažu infrastruktūru lietošanas maksas noteikšanu smagajiem kravas transportlīdzekļiem” priekšlikumu izstrādāšana un apspriešana arī attiecībā uz kārtību, kā iekasējama maksa par infrastruktūras lietošanu, tostarp maksas diferenciāciju atkarībā no transportlīdzekļu ekoloģiskajiem raksturlielumiem</w:t>
      </w:r>
      <w:r>
        <w:t>.</w:t>
      </w:r>
      <w:r w:rsidRPr="008C521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61BF"/>
    <w:multiLevelType w:val="hybridMultilevel"/>
    <w:tmpl w:val="3A2C3310"/>
    <w:lvl w:ilvl="0" w:tplc="8CE01320">
      <w:start w:val="30"/>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0E3BBC"/>
    <w:multiLevelType w:val="multilevel"/>
    <w:tmpl w:val="93A49D7A"/>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EA30C9"/>
    <w:multiLevelType w:val="hybridMultilevel"/>
    <w:tmpl w:val="82EE47E0"/>
    <w:lvl w:ilvl="0" w:tplc="04260001">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3" w15:restartNumberingAfterBreak="0">
    <w:nsid w:val="0AB751B8"/>
    <w:multiLevelType w:val="hybridMultilevel"/>
    <w:tmpl w:val="8D3CC1BC"/>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AF21311"/>
    <w:multiLevelType w:val="hybridMultilevel"/>
    <w:tmpl w:val="6860BA96"/>
    <w:lvl w:ilvl="0" w:tplc="9CF87C5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634176"/>
    <w:multiLevelType w:val="hybridMultilevel"/>
    <w:tmpl w:val="2D9E4B6A"/>
    <w:lvl w:ilvl="0" w:tplc="3CDE9A4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E475B7D"/>
    <w:multiLevelType w:val="hybridMultilevel"/>
    <w:tmpl w:val="5AF4C46C"/>
    <w:lvl w:ilvl="0" w:tplc="6CD0D61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0303AF6"/>
    <w:multiLevelType w:val="hybridMultilevel"/>
    <w:tmpl w:val="84ECC838"/>
    <w:lvl w:ilvl="0" w:tplc="AC7C849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1120AE8"/>
    <w:multiLevelType w:val="hybridMultilevel"/>
    <w:tmpl w:val="458EE508"/>
    <w:lvl w:ilvl="0" w:tplc="8F88CD00">
      <w:start w:val="1"/>
      <w:numFmt w:val="bullet"/>
      <w:lvlText w:val="-"/>
      <w:lvlJc w:val="left"/>
      <w:pPr>
        <w:ind w:left="1440" w:hanging="360"/>
      </w:pPr>
      <w:rPr>
        <w:rFonts w:ascii="Times New Roman" w:eastAsiaTheme="minorHAnsi"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3554BCA"/>
    <w:multiLevelType w:val="hybridMultilevel"/>
    <w:tmpl w:val="028C311E"/>
    <w:lvl w:ilvl="0" w:tplc="8F88CD00">
      <w:start w:val="1"/>
      <w:numFmt w:val="bullet"/>
      <w:lvlText w:val="-"/>
      <w:lvlJc w:val="left"/>
      <w:pPr>
        <w:ind w:left="4472"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16BD0BE4"/>
    <w:multiLevelType w:val="hybridMultilevel"/>
    <w:tmpl w:val="61600F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760105"/>
    <w:multiLevelType w:val="hybridMultilevel"/>
    <w:tmpl w:val="9FC6D7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3B3ECA"/>
    <w:multiLevelType w:val="multilevel"/>
    <w:tmpl w:val="55C0403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8813AD"/>
    <w:multiLevelType w:val="multilevel"/>
    <w:tmpl w:val="011A7D62"/>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D216B3"/>
    <w:multiLevelType w:val="hybridMultilevel"/>
    <w:tmpl w:val="5074D8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3D3149"/>
    <w:multiLevelType w:val="hybridMultilevel"/>
    <w:tmpl w:val="665407E8"/>
    <w:lvl w:ilvl="0" w:tplc="A68A6BB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9293E9F"/>
    <w:multiLevelType w:val="hybridMultilevel"/>
    <w:tmpl w:val="6E2CEA36"/>
    <w:lvl w:ilvl="0" w:tplc="74C2C112">
      <w:start w:val="90"/>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7" w15:restartNumberingAfterBreak="0">
    <w:nsid w:val="29CE76DA"/>
    <w:multiLevelType w:val="hybridMultilevel"/>
    <w:tmpl w:val="7CF678C8"/>
    <w:lvl w:ilvl="0" w:tplc="064CE2F0">
      <w:start w:val="20"/>
      <w:numFmt w:val="bullet"/>
      <w:lvlText w:val="*"/>
      <w:lvlJc w:val="left"/>
      <w:pPr>
        <w:ind w:left="1920" w:hanging="360"/>
      </w:pPr>
      <w:rPr>
        <w:rFonts w:ascii="Times New Roman" w:eastAsiaTheme="minorHAnsi" w:hAnsi="Times New Roman" w:cs="Times New Roman" w:hint="default"/>
        <w:vertAlign w:val="superscrip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18" w15:restartNumberingAfterBreak="0">
    <w:nsid w:val="2A831CE8"/>
    <w:multiLevelType w:val="hybridMultilevel"/>
    <w:tmpl w:val="DBF4AFDE"/>
    <w:lvl w:ilvl="0" w:tplc="02200406">
      <w:start w:val="90"/>
      <w:numFmt w:val="bullet"/>
      <w:lvlText w:val="-"/>
      <w:lvlJc w:val="left"/>
      <w:pPr>
        <w:ind w:left="1069" w:hanging="360"/>
      </w:pPr>
      <w:rPr>
        <w:rFonts w:ascii="Times New Roman" w:eastAsia="Verdana" w:hAnsi="Times New Roman" w:cs="Times New Roman" w:hint="default"/>
        <w:color w:val="00000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2BB91FE9"/>
    <w:multiLevelType w:val="hybridMultilevel"/>
    <w:tmpl w:val="A502EC30"/>
    <w:lvl w:ilvl="0" w:tplc="8F88CD00">
      <w:start w:val="1"/>
      <w:numFmt w:val="bullet"/>
      <w:lvlText w:val="-"/>
      <w:lvlJc w:val="left"/>
      <w:pPr>
        <w:ind w:left="1146" w:hanging="360"/>
      </w:pPr>
      <w:rPr>
        <w:rFonts w:ascii="Times New Roman" w:eastAsiaTheme="minorHAnsi"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31AC54FC"/>
    <w:multiLevelType w:val="hybridMultilevel"/>
    <w:tmpl w:val="65F0417E"/>
    <w:lvl w:ilvl="0" w:tplc="EB8E5EA8">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157C9D"/>
    <w:multiLevelType w:val="hybridMultilevel"/>
    <w:tmpl w:val="569C0A58"/>
    <w:lvl w:ilvl="0" w:tplc="DCC05B2A">
      <w:start w:val="1"/>
      <w:numFmt w:val="decimal"/>
      <w:lvlText w:val="%1)"/>
      <w:lvlJc w:val="left"/>
      <w:pPr>
        <w:ind w:left="1080" w:hanging="72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F92D34"/>
    <w:multiLevelType w:val="hybridMultilevel"/>
    <w:tmpl w:val="665407E8"/>
    <w:lvl w:ilvl="0" w:tplc="A68A6BB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3FCE049C"/>
    <w:multiLevelType w:val="hybridMultilevel"/>
    <w:tmpl w:val="19867432"/>
    <w:lvl w:ilvl="0" w:tplc="F32452AC">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DE52A0"/>
    <w:multiLevelType w:val="hybridMultilevel"/>
    <w:tmpl w:val="E76230FA"/>
    <w:lvl w:ilvl="0" w:tplc="2D8CC73E">
      <w:start w:val="1"/>
      <w:numFmt w:val="decimal"/>
      <w:lvlText w:val="%1)"/>
      <w:lvlJc w:val="left"/>
      <w:pPr>
        <w:ind w:left="720" w:hanging="360"/>
      </w:pPr>
      <w:rPr>
        <w:rFonts w:ascii="Times New Roman" w:eastAsiaTheme="minorHAnsi" w:hAnsi="Times New Roman" w:cstheme="minorBid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91789E"/>
    <w:multiLevelType w:val="hybridMultilevel"/>
    <w:tmpl w:val="210ACE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78E487A"/>
    <w:multiLevelType w:val="hybridMultilevel"/>
    <w:tmpl w:val="F1B69194"/>
    <w:lvl w:ilvl="0" w:tplc="54580E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494778A4"/>
    <w:multiLevelType w:val="hybridMultilevel"/>
    <w:tmpl w:val="6446643A"/>
    <w:lvl w:ilvl="0" w:tplc="975AD5F2">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9661A79"/>
    <w:multiLevelType w:val="multilevel"/>
    <w:tmpl w:val="AC1AE286"/>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172474"/>
    <w:multiLevelType w:val="hybridMultilevel"/>
    <w:tmpl w:val="1024A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3C233C"/>
    <w:multiLevelType w:val="hybridMultilevel"/>
    <w:tmpl w:val="6BE83CA8"/>
    <w:lvl w:ilvl="0" w:tplc="8F88CD00">
      <w:start w:val="1"/>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4E734AB6"/>
    <w:multiLevelType w:val="hybridMultilevel"/>
    <w:tmpl w:val="8ABE2990"/>
    <w:lvl w:ilvl="0" w:tplc="A6AEC942">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2D4577A"/>
    <w:multiLevelType w:val="hybridMultilevel"/>
    <w:tmpl w:val="8E04A4F0"/>
    <w:lvl w:ilvl="0" w:tplc="35EE33E4">
      <w:start w:val="1"/>
      <w:numFmt w:val="decimal"/>
      <w:lvlText w:val="%1)"/>
      <w:lvlJc w:val="left"/>
      <w:pPr>
        <w:ind w:left="1069" w:hanging="360"/>
      </w:pPr>
      <w:rPr>
        <w:rFonts w:hint="default"/>
        <w:b w:val="0"/>
        <w:color w:val="000000" w:themeColor="text1"/>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5D46125"/>
    <w:multiLevelType w:val="hybridMultilevel"/>
    <w:tmpl w:val="2F204FE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89525EF"/>
    <w:multiLevelType w:val="hybridMultilevel"/>
    <w:tmpl w:val="002C01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A38685A"/>
    <w:multiLevelType w:val="hybridMultilevel"/>
    <w:tmpl w:val="42A41A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21469FE"/>
    <w:multiLevelType w:val="hybridMultilevel"/>
    <w:tmpl w:val="AD148088"/>
    <w:lvl w:ilvl="0" w:tplc="0478BD4C">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CA1BFF"/>
    <w:multiLevelType w:val="hybridMultilevel"/>
    <w:tmpl w:val="4D24B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6A22D24"/>
    <w:multiLevelType w:val="hybridMultilevel"/>
    <w:tmpl w:val="EC46FA5A"/>
    <w:lvl w:ilvl="0" w:tplc="F21CB76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8F3747D"/>
    <w:multiLevelType w:val="multilevel"/>
    <w:tmpl w:val="72521EB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D620FF6"/>
    <w:multiLevelType w:val="hybridMultilevel"/>
    <w:tmpl w:val="F55EA09C"/>
    <w:lvl w:ilvl="0" w:tplc="8F88CD0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DE94E16"/>
    <w:multiLevelType w:val="multilevel"/>
    <w:tmpl w:val="C8D66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6F7FB8"/>
    <w:multiLevelType w:val="hybridMultilevel"/>
    <w:tmpl w:val="F2BE0A42"/>
    <w:lvl w:ilvl="0" w:tplc="8F88CD0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DC2BB9"/>
    <w:multiLevelType w:val="hybridMultilevel"/>
    <w:tmpl w:val="633EA31C"/>
    <w:lvl w:ilvl="0" w:tplc="6EE01C98">
      <w:start w:val="1"/>
      <w:numFmt w:val="decimal"/>
      <w:lvlText w:val="%1)"/>
      <w:lvlJc w:val="left"/>
      <w:pPr>
        <w:ind w:left="1069" w:hanging="360"/>
      </w:pPr>
      <w:rPr>
        <w:rFonts w:hint="default"/>
        <w:sz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4" w15:restartNumberingAfterBreak="0">
    <w:nsid w:val="794F267A"/>
    <w:multiLevelType w:val="hybridMultilevel"/>
    <w:tmpl w:val="7A824B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C2324F1"/>
    <w:multiLevelType w:val="hybridMultilevel"/>
    <w:tmpl w:val="5C383A3A"/>
    <w:lvl w:ilvl="0" w:tplc="346693C2">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6" w15:restartNumberingAfterBreak="0">
    <w:nsid w:val="7F024499"/>
    <w:multiLevelType w:val="hybridMultilevel"/>
    <w:tmpl w:val="D4AC6CBE"/>
    <w:lvl w:ilvl="0" w:tplc="0DF02A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6"/>
  </w:num>
  <w:num w:numId="2">
    <w:abstractNumId w:val="14"/>
  </w:num>
  <w:num w:numId="3">
    <w:abstractNumId w:val="34"/>
  </w:num>
  <w:num w:numId="4">
    <w:abstractNumId w:val="6"/>
  </w:num>
  <w:num w:numId="5">
    <w:abstractNumId w:val="32"/>
  </w:num>
  <w:num w:numId="6">
    <w:abstractNumId w:val="9"/>
  </w:num>
  <w:num w:numId="7">
    <w:abstractNumId w:val="5"/>
  </w:num>
  <w:num w:numId="8">
    <w:abstractNumId w:val="1"/>
  </w:num>
  <w:num w:numId="9">
    <w:abstractNumId w:val="15"/>
  </w:num>
  <w:num w:numId="10">
    <w:abstractNumId w:val="46"/>
  </w:num>
  <w:num w:numId="11">
    <w:abstractNumId w:val="20"/>
  </w:num>
  <w:num w:numId="12">
    <w:abstractNumId w:val="23"/>
  </w:num>
  <w:num w:numId="13">
    <w:abstractNumId w:val="38"/>
  </w:num>
  <w:num w:numId="14">
    <w:abstractNumId w:val="21"/>
  </w:num>
  <w:num w:numId="15">
    <w:abstractNumId w:val="4"/>
  </w:num>
  <w:num w:numId="16">
    <w:abstractNumId w:val="7"/>
  </w:num>
  <w:num w:numId="17">
    <w:abstractNumId w:val="27"/>
  </w:num>
  <w:num w:numId="18">
    <w:abstractNumId w:val="31"/>
  </w:num>
  <w:num w:numId="19">
    <w:abstractNumId w:val="11"/>
  </w:num>
  <w:num w:numId="20">
    <w:abstractNumId w:val="17"/>
  </w:num>
  <w:num w:numId="21">
    <w:abstractNumId w:val="44"/>
  </w:num>
  <w:num w:numId="22">
    <w:abstractNumId w:val="22"/>
  </w:num>
  <w:num w:numId="23">
    <w:abstractNumId w:val="19"/>
  </w:num>
  <w:num w:numId="24">
    <w:abstractNumId w:val="40"/>
  </w:num>
  <w:num w:numId="25">
    <w:abstractNumId w:val="36"/>
  </w:num>
  <w:num w:numId="26">
    <w:abstractNumId w:val="45"/>
  </w:num>
  <w:num w:numId="27">
    <w:abstractNumId w:val="37"/>
  </w:num>
  <w:num w:numId="28">
    <w:abstractNumId w:val="29"/>
  </w:num>
  <w:num w:numId="29">
    <w:abstractNumId w:val="33"/>
  </w:num>
  <w:num w:numId="30">
    <w:abstractNumId w:val="42"/>
  </w:num>
  <w:num w:numId="31">
    <w:abstractNumId w:val="18"/>
  </w:num>
  <w:num w:numId="32">
    <w:abstractNumId w:val="16"/>
  </w:num>
  <w:num w:numId="33">
    <w:abstractNumId w:val="30"/>
  </w:num>
  <w:num w:numId="34">
    <w:abstractNumId w:val="13"/>
  </w:num>
  <w:num w:numId="35">
    <w:abstractNumId w:val="41"/>
  </w:num>
  <w:num w:numId="36">
    <w:abstractNumId w:val="43"/>
  </w:num>
  <w:num w:numId="37">
    <w:abstractNumId w:val="28"/>
  </w:num>
  <w:num w:numId="38">
    <w:abstractNumId w:val="39"/>
  </w:num>
  <w:num w:numId="39">
    <w:abstractNumId w:val="2"/>
  </w:num>
  <w:num w:numId="40">
    <w:abstractNumId w:val="24"/>
  </w:num>
  <w:num w:numId="41">
    <w:abstractNumId w:val="12"/>
  </w:num>
  <w:num w:numId="42">
    <w:abstractNumId w:val="0"/>
  </w:num>
  <w:num w:numId="43">
    <w:abstractNumId w:val="25"/>
  </w:num>
  <w:num w:numId="44">
    <w:abstractNumId w:val="10"/>
  </w:num>
  <w:num w:numId="45">
    <w:abstractNumId w:val="35"/>
  </w:num>
  <w:num w:numId="46">
    <w:abstractNumId w:val="8"/>
  </w:num>
  <w:num w:numId="4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45"/>
    <w:rsid w:val="00003E4D"/>
    <w:rsid w:val="00006632"/>
    <w:rsid w:val="00020BD9"/>
    <w:rsid w:val="000223DA"/>
    <w:rsid w:val="0003185C"/>
    <w:rsid w:val="00042C28"/>
    <w:rsid w:val="000447BF"/>
    <w:rsid w:val="00044E77"/>
    <w:rsid w:val="00046ACE"/>
    <w:rsid w:val="00053E37"/>
    <w:rsid w:val="0005683E"/>
    <w:rsid w:val="00081240"/>
    <w:rsid w:val="0008134A"/>
    <w:rsid w:val="000854D0"/>
    <w:rsid w:val="00095319"/>
    <w:rsid w:val="000A12C6"/>
    <w:rsid w:val="000A3FC1"/>
    <w:rsid w:val="000B0313"/>
    <w:rsid w:val="000D492D"/>
    <w:rsid w:val="000D7B07"/>
    <w:rsid w:val="000E4CCC"/>
    <w:rsid w:val="000E77AE"/>
    <w:rsid w:val="000F19DE"/>
    <w:rsid w:val="000F652A"/>
    <w:rsid w:val="00102BD3"/>
    <w:rsid w:val="0010399D"/>
    <w:rsid w:val="00117E4C"/>
    <w:rsid w:val="001271D9"/>
    <w:rsid w:val="00135AAA"/>
    <w:rsid w:val="00140D87"/>
    <w:rsid w:val="0015624C"/>
    <w:rsid w:val="00164FD5"/>
    <w:rsid w:val="001717C9"/>
    <w:rsid w:val="00191F34"/>
    <w:rsid w:val="001A2F5F"/>
    <w:rsid w:val="001B1006"/>
    <w:rsid w:val="001B465C"/>
    <w:rsid w:val="001B7F82"/>
    <w:rsid w:val="001C4C78"/>
    <w:rsid w:val="001D79C2"/>
    <w:rsid w:val="001E0A42"/>
    <w:rsid w:val="001E5B57"/>
    <w:rsid w:val="002008F9"/>
    <w:rsid w:val="00205650"/>
    <w:rsid w:val="00207315"/>
    <w:rsid w:val="00210441"/>
    <w:rsid w:val="00217A3A"/>
    <w:rsid w:val="00224344"/>
    <w:rsid w:val="00233D6B"/>
    <w:rsid w:val="00234A0B"/>
    <w:rsid w:val="0024184C"/>
    <w:rsid w:val="00250BFF"/>
    <w:rsid w:val="00266634"/>
    <w:rsid w:val="00281B3C"/>
    <w:rsid w:val="002977A4"/>
    <w:rsid w:val="002A31EA"/>
    <w:rsid w:val="002A3E75"/>
    <w:rsid w:val="002B4F8E"/>
    <w:rsid w:val="002B6A09"/>
    <w:rsid w:val="002C1429"/>
    <w:rsid w:val="002C4803"/>
    <w:rsid w:val="002C5C2C"/>
    <w:rsid w:val="002E2A0B"/>
    <w:rsid w:val="002E5ECD"/>
    <w:rsid w:val="002F4408"/>
    <w:rsid w:val="002F5922"/>
    <w:rsid w:val="002F78E2"/>
    <w:rsid w:val="002F7EA2"/>
    <w:rsid w:val="003038A2"/>
    <w:rsid w:val="00314902"/>
    <w:rsid w:val="00330C56"/>
    <w:rsid w:val="00340F7E"/>
    <w:rsid w:val="00362C28"/>
    <w:rsid w:val="003741B4"/>
    <w:rsid w:val="00383427"/>
    <w:rsid w:val="0038561A"/>
    <w:rsid w:val="00386F96"/>
    <w:rsid w:val="003901EB"/>
    <w:rsid w:val="00394868"/>
    <w:rsid w:val="003A2394"/>
    <w:rsid w:val="003A556B"/>
    <w:rsid w:val="003B5CEA"/>
    <w:rsid w:val="003D1112"/>
    <w:rsid w:val="003D143A"/>
    <w:rsid w:val="003E260B"/>
    <w:rsid w:val="003E2FDE"/>
    <w:rsid w:val="003F3FB8"/>
    <w:rsid w:val="003F4175"/>
    <w:rsid w:val="003F56C6"/>
    <w:rsid w:val="003F660B"/>
    <w:rsid w:val="004009E0"/>
    <w:rsid w:val="00402430"/>
    <w:rsid w:val="00403E6E"/>
    <w:rsid w:val="00406623"/>
    <w:rsid w:val="00424FF8"/>
    <w:rsid w:val="004252E4"/>
    <w:rsid w:val="00430E16"/>
    <w:rsid w:val="00435DF7"/>
    <w:rsid w:val="0044668C"/>
    <w:rsid w:val="004610C9"/>
    <w:rsid w:val="004636FE"/>
    <w:rsid w:val="00466005"/>
    <w:rsid w:val="0047403B"/>
    <w:rsid w:val="00482FCF"/>
    <w:rsid w:val="0048450F"/>
    <w:rsid w:val="0049154A"/>
    <w:rsid w:val="004A630A"/>
    <w:rsid w:val="004B7BF4"/>
    <w:rsid w:val="004C0FE3"/>
    <w:rsid w:val="004C7C80"/>
    <w:rsid w:val="00506461"/>
    <w:rsid w:val="005138B5"/>
    <w:rsid w:val="00515CB4"/>
    <w:rsid w:val="00516EA7"/>
    <w:rsid w:val="005177A5"/>
    <w:rsid w:val="00543A9D"/>
    <w:rsid w:val="00543E31"/>
    <w:rsid w:val="005561F9"/>
    <w:rsid w:val="00556F04"/>
    <w:rsid w:val="0056420A"/>
    <w:rsid w:val="0058370E"/>
    <w:rsid w:val="0059667D"/>
    <w:rsid w:val="005A720A"/>
    <w:rsid w:val="005C255B"/>
    <w:rsid w:val="005D01E8"/>
    <w:rsid w:val="005E160C"/>
    <w:rsid w:val="005E7FDE"/>
    <w:rsid w:val="005F71D4"/>
    <w:rsid w:val="00601B55"/>
    <w:rsid w:val="00605BF8"/>
    <w:rsid w:val="00611E7C"/>
    <w:rsid w:val="006177A4"/>
    <w:rsid w:val="006269B3"/>
    <w:rsid w:val="00644700"/>
    <w:rsid w:val="006839E3"/>
    <w:rsid w:val="00694446"/>
    <w:rsid w:val="006A359D"/>
    <w:rsid w:val="006A46A8"/>
    <w:rsid w:val="006A7D11"/>
    <w:rsid w:val="006B6C49"/>
    <w:rsid w:val="006B7C9B"/>
    <w:rsid w:val="006C5A20"/>
    <w:rsid w:val="006F0AB0"/>
    <w:rsid w:val="006F434D"/>
    <w:rsid w:val="006F6388"/>
    <w:rsid w:val="007000F3"/>
    <w:rsid w:val="007078D9"/>
    <w:rsid w:val="00716083"/>
    <w:rsid w:val="00716D33"/>
    <w:rsid w:val="0072037B"/>
    <w:rsid w:val="007259AB"/>
    <w:rsid w:val="00727C2C"/>
    <w:rsid w:val="00750BF3"/>
    <w:rsid w:val="00766971"/>
    <w:rsid w:val="00770068"/>
    <w:rsid w:val="00771B5F"/>
    <w:rsid w:val="0077324B"/>
    <w:rsid w:val="007775B5"/>
    <w:rsid w:val="00781BBC"/>
    <w:rsid w:val="007927A6"/>
    <w:rsid w:val="007A66FC"/>
    <w:rsid w:val="007A6DAD"/>
    <w:rsid w:val="007B217F"/>
    <w:rsid w:val="007C3C27"/>
    <w:rsid w:val="007D73A0"/>
    <w:rsid w:val="007E6633"/>
    <w:rsid w:val="007F2FF4"/>
    <w:rsid w:val="007F6D2B"/>
    <w:rsid w:val="00802A08"/>
    <w:rsid w:val="00803C30"/>
    <w:rsid w:val="0081318F"/>
    <w:rsid w:val="00816583"/>
    <w:rsid w:val="00822F46"/>
    <w:rsid w:val="008311B4"/>
    <w:rsid w:val="008375EC"/>
    <w:rsid w:val="00856E4D"/>
    <w:rsid w:val="00860B45"/>
    <w:rsid w:val="00864379"/>
    <w:rsid w:val="008A18EA"/>
    <w:rsid w:val="008A30B3"/>
    <w:rsid w:val="008A53DD"/>
    <w:rsid w:val="008B2E82"/>
    <w:rsid w:val="008C521D"/>
    <w:rsid w:val="008C635B"/>
    <w:rsid w:val="008D599A"/>
    <w:rsid w:val="008E27B2"/>
    <w:rsid w:val="008E2DB7"/>
    <w:rsid w:val="008F7352"/>
    <w:rsid w:val="00900387"/>
    <w:rsid w:val="00906537"/>
    <w:rsid w:val="00912814"/>
    <w:rsid w:val="00915875"/>
    <w:rsid w:val="00916D90"/>
    <w:rsid w:val="00941D34"/>
    <w:rsid w:val="00956E82"/>
    <w:rsid w:val="00975926"/>
    <w:rsid w:val="009B159C"/>
    <w:rsid w:val="009B1708"/>
    <w:rsid w:val="009B7A6F"/>
    <w:rsid w:val="009D0BD1"/>
    <w:rsid w:val="009E5CE9"/>
    <w:rsid w:val="009E7C09"/>
    <w:rsid w:val="00A303CA"/>
    <w:rsid w:val="00A35C05"/>
    <w:rsid w:val="00A43961"/>
    <w:rsid w:val="00A46760"/>
    <w:rsid w:val="00A52AB5"/>
    <w:rsid w:val="00A55936"/>
    <w:rsid w:val="00A65F8D"/>
    <w:rsid w:val="00A67D96"/>
    <w:rsid w:val="00A8370F"/>
    <w:rsid w:val="00A95991"/>
    <w:rsid w:val="00A97FD1"/>
    <w:rsid w:val="00AA0596"/>
    <w:rsid w:val="00AA365C"/>
    <w:rsid w:val="00AA4D0F"/>
    <w:rsid w:val="00AA606C"/>
    <w:rsid w:val="00AA67DF"/>
    <w:rsid w:val="00AB0B57"/>
    <w:rsid w:val="00AB0D23"/>
    <w:rsid w:val="00AB1EE7"/>
    <w:rsid w:val="00AC2449"/>
    <w:rsid w:val="00AC3C1A"/>
    <w:rsid w:val="00AE2E17"/>
    <w:rsid w:val="00AE515B"/>
    <w:rsid w:val="00B01120"/>
    <w:rsid w:val="00B2211C"/>
    <w:rsid w:val="00B30B4F"/>
    <w:rsid w:val="00B33700"/>
    <w:rsid w:val="00B33A39"/>
    <w:rsid w:val="00B35210"/>
    <w:rsid w:val="00B37721"/>
    <w:rsid w:val="00B44B24"/>
    <w:rsid w:val="00B53A96"/>
    <w:rsid w:val="00B53D01"/>
    <w:rsid w:val="00B570AB"/>
    <w:rsid w:val="00B61B54"/>
    <w:rsid w:val="00B64597"/>
    <w:rsid w:val="00B748F4"/>
    <w:rsid w:val="00B9487D"/>
    <w:rsid w:val="00BB0B5A"/>
    <w:rsid w:val="00BB7607"/>
    <w:rsid w:val="00BB7B21"/>
    <w:rsid w:val="00BD477F"/>
    <w:rsid w:val="00BD4D97"/>
    <w:rsid w:val="00BE3FF5"/>
    <w:rsid w:val="00BF01A4"/>
    <w:rsid w:val="00BF53DA"/>
    <w:rsid w:val="00C0245D"/>
    <w:rsid w:val="00C1367C"/>
    <w:rsid w:val="00C14DCD"/>
    <w:rsid w:val="00C20A24"/>
    <w:rsid w:val="00C25432"/>
    <w:rsid w:val="00C36773"/>
    <w:rsid w:val="00C46789"/>
    <w:rsid w:val="00C90512"/>
    <w:rsid w:val="00C96E5C"/>
    <w:rsid w:val="00CA2C28"/>
    <w:rsid w:val="00CA45ED"/>
    <w:rsid w:val="00CA5D17"/>
    <w:rsid w:val="00CB0A6C"/>
    <w:rsid w:val="00CB48F5"/>
    <w:rsid w:val="00CB62B2"/>
    <w:rsid w:val="00CE0114"/>
    <w:rsid w:val="00D17EF0"/>
    <w:rsid w:val="00D27F0D"/>
    <w:rsid w:val="00D32D77"/>
    <w:rsid w:val="00D32DFE"/>
    <w:rsid w:val="00D34A53"/>
    <w:rsid w:val="00D411E8"/>
    <w:rsid w:val="00D46FA1"/>
    <w:rsid w:val="00D55A58"/>
    <w:rsid w:val="00D55DF0"/>
    <w:rsid w:val="00D5637F"/>
    <w:rsid w:val="00D57433"/>
    <w:rsid w:val="00D70954"/>
    <w:rsid w:val="00D75562"/>
    <w:rsid w:val="00D7587E"/>
    <w:rsid w:val="00D83F78"/>
    <w:rsid w:val="00DA16D3"/>
    <w:rsid w:val="00DB128D"/>
    <w:rsid w:val="00DB23ED"/>
    <w:rsid w:val="00DC5987"/>
    <w:rsid w:val="00DE58EC"/>
    <w:rsid w:val="00DF11C4"/>
    <w:rsid w:val="00DF3B25"/>
    <w:rsid w:val="00DF6AAE"/>
    <w:rsid w:val="00E022E1"/>
    <w:rsid w:val="00E024EF"/>
    <w:rsid w:val="00E0360C"/>
    <w:rsid w:val="00E04A26"/>
    <w:rsid w:val="00E0593E"/>
    <w:rsid w:val="00E06E05"/>
    <w:rsid w:val="00E10A72"/>
    <w:rsid w:val="00E1375F"/>
    <w:rsid w:val="00E25357"/>
    <w:rsid w:val="00E25C09"/>
    <w:rsid w:val="00E4383F"/>
    <w:rsid w:val="00E550CD"/>
    <w:rsid w:val="00E554C7"/>
    <w:rsid w:val="00E60325"/>
    <w:rsid w:val="00E61B4B"/>
    <w:rsid w:val="00E633F7"/>
    <w:rsid w:val="00E660F1"/>
    <w:rsid w:val="00E7036F"/>
    <w:rsid w:val="00E768C3"/>
    <w:rsid w:val="00E82ACE"/>
    <w:rsid w:val="00EC0972"/>
    <w:rsid w:val="00EC0B45"/>
    <w:rsid w:val="00EE4A7A"/>
    <w:rsid w:val="00F02F27"/>
    <w:rsid w:val="00F11F67"/>
    <w:rsid w:val="00F123AF"/>
    <w:rsid w:val="00F125CD"/>
    <w:rsid w:val="00F12C7A"/>
    <w:rsid w:val="00F25FD3"/>
    <w:rsid w:val="00F30FB8"/>
    <w:rsid w:val="00F33096"/>
    <w:rsid w:val="00F40E52"/>
    <w:rsid w:val="00F4252E"/>
    <w:rsid w:val="00F56C3F"/>
    <w:rsid w:val="00F80F8E"/>
    <w:rsid w:val="00F82C2B"/>
    <w:rsid w:val="00FB1B6A"/>
    <w:rsid w:val="00FB4F10"/>
    <w:rsid w:val="00FB6397"/>
    <w:rsid w:val="00FB76C4"/>
    <w:rsid w:val="00FC6CED"/>
    <w:rsid w:val="00FC7586"/>
    <w:rsid w:val="00FE05F2"/>
    <w:rsid w:val="00FE0BFA"/>
    <w:rsid w:val="00FE1E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BEDCD5"/>
  <w15:chartTrackingRefBased/>
  <w15:docId w15:val="{42284444-F5BB-4AF6-AE52-28649691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45"/>
  </w:style>
  <w:style w:type="paragraph" w:styleId="Heading1">
    <w:name w:val="heading 1"/>
    <w:basedOn w:val="Normal"/>
    <w:next w:val="Normal"/>
    <w:link w:val="Heading1Char"/>
    <w:qFormat/>
    <w:rsid w:val="00D46FA1"/>
    <w:pPr>
      <w:widowControl w:val="0"/>
      <w:autoSpaceDE w:val="0"/>
      <w:autoSpaceDN w:val="0"/>
      <w:adjustRightInd w:val="0"/>
      <w:spacing w:before="100" w:beforeAutospacing="1" w:after="100" w:afterAutospacing="1"/>
      <w:jc w:val="center"/>
      <w:outlineLvl w:val="0"/>
    </w:pPr>
    <w:rPr>
      <w:rFonts w:ascii="Times New Roman Bold" w:eastAsia="Times New Roman" w:hAnsi="Times New Roman Bold" w:cs="Times New Roman"/>
      <w:b/>
      <w:sz w:val="40"/>
      <w:szCs w:val="24"/>
      <w:lang w:eastAsia="lv-LV"/>
    </w:rPr>
  </w:style>
  <w:style w:type="paragraph" w:styleId="Heading2">
    <w:name w:val="heading 2"/>
    <w:basedOn w:val="Normal"/>
    <w:next w:val="Normal"/>
    <w:link w:val="Heading2Char"/>
    <w:uiPriority w:val="9"/>
    <w:unhideWhenUsed/>
    <w:qFormat/>
    <w:rsid w:val="00D46FA1"/>
    <w:pPr>
      <w:keepNext/>
      <w:keepLines/>
      <w:spacing w:before="100" w:beforeAutospacing="1" w:after="100" w:afterAutospacing="1"/>
      <w:outlineLvl w:val="1"/>
    </w:pPr>
    <w:rPr>
      <w:rFonts w:ascii="Times New Roman Bold" w:eastAsiaTheme="majorEastAsia" w:hAnsi="Times New Roman Bold" w:cstheme="majorBidi"/>
      <w:b/>
      <w:sz w:val="28"/>
      <w:szCs w:val="26"/>
    </w:rPr>
  </w:style>
  <w:style w:type="paragraph" w:styleId="Heading3">
    <w:name w:val="heading 3"/>
    <w:basedOn w:val="Normal"/>
    <w:next w:val="Normal"/>
    <w:link w:val="Heading3Char"/>
    <w:uiPriority w:val="9"/>
    <w:semiHidden/>
    <w:unhideWhenUsed/>
    <w:qFormat/>
    <w:rsid w:val="00860B4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0B45"/>
    <w:pPr>
      <w:spacing w:before="100" w:beforeAutospacing="1" w:after="100" w:afterAutospacing="1"/>
      <w:jc w:val="both"/>
    </w:pPr>
    <w:rPr>
      <w:rFonts w:eastAsia="Times New Roman" w:cs="Times New Roman"/>
      <w:szCs w:val="24"/>
      <w:lang w:eastAsia="lv-LV"/>
    </w:rPr>
  </w:style>
  <w:style w:type="character" w:styleId="Hyperlink">
    <w:name w:val="Hyperlink"/>
    <w:basedOn w:val="DefaultParagraphFont"/>
    <w:uiPriority w:val="99"/>
    <w:unhideWhenUsed/>
    <w:rsid w:val="00860B45"/>
    <w:rPr>
      <w:color w:val="0000FF"/>
      <w:u w:val="single"/>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unhideWhenUsed/>
    <w:qFormat/>
    <w:rsid w:val="00860B45"/>
    <w:rPr>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basedOn w:val="DefaultParagraphFont"/>
    <w:link w:val="FootnoteText"/>
    <w:uiPriority w:val="99"/>
    <w:rsid w:val="00860B45"/>
    <w:rPr>
      <w:sz w:val="20"/>
      <w:szCs w:val="20"/>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Times 10 Point"/>
    <w:basedOn w:val="DefaultParagraphFont"/>
    <w:link w:val="Char2"/>
    <w:uiPriority w:val="99"/>
    <w:unhideWhenUsed/>
    <w:qFormat/>
    <w:rsid w:val="00860B45"/>
    <w:rPr>
      <w:vertAlign w:val="superscript"/>
    </w:rPr>
  </w:style>
  <w:style w:type="paragraph" w:styleId="TOC3">
    <w:name w:val="toc 3"/>
    <w:basedOn w:val="Normal"/>
    <w:next w:val="Normal"/>
    <w:autoRedefine/>
    <w:uiPriority w:val="39"/>
    <w:unhideWhenUsed/>
    <w:rsid w:val="00860B45"/>
    <w:pPr>
      <w:tabs>
        <w:tab w:val="left" w:pos="426"/>
        <w:tab w:val="left" w:pos="1320"/>
        <w:tab w:val="right" w:leader="dot" w:pos="8296"/>
      </w:tabs>
      <w:spacing w:after="100"/>
      <w:ind w:left="851" w:hanging="425"/>
    </w:pPr>
  </w:style>
  <w:style w:type="paragraph" w:styleId="Title">
    <w:name w:val="Title"/>
    <w:basedOn w:val="Normal"/>
    <w:next w:val="Normal"/>
    <w:link w:val="TitleChar"/>
    <w:uiPriority w:val="10"/>
    <w:qFormat/>
    <w:rsid w:val="00860B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B45"/>
    <w:rPr>
      <w:rFonts w:asciiTheme="majorHAnsi" w:eastAsiaTheme="majorEastAsia" w:hAnsiTheme="majorHAnsi" w:cstheme="majorBidi"/>
      <w:spacing w:val="-10"/>
      <w:kern w:val="28"/>
      <w:sz w:val="56"/>
      <w:szCs w:val="56"/>
    </w:rPr>
  </w:style>
  <w:style w:type="paragraph" w:styleId="ListParagraph">
    <w:name w:val="List Paragraph"/>
    <w:aliases w:val="2,Normal bullet 2,Bullet list,List Paragraph1,Numbered Para 1,Dot pt,No Spacing1,List Paragraph Char Char Char,Indicator Text,Bullet 1,Bullet Points,MAIN CONTENT,IFCL - List Paragraph,List Paragraph12,OBC Bullet,F5 List Paragraph,Strip"/>
    <w:basedOn w:val="Normal"/>
    <w:link w:val="ListParagraphChar"/>
    <w:uiPriority w:val="99"/>
    <w:qFormat/>
    <w:rsid w:val="00860B45"/>
    <w:pPr>
      <w:ind w:left="720"/>
      <w:contextualSpacing/>
      <w:jc w:val="both"/>
    </w:pPr>
    <w:rPr>
      <w:rFonts w:eastAsia="Calibri" w:cs="Times New Roman"/>
    </w:rPr>
  </w:style>
  <w:style w:type="character" w:customStyle="1" w:styleId="ListParagraphChar">
    <w:name w:val="List Paragraph Char"/>
    <w:aliases w:val="2 Char,Normal bullet 2 Char,Bullet list Char,List Paragraph1 Char,Numbered Para 1 Char,Dot pt Char,No Spacing1 Char,List Paragraph Char Char Char Char,Indicator Text Char,Bullet 1 Char,Bullet Points Char,MAIN CONTENT Char,Strip Char"/>
    <w:link w:val="ListParagraph"/>
    <w:uiPriority w:val="34"/>
    <w:qFormat/>
    <w:locked/>
    <w:rsid w:val="00860B45"/>
    <w:rPr>
      <w:rFonts w:eastAsia="Calibri" w:cs="Times New Roman"/>
    </w:rPr>
  </w:style>
  <w:style w:type="paragraph" w:customStyle="1" w:styleId="Char2">
    <w:name w:val="Char2"/>
    <w:aliases w:val="Char Char Char Char"/>
    <w:basedOn w:val="Normal"/>
    <w:next w:val="Normal"/>
    <w:link w:val="FootnoteReference"/>
    <w:uiPriority w:val="99"/>
    <w:rsid w:val="00860B45"/>
    <w:pPr>
      <w:spacing w:after="160" w:line="240" w:lineRule="exact"/>
      <w:jc w:val="both"/>
      <w:textAlignment w:val="baseline"/>
    </w:pPr>
    <w:rPr>
      <w:vertAlign w:val="superscript"/>
    </w:rPr>
  </w:style>
  <w:style w:type="table" w:styleId="TableGrid">
    <w:name w:val="Table Grid"/>
    <w:basedOn w:val="TableNormal"/>
    <w:uiPriority w:val="39"/>
    <w:rsid w:val="0086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60B45"/>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60B45"/>
    <w:rPr>
      <w:rFonts w:asciiTheme="minorHAnsi" w:eastAsiaTheme="minorEastAsia" w:hAnsiTheme="minorHAnsi"/>
      <w:color w:val="5A5A5A" w:themeColor="text1" w:themeTint="A5"/>
      <w:spacing w:val="15"/>
      <w:sz w:val="22"/>
    </w:rPr>
  </w:style>
  <w:style w:type="paragraph" w:customStyle="1" w:styleId="Default">
    <w:name w:val="Default"/>
    <w:rsid w:val="00860B45"/>
    <w:pPr>
      <w:autoSpaceDE w:val="0"/>
      <w:autoSpaceDN w:val="0"/>
      <w:adjustRightInd w:val="0"/>
    </w:pPr>
    <w:rPr>
      <w:rFonts w:ascii="Arial" w:hAnsi="Arial" w:cs="Arial"/>
      <w:color w:val="000000"/>
      <w:szCs w:val="24"/>
    </w:rPr>
  </w:style>
  <w:style w:type="character" w:customStyle="1" w:styleId="Heading1Char">
    <w:name w:val="Heading 1 Char"/>
    <w:basedOn w:val="DefaultParagraphFont"/>
    <w:link w:val="Heading1"/>
    <w:rsid w:val="00D46FA1"/>
    <w:rPr>
      <w:rFonts w:ascii="Times New Roman Bold" w:eastAsia="Times New Roman" w:hAnsi="Times New Roman Bold" w:cs="Times New Roman"/>
      <w:b/>
      <w:sz w:val="40"/>
      <w:szCs w:val="24"/>
      <w:lang w:eastAsia="lv-LV"/>
    </w:rPr>
  </w:style>
  <w:style w:type="character" w:customStyle="1" w:styleId="Heading3Char">
    <w:name w:val="Heading 3 Char"/>
    <w:basedOn w:val="DefaultParagraphFont"/>
    <w:link w:val="Heading3"/>
    <w:uiPriority w:val="9"/>
    <w:semiHidden/>
    <w:rsid w:val="00860B45"/>
    <w:rPr>
      <w:rFonts w:asciiTheme="majorHAnsi" w:eastAsiaTheme="majorEastAsia" w:hAnsiTheme="majorHAnsi" w:cstheme="majorBidi"/>
      <w:color w:val="1F4D78" w:themeColor="accent1" w:themeShade="7F"/>
      <w:szCs w:val="24"/>
    </w:rPr>
  </w:style>
  <w:style w:type="character" w:styleId="Emphasis">
    <w:name w:val="Emphasis"/>
    <w:basedOn w:val="DefaultParagraphFont"/>
    <w:uiPriority w:val="20"/>
    <w:qFormat/>
    <w:rsid w:val="00860B45"/>
    <w:rPr>
      <w:b/>
      <w:bCs/>
      <w:i w:val="0"/>
      <w:iCs w:val="0"/>
    </w:rPr>
  </w:style>
  <w:style w:type="paragraph" w:styleId="Header">
    <w:name w:val="header"/>
    <w:basedOn w:val="Normal"/>
    <w:link w:val="HeaderChar"/>
    <w:uiPriority w:val="99"/>
    <w:unhideWhenUsed/>
    <w:rsid w:val="00860B45"/>
    <w:pPr>
      <w:tabs>
        <w:tab w:val="center" w:pos="4153"/>
        <w:tab w:val="right" w:pos="8306"/>
      </w:tabs>
    </w:pPr>
  </w:style>
  <w:style w:type="character" w:customStyle="1" w:styleId="HeaderChar">
    <w:name w:val="Header Char"/>
    <w:basedOn w:val="DefaultParagraphFont"/>
    <w:link w:val="Header"/>
    <w:uiPriority w:val="99"/>
    <w:rsid w:val="00860B45"/>
  </w:style>
  <w:style w:type="paragraph" w:styleId="Footer">
    <w:name w:val="footer"/>
    <w:basedOn w:val="Normal"/>
    <w:link w:val="FooterChar"/>
    <w:uiPriority w:val="99"/>
    <w:unhideWhenUsed/>
    <w:rsid w:val="00860B45"/>
    <w:pPr>
      <w:tabs>
        <w:tab w:val="center" w:pos="4153"/>
        <w:tab w:val="right" w:pos="8306"/>
      </w:tabs>
    </w:pPr>
  </w:style>
  <w:style w:type="character" w:customStyle="1" w:styleId="FooterChar">
    <w:name w:val="Footer Char"/>
    <w:basedOn w:val="DefaultParagraphFont"/>
    <w:link w:val="Footer"/>
    <w:uiPriority w:val="99"/>
    <w:rsid w:val="00860B45"/>
  </w:style>
  <w:style w:type="paragraph" w:customStyle="1" w:styleId="CM1">
    <w:name w:val="CM1"/>
    <w:basedOn w:val="Normal"/>
    <w:next w:val="Normal"/>
    <w:uiPriority w:val="99"/>
    <w:rsid w:val="00860B45"/>
    <w:pPr>
      <w:autoSpaceDE w:val="0"/>
      <w:autoSpaceDN w:val="0"/>
      <w:adjustRightInd w:val="0"/>
    </w:pPr>
    <w:rPr>
      <w:rFonts w:cs="Times New Roman"/>
      <w:szCs w:val="24"/>
    </w:rPr>
  </w:style>
  <w:style w:type="paragraph" w:styleId="BalloonText">
    <w:name w:val="Balloon Text"/>
    <w:basedOn w:val="Normal"/>
    <w:link w:val="BalloonTextChar"/>
    <w:uiPriority w:val="99"/>
    <w:semiHidden/>
    <w:unhideWhenUsed/>
    <w:rsid w:val="007F2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FF4"/>
    <w:rPr>
      <w:rFonts w:ascii="Segoe UI" w:hAnsi="Segoe UI" w:cs="Segoe UI"/>
      <w:sz w:val="18"/>
      <w:szCs w:val="18"/>
    </w:rPr>
  </w:style>
  <w:style w:type="paragraph" w:styleId="TOCHeading">
    <w:name w:val="TOC Heading"/>
    <w:basedOn w:val="Heading1"/>
    <w:next w:val="Normal"/>
    <w:uiPriority w:val="39"/>
    <w:unhideWhenUsed/>
    <w:qFormat/>
    <w:rsid w:val="003A2394"/>
    <w:pPr>
      <w:keepNext/>
      <w:keepLines/>
      <w:widowControl/>
      <w:autoSpaceDE/>
      <w:autoSpaceDN/>
      <w:adjustRightInd/>
      <w:spacing w:before="240" w:line="259" w:lineRule="auto"/>
      <w:jc w:val="left"/>
      <w:outlineLvl w:val="9"/>
    </w:pPr>
    <w:rPr>
      <w:rFonts w:asciiTheme="majorHAnsi" w:eastAsiaTheme="majorEastAsia" w:hAnsiTheme="majorHAnsi" w:cstheme="majorBidi"/>
      <w:b w:val="0"/>
      <w:caps/>
      <w:color w:val="2E74B5" w:themeColor="accent1" w:themeShade="BF"/>
      <w:sz w:val="32"/>
      <w:szCs w:val="32"/>
      <w:lang w:val="en-US" w:eastAsia="en-US"/>
    </w:rPr>
  </w:style>
  <w:style w:type="paragraph" w:styleId="TOC2">
    <w:name w:val="toc 2"/>
    <w:basedOn w:val="Normal"/>
    <w:next w:val="Normal"/>
    <w:autoRedefine/>
    <w:uiPriority w:val="39"/>
    <w:unhideWhenUsed/>
    <w:rsid w:val="00A43961"/>
    <w:pPr>
      <w:tabs>
        <w:tab w:val="left" w:pos="709"/>
        <w:tab w:val="right" w:leader="dot" w:pos="8296"/>
      </w:tabs>
      <w:spacing w:after="100" w:line="259" w:lineRule="auto"/>
      <w:ind w:left="709" w:hanging="489"/>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135AAA"/>
    <w:pPr>
      <w:tabs>
        <w:tab w:val="left" w:pos="426"/>
        <w:tab w:val="right" w:leader="dot" w:pos="8296"/>
      </w:tabs>
      <w:spacing w:after="100" w:line="259" w:lineRule="auto"/>
      <w:ind w:left="426" w:hanging="426"/>
    </w:pPr>
    <w:rPr>
      <w:rFonts w:eastAsiaTheme="minorEastAsia" w:cs="Times New Roman"/>
      <w:b/>
      <w:noProof/>
      <w:szCs w:val="24"/>
      <w:lang w:val="en-US"/>
    </w:rPr>
  </w:style>
  <w:style w:type="character" w:customStyle="1" w:styleId="Heading2Char">
    <w:name w:val="Heading 2 Char"/>
    <w:basedOn w:val="DefaultParagraphFont"/>
    <w:link w:val="Heading2"/>
    <w:uiPriority w:val="9"/>
    <w:rsid w:val="00D46FA1"/>
    <w:rPr>
      <w:rFonts w:ascii="Times New Roman Bold" w:eastAsiaTheme="majorEastAsia" w:hAnsi="Times New Roman Bold" w:cstheme="majorBidi"/>
      <w:b/>
      <w:sz w:val="28"/>
      <w:szCs w:val="26"/>
    </w:rPr>
  </w:style>
  <w:style w:type="paragraph" w:styleId="CommentText">
    <w:name w:val="annotation text"/>
    <w:basedOn w:val="Normal"/>
    <w:link w:val="CommentTextChar"/>
    <w:uiPriority w:val="99"/>
    <w:unhideWhenUsed/>
    <w:rsid w:val="002A3E75"/>
    <w:rPr>
      <w:sz w:val="20"/>
      <w:szCs w:val="20"/>
    </w:rPr>
  </w:style>
  <w:style w:type="character" w:customStyle="1" w:styleId="CommentTextChar">
    <w:name w:val="Comment Text Char"/>
    <w:basedOn w:val="DefaultParagraphFont"/>
    <w:link w:val="CommentText"/>
    <w:uiPriority w:val="99"/>
    <w:rsid w:val="002A3E75"/>
    <w:rPr>
      <w:sz w:val="20"/>
      <w:szCs w:val="20"/>
    </w:rPr>
  </w:style>
  <w:style w:type="character" w:styleId="CommentReference">
    <w:name w:val="annotation reference"/>
    <w:basedOn w:val="DefaultParagraphFont"/>
    <w:uiPriority w:val="99"/>
    <w:semiHidden/>
    <w:unhideWhenUsed/>
    <w:rsid w:val="00912814"/>
    <w:rPr>
      <w:sz w:val="16"/>
      <w:szCs w:val="16"/>
    </w:rPr>
  </w:style>
  <w:style w:type="paragraph" w:styleId="Revision">
    <w:name w:val="Revision"/>
    <w:hidden/>
    <w:uiPriority w:val="99"/>
    <w:semiHidden/>
    <w:rsid w:val="007000F3"/>
    <w:rPr>
      <w:rFonts w:eastAsia="Times New Roman" w:cs="Times New Roman"/>
      <w:szCs w:val="24"/>
      <w:lang w:eastAsia="lv-LV"/>
    </w:rPr>
  </w:style>
  <w:style w:type="paragraph" w:styleId="CommentSubject">
    <w:name w:val="annotation subject"/>
    <w:basedOn w:val="CommentText"/>
    <w:next w:val="CommentText"/>
    <w:link w:val="CommentSubjectChar"/>
    <w:uiPriority w:val="99"/>
    <w:semiHidden/>
    <w:unhideWhenUsed/>
    <w:rsid w:val="00003E4D"/>
    <w:rPr>
      <w:b/>
      <w:bCs/>
    </w:rPr>
  </w:style>
  <w:style w:type="character" w:customStyle="1" w:styleId="CommentSubjectChar">
    <w:name w:val="Comment Subject Char"/>
    <w:basedOn w:val="CommentTextChar"/>
    <w:link w:val="CommentSubject"/>
    <w:uiPriority w:val="99"/>
    <w:semiHidden/>
    <w:rsid w:val="00003E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21746">
      <w:bodyDiv w:val="1"/>
      <w:marLeft w:val="0"/>
      <w:marRight w:val="0"/>
      <w:marTop w:val="0"/>
      <w:marBottom w:val="0"/>
      <w:divBdr>
        <w:top w:val="none" w:sz="0" w:space="0" w:color="auto"/>
        <w:left w:val="none" w:sz="0" w:space="0" w:color="auto"/>
        <w:bottom w:val="none" w:sz="0" w:space="0" w:color="auto"/>
        <w:right w:val="none" w:sz="0" w:space="0" w:color="auto"/>
      </w:divBdr>
    </w:div>
    <w:div w:id="378014790">
      <w:bodyDiv w:val="1"/>
      <w:marLeft w:val="0"/>
      <w:marRight w:val="0"/>
      <w:marTop w:val="0"/>
      <w:marBottom w:val="0"/>
      <w:divBdr>
        <w:top w:val="none" w:sz="0" w:space="0" w:color="auto"/>
        <w:left w:val="none" w:sz="0" w:space="0" w:color="auto"/>
        <w:bottom w:val="none" w:sz="0" w:space="0" w:color="auto"/>
        <w:right w:val="none" w:sz="0" w:space="0" w:color="auto"/>
      </w:divBdr>
    </w:div>
    <w:div w:id="388040686">
      <w:bodyDiv w:val="1"/>
      <w:marLeft w:val="0"/>
      <w:marRight w:val="0"/>
      <w:marTop w:val="0"/>
      <w:marBottom w:val="0"/>
      <w:divBdr>
        <w:top w:val="none" w:sz="0" w:space="0" w:color="auto"/>
        <w:left w:val="none" w:sz="0" w:space="0" w:color="auto"/>
        <w:bottom w:val="none" w:sz="0" w:space="0" w:color="auto"/>
        <w:right w:val="none" w:sz="0" w:space="0" w:color="auto"/>
      </w:divBdr>
    </w:div>
    <w:div w:id="421534921">
      <w:bodyDiv w:val="1"/>
      <w:marLeft w:val="0"/>
      <w:marRight w:val="0"/>
      <w:marTop w:val="0"/>
      <w:marBottom w:val="0"/>
      <w:divBdr>
        <w:top w:val="none" w:sz="0" w:space="0" w:color="auto"/>
        <w:left w:val="none" w:sz="0" w:space="0" w:color="auto"/>
        <w:bottom w:val="none" w:sz="0" w:space="0" w:color="auto"/>
        <w:right w:val="none" w:sz="0" w:space="0" w:color="auto"/>
      </w:divBdr>
    </w:div>
    <w:div w:id="943265842">
      <w:bodyDiv w:val="1"/>
      <w:marLeft w:val="0"/>
      <w:marRight w:val="0"/>
      <w:marTop w:val="0"/>
      <w:marBottom w:val="0"/>
      <w:divBdr>
        <w:top w:val="none" w:sz="0" w:space="0" w:color="auto"/>
        <w:left w:val="none" w:sz="0" w:space="0" w:color="auto"/>
        <w:bottom w:val="none" w:sz="0" w:space="0" w:color="auto"/>
        <w:right w:val="none" w:sz="0" w:space="0" w:color="auto"/>
      </w:divBdr>
    </w:div>
    <w:div w:id="952980969">
      <w:bodyDiv w:val="1"/>
      <w:marLeft w:val="0"/>
      <w:marRight w:val="0"/>
      <w:marTop w:val="0"/>
      <w:marBottom w:val="0"/>
      <w:divBdr>
        <w:top w:val="none" w:sz="0" w:space="0" w:color="auto"/>
        <w:left w:val="none" w:sz="0" w:space="0" w:color="auto"/>
        <w:bottom w:val="none" w:sz="0" w:space="0" w:color="auto"/>
        <w:right w:val="none" w:sz="0" w:space="0" w:color="auto"/>
      </w:divBdr>
    </w:div>
    <w:div w:id="957491538">
      <w:bodyDiv w:val="1"/>
      <w:marLeft w:val="0"/>
      <w:marRight w:val="0"/>
      <w:marTop w:val="0"/>
      <w:marBottom w:val="0"/>
      <w:divBdr>
        <w:top w:val="none" w:sz="0" w:space="0" w:color="auto"/>
        <w:left w:val="none" w:sz="0" w:space="0" w:color="auto"/>
        <w:bottom w:val="none" w:sz="0" w:space="0" w:color="auto"/>
        <w:right w:val="none" w:sz="0" w:space="0" w:color="auto"/>
      </w:divBdr>
    </w:div>
    <w:div w:id="1056856573">
      <w:bodyDiv w:val="1"/>
      <w:marLeft w:val="0"/>
      <w:marRight w:val="0"/>
      <w:marTop w:val="0"/>
      <w:marBottom w:val="0"/>
      <w:divBdr>
        <w:top w:val="none" w:sz="0" w:space="0" w:color="auto"/>
        <w:left w:val="none" w:sz="0" w:space="0" w:color="auto"/>
        <w:bottom w:val="none" w:sz="0" w:space="0" w:color="auto"/>
        <w:right w:val="none" w:sz="0" w:space="0" w:color="auto"/>
      </w:divBdr>
    </w:div>
    <w:div w:id="1085881421">
      <w:bodyDiv w:val="1"/>
      <w:marLeft w:val="0"/>
      <w:marRight w:val="0"/>
      <w:marTop w:val="0"/>
      <w:marBottom w:val="0"/>
      <w:divBdr>
        <w:top w:val="none" w:sz="0" w:space="0" w:color="auto"/>
        <w:left w:val="none" w:sz="0" w:space="0" w:color="auto"/>
        <w:bottom w:val="none" w:sz="0" w:space="0" w:color="auto"/>
        <w:right w:val="none" w:sz="0" w:space="0" w:color="auto"/>
      </w:divBdr>
    </w:div>
    <w:div w:id="1121262551">
      <w:bodyDiv w:val="1"/>
      <w:marLeft w:val="0"/>
      <w:marRight w:val="0"/>
      <w:marTop w:val="0"/>
      <w:marBottom w:val="0"/>
      <w:divBdr>
        <w:top w:val="none" w:sz="0" w:space="0" w:color="auto"/>
        <w:left w:val="none" w:sz="0" w:space="0" w:color="auto"/>
        <w:bottom w:val="none" w:sz="0" w:space="0" w:color="auto"/>
        <w:right w:val="none" w:sz="0" w:space="0" w:color="auto"/>
      </w:divBdr>
    </w:div>
    <w:div w:id="1378117323">
      <w:bodyDiv w:val="1"/>
      <w:marLeft w:val="0"/>
      <w:marRight w:val="0"/>
      <w:marTop w:val="0"/>
      <w:marBottom w:val="0"/>
      <w:divBdr>
        <w:top w:val="none" w:sz="0" w:space="0" w:color="auto"/>
        <w:left w:val="none" w:sz="0" w:space="0" w:color="auto"/>
        <w:bottom w:val="none" w:sz="0" w:space="0" w:color="auto"/>
        <w:right w:val="none" w:sz="0" w:space="0" w:color="auto"/>
      </w:divBdr>
    </w:div>
    <w:div w:id="1438409179">
      <w:bodyDiv w:val="1"/>
      <w:marLeft w:val="0"/>
      <w:marRight w:val="0"/>
      <w:marTop w:val="0"/>
      <w:marBottom w:val="0"/>
      <w:divBdr>
        <w:top w:val="none" w:sz="0" w:space="0" w:color="auto"/>
        <w:left w:val="none" w:sz="0" w:space="0" w:color="auto"/>
        <w:bottom w:val="none" w:sz="0" w:space="0" w:color="auto"/>
        <w:right w:val="none" w:sz="0" w:space="0" w:color="auto"/>
      </w:divBdr>
    </w:div>
    <w:div w:id="1529371173">
      <w:bodyDiv w:val="1"/>
      <w:marLeft w:val="0"/>
      <w:marRight w:val="0"/>
      <w:marTop w:val="0"/>
      <w:marBottom w:val="0"/>
      <w:divBdr>
        <w:top w:val="none" w:sz="0" w:space="0" w:color="auto"/>
        <w:left w:val="none" w:sz="0" w:space="0" w:color="auto"/>
        <w:bottom w:val="none" w:sz="0" w:space="0" w:color="auto"/>
        <w:right w:val="none" w:sz="0" w:space="0" w:color="auto"/>
      </w:divBdr>
    </w:div>
    <w:div w:id="1562326187">
      <w:bodyDiv w:val="1"/>
      <w:marLeft w:val="0"/>
      <w:marRight w:val="0"/>
      <w:marTop w:val="0"/>
      <w:marBottom w:val="0"/>
      <w:divBdr>
        <w:top w:val="none" w:sz="0" w:space="0" w:color="auto"/>
        <w:left w:val="none" w:sz="0" w:space="0" w:color="auto"/>
        <w:bottom w:val="none" w:sz="0" w:space="0" w:color="auto"/>
        <w:right w:val="none" w:sz="0" w:space="0" w:color="auto"/>
      </w:divBdr>
    </w:div>
    <w:div w:id="1703095235">
      <w:bodyDiv w:val="1"/>
      <w:marLeft w:val="0"/>
      <w:marRight w:val="0"/>
      <w:marTop w:val="0"/>
      <w:marBottom w:val="0"/>
      <w:divBdr>
        <w:top w:val="none" w:sz="0" w:space="0" w:color="auto"/>
        <w:left w:val="none" w:sz="0" w:space="0" w:color="auto"/>
        <w:bottom w:val="none" w:sz="0" w:space="0" w:color="auto"/>
        <w:right w:val="none" w:sz="0" w:space="0" w:color="auto"/>
      </w:divBdr>
    </w:div>
    <w:div w:id="1736463692">
      <w:bodyDiv w:val="1"/>
      <w:marLeft w:val="0"/>
      <w:marRight w:val="0"/>
      <w:marTop w:val="0"/>
      <w:marBottom w:val="0"/>
      <w:divBdr>
        <w:top w:val="none" w:sz="0" w:space="0" w:color="auto"/>
        <w:left w:val="none" w:sz="0" w:space="0" w:color="auto"/>
        <w:bottom w:val="none" w:sz="0" w:space="0" w:color="auto"/>
        <w:right w:val="none" w:sz="0" w:space="0" w:color="auto"/>
      </w:divBdr>
    </w:div>
    <w:div w:id="1739666048">
      <w:bodyDiv w:val="1"/>
      <w:marLeft w:val="0"/>
      <w:marRight w:val="0"/>
      <w:marTop w:val="0"/>
      <w:marBottom w:val="0"/>
      <w:divBdr>
        <w:top w:val="none" w:sz="0" w:space="0" w:color="auto"/>
        <w:left w:val="none" w:sz="0" w:space="0" w:color="auto"/>
        <w:bottom w:val="none" w:sz="0" w:space="0" w:color="auto"/>
        <w:right w:val="none" w:sz="0" w:space="0" w:color="auto"/>
      </w:divBdr>
    </w:div>
    <w:div w:id="1854149875">
      <w:bodyDiv w:val="1"/>
      <w:marLeft w:val="0"/>
      <w:marRight w:val="0"/>
      <w:marTop w:val="0"/>
      <w:marBottom w:val="0"/>
      <w:divBdr>
        <w:top w:val="none" w:sz="0" w:space="0" w:color="auto"/>
        <w:left w:val="none" w:sz="0" w:space="0" w:color="auto"/>
        <w:bottom w:val="none" w:sz="0" w:space="0" w:color="auto"/>
        <w:right w:val="none" w:sz="0" w:space="0" w:color="auto"/>
      </w:divBdr>
    </w:div>
    <w:div w:id="2064790431">
      <w:bodyDiv w:val="1"/>
      <w:marLeft w:val="0"/>
      <w:marRight w:val="0"/>
      <w:marTop w:val="0"/>
      <w:marBottom w:val="0"/>
      <w:divBdr>
        <w:top w:val="none" w:sz="0" w:space="0" w:color="auto"/>
        <w:left w:val="none" w:sz="0" w:space="0" w:color="auto"/>
        <w:bottom w:val="none" w:sz="0" w:space="0" w:color="auto"/>
        <w:right w:val="none" w:sz="0" w:space="0" w:color="auto"/>
      </w:divBdr>
    </w:div>
    <w:div w:id="2079861270">
      <w:bodyDiv w:val="1"/>
      <w:marLeft w:val="0"/>
      <w:marRight w:val="0"/>
      <w:marTop w:val="0"/>
      <w:marBottom w:val="0"/>
      <w:divBdr>
        <w:top w:val="none" w:sz="0" w:space="0" w:color="auto"/>
        <w:left w:val="none" w:sz="0" w:space="0" w:color="auto"/>
        <w:bottom w:val="none" w:sz="0" w:space="0" w:color="auto"/>
        <w:right w:val="none" w:sz="0" w:space="0" w:color="auto"/>
      </w:divBdr>
    </w:div>
    <w:div w:id="20856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mailto:ieva.kodolina-miglane@fm.gov.lv"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lg.lv/majai/tarifi-un-kalkulators" TargetMode="External"/><Relationship Id="rId1" Type="http://schemas.openxmlformats.org/officeDocument/2006/relationships/hyperlink" Target="https://ec.europa.eu/energy/observatory/reports/Oil_Bulletin_Duties_and_taxe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nad\_NODOKLU%20POLITIKAS%20STRAT&#274;&#290;IJAS%20NODA&#315;A\Fisk&#257;l&#257;%20ietekme,%20DNod%20plaisa\IIN%20modelis\2020\IIN%20modelis_DNM%20500_24.01.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nad\_NODOKLU%20POLITIKAS%20STRAT&#274;&#290;IJAS%20NODA&#315;A\Fisk&#257;l&#257;%20ietekme,%20DNod%20plaisa\IIN%20modelis\2020\IIN%20modelis_DNM%20500_24.01.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k\nad\_IE&#325;&#274;MUMU%20ANAL&#298;ZES%20UN%20PROGNOZ&#274;&#352;ANAS%20NODA&#315;A\Nodok&#316;u%20anal&#299;ze%20un%20prognoz&#275;&#353;ana\MIKRO\STATISTIKA\MU_DATI_CET.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ad-jaunz\AppData\Local\Microsoft\Windows\INetCache\Content.Outlook\NON5V5BM\MU_DATI_CE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38670166229223"/>
          <c:y val="4.9886621315192746E-2"/>
          <c:w val="0.82505774278215227"/>
          <c:h val="0.54918920849179564"/>
        </c:manualLayout>
      </c:layout>
      <c:lineChart>
        <c:grouping val="standard"/>
        <c:varyColors val="0"/>
        <c:ser>
          <c:idx val="0"/>
          <c:order val="0"/>
          <c:tx>
            <c:strRef>
              <c:f>'Nodokļu ķīlis'!$M$3</c:f>
              <c:strCache>
                <c:ptCount val="1"/>
                <c:pt idx="0">
                  <c:v>2020.gads</c:v>
                </c:pt>
              </c:strCache>
            </c:strRef>
          </c:tx>
          <c:spPr>
            <a:ln w="28575" cap="rnd">
              <a:solidFill>
                <a:srgbClr val="C00000"/>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'Nodokļu ķīlis'!$L$4:$L$8</c:f>
              <c:numCache>
                <c:formatCode>0%</c:formatCode>
                <c:ptCount val="5"/>
                <c:pt idx="0">
                  <c:v>0.67</c:v>
                </c:pt>
                <c:pt idx="1">
                  <c:v>1</c:v>
                </c:pt>
                <c:pt idx="2">
                  <c:v>1.67</c:v>
                </c:pt>
                <c:pt idx="3">
                  <c:v>3</c:v>
                </c:pt>
                <c:pt idx="4">
                  <c:v>5</c:v>
                </c:pt>
              </c:numCache>
            </c:numRef>
          </c:cat>
          <c:val>
            <c:numRef>
              <c:f>'Nodokļu ķīlis'!$M$4:$M$8</c:f>
              <c:numCache>
                <c:formatCode>0.0%</c:formatCode>
                <c:ptCount val="5"/>
                <c:pt idx="0">
                  <c:v>0.38716403489659734</c:v>
                </c:pt>
                <c:pt idx="1">
                  <c:v>0.42284797678366504</c:v>
                </c:pt>
                <c:pt idx="2">
                  <c:v>0.42930584279677469</c:v>
                </c:pt>
                <c:pt idx="3">
                  <c:v>0.43865709993963647</c:v>
                </c:pt>
                <c:pt idx="4">
                  <c:v>0.43966597886440895</c:v>
                </c:pt>
              </c:numCache>
            </c:numRef>
          </c:val>
          <c:smooth val="0"/>
          <c:extLst>
            <c:ext xmlns:c16="http://schemas.microsoft.com/office/drawing/2014/chart" uri="{C3380CC4-5D6E-409C-BE32-E72D297353CC}">
              <c16:uniqueId val="{00000000-C6A6-46C3-8F1C-D3F0676AB8ED}"/>
            </c:ext>
          </c:extLst>
        </c:ser>
        <c:ser>
          <c:idx val="1"/>
          <c:order val="1"/>
          <c:tx>
            <c:strRef>
              <c:f>'Nodokļu ķīlis'!$N$3</c:f>
              <c:strCache>
                <c:ptCount val="1"/>
                <c:pt idx="0">
                  <c:v>1.var.</c:v>
                </c:pt>
              </c:strCache>
            </c:strRef>
          </c:tx>
          <c:spPr>
            <a:ln w="28575" cap="rnd">
              <a:solidFill>
                <a:schemeClr val="accent6">
                  <a:lumMod val="60000"/>
                  <a:lumOff val="40000"/>
                </a:schemeClr>
              </a:solidFill>
              <a:prstDash val="sysDash"/>
              <a:round/>
            </a:ln>
            <a:effectLst/>
          </c:spPr>
          <c:marker>
            <c:symbol val="none"/>
          </c:marker>
          <c:cat>
            <c:numRef>
              <c:f>'Nodokļu ķīlis'!$L$4:$L$8</c:f>
              <c:numCache>
                <c:formatCode>0%</c:formatCode>
                <c:ptCount val="5"/>
                <c:pt idx="0">
                  <c:v>0.67</c:v>
                </c:pt>
                <c:pt idx="1">
                  <c:v>1</c:v>
                </c:pt>
                <c:pt idx="2">
                  <c:v>1.67</c:v>
                </c:pt>
                <c:pt idx="3">
                  <c:v>3</c:v>
                </c:pt>
                <c:pt idx="4">
                  <c:v>5</c:v>
                </c:pt>
              </c:numCache>
            </c:numRef>
          </c:cat>
          <c:val>
            <c:numRef>
              <c:f>'Nodokļu ķīlis'!$N$4:$N$8</c:f>
              <c:numCache>
                <c:formatCode>0.0%</c:formatCode>
                <c:ptCount val="5"/>
                <c:pt idx="0">
                  <c:v>0.38100943805553583</c:v>
                </c:pt>
                <c:pt idx="1">
                  <c:v>0.42622290273188806</c:v>
                </c:pt>
                <c:pt idx="2">
                  <c:v>0.43031019067161147</c:v>
                </c:pt>
                <c:pt idx="3">
                  <c:v>0.4392161869232955</c:v>
                </c:pt>
                <c:pt idx="4">
                  <c:v>0.43809951753679172</c:v>
                </c:pt>
              </c:numCache>
            </c:numRef>
          </c:val>
          <c:smooth val="0"/>
          <c:extLst>
            <c:ext xmlns:c16="http://schemas.microsoft.com/office/drawing/2014/chart" uri="{C3380CC4-5D6E-409C-BE32-E72D297353CC}">
              <c16:uniqueId val="{00000001-C6A6-46C3-8F1C-D3F0676AB8ED}"/>
            </c:ext>
          </c:extLst>
        </c:ser>
        <c:ser>
          <c:idx val="2"/>
          <c:order val="2"/>
          <c:tx>
            <c:strRef>
              <c:f>'Nodokļu ķīlis'!$O$3</c:f>
              <c:strCache>
                <c:ptCount val="1"/>
                <c:pt idx="0">
                  <c:v>2.var.</c:v>
                </c:pt>
              </c:strCache>
            </c:strRef>
          </c:tx>
          <c:spPr>
            <a:ln w="28575" cap="rnd">
              <a:solidFill>
                <a:schemeClr val="accent2"/>
              </a:solidFill>
              <a:prstDash val="sysDash"/>
              <a:round/>
            </a:ln>
            <a:effectLst/>
          </c:spPr>
          <c:marker>
            <c:symbol val="none"/>
          </c:marker>
          <c:cat>
            <c:numRef>
              <c:f>'Nodokļu ķīlis'!$L$4:$L$8</c:f>
              <c:numCache>
                <c:formatCode>0%</c:formatCode>
                <c:ptCount val="5"/>
                <c:pt idx="0">
                  <c:v>0.67</c:v>
                </c:pt>
                <c:pt idx="1">
                  <c:v>1</c:v>
                </c:pt>
                <c:pt idx="2">
                  <c:v>1.67</c:v>
                </c:pt>
                <c:pt idx="3">
                  <c:v>3</c:v>
                </c:pt>
                <c:pt idx="4">
                  <c:v>5</c:v>
                </c:pt>
              </c:numCache>
            </c:numRef>
          </c:cat>
          <c:val>
            <c:numRef>
              <c:f>'Nodokļu ķīlis'!$O$4:$O$8</c:f>
              <c:numCache>
                <c:formatCode>0.0%</c:formatCode>
                <c:ptCount val="5"/>
                <c:pt idx="0">
                  <c:v>0.3705437869471554</c:v>
                </c:pt>
                <c:pt idx="1">
                  <c:v>0.41019277629077749</c:v>
                </c:pt>
                <c:pt idx="2">
                  <c:v>0.43031019067161147</c:v>
                </c:pt>
                <c:pt idx="3">
                  <c:v>0.4392161869232955</c:v>
                </c:pt>
                <c:pt idx="4">
                  <c:v>0.43809951753679172</c:v>
                </c:pt>
              </c:numCache>
            </c:numRef>
          </c:val>
          <c:smooth val="0"/>
          <c:extLst>
            <c:ext xmlns:c16="http://schemas.microsoft.com/office/drawing/2014/chart" uri="{C3380CC4-5D6E-409C-BE32-E72D297353CC}">
              <c16:uniqueId val="{00000002-C6A6-46C3-8F1C-D3F0676AB8ED}"/>
            </c:ext>
          </c:extLst>
        </c:ser>
        <c:ser>
          <c:idx val="3"/>
          <c:order val="3"/>
          <c:tx>
            <c:strRef>
              <c:f>'Nodokļu ķīlis'!$P$3</c:f>
              <c:strCache>
                <c:ptCount val="1"/>
                <c:pt idx="0">
                  <c:v>3.var.</c:v>
                </c:pt>
              </c:strCache>
            </c:strRef>
          </c:tx>
          <c:spPr>
            <a:ln w="28575" cap="rnd">
              <a:solidFill>
                <a:schemeClr val="accent1">
                  <a:lumMod val="60000"/>
                </a:schemeClr>
              </a:solidFill>
              <a:prstDash val="dash"/>
              <a:round/>
            </a:ln>
            <a:effectLst/>
          </c:spPr>
          <c:marker>
            <c:symbol val="none"/>
          </c:marker>
          <c:cat>
            <c:numRef>
              <c:f>'Nodokļu ķīlis'!$L$4:$L$8</c:f>
              <c:numCache>
                <c:formatCode>0%</c:formatCode>
                <c:ptCount val="5"/>
                <c:pt idx="0">
                  <c:v>0.67</c:v>
                </c:pt>
                <c:pt idx="1">
                  <c:v>1</c:v>
                </c:pt>
                <c:pt idx="2">
                  <c:v>1.67</c:v>
                </c:pt>
                <c:pt idx="3">
                  <c:v>3</c:v>
                </c:pt>
                <c:pt idx="4">
                  <c:v>5</c:v>
                </c:pt>
              </c:numCache>
            </c:numRef>
          </c:cat>
          <c:val>
            <c:numRef>
              <c:f>'Nodokļu ķīlis'!$P$4:$P$8</c:f>
              <c:numCache>
                <c:formatCode>0.0%</c:formatCode>
                <c:ptCount val="5"/>
                <c:pt idx="0">
                  <c:v>0.36490843635033515</c:v>
                </c:pt>
                <c:pt idx="1">
                  <c:v>0.40150750343675545</c:v>
                </c:pt>
                <c:pt idx="2">
                  <c:v>0.43031019067161147</c:v>
                </c:pt>
                <c:pt idx="3">
                  <c:v>0.4392161869232955</c:v>
                </c:pt>
                <c:pt idx="4">
                  <c:v>0.43809951753679172</c:v>
                </c:pt>
              </c:numCache>
            </c:numRef>
          </c:val>
          <c:smooth val="0"/>
          <c:extLst>
            <c:ext xmlns:c16="http://schemas.microsoft.com/office/drawing/2014/chart" uri="{C3380CC4-5D6E-409C-BE32-E72D297353CC}">
              <c16:uniqueId val="{00000003-C6A6-46C3-8F1C-D3F0676AB8ED}"/>
            </c:ext>
          </c:extLst>
        </c:ser>
        <c:ser>
          <c:idx val="4"/>
          <c:order val="4"/>
          <c:tx>
            <c:strRef>
              <c:f>'Nodokļu ķīlis'!$Q$3</c:f>
              <c:strCache>
                <c:ptCount val="1"/>
                <c:pt idx="0">
                  <c:v>4.var.</c:v>
                </c:pt>
              </c:strCache>
            </c:strRef>
          </c:tx>
          <c:spPr>
            <a:ln w="28575" cap="rnd">
              <a:solidFill>
                <a:schemeClr val="accent5">
                  <a:lumMod val="60000"/>
                  <a:lumOff val="40000"/>
                </a:schemeClr>
              </a:solidFill>
              <a:prstDash val="lgDash"/>
              <a:round/>
            </a:ln>
            <a:effectLst/>
          </c:spPr>
          <c:marker>
            <c:symbol val="none"/>
          </c:marker>
          <c:cat>
            <c:numRef>
              <c:f>'Nodokļu ķīlis'!$L$4:$L$8</c:f>
              <c:numCache>
                <c:formatCode>0%</c:formatCode>
                <c:ptCount val="5"/>
                <c:pt idx="0">
                  <c:v>0.67</c:v>
                </c:pt>
                <c:pt idx="1">
                  <c:v>1</c:v>
                </c:pt>
                <c:pt idx="2">
                  <c:v>1.67</c:v>
                </c:pt>
                <c:pt idx="3">
                  <c:v>3</c:v>
                </c:pt>
                <c:pt idx="4">
                  <c:v>5</c:v>
                </c:pt>
              </c:numCache>
            </c:numRef>
          </c:cat>
          <c:val>
            <c:numRef>
              <c:f>'Nodokļu ķīlis'!$Q$4:$Q$8</c:f>
              <c:numCache>
                <c:formatCode>0.0%</c:formatCode>
                <c:ptCount val="5"/>
                <c:pt idx="0">
                  <c:v>0.36970607188644777</c:v>
                </c:pt>
                <c:pt idx="1">
                  <c:v>0.42622290273188806</c:v>
                </c:pt>
                <c:pt idx="2">
                  <c:v>0.43031019067161147</c:v>
                </c:pt>
                <c:pt idx="3">
                  <c:v>0.4392161869232955</c:v>
                </c:pt>
                <c:pt idx="4">
                  <c:v>0.43809951753679172</c:v>
                </c:pt>
              </c:numCache>
            </c:numRef>
          </c:val>
          <c:smooth val="0"/>
          <c:extLst>
            <c:ext xmlns:c16="http://schemas.microsoft.com/office/drawing/2014/chart" uri="{C3380CC4-5D6E-409C-BE32-E72D297353CC}">
              <c16:uniqueId val="{00000004-C6A6-46C3-8F1C-D3F0676AB8ED}"/>
            </c:ext>
          </c:extLst>
        </c:ser>
        <c:ser>
          <c:idx val="5"/>
          <c:order val="5"/>
          <c:tx>
            <c:strRef>
              <c:f>'Nodokļu ķīlis'!$R$3</c:f>
              <c:strCache>
                <c:ptCount val="1"/>
                <c:pt idx="0">
                  <c:v>5.var.</c:v>
                </c:pt>
              </c:strCache>
            </c:strRef>
          </c:tx>
          <c:spPr>
            <a:ln w="28575" cap="rnd">
              <a:solidFill>
                <a:schemeClr val="accent6"/>
              </a:solidFill>
              <a:prstDash val="sysDot"/>
              <a:round/>
            </a:ln>
            <a:effectLst/>
          </c:spPr>
          <c:marker>
            <c:symbol val="none"/>
          </c:marker>
          <c:cat>
            <c:numRef>
              <c:f>'Nodokļu ķīlis'!$L$4:$L$8</c:f>
              <c:numCache>
                <c:formatCode>0%</c:formatCode>
                <c:ptCount val="5"/>
                <c:pt idx="0">
                  <c:v>0.67</c:v>
                </c:pt>
                <c:pt idx="1">
                  <c:v>1</c:v>
                </c:pt>
                <c:pt idx="2">
                  <c:v>1.67</c:v>
                </c:pt>
                <c:pt idx="3">
                  <c:v>3</c:v>
                </c:pt>
                <c:pt idx="4">
                  <c:v>5</c:v>
                </c:pt>
              </c:numCache>
            </c:numRef>
          </c:cat>
          <c:val>
            <c:numRef>
              <c:f>'Nodokļu ķīlis'!$R$4:$R$8</c:f>
              <c:numCache>
                <c:formatCode>0.0%</c:formatCode>
                <c:ptCount val="5"/>
                <c:pt idx="0">
                  <c:v>0.35662400800097221</c:v>
                </c:pt>
                <c:pt idx="1">
                  <c:v>0.40618524468049982</c:v>
                </c:pt>
                <c:pt idx="2">
                  <c:v>0.43031019067161147</c:v>
                </c:pt>
                <c:pt idx="3">
                  <c:v>0.4392161869232955</c:v>
                </c:pt>
                <c:pt idx="4">
                  <c:v>0.43809951753679172</c:v>
                </c:pt>
              </c:numCache>
            </c:numRef>
          </c:val>
          <c:smooth val="0"/>
          <c:extLst>
            <c:ext xmlns:c16="http://schemas.microsoft.com/office/drawing/2014/chart" uri="{C3380CC4-5D6E-409C-BE32-E72D297353CC}">
              <c16:uniqueId val="{00000005-C6A6-46C3-8F1C-D3F0676AB8ED}"/>
            </c:ext>
          </c:extLst>
        </c:ser>
        <c:ser>
          <c:idx val="6"/>
          <c:order val="6"/>
          <c:tx>
            <c:strRef>
              <c:f>'Nodokļu ķīlis'!$S$3</c:f>
              <c:strCache>
                <c:ptCount val="1"/>
                <c:pt idx="0">
                  <c:v>6.var.</c:v>
                </c:pt>
              </c:strCache>
            </c:strRef>
          </c:tx>
          <c:spPr>
            <a:ln w="28575" cap="rnd">
              <a:solidFill>
                <a:srgbClr val="7030A0"/>
              </a:solidFill>
              <a:prstDash val="dashDot"/>
              <a:round/>
            </a:ln>
            <a:effectLst/>
          </c:spPr>
          <c:marker>
            <c:symbol val="none"/>
          </c:marker>
          <c:cat>
            <c:numRef>
              <c:f>'Nodokļu ķīlis'!$L$4:$L$8</c:f>
              <c:numCache>
                <c:formatCode>0%</c:formatCode>
                <c:ptCount val="5"/>
                <c:pt idx="0">
                  <c:v>0.67</c:v>
                </c:pt>
                <c:pt idx="1">
                  <c:v>1</c:v>
                </c:pt>
                <c:pt idx="2">
                  <c:v>1.67</c:v>
                </c:pt>
                <c:pt idx="3">
                  <c:v>3</c:v>
                </c:pt>
                <c:pt idx="4">
                  <c:v>5</c:v>
                </c:pt>
              </c:numCache>
            </c:numRef>
          </c:cat>
          <c:val>
            <c:numRef>
              <c:f>'Nodokļu ķīlis'!$S$4:$S$8</c:f>
              <c:numCache>
                <c:formatCode>0.0%</c:formatCode>
                <c:ptCount val="5"/>
                <c:pt idx="0">
                  <c:v>0.3495798197549469</c:v>
                </c:pt>
                <c:pt idx="1">
                  <c:v>0.39532865361297242</c:v>
                </c:pt>
                <c:pt idx="2">
                  <c:v>0.43031019067161147</c:v>
                </c:pt>
                <c:pt idx="3">
                  <c:v>0.4392161869232955</c:v>
                </c:pt>
                <c:pt idx="4">
                  <c:v>0.43809951753679172</c:v>
                </c:pt>
              </c:numCache>
            </c:numRef>
          </c:val>
          <c:smooth val="0"/>
          <c:extLst>
            <c:ext xmlns:c16="http://schemas.microsoft.com/office/drawing/2014/chart" uri="{C3380CC4-5D6E-409C-BE32-E72D297353CC}">
              <c16:uniqueId val="{00000006-C6A6-46C3-8F1C-D3F0676AB8ED}"/>
            </c:ext>
          </c:extLst>
        </c:ser>
        <c:ser>
          <c:idx val="7"/>
          <c:order val="7"/>
          <c:tx>
            <c:strRef>
              <c:f>'Nodokļu ķīlis'!$U$3</c:f>
              <c:strCache>
                <c:ptCount val="1"/>
                <c:pt idx="0">
                  <c:v>OECD/ES-28 vidēji (2018)</c:v>
                </c:pt>
              </c:strCache>
            </c:strRef>
          </c:tx>
          <c:spPr>
            <a:ln w="28575" cap="rnd">
              <a:noFill/>
              <a:round/>
            </a:ln>
            <a:effectLst/>
          </c:spPr>
          <c:marker>
            <c:symbol val="circle"/>
            <c:size val="6"/>
            <c:spPr>
              <a:solidFill>
                <a:srgbClr val="0070C0"/>
              </a:solidFill>
              <a:ln w="9525">
                <a:solidFill>
                  <a:srgbClr val="0070C0"/>
                </a:solidFill>
              </a:ln>
              <a:effectLst/>
            </c:spPr>
          </c:marker>
          <c:dLbls>
            <c:dLbl>
              <c:idx val="0"/>
              <c:layout>
                <c:manualLayout>
                  <c:x val="-0.10555555555555558"/>
                  <c:y val="-4.1571704189453035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6A6-46C3-8F1C-D3F0676AB8ED}"/>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6A6-46C3-8F1C-D3F0676AB8E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'Nodokļu ķīlis'!$L$4:$L$8</c:f>
              <c:numCache>
                <c:formatCode>0%</c:formatCode>
                <c:ptCount val="5"/>
                <c:pt idx="0">
                  <c:v>0.67</c:v>
                </c:pt>
                <c:pt idx="1">
                  <c:v>1</c:v>
                </c:pt>
                <c:pt idx="2">
                  <c:v>1.67</c:v>
                </c:pt>
                <c:pt idx="3">
                  <c:v>3</c:v>
                </c:pt>
                <c:pt idx="4">
                  <c:v>5</c:v>
                </c:pt>
              </c:numCache>
            </c:numRef>
          </c:cat>
          <c:val>
            <c:numRef>
              <c:f>'Nodokļu ķīlis'!$U$4:$U$8</c:f>
              <c:numCache>
                <c:formatCode>0.0%</c:formatCode>
                <c:ptCount val="5"/>
                <c:pt idx="0">
                  <c:v>0.38200000000000001</c:v>
                </c:pt>
                <c:pt idx="1">
                  <c:v>0.41599999999999998</c:v>
                </c:pt>
                <c:pt idx="2">
                  <c:v>0.46</c:v>
                </c:pt>
              </c:numCache>
            </c:numRef>
          </c:val>
          <c:smooth val="0"/>
          <c:extLst>
            <c:ext xmlns:c16="http://schemas.microsoft.com/office/drawing/2014/chart" uri="{C3380CC4-5D6E-409C-BE32-E72D297353CC}">
              <c16:uniqueId val="{00000009-C6A6-46C3-8F1C-D3F0676AB8ED}"/>
            </c:ext>
          </c:extLst>
        </c:ser>
        <c:ser>
          <c:idx val="8"/>
          <c:order val="8"/>
          <c:tx>
            <c:strRef>
              <c:f>'Nodokļu ķīlis'!$V$3</c:f>
              <c:strCache>
                <c:ptCount val="1"/>
                <c:pt idx="0">
                  <c:v>Lietuva (2020)</c:v>
                </c:pt>
              </c:strCache>
            </c:strRef>
          </c:tx>
          <c:spPr>
            <a:ln w="28575" cap="rnd">
              <a:noFill/>
              <a:round/>
            </a:ln>
            <a:effectLst/>
          </c:spPr>
          <c:marker>
            <c:symbol val="triangle"/>
            <c:size val="6"/>
            <c:spPr>
              <a:solidFill>
                <a:srgbClr val="00B050"/>
              </a:solidFill>
              <a:ln w="9525">
                <a:solidFill>
                  <a:srgbClr val="00B050"/>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'Nodokļu ķīlis'!$L$4:$L$8</c:f>
              <c:numCache>
                <c:formatCode>0%</c:formatCode>
                <c:ptCount val="5"/>
                <c:pt idx="0">
                  <c:v>0.67</c:v>
                </c:pt>
                <c:pt idx="1">
                  <c:v>1</c:v>
                </c:pt>
                <c:pt idx="2">
                  <c:v>1.67</c:v>
                </c:pt>
                <c:pt idx="3">
                  <c:v>3</c:v>
                </c:pt>
                <c:pt idx="4">
                  <c:v>5</c:v>
                </c:pt>
              </c:numCache>
            </c:numRef>
          </c:cat>
          <c:val>
            <c:numRef>
              <c:f>'Nodokļu ķīlis'!$V$4:$V$8</c:f>
              <c:numCache>
                <c:formatCode>0.0%</c:formatCode>
                <c:ptCount val="5"/>
                <c:pt idx="0">
                  <c:v>0.313</c:v>
                </c:pt>
                <c:pt idx="1">
                  <c:v>0.35399999999999998</c:v>
                </c:pt>
                <c:pt idx="2">
                  <c:v>0.38800000000000001</c:v>
                </c:pt>
                <c:pt idx="3">
                  <c:v>0.40600000000000003</c:v>
                </c:pt>
              </c:numCache>
            </c:numRef>
          </c:val>
          <c:smooth val="0"/>
          <c:extLst>
            <c:ext xmlns:c16="http://schemas.microsoft.com/office/drawing/2014/chart" uri="{C3380CC4-5D6E-409C-BE32-E72D297353CC}">
              <c16:uniqueId val="{0000000A-C6A6-46C3-8F1C-D3F0676AB8ED}"/>
            </c:ext>
          </c:extLst>
        </c:ser>
        <c:ser>
          <c:idx val="9"/>
          <c:order val="9"/>
          <c:tx>
            <c:strRef>
              <c:f>'Nodokļu ķīlis'!$W$3</c:f>
              <c:strCache>
                <c:ptCount val="1"/>
                <c:pt idx="0">
                  <c:v>Igaunija (2020)</c:v>
                </c:pt>
              </c:strCache>
            </c:strRef>
          </c:tx>
          <c:spPr>
            <a:ln w="28575" cap="rnd">
              <a:noFill/>
              <a:round/>
            </a:ln>
            <a:effectLst/>
          </c:spPr>
          <c:marker>
            <c:symbol val="square"/>
            <c:size val="6"/>
            <c:spPr>
              <a:solidFill>
                <a:srgbClr val="002060"/>
              </a:solidFill>
              <a:ln w="9525">
                <a:solidFill>
                  <a:srgbClr val="002060"/>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'Nodokļu ķīlis'!$L$4:$L$8</c:f>
              <c:numCache>
                <c:formatCode>0%</c:formatCode>
                <c:ptCount val="5"/>
                <c:pt idx="0">
                  <c:v>0.67</c:v>
                </c:pt>
                <c:pt idx="1">
                  <c:v>1</c:v>
                </c:pt>
                <c:pt idx="2">
                  <c:v>1.67</c:v>
                </c:pt>
                <c:pt idx="3">
                  <c:v>3</c:v>
                </c:pt>
                <c:pt idx="4">
                  <c:v>5</c:v>
                </c:pt>
              </c:numCache>
            </c:numRef>
          </c:cat>
          <c:val>
            <c:numRef>
              <c:f>'Nodokļu ķīlis'!$W$4:$W$8</c:f>
              <c:numCache>
                <c:formatCode>0.0%</c:formatCode>
                <c:ptCount val="5"/>
                <c:pt idx="0">
                  <c:v>0.34799999999999998</c:v>
                </c:pt>
                <c:pt idx="1">
                  <c:v>0.38800000000000001</c:v>
                </c:pt>
                <c:pt idx="2">
                  <c:v>0.42399999999999999</c:v>
                </c:pt>
                <c:pt idx="3">
                  <c:v>0.42399999999999999</c:v>
                </c:pt>
              </c:numCache>
            </c:numRef>
          </c:val>
          <c:smooth val="0"/>
          <c:extLst>
            <c:ext xmlns:c16="http://schemas.microsoft.com/office/drawing/2014/chart" uri="{C3380CC4-5D6E-409C-BE32-E72D297353CC}">
              <c16:uniqueId val="{0000000B-C6A6-46C3-8F1C-D3F0676AB8ED}"/>
            </c:ext>
          </c:extLst>
        </c:ser>
        <c:dLbls>
          <c:showLegendKey val="0"/>
          <c:showVal val="0"/>
          <c:showCatName val="0"/>
          <c:showSerName val="0"/>
          <c:showPercent val="0"/>
          <c:showBubbleSize val="0"/>
        </c:dLbls>
        <c:smooth val="0"/>
        <c:axId val="1325238927"/>
        <c:axId val="1325240175"/>
      </c:lineChart>
      <c:catAx>
        <c:axId val="1325238927"/>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i="0">
                    <a:solidFill>
                      <a:sysClr val="windowText" lastClr="000000"/>
                    </a:solidFill>
                  </a:rPr>
                  <a:t>% no vidējās algas</a:t>
                </a:r>
              </a:p>
            </c:rich>
          </c:tx>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lv-LV"/>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25240175"/>
        <c:crosses val="autoZero"/>
        <c:auto val="1"/>
        <c:lblAlgn val="ctr"/>
        <c:lblOffset val="100"/>
        <c:noMultiLvlLbl val="0"/>
      </c:catAx>
      <c:valAx>
        <c:axId val="1325240175"/>
        <c:scaling>
          <c:orientation val="minMax"/>
          <c:max val="0.45"/>
          <c:min val="0.310000000000000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lv-LV" b="1" i="0">
                    <a:solidFill>
                      <a:sysClr val="windowText" lastClr="000000"/>
                    </a:solidFill>
                  </a:rPr>
                  <a:t>Nodokļu ķīlis, %</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lv-LV"/>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25238927"/>
        <c:crosses val="autoZero"/>
        <c:crossBetween val="between"/>
      </c:valAx>
      <c:spPr>
        <a:noFill/>
        <a:ln>
          <a:noFill/>
        </a:ln>
        <a:effectLst/>
      </c:spPr>
    </c:plotArea>
    <c:legend>
      <c:legendPos val="b"/>
      <c:layout>
        <c:manualLayout>
          <c:xMode val="edge"/>
          <c:yMode val="edge"/>
          <c:x val="2.9443132108486439E-2"/>
          <c:y val="0.75963504561929762"/>
          <c:w val="0.97055686789151352"/>
          <c:h val="0.213154070026960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'Nodokļu ķīlis_IIN likmes'!$K$3</c:f>
              <c:strCache>
                <c:ptCount val="1"/>
                <c:pt idx="0">
                  <c:v>2020.gads</c:v>
                </c:pt>
              </c:strCache>
            </c:strRef>
          </c:tx>
          <c:spPr>
            <a:ln w="28575" cap="rnd">
              <a:solidFill>
                <a:srgbClr val="C00000"/>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'Nodokļu ķīlis_IIN likmes'!$J$4:$J$8</c:f>
              <c:numCache>
                <c:formatCode>0%</c:formatCode>
                <c:ptCount val="5"/>
                <c:pt idx="0">
                  <c:v>0.67</c:v>
                </c:pt>
                <c:pt idx="1">
                  <c:v>1</c:v>
                </c:pt>
                <c:pt idx="2">
                  <c:v>1.67</c:v>
                </c:pt>
                <c:pt idx="3">
                  <c:v>3</c:v>
                </c:pt>
                <c:pt idx="4">
                  <c:v>5</c:v>
                </c:pt>
              </c:numCache>
            </c:numRef>
          </c:cat>
          <c:val>
            <c:numRef>
              <c:f>'Nodokļu ķīlis_IIN likmes'!$K$4:$K$8</c:f>
              <c:numCache>
                <c:formatCode>0.0%</c:formatCode>
                <c:ptCount val="5"/>
                <c:pt idx="0">
                  <c:v>0.38716403489659734</c:v>
                </c:pt>
                <c:pt idx="1">
                  <c:v>0.42284797678366504</c:v>
                </c:pt>
                <c:pt idx="2">
                  <c:v>0.42930584279677469</c:v>
                </c:pt>
                <c:pt idx="3">
                  <c:v>0.43865709993963647</c:v>
                </c:pt>
                <c:pt idx="4">
                  <c:v>0.43966597886440895</c:v>
                </c:pt>
              </c:numCache>
            </c:numRef>
          </c:val>
          <c:smooth val="0"/>
          <c:extLst>
            <c:ext xmlns:c16="http://schemas.microsoft.com/office/drawing/2014/chart" uri="{C3380CC4-5D6E-409C-BE32-E72D297353CC}">
              <c16:uniqueId val="{00000000-7C11-419B-9B0D-14BA1C9FE856}"/>
            </c:ext>
          </c:extLst>
        </c:ser>
        <c:ser>
          <c:idx val="1"/>
          <c:order val="1"/>
          <c:tx>
            <c:strRef>
              <c:f>'Nodokļu ķīlis_IIN likmes'!$L$3</c:f>
              <c:strCache>
                <c:ptCount val="1"/>
                <c:pt idx="0">
                  <c:v>2021.gads</c:v>
                </c:pt>
              </c:strCache>
            </c:strRef>
          </c:tx>
          <c:spPr>
            <a:ln w="28575" cap="rnd">
              <a:solidFill>
                <a:schemeClr val="accent2">
                  <a:lumMod val="75000"/>
                </a:schemeClr>
              </a:solidFill>
              <a:prstDash val="sysDash"/>
              <a:round/>
            </a:ln>
            <a:effectLst/>
          </c:spPr>
          <c:marker>
            <c:symbol val="none"/>
          </c:marker>
          <c:dLbls>
            <c:dLbl>
              <c:idx val="1"/>
              <c:layout>
                <c:manualLayout>
                  <c:x val="-7.4999999999999997E-2"/>
                  <c:y val="-2.54777070063694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C11-419B-9B0D-14BA1C9FE856}"/>
                </c:ext>
              </c:extLst>
            </c:dLbl>
            <c:dLbl>
              <c:idx val="2"/>
              <c:layout>
                <c:manualLayout>
                  <c:x val="0"/>
                  <c:y val="2.54777070063694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C11-419B-9B0D-14BA1C9FE856}"/>
                </c:ext>
              </c:extLst>
            </c:dLbl>
            <c:dLbl>
              <c:idx val="3"/>
              <c:layout>
                <c:manualLayout>
                  <c:x val="-1.6666666666666666E-2"/>
                  <c:y val="6.36942675159234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C11-419B-9B0D-14BA1C9FE856}"/>
                </c:ext>
              </c:extLst>
            </c:dLbl>
            <c:dLbl>
              <c:idx val="4"/>
              <c:layout>
                <c:manualLayout>
                  <c:x val="-1.6666666666666666E-2"/>
                  <c:y val="-5.09554140127388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C11-419B-9B0D-14BA1C9FE85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7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'Nodokļu ķīlis_IIN likmes'!$J$4:$J$8</c:f>
              <c:numCache>
                <c:formatCode>0%</c:formatCode>
                <c:ptCount val="5"/>
                <c:pt idx="0">
                  <c:v>0.67</c:v>
                </c:pt>
                <c:pt idx="1">
                  <c:v>1</c:v>
                </c:pt>
                <c:pt idx="2">
                  <c:v>1.67</c:v>
                </c:pt>
                <c:pt idx="3">
                  <c:v>3</c:v>
                </c:pt>
                <c:pt idx="4">
                  <c:v>5</c:v>
                </c:pt>
              </c:numCache>
            </c:numRef>
          </c:cat>
          <c:val>
            <c:numRef>
              <c:f>'Nodokļu ķīlis_IIN likmes'!$L$4:$L$8</c:f>
              <c:numCache>
                <c:formatCode>0.0%</c:formatCode>
                <c:ptCount val="5"/>
                <c:pt idx="0">
                  <c:v>0.36414620224439892</c:v>
                </c:pt>
                <c:pt idx="1">
                  <c:v>0.39138340588224468</c:v>
                </c:pt>
                <c:pt idx="2">
                  <c:v>0.42152651825494508</c:v>
                </c:pt>
                <c:pt idx="3">
                  <c:v>0.4414719607702145</c:v>
                </c:pt>
                <c:pt idx="4">
                  <c:v>0.45915376346760239</c:v>
                </c:pt>
              </c:numCache>
            </c:numRef>
          </c:val>
          <c:smooth val="0"/>
          <c:extLst>
            <c:ext xmlns:c16="http://schemas.microsoft.com/office/drawing/2014/chart" uri="{C3380CC4-5D6E-409C-BE32-E72D297353CC}">
              <c16:uniqueId val="{00000005-7C11-419B-9B0D-14BA1C9FE856}"/>
            </c:ext>
          </c:extLst>
        </c:ser>
        <c:ser>
          <c:idx val="2"/>
          <c:order val="2"/>
          <c:tx>
            <c:strRef>
              <c:f>'Nodokļu ķīlis_IIN likmes'!$N$3</c:f>
              <c:strCache>
                <c:ptCount val="1"/>
                <c:pt idx="0">
                  <c:v>OECD/ES-28 vidēji (2018)</c:v>
                </c:pt>
              </c:strCache>
            </c:strRef>
          </c:tx>
          <c:spPr>
            <a:ln w="28575" cap="rnd">
              <a:noFill/>
              <a:round/>
            </a:ln>
            <a:effectLst/>
          </c:spPr>
          <c:marker>
            <c:symbol val="circle"/>
            <c:size val="6"/>
            <c:spPr>
              <a:solidFill>
                <a:srgbClr val="0070C0"/>
              </a:solidFill>
              <a:ln w="9525">
                <a:solidFill>
                  <a:srgbClr val="0070C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'Nodokļu ķīlis_IIN likmes'!$J$4:$J$8</c:f>
              <c:numCache>
                <c:formatCode>0%</c:formatCode>
                <c:ptCount val="5"/>
                <c:pt idx="0">
                  <c:v>0.67</c:v>
                </c:pt>
                <c:pt idx="1">
                  <c:v>1</c:v>
                </c:pt>
                <c:pt idx="2">
                  <c:v>1.67</c:v>
                </c:pt>
                <c:pt idx="3">
                  <c:v>3</c:v>
                </c:pt>
                <c:pt idx="4">
                  <c:v>5</c:v>
                </c:pt>
              </c:numCache>
            </c:numRef>
          </c:cat>
          <c:val>
            <c:numRef>
              <c:f>'Nodokļu ķīlis_IIN likmes'!$N$4:$N$8</c:f>
              <c:numCache>
                <c:formatCode>0.0%</c:formatCode>
                <c:ptCount val="5"/>
                <c:pt idx="0">
                  <c:v>0.38200000000000001</c:v>
                </c:pt>
                <c:pt idx="1">
                  <c:v>0.41599999999999998</c:v>
                </c:pt>
                <c:pt idx="2">
                  <c:v>0.46</c:v>
                </c:pt>
              </c:numCache>
            </c:numRef>
          </c:val>
          <c:smooth val="0"/>
          <c:extLst>
            <c:ext xmlns:c16="http://schemas.microsoft.com/office/drawing/2014/chart" uri="{C3380CC4-5D6E-409C-BE32-E72D297353CC}">
              <c16:uniqueId val="{00000006-7C11-419B-9B0D-14BA1C9FE856}"/>
            </c:ext>
          </c:extLst>
        </c:ser>
        <c:ser>
          <c:idx val="3"/>
          <c:order val="3"/>
          <c:tx>
            <c:strRef>
              <c:f>'Nodokļu ķīlis_IIN likmes'!$O$3</c:f>
              <c:strCache>
                <c:ptCount val="1"/>
                <c:pt idx="0">
                  <c:v>Lietuva (2020)</c:v>
                </c:pt>
              </c:strCache>
            </c:strRef>
          </c:tx>
          <c:spPr>
            <a:ln w="28575" cap="rnd">
              <a:noFill/>
              <a:round/>
            </a:ln>
            <a:effectLst/>
          </c:spPr>
          <c:marker>
            <c:symbol val="triangle"/>
            <c:size val="6"/>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'Nodokļu ķīlis_IIN likmes'!$J$4:$J$8</c:f>
              <c:numCache>
                <c:formatCode>0%</c:formatCode>
                <c:ptCount val="5"/>
                <c:pt idx="0">
                  <c:v>0.67</c:v>
                </c:pt>
                <c:pt idx="1">
                  <c:v>1</c:v>
                </c:pt>
                <c:pt idx="2">
                  <c:v>1.67</c:v>
                </c:pt>
                <c:pt idx="3">
                  <c:v>3</c:v>
                </c:pt>
                <c:pt idx="4">
                  <c:v>5</c:v>
                </c:pt>
              </c:numCache>
            </c:numRef>
          </c:cat>
          <c:val>
            <c:numRef>
              <c:f>'Nodokļu ķīlis_IIN likmes'!$O$4:$O$8</c:f>
              <c:numCache>
                <c:formatCode>0.0%</c:formatCode>
                <c:ptCount val="5"/>
                <c:pt idx="0">
                  <c:v>0.313</c:v>
                </c:pt>
                <c:pt idx="1">
                  <c:v>0.35399999999999998</c:v>
                </c:pt>
                <c:pt idx="2">
                  <c:v>0.38800000000000001</c:v>
                </c:pt>
                <c:pt idx="3">
                  <c:v>0.40600000000000003</c:v>
                </c:pt>
              </c:numCache>
            </c:numRef>
          </c:val>
          <c:smooth val="0"/>
          <c:extLst>
            <c:ext xmlns:c16="http://schemas.microsoft.com/office/drawing/2014/chart" uri="{C3380CC4-5D6E-409C-BE32-E72D297353CC}">
              <c16:uniqueId val="{00000007-7C11-419B-9B0D-14BA1C9FE856}"/>
            </c:ext>
          </c:extLst>
        </c:ser>
        <c:ser>
          <c:idx val="4"/>
          <c:order val="4"/>
          <c:tx>
            <c:strRef>
              <c:f>'Nodokļu ķīlis_IIN likmes'!$P$3</c:f>
              <c:strCache>
                <c:ptCount val="1"/>
                <c:pt idx="0">
                  <c:v>Igaunija (2020)</c:v>
                </c:pt>
              </c:strCache>
            </c:strRef>
          </c:tx>
          <c:spPr>
            <a:ln w="28575" cap="rnd">
              <a:noFill/>
              <a:round/>
            </a:ln>
            <a:effectLst/>
          </c:spPr>
          <c:marker>
            <c:symbol val="square"/>
            <c:size val="6"/>
            <c:spPr>
              <a:solidFill>
                <a:srgbClr val="002060"/>
              </a:solidFill>
              <a:ln w="9525">
                <a:solidFill>
                  <a:srgbClr val="002060"/>
                </a:solidFill>
              </a:ln>
              <a:effectLst/>
            </c:spPr>
          </c:marker>
          <c:dLbls>
            <c:dLbl>
              <c:idx val="1"/>
              <c:layout>
                <c:manualLayout>
                  <c:x val="1.1111111111111059E-2"/>
                  <c:y val="1.69851380042462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C11-419B-9B0D-14BA1C9FE85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'Nodokļu ķīlis_IIN likmes'!$J$4:$J$8</c:f>
              <c:numCache>
                <c:formatCode>0%</c:formatCode>
                <c:ptCount val="5"/>
                <c:pt idx="0">
                  <c:v>0.67</c:v>
                </c:pt>
                <c:pt idx="1">
                  <c:v>1</c:v>
                </c:pt>
                <c:pt idx="2">
                  <c:v>1.67</c:v>
                </c:pt>
                <c:pt idx="3">
                  <c:v>3</c:v>
                </c:pt>
                <c:pt idx="4">
                  <c:v>5</c:v>
                </c:pt>
              </c:numCache>
            </c:numRef>
          </c:cat>
          <c:val>
            <c:numRef>
              <c:f>'Nodokļu ķīlis_IIN likmes'!$P$4:$P$8</c:f>
              <c:numCache>
                <c:formatCode>0.0%</c:formatCode>
                <c:ptCount val="5"/>
                <c:pt idx="0">
                  <c:v>0.34799999999999998</c:v>
                </c:pt>
                <c:pt idx="1">
                  <c:v>0.38800000000000001</c:v>
                </c:pt>
                <c:pt idx="2">
                  <c:v>0.42399999999999999</c:v>
                </c:pt>
                <c:pt idx="3">
                  <c:v>0.42399999999999999</c:v>
                </c:pt>
              </c:numCache>
            </c:numRef>
          </c:val>
          <c:smooth val="0"/>
          <c:extLst>
            <c:ext xmlns:c16="http://schemas.microsoft.com/office/drawing/2014/chart" uri="{C3380CC4-5D6E-409C-BE32-E72D297353CC}">
              <c16:uniqueId val="{00000009-7C11-419B-9B0D-14BA1C9FE856}"/>
            </c:ext>
          </c:extLst>
        </c:ser>
        <c:dLbls>
          <c:showLegendKey val="0"/>
          <c:showVal val="0"/>
          <c:showCatName val="0"/>
          <c:showSerName val="0"/>
          <c:showPercent val="0"/>
          <c:showBubbleSize val="0"/>
        </c:dLbls>
        <c:smooth val="0"/>
        <c:axId val="1325238927"/>
        <c:axId val="1325240175"/>
      </c:lineChart>
      <c:catAx>
        <c:axId val="1325238927"/>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i="0">
                    <a:solidFill>
                      <a:sysClr val="windowText" lastClr="000000"/>
                    </a:solidFill>
                  </a:rPr>
                  <a:t>% no vidējās algas</a:t>
                </a:r>
              </a:p>
            </c:rich>
          </c:tx>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lv-LV"/>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25240175"/>
        <c:crosses val="autoZero"/>
        <c:auto val="1"/>
        <c:lblAlgn val="ctr"/>
        <c:lblOffset val="100"/>
        <c:noMultiLvlLbl val="0"/>
      </c:catAx>
      <c:valAx>
        <c:axId val="1325240175"/>
        <c:scaling>
          <c:orientation val="minMax"/>
          <c:max val="0.5"/>
          <c:min val="0.300000000000000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lv-LV" b="1" i="0">
                    <a:solidFill>
                      <a:sysClr val="windowText" lastClr="000000"/>
                    </a:solidFill>
                  </a:rPr>
                  <a:t>Nodokļu ķīlis, %</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lv-LV"/>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2523892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42453818747942"/>
          <c:y val="4.0816326530612242E-2"/>
          <c:w val="0.85169206510783113"/>
          <c:h val="0.64437141785848195"/>
        </c:manualLayout>
      </c:layout>
      <c:barChart>
        <c:barDir val="col"/>
        <c:grouping val="clustered"/>
        <c:varyColors val="0"/>
        <c:ser>
          <c:idx val="0"/>
          <c:order val="0"/>
          <c:tx>
            <c:strRef>
              <c:f>kopejais!$D$4</c:f>
              <c:strCache>
                <c:ptCount val="1"/>
                <c:pt idx="0">
                  <c:v>Mikrouzņēmumu iesniegto deklarāciju skaits</c:v>
                </c:pt>
              </c:strCache>
            </c:strRef>
          </c:tx>
          <c:spPr>
            <a:solidFill>
              <a:srgbClr val="0070C0"/>
            </a:solidFill>
            <a:ln>
              <a:noFill/>
            </a:ln>
            <a:effectLst/>
          </c:spPr>
          <c:invertIfNegative val="0"/>
          <c:dLbls>
            <c:dLbl>
              <c:idx val="1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25F-4213-9DE2-8B26F4F06DFC}"/>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kopejais!$C$5:$C$15</c:f>
              <c:strCache>
                <c:ptCount val="11"/>
                <c:pt idx="0">
                  <c:v>2017 1. cet.</c:v>
                </c:pt>
                <c:pt idx="1">
                  <c:v>2017 2. cet.</c:v>
                </c:pt>
                <c:pt idx="2">
                  <c:v>2017 3. cet.</c:v>
                </c:pt>
                <c:pt idx="3">
                  <c:v>2017 4. cet.</c:v>
                </c:pt>
                <c:pt idx="4">
                  <c:v>2018 1. cet.</c:v>
                </c:pt>
                <c:pt idx="5">
                  <c:v>2018 2. cet.</c:v>
                </c:pt>
                <c:pt idx="6">
                  <c:v>2018 3. cet.</c:v>
                </c:pt>
                <c:pt idx="7">
                  <c:v>2018 4. cet.</c:v>
                </c:pt>
                <c:pt idx="8">
                  <c:v>2019 1. cet.</c:v>
                </c:pt>
                <c:pt idx="9">
                  <c:v>2019 2. cet.</c:v>
                </c:pt>
                <c:pt idx="10">
                  <c:v>2019 3. cet.</c:v>
                </c:pt>
              </c:strCache>
            </c:strRef>
          </c:cat>
          <c:val>
            <c:numRef>
              <c:f>kopejais!$D$5:$D$15</c:f>
              <c:numCache>
                <c:formatCode>#,##0</c:formatCode>
                <c:ptCount val="11"/>
                <c:pt idx="0">
                  <c:v>40463</c:v>
                </c:pt>
                <c:pt idx="1">
                  <c:v>40847</c:v>
                </c:pt>
                <c:pt idx="2">
                  <c:v>41370</c:v>
                </c:pt>
                <c:pt idx="3">
                  <c:v>41773</c:v>
                </c:pt>
                <c:pt idx="4">
                  <c:v>39363</c:v>
                </c:pt>
                <c:pt idx="5">
                  <c:v>39631</c:v>
                </c:pt>
                <c:pt idx="6">
                  <c:v>39981</c:v>
                </c:pt>
                <c:pt idx="7">
                  <c:v>40032</c:v>
                </c:pt>
                <c:pt idx="8">
                  <c:v>35802</c:v>
                </c:pt>
                <c:pt idx="9">
                  <c:v>35494</c:v>
                </c:pt>
                <c:pt idx="10">
                  <c:v>35046</c:v>
                </c:pt>
              </c:numCache>
            </c:numRef>
          </c:val>
          <c:extLst>
            <c:ext xmlns:c16="http://schemas.microsoft.com/office/drawing/2014/chart" uri="{C3380CC4-5D6E-409C-BE32-E72D297353CC}">
              <c16:uniqueId val="{00000001-D25F-4213-9DE2-8B26F4F06DFC}"/>
            </c:ext>
          </c:extLst>
        </c:ser>
        <c:dLbls>
          <c:showLegendKey val="0"/>
          <c:showVal val="0"/>
          <c:showCatName val="0"/>
          <c:showSerName val="0"/>
          <c:showPercent val="0"/>
          <c:showBubbleSize val="0"/>
        </c:dLbls>
        <c:gapWidth val="75"/>
        <c:overlap val="-25"/>
        <c:axId val="2096369055"/>
        <c:axId val="2096369471"/>
      </c:barChart>
      <c:lineChart>
        <c:grouping val="standard"/>
        <c:varyColors val="0"/>
        <c:ser>
          <c:idx val="1"/>
          <c:order val="1"/>
          <c:tx>
            <c:strRef>
              <c:f>kopejais!$E$4</c:f>
              <c:strCache>
                <c:ptCount val="1"/>
                <c:pt idx="0">
                  <c:v>Mikrouzņēmumu darba ņēmēju kopējais skaits</c:v>
                </c:pt>
              </c:strCache>
            </c:strRef>
          </c:tx>
          <c:spPr>
            <a:ln w="28575" cap="rnd">
              <a:solidFill>
                <a:schemeClr val="accent2"/>
              </a:solidFill>
              <a:round/>
            </a:ln>
            <a:effectLst/>
          </c:spPr>
          <c:marker>
            <c:symbol val="none"/>
          </c:marker>
          <c:dLbls>
            <c:dLbl>
              <c:idx val="10"/>
              <c:layout>
                <c:manualLayout>
                  <c:x val="-1.282051282051282E-2"/>
                  <c:y val="-3.22743266943306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25F-4213-9DE2-8B26F4F06DFC}"/>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kopejais!$C$5:$C$15</c:f>
              <c:strCache>
                <c:ptCount val="11"/>
                <c:pt idx="0">
                  <c:v>2017 1. cet.</c:v>
                </c:pt>
                <c:pt idx="1">
                  <c:v>2017 2. cet.</c:v>
                </c:pt>
                <c:pt idx="2">
                  <c:v>2017 3. cet.</c:v>
                </c:pt>
                <c:pt idx="3">
                  <c:v>2017 4. cet.</c:v>
                </c:pt>
                <c:pt idx="4">
                  <c:v>2018 1. cet.</c:v>
                </c:pt>
                <c:pt idx="5">
                  <c:v>2018 2. cet.</c:v>
                </c:pt>
                <c:pt idx="6">
                  <c:v>2018 3. cet.</c:v>
                </c:pt>
                <c:pt idx="7">
                  <c:v>2018 4. cet.</c:v>
                </c:pt>
                <c:pt idx="8">
                  <c:v>2019 1. cet.</c:v>
                </c:pt>
                <c:pt idx="9">
                  <c:v>2019 2. cet.</c:v>
                </c:pt>
                <c:pt idx="10">
                  <c:v>2019 3. cet.</c:v>
                </c:pt>
              </c:strCache>
            </c:strRef>
          </c:cat>
          <c:val>
            <c:numRef>
              <c:f>kopejais!$E$5:$E$15</c:f>
              <c:numCache>
                <c:formatCode>#,##0</c:formatCode>
                <c:ptCount val="11"/>
                <c:pt idx="0">
                  <c:v>84265</c:v>
                </c:pt>
                <c:pt idx="1">
                  <c:v>85951</c:v>
                </c:pt>
                <c:pt idx="2">
                  <c:v>87218</c:v>
                </c:pt>
                <c:pt idx="3">
                  <c:v>86513</c:v>
                </c:pt>
                <c:pt idx="4">
                  <c:v>80617</c:v>
                </c:pt>
                <c:pt idx="5">
                  <c:v>81506</c:v>
                </c:pt>
                <c:pt idx="6">
                  <c:v>82053</c:v>
                </c:pt>
                <c:pt idx="7">
                  <c:v>80763</c:v>
                </c:pt>
                <c:pt idx="8">
                  <c:v>71915</c:v>
                </c:pt>
                <c:pt idx="9">
                  <c:v>72618</c:v>
                </c:pt>
                <c:pt idx="10">
                  <c:v>73536</c:v>
                </c:pt>
              </c:numCache>
            </c:numRef>
          </c:val>
          <c:smooth val="0"/>
          <c:extLst>
            <c:ext xmlns:c16="http://schemas.microsoft.com/office/drawing/2014/chart" uri="{C3380CC4-5D6E-409C-BE32-E72D297353CC}">
              <c16:uniqueId val="{00000003-D25F-4213-9DE2-8B26F4F06DFC}"/>
            </c:ext>
          </c:extLst>
        </c:ser>
        <c:dLbls>
          <c:showLegendKey val="0"/>
          <c:showVal val="0"/>
          <c:showCatName val="0"/>
          <c:showSerName val="0"/>
          <c:showPercent val="0"/>
          <c:showBubbleSize val="0"/>
        </c:dLbls>
        <c:marker val="1"/>
        <c:smooth val="0"/>
        <c:axId val="2096369055"/>
        <c:axId val="2096369471"/>
      </c:lineChart>
      <c:catAx>
        <c:axId val="2096369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96369471"/>
        <c:crosses val="autoZero"/>
        <c:auto val="1"/>
        <c:lblAlgn val="ctr"/>
        <c:lblOffset val="100"/>
        <c:noMultiLvlLbl val="0"/>
      </c:catAx>
      <c:valAx>
        <c:axId val="20963694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096369055"/>
        <c:crosses val="autoZero"/>
        <c:crossBetween val="between"/>
      </c:valAx>
      <c:spPr>
        <a:noFill/>
        <a:ln>
          <a:noFill/>
        </a:ln>
        <a:effectLst>
          <a:softEdge rad="31750"/>
        </a:effectLst>
      </c:spPr>
    </c:plotArea>
    <c:legend>
      <c:legendPos val="b"/>
      <c:layout>
        <c:manualLayout>
          <c:xMode val="edge"/>
          <c:yMode val="edge"/>
          <c:x val="0.25020688499094323"/>
          <c:y val="0.80150852432001785"/>
          <c:w val="0.57764636309875816"/>
          <c:h val="0.1869607751899274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912376337573191E-2"/>
          <c:y val="5.9589066518200375E-2"/>
          <c:w val="0.90088249545729859"/>
          <c:h val="0.72923089159309629"/>
        </c:manualLayout>
      </c:layout>
      <c:barChart>
        <c:barDir val="col"/>
        <c:grouping val="stacked"/>
        <c:varyColors val="0"/>
        <c:ser>
          <c:idx val="0"/>
          <c:order val="0"/>
          <c:tx>
            <c:strRef>
              <c:f>MU_nodoklis!$A$5</c:f>
              <c:strCache>
                <c:ptCount val="1"/>
                <c:pt idx="0">
                  <c:v>SOC</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MU_nodoklis!$B$2:$D$2</c:f>
              <c:numCache>
                <c:formatCode>0</c:formatCode>
                <c:ptCount val="3"/>
                <c:pt idx="0">
                  <c:v>2017</c:v>
                </c:pt>
                <c:pt idx="1">
                  <c:v>2018</c:v>
                </c:pt>
                <c:pt idx="2">
                  <c:v>2019</c:v>
                </c:pt>
              </c:numCache>
            </c:numRef>
          </c:cat>
          <c:val>
            <c:numRef>
              <c:f>MU_nodoklis!$B$5:$D$5</c:f>
              <c:numCache>
                <c:formatCode>#\ ###\ ###.00</c:formatCode>
                <c:ptCount val="3"/>
                <c:pt idx="0">
                  <c:v>58</c:v>
                </c:pt>
                <c:pt idx="1">
                  <c:v>70.467912346879999</c:v>
                </c:pt>
                <c:pt idx="2">
                  <c:v>65.116607336000001</c:v>
                </c:pt>
              </c:numCache>
            </c:numRef>
          </c:val>
          <c:extLst>
            <c:ext xmlns:c16="http://schemas.microsoft.com/office/drawing/2014/chart" uri="{C3380CC4-5D6E-409C-BE32-E72D297353CC}">
              <c16:uniqueId val="{00000000-1EFE-437A-A7F1-1A184A4EB4DF}"/>
            </c:ext>
          </c:extLst>
        </c:ser>
        <c:ser>
          <c:idx val="1"/>
          <c:order val="1"/>
          <c:tx>
            <c:strRef>
              <c:f>MU_nodoklis!$A$6</c:f>
              <c:strCache>
                <c:ptCount val="1"/>
                <c:pt idx="0">
                  <c:v>IIN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MU_nodoklis!$B$2:$D$2</c:f>
              <c:numCache>
                <c:formatCode>0</c:formatCode>
                <c:ptCount val="3"/>
                <c:pt idx="0">
                  <c:v>2017</c:v>
                </c:pt>
                <c:pt idx="1">
                  <c:v>2018</c:v>
                </c:pt>
                <c:pt idx="2">
                  <c:v>2019</c:v>
                </c:pt>
              </c:numCache>
            </c:numRef>
          </c:cat>
          <c:val>
            <c:numRef>
              <c:f>MU_nodoklis!$B$6:$D$6</c:f>
              <c:numCache>
                <c:formatCode>#\ ###\ ###.00</c:formatCode>
                <c:ptCount val="3"/>
                <c:pt idx="0">
                  <c:v>22.5</c:v>
                </c:pt>
                <c:pt idx="1">
                  <c:v>18.574109159270002</c:v>
                </c:pt>
                <c:pt idx="2">
                  <c:v>15.535505485290001</c:v>
                </c:pt>
              </c:numCache>
            </c:numRef>
          </c:val>
          <c:extLst>
            <c:ext xmlns:c16="http://schemas.microsoft.com/office/drawing/2014/chart" uri="{C3380CC4-5D6E-409C-BE32-E72D297353CC}">
              <c16:uniqueId val="{00000001-1EFE-437A-A7F1-1A184A4EB4DF}"/>
            </c:ext>
          </c:extLst>
        </c:ser>
        <c:ser>
          <c:idx val="2"/>
          <c:order val="2"/>
          <c:tx>
            <c:strRef>
              <c:f>MU_nodoklis!$A$7</c:f>
              <c:strCache>
                <c:ptCount val="1"/>
                <c:pt idx="0">
                  <c:v>UIN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5.0314465408805029E-3"/>
                  <c:y val="-3.16049333558964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EFE-437A-A7F1-1A184A4EB4DF}"/>
                </c:ext>
              </c:extLst>
            </c:dLbl>
            <c:dLbl>
              <c:idx val="1"/>
              <c:layout>
                <c:manualLayout>
                  <c:x val="-9.2242120993956171E-17"/>
                  <c:y val="-2.76543166864093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EFE-437A-A7F1-1A184A4EB4DF}"/>
                </c:ext>
              </c:extLst>
            </c:dLbl>
            <c:dLbl>
              <c:idx val="2"/>
              <c:layout>
                <c:manualLayout>
                  <c:x val="0"/>
                  <c:y val="-3.55555500253835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EFE-437A-A7F1-1A184A4EB4DF}"/>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MU_nodoklis!$B$2:$D$2</c:f>
              <c:numCache>
                <c:formatCode>0</c:formatCode>
                <c:ptCount val="3"/>
                <c:pt idx="0">
                  <c:v>2017</c:v>
                </c:pt>
                <c:pt idx="1">
                  <c:v>2018</c:v>
                </c:pt>
                <c:pt idx="2">
                  <c:v>2019</c:v>
                </c:pt>
              </c:numCache>
            </c:numRef>
          </c:cat>
          <c:val>
            <c:numRef>
              <c:f>MU_nodoklis!$B$7:$D$7</c:f>
              <c:numCache>
                <c:formatCode>#\ ###\ ###.00</c:formatCode>
                <c:ptCount val="3"/>
                <c:pt idx="0">
                  <c:v>1.5</c:v>
                </c:pt>
                <c:pt idx="1">
                  <c:v>0.88398786743000002</c:v>
                </c:pt>
                <c:pt idx="2">
                  <c:v>0.67909342391000005</c:v>
                </c:pt>
              </c:numCache>
            </c:numRef>
          </c:val>
          <c:extLst>
            <c:ext xmlns:c16="http://schemas.microsoft.com/office/drawing/2014/chart" uri="{C3380CC4-5D6E-409C-BE32-E72D297353CC}">
              <c16:uniqueId val="{00000005-1EFE-437A-A7F1-1A184A4EB4DF}"/>
            </c:ext>
          </c:extLst>
        </c:ser>
        <c:dLbls>
          <c:showLegendKey val="0"/>
          <c:showVal val="0"/>
          <c:showCatName val="0"/>
          <c:showSerName val="0"/>
          <c:showPercent val="0"/>
          <c:showBubbleSize val="0"/>
        </c:dLbls>
        <c:gapWidth val="150"/>
        <c:overlap val="100"/>
        <c:axId val="384011199"/>
        <c:axId val="384027423"/>
      </c:barChart>
      <c:catAx>
        <c:axId val="384011199"/>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4027423"/>
        <c:crosses val="autoZero"/>
        <c:auto val="1"/>
        <c:lblAlgn val="ctr"/>
        <c:lblOffset val="100"/>
        <c:noMultiLvlLbl val="0"/>
      </c:catAx>
      <c:valAx>
        <c:axId val="3840274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84011199"/>
        <c:crosses val="autoZero"/>
        <c:crossBetween val="between"/>
      </c:valAx>
      <c:spPr>
        <a:noFill/>
        <a:ln>
          <a:noFill/>
        </a:ln>
        <a:effectLst/>
      </c:spPr>
    </c:plotArea>
    <c:legend>
      <c:legendPos val="b"/>
      <c:layout>
        <c:manualLayout>
          <c:xMode val="edge"/>
          <c:yMode val="edge"/>
          <c:x val="0.3997942257217848"/>
          <c:y val="0.89699567857048157"/>
          <c:w val="0.22520475582848451"/>
          <c:h val="7.962536677896442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0.93781</cdr:x>
      <cdr:y>0.21643</cdr:y>
    </cdr:from>
    <cdr:to>
      <cdr:x>0.9734</cdr:x>
      <cdr:y>0.34242</cdr:y>
    </cdr:to>
    <cdr:sp macro="" textlink="">
      <cdr:nvSpPr>
        <cdr:cNvPr id="2" name="Down Arrow 1"/>
        <cdr:cNvSpPr/>
      </cdr:nvSpPr>
      <cdr:spPr>
        <a:xfrm xmlns:a="http://schemas.openxmlformats.org/drawingml/2006/main">
          <a:off x="4698568" y="404057"/>
          <a:ext cx="178311" cy="235211"/>
        </a:xfrm>
        <a:prstGeom xmlns:a="http://schemas.openxmlformats.org/drawingml/2006/main" prst="downArrow">
          <a:avLst/>
        </a:prstGeom>
        <a:solidFill xmlns:a="http://schemas.openxmlformats.org/drawingml/2006/main">
          <a:srgbClr val="C0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xmlns:a="http://schemas.openxmlformats.org/drawingml/2006/main">
          <a:pPr algn="ctr"/>
          <a:endParaRPr lang="lv-LV"/>
        </a:p>
      </cdr:txBody>
    </cdr:sp>
  </cdr:relSizeAnchor>
  <cdr:relSizeAnchor xmlns:cdr="http://schemas.openxmlformats.org/drawingml/2006/chartDrawing">
    <cdr:from>
      <cdr:x>0.62433</cdr:x>
      <cdr:y>0.0422</cdr:y>
    </cdr:from>
    <cdr:to>
      <cdr:x>1</cdr:x>
      <cdr:y>0.19364</cdr:y>
    </cdr:to>
    <cdr:sp macro="" textlink="">
      <cdr:nvSpPr>
        <cdr:cNvPr id="3" name="Text Box 2"/>
        <cdr:cNvSpPr txBox="1"/>
      </cdr:nvSpPr>
      <cdr:spPr>
        <a:xfrm xmlns:a="http://schemas.openxmlformats.org/drawingml/2006/main">
          <a:off x="3351981" y="78783"/>
          <a:ext cx="2016944" cy="2827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000" b="1">
              <a:latin typeface="Times New Roman" panose="02020603050405020304" pitchFamily="18" charset="0"/>
              <a:cs typeface="Times New Roman" panose="02020603050405020304" pitchFamily="18" charset="0"/>
            </a:rPr>
            <a:t>-10,7% vidēji 3.cet.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4C6F6-5C03-45EF-BE66-A2F96FFD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47</Pages>
  <Words>53189</Words>
  <Characters>30318</Characters>
  <Application>Microsoft Office Word</Application>
  <DocSecurity>0</DocSecurity>
  <Lines>252</Lines>
  <Paragraphs>166</Paragraphs>
  <ScaleCrop>false</ScaleCrop>
  <HeadingPairs>
    <vt:vector size="2" baseType="variant">
      <vt:variant>
        <vt:lpstr>Title</vt:lpstr>
      </vt:variant>
      <vt:variant>
        <vt:i4>1</vt:i4>
      </vt:variant>
    </vt:vector>
  </HeadingPairs>
  <TitlesOfParts>
    <vt:vector size="1" baseType="lpstr">
      <vt:lpstr>Informatīvais ziņojums  Par virzieniem Valsts nodokļu politikas pamatnostādņu 2021.-2025.gadam izstrādei</vt:lpstr>
    </vt:vector>
  </TitlesOfParts>
  <Company/>
  <LinksUpToDate>false</LinksUpToDate>
  <CharactersWithSpaces>83341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virzieniem Valsts nodokļu politikas pamatnostādņu 2021.-2025.gadam izstrādei</dc:title>
  <dc:subject/>
  <dc:creator>Ieva Kodoliņa-Miglāne</dc:creator>
  <cp:keywords/>
  <dc:description>Ieva Kodoliņa-Miglāne 67 083 202
ieva.kodolina-miglane@fm.gov.lv</dc:description>
  <cp:lastModifiedBy>Ieva Kodoliņa-Miglāne</cp:lastModifiedBy>
  <cp:revision>8</cp:revision>
  <cp:lastPrinted>2020-02-03T12:22:00Z</cp:lastPrinted>
  <dcterms:created xsi:type="dcterms:W3CDTF">2020-02-21T11:20:00Z</dcterms:created>
  <dcterms:modified xsi:type="dcterms:W3CDTF">2020-02-21T13:21:00Z</dcterms:modified>
</cp:coreProperties>
</file>