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36608D" w:rsidR="00B06387" w:rsidP="00B06387" w:rsidRDefault="00B06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08D">
        <w:rPr>
          <w:rFonts w:ascii="Times New Roman" w:hAnsi="Times New Roman"/>
          <w:b/>
          <w:bCs/>
          <w:sz w:val="24"/>
          <w:szCs w:val="24"/>
        </w:rPr>
        <w:t>Ministru kabineta rīkojuma projekta</w:t>
      </w:r>
    </w:p>
    <w:p w:rsidR="00D7750E" w:rsidP="00900557" w:rsidRDefault="00B06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08D">
        <w:rPr>
          <w:rFonts w:ascii="Times New Roman" w:hAnsi="Times New Roman"/>
          <w:b/>
          <w:bCs/>
          <w:sz w:val="24"/>
          <w:szCs w:val="24"/>
        </w:rPr>
        <w:t>„</w:t>
      </w:r>
      <w:r w:rsidR="00D7750E">
        <w:rPr>
          <w:rFonts w:ascii="Times New Roman" w:hAnsi="Times New Roman"/>
          <w:b/>
          <w:bCs/>
          <w:sz w:val="24"/>
          <w:szCs w:val="24"/>
        </w:rPr>
        <w:t>Grozījumi</w:t>
      </w:r>
      <w:r w:rsidRPr="00900557" w:rsidR="00900557">
        <w:rPr>
          <w:rFonts w:ascii="Times New Roman" w:hAnsi="Times New Roman"/>
          <w:b/>
          <w:bCs/>
          <w:sz w:val="24"/>
          <w:szCs w:val="24"/>
        </w:rPr>
        <w:t xml:space="preserve"> Ministru kabineta 2020</w:t>
      </w:r>
      <w:r w:rsidR="00D7750E">
        <w:rPr>
          <w:rFonts w:ascii="Times New Roman" w:hAnsi="Times New Roman"/>
          <w:b/>
          <w:bCs/>
          <w:sz w:val="24"/>
          <w:szCs w:val="24"/>
        </w:rPr>
        <w:t xml:space="preserve">.gada 10.marta rīkojumā Nr.100 </w:t>
      </w:r>
    </w:p>
    <w:p w:rsidRPr="0036608D" w:rsidR="00B06387" w:rsidP="00900557" w:rsidRDefault="00D775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900557" w:rsidR="00900557">
        <w:rPr>
          <w:rFonts w:ascii="Times New Roman" w:hAnsi="Times New Roman"/>
          <w:b/>
          <w:bCs/>
          <w:sz w:val="24"/>
          <w:szCs w:val="24"/>
        </w:rPr>
        <w:t>Par finanšu līdzekļu piešķiršan</w:t>
      </w:r>
      <w:r>
        <w:rPr>
          <w:rFonts w:ascii="Times New Roman" w:hAnsi="Times New Roman"/>
          <w:b/>
          <w:bCs/>
          <w:sz w:val="24"/>
          <w:szCs w:val="24"/>
        </w:rPr>
        <w:t>u no valsts budžeta programmas „</w:t>
      </w:r>
      <w:r w:rsidRPr="00900557" w:rsidR="00900557">
        <w:rPr>
          <w:rFonts w:ascii="Times New Roman" w:hAnsi="Times New Roman"/>
          <w:b/>
          <w:bCs/>
          <w:sz w:val="24"/>
          <w:szCs w:val="24"/>
        </w:rPr>
        <w:t>Līdzekļi neparedzētiem gadījumiem””</w:t>
      </w:r>
      <w:r w:rsidRPr="0036608D" w:rsidR="00B06387">
        <w:rPr>
          <w:rFonts w:ascii="Times New Roman" w:hAnsi="Times New Roman"/>
          <w:b/>
          <w:bCs/>
          <w:sz w:val="24"/>
          <w:szCs w:val="24"/>
        </w:rPr>
        <w:t>” sākotnējās ietekmes novērtējuma</w:t>
      </w:r>
    </w:p>
    <w:p w:rsidR="00B06387" w:rsidP="00B06387" w:rsidRDefault="00B0638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6608D">
        <w:rPr>
          <w:rFonts w:ascii="Times New Roman" w:hAnsi="Times New Roman"/>
          <w:b/>
          <w:bCs/>
          <w:sz w:val="24"/>
          <w:szCs w:val="24"/>
        </w:rPr>
        <w:t>ziņojums (anotācija)</w:t>
      </w:r>
    </w:p>
    <w:p w:rsidRPr="00B06387" w:rsidR="00B06387" w:rsidP="00B06387" w:rsidRDefault="00B0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3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6"/>
        <w:gridCol w:w="5812"/>
      </w:tblGrid>
      <w:tr w:rsidRPr="00B06387" w:rsidR="00B06387" w:rsidTr="00B06387">
        <w:tc>
          <w:tcPr>
            <w:tcW w:w="9348" w:type="dxa"/>
            <w:gridSpan w:val="2"/>
            <w:tcBorders>
              <w:top w:val="outset" w:color="414142" w:sz="6" w:space="0"/>
              <w:left w:val="single" w:color="auto" w:sz="4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06387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00B06387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Pr="00B06387" w:rsidR="00B06387" w:rsidTr="00B06387">
        <w:trPr>
          <w:trHeight w:val="1121"/>
        </w:trPr>
        <w:tc>
          <w:tcPr>
            <w:tcW w:w="3536" w:type="dxa"/>
            <w:tcBorders>
              <w:top w:val="outset" w:color="414142" w:sz="6" w:space="0"/>
              <w:left w:val="single" w:color="auto" w:sz="8" w:space="0"/>
              <w:bottom w:val="outset" w:color="414142" w:sz="6" w:space="0"/>
              <w:right w:val="single" w:color="auto" w:sz="4" w:space="0"/>
            </w:tcBorders>
            <w:hideMark/>
          </w:tcPr>
          <w:p w:rsidRPr="00B06387" w:rsidR="00B06387" w:rsidP="00B06387" w:rsidRDefault="00B0638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B06387">
              <w:rPr>
                <w:rFonts w:ascii="Times New Roman" w:hAnsi="Times New Roman" w:eastAsia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06387" w:rsidR="00B06387" w:rsidP="00D7750E" w:rsidRDefault="00B06387">
            <w:pPr>
              <w:spacing w:after="0" w:line="240" w:lineRule="auto"/>
              <w:jc w:val="both"/>
              <w:rPr>
                <w:rFonts w:ascii="Times New Roman" w:hAnsi="Times New Roman" w:eastAsiaTheme="minorHAnsi"/>
                <w:sz w:val="24"/>
                <w:szCs w:val="24"/>
              </w:rPr>
            </w:pPr>
            <w:r w:rsidRPr="00B06387">
              <w:rPr>
                <w:rFonts w:ascii="Times New Roman" w:hAnsi="Times New Roman" w:eastAsia="Times New Roman"/>
                <w:sz w:val="24"/>
                <w:szCs w:val="24"/>
              </w:rPr>
              <w:t>Ministru kabineta rīkojuma projekts „</w:t>
            </w:r>
            <w:r w:rsidRPr="00D7750E" w:rsidR="00D7750E">
              <w:rPr>
                <w:rFonts w:ascii="Times New Roman" w:hAnsi="Times New Roman" w:eastAsia="Times New Roman"/>
                <w:sz w:val="24"/>
                <w:szCs w:val="24"/>
              </w:rPr>
              <w:t>Grozījumi Ministru kabineta 2020.gada 10.marta rīkojumā Nr.100 „Par finanšu līdzekļu piešķiršanu no valsts budžeta programmas „Līdzekļi neparedzētiem gadījumiem””</w:t>
            </w:r>
            <w:r w:rsidRPr="00B06387">
              <w:rPr>
                <w:rFonts w:ascii="Times New Roman" w:hAnsi="Times New Roman" w:eastAsia="Times New Roman"/>
                <w:sz w:val="24"/>
                <w:szCs w:val="24"/>
              </w:rPr>
              <w:t>” (turpmāk – Projekts) šo jomu neskar.</w:t>
            </w:r>
          </w:p>
        </w:tc>
      </w:tr>
    </w:tbl>
    <w:p w:rsidRPr="00B06387" w:rsidR="00B06387" w:rsidP="00B06387" w:rsidRDefault="00B0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33"/>
        <w:gridCol w:w="3023"/>
        <w:gridCol w:w="5792"/>
      </w:tblGrid>
      <w:tr w:rsidRPr="000B761F" w:rsidR="00B06387" w:rsidTr="7EA5408B">
        <w:tc>
          <w:tcPr>
            <w:tcW w:w="9348" w:type="dxa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auto" w:sz="8" w:space="0"/>
            </w:tcBorders>
            <w:vAlign w:val="center"/>
          </w:tcPr>
          <w:p w:rsidRPr="006A5854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854">
              <w:rPr>
                <w:rFonts w:ascii="Times New Roman" w:hAnsi="Times New Roman"/>
                <w:sz w:val="18"/>
                <w:szCs w:val="18"/>
              </w:rPr>
              <w:t> </w:t>
            </w:r>
            <w:r w:rsidRPr="006A5854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Pr="000B761F" w:rsidR="00B06387" w:rsidTr="7EA5408B">
        <w:tc>
          <w:tcPr>
            <w:tcW w:w="53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A5854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46A8A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8A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579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auto" w:sz="8" w:space="0"/>
            </w:tcBorders>
          </w:tcPr>
          <w:p w:rsidRPr="006A5854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</w:t>
            </w:r>
            <w:r w:rsidRPr="006750AA">
              <w:rPr>
                <w:rFonts w:ascii="Times New Roman" w:hAnsi="Times New Roman"/>
                <w:sz w:val="24"/>
                <w:szCs w:val="24"/>
              </w:rPr>
              <w:t xml:space="preserve"> sagatavots sas</w:t>
            </w:r>
            <w:r>
              <w:rPr>
                <w:rFonts w:ascii="Times New Roman" w:hAnsi="Times New Roman"/>
                <w:sz w:val="24"/>
                <w:szCs w:val="24"/>
              </w:rPr>
              <w:t>kaņā ar Ministru kabineta 2018.</w:t>
            </w:r>
            <w:r w:rsidRPr="006750AA">
              <w:rPr>
                <w:rFonts w:ascii="Times New Roman" w:hAnsi="Times New Roman"/>
                <w:sz w:val="24"/>
                <w:szCs w:val="24"/>
              </w:rPr>
              <w:t>gada 17.jūlija noteikumu Nr.421 „Kārtība, kādā veic gadskārtējā valsts budžeta likumā noteiktās apropriācijas izmaiņas” 43.punktu</w:t>
            </w:r>
            <w:r w:rsidR="00D77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750E" w:rsidR="00D7750E">
              <w:rPr>
                <w:rFonts w:ascii="Times New Roman" w:hAnsi="Times New Roman"/>
                <w:sz w:val="24"/>
                <w:szCs w:val="24"/>
              </w:rPr>
              <w:t>ņemot vērā Ministru kabineta 2020.gada 12.marta rīkojumu Nr.103 „Par ārkārtējās situācijas izsludināšanu”</w:t>
            </w:r>
            <w:r w:rsidRPr="00675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0B761F" w:rsidR="00B06387" w:rsidTr="7EA5408B">
        <w:tc>
          <w:tcPr>
            <w:tcW w:w="53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46A8A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A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8A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B46A8A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auto" w:sz="8" w:space="0"/>
            </w:tcBorders>
          </w:tcPr>
          <w:p w:rsidR="00A93A44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EA5408B">
              <w:rPr>
                <w:rFonts w:ascii="Times New Roman" w:hAnsi="Times New Roman"/>
                <w:sz w:val="24"/>
                <w:szCs w:val="24"/>
              </w:rPr>
              <w:t xml:space="preserve">Projekts sagatavots ar mērķi nodrošināt </w:t>
            </w:r>
            <w:r w:rsidRPr="7EA5408B" w:rsidR="00044B01">
              <w:rPr>
                <w:rFonts w:ascii="Times New Roman" w:hAnsi="Times New Roman"/>
                <w:sz w:val="24"/>
                <w:szCs w:val="24"/>
              </w:rPr>
              <w:t xml:space="preserve">iespējami plašu Latvijas iedzīvotāju informatīvo apziņošanu, </w:t>
            </w:r>
            <w:r w:rsidR="007E5795">
              <w:rPr>
                <w:rFonts w:ascii="Times New Roman" w:hAnsi="Times New Roman"/>
                <w:sz w:val="24"/>
                <w:szCs w:val="24"/>
              </w:rPr>
              <w:t xml:space="preserve">sadarbībā ar Slimību profilakses un kontroles centru </w:t>
            </w:r>
            <w:r w:rsidRPr="7EA5408B" w:rsidR="00044B01">
              <w:rPr>
                <w:rFonts w:ascii="Times New Roman" w:hAnsi="Times New Roman"/>
                <w:sz w:val="24"/>
                <w:szCs w:val="24"/>
              </w:rPr>
              <w:t xml:space="preserve">nodrošinot efektīvu sabiedrības informēšanu par aktualitātēm saistībā ar COVID-19 vīrusu, </w:t>
            </w:r>
            <w:r w:rsidRPr="7EA5408B" w:rsidR="00A93A44">
              <w:rPr>
                <w:rFonts w:ascii="Times New Roman" w:hAnsi="Times New Roman"/>
                <w:sz w:val="24"/>
                <w:szCs w:val="24"/>
              </w:rPr>
              <w:t>nodrošinot Ministru kabineta 2020.gada 12.marta rīko</w:t>
            </w:r>
            <w:r w:rsidR="000F0000">
              <w:rPr>
                <w:rFonts w:ascii="Times New Roman" w:hAnsi="Times New Roman"/>
                <w:sz w:val="24"/>
                <w:szCs w:val="24"/>
              </w:rPr>
              <w:t>juma Nr.103 „</w:t>
            </w:r>
            <w:r w:rsidRPr="7EA5408B" w:rsidR="00A93A44">
              <w:rPr>
                <w:rFonts w:ascii="Times New Roman" w:hAnsi="Times New Roman"/>
                <w:sz w:val="24"/>
                <w:szCs w:val="24"/>
              </w:rPr>
              <w:t>Par ārkārtējās situācijas izsludināšanu” ievērošanu un izpildi.</w:t>
            </w:r>
          </w:p>
          <w:p w:rsidR="00A93A44" w:rsidP="00B06387" w:rsidRDefault="00A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CC5077" w:rsidR="00B06387" w:rsidP="00D7750E" w:rsidRDefault="00044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7EA5408B">
              <w:rPr>
                <w:rFonts w:ascii="Times New Roman" w:hAnsi="Times New Roman"/>
                <w:sz w:val="24"/>
                <w:szCs w:val="24"/>
              </w:rPr>
              <w:t xml:space="preserve">Lai nodrošinātu efektīvu rīcību pēc iespējas īsākā laika periodā </w:t>
            </w:r>
            <w:r w:rsidRPr="7EA5408B" w:rsidR="60CE6D6B">
              <w:rPr>
                <w:rFonts w:ascii="Times New Roman" w:hAnsi="Times New Roman"/>
                <w:sz w:val="24"/>
                <w:szCs w:val="24"/>
              </w:rPr>
              <w:t xml:space="preserve">ārkārtējās situācijas laikā, </w:t>
            </w:r>
            <w:r w:rsidRPr="7EA5408B">
              <w:rPr>
                <w:rFonts w:ascii="Times New Roman" w:hAnsi="Times New Roman"/>
                <w:sz w:val="24"/>
                <w:szCs w:val="24"/>
              </w:rPr>
              <w:t>Nacionālā elektronisko plašsaziņas līdzekļu padome ierosina veikt grozījumus Ministru kabineta 2020</w:t>
            </w:r>
            <w:r w:rsidR="00D7750E">
              <w:rPr>
                <w:rFonts w:ascii="Times New Roman" w:hAnsi="Times New Roman"/>
                <w:sz w:val="24"/>
                <w:szCs w:val="24"/>
              </w:rPr>
              <w:t>.gada 10.marta rīkojumā Nr.100 „</w:t>
            </w:r>
            <w:r w:rsidRPr="7EA5408B">
              <w:rPr>
                <w:rFonts w:ascii="Times New Roman" w:hAnsi="Times New Roman"/>
                <w:sz w:val="24"/>
                <w:szCs w:val="24"/>
              </w:rPr>
              <w:t>Par finanšu līdzekļu piešķiršan</w:t>
            </w:r>
            <w:r w:rsidR="000F0000">
              <w:rPr>
                <w:rFonts w:ascii="Times New Roman" w:hAnsi="Times New Roman"/>
                <w:sz w:val="24"/>
                <w:szCs w:val="24"/>
              </w:rPr>
              <w:t>u no valsts budžeta programmas „</w:t>
            </w:r>
            <w:r w:rsidRPr="7EA5408B">
              <w:rPr>
                <w:rFonts w:ascii="Times New Roman" w:hAnsi="Times New Roman"/>
                <w:sz w:val="24"/>
                <w:szCs w:val="24"/>
              </w:rPr>
              <w:t>Līdzekļi neparedzētiem gadījumiem””, ņemot vērā</w:t>
            </w:r>
            <w:r w:rsidRPr="7EA5408B" w:rsidR="00C82B4D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Pr="7EA5408B">
              <w:rPr>
                <w:rFonts w:ascii="Times New Roman" w:hAnsi="Times New Roman"/>
                <w:sz w:val="24"/>
                <w:szCs w:val="24"/>
              </w:rPr>
              <w:t>Rīgas domes ārkārtas vēlēšan</w:t>
            </w:r>
            <w:r w:rsidRPr="7EA5408B" w:rsidR="4B4FE42D">
              <w:rPr>
                <w:rFonts w:ascii="Times New Roman" w:hAnsi="Times New Roman"/>
                <w:sz w:val="24"/>
                <w:szCs w:val="24"/>
              </w:rPr>
              <w:t>as ir pārceltas uz 2020.gada 6.jūniju</w:t>
            </w:r>
            <w:r w:rsidRPr="7EA5408B" w:rsidR="0940B7B4">
              <w:rPr>
                <w:rFonts w:ascii="Times New Roman" w:hAnsi="Times New Roman"/>
                <w:sz w:val="24"/>
                <w:szCs w:val="24"/>
              </w:rPr>
              <w:t>, bet ārkārtējās situācijas laikā ir jārīkojas nekavējoties</w:t>
            </w:r>
            <w:r w:rsidRPr="7EA5408B" w:rsidR="24242721">
              <w:rPr>
                <w:rFonts w:ascii="Times New Roman" w:hAnsi="Times New Roman"/>
                <w:sz w:val="24"/>
                <w:szCs w:val="24"/>
              </w:rPr>
              <w:t>.</w:t>
            </w:r>
            <w:r w:rsidR="00CE1299">
              <w:rPr>
                <w:rFonts w:ascii="Times New Roman" w:hAnsi="Times New Roman"/>
                <w:sz w:val="24"/>
                <w:szCs w:val="24"/>
              </w:rPr>
              <w:t xml:space="preserve"> Līdzekļus Rīgas domes ārkārtas vēlēšanu atspoguļošanai būs nepieciešams piešķirt atkārtoti.</w:t>
            </w:r>
            <w:bookmarkStart w:name="_GoBack" w:id="0"/>
            <w:bookmarkEnd w:id="0"/>
          </w:p>
        </w:tc>
      </w:tr>
      <w:tr w:rsidRPr="000B761F" w:rsidR="00B06387" w:rsidTr="7EA5408B">
        <w:tc>
          <w:tcPr>
            <w:tcW w:w="53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46A8A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A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46A8A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8A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579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A5854" w:rsidR="00B06387" w:rsidP="00C82B4D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54">
              <w:rPr>
                <w:rFonts w:ascii="Times New Roman" w:hAnsi="Times New Roman"/>
                <w:sz w:val="24"/>
                <w:szCs w:val="24"/>
              </w:rPr>
              <w:t>Nacionālā elektronisko plašsaziņas līdzekļu padome,</w:t>
            </w:r>
            <w:proofErr w:type="gramStart"/>
            <w:r w:rsidRPr="006A58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Kultūras</w:t>
            </w:r>
            <w:r w:rsidRPr="006A5854">
              <w:rPr>
                <w:rFonts w:ascii="Times New Roman" w:hAnsi="Times New Roman"/>
                <w:sz w:val="24"/>
                <w:szCs w:val="24"/>
              </w:rPr>
              <w:t xml:space="preserve"> ministrija, </w:t>
            </w:r>
            <w:r w:rsidR="00D7750E">
              <w:rPr>
                <w:rFonts w:ascii="Times New Roman" w:hAnsi="Times New Roman"/>
                <w:sz w:val="24"/>
                <w:szCs w:val="24"/>
              </w:rPr>
              <w:t>VSIA „</w:t>
            </w:r>
            <w:r w:rsidRPr="00C82B4D" w:rsidR="00C82B4D">
              <w:rPr>
                <w:rFonts w:ascii="Times New Roman" w:hAnsi="Times New Roman"/>
                <w:sz w:val="24"/>
                <w:szCs w:val="24"/>
              </w:rPr>
              <w:t xml:space="preserve">Latvijas Radio” </w:t>
            </w:r>
            <w:r w:rsidR="00C82B4D">
              <w:rPr>
                <w:rFonts w:ascii="Times New Roman" w:hAnsi="Times New Roman"/>
                <w:sz w:val="24"/>
                <w:szCs w:val="24"/>
              </w:rPr>
              <w:t>un</w:t>
            </w:r>
            <w:r w:rsidR="00D7750E">
              <w:rPr>
                <w:rFonts w:ascii="Times New Roman" w:hAnsi="Times New Roman"/>
                <w:sz w:val="24"/>
                <w:szCs w:val="24"/>
              </w:rPr>
              <w:t xml:space="preserve"> VSIA „</w:t>
            </w:r>
            <w:r w:rsidRPr="00C82B4D" w:rsidR="00C82B4D">
              <w:rPr>
                <w:rFonts w:ascii="Times New Roman" w:hAnsi="Times New Roman"/>
                <w:sz w:val="24"/>
                <w:szCs w:val="24"/>
              </w:rPr>
              <w:t>Latvijas Televīzija”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0B761F" w:rsidR="00B06387" w:rsidTr="7EA5408B">
        <w:tc>
          <w:tcPr>
            <w:tcW w:w="53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46A8A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A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46A8A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8A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79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A5854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5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B06387" w:rsidP="00B06387" w:rsidRDefault="00B0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06387" w:rsidR="00D7750E" w:rsidP="00B06387" w:rsidRDefault="00D77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48"/>
      </w:tblGrid>
      <w:tr w:rsidRPr="000B761F" w:rsidR="00B06387" w:rsidTr="00B06387"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6A5854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8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Pr="000B761F" w:rsidR="00B06387" w:rsidTr="00B06387">
        <w:trPr>
          <w:trHeight w:val="250"/>
        </w:trPr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6A5854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A8A">
              <w:rPr>
                <w:rFonts w:ascii="Times New Roman" w:hAnsi="Times New Roman" w:eastAsia="Times New Roman"/>
                <w:sz w:val="24"/>
                <w:szCs w:val="24"/>
              </w:rPr>
              <w:t>Projekts šo jomu neskar.</w:t>
            </w:r>
          </w:p>
        </w:tc>
      </w:tr>
    </w:tbl>
    <w:p w:rsidRPr="00B06387" w:rsidR="00B06387" w:rsidP="00B06387" w:rsidRDefault="00B0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81"/>
        <w:gridCol w:w="1146"/>
        <w:gridCol w:w="993"/>
        <w:gridCol w:w="1266"/>
        <w:gridCol w:w="1002"/>
        <w:gridCol w:w="901"/>
        <w:gridCol w:w="941"/>
        <w:gridCol w:w="1418"/>
      </w:tblGrid>
      <w:tr w:rsidRPr="001768EC" w:rsidR="00B06387" w:rsidTr="7EA5408B">
        <w:tc>
          <w:tcPr>
            <w:tcW w:w="9348" w:type="dxa"/>
            <w:gridSpan w:val="8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8EC">
              <w:rPr>
                <w:rFonts w:ascii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Pr="001768EC" w:rsidR="00B06387" w:rsidTr="00D7750E">
        <w:tc>
          <w:tcPr>
            <w:tcW w:w="1681" w:type="dxa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Rādītāji</w:t>
            </w:r>
          </w:p>
        </w:tc>
        <w:tc>
          <w:tcPr>
            <w:tcW w:w="2139" w:type="dxa"/>
            <w:gridSpan w:val="2"/>
            <w:vMerge w:val="restart"/>
            <w:tcBorders>
              <w:top w:val="outset" w:color="414142" w:sz="6" w:space="0"/>
              <w:left w:val="single" w:color="auto" w:sz="4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2020.gads</w:t>
            </w:r>
          </w:p>
        </w:tc>
        <w:tc>
          <w:tcPr>
            <w:tcW w:w="5528" w:type="dxa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Turpmākie trīs gadi (</w:t>
            </w:r>
            <w:r w:rsidRPr="001768EC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1768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Pr="001768EC" w:rsidR="00B06387" w:rsidTr="00D7750E">
        <w:tc>
          <w:tcPr>
            <w:tcW w:w="1681" w:type="dxa"/>
            <w:vMerge/>
            <w:tcBorders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Merge/>
            <w:tcBorders>
              <w:top w:val="outset" w:color="414142" w:sz="6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2021.gads</w:t>
            </w:r>
          </w:p>
        </w:tc>
        <w:tc>
          <w:tcPr>
            <w:tcW w:w="1842" w:type="dxa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2022.gads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2023.gads</w:t>
            </w:r>
          </w:p>
        </w:tc>
      </w:tr>
      <w:tr w:rsidRPr="001768EC" w:rsidR="00B06387" w:rsidTr="00D7750E">
        <w:tc>
          <w:tcPr>
            <w:tcW w:w="1681" w:type="dxa"/>
            <w:vMerge/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993" w:type="dxa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izmaiņas, salīdzinot ar vidēja termiņa budžeta ietvaru 2021. gadam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izmaiņas, salīdzinot ar vidēja termiņa budžeta ietvaru 2022. gadam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B06387" w:rsidP="00B06387" w:rsidRDefault="00B0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 xml:space="preserve">izmaiņas, salīdzinot ar vidēja termiņa budžeta ietvaru </w:t>
            </w:r>
          </w:p>
          <w:p w:rsidR="00B06387" w:rsidP="00B06387" w:rsidRDefault="00B0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 xml:space="preserve">2022. </w:t>
            </w:r>
          </w:p>
          <w:p w:rsidRPr="001768EC" w:rsidR="00B06387" w:rsidP="00B06387" w:rsidRDefault="00B0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gadam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1. Budžeta ieņēmumi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1.3. pašvaldību 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2. Budžeta izdevumi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DD7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2.1. valsts pamatbudžets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DD7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2.3. pašvaldību 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 xml:space="preserve">3. Finansiālā </w:t>
            </w:r>
            <w:r w:rsidRPr="001768EC">
              <w:rPr>
                <w:rFonts w:ascii="Times New Roman" w:hAnsi="Times New Roman"/>
                <w:sz w:val="24"/>
                <w:szCs w:val="24"/>
              </w:rPr>
              <w:lastRenderedPageBreak/>
              <w:t>ietekme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lastRenderedPageBreak/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DD7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lastRenderedPageBreak/>
              <w:t>3.1. valsts pamatbudžets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DD7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3.2. speciālais 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3.3. pašvaldību budžets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146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993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DD7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002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941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5.1. valsts pamatbudžets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5.2. speciālais budžets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7EA5408B"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5.3. pašvaldību budžets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Pr="001768EC" w:rsidR="00B06387" w:rsidTr="00973B20">
        <w:tc>
          <w:tcPr>
            <w:tcW w:w="1681" w:type="dxa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667" w:type="dxa"/>
            <w:gridSpan w:val="7"/>
            <w:vMerge w:val="restart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827C6" w:rsidR="00D827C6" w:rsidP="00973B20" w:rsidRDefault="00973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VSIA „</w:t>
            </w:r>
            <w:r w:rsidRPr="7EA5408B" w:rsidR="1B41696F">
              <w:rPr>
                <w:rFonts w:ascii="Times New Roman" w:hAnsi="Times New Roman"/>
                <w:sz w:val="24"/>
                <w:szCs w:val="24"/>
              </w:rPr>
              <w:t xml:space="preserve">Latvijas Radio” 25 674 </w:t>
            </w:r>
            <w:r w:rsidRPr="7EA5408B" w:rsidR="1B41696F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apmērā, VSIA „</w:t>
            </w:r>
            <w:r w:rsidRPr="7EA5408B" w:rsidR="1B41696F">
              <w:rPr>
                <w:rFonts w:ascii="Times New Roman" w:hAnsi="Times New Roman"/>
                <w:sz w:val="24"/>
                <w:szCs w:val="24"/>
              </w:rPr>
              <w:t>Latvijas Televīzija”</w:t>
            </w:r>
            <w:proofErr w:type="gramStart"/>
            <w:r w:rsidRPr="7EA5408B" w:rsidR="1B41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7EA5408B" w:rsidR="1B41696F">
              <w:rPr>
                <w:rFonts w:ascii="Times New Roman" w:hAnsi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7EA5408B" w:rsidR="1B41696F">
              <w:rPr>
                <w:rFonts w:ascii="Times New Roman" w:hAnsi="Times New Roman"/>
                <w:sz w:val="24"/>
                <w:szCs w:val="24"/>
              </w:rPr>
              <w:t xml:space="preserve">587 </w:t>
            </w:r>
            <w:r w:rsidRPr="7EA5408B" w:rsidR="1B41696F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7EA5408B" w:rsidR="1B41696F">
              <w:rPr>
                <w:rFonts w:ascii="Times New Roman" w:hAnsi="Times New Roman"/>
                <w:sz w:val="24"/>
                <w:szCs w:val="24"/>
              </w:rPr>
              <w:t xml:space="preserve"> apmērā un komerciālie elektroniskie plašsaziņas līdzekļi 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7EA5408B" w:rsidR="1B41696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7EA5408B" w:rsidR="1B4169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euro </w:t>
            </w:r>
            <w:r w:rsidRPr="7EA5408B" w:rsidR="1B41696F">
              <w:rPr>
                <w:rFonts w:ascii="Times New Roman" w:hAnsi="Times New Roman"/>
                <w:sz w:val="24"/>
                <w:szCs w:val="24"/>
              </w:rPr>
              <w:t xml:space="preserve">apmērā nodrošinās audiovizuālu un </w:t>
            </w:r>
            <w:proofErr w:type="spellStart"/>
            <w:r w:rsidRPr="7EA5408B" w:rsidR="1B41696F">
              <w:rPr>
                <w:rFonts w:ascii="Times New Roman" w:hAnsi="Times New Roman"/>
                <w:sz w:val="24"/>
                <w:szCs w:val="24"/>
              </w:rPr>
              <w:t>audiālu</w:t>
            </w:r>
            <w:proofErr w:type="spellEnd"/>
            <w:r w:rsidRPr="7EA5408B" w:rsidR="1B41696F">
              <w:rPr>
                <w:rFonts w:ascii="Times New Roman" w:hAnsi="Times New Roman"/>
                <w:sz w:val="24"/>
                <w:szCs w:val="24"/>
              </w:rPr>
              <w:t xml:space="preserve"> informatīvu materiālu sagatavošanu un izplatīšanu</w:t>
            </w:r>
            <w:r w:rsidRPr="7EA5408B" w:rsidR="2754748B">
              <w:rPr>
                <w:rFonts w:ascii="Times New Roman" w:hAnsi="Times New Roman"/>
                <w:sz w:val="24"/>
                <w:szCs w:val="24"/>
              </w:rPr>
              <w:t>,</w:t>
            </w:r>
            <w:r w:rsidRPr="7EA5408B" w:rsidR="1B416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EA5408B" w:rsidR="2E4F9B95">
              <w:rPr>
                <w:rFonts w:ascii="Times New Roman" w:hAnsi="Times New Roman"/>
                <w:sz w:val="24"/>
                <w:szCs w:val="24"/>
              </w:rPr>
              <w:t>nodrošin</w:t>
            </w:r>
            <w:r w:rsidRPr="7EA5408B" w:rsidR="2754748B">
              <w:rPr>
                <w:rFonts w:ascii="Times New Roman" w:hAnsi="Times New Roman"/>
                <w:sz w:val="24"/>
                <w:szCs w:val="24"/>
              </w:rPr>
              <w:t>o</w:t>
            </w:r>
            <w:r w:rsidRPr="7EA5408B" w:rsidR="2E4F9B95">
              <w:rPr>
                <w:rFonts w:ascii="Times New Roman" w:hAnsi="Times New Roman"/>
                <w:sz w:val="24"/>
                <w:szCs w:val="24"/>
              </w:rPr>
              <w:t>t iespējami plašu Latvijas iedzīvotāju informatīvo apziņošanu,</w:t>
            </w:r>
            <w:r w:rsidR="007E5795">
              <w:rPr>
                <w:rFonts w:ascii="Times New Roman" w:hAnsi="Times New Roman"/>
                <w:sz w:val="24"/>
                <w:szCs w:val="24"/>
              </w:rPr>
              <w:t xml:space="preserve"> sadarbībā ar Slimību profilakses un kontroles centru</w:t>
            </w:r>
            <w:r w:rsidRPr="7EA5408B" w:rsidR="2E4F9B95">
              <w:rPr>
                <w:rFonts w:ascii="Times New Roman" w:hAnsi="Times New Roman"/>
                <w:sz w:val="24"/>
                <w:szCs w:val="24"/>
              </w:rPr>
              <w:t xml:space="preserve"> nodrošinot efektīvu sabiedrības informēšanu par aktualitātēm saistībā ar COVID-19 vīrusu.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667" w:type="dxa"/>
            <w:gridSpan w:val="7"/>
            <w:vMerge/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667" w:type="dxa"/>
            <w:gridSpan w:val="7"/>
            <w:vMerge/>
            <w:vAlign w:val="center"/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t xml:space="preserve">7. Amata vietu </w:t>
            </w:r>
            <w:r w:rsidRPr="001768EC">
              <w:rPr>
                <w:rFonts w:ascii="Times New Roman" w:hAnsi="Times New Roman"/>
                <w:sz w:val="24"/>
                <w:szCs w:val="24"/>
              </w:rPr>
              <w:lastRenderedPageBreak/>
              <w:t>skaita izmaiņas</w:t>
            </w:r>
          </w:p>
        </w:tc>
        <w:tc>
          <w:tcPr>
            <w:tcW w:w="7667" w:type="dxa"/>
            <w:gridSpan w:val="7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Pr="001768EC" w:rsidR="00B06387" w:rsidTr="7EA5408B">
        <w:tc>
          <w:tcPr>
            <w:tcW w:w="1681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B06387" w:rsidRDefault="00B0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sz w:val="24"/>
                <w:szCs w:val="24"/>
              </w:rPr>
              <w:lastRenderedPageBreak/>
              <w:t>8. Cita informācija</w:t>
            </w:r>
          </w:p>
        </w:tc>
        <w:tc>
          <w:tcPr>
            <w:tcW w:w="7667" w:type="dxa"/>
            <w:gridSpan w:val="7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1768EC" w:rsidR="00B06387" w:rsidP="00ED35C2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EC">
              <w:rPr>
                <w:rFonts w:ascii="Times New Roman" w:hAnsi="Times New Roman"/>
                <w:color w:val="000000"/>
                <w:sz w:val="24"/>
                <w:szCs w:val="24"/>
              </w:rPr>
              <w:t>Izdevumus sedz no valsts budžeta programmas 02.00.00 „Līdzekļi neparedzētiem gadījumiem”</w:t>
            </w:r>
            <w:r w:rsidR="00ED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kas ar </w:t>
            </w:r>
            <w:r w:rsidRPr="7EA5408B" w:rsidR="00ED35C2">
              <w:rPr>
                <w:rFonts w:ascii="Times New Roman" w:hAnsi="Times New Roman"/>
                <w:sz w:val="24"/>
                <w:szCs w:val="24"/>
              </w:rPr>
              <w:t>Ministru kabineta 2020.gada 10.marta rīkojum</w:t>
            </w:r>
            <w:r w:rsidR="00ED35C2">
              <w:rPr>
                <w:rFonts w:ascii="Times New Roman" w:hAnsi="Times New Roman"/>
                <w:sz w:val="24"/>
                <w:szCs w:val="24"/>
              </w:rPr>
              <w:t>u</w:t>
            </w:r>
            <w:r w:rsidR="00973B20">
              <w:rPr>
                <w:rFonts w:ascii="Times New Roman" w:hAnsi="Times New Roman"/>
                <w:sz w:val="24"/>
                <w:szCs w:val="24"/>
              </w:rPr>
              <w:t xml:space="preserve"> Nr.100 „</w:t>
            </w:r>
            <w:r w:rsidRPr="7EA5408B" w:rsidR="00ED35C2">
              <w:rPr>
                <w:rFonts w:ascii="Times New Roman" w:hAnsi="Times New Roman"/>
                <w:sz w:val="24"/>
                <w:szCs w:val="24"/>
              </w:rPr>
              <w:t>Par finanšu līdzekļu piešķiršan</w:t>
            </w:r>
            <w:r w:rsidR="00973B20">
              <w:rPr>
                <w:rFonts w:ascii="Times New Roman" w:hAnsi="Times New Roman"/>
                <w:sz w:val="24"/>
                <w:szCs w:val="24"/>
              </w:rPr>
              <w:t>u no valsts budžeta programmas „</w:t>
            </w:r>
            <w:r w:rsidRPr="7EA5408B" w:rsidR="00ED35C2">
              <w:rPr>
                <w:rFonts w:ascii="Times New Roman" w:hAnsi="Times New Roman"/>
                <w:sz w:val="24"/>
                <w:szCs w:val="24"/>
              </w:rPr>
              <w:t>Līdzekļi neparedzētiem gadījumiem””</w:t>
            </w:r>
            <w:r w:rsidR="00ED35C2">
              <w:rPr>
                <w:rFonts w:ascii="Times New Roman" w:hAnsi="Times New Roman"/>
                <w:sz w:val="24"/>
                <w:szCs w:val="24"/>
              </w:rPr>
              <w:t xml:space="preserve"> tika piešķi</w:t>
            </w:r>
            <w:r w:rsidR="00973B20">
              <w:rPr>
                <w:rFonts w:ascii="Times New Roman" w:hAnsi="Times New Roman"/>
                <w:sz w:val="24"/>
                <w:szCs w:val="24"/>
              </w:rPr>
              <w:t>r</w:t>
            </w:r>
            <w:r w:rsidR="00ED35C2">
              <w:rPr>
                <w:rFonts w:ascii="Times New Roman" w:hAnsi="Times New Roman"/>
                <w:sz w:val="24"/>
                <w:szCs w:val="24"/>
              </w:rPr>
              <w:t>ti Rīgas domes ārkārtas vēlēšanu atspoguļošanai</w:t>
            </w:r>
            <w:r w:rsidR="00ED35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Pr="00B06387" w:rsidR="00B06387" w:rsidP="00B06387" w:rsidRDefault="00B0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48"/>
      </w:tblGrid>
      <w:tr w:rsidRPr="000B761F" w:rsidR="00B06387" w:rsidTr="00B06387"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6A5854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854"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Pr="000B761F" w:rsidR="00B06387" w:rsidTr="00B06387">
        <w:trPr>
          <w:trHeight w:val="307"/>
        </w:trPr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6A5854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721">
              <w:rPr>
                <w:rFonts w:ascii="Times New Roman" w:hAnsi="Times New Roman" w:eastAsia="Times New Roman"/>
                <w:sz w:val="24"/>
                <w:szCs w:val="24"/>
              </w:rPr>
              <w:t>Projekts šo jomu neskar.</w:t>
            </w:r>
          </w:p>
        </w:tc>
      </w:tr>
    </w:tbl>
    <w:p w:rsidRPr="00B06387" w:rsidR="004B52FE" w:rsidP="00EB1C52" w:rsidRDefault="004B5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48"/>
      </w:tblGrid>
      <w:tr w:rsidRPr="000B761F" w:rsidR="00B06387" w:rsidTr="00B06387"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834721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2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Pr="000B761F" w:rsidR="00B06387" w:rsidTr="00B06387"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834721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4B52FE" w:rsidP="00FB13EE" w:rsidRDefault="004B52F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934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48"/>
      </w:tblGrid>
      <w:tr w:rsidRPr="000B761F" w:rsidR="00B06387" w:rsidTr="00B06387"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834721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21">
              <w:rPr>
                <w:rFonts w:ascii="Times New Roman" w:hAnsi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Pr="000B761F" w:rsidR="00B06387" w:rsidTr="00B06387">
        <w:tc>
          <w:tcPr>
            <w:tcW w:w="9348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834721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21">
              <w:rPr>
                <w:rFonts w:ascii="Times New Roman" w:hAnsi="Times New Roman" w:eastAsia="Times New Roman"/>
                <w:sz w:val="24"/>
                <w:szCs w:val="24"/>
              </w:rPr>
              <w:t>Projekts šo jomu neskar.</w:t>
            </w:r>
          </w:p>
        </w:tc>
      </w:tr>
    </w:tbl>
    <w:p w:rsidR="00B06387" w:rsidP="00FB13EE" w:rsidRDefault="00B0638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934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33"/>
        <w:gridCol w:w="3466"/>
        <w:gridCol w:w="5349"/>
      </w:tblGrid>
      <w:tr w:rsidRPr="000B761F" w:rsidR="00B06387" w:rsidTr="00B06387">
        <w:tc>
          <w:tcPr>
            <w:tcW w:w="9348" w:type="dxa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6A5854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854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Pr="000B761F" w:rsidR="00B06387" w:rsidTr="00B06387">
        <w:tc>
          <w:tcPr>
            <w:tcW w:w="53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5349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54">
              <w:rPr>
                <w:rFonts w:ascii="Times New Roman" w:hAnsi="Times New Roman"/>
                <w:sz w:val="24"/>
                <w:szCs w:val="24"/>
              </w:rPr>
              <w:t>Nacionālā elektronisko plašsaziņas līdzekļu padome</w:t>
            </w:r>
            <w:r w:rsidRPr="00834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Kultūras</w:t>
            </w:r>
            <w:r w:rsidRPr="00834721">
              <w:rPr>
                <w:rFonts w:ascii="Times New Roman" w:hAnsi="Times New Roman"/>
                <w:sz w:val="24"/>
                <w:szCs w:val="24"/>
              </w:rPr>
              <w:t xml:space="preserve"> ministrija,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B20">
              <w:rPr>
                <w:rFonts w:ascii="Times New Roman" w:hAnsi="Times New Roman"/>
                <w:sz w:val="24"/>
                <w:szCs w:val="24"/>
              </w:rPr>
              <w:t>VSIA „Latvijas Radio” un VSIA „</w:t>
            </w:r>
            <w:r w:rsidRPr="00C82B4D" w:rsidR="00C82B4D">
              <w:rPr>
                <w:rFonts w:ascii="Times New Roman" w:hAnsi="Times New Roman"/>
                <w:sz w:val="24"/>
                <w:szCs w:val="24"/>
              </w:rPr>
              <w:t>Latvijas Televīzija”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0B761F" w:rsidR="00B06387" w:rsidTr="00B06387">
        <w:tc>
          <w:tcPr>
            <w:tcW w:w="53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</w:t>
            </w:r>
            <w:r w:rsidRPr="00834721">
              <w:rPr>
                <w:rFonts w:ascii="Times New Roman" w:hAnsi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349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1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Pr="000B761F" w:rsidR="00B06387" w:rsidTr="00B06387">
        <w:tc>
          <w:tcPr>
            <w:tcW w:w="533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349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34721" w:rsidR="00B06387" w:rsidP="00B06387" w:rsidRDefault="00B0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2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B06387" w:rsidP="00FB13EE" w:rsidRDefault="00B0638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Pr="006A5854" w:rsidR="00B06387" w:rsidP="00FB13EE" w:rsidRDefault="00B0638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Pr="00E242AA" w:rsidR="00E242AA" w:rsidP="00FE3418" w:rsidRDefault="00CD1194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Kultūras</w:t>
      </w:r>
      <w:r w:rsidRPr="006A585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6A5854" w:rsidR="004B52FE">
        <w:rPr>
          <w:rFonts w:ascii="Times New Roman" w:hAnsi="Times New Roman"/>
          <w:sz w:val="24"/>
          <w:szCs w:val="24"/>
          <w:lang w:eastAsia="lv-LV"/>
        </w:rPr>
        <w:t>ministrs                                                           </w:t>
      </w:r>
      <w:r w:rsidRPr="006A5854" w:rsidR="004B52FE">
        <w:rPr>
          <w:rFonts w:ascii="Times New Roman" w:hAnsi="Times New Roman"/>
          <w:sz w:val="24"/>
          <w:szCs w:val="24"/>
          <w:lang w:eastAsia="lv-LV"/>
        </w:rPr>
        <w:tab/>
      </w:r>
      <w:r w:rsidRPr="006A5854" w:rsidR="004B52FE">
        <w:rPr>
          <w:rFonts w:ascii="Times New Roman" w:hAnsi="Times New Roman"/>
          <w:sz w:val="24"/>
          <w:szCs w:val="24"/>
          <w:lang w:eastAsia="lv-LV"/>
        </w:rPr>
        <w:tab/>
      </w:r>
      <w:r w:rsidRPr="00E242AA" w:rsidR="00E242AA">
        <w:rPr>
          <w:rFonts w:ascii="Times New Roman" w:hAnsi="Times New Roman"/>
          <w:sz w:val="24"/>
          <w:szCs w:val="24"/>
          <w:lang w:eastAsia="lv-LV"/>
        </w:rPr>
        <w:t>N.Puntulis</w:t>
      </w:r>
    </w:p>
    <w:p w:rsidRPr="00E242AA" w:rsidR="00E242AA" w:rsidP="00FE3418" w:rsidRDefault="00E242A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E242AA" w:rsidP="00FE3418" w:rsidRDefault="00E242A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lv-LV"/>
        </w:rPr>
      </w:pPr>
      <w:r w:rsidRPr="00E242AA">
        <w:rPr>
          <w:rFonts w:ascii="Times New Roman" w:hAnsi="Times New Roman"/>
          <w:sz w:val="24"/>
          <w:szCs w:val="24"/>
          <w:lang w:eastAsia="lv-LV"/>
        </w:rPr>
        <w:t>Vīza: Valsts sekretāre</w:t>
      </w:r>
      <w:r w:rsidRPr="00E242AA">
        <w:rPr>
          <w:rFonts w:ascii="Times New Roman" w:hAnsi="Times New Roman"/>
          <w:sz w:val="24"/>
          <w:szCs w:val="24"/>
          <w:lang w:eastAsia="lv-LV"/>
        </w:rPr>
        <w:tab/>
      </w:r>
      <w:r w:rsidRPr="00E242AA">
        <w:rPr>
          <w:rFonts w:ascii="Times New Roman" w:hAnsi="Times New Roman"/>
          <w:sz w:val="24"/>
          <w:szCs w:val="24"/>
          <w:lang w:eastAsia="lv-LV"/>
        </w:rPr>
        <w:tab/>
        <w:t>D.Vilsone</w:t>
      </w:r>
      <w:bookmarkStart w:name="OLE_LINK33" w:id="1"/>
      <w:bookmarkStart w:name="OLE_LINK34" w:id="2"/>
    </w:p>
    <w:p w:rsidRPr="00BD1314" w:rsidR="00E242AA" w:rsidP="00BD1314" w:rsidRDefault="00E242A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BD1314" w:rsidP="00BD1314" w:rsidRDefault="00BD1314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16"/>
          <w:szCs w:val="16"/>
        </w:rPr>
      </w:pPr>
    </w:p>
    <w:p w:rsidR="00BD1314" w:rsidP="00BD1314" w:rsidRDefault="00BD1314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16"/>
          <w:szCs w:val="16"/>
        </w:rPr>
      </w:pPr>
    </w:p>
    <w:p w:rsidR="00BD1314" w:rsidP="00BD1314" w:rsidRDefault="00BD1314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16"/>
          <w:szCs w:val="16"/>
        </w:rPr>
      </w:pPr>
    </w:p>
    <w:p w:rsidR="003A2ACC" w:rsidP="00BD1314" w:rsidRDefault="003A2ACC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16"/>
          <w:szCs w:val="16"/>
        </w:rPr>
      </w:pPr>
    </w:p>
    <w:p w:rsidR="003A2ACC" w:rsidP="00BD1314" w:rsidRDefault="003A2ACC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16"/>
          <w:szCs w:val="16"/>
        </w:rPr>
      </w:pPr>
    </w:p>
    <w:p w:rsidR="003A2ACC" w:rsidP="00BD1314" w:rsidRDefault="003A2ACC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16"/>
          <w:szCs w:val="16"/>
        </w:rPr>
      </w:pPr>
    </w:p>
    <w:p w:rsidR="003A2ACC" w:rsidP="00BD1314" w:rsidRDefault="003A2ACC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16"/>
          <w:szCs w:val="16"/>
        </w:rPr>
      </w:pPr>
    </w:p>
    <w:p w:rsidRPr="00D7750E" w:rsidR="00BD1314" w:rsidP="00BD1314" w:rsidRDefault="00BD1314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20"/>
          <w:szCs w:val="20"/>
        </w:rPr>
      </w:pPr>
    </w:p>
    <w:p w:rsidRPr="00D7750E" w:rsidR="00BD1314" w:rsidP="00BD1314" w:rsidRDefault="00BD1314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20"/>
          <w:szCs w:val="20"/>
        </w:rPr>
      </w:pPr>
      <w:r w:rsidRPr="00D7750E">
        <w:rPr>
          <w:rFonts w:ascii="Times New Roman" w:hAnsi="Times New Roman"/>
          <w:sz w:val="20"/>
          <w:szCs w:val="20"/>
        </w:rPr>
        <w:t>Rorbaha 67221848</w:t>
      </w:r>
    </w:p>
    <w:p w:rsidRPr="00D7750E" w:rsidR="00BD1314" w:rsidP="00BD1314" w:rsidRDefault="0067455E">
      <w:pPr>
        <w:tabs>
          <w:tab w:val="left" w:pos="8460"/>
        </w:tabs>
        <w:spacing w:line="240" w:lineRule="auto"/>
        <w:ind w:right="-885"/>
        <w:jc w:val="both"/>
        <w:rPr>
          <w:rStyle w:val="Hipersaite"/>
          <w:rFonts w:ascii="Times New Roman" w:hAnsi="Times New Roman"/>
          <w:iCs/>
          <w:sz w:val="20"/>
          <w:szCs w:val="20"/>
        </w:rPr>
      </w:pPr>
      <w:hyperlink w:history="1" r:id="rId10">
        <w:r w:rsidRPr="00D7750E" w:rsidR="00BD1314">
          <w:rPr>
            <w:rStyle w:val="Hipersaite"/>
            <w:rFonts w:ascii="Times New Roman" w:hAnsi="Times New Roman"/>
            <w:iCs/>
            <w:sz w:val="20"/>
            <w:szCs w:val="20"/>
          </w:rPr>
          <w:t>Ilze.Rorbaha@neplpadome.lv</w:t>
        </w:r>
      </w:hyperlink>
    </w:p>
    <w:p w:rsidRPr="00D7750E" w:rsidR="00BD1314" w:rsidP="00BD1314" w:rsidRDefault="00BD1314">
      <w:pPr>
        <w:tabs>
          <w:tab w:val="left" w:pos="8460"/>
        </w:tabs>
        <w:spacing w:after="0" w:line="240" w:lineRule="auto"/>
        <w:ind w:right="-88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7750E">
        <w:rPr>
          <w:rFonts w:ascii="Times New Roman" w:hAnsi="Times New Roman"/>
          <w:sz w:val="20"/>
          <w:szCs w:val="20"/>
        </w:rPr>
        <w:t>Melbārzde</w:t>
      </w:r>
      <w:proofErr w:type="spellEnd"/>
      <w:r w:rsidRPr="00D7750E">
        <w:rPr>
          <w:rFonts w:ascii="Times New Roman" w:hAnsi="Times New Roman"/>
          <w:sz w:val="20"/>
          <w:szCs w:val="20"/>
        </w:rPr>
        <w:t xml:space="preserve"> 67221848</w:t>
      </w:r>
    </w:p>
    <w:p w:rsidRPr="00D7750E" w:rsidR="00BD1314" w:rsidP="00BD1314" w:rsidRDefault="00D7750E">
      <w:pPr>
        <w:tabs>
          <w:tab w:val="left" w:pos="8460"/>
        </w:tabs>
        <w:spacing w:line="240" w:lineRule="auto"/>
        <w:ind w:right="-885"/>
        <w:jc w:val="both"/>
        <w:rPr>
          <w:rFonts w:ascii="Times New Roman" w:hAnsi="Times New Roman"/>
          <w:iCs/>
          <w:color w:val="0000FF"/>
          <w:sz w:val="20"/>
          <w:szCs w:val="20"/>
          <w:u w:val="single"/>
        </w:rPr>
      </w:pPr>
      <w:hyperlink w:history="1" r:id="rId11">
        <w:r w:rsidRPr="008F46AC">
          <w:rPr>
            <w:rStyle w:val="Hipersaite"/>
            <w:rFonts w:ascii="Times New Roman" w:hAnsi="Times New Roman"/>
            <w:iCs/>
            <w:sz w:val="20"/>
            <w:szCs w:val="20"/>
          </w:rPr>
          <w:t>Dace.Melbarzde@neplpadome.lv</w:t>
        </w:r>
      </w:hyperlink>
      <w:bookmarkEnd w:id="1"/>
      <w:bookmarkEnd w:id="2"/>
    </w:p>
    <w:sectPr w:rsidRPr="00D7750E" w:rsidR="00BD1314" w:rsidSect="001C3950">
      <w:headerReference w:type="default" r:id="rId12"/>
      <w:footerReference w:type="default" r:id="rId13"/>
      <w:footerReference w:type="first" r:id="rId14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DF" w:rsidRDefault="00CF6FDF" w:rsidP="00FB13EE">
      <w:pPr>
        <w:spacing w:after="0" w:line="240" w:lineRule="auto"/>
      </w:pPr>
      <w:r>
        <w:separator/>
      </w:r>
    </w:p>
  </w:endnote>
  <w:endnote w:type="continuationSeparator" w:id="0">
    <w:p w:rsidR="00CF6FDF" w:rsidRDefault="00CF6FDF" w:rsidP="00FB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87" w:rsidRPr="00D7750E" w:rsidRDefault="00D7750E" w:rsidP="00D7750E">
    <w:pPr>
      <w:pStyle w:val="Kjene"/>
      <w:rPr>
        <w:rFonts w:ascii="Times New Roman" w:hAnsi="Times New Roman"/>
        <w:sz w:val="20"/>
        <w:szCs w:val="20"/>
      </w:rPr>
    </w:pPr>
    <w:r w:rsidRPr="00D7750E">
      <w:rPr>
        <w:rFonts w:ascii="Times New Roman" w:hAnsi="Times New Roman"/>
        <w:sz w:val="20"/>
        <w:szCs w:val="20"/>
      </w:rPr>
      <w:t>KMAnot_180320_groz_LNG_NEPLP_Covid19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6C" w:rsidRPr="00D7750E" w:rsidRDefault="00D7750E" w:rsidP="00D7750E">
    <w:pPr>
      <w:pStyle w:val="Kjene"/>
      <w:rPr>
        <w:rFonts w:ascii="Times New Roman" w:hAnsi="Times New Roman"/>
        <w:sz w:val="20"/>
        <w:szCs w:val="20"/>
      </w:rPr>
    </w:pPr>
    <w:r w:rsidRPr="00D7750E">
      <w:rPr>
        <w:rFonts w:ascii="Times New Roman" w:hAnsi="Times New Roman"/>
        <w:sz w:val="20"/>
        <w:szCs w:val="20"/>
      </w:rPr>
      <w:t>KMAnot_180320_groz_LNG_NEPLP_Covid19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DF" w:rsidRDefault="00CF6FDF" w:rsidP="00FB13EE">
      <w:pPr>
        <w:spacing w:after="0" w:line="240" w:lineRule="auto"/>
      </w:pPr>
      <w:r>
        <w:separator/>
      </w:r>
    </w:p>
  </w:footnote>
  <w:footnote w:type="continuationSeparator" w:id="0">
    <w:p w:rsidR="00CF6FDF" w:rsidRDefault="00CF6FDF" w:rsidP="00FB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3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Pr="001C3950" w:rsidR="00B06387" w:rsidRDefault="0067455E">
        <w:pPr>
          <w:pStyle w:val="Galvene"/>
          <w:jc w:val="center"/>
          <w:rPr>
            <w:rFonts w:ascii="Times New Roman" w:hAnsi="Times New Roman"/>
          </w:rPr>
        </w:pPr>
        <w:r w:rsidRPr="001C3950">
          <w:rPr>
            <w:rFonts w:ascii="Times New Roman" w:hAnsi="Times New Roman"/>
          </w:rPr>
          <w:fldChar w:fldCharType="begin"/>
        </w:r>
        <w:r w:rsidRPr="001C3950" w:rsidR="00B06387">
          <w:rPr>
            <w:rFonts w:ascii="Times New Roman" w:hAnsi="Times New Roman"/>
          </w:rPr>
          <w:instrText xml:space="preserve"> PAGE   \* MERGEFORMAT </w:instrText>
        </w:r>
        <w:r w:rsidRPr="001C3950">
          <w:rPr>
            <w:rFonts w:ascii="Times New Roman" w:hAnsi="Times New Roman"/>
          </w:rPr>
          <w:fldChar w:fldCharType="separate"/>
        </w:r>
        <w:r w:rsidR="000F0000">
          <w:rPr>
            <w:rFonts w:ascii="Times New Roman" w:hAnsi="Times New Roman"/>
            <w:noProof/>
          </w:rPr>
          <w:t>2</w:t>
        </w:r>
        <w:r w:rsidRPr="001C395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742"/>
    <w:multiLevelType w:val="multilevel"/>
    <w:tmpl w:val="1B1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A482C"/>
    <w:multiLevelType w:val="hybridMultilevel"/>
    <w:tmpl w:val="6E8A2942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CC0CC1"/>
    <w:multiLevelType w:val="multilevel"/>
    <w:tmpl w:val="067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52"/>
    <w:rsid w:val="00003849"/>
    <w:rsid w:val="00005864"/>
    <w:rsid w:val="00010827"/>
    <w:rsid w:val="00017578"/>
    <w:rsid w:val="00020210"/>
    <w:rsid w:val="0002354E"/>
    <w:rsid w:val="0002367D"/>
    <w:rsid w:val="00037EA9"/>
    <w:rsid w:val="000414DF"/>
    <w:rsid w:val="0004237F"/>
    <w:rsid w:val="00044B01"/>
    <w:rsid w:val="0005058F"/>
    <w:rsid w:val="00051C0A"/>
    <w:rsid w:val="0007265A"/>
    <w:rsid w:val="00073DC8"/>
    <w:rsid w:val="00090E38"/>
    <w:rsid w:val="000A297F"/>
    <w:rsid w:val="000A7D6D"/>
    <w:rsid w:val="000B50CC"/>
    <w:rsid w:val="000B761F"/>
    <w:rsid w:val="000C148E"/>
    <w:rsid w:val="000C3A8F"/>
    <w:rsid w:val="000E120D"/>
    <w:rsid w:val="000E1328"/>
    <w:rsid w:val="000F0000"/>
    <w:rsid w:val="000F4E82"/>
    <w:rsid w:val="00100B38"/>
    <w:rsid w:val="00102370"/>
    <w:rsid w:val="00116180"/>
    <w:rsid w:val="00126395"/>
    <w:rsid w:val="00132754"/>
    <w:rsid w:val="00133150"/>
    <w:rsid w:val="001340D3"/>
    <w:rsid w:val="00150688"/>
    <w:rsid w:val="0015670F"/>
    <w:rsid w:val="00162949"/>
    <w:rsid w:val="00166AF3"/>
    <w:rsid w:val="0017185C"/>
    <w:rsid w:val="001768EC"/>
    <w:rsid w:val="001769A8"/>
    <w:rsid w:val="001879FF"/>
    <w:rsid w:val="00194324"/>
    <w:rsid w:val="001A5D03"/>
    <w:rsid w:val="001B0FA8"/>
    <w:rsid w:val="001B2329"/>
    <w:rsid w:val="001B2813"/>
    <w:rsid w:val="001B7E64"/>
    <w:rsid w:val="001C3950"/>
    <w:rsid w:val="001C4D6F"/>
    <w:rsid w:val="001D2A03"/>
    <w:rsid w:val="001D4BF6"/>
    <w:rsid w:val="001E2C15"/>
    <w:rsid w:val="001E3CDE"/>
    <w:rsid w:val="001F45E8"/>
    <w:rsid w:val="001F76A0"/>
    <w:rsid w:val="00201507"/>
    <w:rsid w:val="002049A7"/>
    <w:rsid w:val="00206BC4"/>
    <w:rsid w:val="00215D69"/>
    <w:rsid w:val="00217516"/>
    <w:rsid w:val="00220F7D"/>
    <w:rsid w:val="00227FA1"/>
    <w:rsid w:val="00236BDF"/>
    <w:rsid w:val="00241D7D"/>
    <w:rsid w:val="00243F3B"/>
    <w:rsid w:val="00263C9D"/>
    <w:rsid w:val="00270E47"/>
    <w:rsid w:val="00281A24"/>
    <w:rsid w:val="0029155C"/>
    <w:rsid w:val="00294E8D"/>
    <w:rsid w:val="002A03A5"/>
    <w:rsid w:val="002A08DB"/>
    <w:rsid w:val="002A1181"/>
    <w:rsid w:val="002A2D35"/>
    <w:rsid w:val="002B7373"/>
    <w:rsid w:val="002D436B"/>
    <w:rsid w:val="002E2238"/>
    <w:rsid w:val="002E55EB"/>
    <w:rsid w:val="002F137F"/>
    <w:rsid w:val="002F4BB4"/>
    <w:rsid w:val="003019F4"/>
    <w:rsid w:val="00305FD1"/>
    <w:rsid w:val="0030733B"/>
    <w:rsid w:val="003155EB"/>
    <w:rsid w:val="0032211C"/>
    <w:rsid w:val="00322652"/>
    <w:rsid w:val="00324967"/>
    <w:rsid w:val="00324A81"/>
    <w:rsid w:val="00330DCE"/>
    <w:rsid w:val="00331231"/>
    <w:rsid w:val="0033216A"/>
    <w:rsid w:val="003451F2"/>
    <w:rsid w:val="00346E03"/>
    <w:rsid w:val="00356460"/>
    <w:rsid w:val="00357A01"/>
    <w:rsid w:val="00360117"/>
    <w:rsid w:val="00362C53"/>
    <w:rsid w:val="0036608D"/>
    <w:rsid w:val="00367B9A"/>
    <w:rsid w:val="00374317"/>
    <w:rsid w:val="003829D1"/>
    <w:rsid w:val="003869B9"/>
    <w:rsid w:val="00391E48"/>
    <w:rsid w:val="003A021C"/>
    <w:rsid w:val="003A2ACC"/>
    <w:rsid w:val="003B6E19"/>
    <w:rsid w:val="003C14E9"/>
    <w:rsid w:val="003C5FB0"/>
    <w:rsid w:val="003D5B77"/>
    <w:rsid w:val="003D6974"/>
    <w:rsid w:val="003E68C3"/>
    <w:rsid w:val="003E6CD9"/>
    <w:rsid w:val="003E6EFF"/>
    <w:rsid w:val="003E7567"/>
    <w:rsid w:val="00405AB2"/>
    <w:rsid w:val="0041342D"/>
    <w:rsid w:val="004155F2"/>
    <w:rsid w:val="00420D11"/>
    <w:rsid w:val="00434986"/>
    <w:rsid w:val="00441450"/>
    <w:rsid w:val="004517A9"/>
    <w:rsid w:val="004519AA"/>
    <w:rsid w:val="00452031"/>
    <w:rsid w:val="004613AF"/>
    <w:rsid w:val="00461949"/>
    <w:rsid w:val="00461EC0"/>
    <w:rsid w:val="004745CA"/>
    <w:rsid w:val="00474F2C"/>
    <w:rsid w:val="00480CC5"/>
    <w:rsid w:val="00482EE4"/>
    <w:rsid w:val="00486DB5"/>
    <w:rsid w:val="00487D98"/>
    <w:rsid w:val="00496E60"/>
    <w:rsid w:val="0049770C"/>
    <w:rsid w:val="004A1DBE"/>
    <w:rsid w:val="004A34B7"/>
    <w:rsid w:val="004A4438"/>
    <w:rsid w:val="004B52FE"/>
    <w:rsid w:val="004C02B7"/>
    <w:rsid w:val="004C3091"/>
    <w:rsid w:val="004D118D"/>
    <w:rsid w:val="004D4BAB"/>
    <w:rsid w:val="004D6809"/>
    <w:rsid w:val="004E4F0D"/>
    <w:rsid w:val="004E53FE"/>
    <w:rsid w:val="005024E9"/>
    <w:rsid w:val="00511118"/>
    <w:rsid w:val="00527E0E"/>
    <w:rsid w:val="005419A0"/>
    <w:rsid w:val="005423A9"/>
    <w:rsid w:val="005505BC"/>
    <w:rsid w:val="00551A56"/>
    <w:rsid w:val="005547A3"/>
    <w:rsid w:val="00556D29"/>
    <w:rsid w:val="00567D9E"/>
    <w:rsid w:val="00574C8D"/>
    <w:rsid w:val="00577811"/>
    <w:rsid w:val="0058394F"/>
    <w:rsid w:val="00585B74"/>
    <w:rsid w:val="00587AF0"/>
    <w:rsid w:val="00587FEF"/>
    <w:rsid w:val="00591A9A"/>
    <w:rsid w:val="0059416A"/>
    <w:rsid w:val="005A0198"/>
    <w:rsid w:val="005B465F"/>
    <w:rsid w:val="005B56A4"/>
    <w:rsid w:val="005C0B5D"/>
    <w:rsid w:val="005C27CD"/>
    <w:rsid w:val="005C2EE2"/>
    <w:rsid w:val="005C72B7"/>
    <w:rsid w:val="005D2C5E"/>
    <w:rsid w:val="005D2C64"/>
    <w:rsid w:val="005D2E06"/>
    <w:rsid w:val="00603F4B"/>
    <w:rsid w:val="00605502"/>
    <w:rsid w:val="00610390"/>
    <w:rsid w:val="0061285F"/>
    <w:rsid w:val="00615B22"/>
    <w:rsid w:val="00632976"/>
    <w:rsid w:val="00634826"/>
    <w:rsid w:val="00641724"/>
    <w:rsid w:val="00642101"/>
    <w:rsid w:val="00647645"/>
    <w:rsid w:val="00670603"/>
    <w:rsid w:val="006714A0"/>
    <w:rsid w:val="00671CF3"/>
    <w:rsid w:val="0067455E"/>
    <w:rsid w:val="006750AA"/>
    <w:rsid w:val="00680E38"/>
    <w:rsid w:val="00697551"/>
    <w:rsid w:val="006A5089"/>
    <w:rsid w:val="006A5854"/>
    <w:rsid w:val="006A7282"/>
    <w:rsid w:val="006B225B"/>
    <w:rsid w:val="006B511F"/>
    <w:rsid w:val="006B74E6"/>
    <w:rsid w:val="006C412D"/>
    <w:rsid w:val="006C6F32"/>
    <w:rsid w:val="006D0476"/>
    <w:rsid w:val="006D0BF4"/>
    <w:rsid w:val="006E32D4"/>
    <w:rsid w:val="006F1DF9"/>
    <w:rsid w:val="006F2E3B"/>
    <w:rsid w:val="00706A0D"/>
    <w:rsid w:val="007108CE"/>
    <w:rsid w:val="00713725"/>
    <w:rsid w:val="00721ABB"/>
    <w:rsid w:val="007241E1"/>
    <w:rsid w:val="00727C0F"/>
    <w:rsid w:val="00734ADB"/>
    <w:rsid w:val="00737B2C"/>
    <w:rsid w:val="00744176"/>
    <w:rsid w:val="00750093"/>
    <w:rsid w:val="0075161E"/>
    <w:rsid w:val="0075259F"/>
    <w:rsid w:val="00754A7A"/>
    <w:rsid w:val="007636F3"/>
    <w:rsid w:val="00772F59"/>
    <w:rsid w:val="00777018"/>
    <w:rsid w:val="0078191A"/>
    <w:rsid w:val="00781BC7"/>
    <w:rsid w:val="00781D20"/>
    <w:rsid w:val="0078260A"/>
    <w:rsid w:val="007868FF"/>
    <w:rsid w:val="007869AC"/>
    <w:rsid w:val="007879AC"/>
    <w:rsid w:val="00792D30"/>
    <w:rsid w:val="007930A0"/>
    <w:rsid w:val="00794618"/>
    <w:rsid w:val="0079596D"/>
    <w:rsid w:val="00795BBC"/>
    <w:rsid w:val="00797C7E"/>
    <w:rsid w:val="007A4104"/>
    <w:rsid w:val="007A4B08"/>
    <w:rsid w:val="007B1C59"/>
    <w:rsid w:val="007C0520"/>
    <w:rsid w:val="007C1E37"/>
    <w:rsid w:val="007C46CF"/>
    <w:rsid w:val="007C5756"/>
    <w:rsid w:val="007D1F38"/>
    <w:rsid w:val="007D616A"/>
    <w:rsid w:val="007D6627"/>
    <w:rsid w:val="007E5795"/>
    <w:rsid w:val="007F1EA0"/>
    <w:rsid w:val="00802F1A"/>
    <w:rsid w:val="00804524"/>
    <w:rsid w:val="00813A03"/>
    <w:rsid w:val="00815776"/>
    <w:rsid w:val="008240E1"/>
    <w:rsid w:val="00834721"/>
    <w:rsid w:val="008401B3"/>
    <w:rsid w:val="008437FD"/>
    <w:rsid w:val="0084576D"/>
    <w:rsid w:val="00847D0D"/>
    <w:rsid w:val="008755AA"/>
    <w:rsid w:val="0088173A"/>
    <w:rsid w:val="00891CF2"/>
    <w:rsid w:val="008950D0"/>
    <w:rsid w:val="008966EE"/>
    <w:rsid w:val="008B20F0"/>
    <w:rsid w:val="008B6F3E"/>
    <w:rsid w:val="008D02E2"/>
    <w:rsid w:val="008E3733"/>
    <w:rsid w:val="00900557"/>
    <w:rsid w:val="0090447D"/>
    <w:rsid w:val="00907608"/>
    <w:rsid w:val="00910310"/>
    <w:rsid w:val="0092193D"/>
    <w:rsid w:val="00926A4F"/>
    <w:rsid w:val="00927144"/>
    <w:rsid w:val="009341CB"/>
    <w:rsid w:val="0095463C"/>
    <w:rsid w:val="00955CD9"/>
    <w:rsid w:val="00957AB9"/>
    <w:rsid w:val="00962C29"/>
    <w:rsid w:val="00964F07"/>
    <w:rsid w:val="00970A04"/>
    <w:rsid w:val="00973B20"/>
    <w:rsid w:val="00980178"/>
    <w:rsid w:val="00981BD7"/>
    <w:rsid w:val="00983159"/>
    <w:rsid w:val="00994E05"/>
    <w:rsid w:val="0099701E"/>
    <w:rsid w:val="009A430C"/>
    <w:rsid w:val="009A4426"/>
    <w:rsid w:val="009A5929"/>
    <w:rsid w:val="009A744D"/>
    <w:rsid w:val="009A7970"/>
    <w:rsid w:val="009B4708"/>
    <w:rsid w:val="009C31AB"/>
    <w:rsid w:val="009C705A"/>
    <w:rsid w:val="009C7F96"/>
    <w:rsid w:val="009D1E17"/>
    <w:rsid w:val="009D3034"/>
    <w:rsid w:val="009F4F0E"/>
    <w:rsid w:val="00A12946"/>
    <w:rsid w:val="00A2631A"/>
    <w:rsid w:val="00A27AE4"/>
    <w:rsid w:val="00A31649"/>
    <w:rsid w:val="00A35386"/>
    <w:rsid w:val="00A375FD"/>
    <w:rsid w:val="00A42214"/>
    <w:rsid w:val="00A42C1D"/>
    <w:rsid w:val="00A60B5D"/>
    <w:rsid w:val="00A65CA9"/>
    <w:rsid w:val="00A76AD1"/>
    <w:rsid w:val="00A86EBA"/>
    <w:rsid w:val="00A92028"/>
    <w:rsid w:val="00A9342A"/>
    <w:rsid w:val="00A93A44"/>
    <w:rsid w:val="00AA1EF8"/>
    <w:rsid w:val="00AE5204"/>
    <w:rsid w:val="00AE5D75"/>
    <w:rsid w:val="00AF143A"/>
    <w:rsid w:val="00B06387"/>
    <w:rsid w:val="00B077B0"/>
    <w:rsid w:val="00B15674"/>
    <w:rsid w:val="00B2261B"/>
    <w:rsid w:val="00B35CD4"/>
    <w:rsid w:val="00B4141E"/>
    <w:rsid w:val="00B46A8A"/>
    <w:rsid w:val="00B6172E"/>
    <w:rsid w:val="00B6217C"/>
    <w:rsid w:val="00B65EE0"/>
    <w:rsid w:val="00B74601"/>
    <w:rsid w:val="00B820A9"/>
    <w:rsid w:val="00BA2D01"/>
    <w:rsid w:val="00BA7A4B"/>
    <w:rsid w:val="00BB0727"/>
    <w:rsid w:val="00BB507B"/>
    <w:rsid w:val="00BB69DF"/>
    <w:rsid w:val="00BB7175"/>
    <w:rsid w:val="00BD1314"/>
    <w:rsid w:val="00BE1A32"/>
    <w:rsid w:val="00BE3FCB"/>
    <w:rsid w:val="00BF4F07"/>
    <w:rsid w:val="00BF557D"/>
    <w:rsid w:val="00C045B7"/>
    <w:rsid w:val="00C05118"/>
    <w:rsid w:val="00C068A4"/>
    <w:rsid w:val="00C0721C"/>
    <w:rsid w:val="00C07EB8"/>
    <w:rsid w:val="00C131B6"/>
    <w:rsid w:val="00C13388"/>
    <w:rsid w:val="00C13FCA"/>
    <w:rsid w:val="00C15EAF"/>
    <w:rsid w:val="00C307C9"/>
    <w:rsid w:val="00C31DB1"/>
    <w:rsid w:val="00C32E29"/>
    <w:rsid w:val="00C41949"/>
    <w:rsid w:val="00C60F41"/>
    <w:rsid w:val="00C617C8"/>
    <w:rsid w:val="00C74BFE"/>
    <w:rsid w:val="00C82B4D"/>
    <w:rsid w:val="00C8582F"/>
    <w:rsid w:val="00C8618E"/>
    <w:rsid w:val="00C86758"/>
    <w:rsid w:val="00C94F89"/>
    <w:rsid w:val="00CA3987"/>
    <w:rsid w:val="00CA53FF"/>
    <w:rsid w:val="00CA5D7C"/>
    <w:rsid w:val="00CA7D0F"/>
    <w:rsid w:val="00CB1268"/>
    <w:rsid w:val="00CB6F1C"/>
    <w:rsid w:val="00CB7DFB"/>
    <w:rsid w:val="00CC5077"/>
    <w:rsid w:val="00CD1194"/>
    <w:rsid w:val="00CD6A3E"/>
    <w:rsid w:val="00CE1299"/>
    <w:rsid w:val="00CF5417"/>
    <w:rsid w:val="00CF6FDF"/>
    <w:rsid w:val="00D004CA"/>
    <w:rsid w:val="00D032B3"/>
    <w:rsid w:val="00D10610"/>
    <w:rsid w:val="00D135F6"/>
    <w:rsid w:val="00D15FC8"/>
    <w:rsid w:val="00D17341"/>
    <w:rsid w:val="00D17791"/>
    <w:rsid w:val="00D2431E"/>
    <w:rsid w:val="00D3009D"/>
    <w:rsid w:val="00D32EC1"/>
    <w:rsid w:val="00D33C5C"/>
    <w:rsid w:val="00D352BF"/>
    <w:rsid w:val="00D46057"/>
    <w:rsid w:val="00D46666"/>
    <w:rsid w:val="00D46D53"/>
    <w:rsid w:val="00D50867"/>
    <w:rsid w:val="00D5304B"/>
    <w:rsid w:val="00D5706C"/>
    <w:rsid w:val="00D57623"/>
    <w:rsid w:val="00D70AD7"/>
    <w:rsid w:val="00D70C2A"/>
    <w:rsid w:val="00D7750E"/>
    <w:rsid w:val="00D827C6"/>
    <w:rsid w:val="00D84681"/>
    <w:rsid w:val="00D9253B"/>
    <w:rsid w:val="00D92969"/>
    <w:rsid w:val="00D97127"/>
    <w:rsid w:val="00DB1537"/>
    <w:rsid w:val="00DB5C2C"/>
    <w:rsid w:val="00DC2481"/>
    <w:rsid w:val="00DC55EE"/>
    <w:rsid w:val="00DC6A3F"/>
    <w:rsid w:val="00DD0FC1"/>
    <w:rsid w:val="00DD27FC"/>
    <w:rsid w:val="00DD3350"/>
    <w:rsid w:val="00DD7B50"/>
    <w:rsid w:val="00DE4E95"/>
    <w:rsid w:val="00DE7D4F"/>
    <w:rsid w:val="00DF593A"/>
    <w:rsid w:val="00E00F07"/>
    <w:rsid w:val="00E04078"/>
    <w:rsid w:val="00E04ED7"/>
    <w:rsid w:val="00E06223"/>
    <w:rsid w:val="00E07B51"/>
    <w:rsid w:val="00E11453"/>
    <w:rsid w:val="00E119BD"/>
    <w:rsid w:val="00E12399"/>
    <w:rsid w:val="00E153BC"/>
    <w:rsid w:val="00E201F9"/>
    <w:rsid w:val="00E20462"/>
    <w:rsid w:val="00E20B67"/>
    <w:rsid w:val="00E220FC"/>
    <w:rsid w:val="00E242AA"/>
    <w:rsid w:val="00E25EC4"/>
    <w:rsid w:val="00E45EB8"/>
    <w:rsid w:val="00E53ED8"/>
    <w:rsid w:val="00E66B99"/>
    <w:rsid w:val="00E71078"/>
    <w:rsid w:val="00E77D2B"/>
    <w:rsid w:val="00E801D1"/>
    <w:rsid w:val="00E930A3"/>
    <w:rsid w:val="00EA5F8E"/>
    <w:rsid w:val="00EB1896"/>
    <w:rsid w:val="00EB1C52"/>
    <w:rsid w:val="00EC239C"/>
    <w:rsid w:val="00EC7D3B"/>
    <w:rsid w:val="00ED036C"/>
    <w:rsid w:val="00ED190A"/>
    <w:rsid w:val="00ED35C2"/>
    <w:rsid w:val="00ED475D"/>
    <w:rsid w:val="00EF4CB7"/>
    <w:rsid w:val="00EF7289"/>
    <w:rsid w:val="00F17ABE"/>
    <w:rsid w:val="00F2318E"/>
    <w:rsid w:val="00F364BB"/>
    <w:rsid w:val="00F4620F"/>
    <w:rsid w:val="00F5071C"/>
    <w:rsid w:val="00F530D5"/>
    <w:rsid w:val="00F55237"/>
    <w:rsid w:val="00F55C9B"/>
    <w:rsid w:val="00F603EE"/>
    <w:rsid w:val="00F66D3B"/>
    <w:rsid w:val="00F97850"/>
    <w:rsid w:val="00FA3182"/>
    <w:rsid w:val="00FB13EE"/>
    <w:rsid w:val="00FC1203"/>
    <w:rsid w:val="00FD1BE9"/>
    <w:rsid w:val="00FD65F4"/>
    <w:rsid w:val="00FD6808"/>
    <w:rsid w:val="00FD6964"/>
    <w:rsid w:val="00FD6FBC"/>
    <w:rsid w:val="00FE3418"/>
    <w:rsid w:val="0940B7B4"/>
    <w:rsid w:val="0C288F49"/>
    <w:rsid w:val="0CD40AC6"/>
    <w:rsid w:val="1B41696F"/>
    <w:rsid w:val="22988E9B"/>
    <w:rsid w:val="23E857C5"/>
    <w:rsid w:val="24242721"/>
    <w:rsid w:val="2754748B"/>
    <w:rsid w:val="276AB5C8"/>
    <w:rsid w:val="2BAF2396"/>
    <w:rsid w:val="2E4F9B95"/>
    <w:rsid w:val="3BD75658"/>
    <w:rsid w:val="47A15210"/>
    <w:rsid w:val="487DD54F"/>
    <w:rsid w:val="4B4FE42D"/>
    <w:rsid w:val="4B99A541"/>
    <w:rsid w:val="4E1B7368"/>
    <w:rsid w:val="4E64A42B"/>
    <w:rsid w:val="512BBC79"/>
    <w:rsid w:val="559654A6"/>
    <w:rsid w:val="579279FA"/>
    <w:rsid w:val="5BD42E3A"/>
    <w:rsid w:val="5E749C34"/>
    <w:rsid w:val="5F636426"/>
    <w:rsid w:val="60CE6D6B"/>
    <w:rsid w:val="66BAFA7C"/>
    <w:rsid w:val="693E6576"/>
    <w:rsid w:val="7E7A9930"/>
    <w:rsid w:val="7EA5408B"/>
    <w:rsid w:val="7FC0B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4681"/>
    <w:pPr>
      <w:spacing w:after="200" w:line="276" w:lineRule="auto"/>
    </w:pPr>
    <w:rPr>
      <w:lang w:eastAsia="en-US"/>
    </w:rPr>
  </w:style>
  <w:style w:type="paragraph" w:styleId="Virsraksts2">
    <w:name w:val="heading 2"/>
    <w:basedOn w:val="Parastais"/>
    <w:next w:val="Parastais"/>
    <w:link w:val="Virsraksts2Rakstz"/>
    <w:uiPriority w:val="99"/>
    <w:qFormat/>
    <w:locked/>
    <w:rsid w:val="00737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C419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tvhtml">
    <w:name w:val="tv_html"/>
    <w:basedOn w:val="Parastais"/>
    <w:uiPriority w:val="99"/>
    <w:rsid w:val="00EB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rsid w:val="00EB1C52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rsid w:val="00E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B1C52"/>
    <w:rPr>
      <w:rFonts w:ascii="Tahoma" w:hAnsi="Tahoma" w:cs="Tahoma"/>
      <w:sz w:val="16"/>
      <w:szCs w:val="16"/>
      <w:lang w:val="lv-LV"/>
    </w:rPr>
  </w:style>
  <w:style w:type="paragraph" w:styleId="Galvene">
    <w:name w:val="header"/>
    <w:basedOn w:val="Parastais"/>
    <w:link w:val="GalveneRakstz"/>
    <w:uiPriority w:val="99"/>
    <w:rsid w:val="00FB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B13EE"/>
    <w:rPr>
      <w:rFonts w:cs="Times New Roman"/>
      <w:lang w:val="lv-LV"/>
    </w:rPr>
  </w:style>
  <w:style w:type="paragraph" w:styleId="Kjene">
    <w:name w:val="footer"/>
    <w:basedOn w:val="Parastais"/>
    <w:link w:val="KjeneRakstz"/>
    <w:uiPriority w:val="99"/>
    <w:semiHidden/>
    <w:rsid w:val="00FB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FB13EE"/>
    <w:rPr>
      <w:rFonts w:cs="Times New Roman"/>
      <w:lang w:val="lv-LV"/>
    </w:rPr>
  </w:style>
  <w:style w:type="paragraph" w:styleId="Pamatteksts3">
    <w:name w:val="Body Text 3"/>
    <w:basedOn w:val="Parastais"/>
    <w:link w:val="Pamatteksts3Rakstz"/>
    <w:uiPriority w:val="99"/>
    <w:rsid w:val="005D2E06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5D2E06"/>
    <w:rPr>
      <w:rFonts w:eastAsia="Times New Roman" w:cs="Times New Roman"/>
      <w:sz w:val="16"/>
      <w:szCs w:val="16"/>
      <w:lang w:val="en-US" w:eastAsia="lv-LV" w:bidi="ar-SA"/>
    </w:rPr>
  </w:style>
  <w:style w:type="paragraph" w:styleId="Sarakstarindkopa">
    <w:name w:val="List Paragraph"/>
    <w:basedOn w:val="Parastais"/>
    <w:uiPriority w:val="34"/>
    <w:qFormat/>
    <w:rsid w:val="00CB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027">
                          <w:marLeft w:val="0"/>
                          <w:marRight w:val="0"/>
                          <w:marTop w:val="2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77030">
                          <w:marLeft w:val="0"/>
                          <w:marRight w:val="0"/>
                          <w:marTop w:val="2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4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ce.Melbarzde@neplpadome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lze.Rorbaha@neplpadome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2" ma:contentTypeDescription="Izveidot jaunu dokumentu." ma:contentTypeScope="" ma:versionID="79d8c1b463a52360ae193c90a59161e6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238b76b1d6f076ce6028f0b68f5b4eff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C3CBB-099F-4FD9-9E30-2808FD014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534E1-5BF4-41B7-BDEF-D823BFC01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3C198-DB0F-4F0D-8072-3F4769382B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784</Words>
  <Characters>5311</Characters>
  <Application>Microsoft Office Word</Application>
  <DocSecurity>0</DocSecurity>
  <Lines>44</Lines>
  <Paragraphs>12</Paragraphs>
  <ScaleCrop>false</ScaleCrop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</dc:title>
  <dc:creator>Baiba</dc:creator>
  <cp:lastModifiedBy>inesed</cp:lastModifiedBy>
  <cp:revision>9</cp:revision>
  <cp:lastPrinted>2020-03-02T09:10:00Z</cp:lastPrinted>
  <dcterms:created xsi:type="dcterms:W3CDTF">2020-03-18T14:21:00Z</dcterms:created>
  <dcterms:modified xsi:type="dcterms:W3CDTF">2020-03-18T16:08:00Z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0x010100D8BC397DCC98F74D93B57CAFE686A39C</vt:lpwstr>
  </property>
</Properties>
</file>