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87912" w14:textId="77777777" w:rsidR="008D68DB" w:rsidRDefault="00DF37EA">
      <w:pPr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Ministru kabineta noteikumu projekta </w:t>
      </w:r>
    </w:p>
    <w:p w14:paraId="23A99C48" w14:textId="77777777" w:rsidR="008D68DB" w:rsidRDefault="00DF37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„Grozījumi Ministru kabineta 2011.gada 25.janvāra noteikumos </w:t>
      </w:r>
    </w:p>
    <w:p w14:paraId="3CDD29A2" w14:textId="77777777" w:rsidR="008D68DB" w:rsidRDefault="00DF37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Nr.75 „Noteikumi par aktīvo nodarbinātības pasākumu un preventīvo bezdarba samazināšanas pasākumu organizēšanas un finansēšanas kārtību un pasākumu īstenotāju izvēles principiem””</w:t>
      </w:r>
    </w:p>
    <w:p w14:paraId="0B92FD87" w14:textId="77777777" w:rsidR="008D68DB" w:rsidRDefault="00DF3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sākotnējās ietekmes novērtējuma ziņojums (anotācija)</w:t>
      </w:r>
    </w:p>
    <w:p w14:paraId="01E379F6" w14:textId="77777777" w:rsidR="008D68DB" w:rsidRDefault="008D68DB">
      <w:pPr>
        <w:jc w:val="center"/>
        <w:rPr>
          <w:b/>
          <w:sz w:val="28"/>
          <w:szCs w:val="28"/>
        </w:rPr>
      </w:pPr>
    </w:p>
    <w:tbl>
      <w:tblPr>
        <w:tblW w:w="5083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270"/>
      </w:tblGrid>
      <w:tr w:rsidR="00B35206" w:rsidRPr="00BC3F74" w14:paraId="56102114" w14:textId="77777777" w:rsidTr="00FC074B">
        <w:trPr>
          <w:trHeight w:val="288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CA4D9B" w14:textId="2A9665AB" w:rsidR="00B35206" w:rsidRDefault="00B35206" w:rsidP="00FC074B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>
              <w:rPr>
                <w:b/>
              </w:rPr>
              <w:t>Tiesību akta projekta anotācijas kopsavilkums</w:t>
            </w:r>
          </w:p>
        </w:tc>
      </w:tr>
      <w:tr w:rsidR="00B35206" w14:paraId="64AAD47F" w14:textId="77777777" w:rsidTr="00FC074B">
        <w:trPr>
          <w:trHeight w:val="288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D1DA27" w14:textId="77777777" w:rsidR="00B35206" w:rsidRDefault="00B35206" w:rsidP="00FC074B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color w:val="414142"/>
              </w:rPr>
            </w:pPr>
            <w:r>
              <w:t>Noteikumu projekts šo jomu neskar</w:t>
            </w:r>
          </w:p>
        </w:tc>
      </w:tr>
    </w:tbl>
    <w:p w14:paraId="3C92529B" w14:textId="77777777" w:rsidR="008D68DB" w:rsidRDefault="008D68DB" w:rsidP="00B35206">
      <w:pPr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2419"/>
        <w:gridCol w:w="6410"/>
      </w:tblGrid>
      <w:tr w:rsidR="008D68DB" w14:paraId="166F7F85" w14:textId="77777777">
        <w:tc>
          <w:tcPr>
            <w:tcW w:w="9210" w:type="dxa"/>
            <w:gridSpan w:val="3"/>
            <w:shd w:val="clear" w:color="000000" w:fill="auto"/>
          </w:tcPr>
          <w:p w14:paraId="5477E3EB" w14:textId="77777777" w:rsidR="008D68DB" w:rsidRDefault="00DF37EA">
            <w:pPr>
              <w:jc w:val="center"/>
              <w:rPr>
                <w:b/>
              </w:rPr>
            </w:pPr>
            <w:r>
              <w:rPr>
                <w:b/>
              </w:rPr>
              <w:t>I. Tiesību akta projekta izstrādes nepieciešamība</w:t>
            </w:r>
          </w:p>
        </w:tc>
      </w:tr>
      <w:tr w:rsidR="008D68DB" w14:paraId="020EA5FC" w14:textId="77777777">
        <w:tc>
          <w:tcPr>
            <w:tcW w:w="381" w:type="dxa"/>
            <w:shd w:val="clear" w:color="000000" w:fill="auto"/>
          </w:tcPr>
          <w:p w14:paraId="4E7BE04A" w14:textId="77777777" w:rsidR="008D68DB" w:rsidRDefault="00DF3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9" w:type="dxa"/>
            <w:shd w:val="clear" w:color="000000" w:fill="auto"/>
          </w:tcPr>
          <w:p w14:paraId="015861F6" w14:textId="77777777" w:rsidR="008D68DB" w:rsidRDefault="00DF37EA">
            <w:r>
              <w:t>Pamatojums</w:t>
            </w:r>
          </w:p>
        </w:tc>
        <w:tc>
          <w:tcPr>
            <w:tcW w:w="6410" w:type="dxa"/>
            <w:shd w:val="clear" w:color="000000" w:fill="auto"/>
          </w:tcPr>
          <w:p w14:paraId="36B2BD23" w14:textId="1C83526B" w:rsidR="008D68DB" w:rsidRDefault="00DF37EA" w:rsidP="00B35206">
            <w:pPr>
              <w:contextualSpacing/>
              <w:jc w:val="both"/>
            </w:pPr>
            <w:r>
              <w:t>Noteikumu projekts izstrādāts pēc Labklājības ministrijas iniciatīvas</w:t>
            </w:r>
            <w:r w:rsidR="0040133A">
              <w:t xml:space="preserve">, lai mazinātu </w:t>
            </w:r>
            <w:proofErr w:type="spellStart"/>
            <w:r w:rsidR="00C9341A">
              <w:t>korona</w:t>
            </w:r>
            <w:r w:rsidR="0040133A">
              <w:t>vīrusa</w:t>
            </w:r>
            <w:proofErr w:type="spellEnd"/>
            <w:r w:rsidR="0040133A">
              <w:t xml:space="preserve"> Covid-19 pandēmijas rezultātā izraisītās </w:t>
            </w:r>
            <w:r w:rsidR="00C9341A">
              <w:t>negatīva</w:t>
            </w:r>
            <w:r w:rsidR="0040133A">
              <w:t>s sekas nodarbinātības jomā.</w:t>
            </w:r>
          </w:p>
        </w:tc>
      </w:tr>
      <w:tr w:rsidR="008D68DB" w14:paraId="7F0AC974" w14:textId="77777777">
        <w:tc>
          <w:tcPr>
            <w:tcW w:w="381" w:type="dxa"/>
            <w:shd w:val="clear" w:color="000000" w:fill="auto"/>
          </w:tcPr>
          <w:p w14:paraId="07027151" w14:textId="77777777" w:rsidR="008D68DB" w:rsidRDefault="00DF3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419" w:type="dxa"/>
            <w:shd w:val="clear" w:color="000000" w:fill="auto"/>
          </w:tcPr>
          <w:p w14:paraId="03C1EFD2" w14:textId="77777777" w:rsidR="008D68DB" w:rsidRDefault="00DF37EA">
            <w:r>
              <w:t>Pašreizējā situācija un problēmas, kuru risināšanai tiesību akta projekts izstrādāts, tiesiskā regulējuma mērķis un būtība</w:t>
            </w:r>
          </w:p>
        </w:tc>
        <w:tc>
          <w:tcPr>
            <w:tcW w:w="6410" w:type="dxa"/>
            <w:shd w:val="clear" w:color="000000" w:fill="auto"/>
          </w:tcPr>
          <w:p w14:paraId="421A0905" w14:textId="695493D6" w:rsidR="008D68DB" w:rsidRDefault="00DF37EA">
            <w:pPr>
              <w:shd w:val="clear" w:color="000000" w:fill="FFFFFF"/>
              <w:jc w:val="both"/>
              <w:rPr>
                <w:spacing w:val="-4"/>
              </w:rPr>
            </w:pPr>
            <w:r>
              <w:rPr>
                <w:spacing w:val="-4"/>
              </w:rPr>
              <w:t>Atbalst</w:t>
            </w:r>
            <w:r w:rsidR="00DB5442">
              <w:rPr>
                <w:spacing w:val="-4"/>
              </w:rPr>
              <w:t>a</w:t>
            </w:r>
            <w:r>
              <w:rPr>
                <w:spacing w:val="-4"/>
              </w:rPr>
              <w:t xml:space="preserve"> pasāk</w:t>
            </w:r>
            <w:r w:rsidR="002E46D2">
              <w:rPr>
                <w:spacing w:val="-4"/>
              </w:rPr>
              <w:t xml:space="preserve">umus darba meklēšanā </w:t>
            </w:r>
            <w:r w:rsidR="00DB5442">
              <w:rPr>
                <w:spacing w:val="-4"/>
              </w:rPr>
              <w:t xml:space="preserve">un aktīvos nodarbinātības pasākumus </w:t>
            </w:r>
            <w:r w:rsidR="002E46D2">
              <w:rPr>
                <w:spacing w:val="-4"/>
              </w:rPr>
              <w:t>reglamentē</w:t>
            </w:r>
            <w:r>
              <w:t xml:space="preserve"> </w:t>
            </w:r>
            <w:r>
              <w:rPr>
                <w:spacing w:val="-4"/>
              </w:rPr>
              <w:t xml:space="preserve">Ministru kabineta 2011.gada 25.janvāra noteikumi Nr.75 „Noteikumi par aktīvo nodarbinātības pasākumu un preventīvo bezdarba samazināšanas pasākumu organizēšanas un finansēšanas kārtību un pasākumu īstenotāju izvēles principiem” (turpmāk – MK noteikumi Nr.75). </w:t>
            </w:r>
          </w:p>
          <w:p w14:paraId="044D6C3A" w14:textId="77777777" w:rsidR="00930683" w:rsidRDefault="0040133A">
            <w:pPr>
              <w:shd w:val="clear" w:color="000000" w:fill="FFFFFF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Reaģējot uz </w:t>
            </w:r>
            <w:r w:rsidRPr="0040133A">
              <w:rPr>
                <w:spacing w:val="-4"/>
              </w:rPr>
              <w:t>Pasaules veselības organizācijas 2020. gada 11. marta paziņojumu, ka</w:t>
            </w:r>
            <w:r w:rsidR="00C9341A">
              <w:rPr>
                <w:spacing w:val="-4"/>
              </w:rPr>
              <w:t xml:space="preserve"> </w:t>
            </w:r>
            <w:proofErr w:type="spellStart"/>
            <w:r w:rsidR="00C9341A">
              <w:rPr>
                <w:spacing w:val="-4"/>
              </w:rPr>
              <w:t>koronavīruss</w:t>
            </w:r>
            <w:proofErr w:type="spellEnd"/>
            <w:r w:rsidR="00C9341A">
              <w:rPr>
                <w:spacing w:val="-4"/>
              </w:rPr>
              <w:t xml:space="preserve"> Covid-19 izplatība ir sasniegusi</w:t>
            </w:r>
            <w:r w:rsidRPr="0040133A">
              <w:rPr>
                <w:spacing w:val="-4"/>
              </w:rPr>
              <w:t xml:space="preserve"> pandēmijas apmērus</w:t>
            </w:r>
            <w:r w:rsidR="00DB5442">
              <w:rPr>
                <w:spacing w:val="-4"/>
              </w:rPr>
              <w:t xml:space="preserve">, </w:t>
            </w:r>
            <w:r w:rsidR="00B35206">
              <w:rPr>
                <w:spacing w:val="-4"/>
              </w:rPr>
              <w:t>2020.gada 12.martā Ministru kabinets pieņēma rīkojumu Nr.104 “Par ārkārtējās situācijas izsludināšanu”, kas</w:t>
            </w:r>
            <w:r w:rsidR="001348AC">
              <w:rPr>
                <w:spacing w:val="-4"/>
              </w:rPr>
              <w:t xml:space="preserve"> paredz</w:t>
            </w:r>
            <w:r w:rsidR="00B35206">
              <w:rPr>
                <w:spacing w:val="-4"/>
              </w:rPr>
              <w:t xml:space="preserve"> virkni vīrusa</w:t>
            </w:r>
            <w:r w:rsidR="00C9341A">
              <w:rPr>
                <w:spacing w:val="-4"/>
              </w:rPr>
              <w:t xml:space="preserve"> </w:t>
            </w:r>
            <w:r w:rsidR="00B35206">
              <w:rPr>
                <w:spacing w:val="-4"/>
              </w:rPr>
              <w:t>Covid-19 ierobežojošo pasākumu</w:t>
            </w:r>
            <w:r>
              <w:rPr>
                <w:spacing w:val="-4"/>
              </w:rPr>
              <w:t xml:space="preserve"> Latvijā</w:t>
            </w:r>
            <w:r w:rsidR="00B35206">
              <w:rPr>
                <w:spacing w:val="-4"/>
              </w:rPr>
              <w:t>.</w:t>
            </w:r>
            <w:r w:rsidR="00DB5442">
              <w:rPr>
                <w:spacing w:val="-4"/>
              </w:rPr>
              <w:t xml:space="preserve"> M</w:t>
            </w:r>
            <w:r w:rsidR="00B35206">
              <w:rPr>
                <w:spacing w:val="-4"/>
              </w:rPr>
              <w:t xml:space="preserve">inētā vīrusa izplatība </w:t>
            </w:r>
            <w:r w:rsidR="002E46D2">
              <w:rPr>
                <w:spacing w:val="-4"/>
              </w:rPr>
              <w:t xml:space="preserve">negatīvi ietekmē </w:t>
            </w:r>
            <w:r w:rsidR="00DB5442">
              <w:rPr>
                <w:spacing w:val="-4"/>
              </w:rPr>
              <w:t xml:space="preserve"> ekonomisko </w:t>
            </w:r>
            <w:r w:rsidR="002E46D2">
              <w:rPr>
                <w:spacing w:val="-4"/>
              </w:rPr>
              <w:t>situāciju</w:t>
            </w:r>
            <w:r w:rsidR="00DB5442">
              <w:rPr>
                <w:spacing w:val="-4"/>
              </w:rPr>
              <w:t xml:space="preserve"> un</w:t>
            </w:r>
            <w:r w:rsidR="002E46D2">
              <w:rPr>
                <w:spacing w:val="-4"/>
              </w:rPr>
              <w:t xml:space="preserve"> darba tirgu</w:t>
            </w:r>
            <w:r w:rsidR="00885885">
              <w:rPr>
                <w:spacing w:val="-4"/>
              </w:rPr>
              <w:t xml:space="preserve">, kā </w:t>
            </w:r>
            <w:r w:rsidR="00DB5442">
              <w:rPr>
                <w:spacing w:val="-4"/>
              </w:rPr>
              <w:t xml:space="preserve">rezultātā pieaugs arī </w:t>
            </w:r>
            <w:r w:rsidR="002E46D2">
              <w:rPr>
                <w:spacing w:val="-4"/>
              </w:rPr>
              <w:t>bezdarba līme</w:t>
            </w:r>
            <w:r w:rsidR="00DB5442">
              <w:rPr>
                <w:spacing w:val="-4"/>
              </w:rPr>
              <w:t xml:space="preserve">nis. </w:t>
            </w:r>
          </w:p>
          <w:p w14:paraId="6EBBA781" w14:textId="6A0159A0" w:rsidR="00B35206" w:rsidRDefault="00DB5442">
            <w:pPr>
              <w:shd w:val="clear" w:color="000000" w:fill="FFFFFF"/>
              <w:jc w:val="both"/>
              <w:rPr>
                <w:spacing w:val="-4"/>
              </w:rPr>
            </w:pPr>
            <w:r>
              <w:rPr>
                <w:spacing w:val="-4"/>
              </w:rPr>
              <w:t>L</w:t>
            </w:r>
            <w:r w:rsidR="002E46D2">
              <w:rPr>
                <w:spacing w:val="-4"/>
              </w:rPr>
              <w:t xml:space="preserve">ai iespējami mazinātu </w:t>
            </w:r>
            <w:r>
              <w:rPr>
                <w:spacing w:val="-4"/>
              </w:rPr>
              <w:t xml:space="preserve">ekonomiskās situācijas pasliktināšanās </w:t>
            </w:r>
            <w:r w:rsidR="002E46D2">
              <w:rPr>
                <w:spacing w:val="-4"/>
              </w:rPr>
              <w:t>radītās sekas, uz laiku nepieciešams noteikt elastīgākus nosacījumus bezdarbnieku iesaistei aktīvajā nodarbinātības pasākumā “Algoti pagaidu sabiedriskie darbi” (turpmāk – Pasākums)</w:t>
            </w:r>
            <w:r w:rsidR="00E16C5F">
              <w:rPr>
                <w:spacing w:val="-4"/>
              </w:rPr>
              <w:t>, ko</w:t>
            </w:r>
            <w:r w:rsidR="002E46D2">
              <w:rPr>
                <w:spacing w:val="-4"/>
              </w:rPr>
              <w:t xml:space="preserve"> īsteno </w:t>
            </w:r>
            <w:r>
              <w:rPr>
                <w:spacing w:val="-4"/>
              </w:rPr>
              <w:t xml:space="preserve">Nodarbinātības valsts aģentūra sadarbībā ar </w:t>
            </w:r>
            <w:r w:rsidR="002E46D2">
              <w:rPr>
                <w:spacing w:val="-4"/>
              </w:rPr>
              <w:t>pašvaldīb</w:t>
            </w:r>
            <w:r>
              <w:rPr>
                <w:spacing w:val="-4"/>
              </w:rPr>
              <w:t>ām</w:t>
            </w:r>
            <w:r w:rsidR="00E16C5F">
              <w:rPr>
                <w:spacing w:val="-4"/>
              </w:rPr>
              <w:t xml:space="preserve">. </w:t>
            </w:r>
            <w:r w:rsidR="00C9341A">
              <w:rPr>
                <w:spacing w:val="-4"/>
              </w:rPr>
              <w:t>Saskaņā ar MK noteikumu Nr.75 prasībām d</w:t>
            </w:r>
            <w:r w:rsidR="00E16C5F">
              <w:rPr>
                <w:spacing w:val="-4"/>
              </w:rPr>
              <w:t xml:space="preserve">arba vietas var tikt izveidotas </w:t>
            </w:r>
            <w:r w:rsidR="00E16C5F" w:rsidRPr="00E16C5F">
              <w:rPr>
                <w:spacing w:val="-4"/>
              </w:rPr>
              <w:t>pašvaldību institūcijās (izņemot pašvaldību komercsabiedrībās),</w:t>
            </w:r>
            <w:r w:rsidR="00E16C5F">
              <w:rPr>
                <w:spacing w:val="-4"/>
              </w:rPr>
              <w:t xml:space="preserve"> kā arī</w:t>
            </w:r>
            <w:r w:rsidR="00E16C5F" w:rsidRPr="00E16C5F">
              <w:rPr>
                <w:spacing w:val="-4"/>
              </w:rPr>
              <w:t xml:space="preserve"> biedrībās vai nodibinājumos</w:t>
            </w:r>
            <w:r w:rsidR="00E16C5F">
              <w:rPr>
                <w:spacing w:val="-4"/>
              </w:rPr>
              <w:t>.</w:t>
            </w:r>
            <w:r w:rsidR="00E16C5F" w:rsidRPr="00E16C5F">
              <w:rPr>
                <w:spacing w:val="-4"/>
              </w:rPr>
              <w:t xml:space="preserve"> </w:t>
            </w:r>
            <w:r w:rsidR="00930683">
              <w:rPr>
                <w:spacing w:val="-4"/>
              </w:rPr>
              <w:t>Pasākumā iesaista bezdarbniekus ne vairāk kā četrus mēnešus 12 mēnešu periodā, ikmēneša atlīdzības apmērs ir 200 eiro</w:t>
            </w:r>
            <w:r w:rsidR="004E7A75">
              <w:rPr>
                <w:spacing w:val="-4"/>
              </w:rPr>
              <w:t xml:space="preserve"> un par dalību Pasākumā bezdarbniekiem tiek veiktas valsts sociālās apdrošināšanas obligātās iemaksas pensiju apdrošināšanai. </w:t>
            </w:r>
            <w:r w:rsidR="00E16C5F">
              <w:rPr>
                <w:spacing w:val="-4"/>
              </w:rPr>
              <w:t>Pasākumā</w:t>
            </w:r>
            <w:r w:rsidR="002E46D2">
              <w:rPr>
                <w:spacing w:val="-4"/>
              </w:rPr>
              <w:t xml:space="preserve"> iesaista bezdarbnieku</w:t>
            </w:r>
            <w:r w:rsidR="00C86905">
              <w:rPr>
                <w:spacing w:val="-4"/>
              </w:rPr>
              <w:t>s</w:t>
            </w:r>
            <w:r w:rsidR="002E46D2">
              <w:rPr>
                <w:spacing w:val="-4"/>
              </w:rPr>
              <w:t>, kuri vēlas iegūt vai uzturēt darba iemaņas, nesaņem bezdarbnieka pabalstu un ir reģistrēti bezdarbnieka statusā vismaz 6 mēnešus</w:t>
            </w:r>
            <w:r w:rsidR="002E46D2">
              <w:t xml:space="preserve"> </w:t>
            </w:r>
            <w:r w:rsidR="002E46D2" w:rsidRPr="002E46D2">
              <w:rPr>
                <w:spacing w:val="-4"/>
              </w:rPr>
              <w:t>vai ir reģistrēti bezdarbnieka statusā mazāk par sešiem mēnešiem, bet vismaz 12 mēnešus nav strādājuši</w:t>
            </w:r>
            <w:r w:rsidR="002E46D2">
              <w:rPr>
                <w:spacing w:val="-4"/>
              </w:rPr>
              <w:t xml:space="preserve">. </w:t>
            </w:r>
          </w:p>
          <w:p w14:paraId="0CDCF52F" w14:textId="16655453" w:rsidR="002E46D2" w:rsidRDefault="00885885">
            <w:pPr>
              <w:shd w:val="clear" w:color="000000" w:fill="FFFFFF"/>
              <w:jc w:val="both"/>
              <w:rPr>
                <w:spacing w:val="-4"/>
              </w:rPr>
            </w:pPr>
            <w:r>
              <w:rPr>
                <w:spacing w:val="-4"/>
              </w:rPr>
              <w:t>Lai pēc iespējas</w:t>
            </w:r>
            <w:r w:rsidR="002E46D2">
              <w:rPr>
                <w:spacing w:val="-4"/>
              </w:rPr>
              <w:t xml:space="preserve"> operatīvāk reaģētu uz </w:t>
            </w:r>
            <w:r>
              <w:rPr>
                <w:spacing w:val="-4"/>
              </w:rPr>
              <w:t>sagaidāmo bezdarba līmeņa pieaugumu</w:t>
            </w:r>
            <w:r w:rsidR="00F017F1">
              <w:rPr>
                <w:spacing w:val="-4"/>
              </w:rPr>
              <w:t xml:space="preserve"> un t</w:t>
            </w:r>
            <w:r w:rsidR="001348AC">
              <w:rPr>
                <w:spacing w:val="-4"/>
              </w:rPr>
              <w:t>ā izraisītajiem nabadzības riskiem</w:t>
            </w:r>
            <w:r w:rsidR="00224A53">
              <w:rPr>
                <w:spacing w:val="-4"/>
              </w:rPr>
              <w:t xml:space="preserve"> ienākumu zaudēšanas dēļ</w:t>
            </w:r>
            <w:r>
              <w:rPr>
                <w:spacing w:val="-4"/>
              </w:rPr>
              <w:t xml:space="preserve">, uz laiku līdz 2020.gada 31.decembrim plānots iesaistīt Pasākumā bezdarbniekus </w:t>
            </w:r>
            <w:r w:rsidR="001348AC">
              <w:rPr>
                <w:spacing w:val="-4"/>
              </w:rPr>
              <w:t>neatkarīgi no</w:t>
            </w:r>
            <w:r>
              <w:rPr>
                <w:spacing w:val="-4"/>
              </w:rPr>
              <w:t xml:space="preserve"> reģistrē</w:t>
            </w:r>
            <w:r w:rsidR="0040133A">
              <w:rPr>
                <w:spacing w:val="-4"/>
              </w:rPr>
              <w:t>tā vai faktiskā</w:t>
            </w:r>
            <w:r w:rsidR="001348AC">
              <w:rPr>
                <w:spacing w:val="-4"/>
              </w:rPr>
              <w:t xml:space="preserve"> bezdarba ilguma, papildinot MK noteikumus Nr.75 ar noslēguma jautājumu, kas paredz nepiemērot MK noteikumu </w:t>
            </w:r>
            <w:r w:rsidR="001348AC">
              <w:rPr>
                <w:spacing w:val="-4"/>
              </w:rPr>
              <w:lastRenderedPageBreak/>
              <w:t>Nr.75</w:t>
            </w:r>
            <w:r w:rsidR="001348AC" w:rsidRPr="001348AC">
              <w:rPr>
                <w:rFonts w:ascii="Arial" w:hAnsi="Arial" w:cs="Arial"/>
                <w:color w:val="414142"/>
                <w:sz w:val="20"/>
                <w:szCs w:val="20"/>
                <w:shd w:val="clear" w:color="auto" w:fill="FFFFFF"/>
              </w:rPr>
              <w:t xml:space="preserve"> </w:t>
            </w:r>
            <w:r w:rsidR="001348AC" w:rsidRPr="001348AC">
              <w:rPr>
                <w:spacing w:val="-4"/>
              </w:rPr>
              <w:t>141.</w:t>
            </w:r>
            <w:r w:rsidR="001348AC" w:rsidRPr="001348AC">
              <w:rPr>
                <w:spacing w:val="-4"/>
                <w:vertAlign w:val="superscript"/>
              </w:rPr>
              <w:t>2</w:t>
            </w:r>
            <w:r w:rsidR="001348AC" w:rsidRPr="001348AC">
              <w:rPr>
                <w:spacing w:val="-4"/>
              </w:rPr>
              <w:t> 3.</w:t>
            </w:r>
            <w:r w:rsidR="001348AC">
              <w:rPr>
                <w:spacing w:val="-4"/>
              </w:rPr>
              <w:t xml:space="preserve">apakšpunktā noteiktās prasības bezdarbnieku iesaistei algotajos pagaidu sabiedriskajos darbos līdz 2020.gada 31.decembrim. </w:t>
            </w:r>
          </w:p>
          <w:p w14:paraId="4EBE8BEC" w14:textId="575CF48D" w:rsidR="00F27125" w:rsidRDefault="00F27125" w:rsidP="008C7396">
            <w:pPr>
              <w:pStyle w:val="ListParagraph"/>
              <w:shd w:val="clear" w:color="000000" w:fill="FFFFFF"/>
              <w:ind w:left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68DB" w14:paraId="6E49567A" w14:textId="77777777">
        <w:tc>
          <w:tcPr>
            <w:tcW w:w="381" w:type="dxa"/>
            <w:shd w:val="clear" w:color="000000" w:fill="auto"/>
          </w:tcPr>
          <w:p w14:paraId="5BDF567C" w14:textId="77777777" w:rsidR="008D68DB" w:rsidRDefault="00DF3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419" w:type="dxa"/>
            <w:shd w:val="clear" w:color="000000" w:fill="auto"/>
          </w:tcPr>
          <w:p w14:paraId="2205A9E4" w14:textId="77777777" w:rsidR="008D68DB" w:rsidRDefault="00DF37EA">
            <w:r>
              <w:t>Projekta izstrādē iesaistītās institūcijas</w:t>
            </w:r>
          </w:p>
        </w:tc>
        <w:tc>
          <w:tcPr>
            <w:tcW w:w="6410" w:type="dxa"/>
            <w:shd w:val="clear" w:color="000000" w:fill="auto"/>
          </w:tcPr>
          <w:p w14:paraId="4E53574F" w14:textId="3CA914A8" w:rsidR="008D68DB" w:rsidRDefault="00D573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Nodarbinātības valsts a</w:t>
            </w:r>
            <w:r w:rsidR="00DF37EA">
              <w:rPr>
                <w:color w:val="000000"/>
              </w:rPr>
              <w:t>ģentūra</w:t>
            </w:r>
            <w:r>
              <w:rPr>
                <w:color w:val="000000"/>
              </w:rPr>
              <w:t>.</w:t>
            </w:r>
          </w:p>
        </w:tc>
      </w:tr>
      <w:tr w:rsidR="008D68DB" w14:paraId="158A5463" w14:textId="77777777">
        <w:tc>
          <w:tcPr>
            <w:tcW w:w="381" w:type="dxa"/>
            <w:shd w:val="clear" w:color="000000" w:fill="auto"/>
          </w:tcPr>
          <w:p w14:paraId="0E876BED" w14:textId="77777777" w:rsidR="008D68DB" w:rsidRDefault="00DF3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419" w:type="dxa"/>
            <w:shd w:val="clear" w:color="000000" w:fill="auto"/>
          </w:tcPr>
          <w:p w14:paraId="7C442242" w14:textId="77777777" w:rsidR="008D68DB" w:rsidRDefault="00DF37EA">
            <w:r>
              <w:t>Cita informācija</w:t>
            </w:r>
          </w:p>
        </w:tc>
        <w:tc>
          <w:tcPr>
            <w:tcW w:w="6410" w:type="dxa"/>
            <w:shd w:val="clear" w:color="000000" w:fill="auto"/>
          </w:tcPr>
          <w:p w14:paraId="5CE342E6" w14:textId="70CF3DB3" w:rsidR="008D68DB" w:rsidRDefault="00D573A0" w:rsidP="00E16C5F">
            <w:pPr>
              <w:pStyle w:val="ListParagraph"/>
              <w:ind w:left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Nodarbinātības valsts a</w:t>
            </w:r>
            <w:r w:rsidR="00DF37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ģentūra nodrošinās </w:t>
            </w:r>
            <w:r w:rsidR="00E16C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bezdarbnieku iesaisti Pasākumā </w:t>
            </w:r>
            <w:r w:rsidR="00DF37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esošā finansējuma ietvaros.</w:t>
            </w:r>
          </w:p>
        </w:tc>
      </w:tr>
    </w:tbl>
    <w:p w14:paraId="76D423D7" w14:textId="70F0DC1E" w:rsidR="008D68DB" w:rsidRDefault="008D68DB">
      <w:pPr>
        <w:jc w:val="center"/>
      </w:pPr>
    </w:p>
    <w:p w14:paraId="63395332" w14:textId="77777777" w:rsidR="0056677F" w:rsidRDefault="0056677F">
      <w:pPr>
        <w:jc w:val="center"/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410"/>
        <w:gridCol w:w="6407"/>
      </w:tblGrid>
      <w:tr w:rsidR="008D68DB" w14:paraId="0D19534F" w14:textId="77777777">
        <w:tc>
          <w:tcPr>
            <w:tcW w:w="9214" w:type="dxa"/>
            <w:gridSpan w:val="3"/>
            <w:shd w:val="clear" w:color="000000" w:fill="auto"/>
          </w:tcPr>
          <w:p w14:paraId="436FF30E" w14:textId="77777777" w:rsidR="008D68DB" w:rsidRDefault="00DF37EA">
            <w:pPr>
              <w:pStyle w:val="naisnod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Tiesību akta projekta ietekme uz sabiedrību, tautsaimniecības attīstību</w:t>
            </w:r>
          </w:p>
          <w:p w14:paraId="38CC34FB" w14:textId="77777777" w:rsidR="008D68DB" w:rsidRDefault="00DF37EA">
            <w:pPr>
              <w:jc w:val="center"/>
              <w:rPr>
                <w:b/>
              </w:rPr>
            </w:pPr>
            <w:r>
              <w:rPr>
                <w:b/>
              </w:rPr>
              <w:t>un administratīvo slogu</w:t>
            </w:r>
          </w:p>
        </w:tc>
      </w:tr>
      <w:tr w:rsidR="008D68DB" w14:paraId="1C11A463" w14:textId="77777777">
        <w:tc>
          <w:tcPr>
            <w:tcW w:w="397" w:type="dxa"/>
            <w:shd w:val="clear" w:color="000000" w:fill="auto"/>
          </w:tcPr>
          <w:p w14:paraId="1F9DB42D" w14:textId="77777777" w:rsidR="008D68DB" w:rsidRDefault="00DF3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shd w:val="clear" w:color="000000" w:fill="auto"/>
          </w:tcPr>
          <w:p w14:paraId="0015D7DA" w14:textId="77777777" w:rsidR="008D68DB" w:rsidRDefault="00DF37EA">
            <w:pPr>
              <w:rPr>
                <w:sz w:val="22"/>
                <w:szCs w:val="22"/>
              </w:rPr>
            </w:pPr>
            <w:r>
              <w:t>Sabiedrības mērķgrupas, kuras tiesiskais regulējums ietekmē vai varētu ietekmēt</w:t>
            </w:r>
          </w:p>
        </w:tc>
        <w:tc>
          <w:tcPr>
            <w:tcW w:w="6407" w:type="dxa"/>
            <w:shd w:val="clear" w:color="000000" w:fill="auto"/>
          </w:tcPr>
          <w:p w14:paraId="61066DD5" w14:textId="4860AC0C" w:rsidR="008D68DB" w:rsidRDefault="00DF3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Noteikumu projekts attiecas uz </w:t>
            </w:r>
            <w:r w:rsidR="00E16C5F">
              <w:rPr>
                <w:color w:val="000000"/>
              </w:rPr>
              <w:t>Nodarbinātības valsts aģentūrā</w:t>
            </w:r>
            <w:r>
              <w:rPr>
                <w:color w:val="000000"/>
              </w:rPr>
              <w:t xml:space="preserve"> reģistrētajiem </w:t>
            </w:r>
            <w:r w:rsidR="00E16C5F">
              <w:rPr>
                <w:color w:val="000000"/>
              </w:rPr>
              <w:t>bezdarbniekiem,</w:t>
            </w:r>
            <w:r>
              <w:rPr>
                <w:color w:val="000000"/>
              </w:rPr>
              <w:t xml:space="preserve"> </w:t>
            </w:r>
            <w:r w:rsidR="00E16C5F">
              <w:rPr>
                <w:color w:val="000000"/>
              </w:rPr>
              <w:t>Nodarbinātības valsts a</w:t>
            </w:r>
            <w:r w:rsidR="009E1FBF">
              <w:rPr>
                <w:color w:val="000000"/>
              </w:rPr>
              <w:t xml:space="preserve">ģentūru, </w:t>
            </w:r>
            <w:r w:rsidR="00E16C5F">
              <w:rPr>
                <w:color w:val="000000"/>
              </w:rPr>
              <w:t>pašvald</w:t>
            </w:r>
            <w:r w:rsidR="009E1FBF">
              <w:rPr>
                <w:color w:val="000000"/>
              </w:rPr>
              <w:t>īb</w:t>
            </w:r>
            <w:r w:rsidR="00E16C5F">
              <w:rPr>
                <w:color w:val="000000"/>
              </w:rPr>
              <w:t>ām</w:t>
            </w:r>
            <w:r w:rsidR="009E1FBF">
              <w:rPr>
                <w:color w:val="000000"/>
              </w:rPr>
              <w:t>, biedrībām un nodibinājumiem.</w:t>
            </w:r>
          </w:p>
          <w:p w14:paraId="4EB06197" w14:textId="5E616CF7" w:rsidR="008D68DB" w:rsidRDefault="00DB36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DF37EA">
              <w:rPr>
                <w:color w:val="000000"/>
              </w:rPr>
              <w:t xml:space="preserve">.gada </w:t>
            </w:r>
            <w:r w:rsidR="00F6005F">
              <w:rPr>
                <w:color w:val="000000"/>
              </w:rPr>
              <w:t xml:space="preserve">16.martā </w:t>
            </w:r>
            <w:r w:rsidR="00DF37EA">
              <w:rPr>
                <w:color w:val="000000"/>
              </w:rPr>
              <w:t>bezdarbnieka status</w:t>
            </w:r>
            <w:r w:rsidR="00224A53">
              <w:rPr>
                <w:color w:val="000000"/>
              </w:rPr>
              <w:t>ā</w:t>
            </w:r>
            <w:r w:rsidR="00DF37EA">
              <w:rPr>
                <w:color w:val="000000"/>
              </w:rPr>
              <w:t xml:space="preserve"> reģistrēt</w:t>
            </w:r>
            <w:r w:rsidR="00224A53">
              <w:rPr>
                <w:color w:val="000000"/>
              </w:rPr>
              <w:t>as</w:t>
            </w:r>
            <w:r w:rsidR="00DF37EA">
              <w:rPr>
                <w:color w:val="000000"/>
              </w:rPr>
              <w:t xml:space="preserve"> 5</w:t>
            </w:r>
            <w:r w:rsidR="00BD282E">
              <w:rPr>
                <w:color w:val="000000"/>
              </w:rPr>
              <w:t>8</w:t>
            </w:r>
            <w:r w:rsidR="00DF37EA">
              <w:rPr>
                <w:color w:val="000000"/>
              </w:rPr>
              <w:t xml:space="preserve"> </w:t>
            </w:r>
            <w:r w:rsidR="00F6005F">
              <w:rPr>
                <w:color w:val="000000"/>
              </w:rPr>
              <w:t>087</w:t>
            </w:r>
            <w:r w:rsidR="00DF37EA">
              <w:rPr>
                <w:color w:val="000000"/>
              </w:rPr>
              <w:t xml:space="preserve"> person</w:t>
            </w:r>
            <w:r w:rsidR="00224A53">
              <w:rPr>
                <w:color w:val="000000"/>
              </w:rPr>
              <w:t>as</w:t>
            </w:r>
            <w:r w:rsidR="00DF37EA">
              <w:rPr>
                <w:color w:val="000000"/>
              </w:rPr>
              <w:t>.</w:t>
            </w:r>
          </w:p>
          <w:p w14:paraId="5F9CC3D5" w14:textId="36C18BE9" w:rsidR="008D68DB" w:rsidRDefault="00DF3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Lielākās mērķgrupas no bezdarbnieku kopskaita ir bezdarbnieki vecumā 5</w:t>
            </w:r>
            <w:r w:rsidR="00BD282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gadi un vairāk – </w:t>
            </w:r>
            <w:r w:rsidR="00F6005F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="00F6005F">
              <w:rPr>
                <w:color w:val="000000"/>
              </w:rPr>
              <w:t>0</w:t>
            </w:r>
            <w:r>
              <w:rPr>
                <w:color w:val="000000"/>
              </w:rPr>
              <w:t>%, ilgstošie bezdarbnieki – 2</w:t>
            </w:r>
            <w:r w:rsidR="00F6005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="00F6005F">
              <w:rPr>
                <w:color w:val="000000"/>
              </w:rPr>
              <w:t>0</w:t>
            </w:r>
            <w:r>
              <w:rPr>
                <w:color w:val="000000"/>
              </w:rPr>
              <w:t>%</w:t>
            </w:r>
            <w:r w:rsidR="00F6005F">
              <w:rPr>
                <w:color w:val="000000"/>
              </w:rPr>
              <w:t xml:space="preserve">, pirms-pensijas vecuma bezdarbnieki – 16,2%, </w:t>
            </w:r>
            <w:r>
              <w:rPr>
                <w:color w:val="000000"/>
              </w:rPr>
              <w:t xml:space="preserve"> bezdarbnieki ar invaliditāti – 1</w:t>
            </w:r>
            <w:r w:rsidR="00BD282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="00F6005F">
              <w:rPr>
                <w:color w:val="000000"/>
              </w:rPr>
              <w:t>9</w:t>
            </w:r>
            <w:r>
              <w:rPr>
                <w:color w:val="000000"/>
              </w:rPr>
              <w:t>%.</w:t>
            </w:r>
          </w:p>
        </w:tc>
      </w:tr>
      <w:tr w:rsidR="008D68DB" w14:paraId="5610D374" w14:textId="77777777">
        <w:tc>
          <w:tcPr>
            <w:tcW w:w="397" w:type="dxa"/>
            <w:shd w:val="clear" w:color="000000" w:fill="auto"/>
          </w:tcPr>
          <w:p w14:paraId="6BDC33EB" w14:textId="77777777" w:rsidR="008D68DB" w:rsidRDefault="00DF3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410" w:type="dxa"/>
            <w:shd w:val="clear" w:color="000000" w:fill="auto"/>
          </w:tcPr>
          <w:p w14:paraId="79C0A2EC" w14:textId="77777777" w:rsidR="008D68DB" w:rsidRDefault="00DF37EA">
            <w:r>
              <w:t>Tiesiskā regulējuma ietekme uz tautsaimniecību un administratīvo slogu</w:t>
            </w:r>
          </w:p>
        </w:tc>
        <w:tc>
          <w:tcPr>
            <w:tcW w:w="6407" w:type="dxa"/>
            <w:shd w:val="clear" w:color="000000" w:fill="auto"/>
          </w:tcPr>
          <w:p w14:paraId="3525C92B" w14:textId="1E3F8885" w:rsidR="00264FF1" w:rsidRPr="00264FF1" w:rsidRDefault="00264FF1" w:rsidP="00264FF1">
            <w:pPr>
              <w:widowControl w:val="0"/>
              <w:tabs>
                <w:tab w:val="left" w:pos="1276"/>
              </w:tabs>
              <w:spacing w:after="240"/>
              <w:jc w:val="both"/>
              <w:rPr>
                <w:bCs/>
              </w:rPr>
            </w:pPr>
            <w:r w:rsidRPr="00264FF1">
              <w:rPr>
                <w:bCs/>
              </w:rPr>
              <w:t>Aktīvie nodarbinātības pasākumi un preventīvie bezdarba samazināšanas pasākumi atstāj labvēlīgu ietekmi uz iedzīvotāju ekonomisko aktivitāti un konkurētspēju da</w:t>
            </w:r>
            <w:r w:rsidR="00DB361C">
              <w:rPr>
                <w:bCs/>
              </w:rPr>
              <w:t>rba tirgū</w:t>
            </w:r>
            <w:r w:rsidR="000860BD">
              <w:rPr>
                <w:bCs/>
              </w:rPr>
              <w:t xml:space="preserve">, tāpat  nodrošina arī ienākumus bezdarba periodā, </w:t>
            </w:r>
            <w:r w:rsidR="000A0168">
              <w:rPr>
                <w:bCs/>
              </w:rPr>
              <w:t>kur</w:t>
            </w:r>
            <w:r w:rsidR="006D5530">
              <w:rPr>
                <w:bCs/>
              </w:rPr>
              <w:t>i tiek</w:t>
            </w:r>
            <w:r w:rsidR="000A0168">
              <w:rPr>
                <w:bCs/>
              </w:rPr>
              <w:t xml:space="preserve"> izmanto</w:t>
            </w:r>
            <w:r w:rsidR="006D5530">
              <w:rPr>
                <w:bCs/>
              </w:rPr>
              <w:t>ti</w:t>
            </w:r>
            <w:r w:rsidR="000A0168">
              <w:rPr>
                <w:bCs/>
              </w:rPr>
              <w:t xml:space="preserve"> </w:t>
            </w:r>
            <w:r w:rsidR="006D5530">
              <w:rPr>
                <w:bCs/>
              </w:rPr>
              <w:t xml:space="preserve">patēriņam un </w:t>
            </w:r>
            <w:r w:rsidR="000860BD">
              <w:rPr>
                <w:bCs/>
              </w:rPr>
              <w:t>pamatvajadzību nodrošināšanai</w:t>
            </w:r>
            <w:r w:rsidR="00DB361C">
              <w:rPr>
                <w:bCs/>
              </w:rPr>
              <w:t xml:space="preserve">. Cita starpā izņēmums Pasākuma iesaistes nosacījumos </w:t>
            </w:r>
            <w:r w:rsidRPr="00264FF1">
              <w:rPr>
                <w:bCs/>
              </w:rPr>
              <w:t>veicinās nelabvēlīgākā situācij</w:t>
            </w:r>
            <w:r w:rsidR="00DB361C">
              <w:rPr>
                <w:bCs/>
              </w:rPr>
              <w:t xml:space="preserve">ā esošo iedzīvotāju </w:t>
            </w:r>
            <w:r w:rsidRPr="00264FF1">
              <w:rPr>
                <w:bCs/>
              </w:rPr>
              <w:t xml:space="preserve"> ekonomiskās aktivitātes saglabāšanos un </w:t>
            </w:r>
            <w:r w:rsidR="006D5530">
              <w:rPr>
                <w:bCs/>
              </w:rPr>
              <w:t xml:space="preserve">iespējas </w:t>
            </w:r>
            <w:r w:rsidRPr="00264FF1">
              <w:rPr>
                <w:bCs/>
              </w:rPr>
              <w:t>iekļau</w:t>
            </w:r>
            <w:r w:rsidR="006D5530">
              <w:rPr>
                <w:bCs/>
              </w:rPr>
              <w:t>ties</w:t>
            </w:r>
            <w:r w:rsidRPr="00264FF1">
              <w:rPr>
                <w:bCs/>
              </w:rPr>
              <w:t xml:space="preserve"> darba tirgū</w:t>
            </w:r>
            <w:r w:rsidR="006D5530">
              <w:rPr>
                <w:bCs/>
              </w:rPr>
              <w:t xml:space="preserve"> </w:t>
            </w:r>
            <w:proofErr w:type="spellStart"/>
            <w:r w:rsidR="006D5530">
              <w:rPr>
                <w:bCs/>
              </w:rPr>
              <w:t>pēckrīzes</w:t>
            </w:r>
            <w:proofErr w:type="spellEnd"/>
            <w:r w:rsidR="006D5530">
              <w:rPr>
                <w:bCs/>
              </w:rPr>
              <w:t xml:space="preserve"> periodā</w:t>
            </w:r>
            <w:r w:rsidRPr="00264FF1">
              <w:rPr>
                <w:bCs/>
              </w:rPr>
              <w:t>.</w:t>
            </w:r>
          </w:p>
          <w:p w14:paraId="6E372EF1" w14:textId="351B7CC2" w:rsidR="008D68DB" w:rsidRDefault="008D68DB">
            <w:pPr>
              <w:jc w:val="both"/>
              <w:rPr>
                <w:color w:val="000000"/>
              </w:rPr>
            </w:pPr>
          </w:p>
        </w:tc>
      </w:tr>
      <w:tr w:rsidR="008D68DB" w14:paraId="02ACC8FF" w14:textId="77777777">
        <w:tc>
          <w:tcPr>
            <w:tcW w:w="397" w:type="dxa"/>
            <w:shd w:val="clear" w:color="000000" w:fill="auto"/>
          </w:tcPr>
          <w:p w14:paraId="5E8CE560" w14:textId="77777777" w:rsidR="008D68DB" w:rsidRDefault="00DF3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shd w:val="clear" w:color="000000" w:fill="auto"/>
          </w:tcPr>
          <w:p w14:paraId="5E4884B7" w14:textId="77777777" w:rsidR="008D68DB" w:rsidRDefault="00DF37EA">
            <w:r>
              <w:t>Administratīvo izmaksu monetārs novērtējums</w:t>
            </w:r>
          </w:p>
        </w:tc>
        <w:tc>
          <w:tcPr>
            <w:tcW w:w="6407" w:type="dxa"/>
            <w:shd w:val="clear" w:color="000000" w:fill="auto"/>
          </w:tcPr>
          <w:p w14:paraId="1F184F74" w14:textId="77777777" w:rsidR="008D68DB" w:rsidRDefault="00DF37EA">
            <w:pP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Noteikumu projekts šo jomu neskar.</w:t>
            </w:r>
          </w:p>
        </w:tc>
      </w:tr>
      <w:tr w:rsidR="008D68DB" w14:paraId="2B7256D5" w14:textId="77777777">
        <w:tc>
          <w:tcPr>
            <w:tcW w:w="397" w:type="dxa"/>
            <w:shd w:val="clear" w:color="000000" w:fill="auto"/>
          </w:tcPr>
          <w:p w14:paraId="39A7866D" w14:textId="77777777" w:rsidR="008D68DB" w:rsidRDefault="00DF3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410" w:type="dxa"/>
            <w:shd w:val="clear" w:color="000000" w:fill="auto"/>
          </w:tcPr>
          <w:p w14:paraId="6ADCC862" w14:textId="77777777" w:rsidR="008D68DB" w:rsidRDefault="00DF37EA">
            <w:r>
              <w:t>Cita informācija</w:t>
            </w:r>
          </w:p>
        </w:tc>
        <w:tc>
          <w:tcPr>
            <w:tcW w:w="6407" w:type="dxa"/>
            <w:shd w:val="clear" w:color="000000" w:fill="auto"/>
          </w:tcPr>
          <w:p w14:paraId="33003EB4" w14:textId="6EA53F68" w:rsidR="008D68DB" w:rsidRDefault="00DF3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Nav</w:t>
            </w:r>
            <w:r w:rsidR="0040133A">
              <w:rPr>
                <w:color w:val="000000"/>
              </w:rPr>
              <w:t>.</w:t>
            </w:r>
          </w:p>
        </w:tc>
      </w:tr>
    </w:tbl>
    <w:p w14:paraId="5C7A023E" w14:textId="57EA036D" w:rsidR="008D68DB" w:rsidRDefault="008D68DB"/>
    <w:p w14:paraId="47925C2A" w14:textId="77777777" w:rsidR="000F0E16" w:rsidRDefault="000F0E16"/>
    <w:tbl>
      <w:tblPr>
        <w:tblW w:w="5083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270"/>
      </w:tblGrid>
      <w:tr w:rsidR="000F0E16" w:rsidRPr="00BC3F74" w14:paraId="792306EF" w14:textId="77777777" w:rsidTr="00AF53FF">
        <w:trPr>
          <w:trHeight w:val="288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91EC4D" w14:textId="460B5CD0" w:rsidR="000F0E16" w:rsidRDefault="000F0E16" w:rsidP="001F002D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0F0E16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0F0E16" w14:paraId="29C3CF07" w14:textId="77777777" w:rsidTr="00AF53FF">
        <w:trPr>
          <w:trHeight w:val="288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CDEB2C" w14:textId="77777777" w:rsidR="000F0E16" w:rsidRDefault="000F0E16" w:rsidP="001F002D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color w:val="414142"/>
              </w:rPr>
            </w:pPr>
            <w:r>
              <w:t>Noteikumu projekts šo jomu neskar</w:t>
            </w:r>
          </w:p>
        </w:tc>
      </w:tr>
    </w:tbl>
    <w:p w14:paraId="6A644ACA" w14:textId="249627BD" w:rsidR="000F0E16" w:rsidRDefault="000F0E16"/>
    <w:p w14:paraId="220AEB67" w14:textId="77777777" w:rsidR="00DB361C" w:rsidRDefault="00DB361C"/>
    <w:tbl>
      <w:tblPr>
        <w:tblW w:w="5083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270"/>
      </w:tblGrid>
      <w:tr w:rsidR="00DB361C" w:rsidRPr="00BC3F74" w14:paraId="4AEB7383" w14:textId="77777777" w:rsidTr="00FC074B">
        <w:trPr>
          <w:trHeight w:val="288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74E7C0" w14:textId="62968A45" w:rsidR="00DB361C" w:rsidRDefault="00DB361C" w:rsidP="00FC074B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  <w:r w:rsidRPr="000F0E16">
              <w:rPr>
                <w:b/>
                <w:bCs/>
              </w:rPr>
              <w:t xml:space="preserve">. </w:t>
            </w:r>
            <w:r>
              <w:rPr>
                <w:rFonts w:eastAsia="Calibri" w:hAnsi="Calibri"/>
                <w:b/>
              </w:rPr>
              <w:t>Ties</w:t>
            </w:r>
            <w:r>
              <w:rPr>
                <w:rFonts w:eastAsia="Calibri" w:hAnsi="Calibri"/>
                <w:b/>
              </w:rPr>
              <w:t>ī</w:t>
            </w:r>
            <w:r>
              <w:rPr>
                <w:rFonts w:eastAsia="Calibri" w:hAnsi="Calibri"/>
                <w:b/>
              </w:rPr>
              <w:t>bu akta projekta ietekme uz sp</w:t>
            </w:r>
            <w:r>
              <w:rPr>
                <w:rFonts w:eastAsia="Calibri" w:hAnsi="Calibri"/>
                <w:b/>
              </w:rPr>
              <w:t>ē</w:t>
            </w:r>
            <w:r>
              <w:rPr>
                <w:rFonts w:eastAsia="Calibri" w:hAnsi="Calibri"/>
                <w:b/>
              </w:rPr>
              <w:t>k</w:t>
            </w:r>
            <w:r>
              <w:rPr>
                <w:rFonts w:eastAsia="Calibri" w:hAnsi="Calibri"/>
                <w:b/>
              </w:rPr>
              <w:t>ā</w:t>
            </w:r>
            <w:r>
              <w:rPr>
                <w:rFonts w:eastAsia="Calibri" w:hAnsi="Calibri"/>
                <w:b/>
              </w:rPr>
              <w:t xml:space="preserve"> eso</w:t>
            </w:r>
            <w:r>
              <w:rPr>
                <w:rFonts w:eastAsia="Calibri" w:hAnsi="Calibri"/>
                <w:b/>
              </w:rPr>
              <w:t>š</w:t>
            </w:r>
            <w:r>
              <w:rPr>
                <w:rFonts w:eastAsia="Calibri" w:hAnsi="Calibri"/>
                <w:b/>
              </w:rPr>
              <w:t>o ties</w:t>
            </w:r>
            <w:r>
              <w:rPr>
                <w:rFonts w:eastAsia="Calibri" w:hAnsi="Calibri"/>
                <w:b/>
              </w:rPr>
              <w:t>ī</w:t>
            </w:r>
            <w:r>
              <w:rPr>
                <w:rFonts w:eastAsia="Calibri" w:hAnsi="Calibri"/>
                <w:b/>
              </w:rPr>
              <w:t>bu normu sist</w:t>
            </w:r>
            <w:r>
              <w:rPr>
                <w:rFonts w:eastAsia="Calibri" w:hAnsi="Calibri"/>
                <w:b/>
              </w:rPr>
              <w:t>ē</w:t>
            </w:r>
            <w:r>
              <w:rPr>
                <w:rFonts w:eastAsia="Calibri" w:hAnsi="Calibri"/>
                <w:b/>
              </w:rPr>
              <w:t>mu</w:t>
            </w:r>
          </w:p>
        </w:tc>
      </w:tr>
      <w:tr w:rsidR="00DB361C" w14:paraId="3B07721C" w14:textId="77777777" w:rsidTr="00FC074B">
        <w:trPr>
          <w:trHeight w:val="288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BB3C5C" w14:textId="77777777" w:rsidR="00DB361C" w:rsidRDefault="00DB361C" w:rsidP="00FC074B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color w:val="414142"/>
              </w:rPr>
            </w:pPr>
            <w:r>
              <w:t>Noteikumu projekts šo jomu neskar</w:t>
            </w:r>
          </w:p>
        </w:tc>
      </w:tr>
    </w:tbl>
    <w:p w14:paraId="0A0EB2DF" w14:textId="77777777" w:rsidR="0056677F" w:rsidRDefault="0056677F"/>
    <w:p w14:paraId="5972CD5C" w14:textId="77777777" w:rsidR="00DB361C" w:rsidRDefault="00DB361C"/>
    <w:tbl>
      <w:tblPr>
        <w:tblW w:w="5083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270"/>
      </w:tblGrid>
      <w:tr w:rsidR="00DB361C" w:rsidRPr="00BC3F74" w14:paraId="30E4F0BE" w14:textId="77777777" w:rsidTr="00FC074B">
        <w:trPr>
          <w:trHeight w:val="288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3EEBB2" w14:textId="350FC2E9" w:rsidR="00DB361C" w:rsidRDefault="00DB361C" w:rsidP="00FC074B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0F0E16">
              <w:rPr>
                <w:b/>
                <w:bCs/>
              </w:rPr>
              <w:t xml:space="preserve">. </w:t>
            </w:r>
            <w:r w:rsidRPr="001F002D">
              <w:rPr>
                <w:b/>
                <w:bCs/>
              </w:rPr>
              <w:t>Tiesību akta projekta atbilstība Latvijas Republikas starptautiskajām saistībām</w:t>
            </w:r>
          </w:p>
        </w:tc>
      </w:tr>
      <w:tr w:rsidR="00DB361C" w14:paraId="147E07C3" w14:textId="77777777" w:rsidTr="00FC074B">
        <w:trPr>
          <w:trHeight w:val="288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F48423" w14:textId="77777777" w:rsidR="00DB361C" w:rsidRDefault="00DB361C" w:rsidP="00FC074B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color w:val="414142"/>
              </w:rPr>
            </w:pPr>
            <w:r>
              <w:t>Noteikumu projekts šo jomu neskar</w:t>
            </w:r>
          </w:p>
        </w:tc>
      </w:tr>
    </w:tbl>
    <w:p w14:paraId="3CF03EEF" w14:textId="69147937" w:rsidR="001F002D" w:rsidRDefault="001F002D"/>
    <w:p w14:paraId="517B11B0" w14:textId="77777777" w:rsidR="0056677F" w:rsidRDefault="0056677F"/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3030"/>
        <w:gridCol w:w="5675"/>
      </w:tblGrid>
      <w:tr w:rsidR="008D68DB" w14:paraId="5DD4BAC2" w14:textId="77777777" w:rsidTr="00DB361C">
        <w:trPr>
          <w:trHeight w:val="281"/>
        </w:trPr>
        <w:tc>
          <w:tcPr>
            <w:tcW w:w="9356" w:type="dxa"/>
            <w:gridSpan w:val="3"/>
            <w:shd w:val="clear" w:color="000000" w:fill="auto"/>
          </w:tcPr>
          <w:p w14:paraId="2FAB6880" w14:textId="77777777" w:rsidR="008D68DB" w:rsidRDefault="00DF37E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VI. Sabiedrības līdzdalība un komunikācijas aktivitātes</w:t>
            </w:r>
          </w:p>
        </w:tc>
      </w:tr>
      <w:tr w:rsidR="008D68DB" w14:paraId="4377747E" w14:textId="77777777" w:rsidTr="00DB361C">
        <w:trPr>
          <w:trHeight w:val="1141"/>
        </w:trPr>
        <w:tc>
          <w:tcPr>
            <w:tcW w:w="651" w:type="dxa"/>
            <w:shd w:val="clear" w:color="000000" w:fill="auto"/>
          </w:tcPr>
          <w:p w14:paraId="450D9086" w14:textId="77777777" w:rsidR="008D68DB" w:rsidRDefault="00DF37EA">
            <w:r>
              <w:t xml:space="preserve">1. </w:t>
            </w:r>
          </w:p>
        </w:tc>
        <w:tc>
          <w:tcPr>
            <w:tcW w:w="3030" w:type="dxa"/>
            <w:shd w:val="clear" w:color="000000" w:fill="auto"/>
          </w:tcPr>
          <w:p w14:paraId="346E3BAC" w14:textId="77777777" w:rsidR="008D68DB" w:rsidRDefault="00DF37EA">
            <w:pPr>
              <w:pStyle w:val="naiskr"/>
              <w:ind w:left="57" w:right="57"/>
            </w:pPr>
            <w:r>
              <w:t>Plānotās sabiedrības līdzdalības un komunikācijas aktivitātes saistībā ar projektu</w:t>
            </w:r>
          </w:p>
        </w:tc>
        <w:tc>
          <w:tcPr>
            <w:tcW w:w="5675" w:type="dxa"/>
            <w:shd w:val="clear" w:color="000000" w:fill="auto"/>
          </w:tcPr>
          <w:p w14:paraId="03F40AE8" w14:textId="5FBB87D0" w:rsidR="008D68DB" w:rsidRDefault="00DB361C">
            <w:pPr>
              <w:jc w:val="both"/>
            </w:pPr>
            <w:r>
              <w:t>I</w:t>
            </w:r>
            <w:r w:rsidR="0040133A">
              <w:t>e</w:t>
            </w:r>
            <w:r>
              <w:t xml:space="preserve">vērojot ārkārtējās </w:t>
            </w:r>
            <w:r w:rsidR="0040133A">
              <w:t xml:space="preserve">situācijas izsludināšanu un nepieciešamo izmaiņu steidzamību, sabiedrības līdzdalības un komunikācijas aktivitātes netiek plānotas. </w:t>
            </w:r>
          </w:p>
          <w:p w14:paraId="44531C74" w14:textId="77777777" w:rsidR="008D68DB" w:rsidRDefault="008D68DB">
            <w:pPr>
              <w:jc w:val="both"/>
              <w:rPr>
                <w:color w:val="FF0000"/>
              </w:rPr>
            </w:pPr>
          </w:p>
        </w:tc>
      </w:tr>
      <w:tr w:rsidR="008D68DB" w14:paraId="1772AE3E" w14:textId="77777777" w:rsidTr="00DB361C">
        <w:trPr>
          <w:trHeight w:val="681"/>
        </w:trPr>
        <w:tc>
          <w:tcPr>
            <w:tcW w:w="651" w:type="dxa"/>
            <w:shd w:val="clear" w:color="000000" w:fill="auto"/>
          </w:tcPr>
          <w:p w14:paraId="58BCE442" w14:textId="77777777" w:rsidR="008D68DB" w:rsidRDefault="00DF37EA">
            <w:r>
              <w:t xml:space="preserve">2. </w:t>
            </w:r>
          </w:p>
        </w:tc>
        <w:tc>
          <w:tcPr>
            <w:tcW w:w="3030" w:type="dxa"/>
            <w:shd w:val="clear" w:color="000000" w:fill="auto"/>
          </w:tcPr>
          <w:p w14:paraId="618D93B0" w14:textId="77777777" w:rsidR="008D68DB" w:rsidRDefault="00DF37EA">
            <w:pPr>
              <w:pStyle w:val="naiskr"/>
              <w:ind w:left="57" w:right="57"/>
            </w:pPr>
            <w:r>
              <w:t xml:space="preserve">Sabiedrības līdzdalība projekta izstrādē </w:t>
            </w:r>
          </w:p>
        </w:tc>
        <w:tc>
          <w:tcPr>
            <w:tcW w:w="5675" w:type="dxa"/>
            <w:shd w:val="clear" w:color="000000" w:fill="auto"/>
          </w:tcPr>
          <w:p w14:paraId="0F67AD5E" w14:textId="5CCAE288" w:rsidR="008D68DB" w:rsidRDefault="0040133A">
            <w:pPr>
              <w:jc w:val="both"/>
              <w:rPr>
                <w:i/>
                <w:color w:val="FF0000"/>
              </w:rPr>
            </w:pPr>
            <w:r>
              <w:t>Nav.</w:t>
            </w:r>
          </w:p>
        </w:tc>
      </w:tr>
      <w:tr w:rsidR="008D68DB" w14:paraId="409485A1" w14:textId="77777777" w:rsidTr="00805363">
        <w:trPr>
          <w:trHeight w:val="968"/>
        </w:trPr>
        <w:tc>
          <w:tcPr>
            <w:tcW w:w="651" w:type="dxa"/>
            <w:shd w:val="clear" w:color="000000" w:fill="auto"/>
          </w:tcPr>
          <w:p w14:paraId="259331C1" w14:textId="77777777" w:rsidR="008D68DB" w:rsidRDefault="00DF37EA">
            <w:r>
              <w:t>3.</w:t>
            </w:r>
          </w:p>
        </w:tc>
        <w:tc>
          <w:tcPr>
            <w:tcW w:w="3030" w:type="dxa"/>
            <w:shd w:val="clear" w:color="000000" w:fill="auto"/>
          </w:tcPr>
          <w:p w14:paraId="1AE8798E" w14:textId="77777777" w:rsidR="008D68DB" w:rsidRDefault="00DF37EA">
            <w:pPr>
              <w:pStyle w:val="naiskr"/>
              <w:ind w:left="57" w:right="57"/>
            </w:pPr>
            <w:r>
              <w:t xml:space="preserve">Sabiedrības līdzdalības rezultāti </w:t>
            </w:r>
            <w:bookmarkStart w:id="0" w:name="_GoBack"/>
            <w:bookmarkEnd w:id="0"/>
          </w:p>
        </w:tc>
        <w:tc>
          <w:tcPr>
            <w:tcW w:w="5675" w:type="dxa"/>
            <w:shd w:val="clear" w:color="000000" w:fill="auto"/>
          </w:tcPr>
          <w:p w14:paraId="638BF827" w14:textId="28E1CE9C" w:rsidR="008D68DB" w:rsidRDefault="0040133A">
            <w:pPr>
              <w:ind w:right="57"/>
              <w:jc w:val="both"/>
            </w:pPr>
            <w:r>
              <w:t>Nav.</w:t>
            </w:r>
          </w:p>
          <w:p w14:paraId="07326465" w14:textId="77777777" w:rsidR="008D68DB" w:rsidRPr="00805363" w:rsidRDefault="008D68DB" w:rsidP="00805363"/>
        </w:tc>
      </w:tr>
      <w:tr w:rsidR="008D68DB" w14:paraId="761CC269" w14:textId="77777777" w:rsidTr="00DB361C">
        <w:trPr>
          <w:trHeight w:val="578"/>
        </w:trPr>
        <w:tc>
          <w:tcPr>
            <w:tcW w:w="651" w:type="dxa"/>
            <w:shd w:val="clear" w:color="000000" w:fill="auto"/>
          </w:tcPr>
          <w:p w14:paraId="1CD741D0" w14:textId="77777777" w:rsidR="008D68DB" w:rsidRDefault="00DF37EA">
            <w:r>
              <w:t>4.</w:t>
            </w:r>
          </w:p>
        </w:tc>
        <w:tc>
          <w:tcPr>
            <w:tcW w:w="3030" w:type="dxa"/>
            <w:shd w:val="clear" w:color="000000" w:fill="auto"/>
          </w:tcPr>
          <w:p w14:paraId="0904979E" w14:textId="77777777" w:rsidR="008D68DB" w:rsidRDefault="00DF37EA">
            <w:pPr>
              <w:pStyle w:val="naiskr"/>
              <w:ind w:left="57" w:right="57"/>
            </w:pPr>
            <w:r>
              <w:t>Cita informācija</w:t>
            </w:r>
          </w:p>
          <w:p w14:paraId="10392DB7" w14:textId="77777777" w:rsidR="008D68DB" w:rsidRDefault="008D68DB">
            <w:pPr>
              <w:pStyle w:val="naiskr"/>
              <w:ind w:left="57" w:right="57"/>
            </w:pPr>
          </w:p>
        </w:tc>
        <w:tc>
          <w:tcPr>
            <w:tcW w:w="5675" w:type="dxa"/>
            <w:shd w:val="clear" w:color="000000" w:fill="auto"/>
          </w:tcPr>
          <w:p w14:paraId="7C9B8A7C" w14:textId="77777777" w:rsidR="008D68DB" w:rsidRDefault="00DF3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Nav.</w:t>
            </w:r>
          </w:p>
        </w:tc>
      </w:tr>
    </w:tbl>
    <w:p w14:paraId="485B30A7" w14:textId="29399F60" w:rsidR="008D68DB" w:rsidRDefault="008D68DB">
      <w:pPr>
        <w:jc w:val="center"/>
      </w:pPr>
    </w:p>
    <w:p w14:paraId="22A3E32B" w14:textId="77777777" w:rsidR="0056677F" w:rsidRDefault="0056677F">
      <w:pPr>
        <w:jc w:val="center"/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2985"/>
        <w:gridCol w:w="5720"/>
      </w:tblGrid>
      <w:tr w:rsidR="008D68DB" w14:paraId="09145DF0" w14:textId="77777777" w:rsidTr="0040133A">
        <w:tc>
          <w:tcPr>
            <w:tcW w:w="9356" w:type="dxa"/>
            <w:gridSpan w:val="3"/>
            <w:shd w:val="clear" w:color="000000" w:fill="auto"/>
          </w:tcPr>
          <w:p w14:paraId="6D664FE8" w14:textId="77777777" w:rsidR="008D68DB" w:rsidRDefault="00DF37EA">
            <w:pPr>
              <w:jc w:val="center"/>
              <w:rPr>
                <w:b/>
              </w:rPr>
            </w:pPr>
            <w:r>
              <w:rPr>
                <w:b/>
              </w:rPr>
              <w:t>VII. Tiesību akta projekta izpildes nodrošināšana un tās ietekme uz institūcijām</w:t>
            </w:r>
          </w:p>
        </w:tc>
      </w:tr>
      <w:tr w:rsidR="008D68DB" w14:paraId="45FC3E40" w14:textId="77777777" w:rsidTr="0040133A">
        <w:tc>
          <w:tcPr>
            <w:tcW w:w="651" w:type="dxa"/>
            <w:shd w:val="clear" w:color="000000" w:fill="auto"/>
          </w:tcPr>
          <w:p w14:paraId="6D646DF7" w14:textId="77777777" w:rsidR="008D68DB" w:rsidRDefault="00DF37EA">
            <w:r>
              <w:t xml:space="preserve">1. </w:t>
            </w:r>
          </w:p>
        </w:tc>
        <w:tc>
          <w:tcPr>
            <w:tcW w:w="2985" w:type="dxa"/>
            <w:shd w:val="clear" w:color="000000" w:fill="auto"/>
          </w:tcPr>
          <w:p w14:paraId="40DB9C42" w14:textId="77777777" w:rsidR="008D68DB" w:rsidRDefault="00DF37EA">
            <w:r>
              <w:t>Projekta izpildē iesaistītās institūcijas</w:t>
            </w:r>
          </w:p>
        </w:tc>
        <w:tc>
          <w:tcPr>
            <w:tcW w:w="5720" w:type="dxa"/>
            <w:shd w:val="clear" w:color="000000" w:fill="auto"/>
          </w:tcPr>
          <w:p w14:paraId="44066FCF" w14:textId="7189E1FA" w:rsidR="008D68DB" w:rsidRDefault="00DF3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Noteiku</w:t>
            </w:r>
            <w:r w:rsidR="0040133A">
              <w:rPr>
                <w:color w:val="000000"/>
              </w:rPr>
              <w:t>ma projekta izpildi nodrošinās Nodarbinātības valsts a</w:t>
            </w:r>
            <w:r>
              <w:rPr>
                <w:color w:val="000000"/>
              </w:rPr>
              <w:t>ģentūra.</w:t>
            </w:r>
          </w:p>
        </w:tc>
      </w:tr>
      <w:tr w:rsidR="008D68DB" w14:paraId="027E3A04" w14:textId="77777777" w:rsidTr="0040133A">
        <w:tc>
          <w:tcPr>
            <w:tcW w:w="651" w:type="dxa"/>
            <w:shd w:val="clear" w:color="000000" w:fill="auto"/>
          </w:tcPr>
          <w:p w14:paraId="78ED0639" w14:textId="77777777" w:rsidR="008D68DB" w:rsidRDefault="00DF37EA">
            <w:r>
              <w:t xml:space="preserve">2. </w:t>
            </w:r>
          </w:p>
        </w:tc>
        <w:tc>
          <w:tcPr>
            <w:tcW w:w="2985" w:type="dxa"/>
            <w:shd w:val="clear" w:color="000000" w:fill="auto"/>
          </w:tcPr>
          <w:p w14:paraId="3814A4E7" w14:textId="77777777" w:rsidR="008D68DB" w:rsidRDefault="00DF37EA">
            <w:r>
              <w:t>Projekta izpildes ietekme uz pārvaldes funkcijām un institucionālo struktūru.</w:t>
            </w:r>
          </w:p>
          <w:p w14:paraId="0B0716DA" w14:textId="77777777" w:rsidR="008D68DB" w:rsidRDefault="00DF37EA">
            <w:r>
              <w:t>Jaunu institūciju izveide, esošu institūciju likvidācija vai reorganizācija, to ietekme uz institūcijas cilvēkresursiem</w:t>
            </w:r>
          </w:p>
        </w:tc>
        <w:tc>
          <w:tcPr>
            <w:tcW w:w="5720" w:type="dxa"/>
            <w:shd w:val="clear" w:color="000000" w:fill="auto"/>
          </w:tcPr>
          <w:p w14:paraId="2A045003" w14:textId="11F2396F" w:rsidR="008D68DB" w:rsidRDefault="00DF37EA" w:rsidP="004013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Noteikumu projekts neparedz </w:t>
            </w:r>
            <w:r w:rsidR="0040133A">
              <w:rPr>
                <w:color w:val="000000"/>
              </w:rPr>
              <w:t>Nodarbinātības valsts a</w:t>
            </w:r>
            <w:r>
              <w:rPr>
                <w:color w:val="000000"/>
              </w:rPr>
              <w:t xml:space="preserve">ģentūras funkciju paplašināšanu vai sašaurināšanu, kā arī neietekmē pieejamos cilvēkresursus. </w:t>
            </w:r>
          </w:p>
        </w:tc>
      </w:tr>
      <w:tr w:rsidR="008D68DB" w14:paraId="584C5D59" w14:textId="77777777" w:rsidTr="0040133A">
        <w:tc>
          <w:tcPr>
            <w:tcW w:w="651" w:type="dxa"/>
            <w:shd w:val="clear" w:color="000000" w:fill="auto"/>
          </w:tcPr>
          <w:p w14:paraId="3F846466" w14:textId="77777777" w:rsidR="008D68DB" w:rsidRDefault="00DF37EA">
            <w:r>
              <w:t xml:space="preserve">3. </w:t>
            </w:r>
          </w:p>
        </w:tc>
        <w:tc>
          <w:tcPr>
            <w:tcW w:w="2985" w:type="dxa"/>
            <w:shd w:val="clear" w:color="000000" w:fill="auto"/>
          </w:tcPr>
          <w:p w14:paraId="550C78B2" w14:textId="77777777" w:rsidR="008D68DB" w:rsidRDefault="00DF37EA">
            <w:r>
              <w:t>Cita informācija</w:t>
            </w:r>
          </w:p>
        </w:tc>
        <w:tc>
          <w:tcPr>
            <w:tcW w:w="5720" w:type="dxa"/>
            <w:shd w:val="clear" w:color="000000" w:fill="auto"/>
          </w:tcPr>
          <w:p w14:paraId="5A7F14C3" w14:textId="77777777" w:rsidR="008D68DB" w:rsidRDefault="00DF3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Nav.</w:t>
            </w:r>
          </w:p>
        </w:tc>
      </w:tr>
    </w:tbl>
    <w:p w14:paraId="04A5F760" w14:textId="77777777" w:rsidR="008D68DB" w:rsidRDefault="008D68DB">
      <w:pPr>
        <w:rPr>
          <w:i/>
        </w:rPr>
      </w:pPr>
    </w:p>
    <w:p w14:paraId="6E0FE1C2" w14:textId="77777777" w:rsidR="008D68DB" w:rsidRDefault="008D68DB">
      <w:pPr>
        <w:jc w:val="center"/>
        <w:rPr>
          <w:i/>
        </w:rPr>
      </w:pPr>
    </w:p>
    <w:p w14:paraId="7254BF0B" w14:textId="77777777" w:rsidR="008D68DB" w:rsidRDefault="008D68DB"/>
    <w:p w14:paraId="3831F4AB" w14:textId="77777777" w:rsidR="008D68DB" w:rsidRDefault="008D68DB">
      <w:pPr>
        <w:jc w:val="center"/>
      </w:pPr>
    </w:p>
    <w:p w14:paraId="6F841EB5" w14:textId="77777777" w:rsidR="008D68DB" w:rsidRDefault="00DF37EA">
      <w:pPr>
        <w:ind w:firstLine="720"/>
      </w:pPr>
      <w:r>
        <w:t>Labklājības ministre</w:t>
      </w:r>
      <w:r>
        <w:tab/>
      </w:r>
      <w:r>
        <w:tab/>
      </w:r>
      <w:r>
        <w:tab/>
      </w:r>
      <w:r>
        <w:tab/>
      </w:r>
      <w:r>
        <w:tab/>
      </w:r>
      <w:r>
        <w:tab/>
        <w:t>R.Petraviča</w:t>
      </w:r>
      <w:r>
        <w:tab/>
      </w:r>
      <w:r>
        <w:tab/>
      </w:r>
    </w:p>
    <w:p w14:paraId="3A9AF6BF" w14:textId="77777777" w:rsidR="008D68DB" w:rsidRDefault="008D68DB"/>
    <w:p w14:paraId="65F8D3ED" w14:textId="77777777" w:rsidR="008D68DB" w:rsidRDefault="008D68DB"/>
    <w:p w14:paraId="15E7236F" w14:textId="77777777" w:rsidR="008D68DB" w:rsidRDefault="008D68DB"/>
    <w:p w14:paraId="5F472839" w14:textId="77777777" w:rsidR="008D68DB" w:rsidRDefault="00DF37EA">
      <w:r>
        <w:tab/>
        <w:t xml:space="preserve">                  </w:t>
      </w:r>
    </w:p>
    <w:p w14:paraId="6EA4556C" w14:textId="77777777" w:rsidR="0040133A" w:rsidRDefault="00DF37EA">
      <w:pPr>
        <w:rPr>
          <w:rFonts w:eastAsia="Arial" w:hAnsi="Arial"/>
          <w:sz w:val="20"/>
          <w:szCs w:val="20"/>
        </w:rPr>
      </w:pPr>
      <w:r>
        <w:rPr>
          <w:rFonts w:eastAsia="Arial" w:hAnsi="Arial"/>
          <w:sz w:val="20"/>
          <w:szCs w:val="20"/>
        </w:rPr>
        <w:t>Iljina, 67021616</w:t>
      </w:r>
    </w:p>
    <w:p w14:paraId="4FAF56D0" w14:textId="316E098B" w:rsidR="00CB7F04" w:rsidRPr="0040133A" w:rsidRDefault="00DF37EA">
      <w:pPr>
        <w:rPr>
          <w:rFonts w:eastAsia="Arial" w:hAnsi="Arial"/>
          <w:sz w:val="20"/>
          <w:szCs w:val="20"/>
        </w:rPr>
      </w:pPr>
      <w:r>
        <w:rPr>
          <w:sz w:val="20"/>
          <w:szCs w:val="20"/>
        </w:rPr>
        <w:t xml:space="preserve"> </w:t>
      </w:r>
      <w:hyperlink r:id="rId8" w:history="1">
        <w:r>
          <w:rPr>
            <w:rStyle w:val="Hyperlink"/>
          </w:rPr>
          <w:t>Olga.Iljina@lm.gov.lv</w:t>
        </w:r>
      </w:hyperlink>
    </w:p>
    <w:p w14:paraId="3980D668" w14:textId="77777777" w:rsidR="00CB7F04" w:rsidRPr="00CB7F04" w:rsidRDefault="00CB7F04" w:rsidP="00CB7F04">
      <w:pPr>
        <w:rPr>
          <w:sz w:val="20"/>
          <w:szCs w:val="20"/>
        </w:rPr>
      </w:pPr>
    </w:p>
    <w:p w14:paraId="736A9924" w14:textId="0665078C" w:rsidR="00CB7F04" w:rsidRDefault="00CB7F04" w:rsidP="00CB7F04">
      <w:pPr>
        <w:rPr>
          <w:sz w:val="20"/>
          <w:szCs w:val="20"/>
        </w:rPr>
      </w:pPr>
    </w:p>
    <w:p w14:paraId="3BF513D3" w14:textId="77777777" w:rsidR="00CB7F04" w:rsidRPr="00CB7F04" w:rsidRDefault="00CB7F04" w:rsidP="00CB7F04">
      <w:pPr>
        <w:rPr>
          <w:sz w:val="20"/>
          <w:szCs w:val="20"/>
        </w:rPr>
      </w:pPr>
    </w:p>
    <w:p w14:paraId="41373137" w14:textId="77777777" w:rsidR="00CB7F04" w:rsidRPr="00CB7F04" w:rsidRDefault="00CB7F04" w:rsidP="00CB7F04">
      <w:pPr>
        <w:rPr>
          <w:sz w:val="20"/>
          <w:szCs w:val="20"/>
        </w:rPr>
      </w:pPr>
    </w:p>
    <w:p w14:paraId="170CAF17" w14:textId="77777777" w:rsidR="00CB7F04" w:rsidRPr="00CB7F04" w:rsidRDefault="00CB7F04" w:rsidP="00CB7F04">
      <w:pPr>
        <w:rPr>
          <w:sz w:val="20"/>
          <w:szCs w:val="20"/>
        </w:rPr>
      </w:pPr>
    </w:p>
    <w:p w14:paraId="3E897170" w14:textId="77777777" w:rsidR="00CB7F04" w:rsidRPr="00CB7F04" w:rsidRDefault="00CB7F04" w:rsidP="00CB7F04">
      <w:pPr>
        <w:rPr>
          <w:sz w:val="20"/>
          <w:szCs w:val="20"/>
        </w:rPr>
      </w:pPr>
    </w:p>
    <w:p w14:paraId="25716E8E" w14:textId="39D1AB2E" w:rsidR="00CB7F04" w:rsidRDefault="00CB7F04" w:rsidP="00CB7F04">
      <w:pPr>
        <w:rPr>
          <w:sz w:val="20"/>
          <w:szCs w:val="20"/>
        </w:rPr>
      </w:pPr>
    </w:p>
    <w:p w14:paraId="0961F57B" w14:textId="77777777" w:rsidR="00CB7F04" w:rsidRPr="00CB7F04" w:rsidRDefault="00CB7F04" w:rsidP="00CB7F04">
      <w:pPr>
        <w:rPr>
          <w:sz w:val="20"/>
          <w:szCs w:val="20"/>
        </w:rPr>
      </w:pPr>
    </w:p>
    <w:p w14:paraId="3BA0E737" w14:textId="0E132184" w:rsidR="008D68DB" w:rsidRPr="00CB7F04" w:rsidRDefault="00CB7F04" w:rsidP="00CB7F04">
      <w:pPr>
        <w:tabs>
          <w:tab w:val="left" w:pos="108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8D68DB" w:rsidRPr="00CB7F04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2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D4B60" w14:textId="77777777" w:rsidR="00247D1F" w:rsidRDefault="00247D1F">
      <w:r>
        <w:separator/>
      </w:r>
    </w:p>
  </w:endnote>
  <w:endnote w:type="continuationSeparator" w:id="0">
    <w:p w14:paraId="03CD7F73" w14:textId="77777777" w:rsidR="00247D1F" w:rsidRDefault="0024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HelveticaL-Book">
    <w:altName w:val="Arial Unicode MS"/>
    <w:charset w:val="00"/>
    <w:family w:val="auto"/>
    <w:pitch w:val="variable"/>
    <w:sig w:usb0="A00002EF" w:usb1="4000207B" w:usb2="00000000" w:usb3="00000000" w:csb0="FFFFFF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05E99" w14:textId="087CB1D3" w:rsidR="001F002D" w:rsidRDefault="001F002D">
    <w:pPr>
      <w:pStyle w:val="NormalWeb"/>
      <w:jc w:val="both"/>
    </w:pPr>
    <w:r>
      <w:t>LM</w:t>
    </w:r>
    <w:r w:rsidR="00674816">
      <w:t>a</w:t>
    </w:r>
    <w:r>
      <w:t>not_</w:t>
    </w:r>
    <w:r w:rsidR="0040133A">
      <w:t>17</w:t>
    </w:r>
    <w:r>
      <w:t>0</w:t>
    </w:r>
    <w:r w:rsidR="00607597">
      <w:t>3</w:t>
    </w:r>
    <w:r w:rsidR="00674816">
      <w:t>20</w:t>
    </w:r>
    <w:r>
      <w:t>_75; Grozījumi Ministru kabineta 2011. gada 25. janvāra noteikumos Nr. 75 „Noteikumi par aktīvo nodarbinātības pasākumu un preventīvo bezdarba samazināšanas pasākumu organizēšanas un finansēšanas kārtību un pasākumu īstenotāju izvēles principiem”</w:t>
    </w:r>
  </w:p>
  <w:p w14:paraId="67BA047F" w14:textId="77777777" w:rsidR="001F002D" w:rsidRDefault="001F002D">
    <w:pPr>
      <w:pStyle w:val="Footer"/>
      <w:tabs>
        <w:tab w:val="left" w:pos="2631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418FE" w14:textId="3DE1D498" w:rsidR="001F002D" w:rsidRDefault="001F002D">
    <w:pPr>
      <w:pStyle w:val="NormalWeb"/>
      <w:jc w:val="both"/>
    </w:pPr>
    <w:r>
      <w:t>LM</w:t>
    </w:r>
    <w:r w:rsidR="00674816">
      <w:t>a</w:t>
    </w:r>
    <w:r>
      <w:t>not_</w:t>
    </w:r>
    <w:r w:rsidR="001348AC">
      <w:t>170</w:t>
    </w:r>
    <w:r w:rsidR="00607597">
      <w:t>3</w:t>
    </w:r>
    <w:r w:rsidR="00674816">
      <w:t>20</w:t>
    </w:r>
    <w:r>
      <w:t>_75; Grozījumi Ministru kabineta 2011. gada 25. janvāra noteikumos Nr. 75 „Noteikumi par aktīvo nodarbinātības pasākumu un preventīvo bezdarba samazināšanas pasākumu organizēšanas un finansēšanas kārtību un pasākumu īstenotāju izvēles principiem”</w:t>
    </w:r>
  </w:p>
  <w:p w14:paraId="561FBD29" w14:textId="77777777" w:rsidR="001F002D" w:rsidRDefault="001F0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BFD29" w14:textId="77777777" w:rsidR="00247D1F" w:rsidRDefault="00247D1F">
      <w:r>
        <w:separator/>
      </w:r>
    </w:p>
  </w:footnote>
  <w:footnote w:type="continuationSeparator" w:id="0">
    <w:p w14:paraId="0F704E97" w14:textId="77777777" w:rsidR="00247D1F" w:rsidRDefault="00247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0261D" w14:textId="77777777" w:rsidR="001F002D" w:rsidRDefault="001F002D">
    <w:pPr>
      <w:pStyle w:val="Header"/>
      <w:framePr w:wrap="none" w:vAnchor="text" w:hAnchor="margin" w:x="4470" w:y="1"/>
      <w:rPr>
        <w:rStyle w:val="PageNumber"/>
      </w:rPr>
    </w:pPr>
    <w:r>
      <w:rPr>
        <w:rStyle w:val="PageNumber"/>
      </w:rPr>
      <w:fldChar w:fldCharType="begin"/>
    </w:r>
    <w:r>
      <w:instrText>PAGE  \* MERGEFORMAT</w:instrText>
    </w:r>
    <w: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213028D" w14:textId="77777777" w:rsidR="001F002D" w:rsidRDefault="001F00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0B715" w14:textId="77777777" w:rsidR="001F002D" w:rsidRDefault="001F002D">
    <w:pPr>
      <w:pStyle w:val="Header"/>
      <w:framePr w:wrap="none" w:vAnchor="text" w:hAnchor="margin" w:x="4470" w:y="1"/>
      <w:rPr>
        <w:rStyle w:val="PageNumber"/>
      </w:rPr>
    </w:pPr>
    <w:r>
      <w:rPr>
        <w:rStyle w:val="PageNumber"/>
      </w:rPr>
      <w:fldChar w:fldCharType="begin"/>
    </w:r>
    <w:r>
      <w:instrText>PAGE  \* MERGEFORMAT</w:instrText>
    </w:r>
    <w:r>
      <w:fldChar w:fldCharType="separate"/>
    </w:r>
    <w:r w:rsidR="00C9341A" w:rsidRPr="00C9341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9C6A5B" w14:textId="77777777" w:rsidR="001F002D" w:rsidRDefault="001F0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00000"/>
    <w:multiLevelType w:val="hybridMultilevel"/>
    <w:tmpl w:val="2BF34668"/>
    <w:lvl w:ilvl="0" w:tplc="F9D61C40">
      <w:start w:val="23"/>
      <w:numFmt w:val="bullet"/>
      <w:lvlText w:val="-"/>
      <w:lvlJc w:val="left"/>
      <w:pPr>
        <w:ind w:left="720" w:hanging="360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1" w:tplc="1674E14A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41ED572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FE82654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B442CC6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8A209B0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5AA5972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766A580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7C89488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 w15:restartNumberingAfterBreak="0">
    <w:nsid w:val="2F000001"/>
    <w:multiLevelType w:val="hybridMultilevel"/>
    <w:tmpl w:val="3588E114"/>
    <w:lvl w:ilvl="0" w:tplc="CE5415F4">
      <w:start w:val="13"/>
      <w:numFmt w:val="decimal"/>
      <w:lvlText w:val="%1."/>
      <w:lvlJc w:val="left"/>
      <w:pPr>
        <w:ind w:left="720" w:hanging="360"/>
        <w:jc w:val="both"/>
      </w:pPr>
    </w:lvl>
    <w:lvl w:ilvl="1" w:tplc="B62077FC">
      <w:start w:val="1"/>
      <w:numFmt w:val="lowerLetter"/>
      <w:lvlText w:val="%2."/>
      <w:lvlJc w:val="left"/>
      <w:pPr>
        <w:ind w:left="1440" w:hanging="360"/>
        <w:jc w:val="both"/>
      </w:pPr>
    </w:lvl>
    <w:lvl w:ilvl="2" w:tplc="753275D6">
      <w:start w:val="1"/>
      <w:numFmt w:val="lowerRoman"/>
      <w:lvlText w:val="%3."/>
      <w:lvlJc w:val="right"/>
      <w:pPr>
        <w:ind w:left="2160" w:hanging="180"/>
        <w:jc w:val="both"/>
      </w:pPr>
    </w:lvl>
    <w:lvl w:ilvl="3" w:tplc="0AF83D92">
      <w:start w:val="1"/>
      <w:numFmt w:val="decimal"/>
      <w:lvlText w:val="%4."/>
      <w:lvlJc w:val="left"/>
      <w:pPr>
        <w:ind w:left="2880" w:hanging="360"/>
        <w:jc w:val="both"/>
      </w:pPr>
    </w:lvl>
    <w:lvl w:ilvl="4" w:tplc="92D20064">
      <w:start w:val="1"/>
      <w:numFmt w:val="lowerLetter"/>
      <w:lvlText w:val="%5."/>
      <w:lvlJc w:val="left"/>
      <w:pPr>
        <w:ind w:left="3600" w:hanging="360"/>
        <w:jc w:val="both"/>
      </w:pPr>
    </w:lvl>
    <w:lvl w:ilvl="5" w:tplc="3EAE20F8">
      <w:start w:val="1"/>
      <w:numFmt w:val="lowerRoman"/>
      <w:lvlText w:val="%6."/>
      <w:lvlJc w:val="right"/>
      <w:pPr>
        <w:ind w:left="4320" w:hanging="180"/>
        <w:jc w:val="both"/>
      </w:pPr>
    </w:lvl>
    <w:lvl w:ilvl="6" w:tplc="29A4F276">
      <w:start w:val="1"/>
      <w:numFmt w:val="decimal"/>
      <w:lvlText w:val="%7."/>
      <w:lvlJc w:val="left"/>
      <w:pPr>
        <w:ind w:left="5040" w:hanging="360"/>
        <w:jc w:val="both"/>
      </w:pPr>
    </w:lvl>
    <w:lvl w:ilvl="7" w:tplc="467A47A4">
      <w:start w:val="1"/>
      <w:numFmt w:val="lowerLetter"/>
      <w:lvlText w:val="%8."/>
      <w:lvlJc w:val="left"/>
      <w:pPr>
        <w:ind w:left="5760" w:hanging="360"/>
        <w:jc w:val="both"/>
      </w:pPr>
    </w:lvl>
    <w:lvl w:ilvl="8" w:tplc="C57825F6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2" w15:restartNumberingAfterBreak="0">
    <w:nsid w:val="2F000002"/>
    <w:multiLevelType w:val="hybridMultilevel"/>
    <w:tmpl w:val="22A8C0AB"/>
    <w:lvl w:ilvl="0" w:tplc="89C6E032">
      <w:start w:val="1"/>
      <w:numFmt w:val="decimal"/>
      <w:lvlText w:val="%1."/>
      <w:lvlJc w:val="left"/>
      <w:pPr>
        <w:ind w:left="870" w:hanging="510"/>
        <w:jc w:val="both"/>
      </w:pPr>
      <w:rPr>
        <w:rFonts w:ascii="Times New Roman" w:eastAsia="Times New Roman" w:hAnsi="Times New Roman"/>
        <w:w w:val="100"/>
        <w:sz w:val="24"/>
        <w:szCs w:val="24"/>
        <w:shd w:val="clear" w:color="auto" w:fill="auto"/>
      </w:rPr>
    </w:lvl>
    <w:lvl w:ilvl="1" w:tplc="87DEB7F6">
      <w:start w:val="1"/>
      <w:numFmt w:val="lowerLetter"/>
      <w:lvlText w:val="%2."/>
      <w:lvlJc w:val="left"/>
      <w:pPr>
        <w:ind w:left="1440" w:hanging="360"/>
        <w:jc w:val="both"/>
      </w:pPr>
    </w:lvl>
    <w:lvl w:ilvl="2" w:tplc="F29E5E56">
      <w:start w:val="1"/>
      <w:numFmt w:val="lowerRoman"/>
      <w:lvlText w:val="%3."/>
      <w:lvlJc w:val="right"/>
      <w:pPr>
        <w:ind w:left="2160" w:hanging="180"/>
        <w:jc w:val="both"/>
      </w:pPr>
    </w:lvl>
    <w:lvl w:ilvl="3" w:tplc="87E4B8F2">
      <w:start w:val="1"/>
      <w:numFmt w:val="decimal"/>
      <w:lvlText w:val="%4."/>
      <w:lvlJc w:val="left"/>
      <w:pPr>
        <w:ind w:left="2880" w:hanging="360"/>
        <w:jc w:val="both"/>
      </w:pPr>
    </w:lvl>
    <w:lvl w:ilvl="4" w:tplc="A1A013A6">
      <w:start w:val="1"/>
      <w:numFmt w:val="lowerLetter"/>
      <w:lvlText w:val="%5."/>
      <w:lvlJc w:val="left"/>
      <w:pPr>
        <w:ind w:left="3600" w:hanging="360"/>
        <w:jc w:val="both"/>
      </w:pPr>
    </w:lvl>
    <w:lvl w:ilvl="5" w:tplc="43B83B60">
      <w:start w:val="1"/>
      <w:numFmt w:val="lowerRoman"/>
      <w:lvlText w:val="%6."/>
      <w:lvlJc w:val="right"/>
      <w:pPr>
        <w:ind w:left="4320" w:hanging="180"/>
        <w:jc w:val="both"/>
      </w:pPr>
    </w:lvl>
    <w:lvl w:ilvl="6" w:tplc="1E10D044">
      <w:start w:val="1"/>
      <w:numFmt w:val="decimal"/>
      <w:lvlText w:val="%7."/>
      <w:lvlJc w:val="left"/>
      <w:pPr>
        <w:ind w:left="5040" w:hanging="360"/>
        <w:jc w:val="both"/>
      </w:pPr>
    </w:lvl>
    <w:lvl w:ilvl="7" w:tplc="66ECD832">
      <w:start w:val="1"/>
      <w:numFmt w:val="lowerLetter"/>
      <w:lvlText w:val="%8."/>
      <w:lvlJc w:val="left"/>
      <w:pPr>
        <w:ind w:left="5760" w:hanging="360"/>
        <w:jc w:val="both"/>
      </w:pPr>
    </w:lvl>
    <w:lvl w:ilvl="8" w:tplc="96386F0C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3" w15:restartNumberingAfterBreak="0">
    <w:nsid w:val="2F000003"/>
    <w:multiLevelType w:val="hybridMultilevel"/>
    <w:tmpl w:val="55541ABF"/>
    <w:lvl w:ilvl="0" w:tplc="910CE618">
      <w:start w:val="1"/>
      <w:numFmt w:val="decimal"/>
      <w:lvlText w:val="%1."/>
      <w:lvlJc w:val="left"/>
      <w:pPr>
        <w:ind w:left="927" w:hanging="360"/>
        <w:jc w:val="both"/>
      </w:pPr>
    </w:lvl>
    <w:lvl w:ilvl="1" w:tplc="A5F097B4">
      <w:start w:val="1"/>
      <w:numFmt w:val="lowerLetter"/>
      <w:lvlText w:val="%2."/>
      <w:lvlJc w:val="left"/>
      <w:pPr>
        <w:ind w:left="1647" w:hanging="360"/>
        <w:jc w:val="both"/>
      </w:pPr>
    </w:lvl>
    <w:lvl w:ilvl="2" w:tplc="773213A6">
      <w:start w:val="1"/>
      <w:numFmt w:val="lowerRoman"/>
      <w:lvlText w:val="%3."/>
      <w:lvlJc w:val="right"/>
      <w:pPr>
        <w:ind w:left="2367" w:hanging="180"/>
        <w:jc w:val="both"/>
      </w:pPr>
    </w:lvl>
    <w:lvl w:ilvl="3" w:tplc="44060EBC">
      <w:start w:val="1"/>
      <w:numFmt w:val="decimal"/>
      <w:lvlText w:val="%4."/>
      <w:lvlJc w:val="left"/>
      <w:pPr>
        <w:ind w:left="3087" w:hanging="360"/>
        <w:jc w:val="both"/>
      </w:pPr>
    </w:lvl>
    <w:lvl w:ilvl="4" w:tplc="90464DE2">
      <w:start w:val="1"/>
      <w:numFmt w:val="lowerLetter"/>
      <w:lvlText w:val="%5."/>
      <w:lvlJc w:val="left"/>
      <w:pPr>
        <w:ind w:left="3807" w:hanging="360"/>
        <w:jc w:val="both"/>
      </w:pPr>
    </w:lvl>
    <w:lvl w:ilvl="5" w:tplc="2DB27BC8">
      <w:start w:val="1"/>
      <w:numFmt w:val="lowerRoman"/>
      <w:lvlText w:val="%6."/>
      <w:lvlJc w:val="right"/>
      <w:pPr>
        <w:ind w:left="4527" w:hanging="180"/>
        <w:jc w:val="both"/>
      </w:pPr>
    </w:lvl>
    <w:lvl w:ilvl="6" w:tplc="0E566626">
      <w:start w:val="1"/>
      <w:numFmt w:val="decimal"/>
      <w:lvlText w:val="%7."/>
      <w:lvlJc w:val="left"/>
      <w:pPr>
        <w:ind w:left="5247" w:hanging="360"/>
        <w:jc w:val="both"/>
      </w:pPr>
    </w:lvl>
    <w:lvl w:ilvl="7" w:tplc="30ACC764">
      <w:start w:val="1"/>
      <w:numFmt w:val="lowerLetter"/>
      <w:lvlText w:val="%8."/>
      <w:lvlJc w:val="left"/>
      <w:pPr>
        <w:ind w:left="5967" w:hanging="360"/>
        <w:jc w:val="both"/>
      </w:pPr>
    </w:lvl>
    <w:lvl w:ilvl="8" w:tplc="CAC8E760">
      <w:start w:val="1"/>
      <w:numFmt w:val="lowerRoman"/>
      <w:lvlText w:val="%9."/>
      <w:lvlJc w:val="right"/>
      <w:pPr>
        <w:ind w:left="6687" w:hanging="180"/>
        <w:jc w:val="both"/>
      </w:pPr>
    </w:lvl>
  </w:abstractNum>
  <w:abstractNum w:abstractNumId="4" w15:restartNumberingAfterBreak="0">
    <w:nsid w:val="2F000004"/>
    <w:multiLevelType w:val="hybridMultilevel"/>
    <w:tmpl w:val="4906B8BF"/>
    <w:lvl w:ilvl="0" w:tplc="E50466E4">
      <w:start w:val="1"/>
      <w:numFmt w:val="decimal"/>
      <w:lvlText w:val="%1."/>
      <w:lvlJc w:val="left"/>
      <w:pPr>
        <w:ind w:left="720" w:hanging="360"/>
        <w:jc w:val="both"/>
      </w:pPr>
      <w:rPr>
        <w:w w:val="100"/>
        <w:sz w:val="20"/>
        <w:szCs w:val="20"/>
        <w:shd w:val="clear" w:color="auto" w:fill="auto"/>
      </w:rPr>
    </w:lvl>
    <w:lvl w:ilvl="1" w:tplc="BD2E006E">
      <w:start w:val="1"/>
      <w:numFmt w:val="lowerLetter"/>
      <w:lvlText w:val="%2."/>
      <w:lvlJc w:val="left"/>
      <w:pPr>
        <w:ind w:left="1440" w:hanging="360"/>
        <w:jc w:val="both"/>
      </w:pPr>
    </w:lvl>
    <w:lvl w:ilvl="2" w:tplc="F968D180">
      <w:start w:val="1"/>
      <w:numFmt w:val="lowerRoman"/>
      <w:lvlText w:val="%3."/>
      <w:lvlJc w:val="right"/>
      <w:pPr>
        <w:ind w:left="2160" w:hanging="180"/>
        <w:jc w:val="both"/>
      </w:pPr>
    </w:lvl>
    <w:lvl w:ilvl="3" w:tplc="CA107F2A">
      <w:start w:val="1"/>
      <w:numFmt w:val="decimal"/>
      <w:lvlText w:val="%4."/>
      <w:lvlJc w:val="left"/>
      <w:pPr>
        <w:ind w:left="2880" w:hanging="360"/>
        <w:jc w:val="both"/>
      </w:pPr>
    </w:lvl>
    <w:lvl w:ilvl="4" w:tplc="0AA8440C">
      <w:start w:val="1"/>
      <w:numFmt w:val="lowerLetter"/>
      <w:lvlText w:val="%5."/>
      <w:lvlJc w:val="left"/>
      <w:pPr>
        <w:ind w:left="3600" w:hanging="360"/>
        <w:jc w:val="both"/>
      </w:pPr>
    </w:lvl>
    <w:lvl w:ilvl="5" w:tplc="DDF47BD8">
      <w:start w:val="1"/>
      <w:numFmt w:val="lowerRoman"/>
      <w:lvlText w:val="%6."/>
      <w:lvlJc w:val="right"/>
      <w:pPr>
        <w:ind w:left="4320" w:hanging="180"/>
        <w:jc w:val="both"/>
      </w:pPr>
    </w:lvl>
    <w:lvl w:ilvl="6" w:tplc="6BD2D8F6">
      <w:start w:val="1"/>
      <w:numFmt w:val="decimal"/>
      <w:lvlText w:val="%7."/>
      <w:lvlJc w:val="left"/>
      <w:pPr>
        <w:ind w:left="5040" w:hanging="360"/>
        <w:jc w:val="both"/>
      </w:pPr>
    </w:lvl>
    <w:lvl w:ilvl="7" w:tplc="050E6910">
      <w:start w:val="1"/>
      <w:numFmt w:val="lowerLetter"/>
      <w:lvlText w:val="%8."/>
      <w:lvlJc w:val="left"/>
      <w:pPr>
        <w:ind w:left="5760" w:hanging="360"/>
        <w:jc w:val="both"/>
      </w:pPr>
    </w:lvl>
    <w:lvl w:ilvl="8" w:tplc="1220D4BA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5" w15:restartNumberingAfterBreak="0">
    <w:nsid w:val="2F000005"/>
    <w:multiLevelType w:val="hybridMultilevel"/>
    <w:tmpl w:val="2D088A96"/>
    <w:lvl w:ilvl="0" w:tplc="93F0CE20">
      <w:start w:val="1"/>
      <w:numFmt w:val="decimal"/>
      <w:lvlText w:val="%1."/>
      <w:lvlJc w:val="left"/>
      <w:pPr>
        <w:ind w:left="1080" w:hanging="360"/>
        <w:jc w:val="both"/>
      </w:pPr>
    </w:lvl>
    <w:lvl w:ilvl="1" w:tplc="237A5B0C">
      <w:start w:val="1"/>
      <w:numFmt w:val="lowerLetter"/>
      <w:lvlText w:val="%2."/>
      <w:lvlJc w:val="left"/>
      <w:pPr>
        <w:ind w:left="1800" w:hanging="360"/>
        <w:jc w:val="both"/>
      </w:pPr>
    </w:lvl>
    <w:lvl w:ilvl="2" w:tplc="4C362500">
      <w:start w:val="1"/>
      <w:numFmt w:val="lowerRoman"/>
      <w:lvlText w:val="%3."/>
      <w:lvlJc w:val="right"/>
      <w:pPr>
        <w:ind w:left="2520" w:hanging="180"/>
        <w:jc w:val="both"/>
      </w:pPr>
    </w:lvl>
    <w:lvl w:ilvl="3" w:tplc="E40C2446">
      <w:start w:val="1"/>
      <w:numFmt w:val="decimal"/>
      <w:lvlText w:val="%4."/>
      <w:lvlJc w:val="left"/>
      <w:pPr>
        <w:ind w:left="3240" w:hanging="360"/>
        <w:jc w:val="both"/>
      </w:pPr>
    </w:lvl>
    <w:lvl w:ilvl="4" w:tplc="1DAEDCC8">
      <w:start w:val="1"/>
      <w:numFmt w:val="lowerLetter"/>
      <w:lvlText w:val="%5."/>
      <w:lvlJc w:val="left"/>
      <w:pPr>
        <w:ind w:left="3960" w:hanging="360"/>
        <w:jc w:val="both"/>
      </w:pPr>
    </w:lvl>
    <w:lvl w:ilvl="5" w:tplc="808E2CCC">
      <w:start w:val="1"/>
      <w:numFmt w:val="lowerRoman"/>
      <w:lvlText w:val="%6."/>
      <w:lvlJc w:val="right"/>
      <w:pPr>
        <w:ind w:left="4680" w:hanging="180"/>
        <w:jc w:val="both"/>
      </w:pPr>
    </w:lvl>
    <w:lvl w:ilvl="6" w:tplc="176612E8">
      <w:start w:val="1"/>
      <w:numFmt w:val="decimal"/>
      <w:lvlText w:val="%7."/>
      <w:lvlJc w:val="left"/>
      <w:pPr>
        <w:ind w:left="5400" w:hanging="360"/>
        <w:jc w:val="both"/>
      </w:pPr>
    </w:lvl>
    <w:lvl w:ilvl="7" w:tplc="9C667376">
      <w:start w:val="1"/>
      <w:numFmt w:val="lowerLetter"/>
      <w:lvlText w:val="%8."/>
      <w:lvlJc w:val="left"/>
      <w:pPr>
        <w:ind w:left="6120" w:hanging="360"/>
        <w:jc w:val="both"/>
      </w:pPr>
    </w:lvl>
    <w:lvl w:ilvl="8" w:tplc="1780DB00">
      <w:start w:val="1"/>
      <w:numFmt w:val="lowerRoman"/>
      <w:lvlText w:val="%9."/>
      <w:lvlJc w:val="right"/>
      <w:pPr>
        <w:ind w:left="6840" w:hanging="180"/>
        <w:jc w:val="both"/>
      </w:pPr>
    </w:lvl>
  </w:abstractNum>
  <w:abstractNum w:abstractNumId="6" w15:restartNumberingAfterBreak="0">
    <w:nsid w:val="2F000006"/>
    <w:multiLevelType w:val="hybridMultilevel"/>
    <w:tmpl w:val="36578FE0"/>
    <w:lvl w:ilvl="0" w:tplc="3F6EE078">
      <w:start w:val="2"/>
      <w:numFmt w:val="decimal"/>
      <w:lvlText w:val="%1."/>
      <w:lvlJc w:val="left"/>
      <w:pPr>
        <w:ind w:left="720" w:hanging="360"/>
        <w:jc w:val="both"/>
      </w:pPr>
      <w:rPr>
        <w:rFonts w:ascii="Times New Roman" w:eastAsia="Times New Roman" w:hAnsi="Times New Roman"/>
        <w:w w:val="100"/>
        <w:sz w:val="24"/>
        <w:szCs w:val="24"/>
        <w:shd w:val="clear" w:color="auto" w:fill="auto"/>
      </w:rPr>
    </w:lvl>
    <w:lvl w:ilvl="1" w:tplc="191CA462">
      <w:start w:val="1"/>
      <w:numFmt w:val="lowerLetter"/>
      <w:lvlText w:val="%2."/>
      <w:lvlJc w:val="left"/>
      <w:pPr>
        <w:ind w:left="1440" w:hanging="360"/>
        <w:jc w:val="both"/>
      </w:pPr>
    </w:lvl>
    <w:lvl w:ilvl="2" w:tplc="C122EBD2">
      <w:start w:val="1"/>
      <w:numFmt w:val="lowerRoman"/>
      <w:lvlText w:val="%3."/>
      <w:lvlJc w:val="right"/>
      <w:pPr>
        <w:ind w:left="2160" w:hanging="180"/>
        <w:jc w:val="both"/>
      </w:pPr>
    </w:lvl>
    <w:lvl w:ilvl="3" w:tplc="86363A4E">
      <w:start w:val="1"/>
      <w:numFmt w:val="decimal"/>
      <w:lvlText w:val="%4."/>
      <w:lvlJc w:val="left"/>
      <w:pPr>
        <w:ind w:left="2880" w:hanging="360"/>
        <w:jc w:val="both"/>
      </w:pPr>
    </w:lvl>
    <w:lvl w:ilvl="4" w:tplc="49F0CBAC">
      <w:start w:val="1"/>
      <w:numFmt w:val="lowerLetter"/>
      <w:lvlText w:val="%5."/>
      <w:lvlJc w:val="left"/>
      <w:pPr>
        <w:ind w:left="3600" w:hanging="360"/>
        <w:jc w:val="both"/>
      </w:pPr>
    </w:lvl>
    <w:lvl w:ilvl="5" w:tplc="351492D4">
      <w:start w:val="1"/>
      <w:numFmt w:val="lowerRoman"/>
      <w:lvlText w:val="%6."/>
      <w:lvlJc w:val="right"/>
      <w:pPr>
        <w:ind w:left="4320" w:hanging="180"/>
        <w:jc w:val="both"/>
      </w:pPr>
    </w:lvl>
    <w:lvl w:ilvl="6" w:tplc="49BAFBFA">
      <w:start w:val="1"/>
      <w:numFmt w:val="decimal"/>
      <w:lvlText w:val="%7."/>
      <w:lvlJc w:val="left"/>
      <w:pPr>
        <w:ind w:left="5040" w:hanging="360"/>
        <w:jc w:val="both"/>
      </w:pPr>
    </w:lvl>
    <w:lvl w:ilvl="7" w:tplc="441A08E6">
      <w:start w:val="1"/>
      <w:numFmt w:val="lowerLetter"/>
      <w:lvlText w:val="%8."/>
      <w:lvlJc w:val="left"/>
      <w:pPr>
        <w:ind w:left="5760" w:hanging="360"/>
        <w:jc w:val="both"/>
      </w:pPr>
    </w:lvl>
    <w:lvl w:ilvl="8" w:tplc="BFDAC17E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7" w15:restartNumberingAfterBreak="0">
    <w:nsid w:val="2F000007"/>
    <w:multiLevelType w:val="hybridMultilevel"/>
    <w:tmpl w:val="2204DA2C"/>
    <w:lvl w:ilvl="0" w:tplc="4CD2650E">
      <w:start w:val="6"/>
      <w:numFmt w:val="bullet"/>
      <w:lvlText w:val="-"/>
      <w:lvlJc w:val="left"/>
      <w:pPr>
        <w:ind w:left="371" w:hanging="360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1" w:tplc="598EFB60">
      <w:start w:val="1"/>
      <w:numFmt w:val="bullet"/>
      <w:lvlText w:val="o"/>
      <w:lvlJc w:val="left"/>
      <w:pPr>
        <w:ind w:left="1091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44EFF8A">
      <w:start w:val="1"/>
      <w:numFmt w:val="bullet"/>
      <w:lvlText w:val="§"/>
      <w:lvlJc w:val="left"/>
      <w:pPr>
        <w:ind w:left="1811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870F0CC">
      <w:start w:val="1"/>
      <w:numFmt w:val="bullet"/>
      <w:lvlText w:val="·"/>
      <w:lvlJc w:val="left"/>
      <w:pPr>
        <w:ind w:left="2531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1C4E484">
      <w:start w:val="1"/>
      <w:numFmt w:val="bullet"/>
      <w:lvlText w:val="o"/>
      <w:lvlJc w:val="left"/>
      <w:pPr>
        <w:ind w:left="3251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4307A48">
      <w:start w:val="1"/>
      <w:numFmt w:val="bullet"/>
      <w:lvlText w:val="§"/>
      <w:lvlJc w:val="left"/>
      <w:pPr>
        <w:ind w:left="3971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2286868">
      <w:start w:val="1"/>
      <w:numFmt w:val="bullet"/>
      <w:lvlText w:val="·"/>
      <w:lvlJc w:val="left"/>
      <w:pPr>
        <w:ind w:left="4691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DD866A6">
      <w:start w:val="1"/>
      <w:numFmt w:val="bullet"/>
      <w:lvlText w:val="o"/>
      <w:lvlJc w:val="left"/>
      <w:pPr>
        <w:ind w:left="5411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398822C">
      <w:start w:val="1"/>
      <w:numFmt w:val="bullet"/>
      <w:lvlText w:val="§"/>
      <w:lvlJc w:val="left"/>
      <w:pPr>
        <w:ind w:left="6131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 w15:restartNumberingAfterBreak="0">
    <w:nsid w:val="2F000008"/>
    <w:multiLevelType w:val="hybridMultilevel"/>
    <w:tmpl w:val="52BCFD67"/>
    <w:lvl w:ilvl="0" w:tplc="F4727CA4">
      <w:start w:val="1"/>
      <w:numFmt w:val="decimal"/>
      <w:lvlText w:val="%1."/>
      <w:lvlJc w:val="left"/>
      <w:pPr>
        <w:ind w:left="720" w:hanging="360"/>
        <w:jc w:val="both"/>
      </w:pPr>
    </w:lvl>
    <w:lvl w:ilvl="1" w:tplc="0BF4F6B0">
      <w:start w:val="1"/>
      <w:numFmt w:val="lowerLetter"/>
      <w:lvlText w:val="%2."/>
      <w:lvlJc w:val="left"/>
      <w:pPr>
        <w:ind w:left="1440" w:hanging="360"/>
        <w:jc w:val="both"/>
      </w:pPr>
    </w:lvl>
    <w:lvl w:ilvl="2" w:tplc="68D2AFEE">
      <w:start w:val="1"/>
      <w:numFmt w:val="lowerRoman"/>
      <w:lvlText w:val="%3."/>
      <w:lvlJc w:val="right"/>
      <w:pPr>
        <w:ind w:left="2160" w:hanging="180"/>
        <w:jc w:val="both"/>
      </w:pPr>
    </w:lvl>
    <w:lvl w:ilvl="3" w:tplc="DE40C0A0">
      <w:start w:val="1"/>
      <w:numFmt w:val="decimal"/>
      <w:lvlText w:val="%4."/>
      <w:lvlJc w:val="left"/>
      <w:pPr>
        <w:ind w:left="2880" w:hanging="360"/>
        <w:jc w:val="both"/>
      </w:pPr>
    </w:lvl>
    <w:lvl w:ilvl="4" w:tplc="415A73BC">
      <w:start w:val="1"/>
      <w:numFmt w:val="lowerLetter"/>
      <w:lvlText w:val="%5."/>
      <w:lvlJc w:val="left"/>
      <w:pPr>
        <w:ind w:left="3600" w:hanging="360"/>
        <w:jc w:val="both"/>
      </w:pPr>
    </w:lvl>
    <w:lvl w:ilvl="5" w:tplc="7B68B95E">
      <w:start w:val="1"/>
      <w:numFmt w:val="lowerRoman"/>
      <w:lvlText w:val="%6."/>
      <w:lvlJc w:val="right"/>
      <w:pPr>
        <w:ind w:left="4320" w:hanging="180"/>
        <w:jc w:val="both"/>
      </w:pPr>
    </w:lvl>
    <w:lvl w:ilvl="6" w:tplc="DC1A7584">
      <w:start w:val="1"/>
      <w:numFmt w:val="decimal"/>
      <w:lvlText w:val="%7."/>
      <w:lvlJc w:val="left"/>
      <w:pPr>
        <w:ind w:left="5040" w:hanging="360"/>
        <w:jc w:val="both"/>
      </w:pPr>
    </w:lvl>
    <w:lvl w:ilvl="7" w:tplc="CECCDE3A">
      <w:start w:val="1"/>
      <w:numFmt w:val="lowerLetter"/>
      <w:lvlText w:val="%8."/>
      <w:lvlJc w:val="left"/>
      <w:pPr>
        <w:ind w:left="5760" w:hanging="360"/>
        <w:jc w:val="both"/>
      </w:pPr>
    </w:lvl>
    <w:lvl w:ilvl="8" w:tplc="D52A6D6A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9" w15:restartNumberingAfterBreak="0">
    <w:nsid w:val="2F000009"/>
    <w:multiLevelType w:val="hybridMultilevel"/>
    <w:tmpl w:val="227B6CF2"/>
    <w:lvl w:ilvl="0" w:tplc="9E301CDC">
      <w:start w:val="1"/>
      <w:numFmt w:val="decimal"/>
      <w:lvlText w:val="%1."/>
      <w:lvlJc w:val="left"/>
      <w:pPr>
        <w:ind w:left="720" w:hanging="360"/>
        <w:jc w:val="both"/>
      </w:pPr>
    </w:lvl>
    <w:lvl w:ilvl="1" w:tplc="7B0E64EE">
      <w:start w:val="1"/>
      <w:numFmt w:val="lowerLetter"/>
      <w:lvlText w:val="%2."/>
      <w:lvlJc w:val="left"/>
      <w:pPr>
        <w:ind w:left="1440" w:hanging="360"/>
        <w:jc w:val="both"/>
      </w:pPr>
    </w:lvl>
    <w:lvl w:ilvl="2" w:tplc="7B04B54A">
      <w:start w:val="1"/>
      <w:numFmt w:val="lowerRoman"/>
      <w:lvlText w:val="%3."/>
      <w:lvlJc w:val="right"/>
      <w:pPr>
        <w:ind w:left="2160" w:hanging="180"/>
        <w:jc w:val="both"/>
      </w:pPr>
    </w:lvl>
    <w:lvl w:ilvl="3" w:tplc="6C661496">
      <w:start w:val="1"/>
      <w:numFmt w:val="decimal"/>
      <w:lvlText w:val="%4."/>
      <w:lvlJc w:val="left"/>
      <w:pPr>
        <w:ind w:left="2880" w:hanging="360"/>
        <w:jc w:val="both"/>
      </w:pPr>
    </w:lvl>
    <w:lvl w:ilvl="4" w:tplc="2086304C">
      <w:start w:val="1"/>
      <w:numFmt w:val="lowerLetter"/>
      <w:lvlText w:val="%5."/>
      <w:lvlJc w:val="left"/>
      <w:pPr>
        <w:ind w:left="3600" w:hanging="360"/>
        <w:jc w:val="both"/>
      </w:pPr>
    </w:lvl>
    <w:lvl w:ilvl="5" w:tplc="621C5FB4">
      <w:start w:val="1"/>
      <w:numFmt w:val="lowerRoman"/>
      <w:lvlText w:val="%6."/>
      <w:lvlJc w:val="right"/>
      <w:pPr>
        <w:ind w:left="4320" w:hanging="180"/>
        <w:jc w:val="both"/>
      </w:pPr>
    </w:lvl>
    <w:lvl w:ilvl="6" w:tplc="FF203B28">
      <w:start w:val="1"/>
      <w:numFmt w:val="decimal"/>
      <w:lvlText w:val="%7."/>
      <w:lvlJc w:val="left"/>
      <w:pPr>
        <w:ind w:left="5040" w:hanging="360"/>
        <w:jc w:val="both"/>
      </w:pPr>
    </w:lvl>
    <w:lvl w:ilvl="7" w:tplc="E236C122">
      <w:start w:val="1"/>
      <w:numFmt w:val="lowerLetter"/>
      <w:lvlText w:val="%8."/>
      <w:lvlJc w:val="left"/>
      <w:pPr>
        <w:ind w:left="5760" w:hanging="360"/>
        <w:jc w:val="both"/>
      </w:pPr>
    </w:lvl>
    <w:lvl w:ilvl="8" w:tplc="AEE059F0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10" w15:restartNumberingAfterBreak="0">
    <w:nsid w:val="2F00000A"/>
    <w:multiLevelType w:val="hybridMultilevel"/>
    <w:tmpl w:val="2A9A16D7"/>
    <w:lvl w:ilvl="0" w:tplc="5BA09AA8">
      <w:start w:val="10"/>
      <w:numFmt w:val="bullet"/>
      <w:lvlText w:val="-"/>
      <w:lvlJc w:val="left"/>
      <w:pPr>
        <w:ind w:left="1080" w:hanging="360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1" w:tplc="CFA47BEE">
      <w:start w:val="1"/>
      <w:numFmt w:val="bullet"/>
      <w:lvlText w:val="o"/>
      <w:lvlJc w:val="left"/>
      <w:pPr>
        <w:ind w:left="18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2C80E52">
      <w:start w:val="1"/>
      <w:numFmt w:val="bullet"/>
      <w:lvlText w:val="§"/>
      <w:lvlJc w:val="left"/>
      <w:pPr>
        <w:ind w:left="25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BCE273E">
      <w:start w:val="1"/>
      <w:numFmt w:val="bullet"/>
      <w:lvlText w:val="·"/>
      <w:lvlJc w:val="left"/>
      <w:pPr>
        <w:ind w:left="32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9F0805E">
      <w:start w:val="1"/>
      <w:numFmt w:val="bullet"/>
      <w:lvlText w:val="o"/>
      <w:lvlJc w:val="left"/>
      <w:pPr>
        <w:ind w:left="39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EE8AB72">
      <w:start w:val="1"/>
      <w:numFmt w:val="bullet"/>
      <w:lvlText w:val="§"/>
      <w:lvlJc w:val="left"/>
      <w:pPr>
        <w:ind w:left="46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58E9536">
      <w:start w:val="1"/>
      <w:numFmt w:val="bullet"/>
      <w:lvlText w:val="·"/>
      <w:lvlJc w:val="left"/>
      <w:pPr>
        <w:ind w:left="540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6A287C2">
      <w:start w:val="1"/>
      <w:numFmt w:val="bullet"/>
      <w:lvlText w:val="o"/>
      <w:lvlJc w:val="left"/>
      <w:pPr>
        <w:ind w:left="61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3B6D3C6">
      <w:start w:val="1"/>
      <w:numFmt w:val="bullet"/>
      <w:lvlText w:val="§"/>
      <w:lvlJc w:val="left"/>
      <w:pPr>
        <w:ind w:left="68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1" w15:restartNumberingAfterBreak="0">
    <w:nsid w:val="2F00000B"/>
    <w:multiLevelType w:val="hybridMultilevel"/>
    <w:tmpl w:val="1FF642AC"/>
    <w:lvl w:ilvl="0" w:tplc="1020FD46">
      <w:start w:val="1"/>
      <w:numFmt w:val="decimal"/>
      <w:lvlText w:val="%1."/>
      <w:lvlJc w:val="left"/>
      <w:pPr>
        <w:ind w:left="720" w:hanging="360"/>
        <w:jc w:val="both"/>
      </w:pPr>
    </w:lvl>
    <w:lvl w:ilvl="1" w:tplc="0E52E114">
      <w:start w:val="1"/>
      <w:numFmt w:val="lowerLetter"/>
      <w:lvlText w:val="%2."/>
      <w:lvlJc w:val="left"/>
      <w:pPr>
        <w:ind w:left="1440" w:hanging="360"/>
        <w:jc w:val="both"/>
      </w:pPr>
    </w:lvl>
    <w:lvl w:ilvl="2" w:tplc="6944E890">
      <w:start w:val="1"/>
      <w:numFmt w:val="lowerRoman"/>
      <w:lvlText w:val="%3."/>
      <w:lvlJc w:val="right"/>
      <w:pPr>
        <w:ind w:left="2160" w:hanging="180"/>
        <w:jc w:val="both"/>
      </w:pPr>
    </w:lvl>
    <w:lvl w:ilvl="3" w:tplc="83D4F74E">
      <w:start w:val="1"/>
      <w:numFmt w:val="decimal"/>
      <w:lvlText w:val="%4."/>
      <w:lvlJc w:val="left"/>
      <w:pPr>
        <w:ind w:left="2880" w:hanging="360"/>
        <w:jc w:val="both"/>
      </w:pPr>
    </w:lvl>
    <w:lvl w:ilvl="4" w:tplc="22F0DC4E">
      <w:start w:val="1"/>
      <w:numFmt w:val="lowerLetter"/>
      <w:lvlText w:val="%5."/>
      <w:lvlJc w:val="left"/>
      <w:pPr>
        <w:ind w:left="3600" w:hanging="360"/>
        <w:jc w:val="both"/>
      </w:pPr>
    </w:lvl>
    <w:lvl w:ilvl="5" w:tplc="56F8B914">
      <w:start w:val="1"/>
      <w:numFmt w:val="lowerRoman"/>
      <w:lvlText w:val="%6."/>
      <w:lvlJc w:val="right"/>
      <w:pPr>
        <w:ind w:left="4320" w:hanging="180"/>
        <w:jc w:val="both"/>
      </w:pPr>
    </w:lvl>
    <w:lvl w:ilvl="6" w:tplc="AB80F67E">
      <w:start w:val="1"/>
      <w:numFmt w:val="decimal"/>
      <w:lvlText w:val="%7."/>
      <w:lvlJc w:val="left"/>
      <w:pPr>
        <w:ind w:left="5040" w:hanging="360"/>
        <w:jc w:val="both"/>
      </w:pPr>
    </w:lvl>
    <w:lvl w:ilvl="7" w:tplc="EB444AE6">
      <w:start w:val="1"/>
      <w:numFmt w:val="lowerLetter"/>
      <w:lvlText w:val="%8."/>
      <w:lvlJc w:val="left"/>
      <w:pPr>
        <w:ind w:left="5760" w:hanging="360"/>
        <w:jc w:val="both"/>
      </w:pPr>
    </w:lvl>
    <w:lvl w:ilvl="8" w:tplc="C472E890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12" w15:restartNumberingAfterBreak="0">
    <w:nsid w:val="62FA555D"/>
    <w:multiLevelType w:val="hybridMultilevel"/>
    <w:tmpl w:val="4E04509C"/>
    <w:lvl w:ilvl="0" w:tplc="FFFFFFFF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11"/>
  </w:num>
  <w:num w:numId="8">
    <w:abstractNumId w:val="2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8DB"/>
    <w:rsid w:val="00046C27"/>
    <w:rsid w:val="00060FD0"/>
    <w:rsid w:val="0008259D"/>
    <w:rsid w:val="000860BD"/>
    <w:rsid w:val="00095335"/>
    <w:rsid w:val="000A0168"/>
    <w:rsid w:val="000A0D09"/>
    <w:rsid w:val="000C6DDD"/>
    <w:rsid w:val="000D1041"/>
    <w:rsid w:val="000F0E16"/>
    <w:rsid w:val="001348AC"/>
    <w:rsid w:val="00135FC1"/>
    <w:rsid w:val="001833F1"/>
    <w:rsid w:val="00195271"/>
    <w:rsid w:val="001A3EE0"/>
    <w:rsid w:val="001B498B"/>
    <w:rsid w:val="001D7053"/>
    <w:rsid w:val="001E1EA6"/>
    <w:rsid w:val="001F002D"/>
    <w:rsid w:val="001F4571"/>
    <w:rsid w:val="0020071E"/>
    <w:rsid w:val="00202E67"/>
    <w:rsid w:val="00215875"/>
    <w:rsid w:val="00224A53"/>
    <w:rsid w:val="00241086"/>
    <w:rsid w:val="00247D1F"/>
    <w:rsid w:val="002621C3"/>
    <w:rsid w:val="00264FF1"/>
    <w:rsid w:val="00294B5A"/>
    <w:rsid w:val="002A363A"/>
    <w:rsid w:val="002B2966"/>
    <w:rsid w:val="002D51D9"/>
    <w:rsid w:val="002E46D2"/>
    <w:rsid w:val="002F3154"/>
    <w:rsid w:val="0030338D"/>
    <w:rsid w:val="00325ACA"/>
    <w:rsid w:val="003356DB"/>
    <w:rsid w:val="00351C14"/>
    <w:rsid w:val="00355E20"/>
    <w:rsid w:val="00366CD0"/>
    <w:rsid w:val="00395E92"/>
    <w:rsid w:val="00397B10"/>
    <w:rsid w:val="003A78AD"/>
    <w:rsid w:val="003C199F"/>
    <w:rsid w:val="003F224C"/>
    <w:rsid w:val="0040133A"/>
    <w:rsid w:val="004806B4"/>
    <w:rsid w:val="004875CD"/>
    <w:rsid w:val="004940C6"/>
    <w:rsid w:val="004E7A75"/>
    <w:rsid w:val="005178A5"/>
    <w:rsid w:val="0056677F"/>
    <w:rsid w:val="005C4E5D"/>
    <w:rsid w:val="00607597"/>
    <w:rsid w:val="00615883"/>
    <w:rsid w:val="00674816"/>
    <w:rsid w:val="006820C7"/>
    <w:rsid w:val="006C1684"/>
    <w:rsid w:val="006D5530"/>
    <w:rsid w:val="007144DB"/>
    <w:rsid w:val="007410B4"/>
    <w:rsid w:val="0077306F"/>
    <w:rsid w:val="00781AA5"/>
    <w:rsid w:val="007E07C2"/>
    <w:rsid w:val="007F5018"/>
    <w:rsid w:val="00805363"/>
    <w:rsid w:val="0088509C"/>
    <w:rsid w:val="00885885"/>
    <w:rsid w:val="00894104"/>
    <w:rsid w:val="008C6F7B"/>
    <w:rsid w:val="008C7396"/>
    <w:rsid w:val="008D68DB"/>
    <w:rsid w:val="008E34E9"/>
    <w:rsid w:val="00930683"/>
    <w:rsid w:val="00933FFC"/>
    <w:rsid w:val="0093409F"/>
    <w:rsid w:val="0094052C"/>
    <w:rsid w:val="009408D6"/>
    <w:rsid w:val="0096120B"/>
    <w:rsid w:val="00980295"/>
    <w:rsid w:val="009B3EE7"/>
    <w:rsid w:val="009E1FBF"/>
    <w:rsid w:val="009F0A5D"/>
    <w:rsid w:val="00A27A59"/>
    <w:rsid w:val="00A41EEC"/>
    <w:rsid w:val="00A47E93"/>
    <w:rsid w:val="00A47FE1"/>
    <w:rsid w:val="00A54020"/>
    <w:rsid w:val="00A57DAC"/>
    <w:rsid w:val="00A61AB1"/>
    <w:rsid w:val="00A73A43"/>
    <w:rsid w:val="00A8166E"/>
    <w:rsid w:val="00A8514C"/>
    <w:rsid w:val="00A9088E"/>
    <w:rsid w:val="00AF406C"/>
    <w:rsid w:val="00AF53FF"/>
    <w:rsid w:val="00B35206"/>
    <w:rsid w:val="00B81E64"/>
    <w:rsid w:val="00BD282E"/>
    <w:rsid w:val="00BD2D30"/>
    <w:rsid w:val="00C12974"/>
    <w:rsid w:val="00C82668"/>
    <w:rsid w:val="00C86905"/>
    <w:rsid w:val="00C9341A"/>
    <w:rsid w:val="00CB5359"/>
    <w:rsid w:val="00CB7F04"/>
    <w:rsid w:val="00CE5CA6"/>
    <w:rsid w:val="00D401E7"/>
    <w:rsid w:val="00D54EE1"/>
    <w:rsid w:val="00D573A0"/>
    <w:rsid w:val="00D611A1"/>
    <w:rsid w:val="00D82785"/>
    <w:rsid w:val="00DB361C"/>
    <w:rsid w:val="00DB5442"/>
    <w:rsid w:val="00DF37EA"/>
    <w:rsid w:val="00E16C5F"/>
    <w:rsid w:val="00E52BB4"/>
    <w:rsid w:val="00E53D63"/>
    <w:rsid w:val="00E909F7"/>
    <w:rsid w:val="00EE0E83"/>
    <w:rsid w:val="00F017F1"/>
    <w:rsid w:val="00F27125"/>
    <w:rsid w:val="00F370B5"/>
    <w:rsid w:val="00F4272D"/>
    <w:rsid w:val="00F6005F"/>
    <w:rsid w:val="00F95B78"/>
    <w:rsid w:val="00FF035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FA13445"/>
  <w15:docId w15:val="{44BB4F03-2812-4AC1-B38A-0D5F6140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i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i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NanumGothic" w:eastAsia="Arial" w:hAnsi="NanumGothic"/>
      <w:b/>
      <w:i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i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uiPriority w:val="11"/>
    <w:qFormat/>
    <w:pPr>
      <w:jc w:val="center"/>
    </w:pPr>
    <w:rPr>
      <w:b/>
      <w:sz w:val="20"/>
      <w:szCs w:val="20"/>
    </w:rPr>
  </w:style>
  <w:style w:type="character" w:styleId="IntenseEmphasis">
    <w:name w:val="Intense Emphasis"/>
    <w:uiPriority w:val="19"/>
    <w:qFormat/>
    <w:rPr>
      <w:b/>
      <w:i/>
      <w:color w:val="4F81BD"/>
      <w:w w:val="100"/>
      <w:sz w:val="20"/>
      <w:szCs w:val="20"/>
      <w:shd w:val="clear" w:color="auto" w:fill="auto"/>
    </w:rPr>
  </w:style>
  <w:style w:type="character" w:styleId="Strong">
    <w:name w:val="Strong"/>
    <w:uiPriority w:val="20"/>
    <w:qFormat/>
    <w:rPr>
      <w:rFonts w:ascii="NanumGothic" w:eastAsia="Times New Roman" w:hAnsi="NanumGothic"/>
      <w:b/>
      <w:w w:val="100"/>
      <w:sz w:val="20"/>
      <w:szCs w:val="20"/>
      <w:shd w:val="clear" w:color="auto" w:fill="auto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Heading4"/>
    <w:rPr>
      <w:rFonts w:ascii="NanumGothic" w:eastAsia="HelveticaL-Book" w:hAnsi="NanumGothic"/>
      <w:b/>
      <w:sz w:val="24"/>
      <w:szCs w:val="24"/>
    </w:rPr>
  </w:style>
  <w:style w:type="paragraph" w:customStyle="1" w:styleId="Style6">
    <w:name w:val="Style6"/>
    <w:basedOn w:val="Heading4"/>
    <w:rPr>
      <w:b/>
    </w:rPr>
  </w:style>
  <w:style w:type="paragraph" w:customStyle="1" w:styleId="Style7">
    <w:name w:val="Style7"/>
    <w:basedOn w:val="Heading4"/>
    <w:rPr>
      <w:b/>
    </w:rPr>
  </w:style>
  <w:style w:type="paragraph" w:customStyle="1" w:styleId="Style8">
    <w:name w:val="Style8"/>
    <w:basedOn w:val="Heading3"/>
    <w:rPr>
      <w:sz w:val="28"/>
      <w:szCs w:val="28"/>
    </w:rPr>
  </w:style>
  <w:style w:type="paragraph" w:customStyle="1" w:styleId="Virsraksts1">
    <w:name w:val="Virsraksts 1"/>
    <w:rPr>
      <w:b/>
      <w:i/>
      <w:sz w:val="24"/>
      <w:szCs w:val="24"/>
    </w:rPr>
  </w:style>
  <w:style w:type="paragraph" w:customStyle="1" w:styleId="Virsraksts2">
    <w:name w:val="Virsraksts 2"/>
    <w:rPr>
      <w:b/>
      <w:i/>
      <w:sz w:val="22"/>
      <w:szCs w:val="22"/>
    </w:rPr>
  </w:style>
  <w:style w:type="paragraph" w:customStyle="1" w:styleId="Virsraksts3">
    <w:name w:val="Virsraksts 3"/>
    <w:basedOn w:val="Heading4"/>
    <w:rPr>
      <w:b/>
    </w:rPr>
  </w:style>
  <w:style w:type="paragraph" w:customStyle="1" w:styleId="Style1">
    <w:name w:val="Style1"/>
    <w:basedOn w:val="Heading2"/>
    <w:pPr>
      <w:jc w:val="both"/>
    </w:pPr>
  </w:style>
  <w:style w:type="paragraph" w:customStyle="1" w:styleId="VirsrakstsU">
    <w:name w:val="Virsraksts U"/>
    <w:basedOn w:val="Heading2"/>
  </w:style>
  <w:style w:type="paragraph" w:customStyle="1" w:styleId="naiskr">
    <w:name w:val="naiskr"/>
    <w:basedOn w:val="Normal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Pr>
      <w:w w:val="100"/>
      <w:sz w:val="24"/>
      <w:szCs w:val="24"/>
      <w:shd w:val="clear" w:color="auto" w:fill="auto"/>
    </w:rPr>
  </w:style>
  <w:style w:type="paragraph" w:customStyle="1" w:styleId="naisnod">
    <w:name w:val="naisnod"/>
    <w:basedOn w:val="Normal"/>
    <w:pPr>
      <w:jc w:val="center"/>
    </w:pPr>
    <w:rPr>
      <w:b/>
      <w:sz w:val="20"/>
      <w:szCs w:val="20"/>
    </w:rPr>
  </w:style>
  <w:style w:type="paragraph" w:customStyle="1" w:styleId="naisf">
    <w:name w:val="naisf"/>
    <w:basedOn w:val="Normal"/>
    <w:pPr>
      <w:ind w:firstLine="375"/>
      <w:jc w:val="both"/>
    </w:pPr>
  </w:style>
  <w:style w:type="character" w:customStyle="1" w:styleId="HeaderChar">
    <w:name w:val="Header Char"/>
    <w:link w:val="Header"/>
    <w:semiHidden/>
    <w:rPr>
      <w:w w:val="100"/>
      <w:sz w:val="24"/>
      <w:szCs w:val="24"/>
      <w:shd w:val="clear" w:color="auto" w:fill="auto"/>
    </w:rPr>
  </w:style>
  <w:style w:type="paragraph" w:styleId="BalloonText">
    <w:name w:val="Balloon Text"/>
    <w:basedOn w:val="Normal"/>
    <w:semiHidden/>
    <w:rPr>
      <w:rFonts w:ascii="Tahoma" w:eastAsia="Tahoma" w:hAnsi="Tahoma"/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link w:val="CommentText"/>
    <w:rPr>
      <w:w w:val="100"/>
      <w:sz w:val="20"/>
      <w:szCs w:val="20"/>
      <w:shd w:val="clear" w:color="auto" w:fill="auto"/>
    </w:rPr>
  </w:style>
  <w:style w:type="paragraph" w:customStyle="1" w:styleId="CharChar7">
    <w:name w:val="Char Char7"/>
    <w:basedOn w:val="Normal"/>
    <w:rPr>
      <w:rFonts w:ascii="Tahoma" w:eastAsia="Tahoma" w:hAnsi="Tahoma"/>
      <w:sz w:val="20"/>
      <w:szCs w:val="20"/>
    </w:rPr>
  </w:style>
  <w:style w:type="character" w:styleId="Hyperlink">
    <w:name w:val="Hyperlink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NormalWeb">
    <w:name w:val="Normal (Web)"/>
    <w:basedOn w:val="Normal"/>
    <w:rPr>
      <w:sz w:val="20"/>
      <w:szCs w:val="20"/>
    </w:rPr>
  </w:style>
  <w:style w:type="character" w:styleId="CommentReference">
    <w:name w:val="annotation reference"/>
    <w:rPr>
      <w:w w:val="100"/>
      <w:sz w:val="16"/>
      <w:szCs w:val="16"/>
      <w:shd w:val="clear" w:color="auto" w:fill="auto"/>
    </w:rPr>
  </w:style>
  <w:style w:type="paragraph" w:styleId="CommentSubject">
    <w:name w:val="annotation subject"/>
    <w:basedOn w:val="CommentText"/>
    <w:next w:val="CommentText"/>
    <w:link w:val="CommentSubjectChar"/>
    <w:rPr>
      <w:b/>
    </w:rPr>
  </w:style>
  <w:style w:type="character" w:customStyle="1" w:styleId="CommentSubjectChar">
    <w:name w:val="Comment Subject Char"/>
    <w:link w:val="CommentSubject"/>
    <w:rPr>
      <w:b/>
      <w:w w:val="100"/>
      <w:sz w:val="20"/>
      <w:szCs w:val="20"/>
      <w:shd w:val="clear" w:color="auto" w:fill="auto"/>
    </w:rPr>
  </w:style>
  <w:style w:type="paragraph" w:customStyle="1" w:styleId="tv213">
    <w:name w:val="tv213"/>
    <w:basedOn w:val="Normal"/>
  </w:style>
  <w:style w:type="paragraph" w:styleId="FootnoteText">
    <w:name w:val="footnote text"/>
    <w:basedOn w:val="Normal"/>
    <w:link w:val="FootnoteTextChar"/>
    <w:pPr>
      <w:jc w:val="both"/>
    </w:pPr>
    <w:rPr>
      <w:sz w:val="20"/>
      <w:szCs w:val="20"/>
    </w:rPr>
  </w:style>
  <w:style w:type="character" w:customStyle="1" w:styleId="FootnoteTextChar">
    <w:name w:val="Footnote Text Char"/>
    <w:link w:val="FootnoteText"/>
    <w:rPr>
      <w:w w:val="100"/>
      <w:sz w:val="20"/>
      <w:szCs w:val="20"/>
      <w:shd w:val="clear" w:color="auto" w:fill="auto"/>
    </w:rPr>
  </w:style>
  <w:style w:type="character" w:styleId="FootnoteReference">
    <w:name w:val="footnote reference"/>
    <w:rPr>
      <w:rFonts w:ascii="Times New Roman" w:eastAsia="Times New Roman" w:hAnsi="Times New Roman"/>
      <w:w w:val="100"/>
      <w:sz w:val="20"/>
      <w:szCs w:val="20"/>
      <w:shd w:val="clear" w:color="auto" w:fill="auto"/>
      <w:vertAlign w:val="superscript"/>
    </w:rPr>
  </w:style>
  <w:style w:type="paragraph" w:styleId="PlainText">
    <w:name w:val="Plain Text"/>
    <w:basedOn w:val="Normal"/>
    <w:link w:val="PlainTextChar"/>
    <w:unhideWhenUsed/>
    <w:rPr>
      <w:rFonts w:ascii="Consolas" w:eastAsia="Consolas" w:hAnsi="Consolas"/>
      <w:sz w:val="21"/>
      <w:szCs w:val="21"/>
    </w:rPr>
  </w:style>
  <w:style w:type="character" w:customStyle="1" w:styleId="PlainTextChar">
    <w:name w:val="Plain Text Char"/>
    <w:link w:val="PlainText"/>
    <w:rPr>
      <w:rFonts w:ascii="Consolas" w:eastAsia="Consolas" w:hAnsi="Consolas"/>
      <w:w w:val="100"/>
      <w:sz w:val="21"/>
      <w:szCs w:val="21"/>
      <w:shd w:val="clear" w:color="auto" w:fill="auto"/>
    </w:rPr>
  </w:style>
  <w:style w:type="character" w:customStyle="1" w:styleId="Mention1">
    <w:name w:val="Mention1"/>
    <w:basedOn w:val="DefaultParagraphFont"/>
    <w:semiHidden/>
    <w:unhideWhenUsed/>
    <w:rPr>
      <w:color w:val="2B579A"/>
      <w:w w:val="100"/>
      <w:sz w:val="20"/>
      <w:szCs w:val="20"/>
      <w:shd w:val="clear" w:color="000000" w:fill="E6E6E6"/>
    </w:rPr>
  </w:style>
  <w:style w:type="character" w:customStyle="1" w:styleId="ListParagraphChar">
    <w:name w:val="List Paragraph Char"/>
    <w:link w:val="ListParagraph"/>
    <w:rPr>
      <w:rFonts w:ascii="Calibri" w:eastAsia="Calibri" w:hAnsi="Calibri"/>
      <w:w w:val="100"/>
      <w:sz w:val="22"/>
      <w:szCs w:val="22"/>
      <w:shd w:val="clear" w:color="auto" w:fill="auto"/>
    </w:rPr>
  </w:style>
  <w:style w:type="character" w:customStyle="1" w:styleId="st">
    <w:name w:val="st"/>
    <w:basedOn w:val="DefaultParagraphFont"/>
  </w:style>
  <w:style w:type="character" w:customStyle="1" w:styleId="UnresolvedMention1">
    <w:name w:val="Unresolved Mention1"/>
    <w:basedOn w:val="DefaultParagraphFont"/>
    <w:semiHidden/>
    <w:unhideWhenUsed/>
    <w:rPr>
      <w:color w:val="605E5C"/>
      <w:w w:val="100"/>
      <w:sz w:val="20"/>
      <w:szCs w:val="20"/>
      <w:shd w:val="clear" w:color="000000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Iljina@l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DD35B-77F4-4313-B59D-5046F47D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3869</Words>
  <Characters>2206</Characters>
  <Application>Microsoft Office Word</Application>
  <DocSecurity>0</DocSecurity>
  <Lines>18</Lines>
  <Paragraphs>12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Grozījumi Ministru kabineta 2011. gada 25. janvāra noteikumos Nr. 75 „Noteikumi par aktīvo nodarbinātības pasākumu un preventīvo bezdarba samazināšanas pasākumu organizēšanas un finansēšanas kārtību un pasākumu īstenotāju izvēles principiem”</vt:lpstr>
      <vt:lpstr>Title text</vt:lpstr>
    </vt:vector>
  </TitlesOfParts>
  <Company>LM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 gada 25. janvāra noteikumos Nr. 75 „Noteikumi par aktīvo nodarbinātības pasākumu un preventīvo bezdarba samazināšanas pasākumu organizēšanas un finansēšanas kārtību un pasākumu īstenotāju izvēles principiem”</dc:title>
  <dc:subject>Ministru kabineta noteikumu projekta anotācija</dc:subject>
  <dc:creator>Kristaps Ziedins</dc:creator>
  <cp:lastModifiedBy>Olga Iljina</cp:lastModifiedBy>
  <cp:revision>12</cp:revision>
  <cp:lastPrinted>2020-03-11T12:23:00Z</cp:lastPrinted>
  <dcterms:created xsi:type="dcterms:W3CDTF">2020-03-16T19:24:00Z</dcterms:created>
  <dcterms:modified xsi:type="dcterms:W3CDTF">2020-03-17T08:43:00Z</dcterms:modified>
</cp:coreProperties>
</file>