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3B52" w14:textId="5EF19FBA" w:rsidR="00BD5588" w:rsidRPr="00243D28" w:rsidRDefault="00996725" w:rsidP="00624256">
      <w:pPr>
        <w:shd w:val="clear" w:color="auto" w:fill="FFFFFF"/>
        <w:spacing w:before="130" w:line="260" w:lineRule="exact"/>
        <w:jc w:val="center"/>
        <w:rPr>
          <w:b/>
          <w:bCs/>
        </w:rPr>
      </w:pPr>
      <w:r w:rsidRPr="00243D28">
        <w:rPr>
          <w:b/>
          <w:bCs/>
        </w:rPr>
        <w:t>Ministru kabineta noteikumu projekta "</w:t>
      </w:r>
      <w:r w:rsidR="00A86BCA" w:rsidRPr="00243D28">
        <w:rPr>
          <w:b/>
          <w:bCs/>
        </w:rPr>
        <w:t>Par grozījumiem Ministru kabineta 2016. gada 3. maija noteikumos Nr. 281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Pr="00243D28">
        <w:rPr>
          <w:b/>
          <w:bCs/>
        </w:rPr>
        <w:t>" sākotnējās ietekmes novērtējuma ziņojums (anotācija)</w:t>
      </w:r>
    </w:p>
    <w:p w14:paraId="202F8811" w14:textId="77777777" w:rsidR="00BD5588" w:rsidRPr="00243D28"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38"/>
        <w:gridCol w:w="5924"/>
      </w:tblGrid>
      <w:tr w:rsidR="00BD5588" w:rsidRPr="00243D28" w14:paraId="08C637B4" w14:textId="77777777" w:rsidTr="00E378CC">
        <w:trPr>
          <w:cantSplit/>
        </w:trPr>
        <w:tc>
          <w:tcPr>
            <w:tcW w:w="8362" w:type="dxa"/>
            <w:gridSpan w:val="2"/>
            <w:shd w:val="clear" w:color="auto" w:fill="FFFFFF"/>
            <w:vAlign w:val="center"/>
            <w:hideMark/>
          </w:tcPr>
          <w:p w14:paraId="5A83AE65" w14:textId="77777777" w:rsidR="00BD5588" w:rsidRPr="00243D28" w:rsidRDefault="00BD5588" w:rsidP="005B47D9">
            <w:pPr>
              <w:jc w:val="center"/>
              <w:rPr>
                <w:b/>
                <w:iCs/>
                <w:lang w:eastAsia="en-US"/>
              </w:rPr>
            </w:pPr>
            <w:r w:rsidRPr="00243D28">
              <w:rPr>
                <w:b/>
                <w:iCs/>
                <w:lang w:eastAsia="en-US"/>
              </w:rPr>
              <w:t>Tiesību akta projekta anotācijas kopsavilkums</w:t>
            </w:r>
          </w:p>
        </w:tc>
      </w:tr>
      <w:tr w:rsidR="00BD5588" w:rsidRPr="00243D28" w14:paraId="4330163F" w14:textId="77777777" w:rsidTr="00E378CC">
        <w:trPr>
          <w:cantSplit/>
        </w:trPr>
        <w:tc>
          <w:tcPr>
            <w:tcW w:w="2438" w:type="dxa"/>
            <w:shd w:val="clear" w:color="auto" w:fill="FFFFFF"/>
            <w:hideMark/>
          </w:tcPr>
          <w:p w14:paraId="3753B428" w14:textId="77777777" w:rsidR="00BD5588" w:rsidRPr="00243D28" w:rsidRDefault="00BD5588" w:rsidP="005B47D9">
            <w:pPr>
              <w:rPr>
                <w:iCs/>
                <w:lang w:eastAsia="en-US"/>
              </w:rPr>
            </w:pPr>
            <w:r w:rsidRPr="00243D28">
              <w:rPr>
                <w:iCs/>
                <w:lang w:eastAsia="en-US"/>
              </w:rPr>
              <w:t>Mērķis, risinājums un projekta spēkā stāšanās laiks (500 zīmes bez atstarpēm)</w:t>
            </w:r>
          </w:p>
        </w:tc>
        <w:tc>
          <w:tcPr>
            <w:tcW w:w="5924" w:type="dxa"/>
            <w:shd w:val="clear" w:color="auto" w:fill="FFFFFF"/>
            <w:hideMark/>
          </w:tcPr>
          <w:p w14:paraId="24F9E06A" w14:textId="587E24B7" w:rsidR="00A86BCA" w:rsidRPr="00243D28" w:rsidRDefault="00A86BCA" w:rsidP="00A86BCA">
            <w:pPr>
              <w:jc w:val="both"/>
              <w:rPr>
                <w:lang w:eastAsia="en-US"/>
              </w:rPr>
            </w:pPr>
            <w:r w:rsidRPr="00243D28">
              <w:rPr>
                <w:lang w:eastAsia="en-US"/>
              </w:rPr>
              <w:t>Noteikumu projekta mērķis ir Darbības programmas "Izaugsme un nodarbinātība" 4.5.1.1. pasākuma "Attīstīt videi draudzīgu sabiedriskā transporta infrastruktūru (sliežu transporta)" īstenošanas noteikumu papildināšana</w:t>
            </w:r>
            <w:r w:rsidR="00216B37" w:rsidRPr="00243D28">
              <w:rPr>
                <w:lang w:eastAsia="en-US"/>
              </w:rPr>
              <w:t xml:space="preserve"> ar nosacījumiem </w:t>
            </w:r>
            <w:r w:rsidR="00AF459A" w:rsidRPr="00243D28">
              <w:rPr>
                <w:lang w:eastAsia="en-US"/>
              </w:rPr>
              <w:t>otrās</w:t>
            </w:r>
            <w:r w:rsidR="00216B37" w:rsidRPr="00243D28">
              <w:rPr>
                <w:lang w:eastAsia="en-US"/>
              </w:rPr>
              <w:t xml:space="preserve"> un </w:t>
            </w:r>
            <w:r w:rsidR="00AF459A" w:rsidRPr="00243D28">
              <w:rPr>
                <w:lang w:eastAsia="en-US"/>
              </w:rPr>
              <w:t xml:space="preserve">trešās </w:t>
            </w:r>
            <w:r w:rsidR="00200FC4">
              <w:rPr>
                <w:lang w:eastAsia="en-US"/>
              </w:rPr>
              <w:t xml:space="preserve">atlases </w:t>
            </w:r>
            <w:r w:rsidR="00216B37" w:rsidRPr="00243D28">
              <w:rPr>
                <w:lang w:eastAsia="en-US"/>
              </w:rPr>
              <w:t xml:space="preserve">kārtas projektu īstenošanai, nodrošinot 4.5.1.1. pasākuma rādītāju sasniegšanu atbilstoši Darbības programmā </w:t>
            </w:r>
            <w:r w:rsidR="001B580A" w:rsidRPr="00243D28">
              <w:rPr>
                <w:lang w:eastAsia="en-US"/>
              </w:rPr>
              <w:t xml:space="preserve">"Izaugsme un nodarbinātība" </w:t>
            </w:r>
            <w:r w:rsidR="00216B37" w:rsidRPr="00243D28">
              <w:rPr>
                <w:lang w:eastAsia="en-US"/>
              </w:rPr>
              <w:t>noteiktajam</w:t>
            </w:r>
            <w:r w:rsidRPr="00243D28">
              <w:rPr>
                <w:lang w:eastAsia="en-US"/>
              </w:rPr>
              <w:t>.</w:t>
            </w:r>
          </w:p>
          <w:p w14:paraId="21332C1D" w14:textId="634CF7D8" w:rsidR="00BD5588" w:rsidRPr="00243D28" w:rsidRDefault="003D3868" w:rsidP="00BA2236">
            <w:pPr>
              <w:jc w:val="both"/>
              <w:rPr>
                <w:lang w:eastAsia="en-US"/>
              </w:rPr>
            </w:pPr>
            <w:r w:rsidRPr="003D3868">
              <w:rPr>
                <w:lang w:eastAsia="en-US"/>
              </w:rPr>
              <w:t>Noteikumu projekts stājas spēkā Oficiālo publikāciju un tiesiskās informācijas likuma noteiktajā kārtībā</w:t>
            </w:r>
            <w:r w:rsidR="00A86BCA" w:rsidRPr="00243D28">
              <w:rPr>
                <w:lang w:eastAsia="en-US"/>
              </w:rPr>
              <w:t>.</w:t>
            </w:r>
          </w:p>
        </w:tc>
      </w:tr>
    </w:tbl>
    <w:p w14:paraId="26D25431" w14:textId="695B1B85" w:rsidR="00BD5588" w:rsidRPr="00243D2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00E378CC" w:rsidRPr="00243D28" w14:paraId="3BEC39FF" w14:textId="77777777" w:rsidTr="00E378CC">
        <w:tc>
          <w:tcPr>
            <w:tcW w:w="5000" w:type="pct"/>
            <w:gridSpan w:val="3"/>
            <w:shd w:val="clear" w:color="auto" w:fill="FFFFFF"/>
          </w:tcPr>
          <w:p w14:paraId="2128F92F" w14:textId="58AC8CBB" w:rsidR="00E378CC" w:rsidRPr="00243D28" w:rsidRDefault="00E378CC" w:rsidP="005B47D9">
            <w:pPr>
              <w:jc w:val="center"/>
              <w:rPr>
                <w:b/>
                <w:iCs/>
                <w:lang w:eastAsia="en-US"/>
              </w:rPr>
            </w:pPr>
            <w:r w:rsidRPr="00243D28">
              <w:rPr>
                <w:b/>
                <w:bCs/>
              </w:rPr>
              <w:t>I. Tiesību akta projekta izstrādes nepieciešamība</w:t>
            </w:r>
          </w:p>
        </w:tc>
      </w:tr>
      <w:tr w:rsidR="00E378CC" w:rsidRPr="00243D28" w14:paraId="3EEA56DE" w14:textId="77777777" w:rsidTr="00E378CC">
        <w:tc>
          <w:tcPr>
            <w:tcW w:w="271" w:type="pct"/>
            <w:shd w:val="clear" w:color="auto" w:fill="FFFFFF"/>
          </w:tcPr>
          <w:p w14:paraId="4A69947E" w14:textId="58BD140B" w:rsidR="00E378CC" w:rsidRPr="00243D28" w:rsidRDefault="00E378CC" w:rsidP="00E378CC">
            <w:pPr>
              <w:jc w:val="center"/>
              <w:rPr>
                <w:iCs/>
                <w:lang w:eastAsia="en-US"/>
              </w:rPr>
            </w:pPr>
            <w:r w:rsidRPr="00243D28">
              <w:t>1.</w:t>
            </w:r>
          </w:p>
        </w:tc>
        <w:tc>
          <w:tcPr>
            <w:tcW w:w="1186" w:type="pct"/>
            <w:shd w:val="clear" w:color="auto" w:fill="FFFFFF"/>
          </w:tcPr>
          <w:p w14:paraId="7079AEC5" w14:textId="68B6D13F" w:rsidR="00E378CC" w:rsidRPr="00243D28" w:rsidRDefault="00E378CC" w:rsidP="00E378CC">
            <w:pPr>
              <w:rPr>
                <w:iCs/>
                <w:lang w:eastAsia="en-US"/>
              </w:rPr>
            </w:pPr>
            <w:r w:rsidRPr="00243D28">
              <w:t>Pamatojums</w:t>
            </w:r>
          </w:p>
        </w:tc>
        <w:tc>
          <w:tcPr>
            <w:tcW w:w="3542" w:type="pct"/>
            <w:shd w:val="clear" w:color="auto" w:fill="FFFFFF"/>
          </w:tcPr>
          <w:p w14:paraId="48864344" w14:textId="55188F1A" w:rsidR="00E378CC" w:rsidRPr="00243D28" w:rsidRDefault="00E378CC" w:rsidP="00817658">
            <w:pPr>
              <w:jc w:val="both"/>
            </w:pPr>
            <w:r w:rsidRPr="00243D28">
              <w:t>Eiropas Savienības struktūrfondu un Kohēzijas fonda 2014.—2020.gada plānošanas perioda vadības likuma</w:t>
            </w:r>
            <w:r w:rsidR="00723A73">
              <w:rPr>
                <w:rStyle w:val="FootnoteReference"/>
              </w:rPr>
              <w:footnoteReference w:id="1"/>
            </w:r>
            <w:r w:rsidRPr="00243D28">
              <w:t xml:space="preserve"> 20.panta </w:t>
            </w:r>
            <w:r w:rsidR="003D10D2" w:rsidRPr="00243D28">
              <w:t xml:space="preserve">6. un </w:t>
            </w:r>
            <w:r w:rsidRPr="00243D28">
              <w:t>13.punkts</w:t>
            </w:r>
            <w:r w:rsidR="004C03A8" w:rsidRPr="00243D28">
              <w:t>.</w:t>
            </w:r>
          </w:p>
          <w:p w14:paraId="01F36C76" w14:textId="3C2EEAD9" w:rsidR="00AF459A" w:rsidRPr="00243D28" w:rsidRDefault="001842D2" w:rsidP="00CF03AE">
            <w:pPr>
              <w:jc w:val="both"/>
            </w:pPr>
            <w:r w:rsidRPr="00243D28">
              <w:t>Ministru kabineta 2019.gada 13.septembra ārkārtas sēdes</w:t>
            </w:r>
            <w:r w:rsidR="003835B7">
              <w:rPr>
                <w:rStyle w:val="FootnoteReference"/>
              </w:rPr>
              <w:footnoteReference w:id="2"/>
            </w:r>
            <w:r w:rsidRPr="00243D28">
              <w:t xml:space="preserve"> </w:t>
            </w:r>
            <w:proofErr w:type="spellStart"/>
            <w:r w:rsidRPr="00243D28">
              <w:t>protokollēmuma</w:t>
            </w:r>
            <w:proofErr w:type="spellEnd"/>
            <w:r w:rsidRPr="00243D28">
              <w:t xml:space="preserve"> (prot. Nr. 41, 1.§) 3.1.apakšpunkts.</w:t>
            </w:r>
          </w:p>
          <w:p w14:paraId="512DA1DA" w14:textId="2E982A64" w:rsidR="001B2634" w:rsidRPr="00243D28" w:rsidRDefault="00E378CC" w:rsidP="00BF1ACE">
            <w:pPr>
              <w:jc w:val="both"/>
            </w:pPr>
            <w:r w:rsidRPr="00243D28">
              <w:t xml:space="preserve">Ministru kabineta 2019.gada </w:t>
            </w:r>
            <w:r w:rsidR="00817658" w:rsidRPr="00243D28">
              <w:t>11</w:t>
            </w:r>
            <w:r w:rsidRPr="00243D28">
              <w:t>.</w:t>
            </w:r>
            <w:r w:rsidR="00817658" w:rsidRPr="00243D28">
              <w:t>oktobra</w:t>
            </w:r>
            <w:r w:rsidRPr="00243D28">
              <w:t xml:space="preserve"> ārkārtas sēdes</w:t>
            </w:r>
            <w:r w:rsidR="003835B7">
              <w:rPr>
                <w:rStyle w:val="FootnoteReference"/>
              </w:rPr>
              <w:footnoteReference w:id="3"/>
            </w:r>
            <w:r w:rsidRPr="00243D28">
              <w:t xml:space="preserve"> </w:t>
            </w:r>
            <w:proofErr w:type="spellStart"/>
            <w:r w:rsidRPr="00243D28">
              <w:t>protokollēmuma</w:t>
            </w:r>
            <w:proofErr w:type="spellEnd"/>
            <w:r w:rsidRPr="00243D28">
              <w:t xml:space="preserve"> (prot. Nr. </w:t>
            </w:r>
            <w:r w:rsidR="00817658" w:rsidRPr="00243D28">
              <w:t>47</w:t>
            </w:r>
            <w:r w:rsidR="003D10D2" w:rsidRPr="00243D28">
              <w:t>,</w:t>
            </w:r>
            <w:r w:rsidRPr="00243D28">
              <w:t xml:space="preserve"> </w:t>
            </w:r>
            <w:r w:rsidR="00817658" w:rsidRPr="00243D28">
              <w:t>3</w:t>
            </w:r>
            <w:r w:rsidRPr="00243D28">
              <w:t>.§)</w:t>
            </w:r>
            <w:r w:rsidR="003835B7">
              <w:t xml:space="preserve"> 5.2.apakšpunkts,</w:t>
            </w:r>
            <w:r w:rsidR="003835B7" w:rsidRPr="00366023">
              <w:t xml:space="preserve"> </w:t>
            </w:r>
            <w:r w:rsidRPr="00243D28">
              <w:t xml:space="preserve"> </w:t>
            </w:r>
            <w:r w:rsidR="00817658" w:rsidRPr="00243D28">
              <w:t>7</w:t>
            </w:r>
            <w:r w:rsidRPr="00243D28">
              <w:t>.</w:t>
            </w:r>
            <w:r w:rsidR="003D10D2" w:rsidRPr="00243D28">
              <w:t>punkts</w:t>
            </w:r>
            <w:r w:rsidR="00CF03AE" w:rsidRPr="00243D28">
              <w:t xml:space="preserve"> un 9.2.</w:t>
            </w:r>
            <w:r w:rsidR="003D10D2" w:rsidRPr="00243D28">
              <w:t>apakš</w:t>
            </w:r>
            <w:r w:rsidRPr="00243D28">
              <w:t>punkts.</w:t>
            </w:r>
          </w:p>
          <w:p w14:paraId="0732B22F" w14:textId="6AC6FFC9" w:rsidR="00F61FFE" w:rsidRPr="00243D28" w:rsidRDefault="003835B7" w:rsidP="006F614C">
            <w:pPr>
              <w:jc w:val="both"/>
              <w:rPr>
                <w:lang w:eastAsia="en-US"/>
              </w:rPr>
            </w:pPr>
            <w:r w:rsidRPr="006F614C">
              <w:rPr>
                <w:lang w:eastAsia="en-US"/>
              </w:rPr>
              <w:t xml:space="preserve">MK 2019.gada 3.decembra </w:t>
            </w:r>
            <w:r w:rsidR="00983D05">
              <w:rPr>
                <w:lang w:eastAsia="en-US"/>
              </w:rPr>
              <w:t>sēdes</w:t>
            </w:r>
            <w:r w:rsidR="00983D05">
              <w:rPr>
                <w:rStyle w:val="FootnoteReference"/>
                <w:lang w:eastAsia="en-US"/>
              </w:rPr>
              <w:footnoteReference w:id="4"/>
            </w:r>
            <w:r w:rsidR="00983D05">
              <w:rPr>
                <w:lang w:eastAsia="en-US"/>
              </w:rPr>
              <w:t xml:space="preserve"> </w:t>
            </w:r>
            <w:proofErr w:type="spellStart"/>
            <w:r w:rsidR="00983D05">
              <w:rPr>
                <w:lang w:eastAsia="en-US"/>
              </w:rPr>
              <w:t>protokollēmuma</w:t>
            </w:r>
            <w:proofErr w:type="spellEnd"/>
            <w:r w:rsidRPr="006F614C">
              <w:rPr>
                <w:lang w:eastAsia="en-US"/>
              </w:rPr>
              <w:t xml:space="preserve"> (prot. Nr.56, 15.§)</w:t>
            </w:r>
            <w:r w:rsidR="00983D05">
              <w:rPr>
                <w:lang w:eastAsia="en-US"/>
              </w:rPr>
              <w:t xml:space="preserve"> 1.punkts.</w:t>
            </w:r>
          </w:p>
        </w:tc>
      </w:tr>
      <w:tr w:rsidR="00E378CC" w:rsidRPr="00243D28" w14:paraId="1A92257F" w14:textId="77777777" w:rsidTr="00E378CC">
        <w:tc>
          <w:tcPr>
            <w:tcW w:w="271" w:type="pct"/>
            <w:shd w:val="clear" w:color="auto" w:fill="FFFFFF"/>
          </w:tcPr>
          <w:p w14:paraId="7637B6FA" w14:textId="6A7C5313" w:rsidR="00E378CC" w:rsidRPr="00243D28" w:rsidRDefault="00E378CC" w:rsidP="00E378CC">
            <w:pPr>
              <w:jc w:val="center"/>
              <w:rPr>
                <w:iCs/>
                <w:lang w:eastAsia="en-US"/>
              </w:rPr>
            </w:pPr>
            <w:r w:rsidRPr="00243D28">
              <w:t>2.</w:t>
            </w:r>
          </w:p>
        </w:tc>
        <w:tc>
          <w:tcPr>
            <w:tcW w:w="1186" w:type="pct"/>
            <w:shd w:val="clear" w:color="auto" w:fill="FFFFFF"/>
          </w:tcPr>
          <w:p w14:paraId="07051A1B" w14:textId="3E8BE176" w:rsidR="00E378CC" w:rsidRPr="00243D28" w:rsidRDefault="00E378CC" w:rsidP="00E378CC">
            <w:pPr>
              <w:rPr>
                <w:iCs/>
                <w:lang w:eastAsia="en-US"/>
              </w:rPr>
            </w:pPr>
            <w:r w:rsidRPr="00243D28">
              <w:t>Pašreizējā situācija un problēmas, kuru risināšanai tiesību akta projekts izstrādāts, tiesiskā regulējuma mērķis un būtība</w:t>
            </w:r>
          </w:p>
        </w:tc>
        <w:tc>
          <w:tcPr>
            <w:tcW w:w="3542" w:type="pct"/>
            <w:shd w:val="clear" w:color="auto" w:fill="FFFFFF"/>
          </w:tcPr>
          <w:p w14:paraId="3B3060CC" w14:textId="48E064A6" w:rsidR="005D344A" w:rsidRPr="00243D28" w:rsidRDefault="005D344A" w:rsidP="00A35B70">
            <w:pPr>
              <w:spacing w:after="130"/>
              <w:jc w:val="both"/>
            </w:pPr>
            <w:bookmarkStart w:id="0" w:name="_Hlk21353732"/>
            <w:r w:rsidRPr="00243D28">
              <w:t>Eiropas Komisija 2014.gada 11.novembrī apstiprināja Eiropas Savienības Struktūrfondu un Kohēzijas  fonda (turpmāk</w:t>
            </w:r>
            <w:r w:rsidR="000A4521" w:rsidRPr="00243D28">
              <w:t xml:space="preserve"> kopā saukti</w:t>
            </w:r>
            <w:r w:rsidRPr="00243D28">
              <w:t xml:space="preserve"> – ES fond</w:t>
            </w:r>
            <w:r w:rsidR="000A4521" w:rsidRPr="00243D28">
              <w:t>i</w:t>
            </w:r>
            <w:r w:rsidRPr="00243D28">
              <w:t>) 2014.-2020.gada plānošanas perioda darbības programmu „Izaugsme un nodarbinātība” (turpmāk - darbības programma). Darbības programma noteic, ka</w:t>
            </w:r>
            <w:r w:rsidR="00025948" w:rsidRPr="00243D28">
              <w:t xml:space="preserve"> investīcijas</w:t>
            </w:r>
            <w:r w:rsidRPr="00243D28">
              <w:t xml:space="preserve"> 4.5.1.1. pasākum</w:t>
            </w:r>
            <w:r w:rsidR="00025948" w:rsidRPr="00243D28">
              <w:t>ā</w:t>
            </w:r>
            <w:r w:rsidRPr="00243D28">
              <w:t xml:space="preserve"> „Attīstīt videi draudzīgu sabiedriskā transporta infrastruktūru (sliežu transporta)” (turpmāk – 4.5.1.1. pasākums)</w:t>
            </w:r>
            <w:r w:rsidR="00025948" w:rsidRPr="00243D28">
              <w:t xml:space="preserve"> ir plānotas</w:t>
            </w:r>
            <w:r w:rsidRPr="00243D28">
              <w:t xml:space="preserve"> </w:t>
            </w:r>
            <w:r w:rsidR="00EA6381" w:rsidRPr="00243D28">
              <w:t xml:space="preserve">ar mērķi veicināt sabiedriskā transporta izmantošanu kopumā, vienlaikus veicinot vides </w:t>
            </w:r>
            <w:r w:rsidR="00EA6381" w:rsidRPr="00243D28">
              <w:lastRenderedPageBreak/>
              <w:t>mērķu sasniegšanu un tieši videi draudzīga sabiedriskā transporta attīstību</w:t>
            </w:r>
            <w:r w:rsidRPr="00243D28">
              <w:t>.</w:t>
            </w:r>
          </w:p>
          <w:p w14:paraId="6759F109" w14:textId="30C0265F" w:rsidR="005D344A" w:rsidRPr="00243D28" w:rsidRDefault="00EA6381" w:rsidP="005D344A">
            <w:pPr>
              <w:spacing w:before="120"/>
              <w:jc w:val="both"/>
              <w:rPr>
                <w:lang w:eastAsia="en-US"/>
              </w:rPr>
            </w:pPr>
            <w:r w:rsidRPr="00243D28">
              <w:rPr>
                <w:lang w:eastAsia="en-US"/>
              </w:rPr>
              <w:t>Darbības programmā</w:t>
            </w:r>
            <w:r w:rsidR="005D344A" w:rsidRPr="00243D28">
              <w:rPr>
                <w:lang w:eastAsia="en-US"/>
              </w:rPr>
              <w:t xml:space="preserve"> </w:t>
            </w:r>
            <w:r w:rsidRPr="00243D28">
              <w:rPr>
                <w:lang w:eastAsia="en-US"/>
              </w:rPr>
              <w:t>ir noteikti</w:t>
            </w:r>
            <w:r w:rsidR="005D344A" w:rsidRPr="00243D28">
              <w:rPr>
                <w:lang w:eastAsia="en-US"/>
              </w:rPr>
              <w:t xml:space="preserve"> specifiskā atbalsta mērķa iznākuma un rezultāta rādītāj</w:t>
            </w:r>
            <w:r w:rsidRPr="00243D28">
              <w:rPr>
                <w:lang w:eastAsia="en-US"/>
              </w:rPr>
              <w:t>i</w:t>
            </w:r>
            <w:r w:rsidR="005D344A" w:rsidRPr="00243D28">
              <w:rPr>
                <w:lang w:eastAsia="en-US"/>
              </w:rPr>
              <w:t xml:space="preserve">. Atbilstoši darbības programmai un </w:t>
            </w:r>
            <w:r w:rsidRPr="00243D28">
              <w:t>Ministru kabineta (turpmāk – MK) 2016. gada 3. maija noteikumu Nr. 281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000C1D7E" w:rsidRPr="00243D28">
              <w:t>”</w:t>
            </w:r>
            <w:r w:rsidR="006413A6">
              <w:rPr>
                <w:rStyle w:val="FootnoteReference"/>
              </w:rPr>
              <w:footnoteReference w:id="5"/>
            </w:r>
            <w:r w:rsidRPr="00243D28">
              <w:t xml:space="preserve"> (turpmāk - </w:t>
            </w:r>
            <w:r w:rsidR="005D344A" w:rsidRPr="00243D28">
              <w:rPr>
                <w:lang w:eastAsia="en-US"/>
              </w:rPr>
              <w:t>MK noteikum</w:t>
            </w:r>
            <w:r w:rsidRPr="00243D28">
              <w:rPr>
                <w:lang w:eastAsia="en-US"/>
              </w:rPr>
              <w:t>i</w:t>
            </w:r>
            <w:r w:rsidR="005D344A" w:rsidRPr="00243D28">
              <w:rPr>
                <w:lang w:eastAsia="en-US"/>
              </w:rPr>
              <w:t xml:space="preserve"> Nr. 281</w:t>
            </w:r>
            <w:r w:rsidRPr="00243D28">
              <w:rPr>
                <w:lang w:eastAsia="en-US"/>
              </w:rPr>
              <w:t>)</w:t>
            </w:r>
            <w:r w:rsidR="005D344A" w:rsidRPr="00243D28">
              <w:rPr>
                <w:lang w:eastAsia="en-US"/>
              </w:rPr>
              <w:t xml:space="preserve"> 5.punktam 4.5.1.1. pasākuma ietvaros ir jāsasniedz:</w:t>
            </w:r>
          </w:p>
          <w:p w14:paraId="0080E6C7" w14:textId="5FE3EBF9" w:rsidR="005D344A" w:rsidRPr="00243D28" w:rsidRDefault="005D344A" w:rsidP="00B464F0">
            <w:pPr>
              <w:pStyle w:val="ListParagraph"/>
              <w:numPr>
                <w:ilvl w:val="0"/>
                <w:numId w:val="22"/>
              </w:numPr>
              <w:spacing w:before="120"/>
              <w:jc w:val="both"/>
              <w:rPr>
                <w:lang w:eastAsia="en-US"/>
              </w:rPr>
            </w:pPr>
            <w:r w:rsidRPr="00243D28">
              <w:rPr>
                <w:lang w:eastAsia="en-US"/>
              </w:rPr>
              <w:t>iznākuma rādītājs (iznākuma rādītāja ID</w:t>
            </w:r>
            <w:r w:rsidR="00BB1AEE" w:rsidRPr="00243D28">
              <w:rPr>
                <w:lang w:eastAsia="en-US"/>
              </w:rPr>
              <w:t xml:space="preserve"> </w:t>
            </w:r>
            <w:r w:rsidRPr="00243D28">
              <w:rPr>
                <w:lang w:eastAsia="en-US"/>
              </w:rPr>
              <w:t>i.4.5.1.ak) –</w:t>
            </w:r>
            <w:proofErr w:type="spellStart"/>
            <w:r w:rsidRPr="00243D28">
              <w:rPr>
                <w:lang w:eastAsia="en-US"/>
              </w:rPr>
              <w:t>jaunuzbūvēto</w:t>
            </w:r>
            <w:proofErr w:type="spellEnd"/>
            <w:r w:rsidRPr="00243D28">
              <w:rPr>
                <w:lang w:eastAsia="en-US"/>
              </w:rPr>
              <w:t xml:space="preserve"> vai uzlaboto tramvaja un metro līniju kopējais garums 8 km.</w:t>
            </w:r>
          </w:p>
          <w:p w14:paraId="6C22011C" w14:textId="7101749F" w:rsidR="005D344A" w:rsidRPr="00273E4E" w:rsidRDefault="005D344A" w:rsidP="00540562">
            <w:pPr>
              <w:pStyle w:val="ListParagraph"/>
              <w:numPr>
                <w:ilvl w:val="0"/>
                <w:numId w:val="22"/>
              </w:numPr>
              <w:spacing w:before="120" w:after="120"/>
              <w:ind w:left="357" w:hanging="357"/>
              <w:jc w:val="both"/>
              <w:rPr>
                <w:lang w:eastAsia="en-US"/>
              </w:rPr>
            </w:pPr>
            <w:r w:rsidRPr="00243D28">
              <w:rPr>
                <w:lang w:eastAsia="en-US"/>
              </w:rPr>
              <w:t>rezultāta rādītājs (rezultāta rādītāja I</w:t>
            </w:r>
            <w:r w:rsidR="00BB1AEE" w:rsidRPr="00243D28">
              <w:rPr>
                <w:lang w:eastAsia="en-US"/>
              </w:rPr>
              <w:t>D</w:t>
            </w:r>
            <w:r w:rsidRPr="00243D28">
              <w:rPr>
                <w:lang w:eastAsia="en-US"/>
              </w:rPr>
              <w:t xml:space="preserve"> r.4.5.1.a) – 88,42 miljoni videi </w:t>
            </w:r>
            <w:r w:rsidRPr="00273E4E">
              <w:rPr>
                <w:lang w:eastAsia="en-US"/>
              </w:rPr>
              <w:t>draudzīgā sabiedriskajā transportā  pārvadātie pasažieri.</w:t>
            </w:r>
          </w:p>
          <w:p w14:paraId="235BD584" w14:textId="14ACDBFF" w:rsidR="00BB1AEE" w:rsidRDefault="00243D28" w:rsidP="00BB1AEE">
            <w:pPr>
              <w:spacing w:after="130"/>
              <w:jc w:val="both"/>
            </w:pPr>
            <w:r>
              <w:t xml:space="preserve">Iepriekš minētie rādītāji </w:t>
            </w:r>
            <w:r w:rsidRPr="00243D28">
              <w:t>sākotnēji tika noteikt</w:t>
            </w:r>
            <w:r>
              <w:t>i</w:t>
            </w:r>
            <w:r w:rsidRPr="00243D28">
              <w:t>, ņemot vērā</w:t>
            </w:r>
            <w:r w:rsidR="00540562">
              <w:t>, ka</w:t>
            </w:r>
            <w:r>
              <w:t xml:space="preserve"> 4.5.1.1.pasākuma ietvaros </w:t>
            </w:r>
            <w:r w:rsidR="00540562">
              <w:t xml:space="preserve">ir </w:t>
            </w:r>
            <w:r>
              <w:t>plānot</w:t>
            </w:r>
            <w:r w:rsidR="00540562">
              <w:t>s īstenot</w:t>
            </w:r>
            <w:r>
              <w:t xml:space="preserve"> lielo projektu Rīgā un </w:t>
            </w:r>
            <w:r w:rsidRPr="00243D28">
              <w:t>tramvaja infrastruktūras attīstības projektu</w:t>
            </w:r>
            <w:r>
              <w:t xml:space="preserve">s </w:t>
            </w:r>
            <w:r w:rsidRPr="00243D28">
              <w:t>Daugavpilī</w:t>
            </w:r>
            <w:r>
              <w:t xml:space="preserve"> un </w:t>
            </w:r>
            <w:r w:rsidRPr="00243D28">
              <w:t>Liepājā</w:t>
            </w:r>
            <w:r>
              <w:t>.</w:t>
            </w:r>
          </w:p>
          <w:p w14:paraId="524265BA" w14:textId="304F66D0" w:rsidR="00920A3F" w:rsidRDefault="00EA6381" w:rsidP="00BB1AEE">
            <w:pPr>
              <w:spacing w:after="130"/>
              <w:jc w:val="both"/>
              <w:rPr>
                <w:lang w:eastAsia="en-US"/>
              </w:rPr>
            </w:pPr>
            <w:r w:rsidRPr="00243D28">
              <w:rPr>
                <w:lang w:eastAsia="en-US"/>
              </w:rPr>
              <w:t xml:space="preserve">2019.gada 2.maijā </w:t>
            </w:r>
            <w:r w:rsidR="00401EE7" w:rsidRPr="00243D28">
              <w:rPr>
                <w:lang w:eastAsia="en-US"/>
              </w:rPr>
              <w:t xml:space="preserve">Centrālā finanšu un līgumu aģentūra </w:t>
            </w:r>
            <w:r w:rsidR="00A43F23">
              <w:rPr>
                <w:lang w:eastAsia="en-US"/>
              </w:rPr>
              <w:t xml:space="preserve">kā </w:t>
            </w:r>
            <w:r w:rsidR="00A43F23" w:rsidRPr="00A43F23">
              <w:rPr>
                <w:lang w:eastAsia="en-US"/>
              </w:rPr>
              <w:t>ES fondu sadarbības iestāde</w:t>
            </w:r>
            <w:r w:rsidR="005A0C6E">
              <w:rPr>
                <w:lang w:eastAsia="en-US"/>
              </w:rPr>
              <w:t xml:space="preserve"> </w:t>
            </w:r>
            <w:r w:rsidR="005A0C6E" w:rsidRPr="005A0C6E">
              <w:rPr>
                <w:lang w:eastAsia="en-US"/>
              </w:rPr>
              <w:t>(</w:t>
            </w:r>
            <w:r w:rsidR="005A0C6E" w:rsidRPr="0018139B">
              <w:rPr>
                <w:lang w:eastAsia="en-US"/>
              </w:rPr>
              <w:t>turpmāk – sadarbības iestāde</w:t>
            </w:r>
            <w:r w:rsidR="005A0C6E" w:rsidRPr="005A0C6E">
              <w:rPr>
                <w:lang w:eastAsia="en-US"/>
              </w:rPr>
              <w:t>)</w:t>
            </w:r>
            <w:r w:rsidR="00A43F23" w:rsidRPr="00A43F23">
              <w:rPr>
                <w:lang w:eastAsia="en-US"/>
              </w:rPr>
              <w:t>, kas nodrošina 4.5.1.1.pasākuma ietvaros īstenojamā lielā projekta “Rīgas tramvaju infrastruktūras attīstība” uzraudzību un kontroli</w:t>
            </w:r>
            <w:r w:rsidR="005A0C6E">
              <w:rPr>
                <w:lang w:eastAsia="en-US"/>
              </w:rPr>
              <w:t xml:space="preserve">, </w:t>
            </w:r>
            <w:r w:rsidRPr="00920A3F">
              <w:rPr>
                <w:lang w:eastAsia="en-US"/>
              </w:rPr>
              <w:t>pieņēma lēmumu vienpusēji izbeigt līgumu ar Rīgas pašvaldības SIA “Rīgas satiksme” par ES fondu līdzfinansētā lielā projekta “Rīgas tramvaja infrastruktūras attīstība” īstenošanu</w:t>
            </w:r>
            <w:r w:rsidR="00D700B3" w:rsidRPr="00920A3F">
              <w:rPr>
                <w:lang w:eastAsia="en-US"/>
              </w:rPr>
              <w:t xml:space="preserve">, balstoties uz </w:t>
            </w:r>
            <w:r w:rsidR="005A0C6E">
              <w:rPr>
                <w:lang w:eastAsia="en-US"/>
              </w:rPr>
              <w:t>sadarbības iestādes</w:t>
            </w:r>
            <w:r w:rsidR="005A0C6E" w:rsidRPr="00920A3F">
              <w:rPr>
                <w:lang w:eastAsia="en-US"/>
              </w:rPr>
              <w:t xml:space="preserve"> </w:t>
            </w:r>
            <w:r w:rsidR="00D700B3" w:rsidRPr="00920A3F">
              <w:rPr>
                <w:lang w:eastAsia="en-US"/>
              </w:rPr>
              <w:t>identificētajiem ris</w:t>
            </w:r>
            <w:r w:rsidR="00D700B3" w:rsidRPr="00273E4E">
              <w:rPr>
                <w:lang w:eastAsia="en-US"/>
              </w:rPr>
              <w:t xml:space="preserve">kiem, </w:t>
            </w:r>
            <w:r w:rsidR="009372D1" w:rsidRPr="00273E4E">
              <w:rPr>
                <w:lang w:eastAsia="en-US"/>
              </w:rPr>
              <w:t xml:space="preserve">tai skaitā, </w:t>
            </w:r>
            <w:r w:rsidR="00D700B3" w:rsidRPr="00273E4E">
              <w:rPr>
                <w:lang w:eastAsia="en-US"/>
              </w:rPr>
              <w:t>ka projektā netiks sasniegti paredzētie rādītāji, projekts netiks ieviests līdz ES fondu 2014.-2020.gada plānošanas perioda beigām, projekta darbību savlaicīgai ieviešanai nebūs pietiekams finansējums un projektā netiks nodrošināta laba pārvaldība</w:t>
            </w:r>
            <w:r w:rsidRPr="00273E4E">
              <w:rPr>
                <w:lang w:eastAsia="en-US"/>
              </w:rPr>
              <w:t xml:space="preserve">. </w:t>
            </w:r>
          </w:p>
          <w:p w14:paraId="78D99DC8" w14:textId="1C22E550" w:rsidR="00920A3F" w:rsidRDefault="005A0C6E" w:rsidP="00BB1AEE">
            <w:pPr>
              <w:spacing w:after="130"/>
              <w:jc w:val="both"/>
            </w:pPr>
            <w:r w:rsidRPr="00677A6A">
              <w:rPr>
                <w:szCs w:val="32"/>
              </w:rPr>
              <w:t xml:space="preserve">Līguma par Rīgas tramvaja infrastruktūras attīstības projekta īstenošanu izbeigšanas rezultātā tika atbrīvots KF finansējums </w:t>
            </w:r>
            <w:r w:rsidRPr="006F614C">
              <w:rPr>
                <w:szCs w:val="32"/>
              </w:rPr>
              <w:t>70</w:t>
            </w:r>
            <w:r w:rsidR="006F614C" w:rsidRPr="006F614C">
              <w:rPr>
                <w:szCs w:val="32"/>
              </w:rPr>
              <w:t xml:space="preserve"> 000 000 </w:t>
            </w:r>
            <w:proofErr w:type="spellStart"/>
            <w:r w:rsidR="00215A5A" w:rsidRPr="00215A5A">
              <w:rPr>
                <w:i/>
                <w:iCs/>
                <w:szCs w:val="32"/>
              </w:rPr>
              <w:t>euro</w:t>
            </w:r>
            <w:proofErr w:type="spellEnd"/>
            <w:r w:rsidRPr="00677A6A">
              <w:rPr>
                <w:szCs w:val="32"/>
              </w:rPr>
              <w:t xml:space="preserve"> apmērā.</w:t>
            </w:r>
            <w:r>
              <w:t xml:space="preserve"> Ņemot vērā, ka </w:t>
            </w:r>
            <w:r w:rsidRPr="005A0C6E">
              <w:t>4.5.1.1.pasākuma rādītāju izpilde lielākoties tika balstīta uz lielā projekta „Rīgas tramvaja infrastruktūras attīstība” sasniedzamajiem rādītājiem</w:t>
            </w:r>
            <w:r>
              <w:t xml:space="preserve">, </w:t>
            </w:r>
            <w:r>
              <w:rPr>
                <w:szCs w:val="32"/>
              </w:rPr>
              <w:t>lielā</w:t>
            </w:r>
            <w:r w:rsidRPr="005A0C6E">
              <w:rPr>
                <w:szCs w:val="32"/>
              </w:rPr>
              <w:t xml:space="preserve"> projekta neīstenošanas rezultātā netiks sasniegti</w:t>
            </w:r>
            <w:r w:rsidR="006F614C">
              <w:rPr>
                <w:szCs w:val="32"/>
              </w:rPr>
              <w:t xml:space="preserve"> darbības programmā</w:t>
            </w:r>
            <w:r w:rsidRPr="005A0C6E">
              <w:rPr>
                <w:szCs w:val="32"/>
              </w:rPr>
              <w:t xml:space="preserve"> noteiktie </w:t>
            </w:r>
            <w:r w:rsidR="006F614C" w:rsidRPr="00243D28">
              <w:t xml:space="preserve">4.5.1. specifiskā atbalsta mērķa "Attīstīt videi draudzīgu </w:t>
            </w:r>
            <w:r w:rsidR="006F614C" w:rsidRPr="00243D28">
              <w:lastRenderedPageBreak/>
              <w:t>sabiedriskā transporta infrastruktūru"</w:t>
            </w:r>
            <w:r w:rsidR="006F614C">
              <w:t xml:space="preserve"> (turpmāk – 4.5.1.SAM)</w:t>
            </w:r>
            <w:r w:rsidRPr="005A0C6E">
              <w:rPr>
                <w:szCs w:val="32"/>
              </w:rPr>
              <w:t xml:space="preserve"> uzraudzības rādītāji – videi draudzīgā sabiedriskajā transportā pārvadātie pasažieri un </w:t>
            </w:r>
            <w:proofErr w:type="spellStart"/>
            <w:r w:rsidRPr="005A0C6E">
              <w:rPr>
                <w:szCs w:val="32"/>
              </w:rPr>
              <w:t>jaunuzbūvēto</w:t>
            </w:r>
            <w:proofErr w:type="spellEnd"/>
            <w:r w:rsidRPr="005A0C6E">
              <w:rPr>
                <w:szCs w:val="32"/>
              </w:rPr>
              <w:t xml:space="preserve"> vai uzlaboto tramvaja līniju kopējais garums.</w:t>
            </w:r>
          </w:p>
          <w:p w14:paraId="070381D5" w14:textId="4AD7B9C8" w:rsidR="00920A3F" w:rsidRDefault="005A0C6E" w:rsidP="00BB1AEE">
            <w:pPr>
              <w:spacing w:after="130"/>
              <w:jc w:val="both"/>
            </w:pPr>
            <w:r w:rsidRPr="00A43F23">
              <w:t>Izveidojot jaunu tramvaju maršrutu Skanstes rajonā Rīgā, tika plānots izbūvēt 3,65 km jaunu tramvaju sliežu ceļu un pārbūvēt esošo tramvaju sliežu ceļu 3 km garumā, kas kopumā ir</w:t>
            </w:r>
            <w:r w:rsidR="006413A6">
              <w:t xml:space="preserve"> 6,65 km jeb</w:t>
            </w:r>
            <w:r w:rsidRPr="00A43F23">
              <w:t xml:space="preserve"> 83% no </w:t>
            </w:r>
            <w:r w:rsidR="006F614C">
              <w:t>darbības programmā</w:t>
            </w:r>
            <w:r w:rsidRPr="00A43F23">
              <w:t xml:space="preserve"> plānotā iznākuma rādītāja (8 km). Saskaņā ar 4.5.1.1.pasākuma “Attīstīt videi draudzīgu sabiedriskā transporta infrastruktūru (sliežu transporta)” sākotnējās ietekmes novērtējuma ziņojum</w:t>
            </w:r>
            <w:r w:rsidR="00A30272">
              <w:t>ā sniegto informāciju</w:t>
            </w:r>
            <w:r>
              <w:rPr>
                <w:rStyle w:val="FootnoteReference"/>
              </w:rPr>
              <w:footnoteReference w:id="6"/>
            </w:r>
            <w:r w:rsidRPr="00A43F23">
              <w:t>, īstenojot Rīgas tramvaja infrastruktūras attīstības projektu, tika prognozēts, ka jaunā maršruta izveide Skanstes apkaimē 2023.gadā palielinās videi draudzīgā sabiedriskajā transportā pārvadāto pasažieru skaitu Rīgā par ~1,2 milj. pasažieriem gadā.</w:t>
            </w:r>
          </w:p>
          <w:p w14:paraId="50ADB6B3" w14:textId="5A4B7B56" w:rsidR="005A0C6E" w:rsidRDefault="005A0C6E" w:rsidP="00BB1AEE">
            <w:pPr>
              <w:spacing w:after="130"/>
              <w:jc w:val="both"/>
              <w:rPr>
                <w:szCs w:val="32"/>
              </w:rPr>
            </w:pPr>
            <w:r w:rsidRPr="00677A6A">
              <w:rPr>
                <w:szCs w:val="32"/>
              </w:rPr>
              <w:t xml:space="preserve">Ņemot vērā minēto, un, lai nodrošinātu sekmīgu </w:t>
            </w:r>
            <w:r w:rsidR="006F614C">
              <w:rPr>
                <w:szCs w:val="32"/>
              </w:rPr>
              <w:t>darbības programmā</w:t>
            </w:r>
            <w:r w:rsidRPr="00677A6A">
              <w:rPr>
                <w:szCs w:val="32"/>
              </w:rPr>
              <w:t xml:space="preserve"> noteikto </w:t>
            </w:r>
            <w:r w:rsidRPr="00540562">
              <w:rPr>
                <w:szCs w:val="32"/>
              </w:rPr>
              <w:t>4.5.1.SAM</w:t>
            </w:r>
            <w:r w:rsidRPr="00677A6A">
              <w:rPr>
                <w:szCs w:val="32"/>
              </w:rPr>
              <w:t xml:space="preserve"> mērķu un rādītāju sasniegšanu</w:t>
            </w:r>
            <w:r>
              <w:rPr>
                <w:szCs w:val="32"/>
              </w:rPr>
              <w:t>, Satiksmes ministrija</w:t>
            </w:r>
            <w:r w:rsidR="00540562">
              <w:rPr>
                <w:szCs w:val="32"/>
              </w:rPr>
              <w:t xml:space="preserve"> (turpmāk – SM)</w:t>
            </w:r>
            <w:r>
              <w:rPr>
                <w:szCs w:val="32"/>
              </w:rPr>
              <w:t xml:space="preserve"> 2019.gada </w:t>
            </w:r>
            <w:r w:rsidRPr="005A0C6E">
              <w:rPr>
                <w:szCs w:val="32"/>
              </w:rPr>
              <w:t xml:space="preserve">maijā veica esošo un potenciālo atbalsta saņēmēju apzināšanu, lai identificētu atbalstāmos projektus, kurus varētu īstenot atlikušajā plānošanas perioda termiņā, ievērojot </w:t>
            </w:r>
            <w:r w:rsidR="006F614C">
              <w:rPr>
                <w:szCs w:val="32"/>
              </w:rPr>
              <w:t>darbības programmas</w:t>
            </w:r>
            <w:r w:rsidRPr="005A0C6E">
              <w:rPr>
                <w:szCs w:val="32"/>
              </w:rPr>
              <w:t xml:space="preserve"> 4.prioritārā virzienā “Pāreja uz ekonomiku ar zemu oglekļa emisijas līmeni visās nozarēs” iekļauto pamatojumu atbalsta saņemšanai, kā arī nodemonstrējot infrastruktūras attīstības nepieciešamību un potenciālo projektu gatavību</w:t>
            </w:r>
            <w:r>
              <w:rPr>
                <w:szCs w:val="32"/>
              </w:rPr>
              <w:t xml:space="preserve">. </w:t>
            </w:r>
          </w:p>
          <w:p w14:paraId="1192F806" w14:textId="7063018F" w:rsidR="005A0C6E" w:rsidRDefault="005A0C6E" w:rsidP="00BB1AEE">
            <w:pPr>
              <w:spacing w:after="130"/>
              <w:jc w:val="both"/>
              <w:rPr>
                <w:szCs w:val="32"/>
              </w:rPr>
            </w:pPr>
            <w:r w:rsidRPr="005A0C6E">
              <w:rPr>
                <w:szCs w:val="32"/>
              </w:rPr>
              <w:t xml:space="preserve">Vērtējot iesniegtās potenciālo projektu koncepcijas, </w:t>
            </w:r>
            <w:r w:rsidR="00D116F1">
              <w:rPr>
                <w:szCs w:val="32"/>
              </w:rPr>
              <w:t>SM</w:t>
            </w:r>
            <w:r w:rsidRPr="005A0C6E">
              <w:rPr>
                <w:szCs w:val="32"/>
              </w:rPr>
              <w:t xml:space="preserve"> ņēma vērā projektu īstenošanas ietekmi uz </w:t>
            </w:r>
            <w:r w:rsidRPr="00540562">
              <w:rPr>
                <w:szCs w:val="32"/>
              </w:rPr>
              <w:t>darbības programmas</w:t>
            </w:r>
            <w:r w:rsidRPr="005A0C6E">
              <w:rPr>
                <w:szCs w:val="32"/>
              </w:rPr>
              <w:t xml:space="preserve"> mērķu un noteikto uzraudzības rādītāju sasniegšanas iespēju novērtējumu, infrastruktūras attīstības nepieciešamību un potenciālo projektu gatavību, prioritāri atbalstot projektus, kuru izpildes sniegums nodrošinās intervenci uz sasniedzamajiem rezultātiem – </w:t>
            </w:r>
            <w:proofErr w:type="spellStart"/>
            <w:r w:rsidRPr="005A0C6E">
              <w:rPr>
                <w:szCs w:val="32"/>
              </w:rPr>
              <w:t>jaunbūvēto</w:t>
            </w:r>
            <w:proofErr w:type="spellEnd"/>
            <w:r w:rsidRPr="005A0C6E">
              <w:rPr>
                <w:szCs w:val="32"/>
              </w:rPr>
              <w:t xml:space="preserve"> vai uzlaboto tramvaju līniju kopējo garumu un videi draudzīgā sabiedriskajā transportā pārvadāto pasažieru skaita palielinājumu.</w:t>
            </w:r>
          </w:p>
          <w:p w14:paraId="22DC4C12" w14:textId="3F7DFB74" w:rsidR="005A0C6E" w:rsidRPr="00920A3F" w:rsidRDefault="00C05B80" w:rsidP="00BB1AEE">
            <w:pPr>
              <w:spacing w:after="130"/>
              <w:jc w:val="both"/>
              <w:rPr>
                <w:lang w:eastAsia="en-US"/>
              </w:rPr>
            </w:pPr>
            <w:r>
              <w:rPr>
                <w:szCs w:val="32"/>
              </w:rPr>
              <w:t>Ievērojot minēto</w:t>
            </w:r>
            <w:r w:rsidR="00494108">
              <w:rPr>
                <w:szCs w:val="32"/>
              </w:rPr>
              <w:t>,</w:t>
            </w:r>
            <w:r>
              <w:rPr>
                <w:szCs w:val="32"/>
              </w:rPr>
              <w:t xml:space="preserve"> </w:t>
            </w:r>
            <w:r w:rsidR="00540562">
              <w:rPr>
                <w:szCs w:val="32"/>
              </w:rPr>
              <w:t>SM</w:t>
            </w:r>
            <w:r>
              <w:rPr>
                <w:szCs w:val="32"/>
              </w:rPr>
              <w:t xml:space="preserve"> </w:t>
            </w:r>
            <w:r w:rsidRPr="00C05B80">
              <w:rPr>
                <w:szCs w:val="32"/>
              </w:rPr>
              <w:t>sagatavo</w:t>
            </w:r>
            <w:r>
              <w:rPr>
                <w:szCs w:val="32"/>
              </w:rPr>
              <w:t>ja un 2019.gada</w:t>
            </w:r>
            <w:r w:rsidR="007B3B35">
              <w:rPr>
                <w:szCs w:val="32"/>
              </w:rPr>
              <w:t xml:space="preserve"> 10.</w:t>
            </w:r>
            <w:r>
              <w:rPr>
                <w:szCs w:val="32"/>
              </w:rPr>
              <w:t xml:space="preserve"> jūnijā iesniedza Finanšu ministrijā</w:t>
            </w:r>
            <w:r w:rsidR="007B3B35">
              <w:rPr>
                <w:szCs w:val="32"/>
              </w:rPr>
              <w:t xml:space="preserve"> (turpmāk – FM)</w:t>
            </w:r>
            <w:r>
              <w:rPr>
                <w:szCs w:val="32"/>
              </w:rPr>
              <w:t xml:space="preserve"> </w:t>
            </w:r>
            <w:r w:rsidRPr="00C05B80">
              <w:rPr>
                <w:szCs w:val="32"/>
              </w:rPr>
              <w:t xml:space="preserve">priekšlikumus </w:t>
            </w:r>
            <w:r w:rsidRPr="007B3B35">
              <w:rPr>
                <w:szCs w:val="32"/>
              </w:rPr>
              <w:t>darbības programmas grozījumiem</w:t>
            </w:r>
            <w:r>
              <w:rPr>
                <w:szCs w:val="32"/>
              </w:rPr>
              <w:t>, ņemot vērā</w:t>
            </w:r>
            <w:r w:rsidRPr="00C05B80">
              <w:rPr>
                <w:szCs w:val="32"/>
              </w:rPr>
              <w:t xml:space="preserve"> Daugavpils un Liepājas tramvaju infrastruktūras t</w:t>
            </w:r>
            <w:r w:rsidR="007B3B35">
              <w:rPr>
                <w:szCs w:val="32"/>
              </w:rPr>
              <w:t>urpmākās</w:t>
            </w:r>
            <w:r w:rsidRPr="00C05B80">
              <w:rPr>
                <w:szCs w:val="32"/>
              </w:rPr>
              <w:t xml:space="preserve"> attīstības iespējas esošā</w:t>
            </w:r>
            <w:r>
              <w:rPr>
                <w:szCs w:val="32"/>
              </w:rPr>
              <w:t xml:space="preserve"> 4.5.1.1.pasākuma ietvaros, kā arī </w:t>
            </w:r>
            <w:r w:rsidRPr="00C05B80">
              <w:rPr>
                <w:szCs w:val="32"/>
              </w:rPr>
              <w:t>cita lielā projekta īstenošanas iespēja</w:t>
            </w:r>
            <w:r w:rsidR="0017067D">
              <w:rPr>
                <w:szCs w:val="32"/>
              </w:rPr>
              <w:t>s</w:t>
            </w:r>
            <w:r w:rsidRPr="00C05B80">
              <w:rPr>
                <w:szCs w:val="32"/>
              </w:rPr>
              <w:t>, paredzot jaunu elektrovilcienu iegādi.</w:t>
            </w:r>
          </w:p>
          <w:p w14:paraId="07056F0C" w14:textId="50764610" w:rsidR="004721FA" w:rsidRPr="005A0C6E" w:rsidRDefault="00C05B80" w:rsidP="00E61885">
            <w:pPr>
              <w:spacing w:after="130"/>
              <w:jc w:val="both"/>
            </w:pPr>
            <w:r>
              <w:t>Ņemot vērā SM iesniegtos priekšlikumus darbības programma</w:t>
            </w:r>
            <w:r w:rsidR="007B3B35">
              <w:t>s</w:t>
            </w:r>
            <w:r>
              <w:t xml:space="preserve"> </w:t>
            </w:r>
            <w:r w:rsidRPr="007B3B35">
              <w:t>grozījumiem,</w:t>
            </w:r>
            <w:r w:rsidR="00B22A56" w:rsidRPr="007B3B35">
              <w:t xml:space="preserve"> FM</w:t>
            </w:r>
            <w:r w:rsidR="004721FA" w:rsidRPr="007B3B35">
              <w:t xml:space="preserve"> 2019</w:t>
            </w:r>
            <w:r w:rsidR="004721FA" w:rsidRPr="005A0C6E">
              <w:t xml:space="preserve">.gada </w:t>
            </w:r>
            <w:r w:rsidR="000F0046" w:rsidRPr="005A0C6E">
              <w:t>jūnijā</w:t>
            </w:r>
            <w:r w:rsidR="004721FA" w:rsidRPr="005A0C6E">
              <w:t xml:space="preserve"> aicinā</w:t>
            </w:r>
            <w:r w:rsidR="000F0046" w:rsidRPr="005A0C6E">
              <w:t>ja SM</w:t>
            </w:r>
            <w:r w:rsidR="004721FA" w:rsidRPr="005A0C6E">
              <w:t xml:space="preserve"> </w:t>
            </w:r>
            <w:r w:rsidR="0007109E" w:rsidRPr="005A0C6E">
              <w:lastRenderedPageBreak/>
              <w:t>ie</w:t>
            </w:r>
            <w:r w:rsidR="000F0046" w:rsidRPr="005A0C6E">
              <w:t>sniegt</w:t>
            </w:r>
            <w:r w:rsidR="004721FA" w:rsidRPr="005A0C6E">
              <w:t xml:space="preserve"> MK </w:t>
            </w:r>
            <w:proofErr w:type="spellStart"/>
            <w:r w:rsidR="000F0046" w:rsidRPr="005A0C6E">
              <w:t>izvērtējumu</w:t>
            </w:r>
            <w:proofErr w:type="spellEnd"/>
            <w:r w:rsidR="000F0046" w:rsidRPr="005A0C6E">
              <w:t xml:space="preserve"> par iespējamajiem riskiem, kas saistīti ar AS “Pasažieru vilciens”</w:t>
            </w:r>
            <w:r w:rsidR="00E86B63" w:rsidRPr="005A0C6E">
              <w:t xml:space="preserve"> (turpmāk - PV)</w:t>
            </w:r>
            <w:r w:rsidR="000F0046" w:rsidRPr="005A0C6E">
              <w:t xml:space="preserve"> rīkoto </w:t>
            </w:r>
            <w:r w:rsidR="00AC5DF6" w:rsidRPr="005A0C6E">
              <w:t xml:space="preserve">iepirkumu “Piepilsētas pasažieru elektrovilcienu un to uzturēšanai nepieciešamā aprīkojuma piegāde un personāla apmācība” (turpmāk - </w:t>
            </w:r>
            <w:r w:rsidR="000F0046" w:rsidRPr="005A0C6E">
              <w:t>elektrovilcienu iepirkum</w:t>
            </w:r>
            <w:r w:rsidR="00AC5DF6" w:rsidRPr="005A0C6E">
              <w:t>s)</w:t>
            </w:r>
            <w:r w:rsidR="000F0046" w:rsidRPr="005A0C6E">
              <w:t>, un</w:t>
            </w:r>
            <w:r w:rsidR="004721FA" w:rsidRPr="005A0C6E">
              <w:t xml:space="preserve"> </w:t>
            </w:r>
            <w:r w:rsidR="000F0046" w:rsidRPr="005A0C6E">
              <w:t xml:space="preserve">informēt MK par </w:t>
            </w:r>
            <w:r w:rsidR="00955C56" w:rsidRPr="005A0C6E">
              <w:t>4.5.1.1.</w:t>
            </w:r>
            <w:r w:rsidR="009A1D57" w:rsidRPr="005A0C6E">
              <w:t> </w:t>
            </w:r>
            <w:r w:rsidR="004721FA" w:rsidRPr="005A0C6E">
              <w:t xml:space="preserve">ietvaros lielā projekta “Rīgas tramvaja infrastruktūras attīstība” līguma pārtraukšanas rezultātā atbrīvojamā </w:t>
            </w:r>
            <w:r w:rsidR="00955C56" w:rsidRPr="005A0C6E">
              <w:t>ES fondu</w:t>
            </w:r>
            <w:r w:rsidR="004721FA" w:rsidRPr="005A0C6E">
              <w:t xml:space="preserve"> finansējuma izmantošanas alternatīvām un izvēlēto risinājumu</w:t>
            </w:r>
            <w:r w:rsidR="00955C56" w:rsidRPr="005A0C6E">
              <w:t>.</w:t>
            </w:r>
          </w:p>
          <w:p w14:paraId="0E2D880D" w14:textId="62DC218A" w:rsidR="001903A3" w:rsidRPr="005A0C6E" w:rsidRDefault="007333BD" w:rsidP="001903A3">
            <w:pPr>
              <w:spacing w:after="130"/>
              <w:jc w:val="both"/>
            </w:pPr>
            <w:r w:rsidRPr="005A0C6E">
              <w:t>MK 2019.gada 25.jūnija sēdē</w:t>
            </w:r>
            <w:r w:rsidR="00C846C6">
              <w:rPr>
                <w:rStyle w:val="FootnoteReference"/>
              </w:rPr>
              <w:footnoteReference w:id="7"/>
            </w:r>
            <w:r w:rsidR="00071ED5">
              <w:t xml:space="preserve"> (prot. Nr.30, </w:t>
            </w:r>
            <w:r w:rsidR="00071ED5" w:rsidRPr="00071ED5">
              <w:t>37.§</w:t>
            </w:r>
            <w:r w:rsidR="00071ED5">
              <w:t>)</w:t>
            </w:r>
            <w:r w:rsidRPr="005A0C6E">
              <w:t xml:space="preserve"> tika izskatīts SM informatīvais ziņojums "Par AS "Pasažieru vilciens" rīkoto </w:t>
            </w:r>
            <w:r w:rsidR="00AC5DF6" w:rsidRPr="005A0C6E">
              <w:t xml:space="preserve">elektrovilcienu </w:t>
            </w:r>
            <w:r w:rsidRPr="005A0C6E">
              <w:t xml:space="preserve">iepirkumu un tā rezultātā slēdzamā līguma izpildei nepieciešamo finansējumu un saistīto risku </w:t>
            </w:r>
            <w:proofErr w:type="spellStart"/>
            <w:r w:rsidRPr="005A0C6E">
              <w:t>izvērtējums</w:t>
            </w:r>
            <w:proofErr w:type="spellEnd"/>
            <w:r w:rsidRPr="005A0C6E">
              <w:t>" (ierobežotas pieejamības statuss)</w:t>
            </w:r>
            <w:r w:rsidR="000F0046" w:rsidRPr="005A0C6E">
              <w:t>.</w:t>
            </w:r>
            <w:r w:rsidRPr="005A0C6E">
              <w:t xml:space="preserve"> </w:t>
            </w:r>
            <w:r w:rsidR="000F0046" w:rsidRPr="005A0C6E">
              <w:t>Š</w:t>
            </w:r>
            <w:r w:rsidRPr="005A0C6E">
              <w:t xml:space="preserve">ajā ziņojumā ir veikts ar </w:t>
            </w:r>
            <w:r w:rsidR="002B6905" w:rsidRPr="002B6905">
              <w:t>elektrovilcienu iepirkumu</w:t>
            </w:r>
            <w:r w:rsidRPr="002B6905">
              <w:t xml:space="preserve"> saistīto</w:t>
            </w:r>
            <w:r w:rsidRPr="005A0C6E">
              <w:t xml:space="preserve"> risku </w:t>
            </w:r>
            <w:proofErr w:type="spellStart"/>
            <w:r w:rsidRPr="005A0C6E">
              <w:t>izvērtējums</w:t>
            </w:r>
            <w:proofErr w:type="spellEnd"/>
            <w:r w:rsidR="000C0706" w:rsidRPr="005A0C6E">
              <w:t>, kas varētu ietekmēt valsts budžeta un ES fondu finansējuma piesaisti jaunu elektrovilcienu iegādei</w:t>
            </w:r>
            <w:r w:rsidRPr="005A0C6E">
              <w:t>.</w:t>
            </w:r>
          </w:p>
          <w:p w14:paraId="7F4ADCC8" w14:textId="78DF5EA2" w:rsidR="00BD0905" w:rsidRPr="00C05B80" w:rsidRDefault="00C05B80" w:rsidP="001903A3">
            <w:pPr>
              <w:spacing w:after="130"/>
              <w:jc w:val="both"/>
            </w:pPr>
            <w:r>
              <w:t xml:space="preserve">Papildus </w:t>
            </w:r>
            <w:r w:rsidR="00BD0905" w:rsidRPr="00C05B80">
              <w:t>MK 2019.gada 16.jūlija sēdē</w:t>
            </w:r>
            <w:r w:rsidR="00C846C6">
              <w:rPr>
                <w:rStyle w:val="FootnoteReference"/>
              </w:rPr>
              <w:footnoteReference w:id="8"/>
            </w:r>
            <w:r w:rsidR="00BD0905" w:rsidRPr="00C05B80">
              <w:t xml:space="preserve"> </w:t>
            </w:r>
            <w:r w:rsidR="00883264">
              <w:t xml:space="preserve">(prot. Nr.33, </w:t>
            </w:r>
            <w:r w:rsidR="00883264" w:rsidRPr="00883264">
              <w:t>84.§)</w:t>
            </w:r>
            <w:r w:rsidR="00883264" w:rsidRPr="005A0C6E">
              <w:t xml:space="preserve"> </w:t>
            </w:r>
            <w:r w:rsidR="00BD0905" w:rsidRPr="00C05B80">
              <w:t>tika izskatīts SM informatīvais ziņojums "Par jauno elektrovilcienu projektu", k</w:t>
            </w:r>
            <w:r w:rsidR="00BF1CE0" w:rsidRPr="00C05B80">
              <w:t>ur sniegta informācija par</w:t>
            </w:r>
            <w:r w:rsidR="00BD0905" w:rsidRPr="00C05B80">
              <w:t xml:space="preserve"> </w:t>
            </w:r>
            <w:r w:rsidR="00D73BDE" w:rsidRPr="00C05B80">
              <w:t>AS “Pasažieru vilciens”</w:t>
            </w:r>
            <w:r w:rsidR="00BF1CE0" w:rsidRPr="00C05B80">
              <w:t xml:space="preserve"> īstenoto </w:t>
            </w:r>
            <w:r w:rsidR="0007109E" w:rsidRPr="00C05B80">
              <w:t>elektrovilcienu iepirkumu</w:t>
            </w:r>
            <w:r w:rsidR="009B32FB" w:rsidRPr="00C05B80">
              <w:t>.</w:t>
            </w:r>
            <w:r w:rsidR="002563C3" w:rsidRPr="00C05B80">
              <w:t xml:space="preserve"> Informatīvajā ziņojumā secināts, ka nav identificējami apstākļi, kas pamatotu elektrovilcien</w:t>
            </w:r>
            <w:r w:rsidR="00E86B63" w:rsidRPr="00C05B80">
              <w:t>u</w:t>
            </w:r>
            <w:r w:rsidR="002563C3" w:rsidRPr="00C05B80">
              <w:t xml:space="preserve"> iepirkuma uzvarētāja reputācijas un korupcijas riskus, kas varētu ietekmēt valsts budžeta un ES fondu finansējuma piesaisti jaunu elektrovilcienu iegādei.</w:t>
            </w:r>
            <w:r w:rsidR="007333BD" w:rsidRPr="00C05B80">
              <w:t xml:space="preserve"> </w:t>
            </w:r>
            <w:r w:rsidR="007333BD" w:rsidRPr="00E24DC9">
              <w:t xml:space="preserve">Informatīvajā ziņojumā </w:t>
            </w:r>
            <w:r w:rsidR="00DF121D" w:rsidRPr="00E24DC9">
              <w:t>sniegt</w:t>
            </w:r>
            <w:r w:rsidR="00E24DC9" w:rsidRPr="00E24DC9">
              <w:t>ā</w:t>
            </w:r>
            <w:r w:rsidR="00DF121D" w:rsidRPr="00E24DC9">
              <w:t xml:space="preserve"> informācija paredz,</w:t>
            </w:r>
            <w:r w:rsidR="007333BD" w:rsidRPr="00E24DC9">
              <w:t xml:space="preserve"> ka </w:t>
            </w:r>
            <w:r w:rsidR="00D53613" w:rsidRPr="00E24DC9">
              <w:t>elektrovilcienu iegādei</w:t>
            </w:r>
            <w:r w:rsidR="00E24DC9" w:rsidRPr="00E24DC9">
              <w:t xml:space="preserve"> </w:t>
            </w:r>
            <w:r w:rsidR="00D53613" w:rsidRPr="00E24DC9">
              <w:t xml:space="preserve">plānots piesaistīt </w:t>
            </w:r>
            <w:r w:rsidR="009D0CB6">
              <w:t>ES</w:t>
            </w:r>
            <w:r w:rsidR="00D53613" w:rsidRPr="00E24DC9">
              <w:t xml:space="preserve"> fondu līdzfinansējumu</w:t>
            </w:r>
            <w:r w:rsidR="005531F1" w:rsidRPr="00E24DC9">
              <w:t xml:space="preserve">, </w:t>
            </w:r>
            <w:r w:rsidR="00DF121D" w:rsidRPr="00E24DC9">
              <w:t xml:space="preserve">tādējādi </w:t>
            </w:r>
            <w:r w:rsidR="005531F1" w:rsidRPr="00E24DC9">
              <w:t>mazinot ietekmi uz vispārējās valdības budžeta bilanci un ilgtermiņa saistībām finansējuma nodrošināšanai 2021.-2023. gadā jaunu elektrovilcienu iegādei</w:t>
            </w:r>
            <w:r w:rsidR="00D53613" w:rsidRPr="00E24DC9">
              <w:t>.</w:t>
            </w:r>
          </w:p>
          <w:p w14:paraId="46254C0F" w14:textId="6FC3D5B7" w:rsidR="001903A3" w:rsidRPr="00C05B80" w:rsidRDefault="00B22A56" w:rsidP="00753CC8">
            <w:pPr>
              <w:spacing w:after="130"/>
              <w:jc w:val="both"/>
            </w:pPr>
            <w:r w:rsidRPr="00C05B80">
              <w:t>MK 2019.gada 13.septembra ārkārtas sēdē</w:t>
            </w:r>
            <w:r w:rsidR="006B70FA">
              <w:t xml:space="preserve"> </w:t>
            </w:r>
            <w:r w:rsidR="006B70FA" w:rsidRPr="00243D28">
              <w:t xml:space="preserve">(prot. Nr. 41, 1.§) </w:t>
            </w:r>
            <w:r w:rsidRPr="00C05B80">
              <w:t xml:space="preserve"> tika izskatīts FM informatīvais ziņojums "Par fiskālās telpas pasākumiem un izdevumiem prioritārajiem pasākumiem valsts budžetam 2020.gadam un ietvaram 2020.–2022.gadam" (turpmāk – FM 13.septembra informatīvais ziņojums), kas paredz fiskālo telpu palielinošus pasākumus un priekšlikumus nozaru ministriju pieteiktajiem prioritārajiem pasākumiem. Atbilstoši MK pieņemtajam lēmumam (MK 2019.gada 13.septembra ārkārtas sēdes </w:t>
            </w:r>
            <w:proofErr w:type="spellStart"/>
            <w:r w:rsidRPr="00C05B80">
              <w:t>protokollēmuma</w:t>
            </w:r>
            <w:proofErr w:type="spellEnd"/>
            <w:r w:rsidRPr="00C05B80">
              <w:t xml:space="preserve"> (prot. Nr.41, 1.§) 3.1.apakšpunkts)</w:t>
            </w:r>
            <w:r w:rsidR="00D06CD1">
              <w:t xml:space="preserve"> projekta</w:t>
            </w:r>
            <w:r w:rsidRPr="00C05B80">
              <w:t xml:space="preserve"> </w:t>
            </w:r>
            <w:r w:rsidR="00D06CD1">
              <w:t>“</w:t>
            </w:r>
            <w:r w:rsidR="00D06CD1" w:rsidRPr="00D06CD1">
              <w:t>Rīgas un Pierīgas pasažieru pārvadājumu nodrošināšanai nepieciešamo elektrovilcienu iegāde</w:t>
            </w:r>
            <w:r w:rsidR="00D06CD1">
              <w:t>”</w:t>
            </w:r>
            <w:r w:rsidR="00D06CD1" w:rsidRPr="00D06CD1">
              <w:t xml:space="preserve"> </w:t>
            </w:r>
            <w:r w:rsidR="00D06CD1">
              <w:t xml:space="preserve">(turpmāk - </w:t>
            </w:r>
            <w:r w:rsidRPr="00C05B80">
              <w:t>elektrovilcienu vagonu iegādes projekt</w:t>
            </w:r>
            <w:r w:rsidR="00D06CD1">
              <w:t>s)</w:t>
            </w:r>
            <w:r w:rsidRPr="00C05B80">
              <w:t xml:space="preserve"> īstenošanai tiek </w:t>
            </w:r>
            <w:r w:rsidRPr="00C05B80">
              <w:lastRenderedPageBreak/>
              <w:t>novirzīts ES fond</w:t>
            </w:r>
            <w:r w:rsidR="000A4521" w:rsidRPr="00C05B80">
              <w:t>u</w:t>
            </w:r>
            <w:r w:rsidRPr="00C05B80">
              <w:t xml:space="preserve"> finansējums</w:t>
            </w:r>
            <w:r w:rsidR="0084513D" w:rsidRPr="00C05B80">
              <w:t xml:space="preserve"> 90 206 679 </w:t>
            </w:r>
            <w:proofErr w:type="spellStart"/>
            <w:r w:rsidR="0084513D" w:rsidRPr="00C05B80">
              <w:rPr>
                <w:i/>
                <w:iCs/>
              </w:rPr>
              <w:t>euro</w:t>
            </w:r>
            <w:proofErr w:type="spellEnd"/>
            <w:r w:rsidR="0084513D" w:rsidRPr="00C05B80">
              <w:t xml:space="preserve"> apmērā</w:t>
            </w:r>
            <w:r w:rsidRPr="00C05B80">
              <w:t>, samazinot ietekmi uz vispārējās valdības budžeta bilanci.</w:t>
            </w:r>
          </w:p>
          <w:p w14:paraId="06F22D5E" w14:textId="5B0D1DD1" w:rsidR="00397AFD" w:rsidRDefault="00397AFD" w:rsidP="001903A3">
            <w:pPr>
              <w:spacing w:after="130"/>
              <w:jc w:val="both"/>
            </w:pPr>
            <w:r w:rsidRPr="00397AFD">
              <w:t xml:space="preserve">Ievērojot </w:t>
            </w:r>
            <w:r w:rsidRPr="00540562">
              <w:t>MK</w:t>
            </w:r>
            <w:r w:rsidRPr="00397AFD">
              <w:t xml:space="preserve"> 2019.gada 23.jūlija rīkojuma Nr.385 “Par Satiksmes ministrijas ilgtermiņa saistībām jauno elektrovilcienu projekta īstenošanai”</w:t>
            </w:r>
            <w:r w:rsidR="00C846C6">
              <w:rPr>
                <w:rStyle w:val="FootnoteReference"/>
              </w:rPr>
              <w:footnoteReference w:id="9"/>
            </w:r>
            <w:r w:rsidRPr="00397AFD">
              <w:t xml:space="preserve"> 4.punktu, kurš no</w:t>
            </w:r>
            <w:r w:rsidR="00540562">
              <w:t>teic</w:t>
            </w:r>
            <w:r w:rsidRPr="00397AFD">
              <w:t xml:space="preserve"> SM sagatavot un līdz 2019.gada 29.augustam noteiktā kārtībā iesniegt MK ziņojumu par darbības programm</w:t>
            </w:r>
            <w:r w:rsidR="00AF19AE">
              <w:t>as</w:t>
            </w:r>
            <w:r w:rsidRPr="00397AFD">
              <w:t xml:space="preserve"> 4.prioritārā virziena ietvaros neizmantotā ES fondu finansējuma izmantošanas alternatīvām un izvēlēto risinājum</w:t>
            </w:r>
            <w:r>
              <w:t xml:space="preserve">u, SM sagatavoja un iesniedza MK </w:t>
            </w:r>
            <w:r w:rsidRPr="00397AFD">
              <w:t>informatīv</w:t>
            </w:r>
            <w:r>
              <w:t>o</w:t>
            </w:r>
            <w:r w:rsidRPr="00397AFD">
              <w:t xml:space="preserve"> ziņojum</w:t>
            </w:r>
            <w:r>
              <w:t>u</w:t>
            </w:r>
            <w:r w:rsidRPr="00397AFD">
              <w:t xml:space="preserve"> “Par darbības programmas "Izaugsme un nodarbinātība" 4.prioritārā virziena ietvaros atbrīvotā Eiropas Savienības fondu finansējuma izmantošanas alternatīvām un izvēlēto risinājumu”</w:t>
            </w:r>
            <w:r>
              <w:t>, kas tika izskatīts MK 2019.gada 8.oktobra sēdē</w:t>
            </w:r>
            <w:r w:rsidR="00C846C6">
              <w:rPr>
                <w:rStyle w:val="FootnoteReference"/>
              </w:rPr>
              <w:footnoteReference w:id="10"/>
            </w:r>
            <w:r w:rsidR="00C846C6">
              <w:t xml:space="preserve"> (prot. Nr.46, </w:t>
            </w:r>
            <w:r w:rsidR="00C846C6" w:rsidRPr="00C846C6">
              <w:t>16.§</w:t>
            </w:r>
            <w:r w:rsidR="00C846C6">
              <w:t>)</w:t>
            </w:r>
            <w:r w:rsidR="00632FAE">
              <w:t>. Ievērojot</w:t>
            </w:r>
            <w:r w:rsidR="00632FAE" w:rsidRPr="00632FAE">
              <w:t xml:space="preserve"> </w:t>
            </w:r>
            <w:r w:rsidR="00C47403">
              <w:t>MK</w:t>
            </w:r>
            <w:r w:rsidR="00632FAE" w:rsidRPr="00632FAE">
              <w:t xml:space="preserve"> </w:t>
            </w:r>
            <w:r w:rsidR="00C47403" w:rsidRPr="00632FAE">
              <w:t xml:space="preserve">2019.gada 13.septembra </w:t>
            </w:r>
            <w:r w:rsidR="00632FAE" w:rsidRPr="00632FAE">
              <w:t xml:space="preserve">sēdes protokola </w:t>
            </w:r>
            <w:r w:rsidR="00C47403">
              <w:t>(prot.</w:t>
            </w:r>
            <w:r w:rsidR="00632FAE" w:rsidRPr="00632FAE">
              <w:t>Nr.41</w:t>
            </w:r>
            <w:r w:rsidR="00C47403">
              <w:t>,</w:t>
            </w:r>
            <w:r w:rsidR="00632FAE" w:rsidRPr="00632FAE">
              <w:t xml:space="preserve"> 1.§</w:t>
            </w:r>
            <w:r w:rsidR="00C47403">
              <w:t>)</w:t>
            </w:r>
            <w:r w:rsidR="00632FAE" w:rsidRPr="00632FAE">
              <w:t xml:space="preserve">  3.1.apakšpunkt</w:t>
            </w:r>
            <w:r w:rsidR="005B1A7B">
              <w:t>u</w:t>
            </w:r>
            <w:r w:rsidR="00632FAE">
              <w:t xml:space="preserve">, informatīvais ziņojums paredz </w:t>
            </w:r>
            <w:r w:rsidR="005B1A7B" w:rsidRPr="005B1A7B">
              <w:t>ES fondu finansējum</w:t>
            </w:r>
            <w:r w:rsidR="00C47403">
              <w:t>u</w:t>
            </w:r>
            <w:r w:rsidR="005B1A7B" w:rsidRPr="005B1A7B">
              <w:t xml:space="preserve"> </w:t>
            </w:r>
            <w:r w:rsidR="00C47403">
              <w:t>1</w:t>
            </w:r>
            <w:r w:rsidR="005B1A7B" w:rsidRPr="005B1A7B">
              <w:t>13</w:t>
            </w:r>
            <w:r w:rsidR="00C47403">
              <w:t> </w:t>
            </w:r>
            <w:r w:rsidR="005B1A7B" w:rsidRPr="005B1A7B">
              <w:t>609</w:t>
            </w:r>
            <w:r w:rsidR="00C47403">
              <w:t> </w:t>
            </w:r>
            <w:r w:rsidR="005B1A7B" w:rsidRPr="005B1A7B">
              <w:t xml:space="preserve">656 </w:t>
            </w:r>
            <w:proofErr w:type="spellStart"/>
            <w:r w:rsidR="00215A5A" w:rsidRPr="00215A5A">
              <w:rPr>
                <w:i/>
                <w:iCs/>
              </w:rPr>
              <w:t>euro</w:t>
            </w:r>
            <w:proofErr w:type="spellEnd"/>
            <w:r w:rsidR="005B1A7B" w:rsidRPr="005B1A7B">
              <w:t xml:space="preserve"> apmērā</w:t>
            </w:r>
            <w:r w:rsidR="005B1A7B">
              <w:t>, tai skaitā</w:t>
            </w:r>
            <w:r w:rsidR="005B1A7B" w:rsidRPr="005B1A7B">
              <w:t xml:space="preserve"> 4.5.1.1.pasākuma īstenošanas atbrīvoto KF finansējumu 70</w:t>
            </w:r>
            <w:r w:rsidR="00C47403">
              <w:t> </w:t>
            </w:r>
            <w:r w:rsidR="005B1A7B" w:rsidRPr="005B1A7B">
              <w:t>000</w:t>
            </w:r>
            <w:r w:rsidR="00C47403">
              <w:t> </w:t>
            </w:r>
            <w:r w:rsidR="005B1A7B" w:rsidRPr="005B1A7B">
              <w:t xml:space="preserve">000 </w:t>
            </w:r>
            <w:proofErr w:type="spellStart"/>
            <w:r w:rsidR="00215A5A" w:rsidRPr="00215A5A">
              <w:rPr>
                <w:i/>
                <w:iCs/>
              </w:rPr>
              <w:t>euro</w:t>
            </w:r>
            <w:proofErr w:type="spellEnd"/>
            <w:r w:rsidR="00215A5A" w:rsidRPr="005B1A7B">
              <w:t xml:space="preserve"> </w:t>
            </w:r>
            <w:r w:rsidR="005B1A7B" w:rsidRPr="005B1A7B">
              <w:t>apmērā</w:t>
            </w:r>
            <w:r w:rsidR="005B1A7B">
              <w:t xml:space="preserve"> novirzīt </w:t>
            </w:r>
            <w:r w:rsidR="005B1A7B" w:rsidRPr="00C47403">
              <w:t>elektrovilcienu iegādes projekta īstenošanai.</w:t>
            </w:r>
            <w:r w:rsidR="005B1A7B">
              <w:t xml:space="preserve"> Vienlaikus, </w:t>
            </w:r>
            <w:r w:rsidR="005B1A7B" w:rsidRPr="005B1A7B">
              <w:t xml:space="preserve">lai nodrošinātu </w:t>
            </w:r>
            <w:r w:rsidR="00540562">
              <w:t>darbības programmā</w:t>
            </w:r>
            <w:r w:rsidR="005B1A7B" w:rsidRPr="005B1A7B">
              <w:t xml:space="preserve"> noteikto 4.5.1.SAM mērķu un sasniedzamo uzraudzības rādītāju sasniegšanu, </w:t>
            </w:r>
            <w:r w:rsidR="005B1A7B">
              <w:t xml:space="preserve">informatīvajā ziņojumā tika noteikts, ka </w:t>
            </w:r>
            <w:r w:rsidR="005B1A7B" w:rsidRPr="005B1A7B">
              <w:t>SM vērtēs papildu ES fondu finansējuma rašanas iespējas Daugavpils un Liepājas tramvaju infrastruktūras attīstības projektiem, vērtējot SM pārziņā esošo specifisko atbalsta mērķu ietvaros īstenojamo projektu ieviešanas gaitu, riskus un iespējas.</w:t>
            </w:r>
          </w:p>
          <w:p w14:paraId="03B6AC4B" w14:textId="5045DB18" w:rsidR="00252EF7" w:rsidRPr="0018139B" w:rsidRDefault="007460BB" w:rsidP="00252EF7">
            <w:pPr>
              <w:spacing w:after="130"/>
              <w:jc w:val="both"/>
              <w:rPr>
                <w:i/>
                <w:iCs/>
              </w:rPr>
            </w:pPr>
            <w:r w:rsidRPr="00C05B80">
              <w:t>MK 2019.gada 11.oktobra ārkārtas sēdē tika izskatīts FM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(turpmāk – FM 11.oktobra informatīvais ziņojums).</w:t>
            </w:r>
            <w:r w:rsidR="005B1A7B">
              <w:t xml:space="preserve"> </w:t>
            </w:r>
            <w:r w:rsidR="00252EF7">
              <w:t xml:space="preserve">Atbilstoši </w:t>
            </w:r>
            <w:r w:rsidR="00252EF7" w:rsidRPr="00252EF7">
              <w:t xml:space="preserve">MK 2019.gada 11.oktobra sēdes </w:t>
            </w:r>
            <w:proofErr w:type="spellStart"/>
            <w:r w:rsidR="00252EF7" w:rsidRPr="00252EF7">
              <w:t>protokollēmuma</w:t>
            </w:r>
            <w:proofErr w:type="spellEnd"/>
            <w:r w:rsidR="00252EF7" w:rsidRPr="00252EF7">
              <w:t xml:space="preserve"> (prot. Nr.47, 3.§) 5.2.apakšpunkt</w:t>
            </w:r>
            <w:r w:rsidR="00252EF7">
              <w:t>ā</w:t>
            </w:r>
            <w:r w:rsidR="00252EF7" w:rsidRPr="00252EF7">
              <w:t xml:space="preserve"> </w:t>
            </w:r>
            <w:r w:rsidR="00C90A80">
              <w:t xml:space="preserve">noteiktajam </w:t>
            </w:r>
            <w:r w:rsidRPr="00C05B80">
              <w:t xml:space="preserve"> </w:t>
            </w:r>
            <w:r w:rsidR="00C90A80" w:rsidRPr="00C90A80">
              <w:t xml:space="preserve">sliežu sabiedriskā transporta infrastruktūras projektiem </w:t>
            </w:r>
            <w:r w:rsidR="00252EF7" w:rsidRPr="00252EF7">
              <w:t xml:space="preserve">Daugavpilī un Liepājā </w:t>
            </w:r>
            <w:r w:rsidR="00C90A80" w:rsidRPr="00C90A80">
              <w:t>no dzelzceļa infrastruktūras modernizācijas finansējuma</w:t>
            </w:r>
            <w:r w:rsidR="00C90A80" w:rsidRPr="00C90A80" w:rsidDel="005B1A7B">
              <w:t xml:space="preserve"> </w:t>
            </w:r>
            <w:r w:rsidR="00C90A80">
              <w:t xml:space="preserve"> tiek novirzīti </w:t>
            </w:r>
            <w:r w:rsidR="00252EF7">
              <w:t xml:space="preserve">20 000 000 </w:t>
            </w:r>
            <w:proofErr w:type="spellStart"/>
            <w:r w:rsidR="00252EF7" w:rsidRPr="0018139B">
              <w:rPr>
                <w:i/>
                <w:iCs/>
              </w:rPr>
              <w:t>euro</w:t>
            </w:r>
            <w:proofErr w:type="spellEnd"/>
            <w:r w:rsidR="00252EF7">
              <w:rPr>
                <w:i/>
                <w:iCs/>
              </w:rPr>
              <w:t>.</w:t>
            </w:r>
            <w:r w:rsidR="00252EF7" w:rsidRPr="0018139B">
              <w:rPr>
                <w:i/>
                <w:iCs/>
              </w:rPr>
              <w:t xml:space="preserve"> </w:t>
            </w:r>
          </w:p>
          <w:p w14:paraId="4661BEB4" w14:textId="6F278E8C" w:rsidR="00252EF7" w:rsidRDefault="00252EF7" w:rsidP="005020CD">
            <w:pPr>
              <w:spacing w:after="130"/>
              <w:jc w:val="both"/>
            </w:pPr>
            <w:r>
              <w:t>L</w:t>
            </w:r>
            <w:r w:rsidRPr="00252EF7">
              <w:t>ai sliežu sabiedriskā transporta infrastruktūras</w:t>
            </w:r>
            <w:r>
              <w:t xml:space="preserve"> projektu </w:t>
            </w:r>
            <w:r w:rsidRPr="00252EF7">
              <w:t xml:space="preserve"> īstenošana Daugavpilī un Liepājā neradītu papildu valsts budžeta izdevumus</w:t>
            </w:r>
            <w:r>
              <w:t xml:space="preserve">, </w:t>
            </w:r>
            <w:r w:rsidRPr="00252EF7">
              <w:t xml:space="preserve">SM 8.oktobra informatīvajā ziņojumā </w:t>
            </w:r>
            <w:r>
              <w:lastRenderedPageBreak/>
              <w:t>tika noteikts</w:t>
            </w:r>
            <w:r w:rsidRPr="00252EF7">
              <w:t xml:space="preserve">, </w:t>
            </w:r>
            <w:r>
              <w:t xml:space="preserve">ka </w:t>
            </w:r>
            <w:r w:rsidRPr="00252EF7">
              <w:t>projektu īstenošanai Daugavpilī un Liepājā nav pieejama valsts budžeta dotācija</w:t>
            </w:r>
            <w:r w:rsidR="0018139B">
              <w:t>.</w:t>
            </w:r>
          </w:p>
          <w:p w14:paraId="7F38E0F3" w14:textId="77777777" w:rsidR="00900363" w:rsidRPr="0018139B" w:rsidRDefault="00900363" w:rsidP="00900363">
            <w:pPr>
              <w:spacing w:after="130"/>
              <w:jc w:val="both"/>
              <w:rPr>
                <w:i/>
                <w:iCs/>
              </w:rPr>
            </w:pPr>
            <w:r w:rsidRPr="0018139B">
              <w:rPr>
                <w:i/>
                <w:iCs/>
              </w:rPr>
              <w:t>Sliežu transporta infrastruktūras projekti</w:t>
            </w:r>
            <w:r>
              <w:rPr>
                <w:i/>
                <w:iCs/>
              </w:rPr>
              <w:t xml:space="preserve"> Daugavpilī un Liepājā</w:t>
            </w:r>
          </w:p>
          <w:p w14:paraId="441ABD4B" w14:textId="17AC0175" w:rsidR="00900363" w:rsidRDefault="00900363" w:rsidP="00900363">
            <w:pPr>
              <w:spacing w:after="130"/>
              <w:jc w:val="both"/>
            </w:pPr>
            <w:r>
              <w:t>4.5.1.1.pasākuma otrās atlases kārtas ietvaros AS „Daugavpils satiksme” plāno īstenot projektu</w:t>
            </w:r>
            <w:r w:rsidRPr="0015224C">
              <w:t xml:space="preserve"> “Videi draudzīga sabiedriskā transporta infrastruktūras attīstība Daugavpils pilsētā, II kārta”</w:t>
            </w:r>
            <w:r>
              <w:t xml:space="preserve">. </w:t>
            </w:r>
          </w:p>
          <w:p w14:paraId="50DCB931" w14:textId="77777777" w:rsidR="00900363" w:rsidRDefault="00900363" w:rsidP="00900363">
            <w:pPr>
              <w:spacing w:after="130"/>
              <w:jc w:val="both"/>
            </w:pPr>
            <w:r>
              <w:t xml:space="preserve">Projekta ietvaros ir plānots savienot Daugavpils pilsētas sabiedriskā transporta maršrutu tīklu, iekļaujot jaunus tramvaju maršrutus, tā sekmējot efektīvu pilsētas transporta infrastruktūras attīstību un piesārņojuma mazināšanu. </w:t>
            </w:r>
          </w:p>
          <w:p w14:paraId="3EB96990" w14:textId="3171EF68" w:rsidR="00900363" w:rsidRDefault="00900363" w:rsidP="00900363">
            <w:pPr>
              <w:spacing w:after="130"/>
              <w:jc w:val="both"/>
            </w:pPr>
            <w:r>
              <w:t xml:space="preserve">Lai sekmētu videi draudzīga sabiedriskā transporta izmantošanu un pasažieru skaita pieaugumu Daugavpils pilsētas sabiedriskajā transportā, projekta ietvaros </w:t>
            </w:r>
            <w:r w:rsidR="00EB25A1">
              <w:t xml:space="preserve">indikatīvi </w:t>
            </w:r>
            <w:r>
              <w:t>ir plānotas šādas aktivitātes:</w:t>
            </w:r>
          </w:p>
          <w:p w14:paraId="6A138E34" w14:textId="3309E4A0" w:rsidR="00900363" w:rsidRDefault="00900363" w:rsidP="00C47403">
            <w:pPr>
              <w:pStyle w:val="ListParagraph"/>
              <w:numPr>
                <w:ilvl w:val="0"/>
                <w:numId w:val="34"/>
              </w:numPr>
              <w:spacing w:after="130"/>
              <w:jc w:val="both"/>
            </w:pPr>
            <w:r>
              <w:t>Tramvaju līnijas pārbūves darbi posmā Parādes iela – Cietoksnis;</w:t>
            </w:r>
          </w:p>
          <w:p w14:paraId="0B435961" w14:textId="6E83C9DF" w:rsidR="00900363" w:rsidRDefault="00900363" w:rsidP="00C47403">
            <w:pPr>
              <w:pStyle w:val="ListParagraph"/>
              <w:numPr>
                <w:ilvl w:val="0"/>
                <w:numId w:val="34"/>
              </w:numPr>
              <w:spacing w:after="130"/>
              <w:jc w:val="both"/>
            </w:pPr>
            <w:r>
              <w:t>Tramvaju līnijas izbūve Vaiņodes ielas posmā, savienojot pilsētas apkaimes “Ķīmija”  – “</w:t>
            </w:r>
            <w:proofErr w:type="spellStart"/>
            <w:r>
              <w:t>Vecstropi</w:t>
            </w:r>
            <w:proofErr w:type="spellEnd"/>
            <w:r>
              <w:t>”.</w:t>
            </w:r>
          </w:p>
          <w:p w14:paraId="31C894B6" w14:textId="77777777" w:rsidR="00900363" w:rsidRDefault="00900363" w:rsidP="00900363">
            <w:pPr>
              <w:spacing w:after="130"/>
              <w:jc w:val="both"/>
            </w:pPr>
            <w:r>
              <w:t>Projekta aktivitāšu īstenošanas rezultātā tiks veikta tramvaju sliežu ceļa pārbūve un izbūve 3,69 km garumā. Tiek prognozēts, ka, īstenojot papildu aktivitātes, pārvadāto pasažieru skaits palielināsies par aptuveni 280 000 pasažieriem/gadā.</w:t>
            </w:r>
          </w:p>
          <w:p w14:paraId="76FDE5FA" w14:textId="762F2F4A" w:rsidR="00900363" w:rsidRDefault="00900363" w:rsidP="00900363">
            <w:pPr>
              <w:spacing w:after="130"/>
              <w:jc w:val="both"/>
            </w:pPr>
            <w:r>
              <w:t>Projekta aktivitāšu īstenošanai būs arī pozitīva ietekme uz siltumnīcefekta gāzu emisiju samazinājumu pilsētā.</w:t>
            </w:r>
          </w:p>
          <w:p w14:paraId="056C9C30" w14:textId="0FAF09DB" w:rsidR="00900363" w:rsidRDefault="00900363" w:rsidP="005F13FE">
            <w:pPr>
              <w:spacing w:after="130"/>
              <w:jc w:val="both"/>
            </w:pPr>
            <w:r w:rsidRPr="0015224C">
              <w:t xml:space="preserve">Daugavpils tramvaja infrastruktūras attīstības projekta </w:t>
            </w:r>
            <w:r w:rsidRPr="0038738F">
              <w:t>plānoto attiecināmo izmaksu kopsumma</w:t>
            </w:r>
            <w:r>
              <w:t xml:space="preserve"> </w:t>
            </w:r>
            <w:r w:rsidRPr="0015224C">
              <w:t>ir 11 764</w:t>
            </w:r>
            <w:r>
              <w:t> </w:t>
            </w:r>
            <w:r w:rsidRPr="0015224C">
              <w:t>706</w:t>
            </w:r>
            <w:r>
              <w:t xml:space="preserve"> </w:t>
            </w:r>
            <w:proofErr w:type="spellStart"/>
            <w:r w:rsidRPr="008E7987">
              <w:rPr>
                <w:i/>
                <w:iCs/>
              </w:rPr>
              <w:t>euro</w:t>
            </w:r>
            <w:proofErr w:type="spellEnd"/>
            <w:r w:rsidRPr="0015224C">
              <w:t>, t.sk. KF finansējums ir 10</w:t>
            </w:r>
            <w:r>
              <w:t xml:space="preserve"> 000 000 </w:t>
            </w:r>
            <w:proofErr w:type="spellStart"/>
            <w:r w:rsidRPr="008E7987">
              <w:rPr>
                <w:i/>
                <w:iCs/>
              </w:rPr>
              <w:t>euro</w:t>
            </w:r>
            <w:proofErr w:type="spellEnd"/>
            <w:r>
              <w:t>.</w:t>
            </w:r>
            <w:r w:rsidR="00A85A82">
              <w:t xml:space="preserve"> </w:t>
            </w:r>
            <w:r w:rsidR="00A85A82" w:rsidRPr="00A85A82">
              <w:t>AS “Daugavpils satiksme” projektā plānoto attiecināmo izmaksu kopsumma 11 764 706</w:t>
            </w:r>
            <w:r w:rsidR="00A85A82" w:rsidRPr="00A85A82">
              <w:rPr>
                <w:i/>
                <w:iCs/>
              </w:rPr>
              <w:t xml:space="preserve"> </w:t>
            </w:r>
            <w:proofErr w:type="spellStart"/>
            <w:r w:rsidR="00A85A82" w:rsidRPr="00A85A82">
              <w:rPr>
                <w:i/>
                <w:iCs/>
              </w:rPr>
              <w:t>euro</w:t>
            </w:r>
            <w:proofErr w:type="spellEnd"/>
            <w:r w:rsidR="00A85A82" w:rsidRPr="00A85A82">
              <w:t xml:space="preserve"> (2020.gadā – 400 000 </w:t>
            </w:r>
            <w:proofErr w:type="spellStart"/>
            <w:r w:rsidR="00A85A82" w:rsidRPr="00A85A82">
              <w:rPr>
                <w:i/>
                <w:iCs/>
              </w:rPr>
              <w:t>euro</w:t>
            </w:r>
            <w:proofErr w:type="spellEnd"/>
            <w:r w:rsidR="00A85A82" w:rsidRPr="00A85A82">
              <w:t xml:space="preserve">, 2021.gadā – 2 503 200 </w:t>
            </w:r>
            <w:proofErr w:type="spellStart"/>
            <w:r w:rsidR="00A85A82" w:rsidRPr="00A85A82">
              <w:rPr>
                <w:i/>
                <w:iCs/>
              </w:rPr>
              <w:t>euro</w:t>
            </w:r>
            <w:proofErr w:type="spellEnd"/>
            <w:r w:rsidR="00A85A82" w:rsidRPr="00A85A82">
              <w:t xml:space="preserve">, 2022.gadā – 4 788 300 </w:t>
            </w:r>
            <w:proofErr w:type="spellStart"/>
            <w:r w:rsidR="00A85A82" w:rsidRPr="00A85A82">
              <w:rPr>
                <w:i/>
                <w:iCs/>
              </w:rPr>
              <w:t>euro</w:t>
            </w:r>
            <w:proofErr w:type="spellEnd"/>
            <w:r w:rsidR="00A85A82" w:rsidRPr="00A85A82">
              <w:t xml:space="preserve"> un 2023.gadā – 3 808 500 </w:t>
            </w:r>
            <w:proofErr w:type="spellStart"/>
            <w:r w:rsidR="00A85A82" w:rsidRPr="00A85A82">
              <w:rPr>
                <w:i/>
                <w:iCs/>
              </w:rPr>
              <w:t>euro</w:t>
            </w:r>
            <w:proofErr w:type="spellEnd"/>
            <w:r w:rsidR="00A85A82" w:rsidRPr="00A85A82">
              <w:t xml:space="preserve">), t.sk. KF finansējums 10 000 000 </w:t>
            </w:r>
            <w:proofErr w:type="spellStart"/>
            <w:r w:rsidR="00A85A82" w:rsidRPr="00A85A82">
              <w:rPr>
                <w:i/>
                <w:iCs/>
              </w:rPr>
              <w:t>euro</w:t>
            </w:r>
            <w:proofErr w:type="spellEnd"/>
            <w:r w:rsidR="00A85A82" w:rsidRPr="00A85A82">
              <w:t xml:space="preserve"> (2020.gadā – 340 000 </w:t>
            </w:r>
            <w:proofErr w:type="spellStart"/>
            <w:r w:rsidR="00A85A82" w:rsidRPr="00A85A82">
              <w:rPr>
                <w:i/>
                <w:iCs/>
              </w:rPr>
              <w:t>euro</w:t>
            </w:r>
            <w:proofErr w:type="spellEnd"/>
            <w:r w:rsidR="00A85A82" w:rsidRPr="00A85A82">
              <w:t xml:space="preserve">, 2021.gadā 2 127 720 </w:t>
            </w:r>
            <w:proofErr w:type="spellStart"/>
            <w:r w:rsidR="00A85A82" w:rsidRPr="00A85A82">
              <w:rPr>
                <w:i/>
                <w:iCs/>
              </w:rPr>
              <w:t>euro</w:t>
            </w:r>
            <w:proofErr w:type="spellEnd"/>
            <w:r w:rsidR="00A85A82" w:rsidRPr="00A85A82">
              <w:t xml:space="preserve">, 2022.gadā – 4 070 055 </w:t>
            </w:r>
            <w:proofErr w:type="spellStart"/>
            <w:r w:rsidR="00A85A82" w:rsidRPr="00A85A82">
              <w:rPr>
                <w:i/>
                <w:iCs/>
              </w:rPr>
              <w:t>euro</w:t>
            </w:r>
            <w:proofErr w:type="spellEnd"/>
            <w:r w:rsidR="00A85A82" w:rsidRPr="00A85A82">
              <w:t xml:space="preserve">, 2023.gadā – 3 237 225 </w:t>
            </w:r>
            <w:proofErr w:type="spellStart"/>
            <w:r w:rsidR="00A85A82" w:rsidRPr="00A85A82">
              <w:rPr>
                <w:i/>
                <w:iCs/>
              </w:rPr>
              <w:t>euro</w:t>
            </w:r>
            <w:proofErr w:type="spellEnd"/>
            <w:r w:rsidR="00A85A82" w:rsidRPr="00A85A82">
              <w:t xml:space="preserve">) un privātais finansējums 1 764 706 </w:t>
            </w:r>
            <w:proofErr w:type="spellStart"/>
            <w:r w:rsidR="00A85A82" w:rsidRPr="00A85A82">
              <w:rPr>
                <w:i/>
                <w:iCs/>
              </w:rPr>
              <w:t>euro</w:t>
            </w:r>
            <w:proofErr w:type="spellEnd"/>
            <w:r w:rsidR="00A85A82" w:rsidRPr="00A85A82">
              <w:t xml:space="preserve"> (2020.gadā – 60 000 </w:t>
            </w:r>
            <w:proofErr w:type="spellStart"/>
            <w:r w:rsidR="00A85A82" w:rsidRPr="00A85A82">
              <w:rPr>
                <w:i/>
                <w:iCs/>
              </w:rPr>
              <w:t>euro</w:t>
            </w:r>
            <w:proofErr w:type="spellEnd"/>
            <w:r w:rsidR="00A85A82" w:rsidRPr="00A85A82">
              <w:t xml:space="preserve">, 2021.gadā – 375 480 </w:t>
            </w:r>
            <w:proofErr w:type="spellStart"/>
            <w:r w:rsidR="00A85A82" w:rsidRPr="00A85A82">
              <w:rPr>
                <w:i/>
                <w:iCs/>
              </w:rPr>
              <w:t>euro</w:t>
            </w:r>
            <w:proofErr w:type="spellEnd"/>
            <w:r w:rsidR="00A85A82" w:rsidRPr="00A85A82">
              <w:t xml:space="preserve">, 2022.gadā – 718 245 </w:t>
            </w:r>
            <w:proofErr w:type="spellStart"/>
            <w:r w:rsidR="00A85A82" w:rsidRPr="00A85A82">
              <w:rPr>
                <w:i/>
                <w:iCs/>
              </w:rPr>
              <w:t>euro</w:t>
            </w:r>
            <w:proofErr w:type="spellEnd"/>
            <w:r w:rsidR="00A85A82" w:rsidRPr="00A85A82">
              <w:t xml:space="preserve">, 2023.gadā – 571 275 </w:t>
            </w:r>
            <w:proofErr w:type="spellStart"/>
            <w:r w:rsidR="00A85A82" w:rsidRPr="00A85A82">
              <w:rPr>
                <w:i/>
                <w:iCs/>
              </w:rPr>
              <w:t>euro</w:t>
            </w:r>
            <w:proofErr w:type="spellEnd"/>
            <w:r w:rsidR="00A85A82" w:rsidRPr="00A85A82">
              <w:t>).</w:t>
            </w:r>
          </w:p>
          <w:p w14:paraId="32B0945C" w14:textId="77777777" w:rsidR="00900363" w:rsidRDefault="00900363" w:rsidP="00900363">
            <w:pPr>
              <w:spacing w:after="130"/>
              <w:jc w:val="both"/>
            </w:pPr>
            <w:r>
              <w:t>Lai veicinātu pārvadāto pasažieru skaita pieaugumu tramvajos, samazinātu siltumnīcefekta gāzu emisijas un enerģijas patēriņu Liepājas pilsētā, turpmākās tramvaju infrastruktūras attīstības ietvaros SIA “Liepājas tramvajs” un Liepājas pilsētas pašvaldība plāno šādas aktivitātes:</w:t>
            </w:r>
          </w:p>
          <w:p w14:paraId="3B386CBB" w14:textId="1DD981DE" w:rsidR="00900363" w:rsidRDefault="00900363" w:rsidP="00C47403">
            <w:pPr>
              <w:pStyle w:val="ListParagraph"/>
              <w:numPr>
                <w:ilvl w:val="0"/>
                <w:numId w:val="33"/>
              </w:numPr>
              <w:spacing w:after="130"/>
              <w:jc w:val="both"/>
            </w:pPr>
            <w:r>
              <w:lastRenderedPageBreak/>
              <w:t xml:space="preserve">Sliežu ceļu un piegulošās teritorijas pārbūve Lielās ielas posmā no Graudu ielas līdz Peldu ielai, t.sk. </w:t>
            </w:r>
            <w:r w:rsidRPr="00D21C2B">
              <w:t>veicot depo</w:t>
            </w:r>
            <w:r>
              <w:t xml:space="preserve"> sliežu ceļu </w:t>
            </w:r>
            <w:r w:rsidRPr="00D21C2B">
              <w:t>pārbūvi zemās grīdas tramvaju apkalpošanai</w:t>
            </w:r>
            <w:r>
              <w:t xml:space="preserve"> un aprīkošanu ar tramvaju vagonu pacēlājiem;</w:t>
            </w:r>
          </w:p>
          <w:p w14:paraId="7EB01D91" w14:textId="74DDD917" w:rsidR="00900363" w:rsidRDefault="00900363" w:rsidP="00C47403">
            <w:pPr>
              <w:pStyle w:val="ListParagraph"/>
              <w:numPr>
                <w:ilvl w:val="0"/>
                <w:numId w:val="33"/>
              </w:numPr>
              <w:spacing w:after="130"/>
              <w:jc w:val="both"/>
            </w:pPr>
            <w:r>
              <w:t>Jaunu tramvaju vagonu iegāde.</w:t>
            </w:r>
          </w:p>
          <w:p w14:paraId="456B497F" w14:textId="5F1CA6B8" w:rsidR="00900363" w:rsidRDefault="00900363" w:rsidP="00900363">
            <w:pPr>
              <w:spacing w:after="130"/>
              <w:jc w:val="both"/>
            </w:pPr>
            <w:r w:rsidRPr="00D21C2B">
              <w:t>Jaunais Lielās ielas posms no Liepājas Universitātes līdz Peldu ielai, ir secīgs turpinājums 2007.–2013.gada</w:t>
            </w:r>
            <w:r w:rsidR="00CF0483">
              <w:t xml:space="preserve"> un</w:t>
            </w:r>
            <w:r w:rsidRPr="00D21C2B">
              <w:t xml:space="preserve"> 2014.–2020.gada plānošanas periodā iesāktajiem tramvaja sliežu ceļa rekonstrukcijas darbiem, lai nodrošinātu kvalitatīvus, ērtus un drošus pasažieru pārvadājumus Liepājas pilsētā.</w:t>
            </w:r>
          </w:p>
          <w:p w14:paraId="3FEF76DC" w14:textId="77777777" w:rsidR="00900363" w:rsidRDefault="00900363" w:rsidP="00900363">
            <w:pPr>
              <w:spacing w:after="130"/>
              <w:jc w:val="both"/>
            </w:pPr>
            <w:r>
              <w:t>Projekta aktivitāšu īstenošanas rezultātā tiks veikta tramvaju sliežu ceļa pārbūve 0,4 km garumā. Tiek prognozēts, ka, īstenojot papildu aktivitātes, pārvadāto pasažieru skaits palielināsies par aptuveni 71 550 pasažieriem gadā.</w:t>
            </w:r>
          </w:p>
          <w:p w14:paraId="60AFBB13" w14:textId="77777777" w:rsidR="00900363" w:rsidRDefault="00900363" w:rsidP="00900363">
            <w:pPr>
              <w:spacing w:after="130"/>
              <w:jc w:val="both"/>
            </w:pPr>
            <w:r>
              <w:t>Projekta aktivitāšu īstenošanai būs arī pozitīva ietekme uz siltumnīcefekta gāzu emisiju samazinājumu pilsētā.</w:t>
            </w:r>
          </w:p>
          <w:p w14:paraId="50A8A9FC" w14:textId="328B15DD" w:rsidR="00900363" w:rsidRDefault="00900363" w:rsidP="00900363">
            <w:pPr>
              <w:spacing w:after="130"/>
              <w:jc w:val="both"/>
            </w:pPr>
            <w:r>
              <w:t>Liepājas</w:t>
            </w:r>
            <w:r w:rsidRPr="0038738F">
              <w:t xml:space="preserve"> tramvaja infrastruktūras attīstības projekta plānoto attiecināmo izmaksu kopsumma ir 11 764 706 </w:t>
            </w:r>
            <w:proofErr w:type="spellStart"/>
            <w:r w:rsidRPr="008E7987">
              <w:rPr>
                <w:i/>
                <w:iCs/>
              </w:rPr>
              <w:t>euro</w:t>
            </w:r>
            <w:proofErr w:type="spellEnd"/>
            <w:r w:rsidRPr="0038738F">
              <w:t xml:space="preserve">, t.sk. KF finansējums ir 10 000 000 </w:t>
            </w:r>
            <w:proofErr w:type="spellStart"/>
            <w:r w:rsidRPr="008E7987">
              <w:rPr>
                <w:i/>
                <w:iCs/>
              </w:rPr>
              <w:t>euro</w:t>
            </w:r>
            <w:proofErr w:type="spellEnd"/>
            <w:r w:rsidRPr="0038738F">
              <w:t xml:space="preserve">. </w:t>
            </w:r>
            <w:r w:rsidR="00C03790" w:rsidRPr="00243D28">
              <w:t>SIA “Liepājas tramvajs”</w:t>
            </w:r>
            <w:r w:rsidR="00C03790" w:rsidRPr="00243D28">
              <w:rPr>
                <w:lang w:eastAsia="en-US"/>
              </w:rPr>
              <w:t xml:space="preserve"> projektā plānoto attiecināmo izmaksu kopsumma 11 764 706</w:t>
            </w:r>
            <w:r w:rsidR="00C03790" w:rsidRPr="00243D28">
              <w:rPr>
                <w:i/>
                <w:iCs/>
                <w:lang w:eastAsia="en-US"/>
              </w:rPr>
              <w:t xml:space="preserve"> </w:t>
            </w:r>
            <w:proofErr w:type="spellStart"/>
            <w:r w:rsidR="00C03790" w:rsidRPr="00243D28">
              <w:rPr>
                <w:i/>
                <w:iCs/>
                <w:lang w:eastAsia="en-US"/>
              </w:rPr>
              <w:t>euro</w:t>
            </w:r>
            <w:proofErr w:type="spellEnd"/>
            <w:r w:rsidR="00C03790" w:rsidRPr="00243D28">
              <w:rPr>
                <w:lang w:eastAsia="en-US"/>
              </w:rPr>
              <w:t xml:space="preserve"> (2020.gadā – 0 </w:t>
            </w:r>
            <w:proofErr w:type="spellStart"/>
            <w:r w:rsidR="00C03790" w:rsidRPr="00243D28">
              <w:rPr>
                <w:i/>
                <w:iCs/>
                <w:lang w:eastAsia="en-US"/>
              </w:rPr>
              <w:t>euro</w:t>
            </w:r>
            <w:proofErr w:type="spellEnd"/>
            <w:r w:rsidR="00C03790" w:rsidRPr="00243D28">
              <w:rPr>
                <w:lang w:eastAsia="en-US"/>
              </w:rPr>
              <w:t xml:space="preserve">, 2021.gadā – </w:t>
            </w:r>
            <w:r w:rsidR="00877BF9">
              <w:rPr>
                <w:lang w:eastAsia="en-US"/>
              </w:rPr>
              <w:t>3 529 412</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2022.gadā – </w:t>
            </w:r>
            <w:r w:rsidR="00877BF9">
              <w:rPr>
                <w:lang w:eastAsia="en-US"/>
              </w:rPr>
              <w:t>5 882 353</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2023.gadā – </w:t>
            </w:r>
            <w:r w:rsidR="00877BF9">
              <w:rPr>
                <w:lang w:eastAsia="en-US"/>
              </w:rPr>
              <w:t>2 352 941</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t.sk. KF finansējums 10 000 000 </w:t>
            </w:r>
            <w:proofErr w:type="spellStart"/>
            <w:r w:rsidR="00C03790" w:rsidRPr="00243D28">
              <w:rPr>
                <w:i/>
                <w:iCs/>
                <w:lang w:eastAsia="en-US"/>
              </w:rPr>
              <w:t>euro</w:t>
            </w:r>
            <w:proofErr w:type="spellEnd"/>
            <w:r w:rsidR="00C03790" w:rsidRPr="00243D28">
              <w:rPr>
                <w:lang w:eastAsia="en-US"/>
              </w:rPr>
              <w:t xml:space="preserve"> (2020.gadā – 0 </w:t>
            </w:r>
            <w:proofErr w:type="spellStart"/>
            <w:r w:rsidR="00C03790" w:rsidRPr="00243D28">
              <w:rPr>
                <w:i/>
                <w:iCs/>
                <w:lang w:eastAsia="en-US"/>
              </w:rPr>
              <w:t>euro</w:t>
            </w:r>
            <w:proofErr w:type="spellEnd"/>
            <w:r w:rsidR="00C03790" w:rsidRPr="00243D28">
              <w:rPr>
                <w:lang w:eastAsia="en-US"/>
              </w:rPr>
              <w:t xml:space="preserve">, 2021.gadā – </w:t>
            </w:r>
            <w:r w:rsidR="00877BF9">
              <w:rPr>
                <w:lang w:eastAsia="en-US"/>
              </w:rPr>
              <w:t>3 000 000</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2022.gadā – </w:t>
            </w:r>
            <w:r w:rsidR="00877BF9">
              <w:rPr>
                <w:lang w:eastAsia="en-US"/>
              </w:rPr>
              <w:t>5 000 000</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2023.gadā – </w:t>
            </w:r>
            <w:r w:rsidR="00877BF9">
              <w:rPr>
                <w:lang w:eastAsia="en-US"/>
              </w:rPr>
              <w:t>2 000 000</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un privātais finansējums 1 764 706 </w:t>
            </w:r>
            <w:proofErr w:type="spellStart"/>
            <w:r w:rsidR="00C03790" w:rsidRPr="00243D28">
              <w:rPr>
                <w:i/>
                <w:iCs/>
                <w:lang w:eastAsia="en-US"/>
              </w:rPr>
              <w:t>euro</w:t>
            </w:r>
            <w:proofErr w:type="spellEnd"/>
            <w:r w:rsidR="00C03790" w:rsidRPr="00243D28">
              <w:rPr>
                <w:lang w:eastAsia="en-US"/>
              </w:rPr>
              <w:t xml:space="preserve"> (2020.gadā – 0 </w:t>
            </w:r>
            <w:proofErr w:type="spellStart"/>
            <w:r w:rsidR="00C03790" w:rsidRPr="00243D28">
              <w:rPr>
                <w:i/>
                <w:iCs/>
                <w:lang w:eastAsia="en-US"/>
              </w:rPr>
              <w:t>euro</w:t>
            </w:r>
            <w:proofErr w:type="spellEnd"/>
            <w:r w:rsidR="00C03790" w:rsidRPr="00243D28">
              <w:rPr>
                <w:lang w:eastAsia="en-US"/>
              </w:rPr>
              <w:t xml:space="preserve">, 2021.gadā – </w:t>
            </w:r>
            <w:r w:rsidR="008D3219">
              <w:rPr>
                <w:lang w:eastAsia="en-US"/>
              </w:rPr>
              <w:t>529 412</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2022.gadā – </w:t>
            </w:r>
            <w:r w:rsidR="008D3219">
              <w:rPr>
                <w:lang w:eastAsia="en-US"/>
              </w:rPr>
              <w:t>882 353</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 xml:space="preserve">, 2023.gadā – </w:t>
            </w:r>
            <w:r w:rsidR="008D3219">
              <w:rPr>
                <w:lang w:eastAsia="en-US"/>
              </w:rPr>
              <w:t>352 941</w:t>
            </w:r>
            <w:r w:rsidR="00C03790" w:rsidRPr="00243D28">
              <w:rPr>
                <w:lang w:eastAsia="en-US"/>
              </w:rPr>
              <w:t xml:space="preserve"> </w:t>
            </w:r>
            <w:proofErr w:type="spellStart"/>
            <w:r w:rsidR="00C03790" w:rsidRPr="00243D28">
              <w:rPr>
                <w:i/>
                <w:iCs/>
                <w:lang w:eastAsia="en-US"/>
              </w:rPr>
              <w:t>euro</w:t>
            </w:r>
            <w:proofErr w:type="spellEnd"/>
            <w:r w:rsidR="00C03790" w:rsidRPr="00243D28">
              <w:rPr>
                <w:lang w:eastAsia="en-US"/>
              </w:rPr>
              <w:t>).</w:t>
            </w:r>
            <w:r>
              <w:t xml:space="preserve"> </w:t>
            </w:r>
          </w:p>
          <w:p w14:paraId="718DF977" w14:textId="38A02F2B" w:rsidR="00900363" w:rsidRDefault="00900363" w:rsidP="00900363">
            <w:pPr>
              <w:spacing w:after="130"/>
              <w:jc w:val="both"/>
            </w:pPr>
            <w:r w:rsidRPr="00252EF7">
              <w:t>Daugavpil</w:t>
            </w:r>
            <w:r>
              <w:t>s</w:t>
            </w:r>
            <w:r w:rsidRPr="00252EF7">
              <w:t xml:space="preserve"> un Liepāj</w:t>
            </w:r>
            <w:r>
              <w:t>as</w:t>
            </w:r>
            <w:r w:rsidRPr="00252EF7">
              <w:t xml:space="preserve"> </w:t>
            </w:r>
            <w:r>
              <w:t>projektu plānotās</w:t>
            </w:r>
            <w:r w:rsidR="00CF0483">
              <w:t xml:space="preserve"> </w:t>
            </w:r>
            <w:r w:rsidRPr="00252EF7">
              <w:t xml:space="preserve">darbības atbilst MK noteikumos Nr. 281 noteiktajām tiešo attiecināmo izmaksu pozīcijām, tādēļ tiesību akta projektā netiek plānotas jaunas tiešo attiecināmo izmaksu pozīcijas. </w:t>
            </w:r>
            <w:r w:rsidRPr="008E7987">
              <w:t>Daugavpil</w:t>
            </w:r>
            <w:r w:rsidR="00DF121D" w:rsidRPr="008E7987">
              <w:t>s</w:t>
            </w:r>
            <w:r w:rsidRPr="008E7987">
              <w:t xml:space="preserve"> un Liepāj</w:t>
            </w:r>
            <w:r w:rsidR="00DF121D" w:rsidRPr="008E7987">
              <w:t>as</w:t>
            </w:r>
            <w:r w:rsidRPr="008E7987">
              <w:t xml:space="preserve"> </w:t>
            </w:r>
            <w:r w:rsidR="00DF121D" w:rsidRPr="008E7987">
              <w:t xml:space="preserve">projektos </w:t>
            </w:r>
            <w:r w:rsidRPr="008E7987">
              <w:t>plānotās darbības</w:t>
            </w:r>
            <w:r w:rsidRPr="00252EF7">
              <w:t xml:space="preserve"> atbilst Komisijas īstenošanas regulā (ES) Nr. 215/2014 noteiktajai intervences kategorijai „Ilgtspējīgs transports” - 043: Tīra pilsētas transporta infrastruktūra un veicināšana (tostarp aprīkojums un ritošais sastāvs).</w:t>
            </w:r>
          </w:p>
          <w:p w14:paraId="6EA85106" w14:textId="77777777" w:rsidR="00900363" w:rsidRPr="00AA4AC6" w:rsidRDefault="00900363" w:rsidP="00900363">
            <w:pPr>
              <w:spacing w:after="130"/>
              <w:jc w:val="both"/>
              <w:rPr>
                <w:b/>
                <w:bCs/>
                <w:i/>
                <w:iCs/>
              </w:rPr>
            </w:pPr>
            <w:r w:rsidRPr="00AA4AC6">
              <w:rPr>
                <w:b/>
                <w:bCs/>
                <w:i/>
                <w:iCs/>
              </w:rPr>
              <w:t>Jaunu elektrovilcienu iegādes projekts</w:t>
            </w:r>
          </w:p>
          <w:p w14:paraId="4A394AB1" w14:textId="77777777" w:rsidR="00900363" w:rsidRDefault="00900363" w:rsidP="00900363">
            <w:pPr>
              <w:spacing w:after="130"/>
              <w:jc w:val="both"/>
            </w:pPr>
            <w:r w:rsidRPr="002038E7">
              <w:t xml:space="preserve">Pašreiz </w:t>
            </w:r>
            <w:r w:rsidRPr="007B3B35">
              <w:t>PV</w:t>
            </w:r>
            <w:r w:rsidRPr="002038E7">
              <w:t xml:space="preserve"> pasažieru pārvadājumu nodrošināšanai izmanto morāli un tehniski nolietotu ritošo sastāvu, kura vidējais vecums sasniedz 35 gadus (elektrovilcieni ir iegādāti laika posmā no 1961. līdz 1989.gadam). 2006. – 2008.gadā tika veikta daļēja elektrovilcienu parka atjaunošana, kā rezultātā 68 elektrovilcienu vagoniem (42% no esošā elektrovilcienu vagonu skaita) tika pagarināts kalpošanas laiks par 15 </w:t>
            </w:r>
            <w:r w:rsidRPr="002038E7">
              <w:lastRenderedPageBreak/>
              <w:t>gadiem, un šo vilcienu kalpošanas laiks beigsies 2023.gadā.</w:t>
            </w:r>
          </w:p>
          <w:p w14:paraId="12F3375A" w14:textId="646AB837" w:rsidR="00900363" w:rsidRDefault="00900363" w:rsidP="00900363">
            <w:pPr>
              <w:spacing w:after="130"/>
              <w:jc w:val="both"/>
            </w:pPr>
            <w:r w:rsidRPr="002038E7">
              <w:t>Ja netiks veikta ritošā sastāva atjaunošana, ekspluatācijā pieejamo vilcienu skaits pakāpeniski samazināsies</w:t>
            </w:r>
            <w:r w:rsidR="007B3B35">
              <w:t>,</w:t>
            </w:r>
            <w:r w:rsidRPr="002038E7">
              <w:t xml:space="preserve"> līdz 2024. gadā pilnībā tiks pārtraukti pasažieru pārvadājumi pa dzelzceļu.</w:t>
            </w:r>
          </w:p>
          <w:p w14:paraId="179F4360" w14:textId="77777777" w:rsidR="00900363" w:rsidRDefault="00900363" w:rsidP="00900363">
            <w:pPr>
              <w:spacing w:after="130"/>
              <w:jc w:val="both"/>
            </w:pPr>
            <w:r>
              <w:t xml:space="preserve">Lai nodrošinātu pasažieru ievešanu Rīgā un izvešanu no Rīgas maksimumstundās, būtiski pieaugs autotransporta plūsma, kas radīs apjomīgus sastrēgumus, kā arī būtiski palielināsies apkārtējās vides piesārņojums. Papildu transporta plūsma būtiski palielinātu autoceļu noslodzi, kā rezultātā palielināsies autoceļu uzturēšanai nepieciešamais finansējums. </w:t>
            </w:r>
          </w:p>
          <w:p w14:paraId="53E87EE2" w14:textId="77777777" w:rsidR="00900363" w:rsidRDefault="00900363" w:rsidP="00900363">
            <w:pPr>
              <w:spacing w:after="130"/>
              <w:jc w:val="both"/>
            </w:pPr>
            <w:r>
              <w:t>Jāņem vērā arī tas, ka pēc dzelzceļa elektrifikācijas projekta realizācijas esošos elektrovilcienus nevarēs izmantot darbam 25kV maiņstrāvas tīklā.</w:t>
            </w:r>
          </w:p>
          <w:p w14:paraId="1958891C" w14:textId="7549DB0C" w:rsidR="00900363" w:rsidRDefault="00900363" w:rsidP="00900363">
            <w:pPr>
              <w:spacing w:after="130"/>
              <w:jc w:val="both"/>
            </w:pPr>
            <w:r>
              <w:t>Tāpat ar esošo ritošo sastāv</w:t>
            </w:r>
            <w:r w:rsidR="008E7987">
              <w:t>u</w:t>
            </w:r>
            <w:r>
              <w:t xml:space="preserve"> netiks izpildītas </w:t>
            </w:r>
            <w:r w:rsidR="009B1A43" w:rsidRPr="009B1A43">
              <w:t xml:space="preserve">Eiropas Parlamenta un Padomes Regulas (EK) </w:t>
            </w:r>
            <w:r w:rsidRPr="009B1A43">
              <w:t>Nr.1371/2007</w:t>
            </w:r>
            <w:bookmarkStart w:id="1" w:name="_Hlk32242295"/>
            <w:r w:rsidR="009B1A43" w:rsidRPr="009B1A43">
              <w:rPr>
                <w:rStyle w:val="FootnoteReference"/>
              </w:rPr>
              <w:footnoteReference w:id="11"/>
            </w:r>
            <w:bookmarkEnd w:id="1"/>
            <w:r w:rsidRPr="009B1A43">
              <w:t xml:space="preserve"> prasības attiecībā uz personām ar kustību tra</w:t>
            </w:r>
            <w:r>
              <w:t>ucējumiem – nodrošināt ceļošanai pa dzelzceļu tādas iespējas, kas ir līdzvērtīgas ar pārējo cilvēku iespējām.</w:t>
            </w:r>
          </w:p>
          <w:p w14:paraId="7490A4F3" w14:textId="77777777" w:rsidR="00900363" w:rsidRDefault="00900363" w:rsidP="00900363">
            <w:pPr>
              <w:spacing w:after="130"/>
              <w:jc w:val="both"/>
            </w:pPr>
            <w:r>
              <w:t>Ievērojot esošā ritošā sastāva vecumu, nepieciešamos kapitālieguldījumus un ierobežoto rezerves daļu tirgu, nākotnē pieaugs ritošā sastāva uzturēšanas izmaksas, kā rezultātā būtiski palielināsies nepieciešamā zaudējumu kompensācija sabiedriskajam transportam, kas jāsedz no valsts budžeta.</w:t>
            </w:r>
          </w:p>
          <w:p w14:paraId="6C14FDCE" w14:textId="7F2C8293" w:rsidR="00900363" w:rsidRDefault="00900363" w:rsidP="00900363">
            <w:pPr>
              <w:spacing w:after="130"/>
              <w:jc w:val="both"/>
            </w:pPr>
            <w:r>
              <w:t>Lai nodrošinātu ilgtspējīgu dzelzceļa sabiedriskā transporta funkcionēšanu un samazinātu zaudējumu kompensācij</w:t>
            </w:r>
            <w:r w:rsidR="007B3B35">
              <w:t>u</w:t>
            </w:r>
            <w:r>
              <w:t xml:space="preserve"> sabiedriskajam transportam, kas jāsedz no valsts budžeta, ka arī samazinātu CO</w:t>
            </w:r>
            <w:r w:rsidRPr="007B3B35">
              <w:rPr>
                <w:vertAlign w:val="subscript"/>
              </w:rPr>
              <w:t>2</w:t>
            </w:r>
            <w:r>
              <w:t xml:space="preserve"> </w:t>
            </w:r>
            <w:proofErr w:type="spellStart"/>
            <w:r>
              <w:t>izmešus</w:t>
            </w:r>
            <w:proofErr w:type="spellEnd"/>
            <w:r>
              <w:t>, ir vitāli nepieciešams atjaunot elektrovilcienu ritošo sastāvu.</w:t>
            </w:r>
          </w:p>
          <w:p w14:paraId="7C59A7AA" w14:textId="160F7ABB" w:rsidR="00900363" w:rsidRDefault="00E24DC9" w:rsidP="00900363">
            <w:pPr>
              <w:spacing w:after="130"/>
              <w:jc w:val="both"/>
            </w:pPr>
            <w:r>
              <w:t>E</w:t>
            </w:r>
            <w:r w:rsidRPr="00C05B80">
              <w:t>lektrovilcienu vagonu iegādes projekt</w:t>
            </w:r>
            <w:r>
              <w:t xml:space="preserve">a </w:t>
            </w:r>
            <w:r w:rsidR="00900363">
              <w:t xml:space="preserve">mērķis ir veicināt ilgtspējīgu, videi draudzīgu sabiedriskā transporta izmantošanu, nodrošinot regulārā intervāla grafika ieviešanu elektrificētajā zonā un palielinot cilvēku skaitu, kas izmanto videi draudzīgu transportu. </w:t>
            </w:r>
          </w:p>
          <w:p w14:paraId="16823140" w14:textId="77777777" w:rsidR="00900363" w:rsidRDefault="00900363" w:rsidP="00900363">
            <w:pPr>
              <w:spacing w:after="130"/>
              <w:jc w:val="both"/>
            </w:pPr>
            <w:r>
              <w:t xml:space="preserve">Elektrovilcienu ritošā sastāva nomaiņa nodrošinās efektīvākus sabiedriskā transporta pakalpojumus, mazinās ceļu satiksmes sastrēgumus, negadījumu skaitu un negatīvu ietekmi uz vidi, pozitīvi ietekmējot </w:t>
            </w:r>
            <w:proofErr w:type="spellStart"/>
            <w:r>
              <w:t>urbānās</w:t>
            </w:r>
            <w:proofErr w:type="spellEnd"/>
            <w:r>
              <w:t xml:space="preserve"> dzīves un vides kvalitāti, kā arī uzlabos pārvietošanās iespējas sabiedriskajā transportā, paaugstinot kvalitātes standartus un palielinās cilvēku mobilitātes iespējas.</w:t>
            </w:r>
          </w:p>
          <w:p w14:paraId="4A3B9049" w14:textId="66F6F734" w:rsidR="007741F6" w:rsidRDefault="00900363" w:rsidP="007D4573">
            <w:pPr>
              <w:spacing w:after="120"/>
              <w:jc w:val="both"/>
            </w:pPr>
            <w:r w:rsidRPr="00677A6A">
              <w:lastRenderedPageBreak/>
              <w:t>Projekt</w:t>
            </w:r>
            <w:r w:rsidR="009B1A43">
              <w:t>ā</w:t>
            </w:r>
            <w:r w:rsidRPr="00677A6A">
              <w:t xml:space="preserve"> paredz</w:t>
            </w:r>
            <w:r w:rsidR="009B1A43">
              <w:t>ētas</w:t>
            </w:r>
            <w:r w:rsidR="007741F6">
              <w:t xml:space="preserve"> šādas </w:t>
            </w:r>
            <w:r w:rsidR="009B1A43">
              <w:t>darbības</w:t>
            </w:r>
            <w:r w:rsidR="007741F6">
              <w:t xml:space="preserve"> -</w:t>
            </w:r>
            <w:r w:rsidR="00CF0483">
              <w:t xml:space="preserve"> </w:t>
            </w:r>
            <w:r w:rsidRPr="00677A6A">
              <w:t>23 jaunu pasažieru elektrovilcienu iegād</w:t>
            </w:r>
            <w:r w:rsidR="009B1A43">
              <w:t>e</w:t>
            </w:r>
            <w:r w:rsidRPr="00677A6A">
              <w:t>, kas ir daļa no PV elektrovilcienu iepirkumā paredzētā jauno elektrovilcienu skaita (32</w:t>
            </w:r>
            <w:r w:rsidR="00AE45C3">
              <w:t>)</w:t>
            </w:r>
            <w:r w:rsidR="007741F6">
              <w:t>.</w:t>
            </w:r>
          </w:p>
          <w:p w14:paraId="7D83EF8C" w14:textId="324DD121" w:rsidR="00900363" w:rsidRDefault="00900363" w:rsidP="007D4573">
            <w:pPr>
              <w:spacing w:after="120"/>
              <w:jc w:val="both"/>
            </w:pPr>
            <w:r w:rsidRPr="00677A6A">
              <w:t xml:space="preserve">Elektrovilcieni darbosies 3kV DC sistēmā ar iespēju tos pielāgot darbam 25 </w:t>
            </w:r>
            <w:proofErr w:type="spellStart"/>
            <w:r w:rsidRPr="00677A6A">
              <w:t>kV</w:t>
            </w:r>
            <w:proofErr w:type="spellEnd"/>
            <w:r w:rsidRPr="00677A6A">
              <w:t xml:space="preserve"> AC sistēmā. Elektrovilcienus paredzēts ekspluatēt līnijās Rīga – Jelgava, Rīga – Tukums un Rīga – Skulte.</w:t>
            </w:r>
          </w:p>
          <w:p w14:paraId="445488C6" w14:textId="6E5CA98A" w:rsidR="00900363" w:rsidRDefault="00900363" w:rsidP="007D4573">
            <w:pPr>
              <w:spacing w:after="120"/>
              <w:jc w:val="both"/>
            </w:pPr>
            <w:r w:rsidRPr="00677A6A">
              <w:t>23 elektrovilcienus paredzēts nodot ekspluatācijā 2022.gadā. Lai veiktu elektrovilcienu tipa sertifikāciju, pirmos divus elektrovilcienus provizoriski plānots piegādāt 2021. gada ceturtajā ceturksnī</w:t>
            </w:r>
            <w:r w:rsidR="007B3B35">
              <w:t>,</w:t>
            </w:r>
            <w:r w:rsidRPr="00677A6A">
              <w:t xml:space="preserve"> un sertifikāciju plānots pabeigt 2022. gada otrajā ceturksnī. Papildu ES</w:t>
            </w:r>
            <w:r>
              <w:t xml:space="preserve"> fondu</w:t>
            </w:r>
            <w:r w:rsidRPr="00677A6A">
              <w:t xml:space="preserve"> projektā paredzēto 23 elektrovilcienu iegādei tiks iegādāti 9 elektrovilcieni, kas pēc dzelzceļa elektrifikācijas projekta pabeigšanas nodrošinās pārvadājumus līnijā Rīga – Aizkraukle.</w:t>
            </w:r>
          </w:p>
          <w:p w14:paraId="4E24A721" w14:textId="77777777" w:rsidR="00900363" w:rsidRDefault="00900363" w:rsidP="007D4573">
            <w:pPr>
              <w:spacing w:after="120"/>
              <w:jc w:val="both"/>
            </w:pPr>
            <w:r w:rsidRPr="00677A6A">
              <w:t>Pēc projekta ieviešanas (202</w:t>
            </w:r>
            <w:r>
              <w:t>3</w:t>
            </w:r>
            <w:r w:rsidRPr="00677A6A">
              <w:t xml:space="preserve">.gadā) Rīgas teritorijā plānots sasniegt kopējo pārvadāto pasažieru skaitu </w:t>
            </w:r>
            <w:r>
              <w:t xml:space="preserve">2,7 milj. pasažieru, bet piecu gadu laikā pēc projekta īstenošanas 2028.gadā jau </w:t>
            </w:r>
            <w:r w:rsidRPr="00677A6A">
              <w:t>4,0 milj. pasažieru, tādējādi samazinot arī autotransporta plūsmu un CO</w:t>
            </w:r>
            <w:r w:rsidRPr="00677A6A">
              <w:rPr>
                <w:vertAlign w:val="subscript"/>
              </w:rPr>
              <w:t>2</w:t>
            </w:r>
            <w:r w:rsidRPr="00677A6A">
              <w:t xml:space="preserve"> izmešu daudzumu</w:t>
            </w:r>
            <w:r>
              <w:t>.</w:t>
            </w:r>
          </w:p>
          <w:p w14:paraId="3E06FAA8" w14:textId="0722E16B" w:rsidR="00B62FB7" w:rsidRDefault="00B62FB7" w:rsidP="00B62FB7">
            <w:pPr>
              <w:spacing w:after="120"/>
              <w:jc w:val="both"/>
              <w:rPr>
                <w:lang w:eastAsia="en-US"/>
              </w:rPr>
            </w:pPr>
            <w:r w:rsidRPr="00243D28">
              <w:rPr>
                <w:lang w:eastAsia="en-US"/>
              </w:rPr>
              <w:t xml:space="preserve">AS “Pasažieru vilciens” projektā plānoto attiecināmo izmaksu kopsumma </w:t>
            </w:r>
            <w:r w:rsidRPr="003D3304">
              <w:rPr>
                <w:shd w:val="clear" w:color="auto" w:fill="FFFFFF" w:themeFill="background1"/>
                <w:lang w:eastAsia="en-US"/>
              </w:rPr>
              <w:t>1</w:t>
            </w:r>
            <w:r w:rsidR="0013407E" w:rsidRPr="003D3304">
              <w:rPr>
                <w:shd w:val="clear" w:color="auto" w:fill="FFFFFF" w:themeFill="background1"/>
                <w:lang w:eastAsia="en-US"/>
              </w:rPr>
              <w:t>61</w:t>
            </w:r>
            <w:r w:rsidRPr="003D3304">
              <w:rPr>
                <w:shd w:val="clear" w:color="auto" w:fill="FFFFFF" w:themeFill="background1"/>
                <w:lang w:eastAsia="en-US"/>
              </w:rPr>
              <w:t> </w:t>
            </w:r>
            <w:r w:rsidR="00167429">
              <w:rPr>
                <w:shd w:val="clear" w:color="auto" w:fill="FFFFFF" w:themeFill="background1"/>
                <w:lang w:eastAsia="en-US"/>
              </w:rPr>
              <w:t>209</w:t>
            </w:r>
            <w:r w:rsidRPr="003D3304">
              <w:rPr>
                <w:shd w:val="clear" w:color="auto" w:fill="FFFFFF" w:themeFill="background1"/>
                <w:lang w:eastAsia="en-US"/>
              </w:rPr>
              <w:t> </w:t>
            </w:r>
            <w:r w:rsidR="0013407E" w:rsidRPr="003D3304">
              <w:rPr>
                <w:shd w:val="clear" w:color="auto" w:fill="FFFFFF" w:themeFill="background1"/>
                <w:lang w:eastAsia="en-US"/>
              </w:rPr>
              <w:t>300</w:t>
            </w:r>
            <w:r w:rsidRPr="00243D28">
              <w:rPr>
                <w:i/>
                <w:iCs/>
                <w:lang w:eastAsia="en-US"/>
              </w:rPr>
              <w:t xml:space="preserve"> </w:t>
            </w:r>
            <w:proofErr w:type="spellStart"/>
            <w:r w:rsidRPr="00243D28">
              <w:rPr>
                <w:i/>
                <w:iCs/>
                <w:lang w:eastAsia="en-US"/>
              </w:rPr>
              <w:t>euro</w:t>
            </w:r>
            <w:proofErr w:type="spellEnd"/>
            <w:r w:rsidRPr="00243D28">
              <w:rPr>
                <w:lang w:eastAsia="en-US"/>
              </w:rPr>
              <w:t xml:space="preserve"> (2019.gadā – 2</w:t>
            </w:r>
            <w:r w:rsidR="0013407E">
              <w:rPr>
                <w:lang w:eastAsia="en-US"/>
              </w:rPr>
              <w:t>5</w:t>
            </w:r>
            <w:r w:rsidRPr="00243D28">
              <w:rPr>
                <w:lang w:eastAsia="en-US"/>
              </w:rPr>
              <w:t> </w:t>
            </w:r>
            <w:r w:rsidR="003D3304">
              <w:rPr>
                <w:lang w:eastAsia="en-US"/>
              </w:rPr>
              <w:t>454</w:t>
            </w:r>
            <w:r w:rsidRPr="00243D28">
              <w:rPr>
                <w:lang w:eastAsia="en-US"/>
              </w:rPr>
              <w:t> </w:t>
            </w:r>
            <w:r w:rsidR="003D3304">
              <w:rPr>
                <w:lang w:eastAsia="en-US"/>
              </w:rPr>
              <w:t>100</w:t>
            </w:r>
            <w:r w:rsidRPr="00243D28">
              <w:rPr>
                <w:lang w:eastAsia="en-US"/>
              </w:rPr>
              <w:t xml:space="preserve"> </w:t>
            </w:r>
            <w:proofErr w:type="spellStart"/>
            <w:r w:rsidRPr="00243D28">
              <w:rPr>
                <w:i/>
                <w:iCs/>
                <w:lang w:eastAsia="en-US"/>
              </w:rPr>
              <w:t>euro</w:t>
            </w:r>
            <w:proofErr w:type="spellEnd"/>
            <w:r w:rsidRPr="00243D28">
              <w:rPr>
                <w:lang w:eastAsia="en-US"/>
              </w:rPr>
              <w:t xml:space="preserve">, 2020.gadā – 0 </w:t>
            </w:r>
            <w:proofErr w:type="spellStart"/>
            <w:r w:rsidRPr="00243D28">
              <w:rPr>
                <w:i/>
                <w:iCs/>
                <w:lang w:eastAsia="en-US"/>
              </w:rPr>
              <w:t>euro</w:t>
            </w:r>
            <w:proofErr w:type="spellEnd"/>
            <w:r w:rsidRPr="00243D28">
              <w:rPr>
                <w:lang w:eastAsia="en-US"/>
              </w:rPr>
              <w:t xml:space="preserve">, 2021.gadā – </w:t>
            </w:r>
            <w:r w:rsidR="003D3304">
              <w:rPr>
                <w:lang w:eastAsia="en-US"/>
              </w:rPr>
              <w:t>5</w:t>
            </w:r>
            <w:r w:rsidRPr="00243D28">
              <w:rPr>
                <w:lang w:eastAsia="en-US"/>
              </w:rPr>
              <w:t> 9</w:t>
            </w:r>
            <w:r w:rsidR="003D3304">
              <w:rPr>
                <w:lang w:eastAsia="en-US"/>
              </w:rPr>
              <w:t>02</w:t>
            </w:r>
            <w:r w:rsidRPr="00243D28">
              <w:rPr>
                <w:lang w:eastAsia="en-US"/>
              </w:rPr>
              <w:t> </w:t>
            </w:r>
            <w:r w:rsidR="003D3304">
              <w:rPr>
                <w:lang w:eastAsia="en-US"/>
              </w:rPr>
              <w:t>400</w:t>
            </w:r>
            <w:r w:rsidRPr="00243D28">
              <w:rPr>
                <w:lang w:eastAsia="en-US"/>
              </w:rPr>
              <w:t xml:space="preserve"> </w:t>
            </w:r>
            <w:proofErr w:type="spellStart"/>
            <w:r w:rsidRPr="00243D28">
              <w:rPr>
                <w:i/>
                <w:iCs/>
                <w:lang w:eastAsia="en-US"/>
              </w:rPr>
              <w:t>euro</w:t>
            </w:r>
            <w:proofErr w:type="spellEnd"/>
            <w:r w:rsidRPr="00243D28">
              <w:rPr>
                <w:lang w:eastAsia="en-US"/>
              </w:rPr>
              <w:t xml:space="preserve">, 2022.gadā – </w:t>
            </w:r>
            <w:r w:rsidR="003D3304">
              <w:rPr>
                <w:lang w:eastAsia="en-US"/>
              </w:rPr>
              <w:t>12</w:t>
            </w:r>
            <w:r w:rsidR="00167429">
              <w:rPr>
                <w:lang w:eastAsia="en-US"/>
              </w:rPr>
              <w:t>0</w:t>
            </w:r>
            <w:r w:rsidRPr="00243D28">
              <w:rPr>
                <w:lang w:eastAsia="en-US"/>
              </w:rPr>
              <w:t> </w:t>
            </w:r>
            <w:r w:rsidR="00167429">
              <w:rPr>
                <w:lang w:eastAsia="en-US"/>
              </w:rPr>
              <w:t>999</w:t>
            </w:r>
            <w:r w:rsidRPr="00243D28">
              <w:rPr>
                <w:lang w:eastAsia="en-US"/>
              </w:rPr>
              <w:t> </w:t>
            </w:r>
            <w:r w:rsidR="003D3304">
              <w:rPr>
                <w:lang w:eastAsia="en-US"/>
              </w:rPr>
              <w:t>200</w:t>
            </w:r>
            <w:r w:rsidRPr="00243D28">
              <w:rPr>
                <w:lang w:eastAsia="en-US"/>
              </w:rPr>
              <w:t xml:space="preserve"> </w:t>
            </w:r>
            <w:proofErr w:type="spellStart"/>
            <w:r w:rsidRPr="00243D28">
              <w:rPr>
                <w:i/>
                <w:iCs/>
                <w:lang w:eastAsia="en-US"/>
              </w:rPr>
              <w:t>euro</w:t>
            </w:r>
            <w:proofErr w:type="spellEnd"/>
            <w:r w:rsidRPr="00243D28">
              <w:rPr>
                <w:lang w:eastAsia="en-US"/>
              </w:rPr>
              <w:t xml:space="preserve">, 2023.gadā – </w:t>
            </w:r>
            <w:r w:rsidR="003D3304">
              <w:rPr>
                <w:lang w:eastAsia="en-US"/>
              </w:rPr>
              <w:t>8 853 600</w:t>
            </w:r>
            <w:r w:rsidRPr="00243D28">
              <w:rPr>
                <w:lang w:eastAsia="en-US"/>
              </w:rPr>
              <w:t xml:space="preserve"> </w:t>
            </w:r>
            <w:proofErr w:type="spellStart"/>
            <w:r w:rsidRPr="00243D28">
              <w:rPr>
                <w:i/>
                <w:iCs/>
                <w:lang w:eastAsia="en-US"/>
              </w:rPr>
              <w:t>euro</w:t>
            </w:r>
            <w:proofErr w:type="spellEnd"/>
            <w:r w:rsidRPr="00243D28">
              <w:rPr>
                <w:lang w:eastAsia="en-US"/>
              </w:rPr>
              <w:t xml:space="preserve">), t.sk. KF finansējums 100 993 236 </w:t>
            </w:r>
            <w:proofErr w:type="spellStart"/>
            <w:r w:rsidRPr="00243D28">
              <w:rPr>
                <w:i/>
                <w:iCs/>
                <w:lang w:eastAsia="en-US"/>
              </w:rPr>
              <w:t>euro</w:t>
            </w:r>
            <w:proofErr w:type="spellEnd"/>
            <w:r w:rsidRPr="00243D28">
              <w:rPr>
                <w:lang w:eastAsia="en-US"/>
              </w:rPr>
              <w:t xml:space="preserve"> (2019.gadā – 15 9</w:t>
            </w:r>
            <w:r w:rsidR="002705F8">
              <w:rPr>
                <w:lang w:eastAsia="en-US"/>
              </w:rPr>
              <w:t>46</w:t>
            </w:r>
            <w:r w:rsidRPr="00243D28">
              <w:rPr>
                <w:lang w:eastAsia="en-US"/>
              </w:rPr>
              <w:t> </w:t>
            </w:r>
            <w:r w:rsidR="002705F8">
              <w:rPr>
                <w:lang w:eastAsia="en-US"/>
              </w:rPr>
              <w:t>300</w:t>
            </w:r>
            <w:r w:rsidRPr="00243D28">
              <w:rPr>
                <w:lang w:eastAsia="en-US"/>
              </w:rPr>
              <w:t xml:space="preserve"> </w:t>
            </w:r>
            <w:proofErr w:type="spellStart"/>
            <w:r w:rsidRPr="00243D28">
              <w:rPr>
                <w:i/>
                <w:iCs/>
                <w:lang w:eastAsia="en-US"/>
              </w:rPr>
              <w:t>euro</w:t>
            </w:r>
            <w:proofErr w:type="spellEnd"/>
            <w:r w:rsidRPr="00243D28">
              <w:rPr>
                <w:lang w:eastAsia="en-US"/>
              </w:rPr>
              <w:t xml:space="preserve">, 2020.gadā – 0 </w:t>
            </w:r>
            <w:proofErr w:type="spellStart"/>
            <w:r w:rsidRPr="00243D28">
              <w:rPr>
                <w:i/>
                <w:iCs/>
                <w:lang w:eastAsia="en-US"/>
              </w:rPr>
              <w:t>euro</w:t>
            </w:r>
            <w:proofErr w:type="spellEnd"/>
            <w:r w:rsidRPr="00243D28">
              <w:rPr>
                <w:lang w:eastAsia="en-US"/>
              </w:rPr>
              <w:t>, 2021.gadā 3 </w:t>
            </w:r>
            <w:r w:rsidR="002705F8">
              <w:rPr>
                <w:lang w:eastAsia="en-US"/>
              </w:rPr>
              <w:t>697</w:t>
            </w:r>
            <w:r w:rsidRPr="00243D28">
              <w:rPr>
                <w:lang w:eastAsia="en-US"/>
              </w:rPr>
              <w:t> </w:t>
            </w:r>
            <w:r w:rsidR="002705F8">
              <w:rPr>
                <w:lang w:eastAsia="en-US"/>
              </w:rPr>
              <w:t>693</w:t>
            </w:r>
            <w:r w:rsidRPr="00243D28">
              <w:rPr>
                <w:lang w:eastAsia="en-US"/>
              </w:rPr>
              <w:t xml:space="preserve"> </w:t>
            </w:r>
            <w:proofErr w:type="spellStart"/>
            <w:r w:rsidRPr="00243D28">
              <w:rPr>
                <w:i/>
                <w:iCs/>
                <w:lang w:eastAsia="en-US"/>
              </w:rPr>
              <w:t>euro</w:t>
            </w:r>
            <w:proofErr w:type="spellEnd"/>
            <w:r w:rsidRPr="00243D28">
              <w:rPr>
                <w:lang w:eastAsia="en-US"/>
              </w:rPr>
              <w:t>, 2022.gadā – 75 8</w:t>
            </w:r>
            <w:r w:rsidR="002705F8">
              <w:rPr>
                <w:lang w:eastAsia="en-US"/>
              </w:rPr>
              <w:t>02</w:t>
            </w:r>
            <w:r w:rsidRPr="00243D28">
              <w:rPr>
                <w:lang w:eastAsia="en-US"/>
              </w:rPr>
              <w:t> </w:t>
            </w:r>
            <w:r w:rsidR="002705F8">
              <w:rPr>
                <w:lang w:eastAsia="en-US"/>
              </w:rPr>
              <w:t>703</w:t>
            </w:r>
            <w:r w:rsidRPr="00243D28">
              <w:rPr>
                <w:lang w:eastAsia="en-US"/>
              </w:rPr>
              <w:t xml:space="preserve"> </w:t>
            </w:r>
            <w:proofErr w:type="spellStart"/>
            <w:r w:rsidRPr="00243D28">
              <w:rPr>
                <w:i/>
                <w:iCs/>
                <w:lang w:eastAsia="en-US"/>
              </w:rPr>
              <w:t>euro</w:t>
            </w:r>
            <w:proofErr w:type="spellEnd"/>
            <w:r w:rsidRPr="00243D28">
              <w:rPr>
                <w:lang w:eastAsia="en-US"/>
              </w:rPr>
              <w:t>, 2023.gadā – 5 54</w:t>
            </w:r>
            <w:r w:rsidR="002705F8">
              <w:rPr>
                <w:lang w:eastAsia="en-US"/>
              </w:rPr>
              <w:t>6</w:t>
            </w:r>
            <w:r w:rsidRPr="00243D28">
              <w:rPr>
                <w:lang w:eastAsia="en-US"/>
              </w:rPr>
              <w:t> </w:t>
            </w:r>
            <w:r w:rsidR="002705F8">
              <w:rPr>
                <w:lang w:eastAsia="en-US"/>
              </w:rPr>
              <w:t>539</w:t>
            </w:r>
            <w:r w:rsidRPr="00243D28">
              <w:rPr>
                <w:lang w:eastAsia="en-US"/>
              </w:rPr>
              <w:t xml:space="preserve"> </w:t>
            </w:r>
            <w:proofErr w:type="spellStart"/>
            <w:r w:rsidRPr="00243D28">
              <w:rPr>
                <w:i/>
                <w:iCs/>
                <w:lang w:eastAsia="en-US"/>
              </w:rPr>
              <w:t>euro</w:t>
            </w:r>
            <w:proofErr w:type="spellEnd"/>
            <w:r w:rsidRPr="00243D28">
              <w:rPr>
                <w:lang w:eastAsia="en-US"/>
              </w:rPr>
              <w:t xml:space="preserve">), ERAF finansējums 13 217 837 </w:t>
            </w:r>
            <w:proofErr w:type="spellStart"/>
            <w:r w:rsidRPr="00243D28">
              <w:rPr>
                <w:i/>
                <w:iCs/>
                <w:lang w:eastAsia="en-US"/>
              </w:rPr>
              <w:t>euro</w:t>
            </w:r>
            <w:proofErr w:type="spellEnd"/>
            <w:r w:rsidRPr="00243D28">
              <w:rPr>
                <w:lang w:eastAsia="en-US"/>
              </w:rPr>
              <w:t xml:space="preserve"> (2019.gadā – 2 08</w:t>
            </w:r>
            <w:r w:rsidR="002705F8">
              <w:rPr>
                <w:lang w:eastAsia="en-US"/>
              </w:rPr>
              <w:t>7</w:t>
            </w:r>
            <w:r w:rsidRPr="00243D28">
              <w:rPr>
                <w:lang w:eastAsia="en-US"/>
              </w:rPr>
              <w:t> </w:t>
            </w:r>
            <w:r w:rsidR="002705F8">
              <w:rPr>
                <w:lang w:eastAsia="en-US"/>
              </w:rPr>
              <w:t>027</w:t>
            </w:r>
            <w:r w:rsidRPr="00243D28">
              <w:rPr>
                <w:lang w:eastAsia="en-US"/>
              </w:rPr>
              <w:t xml:space="preserve"> </w:t>
            </w:r>
            <w:proofErr w:type="spellStart"/>
            <w:r w:rsidRPr="00243D28">
              <w:rPr>
                <w:i/>
                <w:iCs/>
                <w:lang w:eastAsia="en-US"/>
              </w:rPr>
              <w:t>euro</w:t>
            </w:r>
            <w:proofErr w:type="spellEnd"/>
            <w:r w:rsidRPr="00243D28">
              <w:rPr>
                <w:lang w:eastAsia="en-US"/>
              </w:rPr>
              <w:t xml:space="preserve">, 2020.gadā – 0 </w:t>
            </w:r>
            <w:proofErr w:type="spellStart"/>
            <w:r w:rsidRPr="00243D28">
              <w:rPr>
                <w:i/>
                <w:iCs/>
                <w:lang w:eastAsia="en-US"/>
              </w:rPr>
              <w:t>euro</w:t>
            </w:r>
            <w:proofErr w:type="spellEnd"/>
            <w:r w:rsidRPr="00243D28">
              <w:rPr>
                <w:lang w:eastAsia="en-US"/>
              </w:rPr>
              <w:t>, 2021.gadā – 483 </w:t>
            </w:r>
            <w:r w:rsidR="002705F8">
              <w:rPr>
                <w:lang w:eastAsia="en-US"/>
              </w:rPr>
              <w:t>948</w:t>
            </w:r>
            <w:r w:rsidRPr="00243D28">
              <w:rPr>
                <w:lang w:eastAsia="en-US"/>
              </w:rPr>
              <w:t xml:space="preserve"> </w:t>
            </w:r>
            <w:proofErr w:type="spellStart"/>
            <w:r w:rsidRPr="00243D28">
              <w:rPr>
                <w:i/>
                <w:iCs/>
                <w:lang w:eastAsia="en-US"/>
              </w:rPr>
              <w:t>euro</w:t>
            </w:r>
            <w:proofErr w:type="spellEnd"/>
            <w:r w:rsidRPr="00243D28">
              <w:rPr>
                <w:lang w:eastAsia="en-US"/>
              </w:rPr>
              <w:t>, 2022.gadā – 9 92</w:t>
            </w:r>
            <w:r w:rsidR="002705F8">
              <w:rPr>
                <w:lang w:eastAsia="en-US"/>
              </w:rPr>
              <w:t>0</w:t>
            </w:r>
            <w:r w:rsidRPr="00243D28">
              <w:rPr>
                <w:lang w:eastAsia="en-US"/>
              </w:rPr>
              <w:t> </w:t>
            </w:r>
            <w:r w:rsidR="002705F8">
              <w:rPr>
                <w:lang w:eastAsia="en-US"/>
              </w:rPr>
              <w:t>939</w:t>
            </w:r>
            <w:r w:rsidRPr="00243D28">
              <w:rPr>
                <w:lang w:eastAsia="en-US"/>
              </w:rPr>
              <w:t xml:space="preserve"> </w:t>
            </w:r>
            <w:proofErr w:type="spellStart"/>
            <w:r w:rsidRPr="00243D28">
              <w:rPr>
                <w:i/>
                <w:iCs/>
                <w:lang w:eastAsia="en-US"/>
              </w:rPr>
              <w:t>euro</w:t>
            </w:r>
            <w:proofErr w:type="spellEnd"/>
            <w:r w:rsidRPr="00243D28">
              <w:rPr>
                <w:lang w:eastAsia="en-US"/>
              </w:rPr>
              <w:t>, 2023.gadā – 725 </w:t>
            </w:r>
            <w:r w:rsidR="002705F8">
              <w:rPr>
                <w:lang w:eastAsia="en-US"/>
              </w:rPr>
              <w:t>922</w:t>
            </w:r>
            <w:r w:rsidRPr="00243D28">
              <w:rPr>
                <w:lang w:eastAsia="en-US"/>
              </w:rPr>
              <w:t xml:space="preserve"> </w:t>
            </w:r>
            <w:proofErr w:type="spellStart"/>
            <w:r w:rsidRPr="00243D28">
              <w:rPr>
                <w:i/>
                <w:iCs/>
                <w:lang w:eastAsia="en-US"/>
              </w:rPr>
              <w:t>euro</w:t>
            </w:r>
            <w:proofErr w:type="spellEnd"/>
            <w:r w:rsidRPr="00243D28">
              <w:rPr>
                <w:lang w:eastAsia="en-US"/>
              </w:rPr>
              <w:t xml:space="preserve">) un valsts budžeta </w:t>
            </w:r>
            <w:r>
              <w:rPr>
                <w:lang w:eastAsia="en-US"/>
              </w:rPr>
              <w:t>finansējums</w:t>
            </w:r>
            <w:r w:rsidRPr="00243D28">
              <w:rPr>
                <w:lang w:eastAsia="en-US"/>
              </w:rPr>
              <w:t xml:space="preserve"> </w:t>
            </w:r>
            <w:r w:rsidR="003D3304">
              <w:rPr>
                <w:lang w:eastAsia="en-US"/>
              </w:rPr>
              <w:t>4</w:t>
            </w:r>
            <w:r w:rsidR="002705F8">
              <w:rPr>
                <w:lang w:eastAsia="en-US"/>
              </w:rPr>
              <w:t>6</w:t>
            </w:r>
            <w:r w:rsidRPr="00243D28">
              <w:rPr>
                <w:lang w:eastAsia="en-US"/>
              </w:rPr>
              <w:t> </w:t>
            </w:r>
            <w:r w:rsidR="002705F8">
              <w:rPr>
                <w:lang w:eastAsia="en-US"/>
              </w:rPr>
              <w:t>998</w:t>
            </w:r>
            <w:r w:rsidRPr="00243D28">
              <w:rPr>
                <w:lang w:eastAsia="en-US"/>
              </w:rPr>
              <w:t> </w:t>
            </w:r>
            <w:r w:rsidR="003D3304">
              <w:rPr>
                <w:lang w:eastAsia="en-US"/>
              </w:rPr>
              <w:t>227</w:t>
            </w:r>
            <w:r w:rsidRPr="00243D28">
              <w:rPr>
                <w:lang w:eastAsia="en-US"/>
              </w:rPr>
              <w:t xml:space="preserve"> </w:t>
            </w:r>
            <w:proofErr w:type="spellStart"/>
            <w:r w:rsidRPr="00243D28">
              <w:rPr>
                <w:i/>
                <w:iCs/>
                <w:lang w:eastAsia="en-US"/>
              </w:rPr>
              <w:t>euro</w:t>
            </w:r>
            <w:proofErr w:type="spellEnd"/>
            <w:r w:rsidRPr="00243D28">
              <w:rPr>
                <w:lang w:eastAsia="en-US"/>
              </w:rPr>
              <w:t xml:space="preserve"> (2019.gadā – </w:t>
            </w:r>
            <w:r w:rsidR="003D3304">
              <w:rPr>
                <w:lang w:eastAsia="en-US"/>
              </w:rPr>
              <w:t>7</w:t>
            </w:r>
            <w:r w:rsidRPr="00243D28">
              <w:rPr>
                <w:lang w:eastAsia="en-US"/>
              </w:rPr>
              <w:t> </w:t>
            </w:r>
            <w:r w:rsidR="003D3304">
              <w:rPr>
                <w:lang w:eastAsia="en-US"/>
              </w:rPr>
              <w:t>4</w:t>
            </w:r>
            <w:r w:rsidR="002705F8">
              <w:rPr>
                <w:lang w:eastAsia="en-US"/>
              </w:rPr>
              <w:t>20</w:t>
            </w:r>
            <w:r w:rsidRPr="00243D28">
              <w:rPr>
                <w:lang w:eastAsia="en-US"/>
              </w:rPr>
              <w:t> </w:t>
            </w:r>
            <w:r w:rsidR="002705F8">
              <w:rPr>
                <w:lang w:eastAsia="en-US"/>
              </w:rPr>
              <w:t>773</w:t>
            </w:r>
            <w:r w:rsidRPr="00243D28">
              <w:rPr>
                <w:lang w:eastAsia="en-US"/>
              </w:rPr>
              <w:t xml:space="preserve"> </w:t>
            </w:r>
            <w:proofErr w:type="spellStart"/>
            <w:r w:rsidRPr="00243D28">
              <w:rPr>
                <w:i/>
                <w:iCs/>
                <w:lang w:eastAsia="en-US"/>
              </w:rPr>
              <w:t>euro</w:t>
            </w:r>
            <w:proofErr w:type="spellEnd"/>
            <w:r w:rsidRPr="00243D28">
              <w:rPr>
                <w:lang w:eastAsia="en-US"/>
              </w:rPr>
              <w:t xml:space="preserve">, 2020.gadā – 0 </w:t>
            </w:r>
            <w:proofErr w:type="spellStart"/>
            <w:r w:rsidRPr="00243D28">
              <w:rPr>
                <w:i/>
                <w:iCs/>
                <w:lang w:eastAsia="en-US"/>
              </w:rPr>
              <w:t>euro</w:t>
            </w:r>
            <w:proofErr w:type="spellEnd"/>
            <w:r w:rsidRPr="00243D28">
              <w:rPr>
                <w:lang w:eastAsia="en-US"/>
              </w:rPr>
              <w:t xml:space="preserve">, 2021.gadā – </w:t>
            </w:r>
            <w:r w:rsidR="003D3304">
              <w:rPr>
                <w:lang w:eastAsia="en-US"/>
              </w:rPr>
              <w:t>1 72</w:t>
            </w:r>
            <w:r w:rsidR="002705F8">
              <w:rPr>
                <w:lang w:eastAsia="en-US"/>
              </w:rPr>
              <w:t>0</w:t>
            </w:r>
            <w:r w:rsidR="003D3304">
              <w:rPr>
                <w:lang w:eastAsia="en-US"/>
              </w:rPr>
              <w:t> </w:t>
            </w:r>
            <w:r w:rsidR="002705F8">
              <w:rPr>
                <w:lang w:eastAsia="en-US"/>
              </w:rPr>
              <w:t>759</w:t>
            </w:r>
            <w:r w:rsidRPr="00243D28">
              <w:rPr>
                <w:lang w:eastAsia="en-US"/>
              </w:rPr>
              <w:t xml:space="preserve"> </w:t>
            </w:r>
            <w:proofErr w:type="spellStart"/>
            <w:r w:rsidRPr="00243D28">
              <w:rPr>
                <w:i/>
                <w:iCs/>
                <w:lang w:eastAsia="en-US"/>
              </w:rPr>
              <w:t>euro</w:t>
            </w:r>
            <w:proofErr w:type="spellEnd"/>
            <w:r w:rsidRPr="00243D28">
              <w:rPr>
                <w:lang w:eastAsia="en-US"/>
              </w:rPr>
              <w:t xml:space="preserve">, 2022.gadā – </w:t>
            </w:r>
            <w:r w:rsidR="00F56D13">
              <w:rPr>
                <w:lang w:eastAsia="en-US"/>
              </w:rPr>
              <w:t>35</w:t>
            </w:r>
            <w:r w:rsidRPr="00243D28">
              <w:rPr>
                <w:lang w:eastAsia="en-US"/>
              </w:rPr>
              <w:t> </w:t>
            </w:r>
            <w:r w:rsidR="002705F8">
              <w:rPr>
                <w:lang w:eastAsia="en-US"/>
              </w:rPr>
              <w:t>275</w:t>
            </w:r>
            <w:r w:rsidRPr="00243D28">
              <w:rPr>
                <w:lang w:eastAsia="en-US"/>
              </w:rPr>
              <w:t> </w:t>
            </w:r>
            <w:r w:rsidR="002705F8">
              <w:rPr>
                <w:lang w:eastAsia="en-US"/>
              </w:rPr>
              <w:t>557</w:t>
            </w:r>
            <w:r w:rsidRPr="00243D28">
              <w:rPr>
                <w:lang w:eastAsia="en-US"/>
              </w:rPr>
              <w:t xml:space="preserve"> </w:t>
            </w:r>
            <w:proofErr w:type="spellStart"/>
            <w:r w:rsidRPr="00243D28">
              <w:rPr>
                <w:i/>
                <w:iCs/>
                <w:lang w:eastAsia="en-US"/>
              </w:rPr>
              <w:t>euro</w:t>
            </w:r>
            <w:proofErr w:type="spellEnd"/>
            <w:r w:rsidRPr="00243D28">
              <w:rPr>
                <w:lang w:eastAsia="en-US"/>
              </w:rPr>
              <w:t xml:space="preserve">, 2023.gadā – </w:t>
            </w:r>
            <w:r w:rsidR="00F56D13">
              <w:rPr>
                <w:lang w:eastAsia="en-US"/>
              </w:rPr>
              <w:t>2</w:t>
            </w:r>
            <w:r w:rsidRPr="00243D28">
              <w:rPr>
                <w:lang w:eastAsia="en-US"/>
              </w:rPr>
              <w:t> </w:t>
            </w:r>
            <w:r w:rsidR="002705F8">
              <w:rPr>
                <w:lang w:eastAsia="en-US"/>
              </w:rPr>
              <w:t>581</w:t>
            </w:r>
            <w:r w:rsidRPr="00243D28">
              <w:rPr>
                <w:lang w:eastAsia="en-US"/>
              </w:rPr>
              <w:t> </w:t>
            </w:r>
            <w:r w:rsidR="002705F8">
              <w:rPr>
                <w:lang w:eastAsia="en-US"/>
              </w:rPr>
              <w:t>138</w:t>
            </w:r>
            <w:r w:rsidRPr="00243D28">
              <w:rPr>
                <w:lang w:eastAsia="en-US"/>
              </w:rPr>
              <w:t xml:space="preserve"> </w:t>
            </w:r>
            <w:proofErr w:type="spellStart"/>
            <w:r w:rsidRPr="00243D28">
              <w:rPr>
                <w:i/>
                <w:iCs/>
                <w:lang w:eastAsia="en-US"/>
              </w:rPr>
              <w:t>euro</w:t>
            </w:r>
            <w:proofErr w:type="spellEnd"/>
            <w:r w:rsidRPr="00243D28">
              <w:rPr>
                <w:lang w:eastAsia="en-US"/>
              </w:rPr>
              <w:t>).</w:t>
            </w:r>
          </w:p>
          <w:p w14:paraId="62C3C100" w14:textId="1129E63C" w:rsidR="004333C7" w:rsidRDefault="004333C7" w:rsidP="004333C7">
            <w:pPr>
              <w:spacing w:after="120"/>
              <w:jc w:val="both"/>
              <w:rPr>
                <w:color w:val="000000"/>
              </w:rPr>
            </w:pPr>
            <w:r>
              <w:t xml:space="preserve">ES fondu finansējuma </w:t>
            </w:r>
            <w:r w:rsidRPr="00677A6A">
              <w:t>piesaiste projektam tikai daļēji segs elektrovilcienu iepirkuma līguma izpildei nepieciešamo finansējumu</w:t>
            </w:r>
            <w:r>
              <w:t>. P</w:t>
            </w:r>
            <w:r w:rsidRPr="00677A6A">
              <w:t xml:space="preserve">rojekta īstenošanai ir nepieciešams valsts budžeta finansējums </w:t>
            </w:r>
            <w:r>
              <w:t>4</w:t>
            </w:r>
            <w:r w:rsidR="002705F8">
              <w:t>6</w:t>
            </w:r>
            <w:r>
              <w:t> </w:t>
            </w:r>
            <w:r w:rsidR="002705F8">
              <w:t>998</w:t>
            </w:r>
            <w:r>
              <w:t> 227</w:t>
            </w:r>
            <w:r w:rsidRPr="00B62FB7">
              <w:t xml:space="preserve"> </w:t>
            </w:r>
            <w:proofErr w:type="spellStart"/>
            <w:r w:rsidRPr="00B62FB7">
              <w:rPr>
                <w:i/>
                <w:iCs/>
              </w:rPr>
              <w:t>euro</w:t>
            </w:r>
            <w:proofErr w:type="spellEnd"/>
            <w:r w:rsidRPr="00B62FB7">
              <w:t xml:space="preserve"> apmērā</w:t>
            </w:r>
            <w:r>
              <w:t xml:space="preserve"> </w:t>
            </w:r>
            <w:r w:rsidRPr="00677A6A">
              <w:t xml:space="preserve">projekta līdzfinansējuma nodrošināšanai, kā arī valsts budžeta </w:t>
            </w:r>
            <w:proofErr w:type="spellStart"/>
            <w:r w:rsidRPr="00677A6A">
              <w:t>priekšfinansējums</w:t>
            </w:r>
            <w:proofErr w:type="spellEnd"/>
            <w:r w:rsidRPr="00677A6A">
              <w:t xml:space="preserve">. </w:t>
            </w:r>
            <w:r w:rsidRPr="00677A6A">
              <w:rPr>
                <w:color w:val="000000"/>
              </w:rPr>
              <w:t>Piesaistot ES fondu līdzfinansējumu jaunu elektrovilcienu iegādei, tiktu arī mazināta ietekme uz vispārējās valdības budžeta bilanci un parādu.</w:t>
            </w:r>
          </w:p>
          <w:p w14:paraId="40D51B7D" w14:textId="106D621A" w:rsidR="008E394F" w:rsidRDefault="00AA4AC6" w:rsidP="00B62FB7">
            <w:pPr>
              <w:spacing w:after="120"/>
              <w:jc w:val="both"/>
            </w:pPr>
            <w:r w:rsidRPr="006F1FC2">
              <w:t>Valsts budžeta finansējums</w:t>
            </w:r>
            <w:r w:rsidR="00CF0483" w:rsidRPr="006F1FC2">
              <w:t xml:space="preserve"> </w:t>
            </w:r>
            <w:r w:rsidRPr="006F1FC2">
              <w:t xml:space="preserve">tiek plānots no budžeta programmas 80.00.00 atbilstoši MK 2015.gada 17.marta noteikumu Nr. 130 9.punktam. Atbilstoši FM 13.septembra informatīvā ziņojumā noteiktajam elektrovilcienu vagonu iegādes projekta īstenošanai finansējums nodrošināms no </w:t>
            </w:r>
            <w:r w:rsidRPr="006F1FC2">
              <w:lastRenderedPageBreak/>
              <w:t>74.resora budžeta programmas 80.00.00 finansējuma.</w:t>
            </w:r>
          </w:p>
          <w:p w14:paraId="4A046342" w14:textId="77777777" w:rsidR="00900363" w:rsidRPr="003E4AD9" w:rsidRDefault="00900363" w:rsidP="00900363">
            <w:pPr>
              <w:spacing w:after="130"/>
              <w:jc w:val="both"/>
            </w:pPr>
            <w:r w:rsidRPr="003E4AD9">
              <w:t>Elektrovilcienu vagonu iegādes projektā plānotās darbības atbilst Komisijas īstenošanas regulā (ES) Nr. 215/2014 noteiktajai intervences kategorijai „Ilgtspējīgs transports” - 043: Tīra pilsētas transporta infrastruktūra un veicināšana (tostarp aprīkojums un ritošais sastāvs).</w:t>
            </w:r>
          </w:p>
          <w:p w14:paraId="069B3505" w14:textId="0690A2F2" w:rsidR="0018139B" w:rsidRDefault="0018139B" w:rsidP="0018139B">
            <w:pPr>
              <w:spacing w:after="130"/>
              <w:jc w:val="both"/>
            </w:pPr>
            <w:r>
              <w:t xml:space="preserve">4.5.1.1. pasākumu ir paredzēts īstenot vairākās kārtās, lai nodalītu īstenošanā esošos projektus no turpmāk plānotajiem projektiem. 4.5.1.1.pasākuma ietvaros īstenošanā esošie projekti </w:t>
            </w:r>
            <w:r w:rsidR="00485867">
              <w:t>Daugavpilī “</w:t>
            </w:r>
            <w:r w:rsidR="00485867" w:rsidRPr="00485867">
              <w:t>Videi draudzīga sabiedriskā transporta attīstība Daugavpils pilsētā</w:t>
            </w:r>
            <w:r w:rsidR="00485867">
              <w:t>”</w:t>
            </w:r>
            <w:r>
              <w:t xml:space="preserve"> </w:t>
            </w:r>
            <w:r w:rsidRPr="00485867">
              <w:t xml:space="preserve">(proj.nr. 4.5.1.1/16/I/003) un </w:t>
            </w:r>
            <w:r w:rsidR="00485867" w:rsidRPr="00485867">
              <w:t>Liepājā “Tramvaja līnijas un piegulošās teritorijas kompleksa rekonstrukcija”</w:t>
            </w:r>
            <w:r w:rsidRPr="00485867">
              <w:t xml:space="preserve"> (proj.nr. 4.5.1.1/16/I/001), un pārtrauktais projekts Rīgā</w:t>
            </w:r>
            <w:r w:rsidR="00485867" w:rsidRPr="00485867">
              <w:t xml:space="preserve"> “Rīgas tramvaja infrastruktūras attīstība”</w:t>
            </w:r>
            <w:r w:rsidRPr="00485867">
              <w:t xml:space="preserve"> (proj.nr. 4.5.1.1/16/I/002)</w:t>
            </w:r>
            <w:r>
              <w:t xml:space="preserve"> tiek iekļauti 4.5.1.1.pasākuma pirmās </w:t>
            </w:r>
            <w:r w:rsidR="00200FC4">
              <w:t xml:space="preserve">atlases </w:t>
            </w:r>
            <w:r>
              <w:t>kārtas ietvaros. Daugavpils un Liepājas tramvaju infrastruktūras attīstības projekti, kurus paredzēts īstenot turpmākajos gados, tiek iekļauti 4.5.1.1.pasākuma otrajā projektu iesniegumu atlases kārtā.</w:t>
            </w:r>
          </w:p>
          <w:p w14:paraId="025BD749" w14:textId="33BC3D4F" w:rsidR="00C90A80" w:rsidRDefault="0018139B" w:rsidP="0018139B">
            <w:pPr>
              <w:spacing w:after="130"/>
              <w:jc w:val="both"/>
            </w:pPr>
            <w:r>
              <w:t xml:space="preserve">Savukārt </w:t>
            </w:r>
            <w:r w:rsidR="00200FC4">
              <w:t xml:space="preserve">4.5.1.1.pasākuma </w:t>
            </w:r>
            <w:r>
              <w:t xml:space="preserve">trešās </w:t>
            </w:r>
            <w:r w:rsidR="00200FC4">
              <w:t xml:space="preserve">atlases </w:t>
            </w:r>
            <w:r>
              <w:t xml:space="preserve">kārtas ietvaros tiks iekļauts </w:t>
            </w:r>
            <w:r w:rsidR="006B6B51" w:rsidRPr="006B6B51">
              <w:t>elektrovilcienu vagonu iegādes projekts</w:t>
            </w:r>
            <w:r w:rsidR="00485867">
              <w:t>.</w:t>
            </w:r>
          </w:p>
          <w:p w14:paraId="6A526738" w14:textId="6A9E493C" w:rsidR="00900363" w:rsidRPr="003E4AD9" w:rsidRDefault="00900363" w:rsidP="00900363">
            <w:pPr>
              <w:spacing w:before="120" w:after="120"/>
              <w:jc w:val="both"/>
              <w:rPr>
                <w:rFonts w:eastAsia="Calibri"/>
              </w:rPr>
            </w:pPr>
            <w:r w:rsidRPr="003E4AD9">
              <w:rPr>
                <w:rFonts w:eastAsia="Calibri"/>
              </w:rPr>
              <w:t xml:space="preserve">Projektu īstenošana Daugavpilī un Liepājā 4.5.1.1. pasākuma otrās </w:t>
            </w:r>
            <w:r w:rsidR="00200FC4">
              <w:rPr>
                <w:rFonts w:eastAsia="Calibri"/>
              </w:rPr>
              <w:t xml:space="preserve">atlases </w:t>
            </w:r>
            <w:r w:rsidRPr="003E4AD9">
              <w:rPr>
                <w:rFonts w:eastAsia="Calibri"/>
              </w:rPr>
              <w:t xml:space="preserve">kārtas ietvaros nodrošinās, ka 4.5.1.1.pasākumā tiek sasniegts darbības programmā paredzētais iznākuma rādītājs 8 km (4,92 km, īstenojot 4.5.1.1.pasākuma pirmās </w:t>
            </w:r>
            <w:r w:rsidR="00200FC4">
              <w:rPr>
                <w:rFonts w:eastAsia="Calibri"/>
              </w:rPr>
              <w:t xml:space="preserve">atlases </w:t>
            </w:r>
            <w:r w:rsidRPr="003E4AD9">
              <w:rPr>
                <w:rFonts w:eastAsia="Calibri"/>
              </w:rPr>
              <w:t xml:space="preserve">kārtas projektus, un 4,09 km, īstenojot 4.5.1.1.pasākuma otrās </w:t>
            </w:r>
            <w:r w:rsidR="00200FC4">
              <w:rPr>
                <w:rFonts w:eastAsia="Calibri"/>
              </w:rPr>
              <w:t xml:space="preserve">atlases </w:t>
            </w:r>
            <w:r w:rsidRPr="003E4AD9">
              <w:rPr>
                <w:rFonts w:eastAsia="Calibri"/>
              </w:rPr>
              <w:t>kārtas projektus).</w:t>
            </w:r>
          </w:p>
          <w:p w14:paraId="764EBFCF" w14:textId="2C99DA02" w:rsidR="00900363" w:rsidRPr="003E4AD9" w:rsidRDefault="00900363" w:rsidP="00900363">
            <w:pPr>
              <w:spacing w:before="120" w:after="120"/>
              <w:jc w:val="both"/>
              <w:rPr>
                <w:rFonts w:eastAsia="Calibri"/>
              </w:rPr>
            </w:pPr>
            <w:r w:rsidRPr="003E4AD9">
              <w:rPr>
                <w:rFonts w:eastAsia="Calibri"/>
              </w:rPr>
              <w:t>Elektrovilcienu vagonu iegādes projekta īstenošana 4.5.1.1. pasākuma trešās</w:t>
            </w:r>
            <w:r w:rsidR="00200FC4">
              <w:rPr>
                <w:rFonts w:eastAsia="Calibri"/>
              </w:rPr>
              <w:t xml:space="preserve"> atlases</w:t>
            </w:r>
            <w:r w:rsidRPr="003E4AD9">
              <w:rPr>
                <w:rFonts w:eastAsia="Calibri"/>
              </w:rPr>
              <w:t xml:space="preserve"> kārtas ietvaros nodrošinās, ka 4.5.1.1.pasākumā tiek sasniegts darbības programmas grozījumos precizētais rezultāta rādītājs 89,92 miljoni pasažieru gadā (</w:t>
            </w:r>
            <w:r>
              <w:rPr>
                <w:rFonts w:eastAsia="Calibri"/>
              </w:rPr>
              <w:t xml:space="preserve">ievērojot plānoto pasažieru skaitu - </w:t>
            </w:r>
            <w:r w:rsidRPr="003E4AD9">
              <w:rPr>
                <w:rFonts w:eastAsia="Calibri"/>
              </w:rPr>
              <w:t xml:space="preserve">2,7 miljoni pasažieru gadā, īstenojot elektrovilcienu vagonu iegādes projektu 4.5.1.1.pasākuma trešās </w:t>
            </w:r>
            <w:r w:rsidR="00200FC4">
              <w:rPr>
                <w:rFonts w:eastAsia="Calibri"/>
              </w:rPr>
              <w:t xml:space="preserve">atlases </w:t>
            </w:r>
            <w:r w:rsidRPr="003E4AD9">
              <w:rPr>
                <w:rFonts w:eastAsia="Calibri"/>
              </w:rPr>
              <w:t>kārtas ietvaros).</w:t>
            </w:r>
          </w:p>
          <w:p w14:paraId="4F1179D0" w14:textId="2674AE95" w:rsidR="00900363" w:rsidRDefault="00900363" w:rsidP="00B62FB7">
            <w:pPr>
              <w:spacing w:after="120"/>
              <w:jc w:val="both"/>
            </w:pPr>
            <w:r w:rsidRPr="00900363">
              <w:t>Ievērojot</w:t>
            </w:r>
            <w:r w:rsidR="00CF0483">
              <w:t xml:space="preserve"> </w:t>
            </w:r>
            <w:r w:rsidRPr="00900363">
              <w:t xml:space="preserve">iepriekš minēto, ir nepieciešams veikt attiecīgus grozījumus MK noteikumos, lai precizētu pasākumam pieejamo </w:t>
            </w:r>
            <w:r w:rsidR="005F72A2">
              <w:t>ES</w:t>
            </w:r>
            <w:r w:rsidR="00CF0483">
              <w:t xml:space="preserve"> </w:t>
            </w:r>
            <w:r w:rsidRPr="00900363">
              <w:t>fond</w:t>
            </w:r>
            <w:r w:rsidR="005F72A2">
              <w:t>u</w:t>
            </w:r>
            <w:r w:rsidRPr="00900363">
              <w:t xml:space="preserve"> finansējuma apmēru, projekta iesniedzējus, kā arī plānoto projektu iesniegumu atlases </w:t>
            </w:r>
            <w:r w:rsidR="00021D2B">
              <w:t xml:space="preserve">kārtu </w:t>
            </w:r>
            <w:r w:rsidRPr="00900363">
              <w:t>skaitu un</w:t>
            </w:r>
            <w:r w:rsidR="00CF0483">
              <w:t xml:space="preserve"> </w:t>
            </w:r>
            <w:r w:rsidRPr="00900363">
              <w:t>katrai atlases kārtai</w:t>
            </w:r>
            <w:r w:rsidR="00CF0483">
              <w:t xml:space="preserve"> </w:t>
            </w:r>
            <w:r w:rsidRPr="00900363">
              <w:t xml:space="preserve">maksimāli pieejamo </w:t>
            </w:r>
            <w:r w:rsidR="005F72A2">
              <w:t>ES</w:t>
            </w:r>
            <w:r w:rsidR="005F72A2" w:rsidRPr="00900363">
              <w:t xml:space="preserve"> fond</w:t>
            </w:r>
            <w:r w:rsidR="005F72A2">
              <w:t>u</w:t>
            </w:r>
            <w:r w:rsidR="005F72A2" w:rsidRPr="00900363">
              <w:t xml:space="preserve"> </w:t>
            </w:r>
            <w:r w:rsidRPr="00900363">
              <w:t>finansējumu</w:t>
            </w:r>
            <w:r>
              <w:t>, pasākumā sasniedzamā rezultāta vērtību,</w:t>
            </w:r>
            <w:r w:rsidR="00B62FB7">
              <w:t xml:space="preserve"> </w:t>
            </w:r>
            <w:r>
              <w:t>papildinātu MK noteikumus ar jaunajam atbalstāmajam darbībām un attiecināmajam izmaksām</w:t>
            </w:r>
            <w:r w:rsidR="00B62FB7">
              <w:t>.</w:t>
            </w:r>
          </w:p>
          <w:p w14:paraId="1F487DEA" w14:textId="2E5B3BFE" w:rsidR="00ED435B" w:rsidRPr="0027792A" w:rsidRDefault="00ED435B" w:rsidP="005020CD">
            <w:pPr>
              <w:spacing w:after="130"/>
              <w:jc w:val="both"/>
              <w:rPr>
                <w:i/>
                <w:iCs/>
              </w:rPr>
            </w:pPr>
            <w:r w:rsidRPr="00ED435B">
              <w:t>Ņemot vērā minēto</w:t>
            </w:r>
            <w:r w:rsidR="00DF121D">
              <w:t>,</w:t>
            </w:r>
            <w:r w:rsidRPr="00ED435B">
              <w:t xml:space="preserve"> MK noteikumu projekts paredz</w:t>
            </w:r>
            <w:r w:rsidRPr="005570DD">
              <w:t>:</w:t>
            </w:r>
          </w:p>
          <w:p w14:paraId="12F6E3B8" w14:textId="609028DD" w:rsidR="00A75FAE" w:rsidRDefault="00A75FAE" w:rsidP="005D06FB">
            <w:pPr>
              <w:pStyle w:val="ListParagraph"/>
              <w:numPr>
                <w:ilvl w:val="0"/>
                <w:numId w:val="32"/>
              </w:numPr>
              <w:spacing w:after="120"/>
              <w:ind w:left="397" w:hanging="357"/>
              <w:contextualSpacing w:val="0"/>
              <w:jc w:val="both"/>
            </w:pPr>
            <w:r>
              <w:t xml:space="preserve">noteikt, ka 4.5.1.1. pasākumu īsteno arī Pierīgā un Rīgas </w:t>
            </w:r>
            <w:r>
              <w:lastRenderedPageBreak/>
              <w:t xml:space="preserve">aglomerācijā, ņemot vērā, ka trešās projektu iesniegumu atlases </w:t>
            </w:r>
            <w:r w:rsidR="00021D2B">
              <w:t xml:space="preserve">kārtas </w:t>
            </w:r>
            <w:r>
              <w:t xml:space="preserve">ietvaros ir plānots īstenot </w:t>
            </w:r>
            <w:r w:rsidRPr="00605D2C">
              <w:t>elektrovilcienu vagonu iegādes</w:t>
            </w:r>
            <w:r>
              <w:t xml:space="preserve"> projektu.</w:t>
            </w:r>
          </w:p>
          <w:p w14:paraId="1C2E2DA9" w14:textId="31C3941E" w:rsidR="00A75FAE" w:rsidRDefault="00A75FAE" w:rsidP="005D06FB">
            <w:pPr>
              <w:pStyle w:val="ListParagraph"/>
              <w:numPr>
                <w:ilvl w:val="0"/>
                <w:numId w:val="32"/>
              </w:numPr>
              <w:spacing w:after="120"/>
              <w:ind w:left="397" w:hanging="357"/>
              <w:contextualSpacing w:val="0"/>
              <w:jc w:val="both"/>
            </w:pPr>
            <w:r>
              <w:t>noteikt, ka 4.5.1.1. pasākumā sasniedzamais</w:t>
            </w:r>
            <w:r w:rsidRPr="00605D2C">
              <w:t xml:space="preserve"> rezultāta rādītājs </w:t>
            </w:r>
            <w:r>
              <w:t xml:space="preserve">ir </w:t>
            </w:r>
            <w:r w:rsidRPr="00605D2C">
              <w:t>89,92 miljoni pasažieru gadā</w:t>
            </w:r>
            <w:r w:rsidR="00437433">
              <w:t>, un rezultāta rādītāja sasniegšanā tiek iekļauti arī Pierīgā un Rīgas aglomerācijā pārvadātie pasažieri</w:t>
            </w:r>
            <w:r>
              <w:t>.</w:t>
            </w:r>
          </w:p>
          <w:p w14:paraId="3EC05D19" w14:textId="77777777" w:rsidR="00437433" w:rsidRDefault="00437433" w:rsidP="00437433">
            <w:pPr>
              <w:pStyle w:val="ListParagraph"/>
              <w:numPr>
                <w:ilvl w:val="0"/>
                <w:numId w:val="32"/>
              </w:numPr>
              <w:spacing w:after="120"/>
              <w:ind w:left="397" w:hanging="357"/>
              <w:contextualSpacing w:val="0"/>
              <w:jc w:val="both"/>
            </w:pPr>
            <w:r>
              <w:t xml:space="preserve">noteikt, ka 4.5.1.1. pasākumu </w:t>
            </w:r>
            <w:r w:rsidRPr="004D0F73">
              <w:t xml:space="preserve">īsteno ierobežotas projektu iesniegumu atlases veidā </w:t>
            </w:r>
            <w:r>
              <w:t>trīs</w:t>
            </w:r>
            <w:r w:rsidRPr="004D0F73">
              <w:t xml:space="preserve"> projektu iesniegumu atlases kārtu ietvaros</w:t>
            </w:r>
            <w:r>
              <w:t xml:space="preserve"> - </w:t>
            </w:r>
            <w:r w:rsidRPr="004D0F73">
              <w:t>pirmā projektu iesniegumu atlases kārta “Attīstīt videi draudzīgu sabiedriskā transporta infrastruktūru (tramvaji)”</w:t>
            </w:r>
            <w:r>
              <w:t xml:space="preserve">, </w:t>
            </w:r>
            <w:r w:rsidRPr="004D0F73">
              <w:t>otrā projektu iesniegumu atlases kārta “Attīstīt videi draudzīgu sabiedriskā transporta infrastruktūru (tramvaji) – papildu darbības”</w:t>
            </w:r>
            <w:r>
              <w:t xml:space="preserve"> un </w:t>
            </w:r>
            <w:r w:rsidRPr="004D0F73">
              <w:t>trešā projektu iesniegumu atlases kārta “Attīstīt videi draudzīgu sabiedriskā transporta infrastruktūru (elektrovilcieni)”</w:t>
            </w:r>
            <w:r>
              <w:t>.</w:t>
            </w:r>
          </w:p>
          <w:p w14:paraId="72A79FAF" w14:textId="24E4138E" w:rsidR="005D06FB" w:rsidRDefault="000B722D" w:rsidP="005D06FB">
            <w:pPr>
              <w:pStyle w:val="ListParagraph"/>
              <w:numPr>
                <w:ilvl w:val="0"/>
                <w:numId w:val="32"/>
              </w:numPr>
              <w:spacing w:after="120"/>
              <w:ind w:left="397" w:hanging="357"/>
              <w:contextualSpacing w:val="0"/>
              <w:jc w:val="both"/>
            </w:pPr>
            <w:r>
              <w:t xml:space="preserve">noteikt, ka </w:t>
            </w:r>
            <w:r w:rsidR="0018139B">
              <w:t xml:space="preserve">4.5.1.1. pasākumam </w:t>
            </w:r>
            <w:r w:rsidR="006C76B1" w:rsidRPr="006C76B1">
              <w:t xml:space="preserve">plānotais kopējais attiecināmais finansējums </w:t>
            </w:r>
            <w:r w:rsidR="008C097A">
              <w:t>nav mazāks kā</w:t>
            </w:r>
            <w:r w:rsidR="006C76B1" w:rsidRPr="006C76B1">
              <w:t xml:space="preserve"> 215 418 047 </w:t>
            </w:r>
            <w:proofErr w:type="spellStart"/>
            <w:r w:rsidR="006C76B1" w:rsidRPr="006C76B1">
              <w:rPr>
                <w:i/>
                <w:iCs/>
              </w:rPr>
              <w:t>euro</w:t>
            </w:r>
            <w:proofErr w:type="spellEnd"/>
            <w:r w:rsidR="006C76B1" w:rsidRPr="006C76B1">
              <w:t xml:space="preserve">, tai skaitā Kohēzijas fonda finansējums nepārsniedz 146 988 842 </w:t>
            </w:r>
            <w:proofErr w:type="spellStart"/>
            <w:r w:rsidR="006C76B1" w:rsidRPr="006C76B1">
              <w:rPr>
                <w:i/>
                <w:iCs/>
              </w:rPr>
              <w:t>euro</w:t>
            </w:r>
            <w:proofErr w:type="spellEnd"/>
            <w:r w:rsidR="006C76B1" w:rsidRPr="006C76B1">
              <w:t xml:space="preserve">, Eiropas Reģionālās attīstības fonda finansējums nepārsniedz 13 217 837 </w:t>
            </w:r>
            <w:proofErr w:type="spellStart"/>
            <w:r w:rsidR="006C76B1" w:rsidRPr="006C76B1">
              <w:rPr>
                <w:i/>
                <w:iCs/>
              </w:rPr>
              <w:t>euro</w:t>
            </w:r>
            <w:proofErr w:type="spellEnd"/>
            <w:r w:rsidR="006C76B1" w:rsidRPr="006C76B1">
              <w:t xml:space="preserve"> un nacionālais finansējums (valsts budžeta finansējums, valsts budžeta dotācija pašvaldībām, pašvaldību un privātais finansējums) – nav mazāks kā 55 211 368 </w:t>
            </w:r>
            <w:proofErr w:type="spellStart"/>
            <w:r w:rsidR="006C76B1" w:rsidRPr="006C76B1">
              <w:rPr>
                <w:i/>
                <w:iCs/>
              </w:rPr>
              <w:t>euro</w:t>
            </w:r>
            <w:proofErr w:type="spellEnd"/>
            <w:r w:rsidR="0018139B">
              <w:t>.</w:t>
            </w:r>
          </w:p>
          <w:p w14:paraId="7BA51976" w14:textId="0AA50CCD" w:rsidR="004D0F73" w:rsidRDefault="000B722D" w:rsidP="00845472">
            <w:pPr>
              <w:pStyle w:val="ListParagraph"/>
              <w:numPr>
                <w:ilvl w:val="0"/>
                <w:numId w:val="32"/>
              </w:numPr>
              <w:spacing w:after="120"/>
              <w:ind w:left="397" w:hanging="357"/>
              <w:contextualSpacing w:val="0"/>
              <w:jc w:val="both"/>
            </w:pPr>
            <w:r>
              <w:t xml:space="preserve">noteikt, ka </w:t>
            </w:r>
            <w:r w:rsidR="00984FCF">
              <w:t>4.5.1.1. pasākuma atlases kārtās pieejam</w:t>
            </w:r>
            <w:r w:rsidR="00EA7010">
              <w:t>ais</w:t>
            </w:r>
            <w:r w:rsidR="00984FCF">
              <w:t xml:space="preserve"> kopēj</w:t>
            </w:r>
            <w:r w:rsidR="00EA7010">
              <w:t>ais</w:t>
            </w:r>
            <w:r w:rsidR="00984FCF">
              <w:t xml:space="preserve"> attiecinām</w:t>
            </w:r>
            <w:r w:rsidR="00EA7010">
              <w:t>ais</w:t>
            </w:r>
            <w:r w:rsidR="00984FCF">
              <w:t xml:space="preserve"> finansējum</w:t>
            </w:r>
            <w:r w:rsidR="00EA7010">
              <w:t>s</w:t>
            </w:r>
            <w:r w:rsidR="005570DD">
              <w:t>:</w:t>
            </w:r>
          </w:p>
          <w:p w14:paraId="2461512F" w14:textId="5EC13193" w:rsidR="004063CA" w:rsidRDefault="006C76B1" w:rsidP="004063CA">
            <w:pPr>
              <w:pStyle w:val="ListParagraph"/>
              <w:numPr>
                <w:ilvl w:val="0"/>
                <w:numId w:val="35"/>
              </w:numPr>
              <w:spacing w:after="130"/>
              <w:ind w:left="819"/>
              <w:jc w:val="both"/>
            </w:pPr>
            <w:r w:rsidRPr="006C76B1">
              <w:t xml:space="preserve">pirmajā atlases kārtā nav mazāks kā 30 583 066 </w:t>
            </w:r>
            <w:proofErr w:type="spellStart"/>
            <w:r w:rsidRPr="006C76B1">
              <w:rPr>
                <w:i/>
                <w:iCs/>
              </w:rPr>
              <w:t>euro</w:t>
            </w:r>
            <w:proofErr w:type="spellEnd"/>
            <w:r w:rsidRPr="006C76B1">
              <w:t xml:space="preserve">, tai skaitā Kohēzijas fonda finansējums nepārsniedz 25 995 606 </w:t>
            </w:r>
            <w:proofErr w:type="spellStart"/>
            <w:r w:rsidRPr="006C76B1">
              <w:rPr>
                <w:i/>
                <w:iCs/>
              </w:rPr>
              <w:t>euro</w:t>
            </w:r>
            <w:proofErr w:type="spellEnd"/>
            <w:r w:rsidRPr="006C76B1">
              <w:t xml:space="preserve"> un nacionālais finansējums (valsts budžeta dotācija pašvaldībām, pašvaldību un privātais finansējums) nav mazāks kā 4 587 460 </w:t>
            </w:r>
            <w:proofErr w:type="spellStart"/>
            <w:r w:rsidRPr="006C76B1">
              <w:rPr>
                <w:i/>
                <w:iCs/>
              </w:rPr>
              <w:t>euro</w:t>
            </w:r>
            <w:proofErr w:type="spellEnd"/>
            <w:r w:rsidR="004063CA">
              <w:t>;</w:t>
            </w:r>
          </w:p>
          <w:p w14:paraId="44743A63" w14:textId="432C40F9" w:rsidR="004063CA" w:rsidRDefault="006C76B1" w:rsidP="004063CA">
            <w:pPr>
              <w:pStyle w:val="ListParagraph"/>
              <w:numPr>
                <w:ilvl w:val="0"/>
                <w:numId w:val="35"/>
              </w:numPr>
              <w:spacing w:after="130"/>
              <w:ind w:left="819"/>
              <w:jc w:val="both"/>
            </w:pPr>
            <w:r w:rsidRPr="006C76B1">
              <w:t xml:space="preserve">otrajā atlases kārtā nav mazāks kā 23 529 412 </w:t>
            </w:r>
            <w:proofErr w:type="spellStart"/>
            <w:r w:rsidRPr="006C76B1">
              <w:rPr>
                <w:i/>
                <w:iCs/>
              </w:rPr>
              <w:t>euro</w:t>
            </w:r>
            <w:proofErr w:type="spellEnd"/>
            <w:r w:rsidRPr="006C76B1">
              <w:t xml:space="preserve">, tai skaitā Kohēzijas fonda finansējums nepārsniedz 20 000 000 </w:t>
            </w:r>
            <w:proofErr w:type="spellStart"/>
            <w:r w:rsidRPr="006C76B1">
              <w:rPr>
                <w:i/>
                <w:iCs/>
              </w:rPr>
              <w:t>euro</w:t>
            </w:r>
            <w:proofErr w:type="spellEnd"/>
            <w:r w:rsidRPr="006C76B1">
              <w:t xml:space="preserve"> un privātais finansējums nav mazāks kā 3 529 412 </w:t>
            </w:r>
            <w:proofErr w:type="spellStart"/>
            <w:r w:rsidRPr="006C76B1">
              <w:rPr>
                <w:i/>
                <w:iCs/>
              </w:rPr>
              <w:t>euro</w:t>
            </w:r>
            <w:proofErr w:type="spellEnd"/>
            <w:r w:rsidR="004063CA">
              <w:t>;</w:t>
            </w:r>
          </w:p>
          <w:p w14:paraId="0D3FF484" w14:textId="442821A8" w:rsidR="005570DD" w:rsidRDefault="006C76B1" w:rsidP="00C35A01">
            <w:pPr>
              <w:pStyle w:val="ListParagraph"/>
              <w:numPr>
                <w:ilvl w:val="0"/>
                <w:numId w:val="35"/>
              </w:numPr>
              <w:spacing w:after="120"/>
              <w:ind w:left="816" w:hanging="357"/>
              <w:contextualSpacing w:val="0"/>
              <w:jc w:val="both"/>
            </w:pPr>
            <w:r w:rsidRPr="006C76B1">
              <w:t xml:space="preserve">trešajā atlases kārtā nav mazāks kā 161 209 300 </w:t>
            </w:r>
            <w:proofErr w:type="spellStart"/>
            <w:r w:rsidRPr="006C76B1">
              <w:rPr>
                <w:i/>
                <w:iCs/>
              </w:rPr>
              <w:t>euro</w:t>
            </w:r>
            <w:proofErr w:type="spellEnd"/>
            <w:r w:rsidRPr="006C76B1">
              <w:t xml:space="preserve">, tai skaitā Eiropas Reģionālās attīstības fonda finansējums nepārsniedz 13 217 837 </w:t>
            </w:r>
            <w:proofErr w:type="spellStart"/>
            <w:r w:rsidRPr="006C76B1">
              <w:rPr>
                <w:i/>
                <w:iCs/>
              </w:rPr>
              <w:t>euro</w:t>
            </w:r>
            <w:proofErr w:type="spellEnd"/>
            <w:r w:rsidRPr="006C76B1">
              <w:t xml:space="preserve">, Kohēzijas fonda finansējums nepārsniedz 100 993 236 </w:t>
            </w:r>
            <w:proofErr w:type="spellStart"/>
            <w:r w:rsidRPr="006C76B1">
              <w:rPr>
                <w:i/>
                <w:iCs/>
              </w:rPr>
              <w:t>euro</w:t>
            </w:r>
            <w:proofErr w:type="spellEnd"/>
            <w:r w:rsidRPr="006C76B1">
              <w:t xml:space="preserve"> un valsts budžeta finansējums nav mazāks kā 46 998 227 </w:t>
            </w:r>
            <w:proofErr w:type="spellStart"/>
            <w:r w:rsidRPr="006C76B1">
              <w:rPr>
                <w:i/>
                <w:iCs/>
              </w:rPr>
              <w:t>euro</w:t>
            </w:r>
            <w:proofErr w:type="spellEnd"/>
            <w:r w:rsidR="004063CA">
              <w:t>.</w:t>
            </w:r>
          </w:p>
          <w:p w14:paraId="5789F166" w14:textId="53648486" w:rsidR="004D0F73" w:rsidRDefault="000B722D" w:rsidP="00845472">
            <w:pPr>
              <w:pStyle w:val="ListParagraph"/>
              <w:numPr>
                <w:ilvl w:val="0"/>
                <w:numId w:val="32"/>
              </w:numPr>
              <w:spacing w:after="120"/>
              <w:ind w:left="397" w:hanging="357"/>
              <w:contextualSpacing w:val="0"/>
              <w:jc w:val="both"/>
            </w:pPr>
            <w:r>
              <w:t>noteikt, ka</w:t>
            </w:r>
            <w:r w:rsidRPr="00984FCF">
              <w:t xml:space="preserve"> </w:t>
            </w:r>
            <w:r w:rsidR="00984FCF" w:rsidRPr="00984FCF">
              <w:t>4.5.1.1. pasākuma</w:t>
            </w:r>
            <w:r w:rsidR="00984FCF">
              <w:t xml:space="preserve"> </w:t>
            </w:r>
            <w:r w:rsidR="000C185A">
              <w:t>ietvaros</w:t>
            </w:r>
            <w:r w:rsidR="00984FCF">
              <w:t xml:space="preserve"> </w:t>
            </w:r>
            <w:r w:rsidR="00B8691F">
              <w:t>maksimāl</w:t>
            </w:r>
            <w:r w:rsidR="00EA7010">
              <w:t>ais</w:t>
            </w:r>
            <w:r w:rsidR="00B8691F">
              <w:t xml:space="preserve"> plānot</w:t>
            </w:r>
            <w:r w:rsidR="00EA7010">
              <w:t>ais</w:t>
            </w:r>
            <w:r w:rsidR="00B8691F">
              <w:t xml:space="preserve"> </w:t>
            </w:r>
            <w:r w:rsidR="00EA7010">
              <w:t>KF</w:t>
            </w:r>
            <w:r w:rsidR="00984FCF">
              <w:t xml:space="preserve"> finansējum</w:t>
            </w:r>
            <w:r w:rsidR="00EA7010">
              <w:t>s</w:t>
            </w:r>
            <w:r w:rsidR="00984FCF">
              <w:t>:</w:t>
            </w:r>
          </w:p>
          <w:p w14:paraId="2E9CCE12" w14:textId="2343E113" w:rsidR="00984FCF" w:rsidRDefault="00B8691F" w:rsidP="00984FCF">
            <w:pPr>
              <w:pStyle w:val="ListParagraph"/>
              <w:numPr>
                <w:ilvl w:val="0"/>
                <w:numId w:val="36"/>
              </w:numPr>
              <w:spacing w:after="130"/>
              <w:ind w:left="832"/>
              <w:jc w:val="both"/>
            </w:pPr>
            <w:r w:rsidRPr="00B8691F">
              <w:t>pirmajā atlases kārtā projekta īstenošanai Daugavpilī</w:t>
            </w:r>
            <w:r w:rsidR="00EA7010">
              <w:t xml:space="preserve"> </w:t>
            </w:r>
            <w:r w:rsidRPr="00B8691F">
              <w:t>– 13</w:t>
            </w:r>
            <w:r>
              <w:t> </w:t>
            </w:r>
            <w:r w:rsidRPr="00B8691F">
              <w:t>000</w:t>
            </w:r>
            <w:r>
              <w:t> </w:t>
            </w:r>
            <w:r w:rsidRPr="00B8691F">
              <w:t xml:space="preserve">000 </w:t>
            </w:r>
            <w:proofErr w:type="spellStart"/>
            <w:r w:rsidRPr="00B8691F">
              <w:rPr>
                <w:i/>
                <w:iCs/>
              </w:rPr>
              <w:t>euro</w:t>
            </w:r>
            <w:proofErr w:type="spellEnd"/>
            <w:r w:rsidRPr="00B8691F">
              <w:t xml:space="preserve">, bet Liepājā – </w:t>
            </w:r>
            <w:r w:rsidRPr="00B8691F">
              <w:lastRenderedPageBreak/>
              <w:t>12</w:t>
            </w:r>
            <w:r>
              <w:t> </w:t>
            </w:r>
            <w:r w:rsidRPr="00B8691F">
              <w:t>995</w:t>
            </w:r>
            <w:r>
              <w:t> </w:t>
            </w:r>
            <w:r w:rsidRPr="00B8691F">
              <w:t xml:space="preserve">606 </w:t>
            </w:r>
            <w:proofErr w:type="spellStart"/>
            <w:r w:rsidRPr="00B8691F">
              <w:rPr>
                <w:i/>
                <w:iCs/>
              </w:rPr>
              <w:t>euro</w:t>
            </w:r>
            <w:proofErr w:type="spellEnd"/>
            <w:r>
              <w:t>;</w:t>
            </w:r>
          </w:p>
          <w:p w14:paraId="13AAFB56" w14:textId="7E1E482D" w:rsidR="00B8691F" w:rsidRDefault="00B8691F" w:rsidP="00984FCF">
            <w:pPr>
              <w:pStyle w:val="ListParagraph"/>
              <w:numPr>
                <w:ilvl w:val="0"/>
                <w:numId w:val="36"/>
              </w:numPr>
              <w:spacing w:after="130"/>
              <w:ind w:left="832"/>
              <w:jc w:val="both"/>
            </w:pPr>
            <w:r w:rsidRPr="00B8691F">
              <w:t>otrajā atlases kārtā projektu īstenošanai Daugavpilī un Liepājā vienam projektam ir 10</w:t>
            </w:r>
            <w:r>
              <w:t> </w:t>
            </w:r>
            <w:r w:rsidRPr="00B8691F">
              <w:t>000</w:t>
            </w:r>
            <w:r>
              <w:t> </w:t>
            </w:r>
            <w:r w:rsidRPr="00B8691F">
              <w:t xml:space="preserve">000 </w:t>
            </w:r>
            <w:proofErr w:type="spellStart"/>
            <w:r w:rsidRPr="00B8691F">
              <w:rPr>
                <w:i/>
                <w:iCs/>
              </w:rPr>
              <w:t>euro</w:t>
            </w:r>
            <w:proofErr w:type="spellEnd"/>
            <w:r>
              <w:t>;</w:t>
            </w:r>
          </w:p>
          <w:p w14:paraId="4C8A4C96" w14:textId="484C2EFE" w:rsidR="00B8691F" w:rsidRDefault="00B8691F" w:rsidP="00C35A01">
            <w:pPr>
              <w:pStyle w:val="ListParagraph"/>
              <w:numPr>
                <w:ilvl w:val="0"/>
                <w:numId w:val="36"/>
              </w:numPr>
              <w:spacing w:after="120"/>
              <w:ind w:left="828" w:hanging="357"/>
              <w:contextualSpacing w:val="0"/>
              <w:jc w:val="both"/>
            </w:pPr>
            <w:r w:rsidRPr="00B8691F">
              <w:t>trešajā atlases kārtā lielā projekta īstenošanai Rīgā ir 100</w:t>
            </w:r>
            <w:r>
              <w:t> </w:t>
            </w:r>
            <w:r w:rsidRPr="00B8691F">
              <w:t>993</w:t>
            </w:r>
            <w:r>
              <w:t> </w:t>
            </w:r>
            <w:r w:rsidRPr="00B8691F">
              <w:t xml:space="preserve">236 </w:t>
            </w:r>
            <w:proofErr w:type="spellStart"/>
            <w:r w:rsidRPr="00B8691F">
              <w:rPr>
                <w:i/>
                <w:iCs/>
              </w:rPr>
              <w:t>euro</w:t>
            </w:r>
            <w:proofErr w:type="spellEnd"/>
            <w:r w:rsidR="005D06FB">
              <w:rPr>
                <w:i/>
                <w:iCs/>
              </w:rPr>
              <w:t>.</w:t>
            </w:r>
          </w:p>
          <w:p w14:paraId="2DB39BEB" w14:textId="1A9D89C9" w:rsidR="00EA7010" w:rsidRDefault="000B722D" w:rsidP="00C35A01">
            <w:pPr>
              <w:pStyle w:val="ListParagraph"/>
              <w:numPr>
                <w:ilvl w:val="0"/>
                <w:numId w:val="32"/>
              </w:numPr>
              <w:spacing w:after="120"/>
              <w:ind w:left="391" w:hanging="357"/>
              <w:contextualSpacing w:val="0"/>
              <w:jc w:val="both"/>
            </w:pPr>
            <w:r>
              <w:t>noteikt, ka</w:t>
            </w:r>
            <w:r w:rsidRPr="00984FCF">
              <w:t xml:space="preserve"> </w:t>
            </w:r>
            <w:r w:rsidR="00EA7010" w:rsidRPr="00984FCF">
              <w:t>4.5.1.1. pasākum</w:t>
            </w:r>
            <w:r w:rsidR="001F6548">
              <w:t xml:space="preserve">a ietvaros </w:t>
            </w:r>
            <w:r w:rsidR="000C185A">
              <w:t xml:space="preserve">maksimālais plānotais </w:t>
            </w:r>
            <w:r w:rsidR="00EA7010">
              <w:t>ERAF finansējums</w:t>
            </w:r>
            <w:r w:rsidR="007C4467">
              <w:t xml:space="preserve"> trešajā atlases kārtā – 13 217 837 </w:t>
            </w:r>
            <w:proofErr w:type="spellStart"/>
            <w:r w:rsidR="007C4467" w:rsidRPr="007C4467">
              <w:rPr>
                <w:i/>
                <w:iCs/>
              </w:rPr>
              <w:t>euro</w:t>
            </w:r>
            <w:proofErr w:type="spellEnd"/>
            <w:r w:rsidR="007C4467">
              <w:t>.</w:t>
            </w:r>
          </w:p>
          <w:p w14:paraId="4BC76F0D" w14:textId="2EE0C4CB" w:rsidR="00437433" w:rsidRDefault="00437433" w:rsidP="00845472">
            <w:pPr>
              <w:pStyle w:val="ListParagraph"/>
              <w:numPr>
                <w:ilvl w:val="0"/>
                <w:numId w:val="32"/>
              </w:numPr>
              <w:spacing w:after="120"/>
              <w:ind w:left="397" w:hanging="357"/>
              <w:contextualSpacing w:val="0"/>
              <w:jc w:val="both"/>
            </w:pPr>
            <w:r>
              <w:t xml:space="preserve">noteikt, ka nosacījums par finansējuma apmēru, kas, </w:t>
            </w:r>
            <w:r w:rsidRPr="00437433">
              <w:t>ņemot vērā izmaksu un ieguvumu analīzē iegūto rezultātu</w:t>
            </w:r>
            <w:r>
              <w:t xml:space="preserve">, var būt līdz 85 procentiem </w:t>
            </w:r>
            <w:r w:rsidRPr="00437433">
              <w:t xml:space="preserve">no kopējām attiecināmajām izmaksām, </w:t>
            </w:r>
            <w:r>
              <w:t>ir attiecināms gan uz KF, gan ERAF finansējuma apmēru.</w:t>
            </w:r>
          </w:p>
          <w:p w14:paraId="23FC4B88" w14:textId="07D84CC8" w:rsidR="001B6771" w:rsidRDefault="001B6771" w:rsidP="00845472">
            <w:pPr>
              <w:pStyle w:val="ListParagraph"/>
              <w:numPr>
                <w:ilvl w:val="0"/>
                <w:numId w:val="32"/>
              </w:numPr>
              <w:spacing w:after="120"/>
              <w:ind w:left="397" w:hanging="357"/>
              <w:contextualSpacing w:val="0"/>
              <w:jc w:val="both"/>
            </w:pPr>
            <w:r w:rsidRPr="001B6771">
              <w:t>noteikt, ka 4.5.1.1. pasākumā pirms snieguma ietvara izpildes sasniedzamais iznākuma rādītājs ir 4,61 km, ņemot vērā, ka lielais projekts “Rīgas tramvaja infrastruktūras attīstība” (proj.nr. 4.5.1.1/16/I/002) ir pārtraukts.</w:t>
            </w:r>
          </w:p>
          <w:p w14:paraId="754D06E0" w14:textId="77777777" w:rsidR="00322527" w:rsidRDefault="00322527" w:rsidP="00322527">
            <w:pPr>
              <w:pStyle w:val="ListParagraph"/>
              <w:numPr>
                <w:ilvl w:val="0"/>
                <w:numId w:val="32"/>
              </w:numPr>
              <w:spacing w:after="120"/>
              <w:ind w:left="397" w:hanging="357"/>
              <w:contextualSpacing w:val="0"/>
              <w:jc w:val="both"/>
            </w:pPr>
            <w:r>
              <w:t xml:space="preserve">noteikt, ka 4.5.1.1. pasākuma pirmās un otrās atlases kārtu ietvaros projekta iesniedzējs ir </w:t>
            </w:r>
            <w:r w:rsidRPr="002D578C">
              <w:t>Daugavpils un Liepājas pilsētu pašvaldību kapitālsabiedrības</w:t>
            </w:r>
            <w:r>
              <w:t xml:space="preserve">, </w:t>
            </w:r>
            <w:r w:rsidRPr="002D578C">
              <w:t xml:space="preserve">kuras sniedz sabiedriskā transporta pakalpojumus, izmantojot sliežu sabiedrisko transportu, un ar kurām ir noslēgti sabiedriskā transporta pakalpojumu sniegšanas līgumi, kas atbilst </w:t>
            </w:r>
            <w:r w:rsidRPr="000C185A">
              <w:t>Eiropas Parlamenta un Padomes Regula</w:t>
            </w:r>
            <w:r>
              <w:t>s</w:t>
            </w:r>
            <w:r w:rsidRPr="000C185A">
              <w:t xml:space="preserve"> (EK) Nr. 1370/2007</w:t>
            </w:r>
            <w:r>
              <w:rPr>
                <w:rStyle w:val="FootnoteReference"/>
              </w:rPr>
              <w:footnoteReference w:id="12"/>
            </w:r>
            <w:r w:rsidRPr="002D578C">
              <w:t xml:space="preserve"> (turpmāk – Regula Nr. 1370/2007) nosacījumiem</w:t>
            </w:r>
            <w:r>
              <w:t>.</w:t>
            </w:r>
          </w:p>
          <w:p w14:paraId="583FB5E4" w14:textId="6C4270FF" w:rsidR="00322527" w:rsidRDefault="00322527" w:rsidP="00322527">
            <w:pPr>
              <w:pStyle w:val="ListParagraph"/>
              <w:numPr>
                <w:ilvl w:val="0"/>
                <w:numId w:val="32"/>
              </w:numPr>
              <w:spacing w:after="120"/>
              <w:ind w:left="397" w:hanging="357"/>
              <w:contextualSpacing w:val="0"/>
              <w:jc w:val="both"/>
            </w:pPr>
            <w:r>
              <w:t xml:space="preserve">noteikt, ka 4.5.1.1. pasākuma trešās atlases kārtas ietvaros projekta iesniedzējs ir </w:t>
            </w:r>
            <w:r w:rsidRPr="00DB0025">
              <w:t>akciju sabiedrība “Pasažieru vilciens”</w:t>
            </w:r>
            <w:r>
              <w:t>,</w:t>
            </w:r>
            <w:r w:rsidRPr="002D578C">
              <w:rPr>
                <w:rFonts w:ascii="Calibri" w:hAnsi="Calibri"/>
              </w:rPr>
              <w:t xml:space="preserve"> </w:t>
            </w:r>
            <w:r w:rsidRPr="002D578C">
              <w:t>kura sniedz sabiedriskā transporta pakalpojumus reģionāl</w:t>
            </w:r>
            <w:r w:rsidR="002D5802">
              <w:t>ā</w:t>
            </w:r>
            <w:r w:rsidRPr="002D578C">
              <w:t xml:space="preserve">s nozīmes maršrutos pa dzelzceļu, un ar kuru ir noslēgts sabiedriskā transporta pakalpojumu </w:t>
            </w:r>
            <w:r w:rsidR="004369DA">
              <w:t xml:space="preserve">līgums par sabiedriskā transporta pakalpojumu sniegšanu </w:t>
            </w:r>
            <w:r w:rsidRPr="002D578C">
              <w:t>reģionāl</w:t>
            </w:r>
            <w:r w:rsidR="002D5802">
              <w:t>ā</w:t>
            </w:r>
            <w:r w:rsidRPr="002D578C">
              <w:t>s nozīmes maršrutos pa dzelzceļu atbilstoši Regulas Nr. 1370/2007 5.panta 2.punktā minētajiem nosacījumiem</w:t>
            </w:r>
            <w:r>
              <w:t>.</w:t>
            </w:r>
          </w:p>
          <w:p w14:paraId="6A9A7CF0" w14:textId="77777777" w:rsidR="00322527" w:rsidRDefault="00322527" w:rsidP="00322527">
            <w:pPr>
              <w:pStyle w:val="ListParagraph"/>
              <w:numPr>
                <w:ilvl w:val="0"/>
                <w:numId w:val="32"/>
              </w:numPr>
              <w:spacing w:after="120"/>
              <w:ind w:left="397" w:hanging="357"/>
              <w:contextualSpacing w:val="0"/>
              <w:jc w:val="both"/>
            </w:pPr>
            <w:r>
              <w:t xml:space="preserve">noteikt, ka 4.5.1.1. pasākuma pirmās un otrās atlases kārtu ietvaros </w:t>
            </w:r>
            <w:r w:rsidRPr="00EA7010">
              <w:t>sadarbības partneris var būt tikai tā pašvaldība, kas ir projekta iesniedzēja kapitāldaļu turētāja</w:t>
            </w:r>
            <w:r>
              <w:t xml:space="preserve">, un pašvaldība iesaistās projekta īstenošanā </w:t>
            </w:r>
            <w:r w:rsidRPr="001F6548">
              <w:t>ar tā</w:t>
            </w:r>
            <w:r>
              <w:t>s</w:t>
            </w:r>
            <w:r w:rsidRPr="001F6548">
              <w:t xml:space="preserve"> valdījumā vai īpašumā esošu nekustamo īpašumu, ar projektu saistītas dokumentācijas izstrādi</w:t>
            </w:r>
            <w:r>
              <w:t xml:space="preserve"> </w:t>
            </w:r>
            <w:r w:rsidRPr="001F6548">
              <w:t xml:space="preserve">vai nodrošina izbūvētās infrastruktūras ekspluatāciju un uzturēšanu </w:t>
            </w:r>
            <w:r w:rsidRPr="001F6548">
              <w:lastRenderedPageBreak/>
              <w:t>pēc projekta īstenošanas.</w:t>
            </w:r>
            <w:r>
              <w:t xml:space="preserve"> 4.5.1.1.pasākuma pirmajā atlases kārtā sadarbības partneris var iesaistīties projektā </w:t>
            </w:r>
            <w:r w:rsidRPr="001F6548">
              <w:t>ar finansējumu</w:t>
            </w:r>
            <w:r>
              <w:t>, savukārt 4.5.1.1.pasākuma otrajā atlases kārtā sadarbības partneris nevar iesaistīties projektā ar finansējumu.</w:t>
            </w:r>
          </w:p>
          <w:p w14:paraId="10064789" w14:textId="5E82C16C" w:rsidR="00322527" w:rsidRDefault="00322527" w:rsidP="00845472">
            <w:pPr>
              <w:pStyle w:val="ListParagraph"/>
              <w:numPr>
                <w:ilvl w:val="0"/>
                <w:numId w:val="32"/>
              </w:numPr>
              <w:spacing w:after="120"/>
              <w:ind w:left="397" w:hanging="357"/>
              <w:contextualSpacing w:val="0"/>
              <w:jc w:val="both"/>
            </w:pPr>
            <w:r>
              <w:t>noteikt, ka 4.5.1.1. pasākuma trešās atlases kārtas ietvaros</w:t>
            </w:r>
            <w:r w:rsidRPr="00EA7010">
              <w:rPr>
                <w:sz w:val="28"/>
                <w:szCs w:val="28"/>
              </w:rPr>
              <w:t xml:space="preserve"> </w:t>
            </w:r>
            <w:r w:rsidRPr="00EA7010">
              <w:t>sadarbības partneris ir valsts sabiedrība ar ierobežotu atbildību “Autotransporta direkcija”</w:t>
            </w:r>
            <w:r>
              <w:t>. Sadarbības partneris iesaistās projekta īstenošanā</w:t>
            </w:r>
            <w:r w:rsidR="00263E02">
              <w:t xml:space="preserve"> atbilstoši </w:t>
            </w:r>
            <w:r w:rsidR="00263E02" w:rsidRPr="001D1B5F">
              <w:t>sabiedriskā transporta pakalpojumu pasūtījuma līgum</w:t>
            </w:r>
            <w:r w:rsidR="00263E02">
              <w:t>a</w:t>
            </w:r>
            <w:r w:rsidR="00263E02" w:rsidRPr="001D1B5F">
              <w:t xml:space="preserve"> par sabiedriskā transporta pakalpojumu sniegšanu reģionālās nozīmes maršrutos pa dzelzceļu</w:t>
            </w:r>
            <w:r w:rsidR="00263E02">
              <w:t xml:space="preserve"> nosacījumiem</w:t>
            </w:r>
            <w:r>
              <w:t xml:space="preserve">, </w:t>
            </w:r>
            <w:r w:rsidRPr="001F6548">
              <w:t xml:space="preserve">pārņemot īpašumtiesības uz </w:t>
            </w:r>
            <w:r w:rsidR="006863D2" w:rsidRPr="006863D2">
              <w:t>pamatlīdzekļiem, kas projekta ietvaros iegādāti par publiskajiem līdzekļiem,</w:t>
            </w:r>
            <w:r w:rsidRPr="001F6548">
              <w:t xml:space="preserve"> lai nodrošinātu sabiedriskā transporta pakalpojumus reģionāl</w:t>
            </w:r>
            <w:r w:rsidR="002D5802">
              <w:t>ā</w:t>
            </w:r>
            <w:r w:rsidRPr="001F6548">
              <w:t>s nozīmes maršrutos pa dzelzceļu līdzvērtīgā apjomā, ja pēc 2024.gada 31.decembra līgums ar akciju sabiedrību “Pasažieru vilciens” par sabiedriskā transporta pakalpojumu reģionāl</w:t>
            </w:r>
            <w:r w:rsidR="002D5802">
              <w:t>ā</w:t>
            </w:r>
            <w:r w:rsidRPr="001F6548">
              <w:t>s nozīmes maršrutos pa dzelzceļu sniegšanas netiks pagarināts atbilstoši Regulas Nr. 1370/2007 4.</w:t>
            </w:r>
            <w:r w:rsidR="00021D2B">
              <w:t> </w:t>
            </w:r>
            <w:r w:rsidRPr="001F6548">
              <w:t>pantam vai akciju sabiedrībai “Pasažieru vilciens” netiks piešķirtas no jauna tiesības sniegt sabiedriskā transporta pakalpojumus reģionāl</w:t>
            </w:r>
            <w:r w:rsidR="002D5802">
              <w:t>ā</w:t>
            </w:r>
            <w:r w:rsidRPr="001F6548">
              <w:t>s nozīmes maršrutos pa dzelzceļu atbilstoši Regulas Nr.</w:t>
            </w:r>
            <w:r>
              <w:t> </w:t>
            </w:r>
            <w:r w:rsidRPr="001F6548">
              <w:t>1370/2007 5.pantā minētajiem nosacījumiem</w:t>
            </w:r>
            <w:r w:rsidR="00C812B0">
              <w:t xml:space="preserve">. </w:t>
            </w:r>
            <w:r w:rsidR="00A34851">
              <w:t xml:space="preserve">4.5.1.1. pasākuma trešās atlases kārtas ietvaros </w:t>
            </w:r>
            <w:r w:rsidR="009A3BF8">
              <w:t>kārtību, kādā tiek pārņemtas īpašumtiesības uz pamatlīdzekļiem, kas projekta ietvaros iegādāti par publiskajiem līdzekļiem, ir plānots iekļaut</w:t>
            </w:r>
            <w:r w:rsidR="00A34851">
              <w:t xml:space="preserve"> </w:t>
            </w:r>
            <w:r w:rsidR="00A34851" w:rsidRPr="00A34851">
              <w:t>līgum</w:t>
            </w:r>
            <w:r w:rsidR="009A3BF8">
              <w:t>ā</w:t>
            </w:r>
            <w:r w:rsidR="00A34851" w:rsidRPr="00A34851">
              <w:t xml:space="preserve"> par sabiedriskā transporta pakalpojumu sniegšanu reģionālās nozīmes maršrutos pa dzelzceļu nosacījumiem</w:t>
            </w:r>
            <w:r w:rsidR="00A34851">
              <w:t xml:space="preserve">, tādēļ </w:t>
            </w:r>
            <w:r w:rsidR="00C84E17">
              <w:t>nav</w:t>
            </w:r>
            <w:r w:rsidR="00A34851">
              <w:t xml:space="preserve"> paredzēts slēgt atsevišķu sadarbības līgumu</w:t>
            </w:r>
            <w:r w:rsidR="009D135E">
              <w:t xml:space="preserve"> par </w:t>
            </w:r>
            <w:r w:rsidR="009D135E" w:rsidRPr="00C84E17">
              <w:t>elektrovilcienu vagonu iegādes projekt</w:t>
            </w:r>
            <w:r w:rsidR="009D135E">
              <w:t>a īstenošanu</w:t>
            </w:r>
            <w:r w:rsidR="00A34851">
              <w:t>.</w:t>
            </w:r>
            <w:r w:rsidR="00C84E17">
              <w:t xml:space="preserve"> </w:t>
            </w:r>
            <w:r w:rsidR="009D135E">
              <w:t xml:space="preserve">Projekta iesniedzējam ir jāiesniedz aktualizētais </w:t>
            </w:r>
            <w:r w:rsidR="009D135E" w:rsidRPr="00A34851">
              <w:t>līgum</w:t>
            </w:r>
            <w:r w:rsidR="009D135E">
              <w:t>s</w:t>
            </w:r>
            <w:r w:rsidR="009D135E" w:rsidRPr="00A34851">
              <w:t xml:space="preserve"> par sabiedriskā transporta pakalpojumu sniegšanu reģionālās nozīmes maršrutos pa dzelzceļu</w:t>
            </w:r>
            <w:r w:rsidR="009D135E">
              <w:t xml:space="preserve"> </w:t>
            </w:r>
            <w:r w:rsidR="00021D2B">
              <w:t>kopā ar projekta iesnieguma dokumentāciju</w:t>
            </w:r>
            <w:r w:rsidR="009D135E">
              <w:t>, lai varētu izvērtēt projekta pieteikuma atbilstību projektu iesniegumu vērtēšanas kritērijiem</w:t>
            </w:r>
            <w:r w:rsidR="00C84E17">
              <w:t>.</w:t>
            </w:r>
          </w:p>
          <w:p w14:paraId="458D2FAD" w14:textId="77777777" w:rsidR="0034092C" w:rsidRDefault="0034092C" w:rsidP="0034092C">
            <w:pPr>
              <w:pStyle w:val="ListParagraph"/>
              <w:numPr>
                <w:ilvl w:val="0"/>
                <w:numId w:val="32"/>
              </w:numPr>
              <w:spacing w:after="120"/>
              <w:ind w:left="397" w:hanging="357"/>
              <w:contextualSpacing w:val="0"/>
              <w:jc w:val="both"/>
            </w:pPr>
            <w:r>
              <w:t xml:space="preserve">noteikt, ka 4.5.1.1. pasākuma pirmās un otrās atlases kārtu ietvaros projekta iesniedzējs un sadarbības partneris līdz līguma noslēgšanai par projekta īstenošanu iesniedz </w:t>
            </w:r>
            <w:r w:rsidRPr="005C7063">
              <w:t>sadarbības iestādē ar sadarbības partneri noslēgtu sadarbības līgumu</w:t>
            </w:r>
            <w:r>
              <w:t xml:space="preserve">, kur iekļauta kārtība, </w:t>
            </w:r>
            <w:r w:rsidRPr="005C7063">
              <w:t>kādā tiek paredzēta projekta ietvaros par publiskajiem līdzekļiem iegādāto pamatlīdzekļu nodošana pašvaldībai turpmākai sabiedriskā transporta pakalpojumu sniegšanai</w:t>
            </w:r>
            <w:r>
              <w:t>.</w:t>
            </w:r>
          </w:p>
          <w:p w14:paraId="5E4764E2" w14:textId="45480734" w:rsidR="002D5802" w:rsidRDefault="002D5802" w:rsidP="002D5802">
            <w:pPr>
              <w:pStyle w:val="ListParagraph"/>
              <w:numPr>
                <w:ilvl w:val="0"/>
                <w:numId w:val="32"/>
              </w:numPr>
              <w:spacing w:after="120"/>
              <w:ind w:left="397" w:hanging="357"/>
              <w:contextualSpacing w:val="0"/>
              <w:jc w:val="both"/>
            </w:pPr>
            <w:r>
              <w:lastRenderedPageBreak/>
              <w:t xml:space="preserve">noteikt, ka 4.5.1.1. pasākuma pirmās un otrās atlases kārtas ietvaros atbalstāmās darbības ir </w:t>
            </w:r>
            <w:r w:rsidRPr="00A54422">
              <w:t>tramvaju maršrutu tīklu attīstība, tai skaitā esošo līniju pagarināšana, pārbūve</w:t>
            </w:r>
            <w:r>
              <w:t>,</w:t>
            </w:r>
            <w:r w:rsidRPr="00A54422">
              <w:rPr>
                <w:rFonts w:ascii="Calibri" w:hAnsi="Calibri"/>
              </w:rPr>
              <w:t xml:space="preserve"> </w:t>
            </w:r>
            <w:r w:rsidRPr="00A54422">
              <w:t>kā arī jaunu tramvaju līniju infrastruktūras būvniecība un ritošā sastāva iegāde</w:t>
            </w:r>
            <w:r>
              <w:t>. Atbalstāmās darbības 4.5.1.1. pasākuma pirmajā un otr</w:t>
            </w:r>
            <w:r w:rsidR="00021D2B">
              <w:t>ajā</w:t>
            </w:r>
            <w:r>
              <w:t xml:space="preserve"> atlases kārtā ir precizētas atbilstoši MK 03.12.2019. sēdē</w:t>
            </w:r>
            <w:r>
              <w:rPr>
                <w:rStyle w:val="FootnoteReference"/>
              </w:rPr>
              <w:footnoteReference w:id="13"/>
            </w:r>
            <w:r>
              <w:t xml:space="preserve"> apstiprinātajiem grozījumiem darbības programmā “Izaugsme un nodarbinātība” </w:t>
            </w:r>
            <w:r w:rsidRPr="00243D28">
              <w:t>(prot. Nr.</w:t>
            </w:r>
            <w:r>
              <w:t>56</w:t>
            </w:r>
            <w:r w:rsidRPr="00243D28">
              <w:t xml:space="preserve">, </w:t>
            </w:r>
            <w:r>
              <w:t>15</w:t>
            </w:r>
            <w:r w:rsidRPr="00243D28">
              <w:t>.§)</w:t>
            </w:r>
            <w:r>
              <w:t xml:space="preserve">. Precizējumi 4.5.1.1. pasākuma pirmās un otrās atlases kārtas ietvaros atbalstāmajās darbībās ir veikti </w:t>
            </w:r>
            <w:r w:rsidRPr="00327100">
              <w:t>atbilstoši Būvniecības likuma</w:t>
            </w:r>
            <w:r>
              <w:t xml:space="preserve"> terminoloģijai.</w:t>
            </w:r>
          </w:p>
          <w:p w14:paraId="7AD3602B" w14:textId="73F62903" w:rsidR="0034092C" w:rsidRDefault="002D5802" w:rsidP="002D5802">
            <w:pPr>
              <w:pStyle w:val="ListParagraph"/>
              <w:numPr>
                <w:ilvl w:val="0"/>
                <w:numId w:val="32"/>
              </w:numPr>
              <w:spacing w:after="120"/>
              <w:ind w:left="397" w:hanging="357"/>
              <w:contextualSpacing w:val="0"/>
              <w:jc w:val="both"/>
            </w:pPr>
            <w:r>
              <w:t xml:space="preserve">noteikt, ka 4.5.1.1. pasākuma trešās atlases kārtas ietvaros atbalstāmā darbība ir </w:t>
            </w:r>
            <w:r w:rsidRPr="006F1FC2">
              <w:t>dzelzceļa pasažieru apkalpošanai paredzētā elektrovilcienu ritošā sastāva iegāde</w:t>
            </w:r>
            <w:r>
              <w:t xml:space="preserve">. Trešās atlases kārtas ietvaros </w:t>
            </w:r>
            <w:r w:rsidRPr="006F1FC2">
              <w:t>tiešās attiecināmās izmaksas</w:t>
            </w:r>
            <w:r>
              <w:t xml:space="preserve"> ir </w:t>
            </w:r>
            <w:r w:rsidRPr="006F1FC2">
              <w:t>pasažieru pārvadājumiem nepieciešamā ritošā sastāva (elektrovilcienu) iegādes izmaksas</w:t>
            </w:r>
            <w:r>
              <w:t>. Trešās atlases kārtas ietvaros izmaksas ir attiecināmas no 2014.gada 1.janvāra.</w:t>
            </w:r>
          </w:p>
          <w:p w14:paraId="794E074B" w14:textId="7B565B06" w:rsidR="002D5802" w:rsidRDefault="002D5802" w:rsidP="00845472">
            <w:pPr>
              <w:pStyle w:val="ListParagraph"/>
              <w:numPr>
                <w:ilvl w:val="0"/>
                <w:numId w:val="32"/>
              </w:numPr>
              <w:spacing w:after="120"/>
              <w:ind w:left="397" w:hanging="357"/>
              <w:contextualSpacing w:val="0"/>
              <w:jc w:val="both"/>
            </w:pPr>
            <w:r>
              <w:t>noteikt, ka iespēja finansējuma saņēmējam attiecināt p</w:t>
            </w:r>
            <w:r w:rsidRPr="003B4D9B">
              <w:t>ievienotās vērtības nodokļa izmaks</w:t>
            </w:r>
            <w:r>
              <w:t>as uz projekta tiešo attiecināmo</w:t>
            </w:r>
            <w:r w:rsidRPr="003B4D9B">
              <w:t xml:space="preserve"> izmaksu pozīcijām, ja </w:t>
            </w:r>
            <w:r>
              <w:t>izmaksas</w:t>
            </w:r>
            <w:r w:rsidRPr="003B4D9B">
              <w:t xml:space="preserve"> nav atgūstamas nodokļu politiku reglamentējošos normatīvajos aktos noteiktajā kārtībā</w:t>
            </w:r>
            <w:r>
              <w:t>, attiecas arī uz 4.5.1.1. pasākuma trešo atlases kārtu.</w:t>
            </w:r>
          </w:p>
          <w:p w14:paraId="18A145E4" w14:textId="4AD9CC4A" w:rsidR="002D5802" w:rsidRDefault="002D5802" w:rsidP="00845472">
            <w:pPr>
              <w:pStyle w:val="ListParagraph"/>
              <w:numPr>
                <w:ilvl w:val="0"/>
                <w:numId w:val="32"/>
              </w:numPr>
              <w:spacing w:after="120"/>
              <w:ind w:left="397" w:hanging="357"/>
              <w:contextualSpacing w:val="0"/>
              <w:jc w:val="both"/>
            </w:pPr>
            <w:r>
              <w:t xml:space="preserve">noteikt, ka </w:t>
            </w:r>
            <w:r w:rsidRPr="00243D28">
              <w:rPr>
                <w:lang w:eastAsia="en-US"/>
              </w:rPr>
              <w:t>MK noteikum</w:t>
            </w:r>
            <w:r>
              <w:rPr>
                <w:lang w:eastAsia="en-US"/>
              </w:rPr>
              <w:t>u</w:t>
            </w:r>
            <w:r w:rsidRPr="00243D28">
              <w:rPr>
                <w:lang w:eastAsia="en-US"/>
              </w:rPr>
              <w:t xml:space="preserve"> Nr. 281</w:t>
            </w:r>
            <w:r>
              <w:t xml:space="preserve"> 20.1.apakšpunktā minētās atbalstāmās darbības, 21.punktā noteiktās </w:t>
            </w:r>
            <w:r w:rsidRPr="006F1FC2">
              <w:t>tiešās attiecināmās izmaksas</w:t>
            </w:r>
            <w:r>
              <w:t xml:space="preserve">, 27.punktā noteiktie izmaksu ierobežojumi un </w:t>
            </w:r>
            <w:proofErr w:type="spellStart"/>
            <w:r>
              <w:t>attiecināmības</w:t>
            </w:r>
            <w:proofErr w:type="spellEnd"/>
            <w:r>
              <w:t xml:space="preserve"> periods ir attiecināmi gan uz pirmo, gan otro atlases kārtu.</w:t>
            </w:r>
          </w:p>
          <w:p w14:paraId="2E92A931" w14:textId="77777777" w:rsidR="002D5802" w:rsidRDefault="002D5802" w:rsidP="002D5802">
            <w:pPr>
              <w:pStyle w:val="ListParagraph"/>
              <w:numPr>
                <w:ilvl w:val="0"/>
                <w:numId w:val="32"/>
              </w:numPr>
              <w:spacing w:after="120"/>
              <w:ind w:left="397" w:hanging="357"/>
              <w:contextualSpacing w:val="0"/>
              <w:jc w:val="both"/>
            </w:pPr>
            <w:r>
              <w:t xml:space="preserve">noteikt, ka nosacījums par neattiecināmajām izmaksām ir attiecināms tikai </w:t>
            </w:r>
            <w:r w:rsidRPr="00387A78">
              <w:t>4.5.1.1. pasākuma pirmā</w:t>
            </w:r>
            <w:r>
              <w:t>s</w:t>
            </w:r>
            <w:r w:rsidRPr="00387A78">
              <w:t xml:space="preserve"> un otrā</w:t>
            </w:r>
            <w:r>
              <w:t>s</w:t>
            </w:r>
            <w:r w:rsidRPr="00387A78">
              <w:t xml:space="preserve"> atlases kārt</w:t>
            </w:r>
            <w:r>
              <w:t>as ietvaros. Ņemot vērā, ka 4.5.1.1. pasākuma trešajā atlases kārtā projekta izmaksas paredzēts finansēt tikai no valsts budžeta, neattiecināmās izmaksas netiek paredzētas.</w:t>
            </w:r>
          </w:p>
          <w:p w14:paraId="5AEAACDF" w14:textId="77777777" w:rsidR="002D5802" w:rsidRDefault="002D5802" w:rsidP="002D5802">
            <w:pPr>
              <w:pStyle w:val="ListParagraph"/>
              <w:numPr>
                <w:ilvl w:val="0"/>
                <w:numId w:val="32"/>
              </w:numPr>
              <w:spacing w:after="120"/>
              <w:ind w:left="397" w:hanging="357"/>
              <w:contextualSpacing w:val="0"/>
              <w:jc w:val="both"/>
            </w:pPr>
            <w:r>
              <w:t xml:space="preserve">noteikt, ka finansējuma saņēmēja pienākums </w:t>
            </w:r>
            <w:r w:rsidRPr="00270EA8">
              <w:t>uzkrā</w:t>
            </w:r>
            <w:r>
              <w:t>t</w:t>
            </w:r>
            <w:r w:rsidRPr="00270EA8">
              <w:t xml:space="preserve"> datus par sabiedriskā transporta vienību un pieturvietu skaitu, kur Kohēzijas fonda un Eiropas Reģionālās attīstības fonda ieguldījumu rezultātā ir nodrošināta vides un informācijas pieejamība</w:t>
            </w:r>
            <w:r>
              <w:t>, ir attiecināms visu 4.5.1.1. pasākuma atlases kārtu ietvaros.</w:t>
            </w:r>
          </w:p>
          <w:p w14:paraId="50A95D98" w14:textId="320EAE94" w:rsidR="00140D99" w:rsidRDefault="00140D99" w:rsidP="00845472">
            <w:pPr>
              <w:pStyle w:val="ListParagraph"/>
              <w:numPr>
                <w:ilvl w:val="0"/>
                <w:numId w:val="32"/>
              </w:numPr>
              <w:spacing w:after="120"/>
              <w:ind w:left="397" w:hanging="357"/>
              <w:contextualSpacing w:val="0"/>
              <w:jc w:val="both"/>
            </w:pPr>
            <w:r>
              <w:t xml:space="preserve">noteikt, ka </w:t>
            </w:r>
            <w:r w:rsidR="00D344BF">
              <w:t>nosacījums</w:t>
            </w:r>
            <w:r w:rsidR="00424615">
              <w:t>, ka</w:t>
            </w:r>
            <w:r w:rsidR="00D344BF">
              <w:t xml:space="preserve"> </w:t>
            </w:r>
            <w:r w:rsidR="00A44AAD">
              <w:t>sadarbības partneri</w:t>
            </w:r>
            <w:r w:rsidR="00424615">
              <w:t>s</w:t>
            </w:r>
            <w:r w:rsidR="00A44AAD">
              <w:t xml:space="preserve"> var </w:t>
            </w:r>
            <w:r w:rsidR="00424615">
              <w:t xml:space="preserve">projekta īstenošanai </w:t>
            </w:r>
            <w:r w:rsidR="00A44AAD">
              <w:t xml:space="preserve">paredzēt valsts budžeta dotāciju, ir </w:t>
            </w:r>
            <w:r w:rsidR="00A44AAD">
              <w:lastRenderedPageBreak/>
              <w:t xml:space="preserve">attiecināms </w:t>
            </w:r>
            <w:r>
              <w:t>tikai 4.5.1.1. pasākuma pirmās atlases kārtas ietvaros</w:t>
            </w:r>
            <w:r w:rsidR="00A44AAD">
              <w:t xml:space="preserve">, tādējādi nodrošinot, ka </w:t>
            </w:r>
            <w:r>
              <w:t xml:space="preserve">4.5.1.1. pasākuma otrās atlases kārtas projektu īstenošana </w:t>
            </w:r>
            <w:r w:rsidR="00351764" w:rsidRPr="00252EF7">
              <w:t>neradī</w:t>
            </w:r>
            <w:r w:rsidR="00A44AAD">
              <w:t>s</w:t>
            </w:r>
            <w:r w:rsidR="00351764" w:rsidRPr="00252EF7">
              <w:t xml:space="preserve"> papildu valsts budžeta izdevumus</w:t>
            </w:r>
            <w:r w:rsidR="00560924">
              <w:t>.</w:t>
            </w:r>
          </w:p>
          <w:p w14:paraId="48FE65A3" w14:textId="35302E52" w:rsidR="00605D2C" w:rsidRDefault="00A0035A" w:rsidP="003F7F3A">
            <w:pPr>
              <w:pStyle w:val="ListParagraph"/>
              <w:numPr>
                <w:ilvl w:val="0"/>
                <w:numId w:val="32"/>
              </w:numPr>
              <w:spacing w:after="120"/>
              <w:ind w:left="397" w:hanging="357"/>
              <w:contextualSpacing w:val="0"/>
              <w:jc w:val="both"/>
            </w:pPr>
            <w:r>
              <w:t>noteikt, ka</w:t>
            </w:r>
            <w:r w:rsidR="00424615">
              <w:t xml:space="preserve"> </w:t>
            </w:r>
            <w:r w:rsidR="00424615" w:rsidRPr="00243D28">
              <w:rPr>
                <w:lang w:eastAsia="en-US"/>
              </w:rPr>
              <w:t>MK noteikum</w:t>
            </w:r>
            <w:r w:rsidR="00424615">
              <w:rPr>
                <w:lang w:eastAsia="en-US"/>
              </w:rPr>
              <w:t>u</w:t>
            </w:r>
            <w:r w:rsidR="00424615" w:rsidRPr="00243D28">
              <w:rPr>
                <w:lang w:eastAsia="en-US"/>
              </w:rPr>
              <w:t xml:space="preserve"> Nr. 281</w:t>
            </w:r>
            <w:r>
              <w:t xml:space="preserve"> </w:t>
            </w:r>
            <w:r w:rsidR="00424615">
              <w:t xml:space="preserve">30.punktā minētā </w:t>
            </w:r>
            <w:r w:rsidR="007B1BBD">
              <w:t>iespēja finansējuma saņēmējam saņemt avansa maksājumus ir attiecināma tikai</w:t>
            </w:r>
            <w:r w:rsidR="00424615">
              <w:t xml:space="preserve"> </w:t>
            </w:r>
            <w:r>
              <w:t xml:space="preserve">4.5.1.1. pasākuma </w:t>
            </w:r>
            <w:r w:rsidR="007B1BBD">
              <w:t>pirmās un otrās</w:t>
            </w:r>
            <w:r>
              <w:t xml:space="preserve"> atlases kārtas ietvaros, jo trešajā atlases kārtā finansējuma saņēmējam ir plānots valsts budžeta </w:t>
            </w:r>
            <w:proofErr w:type="spellStart"/>
            <w:r>
              <w:t>priekšfinansējums</w:t>
            </w:r>
            <w:proofErr w:type="spellEnd"/>
            <w:r>
              <w:t>.</w:t>
            </w:r>
          </w:p>
          <w:p w14:paraId="5A191319" w14:textId="53E274D1" w:rsidR="00830983" w:rsidRDefault="00830983" w:rsidP="00830983">
            <w:pPr>
              <w:spacing w:before="120" w:after="120"/>
              <w:rPr>
                <w:rFonts w:eastAsia="Calibri"/>
                <w:i/>
                <w:iCs/>
              </w:rPr>
            </w:pPr>
            <w:r w:rsidRPr="0018139B">
              <w:rPr>
                <w:rFonts w:eastAsia="Calibri"/>
                <w:i/>
                <w:iCs/>
              </w:rPr>
              <w:t xml:space="preserve">Komercdarbības atbalsta </w:t>
            </w:r>
            <w:proofErr w:type="spellStart"/>
            <w:r w:rsidRPr="0018139B">
              <w:rPr>
                <w:rFonts w:eastAsia="Calibri"/>
                <w:i/>
                <w:iCs/>
              </w:rPr>
              <w:t>izvērtējums</w:t>
            </w:r>
            <w:proofErr w:type="spellEnd"/>
          </w:p>
          <w:p w14:paraId="67663592" w14:textId="3594A438" w:rsidR="00C44DD7" w:rsidRPr="00AA4AC6" w:rsidRDefault="00C44DD7" w:rsidP="00AA4AC6">
            <w:pPr>
              <w:spacing w:before="120" w:after="120"/>
              <w:jc w:val="both"/>
              <w:rPr>
                <w:rFonts w:eastAsia="Calibri"/>
              </w:rPr>
            </w:pPr>
            <w:r w:rsidRPr="00AA4AC6">
              <w:rPr>
                <w:rFonts w:eastAsia="Calibri"/>
              </w:rPr>
              <w:t xml:space="preserve">Pasākuma ietvaros atbalstu paredzēts sniegt sabiedriskā pakalpojuma sniedzējiem </w:t>
            </w:r>
            <w:r w:rsidRPr="004F06D7">
              <w:rPr>
                <w:rFonts w:eastAsia="Calibri"/>
              </w:rPr>
              <w:t>(pasažieru pārvadājumu nodrošināšanai pilsētās</w:t>
            </w:r>
            <w:r w:rsidR="004F06D7" w:rsidRPr="004F06D7">
              <w:rPr>
                <w:rFonts w:eastAsia="Calibri"/>
              </w:rPr>
              <w:t xml:space="preserve"> un reģionāl</w:t>
            </w:r>
            <w:r w:rsidR="002D5802">
              <w:rPr>
                <w:rFonts w:eastAsia="Calibri"/>
              </w:rPr>
              <w:t>ā</w:t>
            </w:r>
            <w:r w:rsidR="004F06D7" w:rsidRPr="004F06D7">
              <w:rPr>
                <w:rFonts w:eastAsia="Calibri"/>
              </w:rPr>
              <w:t>s nozīmes maršrutos</w:t>
            </w:r>
            <w:r w:rsidRPr="004F06D7">
              <w:rPr>
                <w:rFonts w:eastAsia="Calibri"/>
              </w:rPr>
              <w:t>),</w:t>
            </w:r>
            <w:r w:rsidRPr="00AA4AC6">
              <w:rPr>
                <w:rFonts w:eastAsia="Calibri"/>
              </w:rPr>
              <w:t xml:space="preserve"> kuriem ir noslēgti sabiedrisko pakalpojumu nodrošināšanas līgumi, kas atbilst Regul</w:t>
            </w:r>
            <w:r w:rsidR="000D46B2">
              <w:rPr>
                <w:rFonts w:eastAsia="Calibri"/>
              </w:rPr>
              <w:t>ā</w:t>
            </w:r>
            <w:r w:rsidRPr="00AA4AC6">
              <w:rPr>
                <w:rFonts w:eastAsia="Calibri"/>
              </w:rPr>
              <w:t xml:space="preserve"> Nr.1370/2007 izvirzītajiem nosacījumiem.</w:t>
            </w:r>
          </w:p>
          <w:p w14:paraId="5C255C86" w14:textId="523CB4C6" w:rsidR="00C44DD7" w:rsidRPr="00AA4AC6" w:rsidRDefault="004E7871" w:rsidP="00AA4AC6">
            <w:pPr>
              <w:spacing w:before="120" w:after="120"/>
              <w:jc w:val="both"/>
              <w:rPr>
                <w:rFonts w:eastAsia="Calibri"/>
              </w:rPr>
            </w:pPr>
            <w:r w:rsidRPr="004E7871">
              <w:rPr>
                <w:rFonts w:eastAsia="Calibri"/>
              </w:rPr>
              <w:t>Finansējuma saņēmēji nodrošina, ka sabiedriskā transporta</w:t>
            </w:r>
            <w:r w:rsidR="008E394F">
              <w:rPr>
                <w:rFonts w:eastAsia="Calibri"/>
              </w:rPr>
              <w:t xml:space="preserve"> </w:t>
            </w:r>
            <w:r w:rsidR="008E394F" w:rsidRPr="008E394F">
              <w:rPr>
                <w:rFonts w:eastAsia="Calibri"/>
              </w:rPr>
              <w:t>pakalpojumu sniegšanas līgumi ir saderīgi ar Regulas Nr. 1370/2007 4.pantā minētajiem nosacījumiem, un ka šo līgumu piešķiršanas un pagarināšanas (ja attiecināms) procedūrā ir ievēroti vienlīdzīgas attieksmes principi.</w:t>
            </w:r>
            <w:r w:rsidR="008E394F">
              <w:t xml:space="preserve"> </w:t>
            </w:r>
            <w:r w:rsidR="008E394F" w:rsidRPr="008E394F">
              <w:rPr>
                <w:rFonts w:eastAsia="Calibri"/>
              </w:rPr>
              <w:t>Pieņemot lēmumu par sabiedrisko pakalpojumu līguma termiņa pagarināšanu par 50%, jāņem vērā šādi apsvērumi: sabiedrisko pakalpojumu līgumā jāparedz, ka pakalpojumu sniedzējam jāiegulda līdzekļi aktīvos, piemēram, ritošajā sastāvā, tehniskās apkopes iekārtās vai infrastruktūrā, kuru amortizācijas periods ir ārkārtīgi ilgs. Kompetentā iestāde par līguma termiņa pagarināšanu izlems pirms jauna līguma slēgšanas tiesību piešķiršanas. Ja par termiņa pagarināšanu jāizlemj līguma darbības laikā, jo paredzētie ieguldījumi jaunā ritošajā sastāvā nav veikti līguma termiņa sākumā, bet, piemēram, tehnisku iemeslu dēļ, vēlākā laikposmā, šādu iespēju skaidri norāda konkursa dokumentācijā un pienācīgi atspoguļo kompensācijas noteikumos. Kopējais līguma termiņa pagarinājums nekādā gadījumā nedrīkst pārsniegt 50% no termiņa ilguma, kas noteikts Regulas Nr. 1370/2007</w:t>
            </w:r>
            <w:r w:rsidR="009D40A1">
              <w:rPr>
                <w:rFonts w:eastAsia="Calibri"/>
              </w:rPr>
              <w:t xml:space="preserve"> </w:t>
            </w:r>
            <w:r w:rsidR="008E394F" w:rsidRPr="008E394F">
              <w:rPr>
                <w:rFonts w:eastAsia="Calibri"/>
              </w:rPr>
              <w:t>4. panta 4. punktā.</w:t>
            </w:r>
            <w:r w:rsidR="00CF0483">
              <w:rPr>
                <w:rFonts w:eastAsia="Calibri"/>
              </w:rPr>
              <w:t xml:space="preserve"> </w:t>
            </w:r>
            <w:r w:rsidR="008E394F" w:rsidRPr="008E394F">
              <w:rPr>
                <w:rFonts w:eastAsia="Calibri"/>
              </w:rPr>
              <w:t>Savukārt, ar pakalpojumu sniedzēja ieguldījumiem aktīvos tiek saprasti tādi pakalpojumu sniedzēja ieguldījumi, kurus tas ir veicis no tādiem resursiem, kas nav saistīti ar atbalstu no publiskiem resursiem, bet ir privāti, piemēram, aizņēmums uz komerciāliem nosacījumiem, uzņēmuma pašu līdzekļi.</w:t>
            </w:r>
          </w:p>
          <w:p w14:paraId="0EFE9162" w14:textId="151142CF" w:rsidR="00830983" w:rsidRPr="00A62301" w:rsidRDefault="00830983" w:rsidP="00B62FB7">
            <w:pPr>
              <w:spacing w:after="120"/>
              <w:jc w:val="both"/>
            </w:pPr>
            <w:r w:rsidRPr="00A62301">
              <w:t>F</w:t>
            </w:r>
            <w:r w:rsidRPr="00A62301">
              <w:rPr>
                <w:bCs/>
              </w:rPr>
              <w:t xml:space="preserve">inansējums elektrovilcienu iegādei tiks piešķirts esošā Pārvadājuma pasūtījuma līguma ietvaros. </w:t>
            </w:r>
            <w:r w:rsidRPr="00A62301">
              <w:t>Pārvadājuma pasūtījuma līgums ir noslēgts un visas kompensācijas izmaksas ir aprēķinātas, ievērojot Regula</w:t>
            </w:r>
            <w:r w:rsidR="009D40A1">
              <w:t>s</w:t>
            </w:r>
            <w:r w:rsidRPr="00A62301">
              <w:t xml:space="preserve"> Nr. 1370/2007 </w:t>
            </w:r>
            <w:r w:rsidRPr="00A62301">
              <w:lastRenderedPageBreak/>
              <w:t xml:space="preserve">nosacījumus. </w:t>
            </w:r>
          </w:p>
          <w:p w14:paraId="571C1446" w14:textId="768843F3" w:rsidR="00830983" w:rsidRDefault="00AA4AC6" w:rsidP="00B62FB7">
            <w:pPr>
              <w:spacing w:after="120"/>
              <w:jc w:val="both"/>
            </w:pPr>
            <w:r>
              <w:rPr>
                <w:bCs/>
              </w:rPr>
              <w:t>A</w:t>
            </w:r>
            <w:r w:rsidR="00830983" w:rsidRPr="00A62301">
              <w:rPr>
                <w:bCs/>
              </w:rPr>
              <w:t>tbilstoši spēkā esošajā līgumā par sabiedriskā transporta pakalpojumu sniegšanu reģionāl</w:t>
            </w:r>
            <w:r w:rsidR="002D5802">
              <w:rPr>
                <w:bCs/>
              </w:rPr>
              <w:t>ās</w:t>
            </w:r>
            <w:r w:rsidR="00830983" w:rsidRPr="00A62301">
              <w:rPr>
                <w:bCs/>
              </w:rPr>
              <w:t xml:space="preserve"> nozīmes maršrutos pa dzelzceļu noteiktajam, nepiešķirot Pārvadātājam (</w:t>
            </w:r>
            <w:r w:rsidR="008C51F7">
              <w:rPr>
                <w:bCs/>
              </w:rPr>
              <w:t>akciju sabiedrība</w:t>
            </w:r>
            <w:r w:rsidR="00830983" w:rsidRPr="00A62301">
              <w:rPr>
                <w:bCs/>
              </w:rPr>
              <w:t xml:space="preserve"> “Pasažieru vilciens”) no jauna tiesības sniegt sabiedriskā transporta pakalpojumus reģionāl</w:t>
            </w:r>
            <w:r w:rsidR="002D5802">
              <w:rPr>
                <w:bCs/>
              </w:rPr>
              <w:t>ā</w:t>
            </w:r>
            <w:r w:rsidR="00830983" w:rsidRPr="00A62301">
              <w:rPr>
                <w:bCs/>
              </w:rPr>
              <w:t>s nozīmes maršrutos pa dzelzceļu līdzvērtīgā apjomā,</w:t>
            </w:r>
            <w:r w:rsidR="00CF0483">
              <w:rPr>
                <w:bCs/>
              </w:rPr>
              <w:t xml:space="preserve"> </w:t>
            </w:r>
            <w:r w:rsidR="00830983" w:rsidRPr="00A62301">
              <w:rPr>
                <w:bCs/>
              </w:rPr>
              <w:t>Pasūtītājs (</w:t>
            </w:r>
            <w:r w:rsidR="008C51F7">
              <w:rPr>
                <w:bCs/>
              </w:rPr>
              <w:t>valsts sabiedrība ar ierobežotu atbildību</w:t>
            </w:r>
            <w:r w:rsidR="00830983" w:rsidRPr="00A62301">
              <w:rPr>
                <w:bCs/>
              </w:rPr>
              <w:t xml:space="preserve"> “Autotransporta direkcija”) veic nepieciešamās darbības, </w:t>
            </w:r>
            <w:r w:rsidR="00830983" w:rsidRPr="00A62301">
              <w:t>ievērojot normatīvajos aktos noteiktās procedūras, kas nodrošina, ka sabiedriskā transporta pakalpojumu reģionāl</w:t>
            </w:r>
            <w:r w:rsidR="002D5802">
              <w:t>ā</w:t>
            </w:r>
            <w:r w:rsidR="00830983" w:rsidRPr="00A62301">
              <w:t>s nozīmes maršrutos pa dzelzceļu līdzvērtīgā apjomā sniegšanai tiek piesaistīts cits pakalpojuma sniedzējs (operators) ar nosacījumu, ka tas pārņem īpašumtiesības uz jauno ritošo sastāvu un no tām izrietošās visas Pārvadātāja saistības (tiesības un pienākumus), kas ir attiecināmas uz jauna ritošā sastāva iegādi.</w:t>
            </w:r>
          </w:p>
          <w:p w14:paraId="23219CF2" w14:textId="5EBA595D" w:rsidR="00830983" w:rsidRDefault="00830983" w:rsidP="00C6370F">
            <w:pPr>
              <w:spacing w:after="130"/>
              <w:jc w:val="both"/>
            </w:pPr>
            <w:r w:rsidRPr="00830983">
              <w:t>Līdz ar to nepieciešams veikt attiecīgus grozījumus MK noteikumo</w:t>
            </w:r>
            <w:r w:rsidR="00900363">
              <w:t xml:space="preserve">s, </w:t>
            </w:r>
            <w:r w:rsidR="00C44DD7">
              <w:t>kuri</w:t>
            </w:r>
            <w:r w:rsidR="00900363">
              <w:t xml:space="preserve"> paredz </w:t>
            </w:r>
            <w:r w:rsidR="00B62FB7">
              <w:t>-</w:t>
            </w:r>
            <w:r w:rsidR="00C44DD7">
              <w:t xml:space="preserve"> ja</w:t>
            </w:r>
            <w:r w:rsidR="00CF0483">
              <w:t xml:space="preserve"> </w:t>
            </w:r>
            <w:r w:rsidR="00C44DD7" w:rsidRPr="00C44DD7">
              <w:t>sabiedriskā transporta pakalpojuma sniegšanas līguma darbības termiņš neietver</w:t>
            </w:r>
            <w:r w:rsidR="00C44DD7">
              <w:t xml:space="preserve"> MK noteikumos </w:t>
            </w:r>
            <w:r w:rsidR="00C44DD7" w:rsidRPr="00C44DD7">
              <w:t>minēto termiņu par sasniegto rezultātu ilgtspēju pēc projekta pabeigšanas</w:t>
            </w:r>
            <w:r w:rsidR="00C44DD7">
              <w:t xml:space="preserve">, projekta iesniedzējs nodrošina </w:t>
            </w:r>
            <w:r w:rsidR="00C44DD7" w:rsidRPr="00C44DD7">
              <w:t>sabiedriskā transporta pakalpojuma sniegšanas līguma darbības termiņ</w:t>
            </w:r>
            <w:r w:rsidR="00C44DD7">
              <w:t>a pagarinājumu</w:t>
            </w:r>
            <w:r w:rsidR="00C44DD7" w:rsidRPr="00C44DD7">
              <w:t xml:space="preserve"> atbilstoši Regulas Nr. 1370/2007 4. panta nosacījumiem</w:t>
            </w:r>
            <w:r w:rsidR="00C44DD7">
              <w:t xml:space="preserve"> vai </w:t>
            </w:r>
            <w:r w:rsidR="00C44DD7" w:rsidRPr="00C44DD7">
              <w:t>nodod iegādātos pamatlīdzekļus</w:t>
            </w:r>
            <w:r w:rsidR="00C44DD7">
              <w:t xml:space="preserve"> sadarbības partnerim (</w:t>
            </w:r>
            <w:r w:rsidR="00C44DD7" w:rsidRPr="00C44DD7">
              <w:t>pašvaldībai vai valsts sabiedrībai ar ierobežotu atbildību “Autotransporta direkcija”</w:t>
            </w:r>
            <w:r w:rsidR="00C44DD7">
              <w:t>).</w:t>
            </w:r>
          </w:p>
          <w:p w14:paraId="53B1354C" w14:textId="0D1449CF" w:rsidR="00CA339B" w:rsidRDefault="008E394F" w:rsidP="00C6370F">
            <w:pPr>
              <w:spacing w:after="130"/>
              <w:jc w:val="both"/>
            </w:pPr>
            <w:r w:rsidRPr="008E394F">
              <w:t>Ņemot vērā minēto</w:t>
            </w:r>
            <w:r w:rsidR="003C0ED9">
              <w:t>,</w:t>
            </w:r>
            <w:r w:rsidRPr="008E394F">
              <w:t xml:space="preserve"> MK noteikumu projekts paredz</w:t>
            </w:r>
            <w:r>
              <w:t>:</w:t>
            </w:r>
          </w:p>
          <w:p w14:paraId="5144704A" w14:textId="6C494BCA" w:rsidR="009D40A1" w:rsidRPr="009D40A1" w:rsidRDefault="009D40A1" w:rsidP="009D40A1">
            <w:pPr>
              <w:pStyle w:val="ListParagraph"/>
              <w:numPr>
                <w:ilvl w:val="0"/>
                <w:numId w:val="38"/>
              </w:numPr>
              <w:spacing w:after="120"/>
              <w:ind w:left="357" w:hanging="357"/>
              <w:contextualSpacing w:val="0"/>
              <w:jc w:val="both"/>
            </w:pPr>
            <w:r w:rsidRPr="009D40A1">
              <w:t xml:space="preserve">noteikt, ja sabiedriskā transporta pakalpojuma sniegšanas līguma darbības termiņš ir īsāks par sasniegto rezultātu ilgtspējas termiņu, finansējuma saņēmējs nodrošina, ka </w:t>
            </w:r>
            <w:r w:rsidRPr="009D40A1">
              <w:rPr>
                <w:bCs/>
              </w:rPr>
              <w:t>sabiedriskā transporta pakalpojuma sniedzējs, kuram ir līgums ar pašvaldību vai valsts sabiedrību ar ierobežotu atbildību “Autotransporta direkcija”:</w:t>
            </w:r>
          </w:p>
          <w:p w14:paraId="4994A332" w14:textId="77777777" w:rsidR="009D40A1" w:rsidRPr="009D40A1" w:rsidRDefault="009D40A1" w:rsidP="009D40A1">
            <w:pPr>
              <w:pStyle w:val="ListParagraph"/>
              <w:numPr>
                <w:ilvl w:val="0"/>
                <w:numId w:val="39"/>
              </w:numPr>
              <w:spacing w:after="130"/>
              <w:jc w:val="both"/>
            </w:pPr>
            <w:r w:rsidRPr="009D40A1">
              <w:rPr>
                <w:bCs/>
              </w:rPr>
              <w:t>pagarina līguma darbības termiņu atbilstoši Regulas Nr. 1370/2007 4. panta nosacījumiem (ja attiecināms), vai</w:t>
            </w:r>
          </w:p>
          <w:p w14:paraId="6645869C" w14:textId="77777777" w:rsidR="009D40A1" w:rsidRPr="009D40A1" w:rsidRDefault="009D40A1" w:rsidP="009D40A1">
            <w:pPr>
              <w:pStyle w:val="ListParagraph"/>
              <w:numPr>
                <w:ilvl w:val="0"/>
                <w:numId w:val="39"/>
              </w:numPr>
              <w:spacing w:after="120"/>
              <w:ind w:left="714" w:hanging="357"/>
              <w:contextualSpacing w:val="0"/>
              <w:jc w:val="both"/>
            </w:pPr>
            <w:r w:rsidRPr="009D40A1">
              <w:rPr>
                <w:bCs/>
              </w:rPr>
              <w:t>pašvaldība vai valsts sabiedrība ar ierobežotu atbildību “Autotransporta direkcija” nodrošina sabiedriskā transporta pakalpojumu pieejamību, izmantojot projekta ietvaros iegādātos pamatlīdzekļus.</w:t>
            </w:r>
          </w:p>
          <w:p w14:paraId="5E6054FA" w14:textId="021EA269" w:rsidR="009D40A1" w:rsidRDefault="009D40A1" w:rsidP="009D40A1">
            <w:pPr>
              <w:pStyle w:val="ListParagraph"/>
              <w:numPr>
                <w:ilvl w:val="0"/>
                <w:numId w:val="38"/>
              </w:numPr>
              <w:spacing w:after="130"/>
              <w:jc w:val="both"/>
            </w:pPr>
            <w:r w:rsidRPr="009D40A1">
              <w:t xml:space="preserve">noteikt, ja sabiedriskā transporta pakalpojuma sniegšanas līguma darbības termiņš ir īsāks par sasniegto rezultātu ilgtspējas termiņu, finansējuma saņēmējs nodrošina, ka sabiedriskā transporta pakalpojuma sniedzējs nodod </w:t>
            </w:r>
            <w:r w:rsidRPr="009D40A1">
              <w:lastRenderedPageBreak/>
              <w:t>iegādātos pamatlīdzekļus pašvaldībai vai valsts sabiedrībai ar ierobežotu atbildību “Autotransporta direkcija”.</w:t>
            </w:r>
          </w:p>
          <w:p w14:paraId="2C5368C6" w14:textId="5946CA90" w:rsidR="00145545" w:rsidRDefault="00145545" w:rsidP="00145545">
            <w:pPr>
              <w:spacing w:before="120" w:after="120"/>
              <w:rPr>
                <w:rFonts w:eastAsia="Calibri"/>
                <w:i/>
                <w:iCs/>
              </w:rPr>
            </w:pPr>
            <w:r>
              <w:rPr>
                <w:rFonts w:eastAsia="Calibri"/>
                <w:i/>
                <w:iCs/>
              </w:rPr>
              <w:t>4.5.1.1. pasākumā plānoto projektu īstenošanas termiņ</w:t>
            </w:r>
            <w:r w:rsidR="006911CF">
              <w:rPr>
                <w:rFonts w:eastAsia="Calibri"/>
                <w:i/>
                <w:iCs/>
              </w:rPr>
              <w:t>š</w:t>
            </w:r>
          </w:p>
          <w:p w14:paraId="69C736E7" w14:textId="68FF91BB" w:rsidR="00AE2E0E" w:rsidRPr="00243D28" w:rsidRDefault="004A62C5" w:rsidP="006911CF">
            <w:pPr>
              <w:spacing w:after="120"/>
              <w:jc w:val="both"/>
            </w:pPr>
            <w:r>
              <w:t>4.5.1.1.pasākuma otrās atlases kārtas ietvaros plānoto</w:t>
            </w:r>
            <w:r w:rsidR="006B6B51">
              <w:t>s</w:t>
            </w:r>
            <w:r>
              <w:t xml:space="preserve"> </w:t>
            </w:r>
            <w:r w:rsidRPr="004A62C5">
              <w:t>Daugavpils un Liepājas tramvaju infrastruktūras attīstības projekt</w:t>
            </w:r>
            <w:r>
              <w:t>u</w:t>
            </w:r>
            <w:r w:rsidR="001B23C4">
              <w:t>s</w:t>
            </w:r>
            <w:r>
              <w:t xml:space="preserve"> ir plānots</w:t>
            </w:r>
            <w:r w:rsidR="001B23C4">
              <w:t xml:space="preserve"> pabeigt</w:t>
            </w:r>
            <w:r>
              <w:t xml:space="preserve"> indikatīvi līdz 2023.gada 3.ceturksnim. 4.5.1.1.pasākuma trešās atlases kārtas ietvaros plānotā </w:t>
            </w:r>
            <w:r w:rsidR="00DD6834">
              <w:t>lielā projekta “</w:t>
            </w:r>
            <w:r w:rsidR="00DD6834" w:rsidRPr="00D06CD1">
              <w:t>Rīgas un Pierīgas pasažieru pārvadājumu nodrošināšanai nepieciešamo elektrovilcienu iegāde</w:t>
            </w:r>
            <w:r w:rsidR="00DD6834">
              <w:t>” darbības turpināsies līdz 2023.gadam.</w:t>
            </w:r>
            <w:r w:rsidRPr="004A62C5">
              <w:t xml:space="preserve"> </w:t>
            </w:r>
            <w:r w:rsidR="006911CF" w:rsidRPr="008E394F">
              <w:t>MK noteikumu projekts paredz</w:t>
            </w:r>
            <w:r w:rsidR="006911CF" w:rsidRPr="009D40A1">
              <w:t xml:space="preserve"> noteikt, ka 4.5.1.1. pasākuma ietvaros projektus īsteno ne ilgāk kā līdz 2023.gada 31.decembrim</w:t>
            </w:r>
            <w:r w:rsidR="006911CF">
              <w:t>, tādējādi mazinot projektu darbību ieviešanas aizkavēšanās risku. 4.5.1.1.pasākuma projektu īstenošanas beigu termiņš ir noteikts,</w:t>
            </w:r>
            <w:r w:rsidR="00FE401F">
              <w:t xml:space="preserve"> ievērojot </w:t>
            </w:r>
            <w:r w:rsidR="00FE401F" w:rsidRPr="00FE401F">
              <w:t>Eiropas Parlamenta un Padomes Regul</w:t>
            </w:r>
            <w:r w:rsidR="00FE401F">
              <w:t>as Nr.</w:t>
            </w:r>
            <w:r w:rsidR="00DD6834" w:rsidRPr="00FE401F">
              <w:t>1303</w:t>
            </w:r>
            <w:r w:rsidR="00DD6834">
              <w:t>/2013</w:t>
            </w:r>
            <w:r w:rsidR="00FE401F">
              <w:rPr>
                <w:rStyle w:val="FootnoteReference"/>
              </w:rPr>
              <w:footnoteReference w:id="14"/>
            </w:r>
            <w:r w:rsidR="00DD6834">
              <w:t xml:space="preserve"> </w:t>
            </w:r>
            <w:r w:rsidR="00FE401F">
              <w:t xml:space="preserve">65.panta 2.punktā noteikto izdevumu </w:t>
            </w:r>
            <w:proofErr w:type="spellStart"/>
            <w:r w:rsidR="00FE401F">
              <w:t>attiecināmības</w:t>
            </w:r>
            <w:proofErr w:type="spellEnd"/>
            <w:r w:rsidR="00FE401F">
              <w:t xml:space="preserve"> beigu termiņu</w:t>
            </w:r>
            <w:r w:rsidR="006911CF">
              <w:t>.</w:t>
            </w:r>
            <w:bookmarkEnd w:id="0"/>
          </w:p>
        </w:tc>
      </w:tr>
      <w:tr w:rsidR="00E378CC" w:rsidRPr="00243D28" w14:paraId="1C99DDDA" w14:textId="77777777" w:rsidTr="00E378CC">
        <w:tc>
          <w:tcPr>
            <w:tcW w:w="271" w:type="pct"/>
            <w:shd w:val="clear" w:color="auto" w:fill="FFFFFF"/>
          </w:tcPr>
          <w:p w14:paraId="6BD151C8" w14:textId="77777777" w:rsidR="00E378CC" w:rsidRDefault="00E378CC" w:rsidP="00E378CC">
            <w:pPr>
              <w:jc w:val="center"/>
            </w:pPr>
            <w:r w:rsidRPr="00243D28">
              <w:lastRenderedPageBreak/>
              <w:t>3.</w:t>
            </w:r>
          </w:p>
          <w:p w14:paraId="331E077C" w14:textId="031F88D7" w:rsidR="00830983" w:rsidRPr="00243D28" w:rsidRDefault="00830983" w:rsidP="00E378CC">
            <w:pPr>
              <w:jc w:val="center"/>
              <w:rPr>
                <w:iCs/>
                <w:lang w:eastAsia="en-US"/>
              </w:rPr>
            </w:pPr>
          </w:p>
        </w:tc>
        <w:tc>
          <w:tcPr>
            <w:tcW w:w="1186" w:type="pct"/>
            <w:shd w:val="clear" w:color="auto" w:fill="FFFFFF"/>
          </w:tcPr>
          <w:p w14:paraId="3787030C" w14:textId="4D89EB51" w:rsidR="00E378CC" w:rsidRPr="00243D28" w:rsidRDefault="00E378CC" w:rsidP="00E378CC">
            <w:pPr>
              <w:rPr>
                <w:iCs/>
                <w:lang w:eastAsia="en-US"/>
              </w:rPr>
            </w:pPr>
            <w:r w:rsidRPr="00243D28">
              <w:t>Projekta izstrādē iesaistītās institūcijas un publiskas personas kapitālsabiedrības</w:t>
            </w:r>
          </w:p>
        </w:tc>
        <w:tc>
          <w:tcPr>
            <w:tcW w:w="3542" w:type="pct"/>
            <w:shd w:val="clear" w:color="auto" w:fill="FFFFFF"/>
          </w:tcPr>
          <w:p w14:paraId="11DB0139" w14:textId="050C9943" w:rsidR="00BA6DD4" w:rsidRDefault="00E378CC" w:rsidP="00E378CC">
            <w:r w:rsidRPr="00243D28">
              <w:t>Satiksmes ministrija</w:t>
            </w:r>
            <w:r w:rsidR="002718A4">
              <w:t xml:space="preserve">, </w:t>
            </w:r>
            <w:r w:rsidR="00BA6DD4">
              <w:t>Centrālā finanšu un līgumu aģentūra</w:t>
            </w:r>
            <w:r w:rsidR="002718A4">
              <w:t>.</w:t>
            </w:r>
          </w:p>
          <w:p w14:paraId="518CAB71" w14:textId="28319983" w:rsidR="00BA6DD4" w:rsidRPr="00BA6DD4" w:rsidRDefault="00BA6DD4" w:rsidP="00E378CC">
            <w:pPr>
              <w:rPr>
                <w:lang w:eastAsia="en-US"/>
              </w:rPr>
            </w:pPr>
          </w:p>
        </w:tc>
      </w:tr>
      <w:tr w:rsidR="00E378CC" w:rsidRPr="00243D28" w14:paraId="79940D9E" w14:textId="77777777" w:rsidTr="00E378CC">
        <w:tc>
          <w:tcPr>
            <w:tcW w:w="271" w:type="pct"/>
            <w:shd w:val="clear" w:color="auto" w:fill="FFFFFF"/>
          </w:tcPr>
          <w:p w14:paraId="25C3759D" w14:textId="30311D82" w:rsidR="00E378CC" w:rsidRPr="00243D28" w:rsidRDefault="00E378CC" w:rsidP="00E378CC">
            <w:pPr>
              <w:jc w:val="center"/>
              <w:rPr>
                <w:iCs/>
                <w:lang w:eastAsia="en-US"/>
              </w:rPr>
            </w:pPr>
            <w:r w:rsidRPr="00243D28">
              <w:t>4.</w:t>
            </w:r>
          </w:p>
        </w:tc>
        <w:tc>
          <w:tcPr>
            <w:tcW w:w="1186" w:type="pct"/>
            <w:shd w:val="clear" w:color="auto" w:fill="FFFFFF"/>
          </w:tcPr>
          <w:p w14:paraId="3952E7E2" w14:textId="6745CD0E" w:rsidR="00E378CC" w:rsidRPr="00243D28" w:rsidRDefault="00E378CC" w:rsidP="00E378CC">
            <w:pPr>
              <w:rPr>
                <w:iCs/>
                <w:lang w:eastAsia="en-US"/>
              </w:rPr>
            </w:pPr>
            <w:r w:rsidRPr="00243D28">
              <w:t>Cita informācija</w:t>
            </w:r>
          </w:p>
        </w:tc>
        <w:tc>
          <w:tcPr>
            <w:tcW w:w="3542" w:type="pct"/>
            <w:shd w:val="clear" w:color="auto" w:fill="FFFFFF"/>
          </w:tcPr>
          <w:p w14:paraId="3C96A065" w14:textId="498A161F" w:rsidR="00E378CC" w:rsidRPr="00243D28" w:rsidRDefault="009D40A1" w:rsidP="00CC1804">
            <w:pPr>
              <w:pStyle w:val="Title"/>
              <w:spacing w:line="260" w:lineRule="exact"/>
              <w:jc w:val="both"/>
              <w:rPr>
                <w:sz w:val="24"/>
                <w:szCs w:val="24"/>
              </w:rPr>
            </w:pPr>
            <w:r>
              <w:rPr>
                <w:sz w:val="24"/>
                <w:szCs w:val="24"/>
              </w:rPr>
              <w:t>Nav.</w:t>
            </w:r>
          </w:p>
        </w:tc>
      </w:tr>
    </w:tbl>
    <w:p w14:paraId="301EFF0B" w14:textId="1E0DEEB6" w:rsidR="00895A59" w:rsidRPr="00243D28"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00E378CC" w:rsidRPr="00243D28" w14:paraId="345F0A75" w14:textId="77777777" w:rsidTr="00E378CC">
        <w:tc>
          <w:tcPr>
            <w:tcW w:w="5000" w:type="pct"/>
            <w:gridSpan w:val="3"/>
            <w:shd w:val="clear" w:color="auto" w:fill="FFFFFF"/>
          </w:tcPr>
          <w:p w14:paraId="63DD1AEE" w14:textId="1BE20CE2" w:rsidR="00E378CC" w:rsidRPr="00243D28" w:rsidRDefault="00E378CC" w:rsidP="00E378CC">
            <w:pPr>
              <w:jc w:val="center"/>
              <w:rPr>
                <w:i/>
                <w:iCs/>
                <w:lang w:eastAsia="en-US"/>
              </w:rPr>
            </w:pPr>
            <w:r w:rsidRPr="00243D28">
              <w:rPr>
                <w:b/>
              </w:rPr>
              <w:t>II. Tiesību akta projekta ietekme uz sabiedrību, tautsaimniecības attīstību un administratīvo slogu</w:t>
            </w:r>
          </w:p>
        </w:tc>
      </w:tr>
      <w:tr w:rsidR="00E378CC" w:rsidRPr="00243D28" w14:paraId="750DEE11" w14:textId="77777777" w:rsidTr="00E378CC">
        <w:tc>
          <w:tcPr>
            <w:tcW w:w="271" w:type="pct"/>
            <w:shd w:val="clear" w:color="auto" w:fill="FFFFFF"/>
          </w:tcPr>
          <w:p w14:paraId="4EB4D909" w14:textId="5781E706" w:rsidR="00E378CC" w:rsidRPr="00243D28" w:rsidRDefault="00E378CC" w:rsidP="00E378CC">
            <w:pPr>
              <w:jc w:val="center"/>
              <w:rPr>
                <w:iCs/>
                <w:lang w:eastAsia="en-US"/>
              </w:rPr>
            </w:pPr>
            <w:r w:rsidRPr="00243D28">
              <w:t>1.</w:t>
            </w:r>
          </w:p>
        </w:tc>
        <w:tc>
          <w:tcPr>
            <w:tcW w:w="1186" w:type="pct"/>
            <w:shd w:val="clear" w:color="auto" w:fill="FFFFFF"/>
          </w:tcPr>
          <w:p w14:paraId="0AF71A78" w14:textId="2D88AA6C" w:rsidR="00E378CC" w:rsidRPr="00243D28" w:rsidRDefault="00E378CC" w:rsidP="00E378CC">
            <w:pPr>
              <w:rPr>
                <w:iCs/>
                <w:lang w:eastAsia="en-US"/>
              </w:rPr>
            </w:pPr>
            <w:r w:rsidRPr="00243D28">
              <w:t xml:space="preserve">Sabiedrības </w:t>
            </w:r>
            <w:proofErr w:type="spellStart"/>
            <w:r w:rsidRPr="00243D28">
              <w:t>mērķgrupas</w:t>
            </w:r>
            <w:proofErr w:type="spellEnd"/>
            <w:r w:rsidRPr="00243D28">
              <w:t>, kuras tiesiskais regulējums ietekmē vai varētu ietekmēt</w:t>
            </w:r>
          </w:p>
        </w:tc>
        <w:tc>
          <w:tcPr>
            <w:tcW w:w="3543" w:type="pct"/>
            <w:shd w:val="clear" w:color="auto" w:fill="FFFFFF"/>
          </w:tcPr>
          <w:p w14:paraId="44BF2C29" w14:textId="33334D0B" w:rsidR="00554A2D" w:rsidRPr="00243D28" w:rsidRDefault="004A6EBD" w:rsidP="00554A2D">
            <w:pPr>
              <w:jc w:val="both"/>
              <w:rPr>
                <w:i/>
                <w:iCs/>
                <w:lang w:eastAsia="en-US"/>
              </w:rPr>
            </w:pPr>
            <w:r w:rsidRPr="00243D28">
              <w:rPr>
                <w:bCs/>
                <w:lang w:eastAsia="en-US"/>
              </w:rPr>
              <w:t>Pasākuma mērķa teritoriju iedzīvotāji</w:t>
            </w:r>
            <w:r w:rsidR="00BA6DD4">
              <w:rPr>
                <w:bCs/>
                <w:lang w:eastAsia="en-US"/>
              </w:rPr>
              <w:t>, kuri izmanto sliežu transportu.</w:t>
            </w:r>
          </w:p>
        </w:tc>
      </w:tr>
      <w:tr w:rsidR="00E378CC" w:rsidRPr="00243D28" w14:paraId="37F3DA2A" w14:textId="77777777" w:rsidTr="00E378CC">
        <w:tc>
          <w:tcPr>
            <w:tcW w:w="271" w:type="pct"/>
            <w:shd w:val="clear" w:color="auto" w:fill="FFFFFF"/>
          </w:tcPr>
          <w:p w14:paraId="3437E2B7" w14:textId="3BED35AD" w:rsidR="00E378CC" w:rsidRPr="00243D28" w:rsidRDefault="00E378CC" w:rsidP="00E378CC">
            <w:pPr>
              <w:jc w:val="center"/>
              <w:rPr>
                <w:iCs/>
                <w:lang w:eastAsia="en-US"/>
              </w:rPr>
            </w:pPr>
            <w:r w:rsidRPr="00243D28">
              <w:t>2.</w:t>
            </w:r>
          </w:p>
        </w:tc>
        <w:tc>
          <w:tcPr>
            <w:tcW w:w="1186" w:type="pct"/>
            <w:shd w:val="clear" w:color="auto" w:fill="FFFFFF"/>
          </w:tcPr>
          <w:p w14:paraId="5F016111" w14:textId="1630F927" w:rsidR="00E378CC" w:rsidRPr="00243D28" w:rsidRDefault="00E378CC" w:rsidP="00E378CC">
            <w:pPr>
              <w:rPr>
                <w:iCs/>
                <w:lang w:eastAsia="en-US"/>
              </w:rPr>
            </w:pPr>
            <w:r w:rsidRPr="00243D28">
              <w:t>Tiesiskā regulējuma ietekme uz tautsaimniecību un administratīvo slogu</w:t>
            </w:r>
          </w:p>
        </w:tc>
        <w:tc>
          <w:tcPr>
            <w:tcW w:w="3543" w:type="pct"/>
            <w:shd w:val="clear" w:color="auto" w:fill="FFFFFF"/>
          </w:tcPr>
          <w:p w14:paraId="52F5BA2B" w14:textId="4F29D552" w:rsidR="00E378CC" w:rsidRPr="00243D28" w:rsidRDefault="00B856B2" w:rsidP="00882922">
            <w:pPr>
              <w:jc w:val="both"/>
              <w:rPr>
                <w:i/>
                <w:iCs/>
                <w:lang w:eastAsia="en-US"/>
              </w:rPr>
            </w:pPr>
            <w:r w:rsidRPr="00243D28">
              <w:t>Sabiedrības grupām un institūcijām projekta tiesiskais regulējums nemaina tiesības un pienākumus, kā arī veicamās darbības, līdz ar to netiek radīts papildu administratīvais slogs.</w:t>
            </w:r>
          </w:p>
        </w:tc>
      </w:tr>
      <w:tr w:rsidR="00E378CC" w:rsidRPr="00243D28" w14:paraId="5ADD735C" w14:textId="77777777" w:rsidTr="00E378CC">
        <w:tc>
          <w:tcPr>
            <w:tcW w:w="271" w:type="pct"/>
            <w:shd w:val="clear" w:color="auto" w:fill="FFFFFF"/>
          </w:tcPr>
          <w:p w14:paraId="42A191CC" w14:textId="0FF44747" w:rsidR="00E378CC" w:rsidRPr="00243D28" w:rsidRDefault="00E378CC" w:rsidP="00E378CC">
            <w:pPr>
              <w:jc w:val="center"/>
              <w:rPr>
                <w:iCs/>
                <w:lang w:eastAsia="en-US"/>
              </w:rPr>
            </w:pPr>
            <w:r w:rsidRPr="00243D28">
              <w:t>3.</w:t>
            </w:r>
          </w:p>
        </w:tc>
        <w:tc>
          <w:tcPr>
            <w:tcW w:w="1186" w:type="pct"/>
            <w:shd w:val="clear" w:color="auto" w:fill="FFFFFF"/>
          </w:tcPr>
          <w:p w14:paraId="4B632370" w14:textId="295F1AC7" w:rsidR="00E378CC" w:rsidRPr="00243D28" w:rsidRDefault="00E378CC" w:rsidP="00E378CC">
            <w:pPr>
              <w:rPr>
                <w:iCs/>
                <w:lang w:eastAsia="en-US"/>
              </w:rPr>
            </w:pPr>
            <w:r w:rsidRPr="00243D28">
              <w:t>Administratīvo izmaksu monetārs novērtējums</w:t>
            </w:r>
          </w:p>
        </w:tc>
        <w:tc>
          <w:tcPr>
            <w:tcW w:w="3543" w:type="pct"/>
            <w:shd w:val="clear" w:color="auto" w:fill="FFFFFF"/>
          </w:tcPr>
          <w:p w14:paraId="355361D8" w14:textId="40930FAC" w:rsidR="00E378CC" w:rsidRPr="00243D28" w:rsidRDefault="00E378CC" w:rsidP="00E378CC">
            <w:pPr>
              <w:rPr>
                <w:i/>
                <w:iCs/>
                <w:lang w:eastAsia="en-US"/>
              </w:rPr>
            </w:pPr>
            <w:r w:rsidRPr="00243D28">
              <w:t>Projekts šo jomu neskar.</w:t>
            </w:r>
          </w:p>
        </w:tc>
      </w:tr>
      <w:tr w:rsidR="00E378CC" w:rsidRPr="00243D28" w14:paraId="5ADA5533" w14:textId="77777777" w:rsidTr="00E378CC">
        <w:tc>
          <w:tcPr>
            <w:tcW w:w="271" w:type="pct"/>
            <w:shd w:val="clear" w:color="auto" w:fill="FFFFFF"/>
          </w:tcPr>
          <w:p w14:paraId="7660DD78" w14:textId="64CD08FB" w:rsidR="00E378CC" w:rsidRPr="00243D28" w:rsidRDefault="00E378CC" w:rsidP="00E378CC">
            <w:pPr>
              <w:jc w:val="center"/>
              <w:rPr>
                <w:iCs/>
                <w:lang w:eastAsia="en-US"/>
              </w:rPr>
            </w:pPr>
            <w:r w:rsidRPr="00243D28">
              <w:lastRenderedPageBreak/>
              <w:t>4.</w:t>
            </w:r>
          </w:p>
        </w:tc>
        <w:tc>
          <w:tcPr>
            <w:tcW w:w="1186" w:type="pct"/>
            <w:shd w:val="clear" w:color="auto" w:fill="FFFFFF"/>
          </w:tcPr>
          <w:p w14:paraId="7D1D3176" w14:textId="28DE7AAC" w:rsidR="00E378CC" w:rsidRPr="00243D28" w:rsidRDefault="00E378CC" w:rsidP="00E378CC">
            <w:pPr>
              <w:rPr>
                <w:iCs/>
                <w:lang w:eastAsia="en-US"/>
              </w:rPr>
            </w:pPr>
            <w:r w:rsidRPr="00243D28">
              <w:t>Atbilstības izmaksu monetārs novērtējums</w:t>
            </w:r>
          </w:p>
        </w:tc>
        <w:tc>
          <w:tcPr>
            <w:tcW w:w="3543" w:type="pct"/>
            <w:shd w:val="clear" w:color="auto" w:fill="FFFFFF"/>
          </w:tcPr>
          <w:p w14:paraId="63FF7938" w14:textId="7A14EB21" w:rsidR="00E378CC" w:rsidRPr="00243D28" w:rsidRDefault="00E378CC" w:rsidP="00E378CC">
            <w:pPr>
              <w:rPr>
                <w:i/>
                <w:iCs/>
                <w:lang w:eastAsia="en-US"/>
              </w:rPr>
            </w:pPr>
            <w:r w:rsidRPr="00243D28">
              <w:t>Projekts šo jomu neskar.</w:t>
            </w:r>
          </w:p>
        </w:tc>
      </w:tr>
      <w:tr w:rsidR="00E378CC" w:rsidRPr="00243D28" w14:paraId="66872CC1" w14:textId="77777777" w:rsidTr="00E378CC">
        <w:tc>
          <w:tcPr>
            <w:tcW w:w="271" w:type="pct"/>
            <w:shd w:val="clear" w:color="auto" w:fill="FFFFFF"/>
          </w:tcPr>
          <w:p w14:paraId="3DADF2BE" w14:textId="0F8D383E" w:rsidR="00E378CC" w:rsidRPr="00243D28" w:rsidRDefault="00E378CC" w:rsidP="00E378CC">
            <w:pPr>
              <w:jc w:val="center"/>
              <w:rPr>
                <w:iCs/>
                <w:lang w:eastAsia="en-US"/>
              </w:rPr>
            </w:pPr>
            <w:r w:rsidRPr="00243D28">
              <w:t>5.</w:t>
            </w:r>
          </w:p>
        </w:tc>
        <w:tc>
          <w:tcPr>
            <w:tcW w:w="1186" w:type="pct"/>
            <w:shd w:val="clear" w:color="auto" w:fill="FFFFFF"/>
          </w:tcPr>
          <w:p w14:paraId="554642C8" w14:textId="37B361B0" w:rsidR="00E378CC" w:rsidRPr="00243D28" w:rsidRDefault="00E378CC" w:rsidP="00E378CC">
            <w:pPr>
              <w:rPr>
                <w:iCs/>
                <w:lang w:eastAsia="en-US"/>
              </w:rPr>
            </w:pPr>
            <w:r w:rsidRPr="00243D28">
              <w:t>Cita informācija</w:t>
            </w:r>
          </w:p>
        </w:tc>
        <w:tc>
          <w:tcPr>
            <w:tcW w:w="3543" w:type="pct"/>
            <w:shd w:val="clear" w:color="auto" w:fill="FFFFFF"/>
          </w:tcPr>
          <w:p w14:paraId="037CD1BF" w14:textId="678DD2B7" w:rsidR="00E378CC" w:rsidRPr="00243D28" w:rsidRDefault="002C5E1C" w:rsidP="002C5E1C">
            <w:pPr>
              <w:jc w:val="both"/>
              <w:rPr>
                <w:i/>
                <w:iCs/>
                <w:lang w:eastAsia="en-US"/>
              </w:rPr>
            </w:pPr>
            <w:r w:rsidRPr="00243D28">
              <w:t xml:space="preserve">Tiesību akta projekta apstiprināšanas gadījumā tiks īstenoti projekti, kas, ņemot vērā to specifiku, samazinās siltumnīcefekta gāzu emisijas un enerģijas patēriņu, dodot ieguldījumu Latvijai obligātā enerģijas ietaupījumu mērķa sasniegšanā un Latvijas </w:t>
            </w:r>
            <w:proofErr w:type="spellStart"/>
            <w:r w:rsidRPr="00243D28">
              <w:t>energoatkarības</w:t>
            </w:r>
            <w:proofErr w:type="spellEnd"/>
            <w:r w:rsidRPr="00243D28">
              <w:t xml:space="preserve"> mazināšanā.</w:t>
            </w:r>
          </w:p>
        </w:tc>
      </w:tr>
    </w:tbl>
    <w:p w14:paraId="64FD1133" w14:textId="77777777" w:rsidR="0032632D" w:rsidRPr="00243D28" w:rsidRDefault="0032632D" w:rsidP="00B7209A">
      <w:pPr>
        <w:pStyle w:val="Title"/>
        <w:spacing w:before="130" w:line="260" w:lineRule="exact"/>
        <w:jc w:val="both"/>
        <w:rPr>
          <w:sz w:val="24"/>
          <w:szCs w:val="24"/>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1095"/>
        <w:gridCol w:w="1269"/>
        <w:gridCol w:w="1276"/>
      </w:tblGrid>
      <w:tr w:rsidR="00B7209A" w:rsidRPr="00243D28" w14:paraId="0A85452F" w14:textId="77777777" w:rsidTr="00580EB1">
        <w:trPr>
          <w:jc w:val="center"/>
        </w:trPr>
        <w:tc>
          <w:tcPr>
            <w:tcW w:w="89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00107C" w14:textId="26F398A6" w:rsidR="00B7209A" w:rsidRPr="00243D28" w:rsidRDefault="00B7209A" w:rsidP="005B47D9">
            <w:pPr>
              <w:jc w:val="center"/>
              <w:rPr>
                <w:sz w:val="20"/>
                <w:szCs w:val="20"/>
              </w:rPr>
            </w:pPr>
            <w:r w:rsidRPr="00243D28">
              <w:rPr>
                <w:b/>
              </w:rPr>
              <w:t>III. Tiesību akta projekta ietekme uz valsts budžetu un pašvaldību budžetiem</w:t>
            </w:r>
          </w:p>
        </w:tc>
      </w:tr>
      <w:tr w:rsidR="00B7209A" w:rsidRPr="00243D28" w14:paraId="387B0247" w14:textId="77777777" w:rsidTr="0032632D">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0EDE4" w14:textId="77777777" w:rsidR="00B7209A" w:rsidRPr="00243D28" w:rsidRDefault="00B7209A" w:rsidP="005B47D9">
            <w:pPr>
              <w:jc w:val="center"/>
              <w:rPr>
                <w:sz w:val="20"/>
                <w:szCs w:val="20"/>
              </w:rPr>
            </w:pPr>
            <w:r w:rsidRPr="00243D28">
              <w:rPr>
                <w:sz w:val="20"/>
                <w:szCs w:val="20"/>
              </w:rPr>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B302D8" w14:textId="195091E9" w:rsidR="00B7209A" w:rsidRPr="00243D28" w:rsidRDefault="00B7209A" w:rsidP="0032632D">
            <w:pPr>
              <w:jc w:val="center"/>
              <w:rPr>
                <w:sz w:val="20"/>
                <w:szCs w:val="20"/>
              </w:rPr>
            </w:pPr>
            <w:r w:rsidRPr="00243D28">
              <w:rPr>
                <w:sz w:val="20"/>
                <w:szCs w:val="20"/>
              </w:rPr>
              <w:t>2020.g.</w:t>
            </w:r>
          </w:p>
        </w:tc>
        <w:tc>
          <w:tcPr>
            <w:tcW w:w="5767" w:type="dxa"/>
            <w:gridSpan w:val="5"/>
            <w:tcBorders>
              <w:top w:val="single" w:sz="4" w:space="0" w:color="auto"/>
              <w:left w:val="single" w:sz="4" w:space="0" w:color="auto"/>
              <w:bottom w:val="single" w:sz="4" w:space="0" w:color="auto"/>
              <w:right w:val="single" w:sz="4" w:space="0" w:color="auto"/>
            </w:tcBorders>
            <w:shd w:val="clear" w:color="auto" w:fill="auto"/>
          </w:tcPr>
          <w:p w14:paraId="3C80E918" w14:textId="77777777" w:rsidR="00B7209A" w:rsidRPr="00243D28" w:rsidRDefault="00B7209A" w:rsidP="005B47D9">
            <w:pPr>
              <w:jc w:val="center"/>
              <w:rPr>
                <w:sz w:val="20"/>
                <w:szCs w:val="20"/>
              </w:rPr>
            </w:pPr>
            <w:r w:rsidRPr="00243D28">
              <w:rPr>
                <w:sz w:val="20"/>
                <w:szCs w:val="20"/>
              </w:rPr>
              <w:t>Turpmākie trīs gadi (</w:t>
            </w:r>
            <w:proofErr w:type="spellStart"/>
            <w:r w:rsidRPr="00243D28">
              <w:rPr>
                <w:i/>
                <w:sz w:val="20"/>
                <w:szCs w:val="20"/>
              </w:rPr>
              <w:t>euro</w:t>
            </w:r>
            <w:proofErr w:type="spellEnd"/>
            <w:r w:rsidRPr="00243D28">
              <w:rPr>
                <w:sz w:val="20"/>
                <w:szCs w:val="20"/>
              </w:rPr>
              <w:t>)</w:t>
            </w:r>
          </w:p>
        </w:tc>
      </w:tr>
      <w:tr w:rsidR="00B7209A" w:rsidRPr="00243D28" w14:paraId="59425958"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33F59" w14:textId="77777777" w:rsidR="00B7209A" w:rsidRPr="00243D28" w:rsidRDefault="00B7209A" w:rsidP="005B47D9">
            <w:pP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22635" w14:textId="77777777" w:rsidR="00B7209A" w:rsidRPr="00243D28" w:rsidRDefault="00B7209A" w:rsidP="005B47D9">
            <w:pP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306FD0" w14:textId="17E14D46" w:rsidR="00B7209A" w:rsidRPr="00243D28" w:rsidRDefault="00B7209A" w:rsidP="005B47D9">
            <w:pPr>
              <w:jc w:val="center"/>
              <w:rPr>
                <w:sz w:val="20"/>
                <w:szCs w:val="20"/>
              </w:rPr>
            </w:pPr>
            <w:r w:rsidRPr="00243D28">
              <w:rPr>
                <w:sz w:val="20"/>
                <w:szCs w:val="20"/>
              </w:rPr>
              <w:t>2021.g</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tcPr>
          <w:p w14:paraId="0A3E26A7" w14:textId="6B46E8CA" w:rsidR="00B7209A" w:rsidRPr="00243D28" w:rsidRDefault="00B7209A" w:rsidP="005B47D9">
            <w:pPr>
              <w:jc w:val="center"/>
              <w:rPr>
                <w:sz w:val="20"/>
                <w:szCs w:val="20"/>
              </w:rPr>
            </w:pPr>
            <w:r w:rsidRPr="00243D28">
              <w:rPr>
                <w:sz w:val="20"/>
                <w:szCs w:val="20"/>
              </w:rPr>
              <w:t>2022.g.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8EF7" w14:textId="0F13C797" w:rsidR="00B7209A" w:rsidRPr="00243D28" w:rsidRDefault="00B7209A" w:rsidP="005B47D9">
            <w:pPr>
              <w:jc w:val="center"/>
              <w:rPr>
                <w:sz w:val="20"/>
                <w:szCs w:val="20"/>
              </w:rPr>
            </w:pPr>
            <w:r w:rsidRPr="00243D28">
              <w:rPr>
                <w:sz w:val="20"/>
                <w:szCs w:val="20"/>
              </w:rPr>
              <w:t>2023.g.</w:t>
            </w:r>
          </w:p>
        </w:tc>
      </w:tr>
      <w:tr w:rsidR="00B7209A" w:rsidRPr="00243D28" w14:paraId="46BD2E55"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66F9" w14:textId="77777777" w:rsidR="00B7209A" w:rsidRPr="00243D28" w:rsidRDefault="00B7209A" w:rsidP="005B47D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9FD4EC6" w14:textId="77777777" w:rsidR="00B7209A" w:rsidRPr="00243D28" w:rsidRDefault="00B7209A" w:rsidP="005B47D9">
            <w:pPr>
              <w:jc w:val="center"/>
              <w:rPr>
                <w:sz w:val="20"/>
                <w:szCs w:val="20"/>
              </w:rPr>
            </w:pPr>
            <w:r w:rsidRPr="00243D28">
              <w:rPr>
                <w:sz w:val="20"/>
                <w:szCs w:val="20"/>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C3E67D" w14:textId="77777777" w:rsidR="00B7209A" w:rsidRPr="00243D28" w:rsidRDefault="00B7209A" w:rsidP="005B47D9">
            <w:pPr>
              <w:jc w:val="center"/>
              <w:rPr>
                <w:sz w:val="20"/>
                <w:szCs w:val="20"/>
              </w:rPr>
            </w:pPr>
            <w:r w:rsidRPr="00243D28">
              <w:rPr>
                <w:sz w:val="20"/>
                <w:szCs w:val="20"/>
              </w:rPr>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176DF3BF"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2CB1E9" w14:textId="20571540"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1</w:t>
            </w:r>
            <w:r w:rsidRPr="00243D28">
              <w:rPr>
                <w:sz w:val="20"/>
                <w:szCs w:val="20"/>
              </w:rPr>
              <w:t>. gadam</w:t>
            </w:r>
          </w:p>
        </w:tc>
        <w:tc>
          <w:tcPr>
            <w:tcW w:w="1095" w:type="dxa"/>
            <w:tcBorders>
              <w:top w:val="single" w:sz="4" w:space="0" w:color="auto"/>
              <w:left w:val="single" w:sz="4" w:space="0" w:color="auto"/>
              <w:bottom w:val="single" w:sz="4" w:space="0" w:color="auto"/>
              <w:right w:val="single" w:sz="4" w:space="0" w:color="auto"/>
            </w:tcBorders>
          </w:tcPr>
          <w:p w14:paraId="7DB23B71"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399F4B5F" w14:textId="2025D64E"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1B55F4" w14:textId="6D638112"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r>
      <w:tr w:rsidR="00B7209A" w:rsidRPr="00243D28" w14:paraId="5DE882F3"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51A9" w14:textId="77777777" w:rsidR="00B7209A" w:rsidRPr="00243D28" w:rsidRDefault="00B7209A" w:rsidP="005B47D9">
            <w:pPr>
              <w:jc w:val="center"/>
              <w:rPr>
                <w:sz w:val="20"/>
                <w:szCs w:val="20"/>
                <w:lang w:eastAsia="en-US"/>
              </w:rPr>
            </w:pPr>
            <w:r w:rsidRPr="00243D28">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B7FB" w14:textId="77777777" w:rsidR="00B7209A" w:rsidRPr="00243D28" w:rsidRDefault="00B7209A" w:rsidP="005B47D9">
            <w:pPr>
              <w:jc w:val="center"/>
              <w:rPr>
                <w:sz w:val="20"/>
                <w:szCs w:val="20"/>
                <w:lang w:eastAsia="en-US"/>
              </w:rPr>
            </w:pPr>
            <w:r w:rsidRPr="00243D28">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EE21" w14:textId="77777777" w:rsidR="00B7209A" w:rsidRPr="00243D28" w:rsidRDefault="00B7209A" w:rsidP="005B47D9">
            <w:pPr>
              <w:jc w:val="center"/>
              <w:rPr>
                <w:sz w:val="20"/>
                <w:szCs w:val="20"/>
                <w:lang w:eastAsia="en-US"/>
              </w:rPr>
            </w:pPr>
            <w:r w:rsidRPr="00243D28">
              <w:rPr>
                <w:sz w:val="20"/>
                <w:szCs w:val="20"/>
              </w:rPr>
              <w:t>3</w:t>
            </w:r>
          </w:p>
        </w:tc>
        <w:tc>
          <w:tcPr>
            <w:tcW w:w="993" w:type="dxa"/>
            <w:tcBorders>
              <w:top w:val="single" w:sz="4" w:space="0" w:color="auto"/>
              <w:left w:val="single" w:sz="4" w:space="0" w:color="auto"/>
              <w:bottom w:val="single" w:sz="4" w:space="0" w:color="auto"/>
              <w:right w:val="single" w:sz="4" w:space="0" w:color="auto"/>
            </w:tcBorders>
          </w:tcPr>
          <w:p w14:paraId="2CB62894" w14:textId="77777777" w:rsidR="00B7209A" w:rsidRPr="00243D28" w:rsidRDefault="00B7209A" w:rsidP="005B47D9">
            <w:pPr>
              <w:jc w:val="center"/>
              <w:rPr>
                <w:sz w:val="20"/>
                <w:szCs w:val="20"/>
              </w:rPr>
            </w:pPr>
            <w:r w:rsidRPr="00243D28">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7F45" w14:textId="77777777" w:rsidR="00B7209A" w:rsidRPr="00243D28" w:rsidRDefault="00B7209A" w:rsidP="005B47D9">
            <w:pPr>
              <w:jc w:val="center"/>
              <w:rPr>
                <w:sz w:val="20"/>
                <w:szCs w:val="20"/>
                <w:lang w:eastAsia="en-US"/>
              </w:rPr>
            </w:pPr>
            <w:r w:rsidRPr="00243D28">
              <w:rPr>
                <w:sz w:val="20"/>
                <w:szCs w:val="20"/>
              </w:rPr>
              <w:t>5</w:t>
            </w:r>
          </w:p>
        </w:tc>
        <w:tc>
          <w:tcPr>
            <w:tcW w:w="1095" w:type="dxa"/>
            <w:tcBorders>
              <w:top w:val="single" w:sz="4" w:space="0" w:color="auto"/>
              <w:left w:val="single" w:sz="4" w:space="0" w:color="auto"/>
              <w:bottom w:val="single" w:sz="4" w:space="0" w:color="auto"/>
              <w:right w:val="single" w:sz="4" w:space="0" w:color="auto"/>
            </w:tcBorders>
          </w:tcPr>
          <w:p w14:paraId="16025B2D" w14:textId="77777777" w:rsidR="00B7209A" w:rsidRPr="00243D28" w:rsidRDefault="00B7209A" w:rsidP="005B47D9">
            <w:pPr>
              <w:jc w:val="center"/>
              <w:rPr>
                <w:sz w:val="20"/>
                <w:szCs w:val="20"/>
              </w:rPr>
            </w:pPr>
            <w:r w:rsidRPr="00243D28">
              <w:rPr>
                <w:sz w:val="20"/>
                <w:szCs w:val="20"/>
              </w:rPr>
              <w:t>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9068" w14:textId="77777777" w:rsidR="00B7209A" w:rsidRPr="00243D28" w:rsidRDefault="00B7209A" w:rsidP="005B47D9">
            <w:pPr>
              <w:jc w:val="center"/>
              <w:rPr>
                <w:sz w:val="20"/>
                <w:szCs w:val="20"/>
                <w:lang w:eastAsia="en-US"/>
              </w:rPr>
            </w:pPr>
            <w:r w:rsidRPr="00243D28">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D56D" w14:textId="77777777" w:rsidR="00B7209A" w:rsidRPr="00243D28" w:rsidRDefault="00B7209A" w:rsidP="005B47D9">
            <w:pPr>
              <w:jc w:val="center"/>
              <w:rPr>
                <w:sz w:val="20"/>
                <w:szCs w:val="20"/>
                <w:lang w:eastAsia="en-US"/>
              </w:rPr>
            </w:pPr>
            <w:r w:rsidRPr="00243D28">
              <w:rPr>
                <w:sz w:val="20"/>
                <w:szCs w:val="20"/>
              </w:rPr>
              <w:t>8</w:t>
            </w:r>
          </w:p>
        </w:tc>
      </w:tr>
      <w:tr w:rsidR="00B218F9" w:rsidRPr="00243D28" w14:paraId="674C363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BF481A3" w14:textId="77777777" w:rsidR="00B218F9" w:rsidRPr="00243D28" w:rsidRDefault="00B218F9" w:rsidP="00B218F9">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E307E" w14:textId="35E6CD4C"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7294A" w14:textId="56640F36" w:rsidR="00B218F9" w:rsidRPr="00243D28" w:rsidRDefault="00B218F9" w:rsidP="00B218F9">
            <w:pPr>
              <w:jc w:val="center"/>
              <w:rPr>
                <w:sz w:val="20"/>
                <w:szCs w:val="20"/>
                <w:lang w:eastAsia="en-US"/>
              </w:rPr>
            </w:pPr>
            <w:r w:rsidRPr="00243D28">
              <w:rPr>
                <w:sz w:val="20"/>
                <w:szCs w:val="20"/>
                <w:lang w:eastAsia="en-US"/>
              </w:rPr>
              <w:t>340 000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37DBB6" w14:textId="783806DD"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F4E188" w14:textId="01B63894" w:rsidR="00B218F9" w:rsidRPr="00243D28" w:rsidRDefault="00B218F9" w:rsidP="00B218F9">
            <w:pPr>
              <w:jc w:val="center"/>
              <w:rPr>
                <w:sz w:val="20"/>
                <w:szCs w:val="20"/>
                <w:lang w:eastAsia="en-US"/>
              </w:rPr>
            </w:pPr>
            <w:r>
              <w:rPr>
                <w:sz w:val="20"/>
                <w:szCs w:val="20"/>
                <w:lang w:eastAsia="en-US"/>
              </w:rPr>
              <w:t>9 309 361</w:t>
            </w:r>
          </w:p>
        </w:tc>
        <w:tc>
          <w:tcPr>
            <w:tcW w:w="1095" w:type="dxa"/>
            <w:tcBorders>
              <w:top w:val="single" w:sz="4" w:space="0" w:color="auto"/>
              <w:left w:val="single" w:sz="4" w:space="0" w:color="auto"/>
              <w:bottom w:val="single" w:sz="4" w:space="0" w:color="auto"/>
              <w:right w:val="single" w:sz="4" w:space="0" w:color="auto"/>
            </w:tcBorders>
            <w:vAlign w:val="center"/>
          </w:tcPr>
          <w:p w14:paraId="0C7D0789" w14:textId="58120A27"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396C02D" w14:textId="3C688697" w:rsidR="00B218F9" w:rsidRPr="00243D28" w:rsidRDefault="00B218F9" w:rsidP="00B218F9">
            <w:pPr>
              <w:jc w:val="center"/>
              <w:rPr>
                <w:sz w:val="20"/>
                <w:szCs w:val="20"/>
                <w:lang w:eastAsia="en-US"/>
              </w:rPr>
            </w:pPr>
            <w:r>
              <w:rPr>
                <w:sz w:val="20"/>
                <w:szCs w:val="20"/>
                <w:lang w:eastAsia="en-US"/>
              </w:rPr>
              <w:t>94 793 698</w:t>
            </w:r>
          </w:p>
        </w:tc>
        <w:tc>
          <w:tcPr>
            <w:tcW w:w="1276" w:type="dxa"/>
            <w:tcBorders>
              <w:top w:val="single" w:sz="4" w:space="0" w:color="auto"/>
              <w:left w:val="single" w:sz="4" w:space="0" w:color="auto"/>
              <w:bottom w:val="single" w:sz="4" w:space="0" w:color="auto"/>
              <w:right w:val="single" w:sz="4" w:space="0" w:color="auto"/>
            </w:tcBorders>
            <w:vAlign w:val="center"/>
          </w:tcPr>
          <w:p w14:paraId="39575B09" w14:textId="4917CC24" w:rsidR="00B218F9" w:rsidRPr="00243D28" w:rsidRDefault="00B218F9" w:rsidP="00B218F9">
            <w:pPr>
              <w:jc w:val="center"/>
              <w:rPr>
                <w:sz w:val="20"/>
                <w:szCs w:val="20"/>
                <w:lang w:eastAsia="en-US"/>
              </w:rPr>
            </w:pPr>
            <w:r>
              <w:rPr>
                <w:sz w:val="20"/>
                <w:szCs w:val="20"/>
                <w:lang w:eastAsia="en-US"/>
              </w:rPr>
              <w:t>11 734 687</w:t>
            </w:r>
          </w:p>
        </w:tc>
      </w:tr>
      <w:tr w:rsidR="00B218F9" w:rsidRPr="00243D28" w14:paraId="300A570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1C7F267" w14:textId="77777777" w:rsidR="00B218F9" w:rsidRPr="00243D28" w:rsidRDefault="00B218F9" w:rsidP="00B218F9">
            <w:pPr>
              <w:rPr>
                <w:sz w:val="20"/>
                <w:szCs w:val="20"/>
                <w:lang w:eastAsia="en-US"/>
              </w:rPr>
            </w:pPr>
            <w:r w:rsidRPr="00243D28">
              <w:rPr>
                <w:sz w:val="20"/>
                <w:szCs w:val="20"/>
              </w:rPr>
              <w:t>1.1. valsts pamatbudžets, tai skaitā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AB5C3F" w14:textId="725E9FE4"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E960F" w14:textId="1B434CA5" w:rsidR="00B218F9" w:rsidRPr="00243D28" w:rsidRDefault="00B218F9" w:rsidP="00B218F9">
            <w:pPr>
              <w:jc w:val="center"/>
              <w:rPr>
                <w:sz w:val="20"/>
                <w:szCs w:val="20"/>
                <w:lang w:eastAsia="en-US"/>
              </w:rPr>
            </w:pPr>
            <w:r w:rsidRPr="00243D28">
              <w:rPr>
                <w:sz w:val="20"/>
                <w:szCs w:val="20"/>
                <w:lang w:eastAsia="en-US"/>
              </w:rPr>
              <w:t>340 000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CF87A0" w14:textId="186C478C"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92FE95" w14:textId="70BC9108" w:rsidR="00B218F9" w:rsidRPr="00243D28" w:rsidRDefault="00B218F9" w:rsidP="00B218F9">
            <w:pPr>
              <w:jc w:val="center"/>
              <w:rPr>
                <w:sz w:val="20"/>
                <w:szCs w:val="20"/>
                <w:lang w:eastAsia="en-US"/>
              </w:rPr>
            </w:pPr>
            <w:r>
              <w:rPr>
                <w:sz w:val="20"/>
                <w:szCs w:val="20"/>
                <w:lang w:eastAsia="en-US"/>
              </w:rPr>
              <w:t>9 309 361</w:t>
            </w:r>
          </w:p>
        </w:tc>
        <w:tc>
          <w:tcPr>
            <w:tcW w:w="1095" w:type="dxa"/>
            <w:tcBorders>
              <w:top w:val="single" w:sz="4" w:space="0" w:color="auto"/>
              <w:left w:val="single" w:sz="4" w:space="0" w:color="auto"/>
              <w:bottom w:val="single" w:sz="4" w:space="0" w:color="auto"/>
              <w:right w:val="single" w:sz="4" w:space="0" w:color="auto"/>
            </w:tcBorders>
            <w:vAlign w:val="center"/>
          </w:tcPr>
          <w:p w14:paraId="753D84E6" w14:textId="471C4FF6"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420659D" w14:textId="65E8EF34" w:rsidR="00B218F9" w:rsidRPr="00243D28" w:rsidRDefault="00B218F9" w:rsidP="00B218F9">
            <w:pPr>
              <w:jc w:val="center"/>
              <w:rPr>
                <w:sz w:val="20"/>
                <w:szCs w:val="20"/>
                <w:lang w:eastAsia="en-US"/>
              </w:rPr>
            </w:pPr>
            <w:r>
              <w:rPr>
                <w:sz w:val="20"/>
                <w:szCs w:val="20"/>
                <w:lang w:eastAsia="en-US"/>
              </w:rPr>
              <w:t>94 793 698</w:t>
            </w:r>
          </w:p>
        </w:tc>
        <w:tc>
          <w:tcPr>
            <w:tcW w:w="1276" w:type="dxa"/>
            <w:tcBorders>
              <w:top w:val="single" w:sz="4" w:space="0" w:color="auto"/>
              <w:left w:val="single" w:sz="4" w:space="0" w:color="auto"/>
              <w:bottom w:val="single" w:sz="4" w:space="0" w:color="auto"/>
              <w:right w:val="single" w:sz="4" w:space="0" w:color="auto"/>
            </w:tcBorders>
            <w:vAlign w:val="center"/>
          </w:tcPr>
          <w:p w14:paraId="79E70DD3" w14:textId="342D7DA6" w:rsidR="00B218F9" w:rsidRPr="00243D28" w:rsidRDefault="00B218F9" w:rsidP="00B218F9">
            <w:pPr>
              <w:jc w:val="center"/>
              <w:rPr>
                <w:sz w:val="20"/>
                <w:szCs w:val="20"/>
                <w:lang w:eastAsia="en-US"/>
              </w:rPr>
            </w:pPr>
            <w:r>
              <w:rPr>
                <w:sz w:val="20"/>
                <w:szCs w:val="20"/>
                <w:lang w:eastAsia="en-US"/>
              </w:rPr>
              <w:t>11 734 687</w:t>
            </w:r>
          </w:p>
        </w:tc>
      </w:tr>
      <w:tr w:rsidR="00B218F9" w:rsidRPr="00243D28" w14:paraId="2A8C796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7B99FA8" w14:textId="77777777" w:rsidR="00B218F9" w:rsidRPr="00243D28" w:rsidRDefault="00B218F9" w:rsidP="00B218F9">
            <w:pPr>
              <w:rPr>
                <w:sz w:val="20"/>
                <w:szCs w:val="20"/>
                <w:lang w:eastAsia="en-US"/>
              </w:rPr>
            </w:pPr>
            <w:r w:rsidRPr="00243D28">
              <w:rPr>
                <w:sz w:val="20"/>
                <w:szCs w:val="20"/>
              </w:rPr>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EAA07"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D98A5"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2A15E46F"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E93EC8"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31A4AEF"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B9893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D1ED60"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B5609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A196197" w14:textId="77777777" w:rsidR="00B218F9" w:rsidRPr="00243D28" w:rsidRDefault="00B218F9" w:rsidP="00B218F9">
            <w:pPr>
              <w:rPr>
                <w:sz w:val="20"/>
                <w:szCs w:val="20"/>
                <w:lang w:eastAsia="en-US"/>
              </w:rPr>
            </w:pPr>
            <w:r w:rsidRPr="00243D28">
              <w:rPr>
                <w:sz w:val="20"/>
                <w:szCs w:val="20"/>
              </w:rPr>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1D883"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99C00B1"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0D35DBE"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7C01AE4"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FD460A4"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618C35D0"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AF95C47"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37D4B8C9"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B0A6D2" w14:textId="77777777" w:rsidR="00B218F9" w:rsidRPr="00243D28" w:rsidRDefault="00B218F9" w:rsidP="00B218F9">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FC8ED1" w14:textId="58DEA3CD"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FFE188" w14:textId="0F16B589" w:rsidR="00B218F9" w:rsidRPr="00243D28" w:rsidRDefault="00B218F9" w:rsidP="00B218F9">
            <w:pPr>
              <w:jc w:val="center"/>
              <w:rPr>
                <w:sz w:val="20"/>
                <w:szCs w:val="20"/>
                <w:lang w:eastAsia="en-US"/>
              </w:rPr>
            </w:pPr>
            <w:r w:rsidRPr="00243D28">
              <w:rPr>
                <w:sz w:val="20"/>
                <w:szCs w:val="20"/>
                <w:lang w:eastAsia="en-US"/>
              </w:rPr>
              <w:t>340 000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7C171E" w14:textId="4B5A41FA"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8FA547" w14:textId="30F4527B" w:rsidR="00B218F9" w:rsidRPr="00243D28" w:rsidRDefault="00A27D04" w:rsidP="00B218F9">
            <w:pPr>
              <w:jc w:val="center"/>
              <w:rPr>
                <w:sz w:val="20"/>
                <w:szCs w:val="20"/>
                <w:lang w:eastAsia="en-US"/>
              </w:rPr>
            </w:pPr>
            <w:r>
              <w:rPr>
                <w:sz w:val="20"/>
                <w:szCs w:val="20"/>
                <w:lang w:eastAsia="en-US"/>
              </w:rPr>
              <w:t>11 030 120</w:t>
            </w:r>
          </w:p>
        </w:tc>
        <w:tc>
          <w:tcPr>
            <w:tcW w:w="1095" w:type="dxa"/>
            <w:tcBorders>
              <w:top w:val="single" w:sz="4" w:space="0" w:color="auto"/>
              <w:left w:val="single" w:sz="4" w:space="0" w:color="auto"/>
              <w:bottom w:val="single" w:sz="4" w:space="0" w:color="auto"/>
              <w:right w:val="single" w:sz="4" w:space="0" w:color="auto"/>
            </w:tcBorders>
            <w:vAlign w:val="center"/>
          </w:tcPr>
          <w:p w14:paraId="7BC4644A"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848605F" w14:textId="6EE22007" w:rsidR="00B218F9" w:rsidRPr="00243D28" w:rsidRDefault="00A27D04" w:rsidP="00B218F9">
            <w:pPr>
              <w:jc w:val="center"/>
              <w:rPr>
                <w:sz w:val="20"/>
                <w:szCs w:val="20"/>
                <w:lang w:eastAsia="en-US"/>
              </w:rPr>
            </w:pPr>
            <w:r>
              <w:rPr>
                <w:sz w:val="20"/>
                <w:szCs w:val="20"/>
                <w:lang w:eastAsia="en-US"/>
              </w:rPr>
              <w:t>130 069 255</w:t>
            </w:r>
          </w:p>
        </w:tc>
        <w:tc>
          <w:tcPr>
            <w:tcW w:w="1276" w:type="dxa"/>
            <w:tcBorders>
              <w:top w:val="single" w:sz="4" w:space="0" w:color="auto"/>
              <w:left w:val="single" w:sz="4" w:space="0" w:color="auto"/>
              <w:bottom w:val="single" w:sz="4" w:space="0" w:color="auto"/>
              <w:right w:val="single" w:sz="4" w:space="0" w:color="auto"/>
            </w:tcBorders>
            <w:vAlign w:val="center"/>
          </w:tcPr>
          <w:p w14:paraId="4BA5EF28" w14:textId="50F62765" w:rsidR="00B218F9" w:rsidRPr="00243D28" w:rsidRDefault="00A27D04" w:rsidP="00B218F9">
            <w:pPr>
              <w:jc w:val="center"/>
              <w:rPr>
                <w:sz w:val="20"/>
                <w:szCs w:val="20"/>
                <w:lang w:eastAsia="en-US"/>
              </w:rPr>
            </w:pPr>
            <w:r>
              <w:rPr>
                <w:sz w:val="20"/>
                <w:szCs w:val="20"/>
                <w:lang w:eastAsia="en-US"/>
              </w:rPr>
              <w:t>14 315 825</w:t>
            </w:r>
          </w:p>
        </w:tc>
      </w:tr>
      <w:tr w:rsidR="00B218F9" w:rsidRPr="00243D28" w14:paraId="01656880"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6C1B608" w14:textId="77777777" w:rsidR="00B218F9" w:rsidRPr="00243D28" w:rsidRDefault="00B218F9" w:rsidP="00B218F9">
            <w:pPr>
              <w:rPr>
                <w:sz w:val="20"/>
                <w:szCs w:val="20"/>
                <w:lang w:eastAsia="en-US"/>
              </w:rPr>
            </w:pPr>
            <w:r w:rsidRPr="00243D28">
              <w:rPr>
                <w:sz w:val="20"/>
                <w:szCs w:val="20"/>
              </w:rPr>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147E6" w14:textId="5FDCA178"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DFE0C1" w14:textId="3E007466" w:rsidR="00B218F9" w:rsidRPr="00243D28" w:rsidRDefault="00B218F9" w:rsidP="00B218F9">
            <w:pPr>
              <w:jc w:val="center"/>
              <w:rPr>
                <w:sz w:val="20"/>
                <w:szCs w:val="20"/>
                <w:lang w:eastAsia="en-US"/>
              </w:rPr>
            </w:pPr>
            <w:r w:rsidRPr="00243D28">
              <w:rPr>
                <w:sz w:val="20"/>
                <w:szCs w:val="20"/>
                <w:lang w:eastAsia="en-US"/>
              </w:rPr>
              <w:t>340 000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BE074E" w14:textId="17B754B1"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B33B5" w14:textId="7EC1C17E" w:rsidR="00B218F9" w:rsidRPr="00243D28" w:rsidRDefault="00A27D04" w:rsidP="00B218F9">
            <w:pPr>
              <w:jc w:val="center"/>
              <w:rPr>
                <w:sz w:val="20"/>
                <w:szCs w:val="20"/>
                <w:lang w:eastAsia="en-US"/>
              </w:rPr>
            </w:pPr>
            <w:r>
              <w:rPr>
                <w:sz w:val="20"/>
                <w:szCs w:val="20"/>
                <w:lang w:eastAsia="en-US"/>
              </w:rPr>
              <w:t>11 030 120</w:t>
            </w:r>
          </w:p>
        </w:tc>
        <w:tc>
          <w:tcPr>
            <w:tcW w:w="1095" w:type="dxa"/>
            <w:tcBorders>
              <w:top w:val="single" w:sz="4" w:space="0" w:color="auto"/>
              <w:left w:val="single" w:sz="4" w:space="0" w:color="auto"/>
              <w:bottom w:val="single" w:sz="4" w:space="0" w:color="auto"/>
              <w:right w:val="single" w:sz="4" w:space="0" w:color="auto"/>
            </w:tcBorders>
            <w:vAlign w:val="center"/>
          </w:tcPr>
          <w:p w14:paraId="386B8C6F"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0F74489" w14:textId="41F7B867" w:rsidR="00B218F9" w:rsidRPr="00243D28" w:rsidRDefault="00A27D04" w:rsidP="00B218F9">
            <w:pPr>
              <w:jc w:val="center"/>
              <w:rPr>
                <w:sz w:val="20"/>
                <w:szCs w:val="20"/>
                <w:lang w:eastAsia="en-US"/>
              </w:rPr>
            </w:pPr>
            <w:r>
              <w:rPr>
                <w:sz w:val="20"/>
                <w:szCs w:val="20"/>
                <w:lang w:eastAsia="en-US"/>
              </w:rPr>
              <w:t>130 069 255</w:t>
            </w:r>
          </w:p>
        </w:tc>
        <w:tc>
          <w:tcPr>
            <w:tcW w:w="1276" w:type="dxa"/>
            <w:tcBorders>
              <w:top w:val="single" w:sz="4" w:space="0" w:color="auto"/>
              <w:left w:val="single" w:sz="4" w:space="0" w:color="auto"/>
              <w:bottom w:val="single" w:sz="4" w:space="0" w:color="auto"/>
              <w:right w:val="single" w:sz="4" w:space="0" w:color="auto"/>
            </w:tcBorders>
            <w:vAlign w:val="center"/>
          </w:tcPr>
          <w:p w14:paraId="790CF6CF" w14:textId="4C72A283" w:rsidR="00B218F9" w:rsidRPr="00243D28" w:rsidRDefault="00A27D04" w:rsidP="00B218F9">
            <w:pPr>
              <w:jc w:val="center"/>
              <w:rPr>
                <w:sz w:val="20"/>
                <w:szCs w:val="20"/>
                <w:lang w:eastAsia="en-US"/>
              </w:rPr>
            </w:pPr>
            <w:r>
              <w:rPr>
                <w:sz w:val="20"/>
                <w:szCs w:val="20"/>
                <w:lang w:eastAsia="en-US"/>
              </w:rPr>
              <w:t>14 315 825</w:t>
            </w:r>
          </w:p>
        </w:tc>
      </w:tr>
      <w:tr w:rsidR="00B218F9" w:rsidRPr="00243D28" w14:paraId="6135954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A66AF5F" w14:textId="77777777" w:rsidR="00B218F9" w:rsidRPr="00243D28" w:rsidRDefault="00B218F9" w:rsidP="00B218F9">
            <w:pPr>
              <w:rPr>
                <w:sz w:val="20"/>
                <w:szCs w:val="20"/>
                <w:lang w:eastAsia="en-US"/>
              </w:rPr>
            </w:pPr>
            <w:r w:rsidRPr="00243D28">
              <w:rPr>
                <w:sz w:val="20"/>
                <w:szCs w:val="20"/>
              </w:rPr>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62A42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4167CB"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F37A845"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3F2A85"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534F06C8"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9C4180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2DA713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EE2A0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FABD5BF" w14:textId="77777777" w:rsidR="00B218F9" w:rsidRPr="00243D28" w:rsidRDefault="00B218F9" w:rsidP="00B218F9">
            <w:pPr>
              <w:rPr>
                <w:sz w:val="20"/>
                <w:szCs w:val="20"/>
                <w:lang w:eastAsia="en-US"/>
              </w:rPr>
            </w:pPr>
            <w:r w:rsidRPr="00243D28">
              <w:rPr>
                <w:sz w:val="20"/>
                <w:szCs w:val="20"/>
              </w:rPr>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3F93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EDBF34"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CCF525"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582AE"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71D318D0"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A6BC7F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E337DB"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65EC71F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2D9334" w14:textId="77777777" w:rsidR="00B218F9" w:rsidRPr="00243D28" w:rsidRDefault="00B218F9" w:rsidP="00B218F9">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74FFD0" w14:textId="07E6AF0E"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6CB2C" w14:textId="404FF093"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2D0D15" w14:textId="4C8B2B9B"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BBE03" w14:textId="12F9DAB2" w:rsidR="00B218F9" w:rsidRPr="00243D28" w:rsidRDefault="00A27D04" w:rsidP="00B218F9">
            <w:pPr>
              <w:jc w:val="center"/>
              <w:rPr>
                <w:sz w:val="20"/>
                <w:szCs w:val="20"/>
                <w:lang w:eastAsia="en-US"/>
              </w:rPr>
            </w:pPr>
            <w:r>
              <w:rPr>
                <w:sz w:val="20"/>
                <w:szCs w:val="20"/>
                <w:lang w:eastAsia="en-US"/>
              </w:rPr>
              <w:t>-1 720 759</w:t>
            </w:r>
          </w:p>
        </w:tc>
        <w:tc>
          <w:tcPr>
            <w:tcW w:w="1095" w:type="dxa"/>
            <w:tcBorders>
              <w:top w:val="single" w:sz="4" w:space="0" w:color="auto"/>
              <w:left w:val="single" w:sz="4" w:space="0" w:color="auto"/>
              <w:bottom w:val="single" w:sz="4" w:space="0" w:color="auto"/>
              <w:right w:val="single" w:sz="4" w:space="0" w:color="auto"/>
            </w:tcBorders>
            <w:vAlign w:val="center"/>
          </w:tcPr>
          <w:p w14:paraId="60955BB2" w14:textId="02E1DE68"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CEB9700" w14:textId="433896E3" w:rsidR="00B218F9" w:rsidRPr="00243D28" w:rsidRDefault="00A27D04" w:rsidP="00B218F9">
            <w:pPr>
              <w:jc w:val="center"/>
              <w:rPr>
                <w:sz w:val="20"/>
                <w:szCs w:val="20"/>
                <w:lang w:eastAsia="en-US"/>
              </w:rPr>
            </w:pPr>
            <w:r>
              <w:rPr>
                <w:sz w:val="20"/>
                <w:szCs w:val="20"/>
                <w:lang w:eastAsia="en-US"/>
              </w:rPr>
              <w:t>-35 275 557</w:t>
            </w:r>
          </w:p>
        </w:tc>
        <w:tc>
          <w:tcPr>
            <w:tcW w:w="1276" w:type="dxa"/>
            <w:tcBorders>
              <w:top w:val="single" w:sz="4" w:space="0" w:color="auto"/>
              <w:left w:val="single" w:sz="4" w:space="0" w:color="auto"/>
              <w:bottom w:val="single" w:sz="4" w:space="0" w:color="auto"/>
              <w:right w:val="single" w:sz="4" w:space="0" w:color="auto"/>
            </w:tcBorders>
            <w:vAlign w:val="center"/>
          </w:tcPr>
          <w:p w14:paraId="550CC4F3" w14:textId="01CE1A0B" w:rsidR="00B218F9" w:rsidRPr="00243D28" w:rsidRDefault="00A27D04" w:rsidP="00B218F9">
            <w:pPr>
              <w:jc w:val="center"/>
              <w:rPr>
                <w:sz w:val="20"/>
                <w:szCs w:val="20"/>
                <w:lang w:eastAsia="en-US"/>
              </w:rPr>
            </w:pPr>
            <w:r>
              <w:rPr>
                <w:sz w:val="20"/>
                <w:szCs w:val="20"/>
                <w:lang w:eastAsia="en-US"/>
              </w:rPr>
              <w:t>-2 581 138</w:t>
            </w:r>
          </w:p>
        </w:tc>
      </w:tr>
      <w:tr w:rsidR="00B218F9" w:rsidRPr="00243D28" w14:paraId="51EA23DC"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ADD332D" w14:textId="77777777" w:rsidR="00B218F9" w:rsidRPr="00243D28" w:rsidRDefault="00B218F9" w:rsidP="00B218F9">
            <w:pPr>
              <w:rPr>
                <w:sz w:val="20"/>
                <w:szCs w:val="20"/>
                <w:lang w:eastAsia="en-US"/>
              </w:rPr>
            </w:pPr>
            <w:r w:rsidRPr="00243D28">
              <w:rPr>
                <w:sz w:val="20"/>
                <w:szCs w:val="20"/>
              </w:rPr>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11765" w14:textId="6666AC85"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EB538F" w14:textId="34DC7A10"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DF174EF" w14:textId="1214BA32"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1FC286" w14:textId="358D256F"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4767662" w14:textId="2E1DEF69"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6FA8500F" w14:textId="4DC40C7A"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7145413"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84897A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6E894A" w14:textId="77777777" w:rsidR="00B218F9" w:rsidRPr="00243D28" w:rsidRDefault="00B218F9" w:rsidP="00B218F9">
            <w:pPr>
              <w:rPr>
                <w:sz w:val="20"/>
                <w:szCs w:val="20"/>
                <w:lang w:eastAsia="en-US"/>
              </w:rPr>
            </w:pPr>
            <w:r w:rsidRPr="00243D28">
              <w:rPr>
                <w:sz w:val="20"/>
                <w:szCs w:val="20"/>
              </w:rPr>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5919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FFCA37"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CFD70D4"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DE4E7A"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87599E1"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9D145F"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F234CDE"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31371FD"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EE7B39" w14:textId="77777777" w:rsidR="00B218F9" w:rsidRPr="00243D28" w:rsidRDefault="00B218F9" w:rsidP="00B218F9">
            <w:pPr>
              <w:rPr>
                <w:sz w:val="20"/>
                <w:szCs w:val="20"/>
                <w:lang w:eastAsia="en-US"/>
              </w:rPr>
            </w:pPr>
            <w:r w:rsidRPr="00243D28">
              <w:rPr>
                <w:sz w:val="20"/>
                <w:szCs w:val="20"/>
              </w:rPr>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9EAD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B3D9C2"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B5A73F"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DDBF1B"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EF93087"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08C75AA0"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EC6CB6"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73DF8713" w14:textId="77777777" w:rsidTr="00580EB1">
        <w:trPr>
          <w:trHeight w:val="112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C08B1A8" w14:textId="77777777" w:rsidR="00B218F9" w:rsidRPr="00243D28" w:rsidRDefault="00B218F9" w:rsidP="00B218F9">
            <w:pPr>
              <w:rPr>
                <w:sz w:val="20"/>
                <w:szCs w:val="20"/>
                <w:lang w:eastAsia="en-US"/>
              </w:rPr>
            </w:pPr>
            <w:r w:rsidRPr="00243D28">
              <w:rPr>
                <w:sz w:val="20"/>
                <w:szCs w:val="20"/>
              </w:rPr>
              <w:lastRenderedPageBreak/>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43D18"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88B00"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AF94B34"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8C6D950" w14:textId="383223E2" w:rsidR="00B218F9" w:rsidRPr="00243D28" w:rsidRDefault="00A27D04" w:rsidP="00B218F9">
            <w:pPr>
              <w:jc w:val="center"/>
              <w:rPr>
                <w:sz w:val="20"/>
                <w:szCs w:val="20"/>
                <w:lang w:eastAsia="en-US"/>
              </w:rPr>
            </w:pPr>
            <w:r>
              <w:rPr>
                <w:sz w:val="20"/>
                <w:szCs w:val="20"/>
                <w:lang w:eastAsia="en-US"/>
              </w:rPr>
              <w:t>+1 720 759</w:t>
            </w:r>
          </w:p>
        </w:tc>
        <w:tc>
          <w:tcPr>
            <w:tcW w:w="1095" w:type="dxa"/>
            <w:tcBorders>
              <w:top w:val="single" w:sz="4" w:space="0" w:color="auto"/>
              <w:left w:val="single" w:sz="4" w:space="0" w:color="auto"/>
              <w:bottom w:val="single" w:sz="4" w:space="0" w:color="auto"/>
              <w:right w:val="single" w:sz="4" w:space="0" w:color="auto"/>
            </w:tcBorders>
            <w:vAlign w:val="center"/>
          </w:tcPr>
          <w:p w14:paraId="2F8BC095"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F67EAE6" w14:textId="68D893DB" w:rsidR="00B218F9" w:rsidRPr="00243D28" w:rsidRDefault="00A27D04" w:rsidP="00B218F9">
            <w:pPr>
              <w:jc w:val="center"/>
              <w:rPr>
                <w:sz w:val="20"/>
                <w:szCs w:val="20"/>
                <w:lang w:eastAsia="en-US"/>
              </w:rPr>
            </w:pPr>
            <w:r>
              <w:rPr>
                <w:sz w:val="20"/>
                <w:szCs w:val="20"/>
                <w:lang w:eastAsia="en-US"/>
              </w:rPr>
              <w:t>+35 275 557</w:t>
            </w:r>
          </w:p>
        </w:tc>
        <w:tc>
          <w:tcPr>
            <w:tcW w:w="1276" w:type="dxa"/>
            <w:tcBorders>
              <w:top w:val="single" w:sz="4" w:space="0" w:color="auto"/>
              <w:left w:val="single" w:sz="4" w:space="0" w:color="auto"/>
              <w:bottom w:val="single" w:sz="4" w:space="0" w:color="auto"/>
              <w:right w:val="single" w:sz="4" w:space="0" w:color="auto"/>
            </w:tcBorders>
            <w:vAlign w:val="center"/>
          </w:tcPr>
          <w:p w14:paraId="70AB3A11" w14:textId="1F81CCFF" w:rsidR="00B218F9" w:rsidRPr="00243D28" w:rsidRDefault="00A27D04" w:rsidP="00B218F9">
            <w:pPr>
              <w:jc w:val="center"/>
              <w:rPr>
                <w:sz w:val="20"/>
                <w:szCs w:val="20"/>
                <w:lang w:eastAsia="en-US"/>
              </w:rPr>
            </w:pPr>
            <w:r>
              <w:rPr>
                <w:sz w:val="20"/>
                <w:szCs w:val="20"/>
                <w:lang w:eastAsia="en-US"/>
              </w:rPr>
              <w:t>+2 581 138</w:t>
            </w:r>
          </w:p>
        </w:tc>
      </w:tr>
      <w:tr w:rsidR="00B218F9" w:rsidRPr="00243D28" w14:paraId="6BEF0DF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14DC921" w14:textId="77777777" w:rsidR="00B218F9" w:rsidRPr="00243D28" w:rsidRDefault="00B218F9" w:rsidP="00B218F9">
            <w:pPr>
              <w:rPr>
                <w:sz w:val="20"/>
                <w:szCs w:val="20"/>
                <w:lang w:eastAsia="en-US"/>
              </w:rPr>
            </w:pPr>
            <w:r w:rsidRPr="00243D28">
              <w:rPr>
                <w:sz w:val="20"/>
                <w:szCs w:val="20"/>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9E01E"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78C4E"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281E6907"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FE77E"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val="restart"/>
            <w:tcBorders>
              <w:top w:val="single" w:sz="4" w:space="0" w:color="auto"/>
              <w:left w:val="single" w:sz="4" w:space="0" w:color="auto"/>
              <w:right w:val="single" w:sz="4" w:space="0" w:color="auto"/>
            </w:tcBorders>
            <w:vAlign w:val="center"/>
          </w:tcPr>
          <w:p w14:paraId="44509E38"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D2B531"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36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6B0EA31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CF7468C" w14:textId="77777777" w:rsidR="00B218F9" w:rsidRPr="00243D28" w:rsidRDefault="00B218F9" w:rsidP="00B218F9">
            <w:pPr>
              <w:rPr>
                <w:sz w:val="20"/>
                <w:szCs w:val="20"/>
                <w:lang w:eastAsia="en-US"/>
              </w:rPr>
            </w:pPr>
            <w:r w:rsidRPr="00243D28">
              <w:rPr>
                <w:sz w:val="20"/>
                <w:szCs w:val="20"/>
              </w:rPr>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A3AE8"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2AC26"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62E30DC9"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4CC02"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5663497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05FA73"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5EBAA"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94521CA"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B936407" w14:textId="77777777" w:rsidR="00B218F9" w:rsidRPr="00243D28" w:rsidRDefault="00B218F9" w:rsidP="00B218F9">
            <w:pPr>
              <w:rPr>
                <w:sz w:val="20"/>
                <w:szCs w:val="20"/>
                <w:lang w:eastAsia="en-US"/>
              </w:rPr>
            </w:pPr>
            <w:r w:rsidRPr="00243D28">
              <w:rPr>
                <w:sz w:val="20"/>
                <w:szCs w:val="20"/>
              </w:rPr>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11CB6"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7467D"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7B07F11D"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9DF37"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47B5409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B7ADC"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FE86"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9EF028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2E0453" w14:textId="77777777" w:rsidR="00B218F9" w:rsidRPr="00243D28" w:rsidRDefault="00B218F9" w:rsidP="00B218F9">
            <w:pPr>
              <w:rPr>
                <w:sz w:val="20"/>
                <w:szCs w:val="20"/>
                <w:lang w:eastAsia="en-US"/>
              </w:rPr>
            </w:pPr>
            <w:r w:rsidRPr="00243D28">
              <w:rPr>
                <w:sz w:val="20"/>
                <w:szCs w:val="20"/>
              </w:rPr>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891A2"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7D782"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6C036007"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7E986"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bottom w:val="single" w:sz="4" w:space="0" w:color="auto"/>
              <w:right w:val="single" w:sz="4" w:space="0" w:color="auto"/>
            </w:tcBorders>
            <w:vAlign w:val="center"/>
          </w:tcPr>
          <w:p w14:paraId="7116929E"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03A88B"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59AC3"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FE01E20"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13FFCA2" w14:textId="77777777" w:rsidR="00B218F9" w:rsidRPr="00243D28" w:rsidRDefault="00B218F9" w:rsidP="00B218F9">
            <w:pPr>
              <w:rPr>
                <w:lang w:eastAsia="en-US"/>
              </w:rPr>
            </w:pPr>
            <w:r w:rsidRPr="00243D28">
              <w:t>6. Detalizēts ieņēmumu un izdevumu aprēķins (ja nepieciešams, detalizētu ieņēmumu un izdevumu aprēķinu var pievienot anotācijas pielikumā):</w:t>
            </w:r>
          </w:p>
        </w:tc>
        <w:tc>
          <w:tcPr>
            <w:tcW w:w="7609" w:type="dxa"/>
            <w:gridSpan w:val="7"/>
            <w:vMerge w:val="restart"/>
            <w:tcBorders>
              <w:top w:val="single" w:sz="4" w:space="0" w:color="auto"/>
              <w:left w:val="single" w:sz="4" w:space="0" w:color="auto"/>
              <w:right w:val="single" w:sz="4" w:space="0" w:color="auto"/>
            </w:tcBorders>
            <w:shd w:val="clear" w:color="auto" w:fill="auto"/>
          </w:tcPr>
          <w:p w14:paraId="4ECBB0A9" w14:textId="02E0C0E9" w:rsidR="00B218F9" w:rsidRDefault="00B218F9" w:rsidP="00B218F9">
            <w:pPr>
              <w:spacing w:after="120"/>
              <w:jc w:val="both"/>
              <w:rPr>
                <w:lang w:eastAsia="en-US"/>
              </w:rPr>
            </w:pPr>
            <w:r w:rsidRPr="00243D28">
              <w:rPr>
                <w:lang w:eastAsia="en-US"/>
              </w:rPr>
              <w:t xml:space="preserve">MK noteikumu projektam ir ietekme uz valsts budžetu, un tā ir saistīta ar </w:t>
            </w:r>
            <w:r w:rsidR="00511A7D">
              <w:rPr>
                <w:lang w:eastAsia="en-US"/>
              </w:rPr>
              <w:t xml:space="preserve">20 000 000 </w:t>
            </w:r>
            <w:proofErr w:type="spellStart"/>
            <w:r w:rsidR="00511A7D" w:rsidRPr="00511A7D">
              <w:rPr>
                <w:i/>
                <w:iCs/>
                <w:lang w:eastAsia="en-US"/>
              </w:rPr>
              <w:t>euro</w:t>
            </w:r>
            <w:proofErr w:type="spellEnd"/>
            <w:r w:rsidR="00511A7D">
              <w:rPr>
                <w:lang w:eastAsia="en-US"/>
              </w:rPr>
              <w:t xml:space="preserve"> </w:t>
            </w:r>
            <w:r w:rsidRPr="00243D28">
              <w:rPr>
                <w:lang w:eastAsia="en-US"/>
              </w:rPr>
              <w:t xml:space="preserve">KF finansējuma piešķiršanu </w:t>
            </w:r>
            <w:r w:rsidRPr="00243D28">
              <w:t>Daugavpils un Liepājas tramvaju infrastruktūras attīstības projektu īstenošanai 4.5.1.1.pasākuma otrās projektu iesniegumu atlases kārtas ietvaros, kā arī</w:t>
            </w:r>
            <w:r w:rsidRPr="00243D28">
              <w:rPr>
                <w:lang w:eastAsia="en-US"/>
              </w:rPr>
              <w:t xml:space="preserve"> </w:t>
            </w:r>
            <w:r w:rsidR="00511A7D">
              <w:rPr>
                <w:lang w:eastAsia="en-US"/>
              </w:rPr>
              <w:t xml:space="preserve">114 211 073 </w:t>
            </w:r>
            <w:proofErr w:type="spellStart"/>
            <w:r w:rsidR="00511A7D" w:rsidRPr="00511A7D">
              <w:rPr>
                <w:i/>
                <w:iCs/>
                <w:lang w:eastAsia="en-US"/>
              </w:rPr>
              <w:t>euro</w:t>
            </w:r>
            <w:proofErr w:type="spellEnd"/>
            <w:r w:rsidR="00511A7D">
              <w:rPr>
                <w:lang w:eastAsia="en-US"/>
              </w:rPr>
              <w:t xml:space="preserve"> </w:t>
            </w:r>
            <w:r w:rsidRPr="00243D28">
              <w:rPr>
                <w:lang w:eastAsia="en-US"/>
              </w:rPr>
              <w:t xml:space="preserve">ES fondu finansējuma un </w:t>
            </w:r>
            <w:r w:rsidR="00511A7D">
              <w:rPr>
                <w:lang w:eastAsia="en-US"/>
              </w:rPr>
              <w:t xml:space="preserve">46 998 227 </w:t>
            </w:r>
            <w:proofErr w:type="spellStart"/>
            <w:r w:rsidR="00511A7D" w:rsidRPr="00511A7D">
              <w:rPr>
                <w:i/>
                <w:iCs/>
                <w:lang w:eastAsia="en-US"/>
              </w:rPr>
              <w:t>euro</w:t>
            </w:r>
            <w:proofErr w:type="spellEnd"/>
            <w:r w:rsidR="00511A7D">
              <w:rPr>
                <w:lang w:eastAsia="en-US"/>
              </w:rPr>
              <w:t xml:space="preserve"> </w:t>
            </w:r>
            <w:r w:rsidRPr="00243D28">
              <w:rPr>
                <w:lang w:eastAsia="en-US"/>
              </w:rPr>
              <w:t xml:space="preserve">valsts budžeta </w:t>
            </w:r>
            <w:r w:rsidR="00594BA0">
              <w:rPr>
                <w:lang w:eastAsia="en-US"/>
              </w:rPr>
              <w:t>finansējuma</w:t>
            </w:r>
            <w:r w:rsidRPr="00243D28">
              <w:rPr>
                <w:lang w:eastAsia="en-US"/>
              </w:rPr>
              <w:t xml:space="preserve"> piešķiršanu </w:t>
            </w:r>
            <w:r w:rsidRPr="00243D28">
              <w:t>elektrovilcienu vagonu iegādes projekta īstenošanai 4.5.1.1.pasākuma trešās projektu iesniegumu atlases kārtas ietvaros</w:t>
            </w:r>
            <w:r w:rsidRPr="00243D28">
              <w:rPr>
                <w:lang w:eastAsia="en-US"/>
              </w:rPr>
              <w:t>.</w:t>
            </w:r>
          </w:p>
          <w:p w14:paraId="03555B5A" w14:textId="349450CB" w:rsidR="003F7F3A" w:rsidRDefault="003F7F3A" w:rsidP="00B218F9">
            <w:pPr>
              <w:spacing w:after="120"/>
              <w:jc w:val="both"/>
            </w:pPr>
            <w:r>
              <w:rPr>
                <w:lang w:eastAsia="en-US"/>
              </w:rPr>
              <w:t xml:space="preserve">Kopējais indikatīvais finansējuma sadalījums pa gadiem </w:t>
            </w:r>
            <w:r w:rsidRPr="00243D28">
              <w:t>4.5.1.1.pasākuma otrās</w:t>
            </w:r>
            <w:r>
              <w:t xml:space="preserve"> un trešās</w:t>
            </w:r>
            <w:r w:rsidRPr="00243D28">
              <w:t xml:space="preserve"> projektu iesniegumu atlases kārtas ietvaros</w:t>
            </w:r>
            <w:r>
              <w:t xml:space="preserve"> ir šāds:</w:t>
            </w:r>
          </w:p>
          <w:p w14:paraId="38EC5789" w14:textId="24EB5D22" w:rsidR="003F7F3A" w:rsidRDefault="003F7F3A" w:rsidP="00B218F9">
            <w:pPr>
              <w:spacing w:after="120"/>
              <w:jc w:val="both"/>
            </w:pPr>
            <w:r>
              <w:t xml:space="preserve">2019.gadā – 25 454 100 </w:t>
            </w:r>
            <w:proofErr w:type="spellStart"/>
            <w:r w:rsidRPr="003F7F3A">
              <w:rPr>
                <w:i/>
                <w:iCs/>
              </w:rPr>
              <w:t>euro</w:t>
            </w:r>
            <w:proofErr w:type="spellEnd"/>
            <w:r>
              <w:t xml:space="preserve">, t.sk. ES fondu finansējums 18 033 327 </w:t>
            </w:r>
            <w:proofErr w:type="spellStart"/>
            <w:r w:rsidRPr="003F7F3A">
              <w:rPr>
                <w:i/>
                <w:iCs/>
              </w:rPr>
              <w:t>euro</w:t>
            </w:r>
            <w:proofErr w:type="spellEnd"/>
            <w:r>
              <w:t xml:space="preserve"> un valsts budžeta finansējums 7 420 773 </w:t>
            </w:r>
            <w:proofErr w:type="spellStart"/>
            <w:r w:rsidRPr="003F7F3A">
              <w:rPr>
                <w:i/>
                <w:iCs/>
              </w:rPr>
              <w:t>euro</w:t>
            </w:r>
            <w:proofErr w:type="spellEnd"/>
            <w:r>
              <w:t>;</w:t>
            </w:r>
          </w:p>
          <w:p w14:paraId="7460A023" w14:textId="347DA55A" w:rsidR="003F7F3A" w:rsidRDefault="003F7F3A" w:rsidP="00B218F9">
            <w:pPr>
              <w:spacing w:after="120"/>
              <w:jc w:val="both"/>
            </w:pPr>
            <w:r>
              <w:t>2020.gadā – 340 000</w:t>
            </w:r>
            <w:r w:rsidRPr="003F7F3A">
              <w:rPr>
                <w:i/>
                <w:iCs/>
              </w:rPr>
              <w:t xml:space="preserve"> </w:t>
            </w:r>
            <w:proofErr w:type="spellStart"/>
            <w:r w:rsidRPr="003F7F3A">
              <w:rPr>
                <w:i/>
                <w:iCs/>
              </w:rPr>
              <w:t>euro</w:t>
            </w:r>
            <w:proofErr w:type="spellEnd"/>
            <w:r>
              <w:t>, t.sk. ES fondu finansējums 340 000</w:t>
            </w:r>
            <w:r w:rsidRPr="003F7F3A">
              <w:rPr>
                <w:i/>
                <w:iCs/>
              </w:rPr>
              <w:t xml:space="preserve"> </w:t>
            </w:r>
            <w:proofErr w:type="spellStart"/>
            <w:r w:rsidRPr="003F7F3A">
              <w:rPr>
                <w:i/>
                <w:iCs/>
              </w:rPr>
              <w:t>euro</w:t>
            </w:r>
            <w:proofErr w:type="spellEnd"/>
            <w:r>
              <w:t xml:space="preserve"> un valsts budžeta finansējums 0 </w:t>
            </w:r>
            <w:proofErr w:type="spellStart"/>
            <w:r w:rsidRPr="003F7F3A">
              <w:rPr>
                <w:i/>
                <w:iCs/>
              </w:rPr>
              <w:t>euro</w:t>
            </w:r>
            <w:proofErr w:type="spellEnd"/>
            <w:r>
              <w:rPr>
                <w:i/>
                <w:iCs/>
              </w:rPr>
              <w:t>;</w:t>
            </w:r>
          </w:p>
          <w:p w14:paraId="533D48BB" w14:textId="0EAA3C93" w:rsidR="003F7F3A" w:rsidRDefault="003F7F3A" w:rsidP="00B218F9">
            <w:pPr>
              <w:spacing w:after="120"/>
              <w:jc w:val="both"/>
            </w:pPr>
            <w:r>
              <w:t>2021.gadā – 11 </w:t>
            </w:r>
            <w:r w:rsidR="00C2716F">
              <w:t>030</w:t>
            </w:r>
            <w:r>
              <w:t> </w:t>
            </w:r>
            <w:r w:rsidR="00C2716F">
              <w:t>120</w:t>
            </w:r>
            <w:r>
              <w:t xml:space="preserve"> </w:t>
            </w:r>
            <w:proofErr w:type="spellStart"/>
            <w:r w:rsidRPr="003F7F3A">
              <w:rPr>
                <w:i/>
                <w:iCs/>
              </w:rPr>
              <w:t>euro</w:t>
            </w:r>
            <w:proofErr w:type="spellEnd"/>
            <w:r>
              <w:t>, t.sk. ES fondu finansējums 9 309 361</w:t>
            </w:r>
            <w:r w:rsidRPr="003F7F3A">
              <w:rPr>
                <w:i/>
                <w:iCs/>
              </w:rPr>
              <w:t xml:space="preserve"> </w:t>
            </w:r>
            <w:proofErr w:type="spellStart"/>
            <w:r w:rsidRPr="003F7F3A">
              <w:rPr>
                <w:i/>
                <w:iCs/>
              </w:rPr>
              <w:t>euro</w:t>
            </w:r>
            <w:proofErr w:type="spellEnd"/>
            <w:r>
              <w:t xml:space="preserve"> un valsts budžeta finansējums 1 720 759 </w:t>
            </w:r>
            <w:proofErr w:type="spellStart"/>
            <w:r w:rsidRPr="003F7F3A">
              <w:rPr>
                <w:i/>
                <w:iCs/>
              </w:rPr>
              <w:t>euro</w:t>
            </w:r>
            <w:proofErr w:type="spellEnd"/>
            <w:r>
              <w:rPr>
                <w:i/>
                <w:iCs/>
              </w:rPr>
              <w:t>;</w:t>
            </w:r>
          </w:p>
          <w:p w14:paraId="519A6406" w14:textId="77777777" w:rsidR="00C2716F" w:rsidRDefault="00C2716F" w:rsidP="00B218F9">
            <w:pPr>
              <w:spacing w:after="120"/>
              <w:jc w:val="both"/>
            </w:pPr>
            <w:r>
              <w:t xml:space="preserve">2022.gadā – 130 069 255 </w:t>
            </w:r>
            <w:proofErr w:type="spellStart"/>
            <w:r w:rsidRPr="00C2716F">
              <w:rPr>
                <w:i/>
                <w:iCs/>
              </w:rPr>
              <w:t>euro</w:t>
            </w:r>
            <w:proofErr w:type="spellEnd"/>
            <w:r>
              <w:t xml:space="preserve">, t.sk. ES fondu finansējums 94 793 698 </w:t>
            </w:r>
            <w:proofErr w:type="spellStart"/>
            <w:r w:rsidRPr="00C2716F">
              <w:rPr>
                <w:i/>
                <w:iCs/>
              </w:rPr>
              <w:t>euro</w:t>
            </w:r>
            <w:proofErr w:type="spellEnd"/>
            <w:r>
              <w:t xml:space="preserve"> un valsts budžeta finansējums 35 275 557 </w:t>
            </w:r>
            <w:proofErr w:type="spellStart"/>
            <w:r w:rsidRPr="00C2716F">
              <w:rPr>
                <w:i/>
                <w:iCs/>
              </w:rPr>
              <w:t>euro</w:t>
            </w:r>
            <w:proofErr w:type="spellEnd"/>
            <w:r>
              <w:t>;</w:t>
            </w:r>
          </w:p>
          <w:p w14:paraId="04E20467" w14:textId="5D0D7001" w:rsidR="00C2716F" w:rsidRPr="00C2716F" w:rsidRDefault="00C2716F" w:rsidP="00B218F9">
            <w:pPr>
              <w:spacing w:after="120"/>
              <w:jc w:val="both"/>
              <w:rPr>
                <w:lang w:eastAsia="en-US"/>
              </w:rPr>
            </w:pPr>
            <w:r>
              <w:t xml:space="preserve">2023.gadā – 14 315 825 </w:t>
            </w:r>
            <w:proofErr w:type="spellStart"/>
            <w:r w:rsidRPr="00C2716F">
              <w:rPr>
                <w:i/>
                <w:iCs/>
              </w:rPr>
              <w:t>euro</w:t>
            </w:r>
            <w:proofErr w:type="spellEnd"/>
            <w:r>
              <w:t xml:space="preserve">, t.sk. ES fondu finansējums 11 734 687 </w:t>
            </w:r>
            <w:proofErr w:type="spellStart"/>
            <w:r w:rsidRPr="00C2716F">
              <w:rPr>
                <w:i/>
                <w:iCs/>
              </w:rPr>
              <w:t>euro</w:t>
            </w:r>
            <w:proofErr w:type="spellEnd"/>
            <w:r>
              <w:t xml:space="preserve"> un valsts budžeta finansējums 2 581 138 </w:t>
            </w:r>
            <w:proofErr w:type="spellStart"/>
            <w:r w:rsidRPr="00C2716F">
              <w:rPr>
                <w:i/>
                <w:iCs/>
              </w:rPr>
              <w:t>euro</w:t>
            </w:r>
            <w:proofErr w:type="spellEnd"/>
            <w:r>
              <w:t>.</w:t>
            </w:r>
          </w:p>
          <w:p w14:paraId="75CF2E75" w14:textId="77777777" w:rsidR="00594BA0" w:rsidRDefault="00B218F9" w:rsidP="00B218F9">
            <w:pPr>
              <w:spacing w:after="120"/>
              <w:jc w:val="both"/>
            </w:pPr>
            <w:r w:rsidRPr="00243D28">
              <w:t>Budžeta ieņēmumi saskaņā ar vidēja termiņa budžeta ietvaru ir</w:t>
            </w:r>
            <w:r w:rsidR="00594BA0">
              <w:t>:</w:t>
            </w:r>
          </w:p>
          <w:p w14:paraId="2CD000C9" w14:textId="77777777" w:rsidR="00594BA0" w:rsidRDefault="00B218F9" w:rsidP="00B218F9">
            <w:pPr>
              <w:pStyle w:val="ListParagraph"/>
              <w:numPr>
                <w:ilvl w:val="0"/>
                <w:numId w:val="41"/>
              </w:numPr>
              <w:spacing w:after="120"/>
              <w:jc w:val="both"/>
              <w:rPr>
                <w:lang w:eastAsia="en-US"/>
              </w:rPr>
            </w:pPr>
            <w:r w:rsidRPr="00243D28">
              <w:t>elektrovilcienu vagonu iegādes projekta finansēšanai paredzētie līdzekļi, kas atbilstoši MK 2019.gada 23.jūlija rīkojuma Nr. 385 2.punktam (prot. Nr.33, 84.§) līdz šim tika plānoti valsts budžeta apakšprogrammā 31.09.00 "Dotācija jauno elektrovilcienu projektam". Ievērojot FM 13.septembra informatīvajā ziņojumā minēto, pēc elektrovilcienu vagonu iegādes projekta apstiprināšanas finansējums šim projektam nodrošināms no 74.resora budžeta programmas 80.00.00 “Nesadalītais finansējums Eiropas Savienības politiku instrumentu un pārējās ārvalstu finanšu palīdzības līdzfinansēto projektu un pasākumu īstenošanai” (80.00.00 programma) finansējuma.</w:t>
            </w:r>
          </w:p>
          <w:p w14:paraId="255E37A2" w14:textId="01C2E4CB" w:rsidR="00B218F9" w:rsidRPr="00243D28" w:rsidRDefault="00B218F9" w:rsidP="00B218F9">
            <w:pPr>
              <w:pStyle w:val="ListParagraph"/>
              <w:numPr>
                <w:ilvl w:val="0"/>
                <w:numId w:val="41"/>
              </w:numPr>
              <w:spacing w:after="120"/>
              <w:jc w:val="both"/>
              <w:rPr>
                <w:lang w:eastAsia="en-US"/>
              </w:rPr>
            </w:pPr>
            <w:r w:rsidRPr="00243D28">
              <w:t xml:space="preserve">Daugavpils un Liepājas tramvaju infrastruktūras attīstības projektu </w:t>
            </w:r>
            <w:r w:rsidRPr="00243D28">
              <w:lastRenderedPageBreak/>
              <w:t>īstenošanai nepieciešamais KF finansējums.</w:t>
            </w:r>
          </w:p>
          <w:p w14:paraId="090BC0F0" w14:textId="7A5120D9" w:rsidR="00B218F9" w:rsidRPr="00243D28" w:rsidRDefault="00B218F9" w:rsidP="00B218F9">
            <w:pPr>
              <w:spacing w:after="120"/>
              <w:jc w:val="both"/>
              <w:rPr>
                <w:lang w:eastAsia="en-US"/>
              </w:rPr>
            </w:pPr>
            <w:r w:rsidRPr="00243D28">
              <w:t xml:space="preserve">Budžeta izdevumi ir projektu ieviešanai nepieciešamie līdzekļi, tai skaitā valsts budžeta </w:t>
            </w:r>
            <w:r w:rsidR="00594BA0">
              <w:t>finansējums</w:t>
            </w:r>
            <w:r w:rsidRPr="00243D28">
              <w:t xml:space="preserve"> </w:t>
            </w:r>
            <w:r w:rsidR="00594BA0" w:rsidRPr="00243D28">
              <w:t xml:space="preserve">elektrovilcienu vagonu iegādes projekta finansēšanai </w:t>
            </w:r>
            <w:r w:rsidRPr="00243D28">
              <w:t>no budžeta programmas 80.00.00 “Nesadalītais finansējums Eiropas Savienības politiku instrumentu un pārējās ārvalstu finanšu palīdzības līdzfinansēto projektu un pasākumu īstenošanai”.</w:t>
            </w:r>
          </w:p>
          <w:p w14:paraId="1AA78D43" w14:textId="77777777" w:rsidR="00B218F9" w:rsidRDefault="00B218F9" w:rsidP="00B218F9">
            <w:pPr>
              <w:spacing w:after="120"/>
              <w:jc w:val="both"/>
            </w:pPr>
            <w:r w:rsidRPr="00243D28">
              <w:t>Atbilstoši SM 8.oktobra informatīvajā ziņojumā noteiktajam papildu projektu īstenošanai Daugavpilī un Liepājā nav pieejama valsts budžeta dotācija, nodrošinot, ka projektu īstenošana Daugavpilī un Liepājā nerada papildu valsts budžeta izdevumus.</w:t>
            </w:r>
          </w:p>
          <w:p w14:paraId="0DC37EB2" w14:textId="7534FF93" w:rsidR="00594BA0" w:rsidRPr="00243D28" w:rsidRDefault="00594BA0" w:rsidP="00B218F9">
            <w:pPr>
              <w:spacing w:after="120"/>
              <w:jc w:val="both"/>
            </w:pPr>
            <w:r>
              <w:t>Finansējuma sadalījums pa gadiem norādīts indikatīvi un var tikt precizēts.</w:t>
            </w:r>
          </w:p>
        </w:tc>
      </w:tr>
      <w:tr w:rsidR="00B218F9" w:rsidRPr="00243D28" w14:paraId="522094C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3F07296" w14:textId="77777777" w:rsidR="00B218F9" w:rsidRPr="00243D28" w:rsidRDefault="00B218F9" w:rsidP="00B218F9">
            <w:pPr>
              <w:rPr>
                <w:lang w:eastAsia="en-US"/>
              </w:rPr>
            </w:pPr>
            <w:r w:rsidRPr="00243D28">
              <w:t>6.1. detalizēts ieņēmumu aprēķins</w:t>
            </w:r>
          </w:p>
        </w:tc>
        <w:tc>
          <w:tcPr>
            <w:tcW w:w="7609" w:type="dxa"/>
            <w:gridSpan w:val="7"/>
            <w:vMerge/>
            <w:tcBorders>
              <w:left w:val="single" w:sz="4" w:space="0" w:color="auto"/>
              <w:right w:val="single" w:sz="4" w:space="0" w:color="auto"/>
            </w:tcBorders>
            <w:shd w:val="clear" w:color="auto" w:fill="auto"/>
          </w:tcPr>
          <w:p w14:paraId="6A68D0D6" w14:textId="77777777" w:rsidR="00B218F9" w:rsidRPr="00243D28" w:rsidRDefault="00B218F9" w:rsidP="00B218F9">
            <w:pPr>
              <w:rPr>
                <w:lang w:eastAsia="en-US"/>
              </w:rPr>
            </w:pPr>
          </w:p>
        </w:tc>
      </w:tr>
      <w:tr w:rsidR="00B218F9" w:rsidRPr="00243D28" w14:paraId="7D5451A3" w14:textId="77777777" w:rsidTr="00580EB1">
        <w:trPr>
          <w:trHeight w:val="3348"/>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6F7A959" w14:textId="77777777" w:rsidR="00B218F9" w:rsidRPr="00243D28" w:rsidRDefault="00B218F9" w:rsidP="00B218F9">
            <w:pPr>
              <w:rPr>
                <w:lang w:eastAsia="en-US"/>
              </w:rPr>
            </w:pPr>
            <w:r w:rsidRPr="00243D28">
              <w:t>6.2. detalizēts izdevumu aprēķins</w:t>
            </w:r>
          </w:p>
        </w:tc>
        <w:tc>
          <w:tcPr>
            <w:tcW w:w="7609" w:type="dxa"/>
            <w:gridSpan w:val="7"/>
            <w:vMerge/>
            <w:tcBorders>
              <w:left w:val="single" w:sz="4" w:space="0" w:color="auto"/>
              <w:bottom w:val="single" w:sz="4" w:space="0" w:color="auto"/>
              <w:right w:val="single" w:sz="4" w:space="0" w:color="auto"/>
            </w:tcBorders>
            <w:shd w:val="clear" w:color="auto" w:fill="auto"/>
          </w:tcPr>
          <w:p w14:paraId="26289120" w14:textId="77777777" w:rsidR="00B218F9" w:rsidRPr="00243D28" w:rsidRDefault="00B218F9" w:rsidP="00B218F9">
            <w:pPr>
              <w:rPr>
                <w:lang w:eastAsia="en-US"/>
              </w:rPr>
            </w:pPr>
          </w:p>
        </w:tc>
      </w:tr>
      <w:tr w:rsidR="00B218F9" w:rsidRPr="00243D28" w14:paraId="11103D9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26CCD254" w14:textId="77777777" w:rsidR="00B218F9" w:rsidRPr="00243D28" w:rsidRDefault="00B218F9" w:rsidP="00B218F9">
            <w:r w:rsidRPr="00243D28">
              <w:t>7. Amata vietu skaita izmaiņas</w:t>
            </w:r>
          </w:p>
        </w:tc>
        <w:tc>
          <w:tcPr>
            <w:tcW w:w="7609" w:type="dxa"/>
            <w:gridSpan w:val="7"/>
            <w:tcBorders>
              <w:left w:val="single" w:sz="4" w:space="0" w:color="auto"/>
              <w:bottom w:val="single" w:sz="4" w:space="0" w:color="auto"/>
              <w:right w:val="single" w:sz="4" w:space="0" w:color="auto"/>
            </w:tcBorders>
            <w:shd w:val="clear" w:color="auto" w:fill="auto"/>
          </w:tcPr>
          <w:p w14:paraId="1AAD9A96" w14:textId="77777777" w:rsidR="00B218F9" w:rsidRPr="00243D28" w:rsidRDefault="00B218F9" w:rsidP="00B218F9">
            <w:pPr>
              <w:spacing w:after="120"/>
              <w:rPr>
                <w:lang w:eastAsia="en-US"/>
              </w:rPr>
            </w:pPr>
            <w:r w:rsidRPr="00243D28">
              <w:rPr>
                <w:lang w:eastAsia="en-US"/>
              </w:rPr>
              <w:t>Projekts neietekmē amata vietu skaita izmaiņas.</w:t>
            </w:r>
          </w:p>
        </w:tc>
      </w:tr>
      <w:tr w:rsidR="00B218F9" w:rsidRPr="00243D28" w14:paraId="549F5B89" w14:textId="77777777" w:rsidTr="00580EB1">
        <w:trPr>
          <w:trHeight w:val="274"/>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16ABAF" w14:textId="77777777" w:rsidR="00B218F9" w:rsidRPr="00243D28" w:rsidRDefault="00B218F9" w:rsidP="00B218F9">
            <w:pPr>
              <w:rPr>
                <w:lang w:eastAsia="en-US"/>
              </w:rPr>
            </w:pPr>
            <w:r w:rsidRPr="00243D28">
              <w:t>8. Cita informācija</w:t>
            </w:r>
          </w:p>
        </w:tc>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14:paraId="7BC52167" w14:textId="7B0F0761" w:rsidR="00B218F9" w:rsidRPr="00243D28" w:rsidRDefault="00B218F9" w:rsidP="00B218F9">
            <w:pPr>
              <w:spacing w:after="120"/>
              <w:jc w:val="both"/>
            </w:pPr>
            <w:r w:rsidRPr="00243D28">
              <w:t>Elektrovilcienu vagonu iegādes 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14:paraId="32245A72" w14:textId="77777777" w:rsidR="00B7209A" w:rsidRPr="00243D28" w:rsidRDefault="00B7209A"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976"/>
        <w:gridCol w:w="5247"/>
      </w:tblGrid>
      <w:tr w:rsidR="00895A59" w:rsidRPr="00243D28" w14:paraId="5F08ED0D" w14:textId="77777777" w:rsidTr="0014498A">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C6932C" w14:textId="77777777" w:rsidR="00895A59" w:rsidRPr="00243D28" w:rsidRDefault="00895A59" w:rsidP="005B47D9">
            <w:pPr>
              <w:ind w:firstLine="300"/>
              <w:jc w:val="center"/>
              <w:rPr>
                <w:b/>
                <w:bCs/>
              </w:rPr>
            </w:pPr>
            <w:r w:rsidRPr="00243D28">
              <w:rPr>
                <w:b/>
                <w:bCs/>
              </w:rPr>
              <w:t>IV. Tiesību akta projekta ietekme uz spēkā esošo tiesību normu sistēmu</w:t>
            </w:r>
          </w:p>
        </w:tc>
      </w:tr>
      <w:tr w:rsidR="006A601C" w:rsidRPr="00243D28" w14:paraId="2E8E1FE5" w14:textId="77777777" w:rsidTr="006A601C">
        <w:trPr>
          <w:trHeight w:val="450"/>
        </w:trPr>
        <w:tc>
          <w:tcPr>
            <w:tcW w:w="397" w:type="pct"/>
            <w:tcBorders>
              <w:top w:val="outset" w:sz="6" w:space="0" w:color="414142"/>
              <w:left w:val="outset" w:sz="6" w:space="0" w:color="414142"/>
              <w:bottom w:val="outset" w:sz="6" w:space="0" w:color="414142"/>
              <w:right w:val="outset" w:sz="6" w:space="0" w:color="414142"/>
            </w:tcBorders>
            <w:vAlign w:val="center"/>
          </w:tcPr>
          <w:p w14:paraId="48F9CEDE" w14:textId="6218BB2E" w:rsidR="006A601C" w:rsidRPr="00243D28" w:rsidRDefault="006A601C" w:rsidP="006A601C">
            <w:pPr>
              <w:rPr>
                <w:b/>
                <w:bCs/>
              </w:rPr>
            </w:pPr>
            <w:r w:rsidRPr="00DB6F65">
              <w:t>1.</w:t>
            </w:r>
          </w:p>
        </w:tc>
        <w:tc>
          <w:tcPr>
            <w:tcW w:w="1666" w:type="pct"/>
            <w:tcBorders>
              <w:top w:val="outset" w:sz="6" w:space="0" w:color="414142"/>
              <w:left w:val="outset" w:sz="6" w:space="0" w:color="414142"/>
              <w:bottom w:val="outset" w:sz="6" w:space="0" w:color="414142"/>
              <w:right w:val="outset" w:sz="6" w:space="0" w:color="414142"/>
            </w:tcBorders>
            <w:vAlign w:val="center"/>
          </w:tcPr>
          <w:p w14:paraId="3281F025" w14:textId="69D1D004" w:rsidR="006A601C" w:rsidRPr="00243D28" w:rsidRDefault="006A601C" w:rsidP="006A601C">
            <w:pPr>
              <w:rPr>
                <w:b/>
                <w:bCs/>
              </w:rPr>
            </w:pPr>
            <w:r w:rsidRPr="00142446">
              <w:t>Saistītie tiesību aktu projekti</w:t>
            </w:r>
          </w:p>
        </w:tc>
        <w:tc>
          <w:tcPr>
            <w:tcW w:w="2937" w:type="pct"/>
            <w:tcBorders>
              <w:top w:val="outset" w:sz="6" w:space="0" w:color="414142"/>
              <w:left w:val="outset" w:sz="6" w:space="0" w:color="414142"/>
              <w:bottom w:val="outset" w:sz="6" w:space="0" w:color="414142"/>
              <w:right w:val="outset" w:sz="6" w:space="0" w:color="414142"/>
            </w:tcBorders>
            <w:vAlign w:val="center"/>
          </w:tcPr>
          <w:p w14:paraId="2BE27DAC" w14:textId="0D1DACFE" w:rsidR="006A601C" w:rsidRDefault="006A601C" w:rsidP="006A601C">
            <w:pPr>
              <w:jc w:val="both"/>
            </w:pPr>
            <w:r>
              <w:t xml:space="preserve">Ar noteikumu projektā ierosinātajiem grozījumiem </w:t>
            </w:r>
            <w:r w:rsidRPr="006A601C">
              <w:t>MK noteikum</w:t>
            </w:r>
            <w:r>
              <w:t>os</w:t>
            </w:r>
            <w:r w:rsidRPr="006A601C">
              <w:t xml:space="preserve"> Nr. 281</w:t>
            </w:r>
            <w:r>
              <w:t xml:space="preserve"> ir saistīti tiesību aktu projekti:</w:t>
            </w:r>
          </w:p>
          <w:p w14:paraId="4D916892" w14:textId="4D69DA1E" w:rsidR="00E03F9A" w:rsidRDefault="00E03F9A" w:rsidP="00E35065">
            <w:pPr>
              <w:pStyle w:val="ListParagraph"/>
              <w:numPr>
                <w:ilvl w:val="0"/>
                <w:numId w:val="40"/>
              </w:numPr>
              <w:jc w:val="both"/>
            </w:pPr>
            <w:r>
              <w:t>Grozījumi Ministru kabineta 2016. gada 15. mart</w:t>
            </w:r>
            <w:r w:rsidR="00D92C8B">
              <w:t>a</w:t>
            </w:r>
            <w:r>
              <w:t xml:space="preserve"> </w:t>
            </w:r>
            <w:r w:rsidR="00D92C8B">
              <w:t>noteikumos Nr. 160 “</w:t>
            </w:r>
            <w:r w:rsidR="00D92C8B" w:rsidRPr="00D92C8B">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92C8B">
              <w:t>”;</w:t>
            </w:r>
          </w:p>
          <w:p w14:paraId="6444A7B2" w14:textId="75B07B51" w:rsidR="00E35065" w:rsidRDefault="00E35065" w:rsidP="00E35065">
            <w:pPr>
              <w:pStyle w:val="ListParagraph"/>
              <w:numPr>
                <w:ilvl w:val="0"/>
                <w:numId w:val="40"/>
              </w:numPr>
              <w:jc w:val="both"/>
            </w:pPr>
            <w:r>
              <w:t xml:space="preserve">Grozījumi </w:t>
            </w:r>
            <w:r w:rsidRPr="00E35065">
              <w:t xml:space="preserve">Ministru kabineta </w:t>
            </w:r>
            <w:r>
              <w:t>2017. gada 7. marta noteikumos Nr. 135 “</w:t>
            </w:r>
            <w:r w:rsidRPr="00E35065">
              <w:t>Darbības programmas "Izaugsme un nodarbinātība" 4.3.1. specifiskā atbalsta mērķa "Veicināt energoefektivitāti un vietējo AER izmantošanu centralizētajā siltumapgādē" pirmās projektu iesniegumu atlases kārtas īstenošanas noteikumi</w:t>
            </w:r>
            <w:r>
              <w:t>”</w:t>
            </w:r>
            <w:r w:rsidR="00165A59">
              <w:t xml:space="preserve">. </w:t>
            </w:r>
            <w:r w:rsidR="00165A59" w:rsidRPr="00165A59">
              <w:t xml:space="preserve">Tiesību akta projekts ir </w:t>
            </w:r>
            <w:r w:rsidR="001E6756">
              <w:t>izsludināts</w:t>
            </w:r>
            <w:r w:rsidR="001E6756" w:rsidRPr="00165A59">
              <w:t xml:space="preserve"> </w:t>
            </w:r>
            <w:r w:rsidR="00165A59" w:rsidRPr="00165A59">
              <w:t>Valsts sekretāru sanāksmē 2020.gada 6.</w:t>
            </w:r>
            <w:r w:rsidR="00165A59">
              <w:t>februārī</w:t>
            </w:r>
            <w:r w:rsidR="00165A59" w:rsidRPr="00165A59">
              <w:t xml:space="preserve"> (prot.Nr.</w:t>
            </w:r>
            <w:r w:rsidR="00165A59">
              <w:t>6</w:t>
            </w:r>
            <w:r w:rsidR="00165A59" w:rsidRPr="00165A59">
              <w:t xml:space="preserve">, </w:t>
            </w:r>
            <w:r w:rsidR="00165A59">
              <w:t>5</w:t>
            </w:r>
            <w:r w:rsidR="00165A59" w:rsidRPr="00165A59">
              <w:t>.§)</w:t>
            </w:r>
            <w:r>
              <w:t>;</w:t>
            </w:r>
          </w:p>
          <w:p w14:paraId="27854444" w14:textId="0E77BF86" w:rsidR="00E35065" w:rsidRDefault="00F67CE3" w:rsidP="00E35065">
            <w:pPr>
              <w:pStyle w:val="ListParagraph"/>
              <w:numPr>
                <w:ilvl w:val="0"/>
                <w:numId w:val="40"/>
              </w:numPr>
              <w:jc w:val="both"/>
            </w:pPr>
            <w:r>
              <w:t>Grozījumi Ministru kabineta 2017. gada 22. augusta noteikumos Nr. 495 “</w:t>
            </w:r>
            <w:r w:rsidRPr="00F67CE3">
              <w:t xml:space="preserve">Darbības programmas "Izaugsme un nodarbinātība" 4.3.1. specifiskā atbalsta mērķa "Veicināt energoefektivitāti un vietējo AER izmantošanu </w:t>
            </w:r>
            <w:r w:rsidRPr="00F67CE3">
              <w:lastRenderedPageBreak/>
              <w:t>centralizētajā siltumapgādē" otrās projektu iesniegumu atlases kārtas īstenošanas noteikumi</w:t>
            </w:r>
            <w:r>
              <w:t>”</w:t>
            </w:r>
            <w:r w:rsidR="00165A59">
              <w:t xml:space="preserve">. </w:t>
            </w:r>
            <w:r w:rsidR="00165A59" w:rsidRPr="00165A59">
              <w:t xml:space="preserve">Tiesību akta projekts ir </w:t>
            </w:r>
            <w:r w:rsidR="00610AEB">
              <w:t>izsludināts</w:t>
            </w:r>
            <w:r w:rsidR="00610AEB" w:rsidRPr="00165A59">
              <w:t xml:space="preserve"> </w:t>
            </w:r>
            <w:r w:rsidR="00165A59" w:rsidRPr="00165A59">
              <w:t>Valsts sekretāru sanāksmē 2020.gada 6.</w:t>
            </w:r>
            <w:r w:rsidR="00165A59">
              <w:t>februārī</w:t>
            </w:r>
            <w:r w:rsidR="00165A59" w:rsidRPr="00165A59">
              <w:t xml:space="preserve"> (prot.Nr.</w:t>
            </w:r>
            <w:r w:rsidR="00165A59">
              <w:t>6</w:t>
            </w:r>
            <w:r w:rsidR="00165A59" w:rsidRPr="00165A59">
              <w:t xml:space="preserve">, </w:t>
            </w:r>
            <w:r w:rsidR="00165A59">
              <w:t>6</w:t>
            </w:r>
            <w:r w:rsidR="00165A59" w:rsidRPr="00165A59">
              <w:t>.§)</w:t>
            </w:r>
            <w:r>
              <w:t>;</w:t>
            </w:r>
          </w:p>
          <w:p w14:paraId="1A714857" w14:textId="18C13D0B" w:rsidR="00F67CE3" w:rsidRDefault="00391C25" w:rsidP="00E35065">
            <w:pPr>
              <w:pStyle w:val="ListParagraph"/>
              <w:numPr>
                <w:ilvl w:val="0"/>
                <w:numId w:val="40"/>
              </w:numPr>
              <w:jc w:val="both"/>
            </w:pPr>
            <w:r>
              <w:t>Grozījumi Ministru kabineta 2015. gada 3. novembra noteikumos Nr. 637 “</w:t>
            </w:r>
            <w:r w:rsidRPr="00391C25">
              <w:t>Darbības programmas "Izaugsme un nodarbinātība" 4.4.1. specifiskā atbalsta mērķa "Attīstīt ETL uzlādes infrastruktūru Latvijā" īstenošanas noteikumi</w:t>
            </w:r>
            <w:r>
              <w:t>”.</w:t>
            </w:r>
            <w:r w:rsidR="00610AEB">
              <w:t xml:space="preserve"> Grozījumus plānots izsludināt Valsts sekretāru sanāksmē 2020.gada martā</w:t>
            </w:r>
            <w:bookmarkStart w:id="3" w:name="_GoBack"/>
            <w:r>
              <w:t>;</w:t>
            </w:r>
            <w:bookmarkEnd w:id="3"/>
          </w:p>
          <w:p w14:paraId="747B057A" w14:textId="00D1C448" w:rsidR="006A601C" w:rsidRPr="006A601C" w:rsidRDefault="001E6756" w:rsidP="00301B46">
            <w:pPr>
              <w:pStyle w:val="ListParagraph"/>
              <w:numPr>
                <w:ilvl w:val="0"/>
                <w:numId w:val="40"/>
              </w:numPr>
              <w:jc w:val="both"/>
            </w:pPr>
            <w:r>
              <w:t>Ministru kabineta noteikumu projekts “</w:t>
            </w:r>
            <w:r w:rsidR="006A601C">
              <w:t>Par Ministru kabineta 2016. gada 22. marta noteikumu Nr. 173 "Darbības programmas "Izaugsme un nodarbinātība" 6.1.4. specifiskā atbalsta mērķa "Pilsētu infrastruktūras sasaiste ar TEN-T tīklu" 6.1.4.1. pasākuma "Rīgas ostas un Rīgas pilsētas integrēšana TEN-T tīklā" īstenošanas noteikumi" atzīšanu par spēku zaudējušiem</w:t>
            </w:r>
            <w:r>
              <w:t>”</w:t>
            </w:r>
            <w:r w:rsidR="006A601C">
              <w:t xml:space="preserve">. Tiesību akta projekts ir </w:t>
            </w:r>
            <w:r>
              <w:t xml:space="preserve">izsludināts </w:t>
            </w:r>
            <w:r w:rsidR="006A601C">
              <w:t>Valsts sekretāru sanāksmē 2020.gada 16.janvārī (prot.Nr.3, 9.§).</w:t>
            </w:r>
          </w:p>
        </w:tc>
      </w:tr>
      <w:tr w:rsidR="006A601C" w:rsidRPr="00243D28" w14:paraId="4BDB68E7" w14:textId="77777777" w:rsidTr="006A601C">
        <w:trPr>
          <w:trHeight w:val="450"/>
        </w:trPr>
        <w:tc>
          <w:tcPr>
            <w:tcW w:w="397" w:type="pct"/>
            <w:tcBorders>
              <w:top w:val="outset" w:sz="6" w:space="0" w:color="414142"/>
              <w:left w:val="outset" w:sz="6" w:space="0" w:color="414142"/>
              <w:bottom w:val="outset" w:sz="6" w:space="0" w:color="414142"/>
              <w:right w:val="outset" w:sz="6" w:space="0" w:color="414142"/>
            </w:tcBorders>
            <w:vAlign w:val="center"/>
          </w:tcPr>
          <w:p w14:paraId="1742D1BA" w14:textId="29BFA4A9" w:rsidR="006A601C" w:rsidRPr="00243D28" w:rsidRDefault="006A601C" w:rsidP="006A601C">
            <w:pPr>
              <w:rPr>
                <w:b/>
                <w:bCs/>
              </w:rPr>
            </w:pPr>
            <w:r>
              <w:lastRenderedPageBreak/>
              <w:t>2.</w:t>
            </w:r>
          </w:p>
        </w:tc>
        <w:tc>
          <w:tcPr>
            <w:tcW w:w="1666" w:type="pct"/>
            <w:tcBorders>
              <w:top w:val="outset" w:sz="6" w:space="0" w:color="414142"/>
              <w:left w:val="outset" w:sz="6" w:space="0" w:color="414142"/>
              <w:bottom w:val="outset" w:sz="6" w:space="0" w:color="414142"/>
              <w:right w:val="outset" w:sz="6" w:space="0" w:color="414142"/>
            </w:tcBorders>
            <w:vAlign w:val="center"/>
          </w:tcPr>
          <w:p w14:paraId="797499AB" w14:textId="381CBB2A" w:rsidR="006A601C" w:rsidRPr="00243D28" w:rsidRDefault="006A601C" w:rsidP="006A601C">
            <w:pPr>
              <w:rPr>
                <w:b/>
                <w:bCs/>
              </w:rPr>
            </w:pPr>
            <w:r w:rsidRPr="00142446">
              <w:t>Atbildīgā institūcija</w:t>
            </w:r>
          </w:p>
        </w:tc>
        <w:tc>
          <w:tcPr>
            <w:tcW w:w="2937" w:type="pct"/>
            <w:tcBorders>
              <w:top w:val="outset" w:sz="6" w:space="0" w:color="414142"/>
              <w:left w:val="outset" w:sz="6" w:space="0" w:color="414142"/>
              <w:bottom w:val="outset" w:sz="6" w:space="0" w:color="414142"/>
              <w:right w:val="outset" w:sz="6" w:space="0" w:color="414142"/>
            </w:tcBorders>
            <w:vAlign w:val="center"/>
          </w:tcPr>
          <w:p w14:paraId="093831CE" w14:textId="69FC0C03" w:rsidR="006A601C" w:rsidRPr="006A601C" w:rsidRDefault="006A601C" w:rsidP="006A601C">
            <w:r>
              <w:t>Satiksmes ministrija</w:t>
            </w:r>
          </w:p>
        </w:tc>
      </w:tr>
      <w:tr w:rsidR="006A601C" w:rsidRPr="00243D28" w14:paraId="452F2533" w14:textId="77777777" w:rsidTr="006A601C">
        <w:trPr>
          <w:trHeight w:val="450"/>
        </w:trPr>
        <w:tc>
          <w:tcPr>
            <w:tcW w:w="397" w:type="pct"/>
            <w:tcBorders>
              <w:top w:val="outset" w:sz="6" w:space="0" w:color="414142"/>
              <w:left w:val="outset" w:sz="6" w:space="0" w:color="414142"/>
              <w:bottom w:val="outset" w:sz="6" w:space="0" w:color="414142"/>
              <w:right w:val="outset" w:sz="6" w:space="0" w:color="414142"/>
            </w:tcBorders>
            <w:vAlign w:val="center"/>
          </w:tcPr>
          <w:p w14:paraId="3431FE3E" w14:textId="414516F2" w:rsidR="006A601C" w:rsidRPr="00243D28" w:rsidRDefault="006A601C" w:rsidP="006A601C">
            <w:pPr>
              <w:rPr>
                <w:b/>
                <w:bCs/>
              </w:rPr>
            </w:pPr>
            <w:r>
              <w:t>3.</w:t>
            </w:r>
          </w:p>
        </w:tc>
        <w:tc>
          <w:tcPr>
            <w:tcW w:w="1666" w:type="pct"/>
            <w:tcBorders>
              <w:top w:val="outset" w:sz="6" w:space="0" w:color="414142"/>
              <w:left w:val="outset" w:sz="6" w:space="0" w:color="414142"/>
              <w:bottom w:val="outset" w:sz="6" w:space="0" w:color="414142"/>
              <w:right w:val="outset" w:sz="6" w:space="0" w:color="414142"/>
            </w:tcBorders>
            <w:vAlign w:val="center"/>
          </w:tcPr>
          <w:p w14:paraId="7CF36617" w14:textId="128E0FD8" w:rsidR="006A601C" w:rsidRPr="00243D28" w:rsidRDefault="006A601C" w:rsidP="006A601C">
            <w:pPr>
              <w:rPr>
                <w:b/>
                <w:bCs/>
              </w:rPr>
            </w:pPr>
            <w:r w:rsidRPr="00142446">
              <w:t>Cita informācija</w:t>
            </w:r>
          </w:p>
        </w:tc>
        <w:tc>
          <w:tcPr>
            <w:tcW w:w="2937" w:type="pct"/>
            <w:tcBorders>
              <w:top w:val="outset" w:sz="6" w:space="0" w:color="414142"/>
              <w:left w:val="outset" w:sz="6" w:space="0" w:color="414142"/>
              <w:bottom w:val="outset" w:sz="6" w:space="0" w:color="414142"/>
              <w:right w:val="outset" w:sz="6" w:space="0" w:color="414142"/>
            </w:tcBorders>
            <w:vAlign w:val="center"/>
          </w:tcPr>
          <w:p w14:paraId="20A06AD5" w14:textId="5F72D62F" w:rsidR="006A601C" w:rsidRPr="006A601C" w:rsidRDefault="006A601C" w:rsidP="006A601C">
            <w:r>
              <w:t>Nav</w:t>
            </w:r>
          </w:p>
        </w:tc>
      </w:tr>
    </w:tbl>
    <w:p w14:paraId="1D6A505C" w14:textId="77777777" w:rsidR="00895A59" w:rsidRPr="00243D28" w:rsidRDefault="00895A59"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1"/>
        <w:gridCol w:w="2978"/>
        <w:gridCol w:w="5243"/>
      </w:tblGrid>
      <w:tr w:rsidR="00895A59" w:rsidRPr="00243D28" w14:paraId="2CAD0C74" w14:textId="77777777" w:rsidTr="0014498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243D28" w:rsidRDefault="00895A59" w:rsidP="005B47D9">
            <w:pPr>
              <w:ind w:firstLine="300"/>
              <w:jc w:val="center"/>
              <w:rPr>
                <w:b/>
                <w:bCs/>
              </w:rPr>
            </w:pPr>
            <w:r w:rsidRPr="00243D28">
              <w:rPr>
                <w:b/>
                <w:bCs/>
              </w:rPr>
              <w:t>V. Tiesību akta projekta atbilstība Latvijas Republikas starptautiskajām saistībām</w:t>
            </w:r>
          </w:p>
        </w:tc>
      </w:tr>
      <w:tr w:rsidR="0014498A" w:rsidRPr="00243D28" w14:paraId="3AB0351C"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B898B8E" w14:textId="15D5A0D7" w:rsidR="0014498A" w:rsidRPr="0014498A" w:rsidRDefault="0014498A" w:rsidP="0014498A">
            <w:r>
              <w:t>1.</w:t>
            </w:r>
          </w:p>
        </w:tc>
        <w:tc>
          <w:tcPr>
            <w:tcW w:w="1667" w:type="pct"/>
            <w:tcBorders>
              <w:top w:val="outset" w:sz="6" w:space="0" w:color="414142"/>
              <w:left w:val="outset" w:sz="6" w:space="0" w:color="414142"/>
              <w:bottom w:val="outset" w:sz="6" w:space="0" w:color="414142"/>
              <w:right w:val="outset" w:sz="6" w:space="0" w:color="414142"/>
            </w:tcBorders>
            <w:vAlign w:val="center"/>
          </w:tcPr>
          <w:p w14:paraId="36BB8560" w14:textId="0E2B8BBF" w:rsidR="0014498A" w:rsidRPr="0014498A" w:rsidRDefault="0014498A" w:rsidP="0014498A">
            <w:r w:rsidRPr="0014498A">
              <w:t>Saistības pret Eiropas Savienību</w:t>
            </w:r>
          </w:p>
        </w:tc>
        <w:tc>
          <w:tcPr>
            <w:tcW w:w="2935" w:type="pct"/>
            <w:tcBorders>
              <w:top w:val="outset" w:sz="6" w:space="0" w:color="414142"/>
              <w:left w:val="outset" w:sz="6" w:space="0" w:color="414142"/>
              <w:bottom w:val="outset" w:sz="6" w:space="0" w:color="414142"/>
              <w:right w:val="outset" w:sz="6" w:space="0" w:color="414142"/>
            </w:tcBorders>
            <w:vAlign w:val="center"/>
          </w:tcPr>
          <w:p w14:paraId="05C39177" w14:textId="3602D5F6" w:rsidR="0014498A" w:rsidRPr="0014498A" w:rsidRDefault="001E1EB3" w:rsidP="0014498A">
            <w:pPr>
              <w:jc w:val="both"/>
            </w:pPr>
            <w:r w:rsidRPr="001E1EB3">
              <w:t>Eiropas Parlamenta un Padomes Regula (EK) Nr. 1370/2007 (2007. gada 23. oktobris) par sabiedriskā pasažieru transporta pakalpojumiem, izmantojot dzelzceļu un autoceļus, un ar ko atceļ Padomes Regulu (EEK) Nr. 1191/69 un Padomes Regulu (EEK) Nr. 1107/70</w:t>
            </w:r>
            <w:r>
              <w:t>.</w:t>
            </w:r>
          </w:p>
        </w:tc>
      </w:tr>
      <w:tr w:rsidR="0014498A" w:rsidRPr="00243D28" w14:paraId="7A1070CA"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6569207" w14:textId="7C3A6F56" w:rsidR="0014498A" w:rsidRPr="0014498A" w:rsidRDefault="0014498A" w:rsidP="0014498A">
            <w:r>
              <w:t>2.</w:t>
            </w:r>
          </w:p>
        </w:tc>
        <w:tc>
          <w:tcPr>
            <w:tcW w:w="1667" w:type="pct"/>
            <w:tcBorders>
              <w:top w:val="outset" w:sz="6" w:space="0" w:color="414142"/>
              <w:left w:val="outset" w:sz="6" w:space="0" w:color="414142"/>
              <w:bottom w:val="outset" w:sz="6" w:space="0" w:color="414142"/>
              <w:right w:val="outset" w:sz="6" w:space="0" w:color="414142"/>
            </w:tcBorders>
            <w:vAlign w:val="center"/>
          </w:tcPr>
          <w:p w14:paraId="422CBBA2" w14:textId="1EAA7FB2" w:rsidR="0014498A" w:rsidRPr="0014498A" w:rsidRDefault="0014498A" w:rsidP="0014498A">
            <w:r w:rsidRPr="0014498A">
              <w:t>Citas starptautiskās saistības</w:t>
            </w:r>
          </w:p>
        </w:tc>
        <w:tc>
          <w:tcPr>
            <w:tcW w:w="2935" w:type="pct"/>
            <w:tcBorders>
              <w:top w:val="outset" w:sz="6" w:space="0" w:color="414142"/>
              <w:left w:val="outset" w:sz="6" w:space="0" w:color="414142"/>
              <w:bottom w:val="outset" w:sz="6" w:space="0" w:color="414142"/>
              <w:right w:val="outset" w:sz="6" w:space="0" w:color="414142"/>
            </w:tcBorders>
          </w:tcPr>
          <w:p w14:paraId="49270C52" w14:textId="502DC3E8" w:rsidR="0014498A" w:rsidRPr="0014498A" w:rsidRDefault="0014498A" w:rsidP="0014498A">
            <w:r w:rsidRPr="00EC3211">
              <w:t>MK noteikumu projekts šo jomu neskar.</w:t>
            </w:r>
          </w:p>
        </w:tc>
      </w:tr>
      <w:tr w:rsidR="0014498A" w:rsidRPr="00243D28" w14:paraId="06A6363F"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275FB53B" w14:textId="4AA6BE2D" w:rsidR="0014498A" w:rsidRPr="0014498A" w:rsidRDefault="0014498A" w:rsidP="0014498A">
            <w:r>
              <w:t>3.</w:t>
            </w:r>
          </w:p>
        </w:tc>
        <w:tc>
          <w:tcPr>
            <w:tcW w:w="1667" w:type="pct"/>
            <w:tcBorders>
              <w:top w:val="outset" w:sz="6" w:space="0" w:color="414142"/>
              <w:left w:val="outset" w:sz="6" w:space="0" w:color="414142"/>
              <w:bottom w:val="outset" w:sz="6" w:space="0" w:color="414142"/>
              <w:right w:val="outset" w:sz="6" w:space="0" w:color="414142"/>
            </w:tcBorders>
            <w:vAlign w:val="center"/>
          </w:tcPr>
          <w:p w14:paraId="1DB85953" w14:textId="53E218F3" w:rsidR="0014498A" w:rsidRPr="0014498A" w:rsidRDefault="0014498A" w:rsidP="0014498A">
            <w:r w:rsidRPr="0014498A">
              <w:t>Cita informācija</w:t>
            </w:r>
          </w:p>
        </w:tc>
        <w:tc>
          <w:tcPr>
            <w:tcW w:w="2935" w:type="pct"/>
            <w:tcBorders>
              <w:top w:val="outset" w:sz="6" w:space="0" w:color="414142"/>
              <w:left w:val="outset" w:sz="6" w:space="0" w:color="414142"/>
              <w:bottom w:val="outset" w:sz="6" w:space="0" w:color="414142"/>
              <w:right w:val="outset" w:sz="6" w:space="0" w:color="414142"/>
            </w:tcBorders>
          </w:tcPr>
          <w:p w14:paraId="4447842B" w14:textId="27B9F3A1" w:rsidR="0014498A" w:rsidRPr="0014498A" w:rsidRDefault="001E1EB3" w:rsidP="001E1EB3">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14:paraId="14F23377" w14:textId="15DDEBFA" w:rsidR="00895A59" w:rsidRDefault="00895A59" w:rsidP="00895A59"/>
    <w:p w14:paraId="439C73D2" w14:textId="7DB28073" w:rsidR="00314D67" w:rsidRDefault="00314D67" w:rsidP="00895A59"/>
    <w:p w14:paraId="43F6C98B" w14:textId="77777777" w:rsidR="00064025" w:rsidRDefault="00064025"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4"/>
        <w:gridCol w:w="2092"/>
        <w:gridCol w:w="920"/>
        <w:gridCol w:w="1172"/>
        <w:gridCol w:w="2404"/>
      </w:tblGrid>
      <w:tr w:rsidR="0014498A" w:rsidRPr="0014498A" w14:paraId="6FC96AFC"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E084EF3" w14:textId="77777777" w:rsidR="0014498A" w:rsidRPr="0014498A" w:rsidRDefault="0014498A" w:rsidP="0014498A">
            <w:pPr>
              <w:jc w:val="center"/>
              <w:rPr>
                <w:b/>
                <w:bCs/>
              </w:rPr>
            </w:pPr>
            <w:r w:rsidRPr="0014498A">
              <w:rPr>
                <w:b/>
                <w:bCs/>
              </w:rPr>
              <w:lastRenderedPageBreak/>
              <w:t>1. tabula</w:t>
            </w:r>
            <w:r w:rsidRPr="0014498A">
              <w:rPr>
                <w:b/>
                <w:bCs/>
              </w:rPr>
              <w:br/>
              <w:t>Tiesību akta projekta atbilstība ES tiesību aktiem</w:t>
            </w:r>
          </w:p>
        </w:tc>
      </w:tr>
      <w:tr w:rsidR="0014498A" w:rsidRPr="0014498A" w14:paraId="59C07E84"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D1A33EB" w14:textId="77777777" w:rsidR="0014498A" w:rsidRPr="0014498A" w:rsidRDefault="0014498A" w:rsidP="0014498A">
            <w:r w:rsidRPr="0014498A">
              <w:t>Attiecīgā ES tiesību akta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11468748" w14:textId="6CBE22A3" w:rsidR="0014498A" w:rsidRPr="0014498A" w:rsidRDefault="00412C98" w:rsidP="0014498A">
            <w:r w:rsidRPr="001E1EB3">
              <w:t>Eiropas Parlamenta un Padomes Regula (EK) Nr. 1370/2007 (2007. gada 23. oktobris) par sabiedriskā pasažieru transporta pakalpojumiem, izmantojot dzelzceļu un autoceļus, un ar ko atceļ Padomes Regulu (EEK) Nr. 1191/69 un Padomes Regulu (EEK) Nr. 1107/70</w:t>
            </w:r>
            <w:r>
              <w:t>.</w:t>
            </w:r>
          </w:p>
        </w:tc>
      </w:tr>
      <w:tr w:rsidR="0014498A" w:rsidRPr="0014498A" w14:paraId="2B20229D" w14:textId="77777777" w:rsidTr="0014498A">
        <w:tc>
          <w:tcPr>
            <w:tcW w:w="1312" w:type="pct"/>
            <w:tcBorders>
              <w:top w:val="outset" w:sz="6" w:space="0" w:color="414142"/>
              <w:left w:val="outset" w:sz="6" w:space="0" w:color="414142"/>
              <w:bottom w:val="outset" w:sz="6" w:space="0" w:color="414142"/>
              <w:right w:val="outset" w:sz="6" w:space="0" w:color="414142"/>
            </w:tcBorders>
            <w:vAlign w:val="center"/>
            <w:hideMark/>
          </w:tcPr>
          <w:p w14:paraId="48C271FB" w14:textId="77777777" w:rsidR="0014498A" w:rsidRPr="0014498A" w:rsidRDefault="0014498A" w:rsidP="0014498A">
            <w:pPr>
              <w:jc w:val="center"/>
            </w:pPr>
            <w:r w:rsidRPr="0014498A">
              <w:t>A</w:t>
            </w:r>
          </w:p>
        </w:tc>
        <w:tc>
          <w:tcPr>
            <w:tcW w:w="1171" w:type="pct"/>
            <w:tcBorders>
              <w:top w:val="outset" w:sz="6" w:space="0" w:color="414142"/>
              <w:left w:val="outset" w:sz="6" w:space="0" w:color="414142"/>
              <w:bottom w:val="outset" w:sz="6" w:space="0" w:color="414142"/>
              <w:right w:val="outset" w:sz="6" w:space="0" w:color="414142"/>
            </w:tcBorders>
            <w:vAlign w:val="center"/>
            <w:hideMark/>
          </w:tcPr>
          <w:p w14:paraId="669B96D4" w14:textId="77777777" w:rsidR="0014498A" w:rsidRPr="0014498A" w:rsidRDefault="0014498A" w:rsidP="0014498A">
            <w:pPr>
              <w:jc w:val="center"/>
            </w:pPr>
            <w:r w:rsidRPr="0014498A">
              <w:t>B</w:t>
            </w:r>
          </w:p>
        </w:tc>
        <w:tc>
          <w:tcPr>
            <w:tcW w:w="1171" w:type="pct"/>
            <w:gridSpan w:val="2"/>
            <w:tcBorders>
              <w:top w:val="outset" w:sz="6" w:space="0" w:color="414142"/>
              <w:left w:val="outset" w:sz="6" w:space="0" w:color="414142"/>
              <w:bottom w:val="outset" w:sz="6" w:space="0" w:color="414142"/>
              <w:right w:val="outset" w:sz="6" w:space="0" w:color="414142"/>
            </w:tcBorders>
            <w:vAlign w:val="center"/>
            <w:hideMark/>
          </w:tcPr>
          <w:p w14:paraId="79F62B63" w14:textId="77777777" w:rsidR="0014498A" w:rsidRPr="0014498A" w:rsidRDefault="0014498A" w:rsidP="0014498A">
            <w:pPr>
              <w:jc w:val="center"/>
            </w:pPr>
            <w:r w:rsidRPr="0014498A">
              <w:t>C</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73EB7623" w14:textId="77777777" w:rsidR="0014498A" w:rsidRPr="0014498A" w:rsidRDefault="0014498A" w:rsidP="0014498A">
            <w:pPr>
              <w:jc w:val="center"/>
            </w:pPr>
            <w:r w:rsidRPr="0014498A">
              <w:t>D</w:t>
            </w:r>
          </w:p>
        </w:tc>
      </w:tr>
      <w:tr w:rsidR="0014498A" w:rsidRPr="0014498A" w14:paraId="370A02D3"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ADCAB4B" w14:textId="77777777" w:rsidR="0014498A" w:rsidRPr="0014498A" w:rsidRDefault="0014498A" w:rsidP="0014498A">
            <w:r w:rsidRPr="0014498A">
              <w:t>Attiecīgā ES tiesību akta panta numurs (uzskaitot katru tiesību akta vienību – pantu, daļu, punktu, apakšpunktu)</w:t>
            </w:r>
          </w:p>
        </w:tc>
        <w:tc>
          <w:tcPr>
            <w:tcW w:w="1171" w:type="pct"/>
            <w:tcBorders>
              <w:top w:val="outset" w:sz="6" w:space="0" w:color="414142"/>
              <w:left w:val="outset" w:sz="6" w:space="0" w:color="414142"/>
              <w:bottom w:val="outset" w:sz="6" w:space="0" w:color="414142"/>
              <w:right w:val="outset" w:sz="6" w:space="0" w:color="414142"/>
            </w:tcBorders>
            <w:hideMark/>
          </w:tcPr>
          <w:p w14:paraId="4EA40FF2" w14:textId="77777777" w:rsidR="0014498A" w:rsidRPr="0014498A" w:rsidRDefault="0014498A" w:rsidP="0014498A">
            <w:r w:rsidRPr="0014498A">
              <w:t>Projekta vienība, kas pārņem vai ievieš katru šīs tabulas A ailē minēto ES tiesību akta vienību, vai tiesību akts, kur attiecīgā ES tiesību akta vienība pārņemta vai ieviesta</w:t>
            </w:r>
          </w:p>
        </w:tc>
        <w:tc>
          <w:tcPr>
            <w:tcW w:w="1171" w:type="pct"/>
            <w:gridSpan w:val="2"/>
            <w:tcBorders>
              <w:top w:val="outset" w:sz="6" w:space="0" w:color="414142"/>
              <w:left w:val="outset" w:sz="6" w:space="0" w:color="414142"/>
              <w:bottom w:val="outset" w:sz="6" w:space="0" w:color="414142"/>
              <w:right w:val="outset" w:sz="6" w:space="0" w:color="414142"/>
            </w:tcBorders>
            <w:hideMark/>
          </w:tcPr>
          <w:p w14:paraId="07049D7F" w14:textId="77777777" w:rsidR="0014498A" w:rsidRPr="0014498A" w:rsidRDefault="0014498A" w:rsidP="0014498A">
            <w:r w:rsidRPr="0014498A">
              <w:t>Informācija par to, vai šīs tabulas A ailē 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Norāda institūciju, kas ir atbildīga par šo saistību izpildi pilnībā</w:t>
            </w:r>
          </w:p>
        </w:tc>
        <w:tc>
          <w:tcPr>
            <w:tcW w:w="1346" w:type="pct"/>
            <w:tcBorders>
              <w:top w:val="outset" w:sz="6" w:space="0" w:color="414142"/>
              <w:left w:val="outset" w:sz="6" w:space="0" w:color="414142"/>
              <w:bottom w:val="outset" w:sz="6" w:space="0" w:color="414142"/>
              <w:right w:val="outset" w:sz="6" w:space="0" w:color="414142"/>
            </w:tcBorders>
            <w:hideMark/>
          </w:tcPr>
          <w:p w14:paraId="571AB7CC" w14:textId="77777777" w:rsidR="0014498A" w:rsidRPr="0014498A" w:rsidRDefault="0014498A" w:rsidP="0014498A">
            <w:r w:rsidRPr="0014498A">
              <w:t>Informācija par to, vai šīs tabulas B ailē 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00443363" w:rsidRPr="0014498A" w14:paraId="77E4712A"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161B19D8" w14:textId="2EA0D8EC" w:rsidR="00443363" w:rsidRPr="0014498A" w:rsidRDefault="00412C98" w:rsidP="00443363">
            <w:r w:rsidRPr="001E1EB3">
              <w:t>Eiropas Parlamenta un Padomes Regula</w:t>
            </w:r>
            <w:r>
              <w:t>s</w:t>
            </w:r>
            <w:r w:rsidRPr="001E1EB3">
              <w:t xml:space="preserve"> (EK) Nr. 1370/2007</w:t>
            </w:r>
            <w:r>
              <w:t xml:space="preserve"> </w:t>
            </w:r>
            <w:r w:rsidR="00574901">
              <w:t>4.pantā minētie nosacījumi.</w:t>
            </w:r>
          </w:p>
        </w:tc>
        <w:tc>
          <w:tcPr>
            <w:tcW w:w="1171" w:type="pct"/>
            <w:tcBorders>
              <w:top w:val="outset" w:sz="6" w:space="0" w:color="414142"/>
              <w:left w:val="outset" w:sz="6" w:space="0" w:color="414142"/>
              <w:bottom w:val="outset" w:sz="6" w:space="0" w:color="414142"/>
              <w:right w:val="outset" w:sz="6" w:space="0" w:color="414142"/>
            </w:tcBorders>
          </w:tcPr>
          <w:p w14:paraId="28BB27FF" w14:textId="673F40C9" w:rsidR="00443363" w:rsidRPr="0014498A" w:rsidRDefault="00443363" w:rsidP="00443363">
            <w:r w:rsidRPr="00717AF1">
              <w:t xml:space="preserve">MK noteikumu projekta </w:t>
            </w:r>
            <w:r w:rsidR="00574901">
              <w:t>13</w:t>
            </w:r>
            <w:r w:rsidRPr="00717AF1">
              <w:t>.</w:t>
            </w:r>
            <w:r w:rsidR="00574901">
              <w:t>2.apakš</w:t>
            </w:r>
            <w:r w:rsidRPr="00717AF1">
              <w:t>punkts</w:t>
            </w:r>
            <w:r w:rsidR="00574901">
              <w:t xml:space="preserve"> un 29.1.</w:t>
            </w:r>
            <w:r w:rsidR="00574901" w:rsidRPr="00574901">
              <w:rPr>
                <w:vertAlign w:val="superscript"/>
              </w:rPr>
              <w:t>1</w:t>
            </w:r>
            <w:r w:rsidR="00574901">
              <w:t xml:space="preserve"> apakšpunkts</w:t>
            </w:r>
            <w:r w:rsidRPr="00717AF1">
              <w:t>.</w:t>
            </w:r>
          </w:p>
        </w:tc>
        <w:tc>
          <w:tcPr>
            <w:tcW w:w="1171" w:type="pct"/>
            <w:gridSpan w:val="2"/>
            <w:tcBorders>
              <w:top w:val="outset" w:sz="6" w:space="0" w:color="414142"/>
              <w:left w:val="outset" w:sz="6" w:space="0" w:color="414142"/>
              <w:bottom w:val="outset" w:sz="6" w:space="0" w:color="414142"/>
              <w:right w:val="outset" w:sz="6" w:space="0" w:color="414142"/>
            </w:tcBorders>
          </w:tcPr>
          <w:p w14:paraId="2EFA21C7" w14:textId="4A5A35C0" w:rsidR="00443363" w:rsidRPr="0014498A" w:rsidRDefault="00443363" w:rsidP="00443363">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4CEE955A" w14:textId="01CCD727" w:rsidR="00443363" w:rsidRPr="0014498A" w:rsidRDefault="00443363" w:rsidP="00443363">
            <w:r w:rsidRPr="007909EE">
              <w:t>Netiek paredzētas stingrākas prasības.</w:t>
            </w:r>
          </w:p>
        </w:tc>
      </w:tr>
      <w:tr w:rsidR="00574901" w:rsidRPr="0014498A" w14:paraId="714E1A0A"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3488EB12" w14:textId="011BEAB9" w:rsidR="00574901" w:rsidRPr="001E1EB3" w:rsidRDefault="00574901" w:rsidP="00574901">
            <w:r w:rsidRPr="001E1EB3">
              <w:t>Eiropas Parlamenta un Padomes Regula</w:t>
            </w:r>
            <w:r>
              <w:t>s</w:t>
            </w:r>
            <w:r w:rsidRPr="001E1EB3">
              <w:t xml:space="preserve"> (EK) Nr. 1370/2007</w:t>
            </w:r>
            <w:r>
              <w:t xml:space="preserve"> 4.pantā un 5.pantā minētie nosacījumi.</w:t>
            </w:r>
          </w:p>
        </w:tc>
        <w:tc>
          <w:tcPr>
            <w:tcW w:w="1171" w:type="pct"/>
            <w:tcBorders>
              <w:top w:val="outset" w:sz="6" w:space="0" w:color="414142"/>
              <w:left w:val="outset" w:sz="6" w:space="0" w:color="414142"/>
              <w:bottom w:val="outset" w:sz="6" w:space="0" w:color="414142"/>
              <w:right w:val="outset" w:sz="6" w:space="0" w:color="414142"/>
            </w:tcBorders>
          </w:tcPr>
          <w:p w14:paraId="03AEE490" w14:textId="34BAF6B3" w:rsidR="00574901" w:rsidRPr="00717AF1" w:rsidRDefault="00574901" w:rsidP="00574901">
            <w:r w:rsidRPr="00717AF1">
              <w:t xml:space="preserve">MK noteikumu projekta </w:t>
            </w:r>
            <w:r>
              <w:t>16</w:t>
            </w:r>
            <w:r w:rsidRPr="00717AF1">
              <w:t>.</w:t>
            </w:r>
            <w:r>
              <w:t>2.apakš</w:t>
            </w:r>
            <w:r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678325AD" w14:textId="032DCF2D" w:rsidR="00574901" w:rsidRPr="007909EE" w:rsidRDefault="00574901" w:rsidP="00574901">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2D4954FC" w14:textId="0F71AB1F" w:rsidR="00574901" w:rsidRPr="007909EE" w:rsidRDefault="00574901" w:rsidP="00574901">
            <w:r w:rsidRPr="007909EE">
              <w:t>Netiek paredzētas stingrākas prasības.</w:t>
            </w:r>
          </w:p>
        </w:tc>
      </w:tr>
      <w:tr w:rsidR="00574901" w:rsidRPr="0014498A" w14:paraId="049DD7E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1D63F70" w14:textId="77777777" w:rsidR="00574901" w:rsidRPr="0014498A" w:rsidRDefault="00574901" w:rsidP="00574901">
            <w:r w:rsidRPr="0014498A">
              <w:t xml:space="preserve">Kā ir izmantota ES tiesību aktā paredzētā rīcības brīvība dalībvalstij pārņemt vai ieviest noteiktas ES tiesību akta normas? </w:t>
            </w:r>
            <w:r w:rsidRPr="0014498A">
              <w:lastRenderedPageBreak/>
              <w:t>Kādēļ?</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634C63CF" w14:textId="7F3015F4" w:rsidR="00574901" w:rsidRPr="0014498A" w:rsidRDefault="00574901" w:rsidP="00574901">
            <w:r>
              <w:lastRenderedPageBreak/>
              <w:t>Nav</w:t>
            </w:r>
          </w:p>
        </w:tc>
      </w:tr>
      <w:tr w:rsidR="00574901" w:rsidRPr="0014498A" w14:paraId="712C0EDD"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3670EC13" w14:textId="77777777" w:rsidR="00574901" w:rsidRPr="0014498A" w:rsidRDefault="00574901" w:rsidP="00574901">
            <w:r w:rsidRPr="0014498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51D53FE" w14:textId="65F7A044" w:rsidR="00574901" w:rsidRPr="0014498A" w:rsidRDefault="00574901" w:rsidP="00574901">
            <w:r>
              <w:t>Nav</w:t>
            </w:r>
          </w:p>
        </w:tc>
      </w:tr>
      <w:tr w:rsidR="00574901" w:rsidRPr="0014498A" w14:paraId="0D5DD316"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42431B16" w14:textId="77777777" w:rsidR="00574901" w:rsidRPr="0014498A" w:rsidRDefault="00574901" w:rsidP="00574901">
            <w:r w:rsidRPr="0014498A">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2FCED" w14:textId="20D34DCA" w:rsidR="00574901" w:rsidRPr="0014498A" w:rsidRDefault="00574901" w:rsidP="00574901">
            <w:r w:rsidRPr="0014498A">
              <w:t>Nav</w:t>
            </w:r>
          </w:p>
        </w:tc>
      </w:tr>
      <w:tr w:rsidR="00574901" w:rsidRPr="0014498A" w14:paraId="027341AA"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377B54D" w14:textId="77777777" w:rsidR="00574901" w:rsidRPr="0014498A" w:rsidRDefault="00574901" w:rsidP="00574901">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00574901" w:rsidRPr="0014498A" w14:paraId="646428BB"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AAABF72" w14:textId="77777777" w:rsidR="00574901" w:rsidRPr="0014498A" w:rsidRDefault="00574901" w:rsidP="00574901">
            <w:r w:rsidRPr="0014498A">
              <w:t>Attiecīgā starptautiskā tiesību akta vai starptautiskas institūcijas vai organizācijas dokumenta (turpmāk – starptautiskais dokuments)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F4419" w14:textId="58719388" w:rsidR="00574901" w:rsidRPr="0014498A" w:rsidRDefault="002B4B94" w:rsidP="00574901">
            <w:r>
              <w:t>Nav</w:t>
            </w:r>
          </w:p>
        </w:tc>
      </w:tr>
      <w:tr w:rsidR="00574901" w:rsidRPr="0014498A" w14:paraId="233977E3" w14:textId="77777777" w:rsidTr="00443363">
        <w:tc>
          <w:tcPr>
            <w:tcW w:w="1312" w:type="pct"/>
            <w:tcBorders>
              <w:top w:val="outset" w:sz="6" w:space="0" w:color="414142"/>
              <w:left w:val="outset" w:sz="6" w:space="0" w:color="414142"/>
              <w:bottom w:val="outset" w:sz="6" w:space="0" w:color="414142"/>
              <w:right w:val="outset" w:sz="6" w:space="0" w:color="414142"/>
            </w:tcBorders>
            <w:vAlign w:val="center"/>
            <w:hideMark/>
          </w:tcPr>
          <w:p w14:paraId="717B69DE" w14:textId="77777777" w:rsidR="00574901" w:rsidRPr="0014498A" w:rsidRDefault="00574901" w:rsidP="00574901">
            <w:pPr>
              <w:jc w:val="center"/>
            </w:pPr>
            <w:r w:rsidRPr="0014498A">
              <w:t>A</w:t>
            </w:r>
          </w:p>
        </w:tc>
        <w:tc>
          <w:tcPr>
            <w:tcW w:w="1686" w:type="pct"/>
            <w:gridSpan w:val="2"/>
            <w:tcBorders>
              <w:top w:val="outset" w:sz="6" w:space="0" w:color="414142"/>
              <w:left w:val="outset" w:sz="6" w:space="0" w:color="414142"/>
              <w:bottom w:val="outset" w:sz="6" w:space="0" w:color="414142"/>
              <w:right w:val="outset" w:sz="6" w:space="0" w:color="414142"/>
            </w:tcBorders>
            <w:vAlign w:val="center"/>
            <w:hideMark/>
          </w:tcPr>
          <w:p w14:paraId="269964FB" w14:textId="77777777" w:rsidR="00574901" w:rsidRPr="0014498A" w:rsidRDefault="00574901" w:rsidP="00574901">
            <w:pPr>
              <w:jc w:val="center"/>
            </w:pPr>
            <w:r w:rsidRPr="0014498A">
              <w:t>B</w:t>
            </w:r>
          </w:p>
        </w:tc>
        <w:tc>
          <w:tcPr>
            <w:tcW w:w="2002" w:type="pct"/>
            <w:gridSpan w:val="2"/>
            <w:tcBorders>
              <w:top w:val="outset" w:sz="6" w:space="0" w:color="414142"/>
              <w:left w:val="outset" w:sz="6" w:space="0" w:color="414142"/>
              <w:bottom w:val="outset" w:sz="6" w:space="0" w:color="414142"/>
              <w:right w:val="outset" w:sz="6" w:space="0" w:color="414142"/>
            </w:tcBorders>
            <w:vAlign w:val="center"/>
            <w:hideMark/>
          </w:tcPr>
          <w:p w14:paraId="65C3CA6C" w14:textId="77777777" w:rsidR="00574901" w:rsidRPr="0014498A" w:rsidRDefault="00574901" w:rsidP="00574901">
            <w:pPr>
              <w:jc w:val="center"/>
            </w:pPr>
            <w:r w:rsidRPr="0014498A">
              <w:t>C</w:t>
            </w:r>
          </w:p>
        </w:tc>
      </w:tr>
      <w:tr w:rsidR="00574901" w:rsidRPr="0014498A" w14:paraId="1D993A4F" w14:textId="77777777" w:rsidTr="00443363">
        <w:tc>
          <w:tcPr>
            <w:tcW w:w="1312" w:type="pct"/>
            <w:tcBorders>
              <w:top w:val="outset" w:sz="6" w:space="0" w:color="414142"/>
              <w:left w:val="outset" w:sz="6" w:space="0" w:color="414142"/>
              <w:bottom w:val="outset" w:sz="6" w:space="0" w:color="414142"/>
              <w:right w:val="outset" w:sz="6" w:space="0" w:color="414142"/>
            </w:tcBorders>
            <w:hideMark/>
          </w:tcPr>
          <w:p w14:paraId="6EB91375" w14:textId="77777777" w:rsidR="00574901" w:rsidRPr="0014498A" w:rsidRDefault="00574901" w:rsidP="00574901">
            <w:r w:rsidRPr="0014498A">
              <w:t>Starptautiskās saistības (pēc būtības), kas izriet no norādītā starptautiskā dokumenta.</w:t>
            </w:r>
            <w:r w:rsidRPr="0014498A">
              <w:br/>
              <w:t>Konkrēti veicamie pasākumi vai uzdevumi, kas nepieciešami šo starptautisko saistību izpildei</w:t>
            </w:r>
          </w:p>
        </w:tc>
        <w:tc>
          <w:tcPr>
            <w:tcW w:w="1686" w:type="pct"/>
            <w:gridSpan w:val="2"/>
            <w:tcBorders>
              <w:top w:val="outset" w:sz="6" w:space="0" w:color="414142"/>
              <w:left w:val="outset" w:sz="6" w:space="0" w:color="414142"/>
              <w:bottom w:val="outset" w:sz="6" w:space="0" w:color="414142"/>
              <w:right w:val="outset" w:sz="6" w:space="0" w:color="414142"/>
            </w:tcBorders>
            <w:hideMark/>
          </w:tcPr>
          <w:p w14:paraId="4D2C6118" w14:textId="77777777" w:rsidR="00574901" w:rsidRPr="0014498A" w:rsidRDefault="00574901" w:rsidP="00574901">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2" w:type="pct"/>
            <w:gridSpan w:val="2"/>
            <w:tcBorders>
              <w:top w:val="outset" w:sz="6" w:space="0" w:color="414142"/>
              <w:left w:val="outset" w:sz="6" w:space="0" w:color="414142"/>
              <w:bottom w:val="outset" w:sz="6" w:space="0" w:color="414142"/>
              <w:right w:val="outset" w:sz="6" w:space="0" w:color="414142"/>
            </w:tcBorders>
            <w:hideMark/>
          </w:tcPr>
          <w:p w14:paraId="3A95BDA5" w14:textId="77777777" w:rsidR="00574901" w:rsidRPr="0014498A" w:rsidRDefault="00574901" w:rsidP="00574901">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00574901" w:rsidRPr="0014498A" w14:paraId="5427A2CD" w14:textId="77777777" w:rsidTr="002B4B94">
        <w:tc>
          <w:tcPr>
            <w:tcW w:w="1312" w:type="pct"/>
            <w:tcBorders>
              <w:top w:val="outset" w:sz="6" w:space="0" w:color="414142"/>
              <w:left w:val="outset" w:sz="6" w:space="0" w:color="414142"/>
              <w:bottom w:val="outset" w:sz="6" w:space="0" w:color="414142"/>
              <w:right w:val="outset" w:sz="6" w:space="0" w:color="414142"/>
            </w:tcBorders>
          </w:tcPr>
          <w:p w14:paraId="1A5EBA99" w14:textId="321C4549" w:rsidR="00574901" w:rsidRPr="0014498A" w:rsidRDefault="002B4B94" w:rsidP="00574901">
            <w:r>
              <w:t>Nav</w:t>
            </w:r>
          </w:p>
        </w:tc>
        <w:tc>
          <w:tcPr>
            <w:tcW w:w="1686" w:type="pct"/>
            <w:gridSpan w:val="2"/>
            <w:tcBorders>
              <w:top w:val="outset" w:sz="6" w:space="0" w:color="414142"/>
              <w:left w:val="outset" w:sz="6" w:space="0" w:color="414142"/>
              <w:bottom w:val="outset" w:sz="6" w:space="0" w:color="414142"/>
              <w:right w:val="outset" w:sz="6" w:space="0" w:color="414142"/>
            </w:tcBorders>
          </w:tcPr>
          <w:p w14:paraId="3F294783" w14:textId="279CBA05" w:rsidR="00574901" w:rsidRPr="0014498A" w:rsidRDefault="002B4B94" w:rsidP="00574901">
            <w:r>
              <w:t>Nav</w:t>
            </w:r>
          </w:p>
        </w:tc>
        <w:tc>
          <w:tcPr>
            <w:tcW w:w="2002" w:type="pct"/>
            <w:gridSpan w:val="2"/>
            <w:tcBorders>
              <w:top w:val="outset" w:sz="6" w:space="0" w:color="414142"/>
              <w:left w:val="outset" w:sz="6" w:space="0" w:color="414142"/>
              <w:bottom w:val="outset" w:sz="6" w:space="0" w:color="414142"/>
              <w:right w:val="outset" w:sz="6" w:space="0" w:color="414142"/>
            </w:tcBorders>
          </w:tcPr>
          <w:p w14:paraId="2DA954D1" w14:textId="6CC3B281" w:rsidR="00574901" w:rsidRPr="0014498A" w:rsidRDefault="002B4B94" w:rsidP="00574901">
            <w:r>
              <w:t>Nav</w:t>
            </w:r>
          </w:p>
        </w:tc>
      </w:tr>
      <w:tr w:rsidR="00574901" w:rsidRPr="0014498A" w14:paraId="503E9759"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F9D7A40" w14:textId="77777777" w:rsidR="00574901" w:rsidRPr="0014498A" w:rsidRDefault="00574901" w:rsidP="00574901">
            <w:r w:rsidRPr="0014498A">
              <w:t>Vai starptautiskajā dokumentā paredzētās saistības nav pretrunā ar jau esošajām Latvijas Republikas starptautiskajām saistībām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767B2AE" w14:textId="6E72BCFC" w:rsidR="00574901" w:rsidRPr="0014498A" w:rsidRDefault="002B4B94" w:rsidP="00574901">
            <w:r>
              <w:t>Nav</w:t>
            </w:r>
          </w:p>
        </w:tc>
      </w:tr>
      <w:tr w:rsidR="00574901" w:rsidRPr="0014498A" w14:paraId="765097A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C411EE1" w14:textId="77777777" w:rsidR="00574901" w:rsidRPr="0014498A" w:rsidRDefault="00574901" w:rsidP="00574901">
            <w:r w:rsidRPr="0014498A">
              <w:lastRenderedPageBreak/>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394A66A5" w14:textId="364B8C0D" w:rsidR="00574901" w:rsidRPr="0014498A" w:rsidRDefault="00574901" w:rsidP="00574901">
            <w:r w:rsidRPr="0014498A">
              <w:t>Nav</w:t>
            </w:r>
          </w:p>
        </w:tc>
      </w:tr>
    </w:tbl>
    <w:p w14:paraId="529A6583" w14:textId="77777777" w:rsidR="0014498A" w:rsidRPr="00243D28" w:rsidRDefault="0014498A"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1"/>
        <w:gridCol w:w="2978"/>
        <w:gridCol w:w="5243"/>
      </w:tblGrid>
      <w:tr w:rsidR="0036288B" w:rsidRPr="00243D28" w14:paraId="78F02240" w14:textId="77777777" w:rsidTr="0014498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B26598" w14:textId="77777777" w:rsidR="0036288B" w:rsidRPr="00243D28" w:rsidRDefault="0036288B" w:rsidP="005B47D9">
            <w:pPr>
              <w:ind w:firstLine="300"/>
              <w:jc w:val="center"/>
              <w:rPr>
                <w:b/>
                <w:bCs/>
              </w:rPr>
            </w:pPr>
            <w:r w:rsidRPr="00243D28">
              <w:rPr>
                <w:b/>
                <w:bCs/>
              </w:rPr>
              <w:t>VI. Sabiedrības līdzdalība un komunikācijas aktivitātes</w:t>
            </w:r>
          </w:p>
        </w:tc>
      </w:tr>
      <w:tr w:rsidR="0036288B" w:rsidRPr="00243D28" w14:paraId="02ACE2FE" w14:textId="77777777" w:rsidTr="0014498A">
        <w:trPr>
          <w:trHeight w:val="420"/>
        </w:trPr>
        <w:tc>
          <w:tcPr>
            <w:tcW w:w="398" w:type="pct"/>
            <w:tcBorders>
              <w:top w:val="outset" w:sz="6" w:space="0" w:color="414142"/>
              <w:left w:val="outset" w:sz="6" w:space="0" w:color="414142"/>
              <w:bottom w:val="outset" w:sz="6" w:space="0" w:color="414142"/>
              <w:right w:val="outset" w:sz="6" w:space="0" w:color="414142"/>
            </w:tcBorders>
          </w:tcPr>
          <w:p w14:paraId="30619AAE" w14:textId="77777777" w:rsidR="0036288B" w:rsidRPr="00243D28" w:rsidDel="00C8606C" w:rsidRDefault="0036288B" w:rsidP="005B47D9">
            <w:r w:rsidRPr="00243D28">
              <w:t>1.</w:t>
            </w:r>
          </w:p>
        </w:tc>
        <w:tc>
          <w:tcPr>
            <w:tcW w:w="1667" w:type="pct"/>
            <w:tcBorders>
              <w:top w:val="outset" w:sz="6" w:space="0" w:color="414142"/>
              <w:left w:val="outset" w:sz="6" w:space="0" w:color="414142"/>
              <w:bottom w:val="outset" w:sz="6" w:space="0" w:color="414142"/>
              <w:right w:val="outset" w:sz="6" w:space="0" w:color="414142"/>
            </w:tcBorders>
          </w:tcPr>
          <w:p w14:paraId="2B77E499" w14:textId="77777777" w:rsidR="0036288B" w:rsidRPr="00243D28" w:rsidDel="00C8606C" w:rsidRDefault="0036288B" w:rsidP="005B47D9">
            <w:r w:rsidRPr="00243D28">
              <w:t>Plānotās sabiedrības līdzdalības un komunikācijas aktivitātes saistībā ar projektu</w:t>
            </w:r>
          </w:p>
        </w:tc>
        <w:tc>
          <w:tcPr>
            <w:tcW w:w="2935" w:type="pct"/>
            <w:tcBorders>
              <w:top w:val="outset" w:sz="6" w:space="0" w:color="414142"/>
              <w:left w:val="outset" w:sz="6" w:space="0" w:color="414142"/>
              <w:bottom w:val="outset" w:sz="6" w:space="0" w:color="414142"/>
              <w:right w:val="outset" w:sz="6" w:space="0" w:color="414142"/>
            </w:tcBorders>
          </w:tcPr>
          <w:p w14:paraId="31897DD3" w14:textId="1BF6C93D" w:rsidR="0036288B" w:rsidRPr="00243D28" w:rsidDel="00C8606C" w:rsidRDefault="00EC2FCA" w:rsidP="005B47D9">
            <w:pPr>
              <w:jc w:val="both"/>
            </w:pPr>
            <w:r w:rsidRPr="00243D28">
              <w:t>Atbilstoši Ministru kabineta 2009.gada 25.augusta noteikumu Nr.970 „Sabiedrības līdzdalības kārtība attīstības plānošanas procesā” 7.4.</w:t>
            </w:r>
            <w:r w:rsidRPr="00243D28">
              <w:rPr>
                <w:vertAlign w:val="superscript"/>
              </w:rPr>
              <w:t>1</w:t>
            </w:r>
            <w:r w:rsidRPr="00243D28">
              <w:t xml:space="preserve"> apakšpunktam sabiedrībai ir dota iespēja rakstiski sniegt viedokli par noteikumu projektu tā izstrādes stadijā.</w:t>
            </w:r>
          </w:p>
        </w:tc>
      </w:tr>
      <w:tr w:rsidR="0036288B" w:rsidRPr="00243D28" w14:paraId="24F5643E" w14:textId="77777777" w:rsidTr="0014498A">
        <w:trPr>
          <w:trHeight w:val="420"/>
        </w:trPr>
        <w:tc>
          <w:tcPr>
            <w:tcW w:w="398" w:type="pct"/>
            <w:tcBorders>
              <w:top w:val="outset" w:sz="6" w:space="0" w:color="414142"/>
              <w:left w:val="outset" w:sz="6" w:space="0" w:color="414142"/>
              <w:bottom w:val="outset" w:sz="6" w:space="0" w:color="414142"/>
              <w:right w:val="outset" w:sz="6" w:space="0" w:color="414142"/>
            </w:tcBorders>
          </w:tcPr>
          <w:p w14:paraId="3D8CEDDC" w14:textId="77777777" w:rsidR="0036288B" w:rsidRPr="00243D28" w:rsidDel="00C8606C" w:rsidRDefault="0036288B" w:rsidP="005B47D9">
            <w:r w:rsidRPr="00243D28">
              <w:t>2.</w:t>
            </w:r>
          </w:p>
        </w:tc>
        <w:tc>
          <w:tcPr>
            <w:tcW w:w="1667" w:type="pct"/>
            <w:tcBorders>
              <w:top w:val="outset" w:sz="6" w:space="0" w:color="414142"/>
              <w:left w:val="outset" w:sz="6" w:space="0" w:color="414142"/>
              <w:bottom w:val="outset" w:sz="6" w:space="0" w:color="414142"/>
              <w:right w:val="outset" w:sz="6" w:space="0" w:color="414142"/>
            </w:tcBorders>
          </w:tcPr>
          <w:p w14:paraId="628DE49E" w14:textId="77777777" w:rsidR="0036288B" w:rsidRPr="00243D28" w:rsidDel="00C8606C" w:rsidRDefault="0036288B" w:rsidP="005B47D9">
            <w:r w:rsidRPr="00243D28">
              <w:t>Sabiedrības līdzdalība projekta izstrādē</w:t>
            </w:r>
          </w:p>
        </w:tc>
        <w:tc>
          <w:tcPr>
            <w:tcW w:w="2935" w:type="pct"/>
            <w:tcBorders>
              <w:top w:val="outset" w:sz="6" w:space="0" w:color="414142"/>
              <w:left w:val="outset" w:sz="6" w:space="0" w:color="414142"/>
              <w:bottom w:val="outset" w:sz="6" w:space="0" w:color="414142"/>
              <w:right w:val="outset" w:sz="6" w:space="0" w:color="414142"/>
            </w:tcBorders>
          </w:tcPr>
          <w:p w14:paraId="78886E1E" w14:textId="03A04987" w:rsidR="0036288B" w:rsidRPr="00243D28" w:rsidDel="00C8606C" w:rsidRDefault="00EC2FCA" w:rsidP="005B47D9">
            <w:pPr>
              <w:jc w:val="both"/>
            </w:pPr>
            <w:r w:rsidRPr="00243D28">
              <w:t>Atbilstoši Ministru kabineta 2009.gada 25.augusta noteikumiem Nr.970 „Sabiedrības līdzdalības kārtība attīstības plānošanas procesā” par projekta izstrādi ir informēti sabiedrības pārstāvji, ievietojot paziņojumu par līdzdalības iespējām tiesību akta izstrādes procesā Satiksmes ministrijas tīmekļa vietnē</w:t>
            </w:r>
            <w:r w:rsidR="00E33A1D" w:rsidRPr="00243D28">
              <w:t xml:space="preserve"> </w:t>
            </w:r>
            <w:hyperlink r:id="rId8" w:history="1">
              <w:r w:rsidR="00E33A1D" w:rsidRPr="00243D28">
                <w:rPr>
                  <w:rStyle w:val="Hyperlink"/>
                </w:rPr>
                <w:t>www.sam.gov.lv</w:t>
              </w:r>
            </w:hyperlink>
            <w:r w:rsidR="00542EF7">
              <w:rPr>
                <w:rStyle w:val="Hyperlink"/>
                <w:color w:val="auto"/>
                <w:u w:val="none"/>
              </w:rPr>
              <w:t xml:space="preserve"> un</w:t>
            </w:r>
            <w:r w:rsidR="00D451BF">
              <w:rPr>
                <w:rStyle w:val="Hyperlink"/>
                <w:color w:val="auto"/>
                <w:u w:val="none"/>
              </w:rPr>
              <w:t xml:space="preserve"> Ministru kabineta tīmekļa vietnē</w:t>
            </w:r>
            <w:r w:rsidR="00542EF7">
              <w:rPr>
                <w:rStyle w:val="Hyperlink"/>
                <w:color w:val="auto"/>
                <w:u w:val="none"/>
              </w:rPr>
              <w:t xml:space="preserve"> </w:t>
            </w:r>
            <w:hyperlink r:id="rId9" w:history="1">
              <w:r w:rsidR="00542EF7" w:rsidRPr="000F078C">
                <w:rPr>
                  <w:rStyle w:val="Hyperlink"/>
                </w:rPr>
                <w:t>www.mk.gov.lv</w:t>
              </w:r>
            </w:hyperlink>
            <w:r w:rsidRPr="00243D28">
              <w:t>.</w:t>
            </w:r>
          </w:p>
        </w:tc>
      </w:tr>
      <w:tr w:rsidR="0036288B" w:rsidRPr="00243D28" w14:paraId="6257750C" w14:textId="77777777" w:rsidTr="0014498A">
        <w:trPr>
          <w:trHeight w:val="420"/>
        </w:trPr>
        <w:tc>
          <w:tcPr>
            <w:tcW w:w="398" w:type="pct"/>
            <w:tcBorders>
              <w:top w:val="outset" w:sz="6" w:space="0" w:color="414142"/>
              <w:left w:val="outset" w:sz="6" w:space="0" w:color="414142"/>
              <w:bottom w:val="outset" w:sz="6" w:space="0" w:color="414142"/>
              <w:right w:val="outset" w:sz="6" w:space="0" w:color="414142"/>
            </w:tcBorders>
          </w:tcPr>
          <w:p w14:paraId="7513755D" w14:textId="77777777" w:rsidR="0036288B" w:rsidRPr="00243D28" w:rsidDel="00C8606C" w:rsidRDefault="0036288B" w:rsidP="005B47D9">
            <w:r w:rsidRPr="00243D28">
              <w:t>3.</w:t>
            </w:r>
          </w:p>
        </w:tc>
        <w:tc>
          <w:tcPr>
            <w:tcW w:w="1667" w:type="pct"/>
            <w:tcBorders>
              <w:top w:val="outset" w:sz="6" w:space="0" w:color="414142"/>
              <w:left w:val="outset" w:sz="6" w:space="0" w:color="414142"/>
              <w:bottom w:val="outset" w:sz="6" w:space="0" w:color="414142"/>
              <w:right w:val="outset" w:sz="6" w:space="0" w:color="414142"/>
            </w:tcBorders>
          </w:tcPr>
          <w:p w14:paraId="068A5EA2" w14:textId="77777777" w:rsidR="0036288B" w:rsidRPr="00243D28" w:rsidDel="00C8606C" w:rsidRDefault="0036288B" w:rsidP="005B47D9">
            <w:r w:rsidRPr="00243D28">
              <w:t>Sabiedrības līdzdalības rezultāti</w:t>
            </w:r>
          </w:p>
        </w:tc>
        <w:tc>
          <w:tcPr>
            <w:tcW w:w="2935" w:type="pct"/>
            <w:tcBorders>
              <w:top w:val="outset" w:sz="6" w:space="0" w:color="414142"/>
              <w:left w:val="outset" w:sz="6" w:space="0" w:color="414142"/>
              <w:bottom w:val="outset" w:sz="6" w:space="0" w:color="414142"/>
              <w:right w:val="outset" w:sz="6" w:space="0" w:color="414142"/>
            </w:tcBorders>
          </w:tcPr>
          <w:p w14:paraId="055D2B6C" w14:textId="49351790" w:rsidR="0036288B" w:rsidRPr="00243D28" w:rsidDel="00C8606C" w:rsidRDefault="00E33A1D" w:rsidP="005B47D9">
            <w:pPr>
              <w:jc w:val="both"/>
            </w:pPr>
            <w:r w:rsidRPr="00243D28">
              <w:t>Tiks papildināts</w:t>
            </w:r>
            <w:r w:rsidR="00EF6367" w:rsidRPr="00243D28">
              <w:t>.</w:t>
            </w:r>
          </w:p>
        </w:tc>
      </w:tr>
      <w:tr w:rsidR="0036288B" w:rsidRPr="00243D28" w14:paraId="608740EC" w14:textId="77777777" w:rsidTr="0014498A">
        <w:trPr>
          <w:trHeight w:val="242"/>
        </w:trPr>
        <w:tc>
          <w:tcPr>
            <w:tcW w:w="398" w:type="pct"/>
            <w:tcBorders>
              <w:top w:val="outset" w:sz="6" w:space="0" w:color="414142"/>
              <w:left w:val="outset" w:sz="6" w:space="0" w:color="414142"/>
              <w:bottom w:val="outset" w:sz="6" w:space="0" w:color="414142"/>
              <w:right w:val="outset" w:sz="6" w:space="0" w:color="414142"/>
            </w:tcBorders>
          </w:tcPr>
          <w:p w14:paraId="50322AA5" w14:textId="77777777" w:rsidR="0036288B" w:rsidRPr="00243D28" w:rsidDel="00C8606C" w:rsidRDefault="0036288B" w:rsidP="005B47D9">
            <w:r w:rsidRPr="00243D28">
              <w:t>4.</w:t>
            </w:r>
          </w:p>
        </w:tc>
        <w:tc>
          <w:tcPr>
            <w:tcW w:w="1667" w:type="pct"/>
            <w:tcBorders>
              <w:top w:val="outset" w:sz="6" w:space="0" w:color="414142"/>
              <w:left w:val="outset" w:sz="6" w:space="0" w:color="414142"/>
              <w:bottom w:val="outset" w:sz="6" w:space="0" w:color="414142"/>
              <w:right w:val="outset" w:sz="6" w:space="0" w:color="414142"/>
            </w:tcBorders>
          </w:tcPr>
          <w:p w14:paraId="2F9ADB40" w14:textId="77777777" w:rsidR="0036288B" w:rsidRPr="00243D28" w:rsidDel="00C8606C" w:rsidRDefault="0036288B" w:rsidP="005B47D9">
            <w:r w:rsidRPr="00243D28">
              <w:rPr>
                <w:iCs/>
              </w:rPr>
              <w:t xml:space="preserve">Cita </w:t>
            </w:r>
            <w:r w:rsidRPr="00243D28">
              <w:t>informācija</w:t>
            </w:r>
          </w:p>
        </w:tc>
        <w:tc>
          <w:tcPr>
            <w:tcW w:w="2935" w:type="pct"/>
            <w:tcBorders>
              <w:top w:val="outset" w:sz="6" w:space="0" w:color="414142"/>
              <w:left w:val="outset" w:sz="6" w:space="0" w:color="414142"/>
              <w:bottom w:val="outset" w:sz="6" w:space="0" w:color="414142"/>
              <w:right w:val="outset" w:sz="6" w:space="0" w:color="414142"/>
            </w:tcBorders>
          </w:tcPr>
          <w:p w14:paraId="62DA01E3" w14:textId="3DA567C8" w:rsidR="0036288B" w:rsidRPr="00243D28" w:rsidDel="00C8606C" w:rsidRDefault="00EC2FCA" w:rsidP="005B47D9">
            <w:pPr>
              <w:jc w:val="both"/>
            </w:pPr>
            <w:r w:rsidRPr="00243D28">
              <w:t>Nav.</w:t>
            </w:r>
          </w:p>
        </w:tc>
      </w:tr>
    </w:tbl>
    <w:p w14:paraId="010A7EE2" w14:textId="77777777" w:rsidR="0036288B" w:rsidRPr="00243D28" w:rsidRDefault="0036288B"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1"/>
        <w:gridCol w:w="2982"/>
        <w:gridCol w:w="5279"/>
      </w:tblGrid>
      <w:tr w:rsidR="00895A59" w:rsidRPr="00243D28" w14:paraId="583314DF" w14:textId="77777777" w:rsidTr="0014498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243D28" w:rsidRDefault="00895A59" w:rsidP="005B47D9">
            <w:pPr>
              <w:ind w:firstLine="300"/>
              <w:jc w:val="center"/>
              <w:rPr>
                <w:b/>
                <w:bCs/>
              </w:rPr>
            </w:pPr>
            <w:r w:rsidRPr="00243D28">
              <w:rPr>
                <w:b/>
                <w:bCs/>
              </w:rPr>
              <w:t>VII. Tiesību akta projekta izpildes nodrošināšana un tās ietekme uz institūcijām</w:t>
            </w:r>
          </w:p>
        </w:tc>
      </w:tr>
      <w:tr w:rsidR="00895A59" w:rsidRPr="00243D28" w14:paraId="685A6C98" w14:textId="77777777" w:rsidTr="0014498A">
        <w:trPr>
          <w:trHeight w:val="420"/>
        </w:trPr>
        <w:tc>
          <w:tcPr>
            <w:tcW w:w="376"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243D28" w:rsidRDefault="00895A59" w:rsidP="00DD2FF8">
            <w:r w:rsidRPr="00243D28">
              <w:t>1.</w:t>
            </w:r>
          </w:p>
        </w:tc>
        <w:tc>
          <w:tcPr>
            <w:tcW w:w="1669"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243D28" w:rsidRDefault="00895A59" w:rsidP="00DD2FF8">
            <w:r w:rsidRPr="00243D28">
              <w:t>Projekta izpildē iesaistītās institūcijas</w:t>
            </w:r>
          </w:p>
        </w:tc>
        <w:tc>
          <w:tcPr>
            <w:tcW w:w="2955" w:type="pct"/>
            <w:tcBorders>
              <w:top w:val="outset" w:sz="6" w:space="0" w:color="414142"/>
              <w:left w:val="outset" w:sz="6" w:space="0" w:color="414142"/>
              <w:bottom w:val="outset" w:sz="6" w:space="0" w:color="414142"/>
              <w:right w:val="outset" w:sz="6" w:space="0" w:color="414142"/>
            </w:tcBorders>
            <w:hideMark/>
          </w:tcPr>
          <w:p w14:paraId="1A812AFA" w14:textId="67D42F5B" w:rsidR="00895A59" w:rsidRPr="00243D28" w:rsidRDefault="00895A59" w:rsidP="00DD2FF8">
            <w:pPr>
              <w:jc w:val="both"/>
            </w:pPr>
            <w:r w:rsidRPr="00243D28">
              <w:t>Satiksmes ministrija, Centrālā finanšu un līgumu aģentūra</w:t>
            </w:r>
          </w:p>
        </w:tc>
      </w:tr>
      <w:tr w:rsidR="00895A59" w:rsidRPr="00243D28" w14:paraId="58217CE1" w14:textId="77777777" w:rsidTr="0014498A">
        <w:trPr>
          <w:trHeight w:val="450"/>
        </w:trPr>
        <w:tc>
          <w:tcPr>
            <w:tcW w:w="376"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243D28" w:rsidRDefault="00895A59" w:rsidP="00DD2FF8">
            <w:r w:rsidRPr="00243D28">
              <w:t>2.</w:t>
            </w:r>
          </w:p>
        </w:tc>
        <w:tc>
          <w:tcPr>
            <w:tcW w:w="1669"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243D28" w:rsidRDefault="00895A59" w:rsidP="00DD2FF8">
            <w:r w:rsidRPr="00243D28">
              <w:t xml:space="preserve">Projekta izpildes ietekme uz pārvaldes funkcijām un institucionālo struktūru. </w:t>
            </w:r>
          </w:p>
          <w:p w14:paraId="6461F9F8" w14:textId="77777777" w:rsidR="00895A59" w:rsidRPr="00243D28" w:rsidRDefault="00895A59" w:rsidP="00DD2FF8">
            <w:r w:rsidRPr="00243D28">
              <w:t>Jaunu institūciju izveide, esošu institūciju likvidācija vai reorganizācija, to ietekme uz institūcijas cilvēkresursiem</w:t>
            </w:r>
          </w:p>
        </w:tc>
        <w:tc>
          <w:tcPr>
            <w:tcW w:w="2955" w:type="pct"/>
            <w:tcBorders>
              <w:top w:val="outset" w:sz="6" w:space="0" w:color="414142"/>
              <w:left w:val="outset" w:sz="6" w:space="0" w:color="414142"/>
              <w:bottom w:val="outset" w:sz="6" w:space="0" w:color="414142"/>
              <w:right w:val="outset" w:sz="6" w:space="0" w:color="414142"/>
            </w:tcBorders>
            <w:hideMark/>
          </w:tcPr>
          <w:p w14:paraId="1DBF8A18" w14:textId="77777777" w:rsidR="00895A59" w:rsidRPr="00243D28" w:rsidRDefault="00895A59" w:rsidP="00DD2FF8">
            <w:pPr>
              <w:jc w:val="both"/>
            </w:pPr>
            <w:r w:rsidRPr="00243D28">
              <w:t>Projekts šo jomu neskar.</w:t>
            </w:r>
          </w:p>
        </w:tc>
      </w:tr>
      <w:tr w:rsidR="00895A59" w:rsidRPr="00243D28" w14:paraId="295A47D8" w14:textId="77777777" w:rsidTr="0014498A">
        <w:trPr>
          <w:trHeight w:val="390"/>
        </w:trPr>
        <w:tc>
          <w:tcPr>
            <w:tcW w:w="376"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243D28" w:rsidRDefault="00895A59" w:rsidP="00DD2FF8">
            <w:r w:rsidRPr="00243D28">
              <w:t>3.</w:t>
            </w:r>
          </w:p>
        </w:tc>
        <w:tc>
          <w:tcPr>
            <w:tcW w:w="1669"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243D28" w:rsidRDefault="00895A59" w:rsidP="00DD2FF8">
            <w:r w:rsidRPr="00243D28">
              <w:t>Cita informācija</w:t>
            </w:r>
          </w:p>
        </w:tc>
        <w:tc>
          <w:tcPr>
            <w:tcW w:w="2955"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243D28" w:rsidRDefault="00895A59" w:rsidP="00DD2FF8">
            <w:pPr>
              <w:jc w:val="both"/>
            </w:pPr>
            <w:r w:rsidRPr="00243D28">
              <w:t>Nav.</w:t>
            </w:r>
          </w:p>
        </w:tc>
      </w:tr>
    </w:tbl>
    <w:p w14:paraId="1850F304" w14:textId="77777777" w:rsidR="0036288B" w:rsidRPr="00243D28" w:rsidRDefault="0036288B" w:rsidP="0036288B">
      <w:pPr>
        <w:jc w:val="both"/>
      </w:pPr>
    </w:p>
    <w:p w14:paraId="7487AD54" w14:textId="77777777" w:rsidR="0036288B" w:rsidRPr="00243D28" w:rsidRDefault="0036288B" w:rsidP="0036288B">
      <w:pPr>
        <w:jc w:val="both"/>
      </w:pPr>
    </w:p>
    <w:p w14:paraId="1411574B" w14:textId="77777777" w:rsidR="0036288B" w:rsidRPr="00243D28" w:rsidRDefault="0036288B" w:rsidP="0036288B">
      <w:pPr>
        <w:jc w:val="both"/>
      </w:pPr>
      <w:r w:rsidRPr="00243D28">
        <w:t>Iesniedzējs:</w:t>
      </w:r>
    </w:p>
    <w:p w14:paraId="784EA1BF" w14:textId="58AC4EA9" w:rsidR="0036288B" w:rsidRPr="00243D28" w:rsidRDefault="00542EF7" w:rsidP="0036288B">
      <w:pPr>
        <w:tabs>
          <w:tab w:val="left" w:pos="6379"/>
        </w:tabs>
        <w:jc w:val="both"/>
      </w:pPr>
      <w:r>
        <w:t>S</w:t>
      </w:r>
      <w:r w:rsidR="0036288B" w:rsidRPr="00243D28">
        <w:t>atiksmes ministrs</w:t>
      </w:r>
      <w:r w:rsidR="0036288B" w:rsidRPr="00243D28">
        <w:tab/>
        <w:t xml:space="preserve">T. </w:t>
      </w:r>
      <w:proofErr w:type="spellStart"/>
      <w:r w:rsidR="0036288B" w:rsidRPr="00243D28">
        <w:t>Linkaits</w:t>
      </w:r>
      <w:proofErr w:type="spellEnd"/>
    </w:p>
    <w:p w14:paraId="7BA023DB" w14:textId="77777777" w:rsidR="0036288B" w:rsidRPr="00243D28" w:rsidRDefault="0036288B" w:rsidP="0036288B">
      <w:pPr>
        <w:pStyle w:val="naisf"/>
        <w:spacing w:before="0" w:beforeAutospacing="0" w:after="0" w:afterAutospacing="0"/>
      </w:pPr>
    </w:p>
    <w:p w14:paraId="498C71FC" w14:textId="77777777" w:rsidR="0036288B" w:rsidRPr="00243D28" w:rsidRDefault="0036288B" w:rsidP="0036288B">
      <w:pPr>
        <w:jc w:val="both"/>
      </w:pPr>
      <w:r w:rsidRPr="00243D28">
        <w:t>Vīza:</w:t>
      </w:r>
    </w:p>
    <w:p w14:paraId="399DA67F" w14:textId="502194AB" w:rsidR="006244E4" w:rsidRPr="00243D28" w:rsidRDefault="00542EF7" w:rsidP="0036288B">
      <w:pPr>
        <w:tabs>
          <w:tab w:val="left" w:pos="6379"/>
        </w:tabs>
        <w:jc w:val="both"/>
      </w:pPr>
      <w:r>
        <w:t>V</w:t>
      </w:r>
      <w:r w:rsidR="0036288B" w:rsidRPr="00243D28">
        <w:t>alsts sekretār</w:t>
      </w:r>
      <w:r w:rsidR="00692C80">
        <w:t>e</w:t>
      </w:r>
      <w:r w:rsidR="00CF0483">
        <w:tab/>
      </w:r>
      <w:proofErr w:type="spellStart"/>
      <w:r w:rsidR="00692C80">
        <w:t>I.Stepanova</w:t>
      </w:r>
      <w:proofErr w:type="spellEnd"/>
    </w:p>
    <w:sectPr w:rsidR="006244E4" w:rsidRPr="00243D28" w:rsidSect="00BA6DD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6EAA" w14:textId="77777777" w:rsidR="00F95904" w:rsidRDefault="00F95904" w:rsidP="00846F01">
      <w:r>
        <w:separator/>
      </w:r>
    </w:p>
  </w:endnote>
  <w:endnote w:type="continuationSeparator" w:id="0">
    <w:p w14:paraId="05768EEB" w14:textId="77777777" w:rsidR="00F95904" w:rsidRDefault="00F95904"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F500" w14:textId="1D233B89" w:rsidR="00610AEB" w:rsidRPr="00846F01" w:rsidRDefault="00610AEB">
    <w:pPr>
      <w:pStyle w:val="Footer"/>
      <w:rPr>
        <w:sz w:val="20"/>
        <w:szCs w:val="20"/>
      </w:rPr>
    </w:pPr>
    <w:r w:rsidRPr="00846F01">
      <w:rPr>
        <w:sz w:val="20"/>
        <w:szCs w:val="20"/>
      </w:rPr>
      <w:t>SMAnot_</w:t>
    </w:r>
    <w:r>
      <w:rPr>
        <w:sz w:val="20"/>
        <w:szCs w:val="20"/>
      </w:rPr>
      <w:t>022020_groz_281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389C7" w14:textId="77777777" w:rsidR="00F95904" w:rsidRDefault="00F95904" w:rsidP="00846F01">
      <w:r>
        <w:separator/>
      </w:r>
    </w:p>
  </w:footnote>
  <w:footnote w:type="continuationSeparator" w:id="0">
    <w:p w14:paraId="4A26C445" w14:textId="77777777" w:rsidR="00F95904" w:rsidRDefault="00F95904" w:rsidP="00846F01">
      <w:r>
        <w:continuationSeparator/>
      </w:r>
    </w:p>
  </w:footnote>
  <w:footnote w:id="1">
    <w:p w14:paraId="2A36BF19" w14:textId="4C592533" w:rsidR="00610AEB" w:rsidRPr="006F614C" w:rsidRDefault="00610AEB" w:rsidP="006F614C">
      <w:pPr>
        <w:pStyle w:val="FootnoteText"/>
        <w:jc w:val="both"/>
      </w:pPr>
      <w:r>
        <w:rPr>
          <w:rStyle w:val="FootnoteReference"/>
        </w:rPr>
        <w:footnoteRef/>
      </w:r>
      <w:r>
        <w:t xml:space="preserve"> </w:t>
      </w:r>
      <w:r w:rsidRPr="006F614C">
        <w:t>Eiropas Savienības struktūrfondu un Kohēzijas fonda vadības likums. Latvijas Vēstnesis, 33, 23.02.2007.</w:t>
      </w:r>
    </w:p>
  </w:footnote>
  <w:footnote w:id="2">
    <w:p w14:paraId="6EF4561B" w14:textId="77777777" w:rsidR="00610AEB" w:rsidRPr="00097BC5" w:rsidRDefault="00610AEB" w:rsidP="003835B7">
      <w:pPr>
        <w:pStyle w:val="FootnoteText"/>
        <w:jc w:val="both"/>
      </w:pPr>
      <w:r w:rsidRPr="00097BC5">
        <w:rPr>
          <w:rStyle w:val="FootnoteReference"/>
        </w:rPr>
        <w:footnoteRef/>
      </w:r>
      <w:r w:rsidRPr="00097BC5">
        <w:t xml:space="preserve"> </w:t>
      </w:r>
      <w:r w:rsidRPr="00097BC5">
        <w:t>Ministru kabineta 2019. gada 13. septembra protokols Nr. 41 "Ministru kabineta ārkārtas sēdes protokols". Latvijas Vēstnesis, 190, 18.09.2019.</w:t>
      </w:r>
    </w:p>
  </w:footnote>
  <w:footnote w:id="3">
    <w:p w14:paraId="1E9F1D6A" w14:textId="0C83F8AB" w:rsidR="00610AEB" w:rsidRDefault="00610AEB" w:rsidP="006F614C">
      <w:pPr>
        <w:pStyle w:val="FootnoteText"/>
        <w:jc w:val="both"/>
      </w:pPr>
      <w:r>
        <w:rPr>
          <w:rStyle w:val="FootnoteReference"/>
        </w:rPr>
        <w:footnoteRef/>
      </w:r>
      <w:r>
        <w:t xml:space="preserve"> </w:t>
      </w:r>
      <w:r w:rsidRPr="003835B7">
        <w:t>Ministru kabineta 2019. gada 11. oktobra protokols Nr. 47 "Ministru kabineta ārkārtas sēdes protokols". Latvijas Vēstnesis, 209, 15.10.2019.</w:t>
      </w:r>
    </w:p>
  </w:footnote>
  <w:footnote w:id="4">
    <w:p w14:paraId="02E0ACBE" w14:textId="4778B94F" w:rsidR="00610AEB" w:rsidRDefault="00610AEB" w:rsidP="006F614C">
      <w:pPr>
        <w:pStyle w:val="FootnoteText"/>
        <w:jc w:val="both"/>
      </w:pPr>
      <w:r>
        <w:rPr>
          <w:rStyle w:val="FootnoteReference"/>
        </w:rPr>
        <w:footnoteRef/>
      </w:r>
      <w:r>
        <w:t xml:space="preserve"> </w:t>
      </w:r>
      <w:r w:rsidRPr="00EC245C">
        <w:t>Ministru kabineta 2019. gada 3. decembra protokols Nr. 56 "Ministru kabineta sēdes protokols". Latvijas Vēstnesis, 249, 11.12.2019.</w:t>
      </w:r>
    </w:p>
  </w:footnote>
  <w:footnote w:id="5">
    <w:p w14:paraId="568CD7C3" w14:textId="494E0B3A" w:rsidR="00610AEB" w:rsidRDefault="00610AEB" w:rsidP="006413A6">
      <w:pPr>
        <w:pStyle w:val="FootnoteText"/>
        <w:jc w:val="both"/>
      </w:pPr>
      <w:r>
        <w:rPr>
          <w:rStyle w:val="FootnoteReference"/>
        </w:rPr>
        <w:footnoteRef/>
      </w:r>
      <w:r>
        <w:t xml:space="preserve"> </w:t>
      </w:r>
      <w:r w:rsidRPr="006413A6">
        <w:t>Ministru kabineta 2016. gada 3. maija noteikumi Nr. 281 "Darbības programmas "Izaugsme un nodarbinātība" 4.5.1. specifiskā atbalsta mērķa "Attīstīt videi draudzīgu sabiedriskā transporta infrastruktūru" 4.5.1.1. pasākuma "Attīstīt videi draudzīgu sabiedriskā transporta infrastruktūru (sliežu transporta)" īstenošanas noteikumi". Latvijas Vēstnesis, 89, 10.05.2016.</w:t>
      </w:r>
    </w:p>
  </w:footnote>
  <w:footnote w:id="6">
    <w:p w14:paraId="5A5C79FB" w14:textId="3A8F8ADE" w:rsidR="00610AEB" w:rsidRDefault="00610AEB" w:rsidP="005A0C6E">
      <w:pPr>
        <w:pStyle w:val="FootnoteText"/>
      </w:pPr>
      <w:r>
        <w:rPr>
          <w:rStyle w:val="FootnoteReference"/>
        </w:rPr>
        <w:footnoteRef/>
      </w:r>
      <w:r>
        <w:t xml:space="preserve">  </w:t>
      </w:r>
      <w:hyperlink r:id="rId1" w:history="1">
        <w:r w:rsidRPr="0000003D">
          <w:rPr>
            <w:rStyle w:val="Hyperlink"/>
          </w:rPr>
          <w:t>http://tap.mk.gov.lv/doc/2016_05/SMAnot_SAM4511_19042016.795.doc</w:t>
        </w:r>
      </w:hyperlink>
    </w:p>
  </w:footnote>
  <w:footnote w:id="7">
    <w:p w14:paraId="31FF9263" w14:textId="3F5FBBCD" w:rsidR="00610AEB" w:rsidRDefault="00610AEB">
      <w:pPr>
        <w:pStyle w:val="FootnoteText"/>
      </w:pPr>
      <w:r>
        <w:rPr>
          <w:rStyle w:val="FootnoteReference"/>
        </w:rPr>
        <w:footnoteRef/>
      </w:r>
      <w:r>
        <w:t xml:space="preserve"> </w:t>
      </w:r>
      <w:r w:rsidRPr="00C846C6">
        <w:t>Ministru kabineta 2019. gada 25. jūnija protokols Nr. 30 "Ministru kabineta sēdes protokols". Latvijas Vēstnesis, 129, 28.06.2019.</w:t>
      </w:r>
    </w:p>
  </w:footnote>
  <w:footnote w:id="8">
    <w:p w14:paraId="66B91149" w14:textId="49DCB99B" w:rsidR="00610AEB" w:rsidRDefault="00610AEB">
      <w:pPr>
        <w:pStyle w:val="FootnoteText"/>
      </w:pPr>
      <w:r>
        <w:rPr>
          <w:rStyle w:val="FootnoteReference"/>
        </w:rPr>
        <w:footnoteRef/>
      </w:r>
      <w:r>
        <w:t xml:space="preserve"> </w:t>
      </w:r>
      <w:r w:rsidRPr="00C846C6">
        <w:t>Ministru kabineta 2019. gada 16. jūlija protokols Nr. 33 "Ministru kabineta sēdes protokols". Latvijas Vēstnesis, 148, 23.07.2019.</w:t>
      </w:r>
    </w:p>
  </w:footnote>
  <w:footnote w:id="9">
    <w:p w14:paraId="73DEFAF9" w14:textId="282ADF8D" w:rsidR="00610AEB" w:rsidRDefault="00610AEB" w:rsidP="00CF0483">
      <w:pPr>
        <w:pStyle w:val="FootnoteText"/>
        <w:jc w:val="both"/>
      </w:pPr>
      <w:r>
        <w:rPr>
          <w:rStyle w:val="FootnoteReference"/>
        </w:rPr>
        <w:footnoteRef/>
      </w:r>
      <w:r>
        <w:t xml:space="preserve"> </w:t>
      </w:r>
      <w:r w:rsidRPr="00C846C6">
        <w:t>Ministru kabineta 2019. gada 23. jūlija rīkojums Nr. 385 "Par Satiksmes ministrijas ilgtermiņa saistībām jauno elektrovilcienu projekta īstenošanai". Latvijas Vēstnesis, 150, 25.07.2019.</w:t>
      </w:r>
    </w:p>
  </w:footnote>
  <w:footnote w:id="10">
    <w:p w14:paraId="4D101552" w14:textId="18F07F80" w:rsidR="00610AEB" w:rsidRDefault="00610AEB" w:rsidP="00CF0483">
      <w:pPr>
        <w:pStyle w:val="FootnoteText"/>
        <w:jc w:val="both"/>
      </w:pPr>
      <w:r>
        <w:rPr>
          <w:rStyle w:val="FootnoteReference"/>
        </w:rPr>
        <w:footnoteRef/>
      </w:r>
      <w:r>
        <w:t xml:space="preserve"> </w:t>
      </w:r>
      <w:r w:rsidRPr="00C846C6">
        <w:t>Ministru kabineta 2019. gada 8. oktobra protokols Nr. 46 "Ministru kabineta sēdes protokols". Latvijas Vēstnesis, 208, 14.10.2019.</w:t>
      </w:r>
    </w:p>
  </w:footnote>
  <w:footnote w:id="11">
    <w:p w14:paraId="2D656501" w14:textId="77123E67" w:rsidR="00610AEB" w:rsidRDefault="00610AEB" w:rsidP="009B1A43">
      <w:pPr>
        <w:pStyle w:val="FootnoteText"/>
        <w:jc w:val="both"/>
      </w:pPr>
      <w:r>
        <w:rPr>
          <w:rStyle w:val="FootnoteReference"/>
        </w:rPr>
        <w:footnoteRef/>
      </w:r>
      <w:r>
        <w:t xml:space="preserve"> </w:t>
      </w:r>
      <w:bookmarkStart w:id="2" w:name="_Hlk32242331"/>
      <w:r w:rsidRPr="009B1A43">
        <w:t>Eiropas Parlamenta un Padomes Regula (EK) Nr. 137</w:t>
      </w:r>
      <w:r>
        <w:t>1</w:t>
      </w:r>
      <w:r w:rsidRPr="009B1A43">
        <w:t>/2007 (2007. gada 23. oktobris) par dzelzceļa pasažieru tiesībām un pienākumiem (OV L 315, 3.12.2007., 1</w:t>
      </w:r>
      <w:r>
        <w:t>4</w:t>
      </w:r>
      <w:r w:rsidRPr="009B1A43">
        <w:t>. lpp.).</w:t>
      </w:r>
      <w:bookmarkEnd w:id="2"/>
    </w:p>
  </w:footnote>
  <w:footnote w:id="12">
    <w:p w14:paraId="270DA49B" w14:textId="77777777" w:rsidR="00610AEB" w:rsidRDefault="00610AEB" w:rsidP="00322527">
      <w:pPr>
        <w:pStyle w:val="FootnoteText"/>
        <w:jc w:val="both"/>
      </w:pPr>
      <w:r>
        <w:rPr>
          <w:rStyle w:val="FootnoteReference"/>
        </w:rPr>
        <w:footnoteRef/>
      </w:r>
      <w:r>
        <w:t xml:space="preserve"> </w:t>
      </w:r>
      <w:r w:rsidRPr="000C185A">
        <w:t>Eiropas Parlamenta un Padomes Regula (E</w:t>
      </w:r>
      <w:r>
        <w:t>K</w:t>
      </w:r>
      <w:r w:rsidRPr="000C185A">
        <w:t>) Nr. 1370/2007 (2007. gada 23. oktobris) par sabiedriskā pasažieru transporta pakalpojumiem, izmantojot dzelzceļu un autoceļus, un ar ko atceļ Padomes Regulu (EEK) Nr. 1191/69 un Padomes Regulu (EEK) Nr. 1107/70 (OV L 315, 3.12.2007., 1. lpp.)</w:t>
      </w:r>
      <w:r>
        <w:t>.</w:t>
      </w:r>
    </w:p>
  </w:footnote>
  <w:footnote w:id="13">
    <w:p w14:paraId="45903C0B" w14:textId="77777777" w:rsidR="00610AEB" w:rsidRDefault="00610AEB" w:rsidP="002D5802">
      <w:pPr>
        <w:pStyle w:val="FootnoteText"/>
        <w:jc w:val="both"/>
      </w:pPr>
      <w:r>
        <w:rPr>
          <w:rStyle w:val="FootnoteReference"/>
        </w:rPr>
        <w:footnoteRef/>
      </w:r>
      <w:r>
        <w:t xml:space="preserve"> </w:t>
      </w:r>
      <w:r w:rsidRPr="00A7342E">
        <w:t>Ministru kabineta 2019. gada 3. decembra protokols Nr. 56 "Ministru kabineta sēdes protokols". Latvijas Vēstnesis, 249, 11.12.2019.</w:t>
      </w:r>
    </w:p>
  </w:footnote>
  <w:footnote w:id="14">
    <w:p w14:paraId="3DF33295" w14:textId="5C16DB1A" w:rsidR="00610AEB" w:rsidRDefault="00610AEB">
      <w:pPr>
        <w:pStyle w:val="FootnoteText"/>
      </w:pPr>
      <w:r>
        <w:rPr>
          <w:rStyle w:val="FootnoteReference"/>
        </w:rPr>
        <w:footnoteRef/>
      </w:r>
      <w:r>
        <w:t xml:space="preserve"> </w:t>
      </w:r>
      <w:r w:rsidRPr="00FE401F">
        <w:t>Eiropas Parlamenta un Padomes Regula (E</w:t>
      </w:r>
      <w:r>
        <w:t>S</w:t>
      </w:r>
      <w:r w:rsidRPr="00FE401F">
        <w:t xml:space="preserve">)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w:t>
      </w:r>
      <w:proofErr w:type="spellStart"/>
      <w:r w:rsidRPr="00FE401F">
        <w:t>lpp</w:t>
      </w:r>
      <w:proofErr w:type="spellEnd"/>
      <w:r w:rsidRPr="00FE401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B1A" w14:textId="1395D1F3" w:rsidR="00610AEB" w:rsidRDefault="00610AEB" w:rsidP="00A9445E">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t>3</w:t>
        </w:r>
        <w:r>
          <w:rPr>
            <w:noProof/>
          </w:rPr>
          <w:fldChar w:fldCharType="end"/>
        </w:r>
      </w:sdtContent>
    </w:sdt>
    <w:r>
      <w:rPr>
        <w:noProof/>
      </w:rPr>
      <w:tab/>
    </w:r>
  </w:p>
  <w:p w14:paraId="0C150E0F" w14:textId="77777777" w:rsidR="00610AEB" w:rsidRDefault="00610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1EC"/>
    <w:multiLevelType w:val="hybridMultilevel"/>
    <w:tmpl w:val="E16C7B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F64F56"/>
    <w:multiLevelType w:val="hybridMultilevel"/>
    <w:tmpl w:val="D390B968"/>
    <w:lvl w:ilvl="0" w:tplc="04260011">
      <w:start w:val="1"/>
      <w:numFmt w:val="decimal"/>
      <w:lvlText w:val="%1)"/>
      <w:lvlJc w:val="left"/>
      <w:pPr>
        <w:ind w:left="360" w:hanging="360"/>
      </w:pPr>
    </w:lvl>
    <w:lvl w:ilvl="1" w:tplc="04260003">
      <w:start w:val="1"/>
      <w:numFmt w:val="bullet"/>
      <w:lvlText w:val="o"/>
      <w:lvlJc w:val="left"/>
      <w:pPr>
        <w:ind w:left="1080" w:hanging="360"/>
      </w:pPr>
      <w:rPr>
        <w:rFonts w:ascii="Courier New" w:hAnsi="Courier New" w:cs="Courier New"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ACA175A"/>
    <w:multiLevelType w:val="hybridMultilevel"/>
    <w:tmpl w:val="4B2EBBEE"/>
    <w:lvl w:ilvl="0" w:tplc="04260011">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8E58BA"/>
    <w:multiLevelType w:val="hybridMultilevel"/>
    <w:tmpl w:val="1F38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68A5611"/>
    <w:multiLevelType w:val="hybridMultilevel"/>
    <w:tmpl w:val="074A2106"/>
    <w:lvl w:ilvl="0" w:tplc="04260011">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8E083F"/>
    <w:multiLevelType w:val="hybridMultilevel"/>
    <w:tmpl w:val="2AA42046"/>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7"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5A5102"/>
    <w:multiLevelType w:val="hybridMultilevel"/>
    <w:tmpl w:val="E7E6E2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DDA633C"/>
    <w:multiLevelType w:val="hybridMultilevel"/>
    <w:tmpl w:val="5F14F35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3D0243F"/>
    <w:multiLevelType w:val="hybridMultilevel"/>
    <w:tmpl w:val="6A5223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6536C3A"/>
    <w:multiLevelType w:val="hybridMultilevel"/>
    <w:tmpl w:val="A3B4B0E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7AF0DDD"/>
    <w:multiLevelType w:val="hybridMultilevel"/>
    <w:tmpl w:val="01BCF5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8B26E92"/>
    <w:multiLevelType w:val="hybridMultilevel"/>
    <w:tmpl w:val="2B3E3C9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D55489B"/>
    <w:multiLevelType w:val="hybridMultilevel"/>
    <w:tmpl w:val="6BAC06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1AB1D89"/>
    <w:multiLevelType w:val="hybridMultilevel"/>
    <w:tmpl w:val="8FF08A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F060DC6"/>
    <w:multiLevelType w:val="hybridMultilevel"/>
    <w:tmpl w:val="361EAD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FC9538B"/>
    <w:multiLevelType w:val="hybridMultilevel"/>
    <w:tmpl w:val="2B3E3C9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055474B"/>
    <w:multiLevelType w:val="hybridMultilevel"/>
    <w:tmpl w:val="AC54829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5EC3B4B"/>
    <w:multiLevelType w:val="hybridMultilevel"/>
    <w:tmpl w:val="CE0065F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9465144"/>
    <w:multiLevelType w:val="hybridMultilevel"/>
    <w:tmpl w:val="D9F291A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BA82B09"/>
    <w:multiLevelType w:val="hybridMultilevel"/>
    <w:tmpl w:val="7DF240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F85602E"/>
    <w:multiLevelType w:val="hybridMultilevel"/>
    <w:tmpl w:val="30DA8244"/>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0DE0B9F"/>
    <w:multiLevelType w:val="hybridMultilevel"/>
    <w:tmpl w:val="2B3E3C9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AEC4CFE"/>
    <w:multiLevelType w:val="hybridMultilevel"/>
    <w:tmpl w:val="B184C980"/>
    <w:lvl w:ilvl="0" w:tplc="04260001">
      <w:start w:val="1"/>
      <w:numFmt w:val="bullet"/>
      <w:lvlText w:val=""/>
      <w:lvlJc w:val="left"/>
      <w:pPr>
        <w:ind w:left="403" w:hanging="360"/>
      </w:pPr>
      <w:rPr>
        <w:rFonts w:ascii="Symbol" w:hAnsi="Symbol" w:hint="default"/>
      </w:rPr>
    </w:lvl>
    <w:lvl w:ilvl="1" w:tplc="04260001">
      <w:start w:val="1"/>
      <w:numFmt w:val="bullet"/>
      <w:lvlText w:val=""/>
      <w:lvlJc w:val="left"/>
      <w:pPr>
        <w:ind w:left="1123" w:hanging="360"/>
      </w:pPr>
      <w:rPr>
        <w:rFonts w:ascii="Symbol" w:hAnsi="Symbol"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28" w15:restartNumberingAfterBreak="0">
    <w:nsid w:val="5BF17B23"/>
    <w:multiLevelType w:val="hybridMultilevel"/>
    <w:tmpl w:val="8C76FD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FFE66DC"/>
    <w:multiLevelType w:val="hybridMultilevel"/>
    <w:tmpl w:val="2B3E3C9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0154E9E"/>
    <w:multiLevelType w:val="hybridMultilevel"/>
    <w:tmpl w:val="9C141C3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33"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34"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BE5C42"/>
    <w:multiLevelType w:val="multilevel"/>
    <w:tmpl w:val="26C0DC08"/>
    <w:lvl w:ilvl="0">
      <w:start w:val="1"/>
      <w:numFmt w:val="decimal"/>
      <w:lvlText w:val="%1)"/>
      <w:lvlJc w:val="left"/>
      <w:pPr>
        <w:ind w:left="720" w:hanging="360"/>
      </w:pPr>
      <w:rPr>
        <w:rFonts w:hint="default"/>
        <w:b w:val="0"/>
        <w:bCs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CB6437"/>
    <w:multiLevelType w:val="hybridMultilevel"/>
    <w:tmpl w:val="D7683D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9"/>
  </w:num>
  <w:num w:numId="2">
    <w:abstractNumId w:val="38"/>
  </w:num>
  <w:num w:numId="3">
    <w:abstractNumId w:val="26"/>
  </w:num>
  <w:num w:numId="4">
    <w:abstractNumId w:val="4"/>
  </w:num>
  <w:num w:numId="5">
    <w:abstractNumId w:val="14"/>
  </w:num>
  <w:num w:numId="6">
    <w:abstractNumId w:val="24"/>
  </w:num>
  <w:num w:numId="7">
    <w:abstractNumId w:val="9"/>
  </w:num>
  <w:num w:numId="8">
    <w:abstractNumId w:val="22"/>
  </w:num>
  <w:num w:numId="9">
    <w:abstractNumId w:val="36"/>
  </w:num>
  <w:num w:numId="10">
    <w:abstractNumId w:val="21"/>
  </w:num>
  <w:num w:numId="11">
    <w:abstractNumId w:val="3"/>
  </w:num>
  <w:num w:numId="12">
    <w:abstractNumId w:val="0"/>
  </w:num>
  <w:num w:numId="13">
    <w:abstractNumId w:val="8"/>
  </w:num>
  <w:num w:numId="14">
    <w:abstractNumId w:val="12"/>
  </w:num>
  <w:num w:numId="15">
    <w:abstractNumId w:val="35"/>
  </w:num>
  <w:num w:numId="16">
    <w:abstractNumId w:val="10"/>
  </w:num>
  <w:num w:numId="17">
    <w:abstractNumId w:val="23"/>
  </w:num>
  <w:num w:numId="18">
    <w:abstractNumId w:val="28"/>
  </w:num>
  <w:num w:numId="19">
    <w:abstractNumId w:val="13"/>
  </w:num>
  <w:num w:numId="20">
    <w:abstractNumId w:val="19"/>
  </w:num>
  <w:num w:numId="21">
    <w:abstractNumId w:val="5"/>
  </w:num>
  <w:num w:numId="22">
    <w:abstractNumId w:val="20"/>
  </w:num>
  <w:num w:numId="23">
    <w:abstractNumId w:val="29"/>
  </w:num>
  <w:num w:numId="24">
    <w:abstractNumId w:val="18"/>
  </w:num>
  <w:num w:numId="25">
    <w:abstractNumId w:val="25"/>
  </w:num>
  <w:num w:numId="26">
    <w:abstractNumId w:val="11"/>
  </w:num>
  <w:num w:numId="27">
    <w:abstractNumId w:val="16"/>
  </w:num>
  <w:num w:numId="28">
    <w:abstractNumId w:val="15"/>
  </w:num>
  <w:num w:numId="29">
    <w:abstractNumId w:val="30"/>
  </w:num>
  <w:num w:numId="30">
    <w:abstractNumId w:val="27"/>
  </w:num>
  <w:num w:numId="31">
    <w:abstractNumId w:val="2"/>
  </w:num>
  <w:num w:numId="32">
    <w:abstractNumId w:val="31"/>
  </w:num>
  <w:num w:numId="33">
    <w:abstractNumId w:val="34"/>
  </w:num>
  <w:num w:numId="34">
    <w:abstractNumId w:val="7"/>
  </w:num>
  <w:num w:numId="35">
    <w:abstractNumId w:val="33"/>
  </w:num>
  <w:num w:numId="36">
    <w:abstractNumId w:val="32"/>
  </w:num>
  <w:num w:numId="37">
    <w:abstractNumId w:val="6"/>
  </w:num>
  <w:num w:numId="38">
    <w:abstractNumId w:val="37"/>
  </w:num>
  <w:num w:numId="39">
    <w:abstractNumId w:val="1"/>
  </w:num>
  <w:num w:numId="40">
    <w:abstractNumId w:val="1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00437"/>
    <w:rsid w:val="00002528"/>
    <w:rsid w:val="000047C3"/>
    <w:rsid w:val="00006797"/>
    <w:rsid w:val="00011CC0"/>
    <w:rsid w:val="00021050"/>
    <w:rsid w:val="00021D2B"/>
    <w:rsid w:val="0002253C"/>
    <w:rsid w:val="0002284A"/>
    <w:rsid w:val="00025948"/>
    <w:rsid w:val="00030767"/>
    <w:rsid w:val="0003526A"/>
    <w:rsid w:val="00043FFE"/>
    <w:rsid w:val="000452C5"/>
    <w:rsid w:val="000478C8"/>
    <w:rsid w:val="0005137B"/>
    <w:rsid w:val="00056D94"/>
    <w:rsid w:val="0006020E"/>
    <w:rsid w:val="000612AE"/>
    <w:rsid w:val="00061457"/>
    <w:rsid w:val="00062395"/>
    <w:rsid w:val="00062804"/>
    <w:rsid w:val="00062C3E"/>
    <w:rsid w:val="00064025"/>
    <w:rsid w:val="00065DE9"/>
    <w:rsid w:val="000668AB"/>
    <w:rsid w:val="00067AC1"/>
    <w:rsid w:val="00070B9C"/>
    <w:rsid w:val="0007109E"/>
    <w:rsid w:val="00071ED5"/>
    <w:rsid w:val="000727FF"/>
    <w:rsid w:val="00072BD1"/>
    <w:rsid w:val="0007339A"/>
    <w:rsid w:val="00080289"/>
    <w:rsid w:val="00085C0C"/>
    <w:rsid w:val="00092DF6"/>
    <w:rsid w:val="00094619"/>
    <w:rsid w:val="00095D43"/>
    <w:rsid w:val="000A07FE"/>
    <w:rsid w:val="000A0D92"/>
    <w:rsid w:val="000A4521"/>
    <w:rsid w:val="000B3D1D"/>
    <w:rsid w:val="000B4F0C"/>
    <w:rsid w:val="000B722D"/>
    <w:rsid w:val="000B7FD2"/>
    <w:rsid w:val="000C0706"/>
    <w:rsid w:val="000C1787"/>
    <w:rsid w:val="000C185A"/>
    <w:rsid w:val="000C1D7E"/>
    <w:rsid w:val="000C52D1"/>
    <w:rsid w:val="000C755D"/>
    <w:rsid w:val="000C7B23"/>
    <w:rsid w:val="000D46B2"/>
    <w:rsid w:val="000D7CD5"/>
    <w:rsid w:val="000E5A3D"/>
    <w:rsid w:val="000F0046"/>
    <w:rsid w:val="000F2B81"/>
    <w:rsid w:val="000F3D27"/>
    <w:rsid w:val="00102F8D"/>
    <w:rsid w:val="00120FA1"/>
    <w:rsid w:val="00123A08"/>
    <w:rsid w:val="00126C9E"/>
    <w:rsid w:val="001303AB"/>
    <w:rsid w:val="00130F46"/>
    <w:rsid w:val="00131828"/>
    <w:rsid w:val="0013402C"/>
    <w:rsid w:val="0013407E"/>
    <w:rsid w:val="00137D9B"/>
    <w:rsid w:val="001407BB"/>
    <w:rsid w:val="00140D99"/>
    <w:rsid w:val="0014498A"/>
    <w:rsid w:val="00145545"/>
    <w:rsid w:val="001458E0"/>
    <w:rsid w:val="00145A19"/>
    <w:rsid w:val="0015224C"/>
    <w:rsid w:val="00156816"/>
    <w:rsid w:val="00157356"/>
    <w:rsid w:val="00157D37"/>
    <w:rsid w:val="0016463F"/>
    <w:rsid w:val="0016544F"/>
    <w:rsid w:val="00165A59"/>
    <w:rsid w:val="00167429"/>
    <w:rsid w:val="0017067D"/>
    <w:rsid w:val="00174283"/>
    <w:rsid w:val="0018139B"/>
    <w:rsid w:val="0018353A"/>
    <w:rsid w:val="00183C9F"/>
    <w:rsid w:val="001842D2"/>
    <w:rsid w:val="00187D50"/>
    <w:rsid w:val="001903A3"/>
    <w:rsid w:val="00192965"/>
    <w:rsid w:val="001A0500"/>
    <w:rsid w:val="001A0E2B"/>
    <w:rsid w:val="001A2EDD"/>
    <w:rsid w:val="001B01B3"/>
    <w:rsid w:val="001B101C"/>
    <w:rsid w:val="001B1892"/>
    <w:rsid w:val="001B23C4"/>
    <w:rsid w:val="001B2634"/>
    <w:rsid w:val="001B3B54"/>
    <w:rsid w:val="001B45C8"/>
    <w:rsid w:val="001B580A"/>
    <w:rsid w:val="001B6771"/>
    <w:rsid w:val="001C09E6"/>
    <w:rsid w:val="001C19CE"/>
    <w:rsid w:val="001C3EB1"/>
    <w:rsid w:val="001C44C4"/>
    <w:rsid w:val="001C7244"/>
    <w:rsid w:val="001E0F4D"/>
    <w:rsid w:val="001E1EB3"/>
    <w:rsid w:val="001E6756"/>
    <w:rsid w:val="001E74FE"/>
    <w:rsid w:val="001E7D9E"/>
    <w:rsid w:val="001F29C4"/>
    <w:rsid w:val="001F3B54"/>
    <w:rsid w:val="001F6548"/>
    <w:rsid w:val="00200FC4"/>
    <w:rsid w:val="002027FE"/>
    <w:rsid w:val="00202842"/>
    <w:rsid w:val="002038E7"/>
    <w:rsid w:val="002044D0"/>
    <w:rsid w:val="00206F1B"/>
    <w:rsid w:val="00207C49"/>
    <w:rsid w:val="00210A95"/>
    <w:rsid w:val="0021240D"/>
    <w:rsid w:val="00214541"/>
    <w:rsid w:val="00215666"/>
    <w:rsid w:val="00215A5A"/>
    <w:rsid w:val="00216B37"/>
    <w:rsid w:val="00222347"/>
    <w:rsid w:val="002224A5"/>
    <w:rsid w:val="00224F68"/>
    <w:rsid w:val="00243D28"/>
    <w:rsid w:val="00246698"/>
    <w:rsid w:val="00252EF7"/>
    <w:rsid w:val="002563C3"/>
    <w:rsid w:val="00256B20"/>
    <w:rsid w:val="00260D31"/>
    <w:rsid w:val="00263E02"/>
    <w:rsid w:val="00264723"/>
    <w:rsid w:val="00264CCA"/>
    <w:rsid w:val="00264FE8"/>
    <w:rsid w:val="002705F8"/>
    <w:rsid w:val="00270EA8"/>
    <w:rsid w:val="002718A4"/>
    <w:rsid w:val="00273E4E"/>
    <w:rsid w:val="0027418C"/>
    <w:rsid w:val="00275AC7"/>
    <w:rsid w:val="00275FB1"/>
    <w:rsid w:val="0027792A"/>
    <w:rsid w:val="00281847"/>
    <w:rsid w:val="00283163"/>
    <w:rsid w:val="00283483"/>
    <w:rsid w:val="00284C80"/>
    <w:rsid w:val="00287A2A"/>
    <w:rsid w:val="00290F0F"/>
    <w:rsid w:val="00291FB1"/>
    <w:rsid w:val="0029561D"/>
    <w:rsid w:val="00296932"/>
    <w:rsid w:val="00296B37"/>
    <w:rsid w:val="002A2466"/>
    <w:rsid w:val="002B00FE"/>
    <w:rsid w:val="002B4B94"/>
    <w:rsid w:val="002B6633"/>
    <w:rsid w:val="002B6905"/>
    <w:rsid w:val="002C3A09"/>
    <w:rsid w:val="002C3A7C"/>
    <w:rsid w:val="002C5E1C"/>
    <w:rsid w:val="002D1B63"/>
    <w:rsid w:val="002D522F"/>
    <w:rsid w:val="002D56E7"/>
    <w:rsid w:val="002D578C"/>
    <w:rsid w:val="002D5802"/>
    <w:rsid w:val="002D649F"/>
    <w:rsid w:val="002E1A3A"/>
    <w:rsid w:val="00301B46"/>
    <w:rsid w:val="00311E43"/>
    <w:rsid w:val="00313091"/>
    <w:rsid w:val="00314D67"/>
    <w:rsid w:val="00320962"/>
    <w:rsid w:val="00321742"/>
    <w:rsid w:val="00321C7D"/>
    <w:rsid w:val="00322527"/>
    <w:rsid w:val="0032632D"/>
    <w:rsid w:val="00326711"/>
    <w:rsid w:val="00327069"/>
    <w:rsid w:val="00327100"/>
    <w:rsid w:val="00335540"/>
    <w:rsid w:val="00337235"/>
    <w:rsid w:val="0034092C"/>
    <w:rsid w:val="00341105"/>
    <w:rsid w:val="00342FD9"/>
    <w:rsid w:val="0034375B"/>
    <w:rsid w:val="00344727"/>
    <w:rsid w:val="0034540D"/>
    <w:rsid w:val="00350434"/>
    <w:rsid w:val="00351764"/>
    <w:rsid w:val="00351A10"/>
    <w:rsid w:val="003615D5"/>
    <w:rsid w:val="0036288B"/>
    <w:rsid w:val="0036305B"/>
    <w:rsid w:val="00366023"/>
    <w:rsid w:val="0037531E"/>
    <w:rsid w:val="003835B7"/>
    <w:rsid w:val="0038698C"/>
    <w:rsid w:val="00386F99"/>
    <w:rsid w:val="0038738F"/>
    <w:rsid w:val="00387A78"/>
    <w:rsid w:val="00391C25"/>
    <w:rsid w:val="00396C2B"/>
    <w:rsid w:val="0039771A"/>
    <w:rsid w:val="00397AFD"/>
    <w:rsid w:val="003B4D9B"/>
    <w:rsid w:val="003B54B9"/>
    <w:rsid w:val="003B5E9A"/>
    <w:rsid w:val="003B64FD"/>
    <w:rsid w:val="003B6630"/>
    <w:rsid w:val="003B7CCD"/>
    <w:rsid w:val="003C0103"/>
    <w:rsid w:val="003C0488"/>
    <w:rsid w:val="003C0ED9"/>
    <w:rsid w:val="003C57E0"/>
    <w:rsid w:val="003C5885"/>
    <w:rsid w:val="003C5CD1"/>
    <w:rsid w:val="003D10CC"/>
    <w:rsid w:val="003D10D2"/>
    <w:rsid w:val="003D3304"/>
    <w:rsid w:val="003D3868"/>
    <w:rsid w:val="003E0B88"/>
    <w:rsid w:val="003E1F30"/>
    <w:rsid w:val="003E26E5"/>
    <w:rsid w:val="003E5D3A"/>
    <w:rsid w:val="003F0F0F"/>
    <w:rsid w:val="003F1CDA"/>
    <w:rsid w:val="003F2B55"/>
    <w:rsid w:val="003F6468"/>
    <w:rsid w:val="003F7F3A"/>
    <w:rsid w:val="0040027D"/>
    <w:rsid w:val="00401DB2"/>
    <w:rsid w:val="00401EE7"/>
    <w:rsid w:val="004063CA"/>
    <w:rsid w:val="00411DA8"/>
    <w:rsid w:val="00412C98"/>
    <w:rsid w:val="004165B6"/>
    <w:rsid w:val="00417E02"/>
    <w:rsid w:val="00424615"/>
    <w:rsid w:val="00430AA1"/>
    <w:rsid w:val="004333C7"/>
    <w:rsid w:val="00433CBE"/>
    <w:rsid w:val="004369DA"/>
    <w:rsid w:val="00437433"/>
    <w:rsid w:val="00442DB3"/>
    <w:rsid w:val="00443363"/>
    <w:rsid w:val="0044372C"/>
    <w:rsid w:val="00451255"/>
    <w:rsid w:val="004529FF"/>
    <w:rsid w:val="00456858"/>
    <w:rsid w:val="00462278"/>
    <w:rsid w:val="00463B96"/>
    <w:rsid w:val="0046727D"/>
    <w:rsid w:val="004679F4"/>
    <w:rsid w:val="004721FA"/>
    <w:rsid w:val="00472E8B"/>
    <w:rsid w:val="00473CB9"/>
    <w:rsid w:val="00475FA7"/>
    <w:rsid w:val="00484742"/>
    <w:rsid w:val="00485867"/>
    <w:rsid w:val="004861B5"/>
    <w:rsid w:val="0048641F"/>
    <w:rsid w:val="0048701F"/>
    <w:rsid w:val="004902A6"/>
    <w:rsid w:val="00494108"/>
    <w:rsid w:val="004948EA"/>
    <w:rsid w:val="004A2D63"/>
    <w:rsid w:val="004A2FFA"/>
    <w:rsid w:val="004A62C5"/>
    <w:rsid w:val="004A6EBD"/>
    <w:rsid w:val="004B0627"/>
    <w:rsid w:val="004B7A91"/>
    <w:rsid w:val="004C03A8"/>
    <w:rsid w:val="004C077D"/>
    <w:rsid w:val="004C2D10"/>
    <w:rsid w:val="004C32F0"/>
    <w:rsid w:val="004C57A7"/>
    <w:rsid w:val="004D063C"/>
    <w:rsid w:val="004D0F73"/>
    <w:rsid w:val="004D1074"/>
    <w:rsid w:val="004D1242"/>
    <w:rsid w:val="004D14BD"/>
    <w:rsid w:val="004D62AB"/>
    <w:rsid w:val="004D63A3"/>
    <w:rsid w:val="004E01FF"/>
    <w:rsid w:val="004E244B"/>
    <w:rsid w:val="004E3983"/>
    <w:rsid w:val="004E7871"/>
    <w:rsid w:val="004F00B4"/>
    <w:rsid w:val="004F06D7"/>
    <w:rsid w:val="004F1B96"/>
    <w:rsid w:val="004F23CB"/>
    <w:rsid w:val="004F5617"/>
    <w:rsid w:val="005011B7"/>
    <w:rsid w:val="00501549"/>
    <w:rsid w:val="00501AE5"/>
    <w:rsid w:val="005020CD"/>
    <w:rsid w:val="00511A7D"/>
    <w:rsid w:val="00511EBA"/>
    <w:rsid w:val="0051237E"/>
    <w:rsid w:val="005139EA"/>
    <w:rsid w:val="0051731B"/>
    <w:rsid w:val="005173C3"/>
    <w:rsid w:val="00531B31"/>
    <w:rsid w:val="00534F49"/>
    <w:rsid w:val="00540562"/>
    <w:rsid w:val="00542EF7"/>
    <w:rsid w:val="00543254"/>
    <w:rsid w:val="00550421"/>
    <w:rsid w:val="005531F1"/>
    <w:rsid w:val="00553F77"/>
    <w:rsid w:val="00554A2D"/>
    <w:rsid w:val="005570DD"/>
    <w:rsid w:val="00560924"/>
    <w:rsid w:val="005620D5"/>
    <w:rsid w:val="005647EF"/>
    <w:rsid w:val="00565832"/>
    <w:rsid w:val="00567A01"/>
    <w:rsid w:val="0057336A"/>
    <w:rsid w:val="0057383D"/>
    <w:rsid w:val="00574901"/>
    <w:rsid w:val="00577BF0"/>
    <w:rsid w:val="00580EB1"/>
    <w:rsid w:val="00582169"/>
    <w:rsid w:val="00584220"/>
    <w:rsid w:val="00586CF5"/>
    <w:rsid w:val="00594BA0"/>
    <w:rsid w:val="00594C88"/>
    <w:rsid w:val="005A0C6E"/>
    <w:rsid w:val="005A2837"/>
    <w:rsid w:val="005A56A9"/>
    <w:rsid w:val="005B1A7B"/>
    <w:rsid w:val="005B34D1"/>
    <w:rsid w:val="005B3E7B"/>
    <w:rsid w:val="005B47D9"/>
    <w:rsid w:val="005B585E"/>
    <w:rsid w:val="005C7063"/>
    <w:rsid w:val="005D06FB"/>
    <w:rsid w:val="005D0B41"/>
    <w:rsid w:val="005D344A"/>
    <w:rsid w:val="005D5E4E"/>
    <w:rsid w:val="005D7F7B"/>
    <w:rsid w:val="005E1FE6"/>
    <w:rsid w:val="005E2AF8"/>
    <w:rsid w:val="005F13FE"/>
    <w:rsid w:val="005F2104"/>
    <w:rsid w:val="005F5A68"/>
    <w:rsid w:val="005F72A2"/>
    <w:rsid w:val="005F738E"/>
    <w:rsid w:val="00605D2C"/>
    <w:rsid w:val="00606841"/>
    <w:rsid w:val="00610AEB"/>
    <w:rsid w:val="00612392"/>
    <w:rsid w:val="006131EF"/>
    <w:rsid w:val="00613E7A"/>
    <w:rsid w:val="00614A72"/>
    <w:rsid w:val="00624256"/>
    <w:rsid w:val="006244E4"/>
    <w:rsid w:val="006254C2"/>
    <w:rsid w:val="00627720"/>
    <w:rsid w:val="00627F4A"/>
    <w:rsid w:val="00632A9B"/>
    <w:rsid w:val="00632FAE"/>
    <w:rsid w:val="0063505C"/>
    <w:rsid w:val="006413A6"/>
    <w:rsid w:val="00642AB0"/>
    <w:rsid w:val="006442D1"/>
    <w:rsid w:val="006455A6"/>
    <w:rsid w:val="00645702"/>
    <w:rsid w:val="00654CDD"/>
    <w:rsid w:val="00654D8A"/>
    <w:rsid w:val="006551A7"/>
    <w:rsid w:val="00656DD6"/>
    <w:rsid w:val="0066391D"/>
    <w:rsid w:val="006639B2"/>
    <w:rsid w:val="00666FC2"/>
    <w:rsid w:val="0067030A"/>
    <w:rsid w:val="006709B3"/>
    <w:rsid w:val="00671345"/>
    <w:rsid w:val="00675724"/>
    <w:rsid w:val="006771B4"/>
    <w:rsid w:val="0068065A"/>
    <w:rsid w:val="006863D2"/>
    <w:rsid w:val="00687CD2"/>
    <w:rsid w:val="006911CF"/>
    <w:rsid w:val="006911DA"/>
    <w:rsid w:val="00692C80"/>
    <w:rsid w:val="006933C9"/>
    <w:rsid w:val="006A3561"/>
    <w:rsid w:val="006A601C"/>
    <w:rsid w:val="006A76F4"/>
    <w:rsid w:val="006B1FAB"/>
    <w:rsid w:val="006B6B51"/>
    <w:rsid w:val="006B70FA"/>
    <w:rsid w:val="006C03D8"/>
    <w:rsid w:val="006C641B"/>
    <w:rsid w:val="006C76B1"/>
    <w:rsid w:val="006D0BFA"/>
    <w:rsid w:val="006D0C0A"/>
    <w:rsid w:val="006D27AB"/>
    <w:rsid w:val="006D36C9"/>
    <w:rsid w:val="006D69C3"/>
    <w:rsid w:val="006D6FCF"/>
    <w:rsid w:val="006E466A"/>
    <w:rsid w:val="006E59C8"/>
    <w:rsid w:val="006F1542"/>
    <w:rsid w:val="006F1FC2"/>
    <w:rsid w:val="006F2DE9"/>
    <w:rsid w:val="006F614C"/>
    <w:rsid w:val="006F7C4E"/>
    <w:rsid w:val="00700736"/>
    <w:rsid w:val="0070627E"/>
    <w:rsid w:val="00712C91"/>
    <w:rsid w:val="00714C12"/>
    <w:rsid w:val="00714CDB"/>
    <w:rsid w:val="007168E3"/>
    <w:rsid w:val="0072014E"/>
    <w:rsid w:val="00720B91"/>
    <w:rsid w:val="007210D2"/>
    <w:rsid w:val="00723A73"/>
    <w:rsid w:val="00724B9B"/>
    <w:rsid w:val="007333BD"/>
    <w:rsid w:val="00733700"/>
    <w:rsid w:val="00734224"/>
    <w:rsid w:val="00737526"/>
    <w:rsid w:val="00744F78"/>
    <w:rsid w:val="0074590F"/>
    <w:rsid w:val="007460BB"/>
    <w:rsid w:val="00746151"/>
    <w:rsid w:val="00750998"/>
    <w:rsid w:val="007512A9"/>
    <w:rsid w:val="00753937"/>
    <w:rsid w:val="00753CC8"/>
    <w:rsid w:val="00753FF5"/>
    <w:rsid w:val="00761BD8"/>
    <w:rsid w:val="007719F0"/>
    <w:rsid w:val="007741F6"/>
    <w:rsid w:val="007759E2"/>
    <w:rsid w:val="007843D1"/>
    <w:rsid w:val="007852FB"/>
    <w:rsid w:val="00785A5E"/>
    <w:rsid w:val="00786872"/>
    <w:rsid w:val="007914B9"/>
    <w:rsid w:val="007B0311"/>
    <w:rsid w:val="007B1BBD"/>
    <w:rsid w:val="007B1FFA"/>
    <w:rsid w:val="007B232E"/>
    <w:rsid w:val="007B362F"/>
    <w:rsid w:val="007B3B35"/>
    <w:rsid w:val="007B3BA1"/>
    <w:rsid w:val="007B4E0F"/>
    <w:rsid w:val="007B50E4"/>
    <w:rsid w:val="007B6AB9"/>
    <w:rsid w:val="007C12A1"/>
    <w:rsid w:val="007C4467"/>
    <w:rsid w:val="007D4573"/>
    <w:rsid w:val="007F6ED7"/>
    <w:rsid w:val="00803111"/>
    <w:rsid w:val="00804E87"/>
    <w:rsid w:val="008052C5"/>
    <w:rsid w:val="00805E5B"/>
    <w:rsid w:val="00805FB5"/>
    <w:rsid w:val="00807806"/>
    <w:rsid w:val="008078A4"/>
    <w:rsid w:val="00817658"/>
    <w:rsid w:val="0083008B"/>
    <w:rsid w:val="00830983"/>
    <w:rsid w:val="00833F60"/>
    <w:rsid w:val="00837F13"/>
    <w:rsid w:val="00840106"/>
    <w:rsid w:val="008408C6"/>
    <w:rsid w:val="008414C7"/>
    <w:rsid w:val="0084513D"/>
    <w:rsid w:val="00845472"/>
    <w:rsid w:val="0084688D"/>
    <w:rsid w:val="00846F01"/>
    <w:rsid w:val="00850C79"/>
    <w:rsid w:val="00851FFB"/>
    <w:rsid w:val="008522CA"/>
    <w:rsid w:val="00852B80"/>
    <w:rsid w:val="0085458C"/>
    <w:rsid w:val="00863953"/>
    <w:rsid w:val="0086520E"/>
    <w:rsid w:val="00871A6A"/>
    <w:rsid w:val="008724BD"/>
    <w:rsid w:val="00876275"/>
    <w:rsid w:val="00876567"/>
    <w:rsid w:val="00876D1E"/>
    <w:rsid w:val="00876F12"/>
    <w:rsid w:val="00877BF9"/>
    <w:rsid w:val="008802B6"/>
    <w:rsid w:val="00881DFC"/>
    <w:rsid w:val="00882922"/>
    <w:rsid w:val="00883114"/>
    <w:rsid w:val="00883264"/>
    <w:rsid w:val="00886326"/>
    <w:rsid w:val="0088705D"/>
    <w:rsid w:val="00895A59"/>
    <w:rsid w:val="008A2771"/>
    <w:rsid w:val="008A2E87"/>
    <w:rsid w:val="008A636D"/>
    <w:rsid w:val="008B4BF8"/>
    <w:rsid w:val="008B5F77"/>
    <w:rsid w:val="008B629D"/>
    <w:rsid w:val="008C097A"/>
    <w:rsid w:val="008C1F3F"/>
    <w:rsid w:val="008C291A"/>
    <w:rsid w:val="008C38A3"/>
    <w:rsid w:val="008C51F7"/>
    <w:rsid w:val="008C6E44"/>
    <w:rsid w:val="008D3219"/>
    <w:rsid w:val="008D6E3A"/>
    <w:rsid w:val="008E0B3A"/>
    <w:rsid w:val="008E258A"/>
    <w:rsid w:val="008E394F"/>
    <w:rsid w:val="008E719B"/>
    <w:rsid w:val="008E7987"/>
    <w:rsid w:val="00900363"/>
    <w:rsid w:val="00905E7D"/>
    <w:rsid w:val="00906138"/>
    <w:rsid w:val="00906652"/>
    <w:rsid w:val="00915276"/>
    <w:rsid w:val="00917198"/>
    <w:rsid w:val="00920A3F"/>
    <w:rsid w:val="00923D69"/>
    <w:rsid w:val="00924085"/>
    <w:rsid w:val="009256F2"/>
    <w:rsid w:val="00927201"/>
    <w:rsid w:val="0092735B"/>
    <w:rsid w:val="00930FD4"/>
    <w:rsid w:val="00935815"/>
    <w:rsid w:val="0093697E"/>
    <w:rsid w:val="009372D1"/>
    <w:rsid w:val="00937B2D"/>
    <w:rsid w:val="00954DCE"/>
    <w:rsid w:val="00955C56"/>
    <w:rsid w:val="00955F14"/>
    <w:rsid w:val="00961007"/>
    <w:rsid w:val="00963E6C"/>
    <w:rsid w:val="00965F02"/>
    <w:rsid w:val="009678E7"/>
    <w:rsid w:val="00967BEC"/>
    <w:rsid w:val="00972FA4"/>
    <w:rsid w:val="009748ED"/>
    <w:rsid w:val="00974DDC"/>
    <w:rsid w:val="0097783A"/>
    <w:rsid w:val="00981CB0"/>
    <w:rsid w:val="00981FDE"/>
    <w:rsid w:val="00983D05"/>
    <w:rsid w:val="00984FCF"/>
    <w:rsid w:val="00990CDE"/>
    <w:rsid w:val="009917B7"/>
    <w:rsid w:val="00994298"/>
    <w:rsid w:val="009955FA"/>
    <w:rsid w:val="00996725"/>
    <w:rsid w:val="00996A66"/>
    <w:rsid w:val="00996F64"/>
    <w:rsid w:val="009A16E4"/>
    <w:rsid w:val="009A1D57"/>
    <w:rsid w:val="009A318F"/>
    <w:rsid w:val="009A3BF8"/>
    <w:rsid w:val="009A51FB"/>
    <w:rsid w:val="009B0E35"/>
    <w:rsid w:val="009B1A43"/>
    <w:rsid w:val="009B1A9C"/>
    <w:rsid w:val="009B32FB"/>
    <w:rsid w:val="009B34CF"/>
    <w:rsid w:val="009B3E7B"/>
    <w:rsid w:val="009B478F"/>
    <w:rsid w:val="009B684C"/>
    <w:rsid w:val="009B6FF7"/>
    <w:rsid w:val="009B75B3"/>
    <w:rsid w:val="009B7B01"/>
    <w:rsid w:val="009C3A55"/>
    <w:rsid w:val="009C52DB"/>
    <w:rsid w:val="009D0CB6"/>
    <w:rsid w:val="009D135E"/>
    <w:rsid w:val="009D40A1"/>
    <w:rsid w:val="009D5173"/>
    <w:rsid w:val="009D520F"/>
    <w:rsid w:val="009D7F3D"/>
    <w:rsid w:val="009E0879"/>
    <w:rsid w:val="009E095C"/>
    <w:rsid w:val="009E3649"/>
    <w:rsid w:val="009E4A8D"/>
    <w:rsid w:val="009E73AA"/>
    <w:rsid w:val="009F5131"/>
    <w:rsid w:val="009F6E96"/>
    <w:rsid w:val="00A00047"/>
    <w:rsid w:val="00A0035A"/>
    <w:rsid w:val="00A03C28"/>
    <w:rsid w:val="00A11CA4"/>
    <w:rsid w:val="00A11D39"/>
    <w:rsid w:val="00A126D4"/>
    <w:rsid w:val="00A179E5"/>
    <w:rsid w:val="00A20654"/>
    <w:rsid w:val="00A21595"/>
    <w:rsid w:val="00A24EE7"/>
    <w:rsid w:val="00A25791"/>
    <w:rsid w:val="00A27D04"/>
    <w:rsid w:val="00A30272"/>
    <w:rsid w:val="00A30C01"/>
    <w:rsid w:val="00A3244F"/>
    <w:rsid w:val="00A3271F"/>
    <w:rsid w:val="00A32D9B"/>
    <w:rsid w:val="00A34851"/>
    <w:rsid w:val="00A34DC4"/>
    <w:rsid w:val="00A35B70"/>
    <w:rsid w:val="00A433F7"/>
    <w:rsid w:val="00A43F23"/>
    <w:rsid w:val="00A44AAD"/>
    <w:rsid w:val="00A471B1"/>
    <w:rsid w:val="00A47901"/>
    <w:rsid w:val="00A50626"/>
    <w:rsid w:val="00A54422"/>
    <w:rsid w:val="00A55D55"/>
    <w:rsid w:val="00A633B9"/>
    <w:rsid w:val="00A7307D"/>
    <w:rsid w:val="00A7342E"/>
    <w:rsid w:val="00A75F24"/>
    <w:rsid w:val="00A75FAE"/>
    <w:rsid w:val="00A83524"/>
    <w:rsid w:val="00A84028"/>
    <w:rsid w:val="00A84799"/>
    <w:rsid w:val="00A84FEE"/>
    <w:rsid w:val="00A85A82"/>
    <w:rsid w:val="00A86BCA"/>
    <w:rsid w:val="00A87597"/>
    <w:rsid w:val="00A87BD7"/>
    <w:rsid w:val="00A9128D"/>
    <w:rsid w:val="00A92BBA"/>
    <w:rsid w:val="00A931FA"/>
    <w:rsid w:val="00A9445E"/>
    <w:rsid w:val="00A94B18"/>
    <w:rsid w:val="00AA04CF"/>
    <w:rsid w:val="00AA23BD"/>
    <w:rsid w:val="00AA3380"/>
    <w:rsid w:val="00AA34A5"/>
    <w:rsid w:val="00AA4AC6"/>
    <w:rsid w:val="00AB5C78"/>
    <w:rsid w:val="00AC5DF6"/>
    <w:rsid w:val="00AE2E0E"/>
    <w:rsid w:val="00AE45C3"/>
    <w:rsid w:val="00AE6126"/>
    <w:rsid w:val="00AE6C9B"/>
    <w:rsid w:val="00AF076A"/>
    <w:rsid w:val="00AF1703"/>
    <w:rsid w:val="00AF19AE"/>
    <w:rsid w:val="00AF44F9"/>
    <w:rsid w:val="00AF459A"/>
    <w:rsid w:val="00AF6059"/>
    <w:rsid w:val="00B00C59"/>
    <w:rsid w:val="00B052E4"/>
    <w:rsid w:val="00B06019"/>
    <w:rsid w:val="00B060CD"/>
    <w:rsid w:val="00B14346"/>
    <w:rsid w:val="00B14397"/>
    <w:rsid w:val="00B144F8"/>
    <w:rsid w:val="00B160A8"/>
    <w:rsid w:val="00B218F9"/>
    <w:rsid w:val="00B22A56"/>
    <w:rsid w:val="00B3074F"/>
    <w:rsid w:val="00B35F2D"/>
    <w:rsid w:val="00B4062B"/>
    <w:rsid w:val="00B45EBD"/>
    <w:rsid w:val="00B464F0"/>
    <w:rsid w:val="00B52B38"/>
    <w:rsid w:val="00B57A58"/>
    <w:rsid w:val="00B60F67"/>
    <w:rsid w:val="00B61CC7"/>
    <w:rsid w:val="00B61FEC"/>
    <w:rsid w:val="00B62D61"/>
    <w:rsid w:val="00B62FB7"/>
    <w:rsid w:val="00B6324E"/>
    <w:rsid w:val="00B6349A"/>
    <w:rsid w:val="00B63ECB"/>
    <w:rsid w:val="00B651BC"/>
    <w:rsid w:val="00B6584F"/>
    <w:rsid w:val="00B6690E"/>
    <w:rsid w:val="00B7209A"/>
    <w:rsid w:val="00B731C3"/>
    <w:rsid w:val="00B856B2"/>
    <w:rsid w:val="00B8691F"/>
    <w:rsid w:val="00B90836"/>
    <w:rsid w:val="00B91CFC"/>
    <w:rsid w:val="00B94112"/>
    <w:rsid w:val="00BA0767"/>
    <w:rsid w:val="00BA2236"/>
    <w:rsid w:val="00BA332C"/>
    <w:rsid w:val="00BA44E1"/>
    <w:rsid w:val="00BA6DD4"/>
    <w:rsid w:val="00BA745C"/>
    <w:rsid w:val="00BA784C"/>
    <w:rsid w:val="00BB0ACE"/>
    <w:rsid w:val="00BB1AEE"/>
    <w:rsid w:val="00BB3F34"/>
    <w:rsid w:val="00BB4077"/>
    <w:rsid w:val="00BB6DFC"/>
    <w:rsid w:val="00BB7DCD"/>
    <w:rsid w:val="00BD0905"/>
    <w:rsid w:val="00BD4EF5"/>
    <w:rsid w:val="00BD5588"/>
    <w:rsid w:val="00BE393B"/>
    <w:rsid w:val="00BF1ACE"/>
    <w:rsid w:val="00BF1CE0"/>
    <w:rsid w:val="00BF1EAB"/>
    <w:rsid w:val="00BF3017"/>
    <w:rsid w:val="00BF54DB"/>
    <w:rsid w:val="00BF7660"/>
    <w:rsid w:val="00C02831"/>
    <w:rsid w:val="00C03790"/>
    <w:rsid w:val="00C0460D"/>
    <w:rsid w:val="00C05B80"/>
    <w:rsid w:val="00C06524"/>
    <w:rsid w:val="00C104A8"/>
    <w:rsid w:val="00C11F85"/>
    <w:rsid w:val="00C1259C"/>
    <w:rsid w:val="00C137DC"/>
    <w:rsid w:val="00C13822"/>
    <w:rsid w:val="00C165B9"/>
    <w:rsid w:val="00C20E24"/>
    <w:rsid w:val="00C231E1"/>
    <w:rsid w:val="00C25F10"/>
    <w:rsid w:val="00C2716F"/>
    <w:rsid w:val="00C31AC1"/>
    <w:rsid w:val="00C348C8"/>
    <w:rsid w:val="00C35A01"/>
    <w:rsid w:val="00C35A3B"/>
    <w:rsid w:val="00C367DC"/>
    <w:rsid w:val="00C36BA6"/>
    <w:rsid w:val="00C436F6"/>
    <w:rsid w:val="00C44DD7"/>
    <w:rsid w:val="00C472D3"/>
    <w:rsid w:val="00C47403"/>
    <w:rsid w:val="00C4788C"/>
    <w:rsid w:val="00C47C5D"/>
    <w:rsid w:val="00C50108"/>
    <w:rsid w:val="00C539E5"/>
    <w:rsid w:val="00C54612"/>
    <w:rsid w:val="00C61606"/>
    <w:rsid w:val="00C6246D"/>
    <w:rsid w:val="00C62C8B"/>
    <w:rsid w:val="00C636E0"/>
    <w:rsid w:val="00C6370F"/>
    <w:rsid w:val="00C64AE0"/>
    <w:rsid w:val="00C66BF9"/>
    <w:rsid w:val="00C72631"/>
    <w:rsid w:val="00C74D11"/>
    <w:rsid w:val="00C805B4"/>
    <w:rsid w:val="00C80FC6"/>
    <w:rsid w:val="00C812B0"/>
    <w:rsid w:val="00C841B5"/>
    <w:rsid w:val="00C84316"/>
    <w:rsid w:val="00C846C6"/>
    <w:rsid w:val="00C84E17"/>
    <w:rsid w:val="00C90A80"/>
    <w:rsid w:val="00C92E69"/>
    <w:rsid w:val="00CA168E"/>
    <w:rsid w:val="00CA2F68"/>
    <w:rsid w:val="00CA339B"/>
    <w:rsid w:val="00CA705F"/>
    <w:rsid w:val="00CB1914"/>
    <w:rsid w:val="00CB6C3B"/>
    <w:rsid w:val="00CB7F48"/>
    <w:rsid w:val="00CC0C90"/>
    <w:rsid w:val="00CC0F9C"/>
    <w:rsid w:val="00CC1804"/>
    <w:rsid w:val="00CC26A3"/>
    <w:rsid w:val="00CD04F4"/>
    <w:rsid w:val="00CD7FD6"/>
    <w:rsid w:val="00CE626E"/>
    <w:rsid w:val="00CF03AE"/>
    <w:rsid w:val="00CF0483"/>
    <w:rsid w:val="00CF319A"/>
    <w:rsid w:val="00CF607B"/>
    <w:rsid w:val="00D01CF7"/>
    <w:rsid w:val="00D02E48"/>
    <w:rsid w:val="00D030EA"/>
    <w:rsid w:val="00D04BBD"/>
    <w:rsid w:val="00D06CD1"/>
    <w:rsid w:val="00D11487"/>
    <w:rsid w:val="00D116F1"/>
    <w:rsid w:val="00D11F2E"/>
    <w:rsid w:val="00D21B1D"/>
    <w:rsid w:val="00D21C2B"/>
    <w:rsid w:val="00D21D22"/>
    <w:rsid w:val="00D247CC"/>
    <w:rsid w:val="00D24955"/>
    <w:rsid w:val="00D250D3"/>
    <w:rsid w:val="00D260B5"/>
    <w:rsid w:val="00D27DA3"/>
    <w:rsid w:val="00D3418D"/>
    <w:rsid w:val="00D344BF"/>
    <w:rsid w:val="00D3545C"/>
    <w:rsid w:val="00D408D1"/>
    <w:rsid w:val="00D41C58"/>
    <w:rsid w:val="00D451BF"/>
    <w:rsid w:val="00D46302"/>
    <w:rsid w:val="00D51825"/>
    <w:rsid w:val="00D52AC0"/>
    <w:rsid w:val="00D53613"/>
    <w:rsid w:val="00D54BF4"/>
    <w:rsid w:val="00D63CE4"/>
    <w:rsid w:val="00D700B3"/>
    <w:rsid w:val="00D73BDE"/>
    <w:rsid w:val="00D745EA"/>
    <w:rsid w:val="00D74696"/>
    <w:rsid w:val="00D74D47"/>
    <w:rsid w:val="00D75334"/>
    <w:rsid w:val="00D75A06"/>
    <w:rsid w:val="00D7704F"/>
    <w:rsid w:val="00D7745F"/>
    <w:rsid w:val="00D847F3"/>
    <w:rsid w:val="00D85657"/>
    <w:rsid w:val="00D8658E"/>
    <w:rsid w:val="00D92C8B"/>
    <w:rsid w:val="00D977C5"/>
    <w:rsid w:val="00D97A4F"/>
    <w:rsid w:val="00DA63FF"/>
    <w:rsid w:val="00DB0025"/>
    <w:rsid w:val="00DB06A0"/>
    <w:rsid w:val="00DB1F30"/>
    <w:rsid w:val="00DB319C"/>
    <w:rsid w:val="00DB6BBB"/>
    <w:rsid w:val="00DB78D3"/>
    <w:rsid w:val="00DC4D1A"/>
    <w:rsid w:val="00DC56E4"/>
    <w:rsid w:val="00DD0BCB"/>
    <w:rsid w:val="00DD1D6C"/>
    <w:rsid w:val="00DD2FF8"/>
    <w:rsid w:val="00DD6834"/>
    <w:rsid w:val="00DD71A2"/>
    <w:rsid w:val="00DE2EF4"/>
    <w:rsid w:val="00DE4C6F"/>
    <w:rsid w:val="00DF0F8A"/>
    <w:rsid w:val="00DF121D"/>
    <w:rsid w:val="00DF4A51"/>
    <w:rsid w:val="00DF559D"/>
    <w:rsid w:val="00DF5A1F"/>
    <w:rsid w:val="00E01929"/>
    <w:rsid w:val="00E02975"/>
    <w:rsid w:val="00E03F9A"/>
    <w:rsid w:val="00E05017"/>
    <w:rsid w:val="00E12D2A"/>
    <w:rsid w:val="00E215A2"/>
    <w:rsid w:val="00E22DC7"/>
    <w:rsid w:val="00E230AF"/>
    <w:rsid w:val="00E24DC9"/>
    <w:rsid w:val="00E276AB"/>
    <w:rsid w:val="00E33A1D"/>
    <w:rsid w:val="00E35065"/>
    <w:rsid w:val="00E378CC"/>
    <w:rsid w:val="00E44472"/>
    <w:rsid w:val="00E473DE"/>
    <w:rsid w:val="00E6057A"/>
    <w:rsid w:val="00E613BB"/>
    <w:rsid w:val="00E61885"/>
    <w:rsid w:val="00E61C63"/>
    <w:rsid w:val="00E62391"/>
    <w:rsid w:val="00E6358D"/>
    <w:rsid w:val="00E662BF"/>
    <w:rsid w:val="00E66387"/>
    <w:rsid w:val="00E70235"/>
    <w:rsid w:val="00E70DC7"/>
    <w:rsid w:val="00E85D45"/>
    <w:rsid w:val="00E86B63"/>
    <w:rsid w:val="00E9072C"/>
    <w:rsid w:val="00E946C7"/>
    <w:rsid w:val="00E95672"/>
    <w:rsid w:val="00EA03AC"/>
    <w:rsid w:val="00EA418B"/>
    <w:rsid w:val="00EA6381"/>
    <w:rsid w:val="00EA7010"/>
    <w:rsid w:val="00EB20E7"/>
    <w:rsid w:val="00EB25A1"/>
    <w:rsid w:val="00EB733A"/>
    <w:rsid w:val="00EC245C"/>
    <w:rsid w:val="00EC2FCA"/>
    <w:rsid w:val="00EC62FB"/>
    <w:rsid w:val="00ED435B"/>
    <w:rsid w:val="00ED5231"/>
    <w:rsid w:val="00ED5DFB"/>
    <w:rsid w:val="00EE200D"/>
    <w:rsid w:val="00EE3F92"/>
    <w:rsid w:val="00EE55B6"/>
    <w:rsid w:val="00EE73F0"/>
    <w:rsid w:val="00EF2397"/>
    <w:rsid w:val="00EF6367"/>
    <w:rsid w:val="00F0611C"/>
    <w:rsid w:val="00F1625D"/>
    <w:rsid w:val="00F22C77"/>
    <w:rsid w:val="00F35E1F"/>
    <w:rsid w:val="00F3654E"/>
    <w:rsid w:val="00F43195"/>
    <w:rsid w:val="00F44561"/>
    <w:rsid w:val="00F44C78"/>
    <w:rsid w:val="00F516A2"/>
    <w:rsid w:val="00F542A2"/>
    <w:rsid w:val="00F54549"/>
    <w:rsid w:val="00F559B5"/>
    <w:rsid w:val="00F56D13"/>
    <w:rsid w:val="00F57608"/>
    <w:rsid w:val="00F61988"/>
    <w:rsid w:val="00F61FFE"/>
    <w:rsid w:val="00F67CE3"/>
    <w:rsid w:val="00F718C2"/>
    <w:rsid w:val="00F7213B"/>
    <w:rsid w:val="00F7264B"/>
    <w:rsid w:val="00F73CC1"/>
    <w:rsid w:val="00F751A8"/>
    <w:rsid w:val="00F8126F"/>
    <w:rsid w:val="00F83FB2"/>
    <w:rsid w:val="00F86DC1"/>
    <w:rsid w:val="00F915D4"/>
    <w:rsid w:val="00F92964"/>
    <w:rsid w:val="00F95904"/>
    <w:rsid w:val="00FA02F3"/>
    <w:rsid w:val="00FA196F"/>
    <w:rsid w:val="00FA1CDE"/>
    <w:rsid w:val="00FA4F54"/>
    <w:rsid w:val="00FA5FC3"/>
    <w:rsid w:val="00FA6D51"/>
    <w:rsid w:val="00FB18D3"/>
    <w:rsid w:val="00FB396E"/>
    <w:rsid w:val="00FB3994"/>
    <w:rsid w:val="00FB66AA"/>
    <w:rsid w:val="00FC2BF4"/>
    <w:rsid w:val="00FC6706"/>
    <w:rsid w:val="00FD10A7"/>
    <w:rsid w:val="00FE370E"/>
    <w:rsid w:val="00FE401F"/>
    <w:rsid w:val="00FE6029"/>
    <w:rsid w:val="00FE770A"/>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4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84C80"/>
    <w:rPr>
      <w:sz w:val="20"/>
      <w:szCs w:val="20"/>
    </w:rPr>
  </w:style>
  <w:style w:type="character" w:customStyle="1" w:styleId="FootnoteTextChar">
    <w:name w:val="Footnote Text Char"/>
    <w:basedOn w:val="DefaultParagraphFont"/>
    <w:link w:val="FootnoteText"/>
    <w:uiPriority w:val="99"/>
    <w:semiHidden/>
    <w:rsid w:val="00284C8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84C80"/>
    <w:rPr>
      <w:vertAlign w:val="superscript"/>
    </w:rPr>
  </w:style>
  <w:style w:type="character" w:styleId="UnresolvedMention">
    <w:name w:val="Unresolved Mention"/>
    <w:basedOn w:val="DefaultParagraphFont"/>
    <w:uiPriority w:val="99"/>
    <w:semiHidden/>
    <w:unhideWhenUsed/>
    <w:rsid w:val="0014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doc/2016_05/SMAnot_SAM4511_19042016.79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112E-3C41-4AE8-A797-9141137B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24</Pages>
  <Words>33591</Words>
  <Characters>19148</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Kaspars.Slihta@sam.gov.lv</dc:creator>
  <cp:lastModifiedBy>Baiba Jirgena</cp:lastModifiedBy>
  <cp:revision>42</cp:revision>
  <cp:lastPrinted>2020-02-27T11:20:00Z</cp:lastPrinted>
  <dcterms:created xsi:type="dcterms:W3CDTF">2020-02-17T12:33:00Z</dcterms:created>
  <dcterms:modified xsi:type="dcterms:W3CDTF">2020-03-03T07:24:00Z</dcterms:modified>
</cp:coreProperties>
</file>