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403" w14:textId="1C6E6EB3" w:rsidR="00CD4343" w:rsidRPr="003D5B86" w:rsidRDefault="00690A13" w:rsidP="00BE32C0">
      <w:pPr>
        <w:spacing w:after="160" w:line="259" w:lineRule="auto"/>
        <w:jc w:val="center"/>
      </w:pPr>
      <w:sdt>
        <w:sdtPr>
          <w:rPr>
            <w:b/>
            <w:bCs/>
            <w:lang w:eastAsia="lv-LV"/>
          </w:rPr>
          <w:id w:val="882755678"/>
          <w:placeholder>
            <w:docPart w:val="B2513C7936974E769D1103048039203D"/>
          </w:placeholder>
        </w:sdtPr>
        <w:sdtEndPr/>
        <w:sdtContent>
          <w:r w:rsidR="00BC3FBF" w:rsidRPr="003D5B86">
            <w:rPr>
              <w:b/>
              <w:bCs/>
              <w:lang w:eastAsia="lv-LV"/>
            </w:rPr>
            <w:t>Ministru kabineta noteikumu</w:t>
          </w:r>
        </w:sdtContent>
      </w:sdt>
      <w:r w:rsidR="00894C55" w:rsidRPr="003D5B86">
        <w:rPr>
          <w:b/>
          <w:bCs/>
          <w:lang w:eastAsia="lv-LV"/>
        </w:rPr>
        <w:t xml:space="preserve"> projekta</w:t>
      </w:r>
      <w:r w:rsidR="00BC3FBF" w:rsidRPr="003D5B86">
        <w:rPr>
          <w:b/>
          <w:bCs/>
          <w:lang w:eastAsia="lv-LV"/>
        </w:rPr>
        <w:t xml:space="preserve"> </w:t>
      </w:r>
      <w:r w:rsidR="00C7089F" w:rsidRPr="003D5B86">
        <w:rPr>
          <w:b/>
        </w:rPr>
        <w:t>"</w:t>
      </w:r>
      <w:r w:rsidR="00405F58" w:rsidRPr="003D5B86">
        <w:rPr>
          <w:b/>
        </w:rPr>
        <w:t>Kārtība, kādā paziņo lēmumu par apstāšanās vai stāvēšanas noteikumu pārkāpumiem, ja transportlīdzekļa vadītājs neatrodas pārkāpuma izdarīšanas vietā, vai par pārkāpumiem, kas fiksēti ar tehniskajiem līdzekļiem, neapturot transportlīdzekli</w:t>
      </w:r>
      <w:r w:rsidR="00C7089F" w:rsidRPr="003D5B86">
        <w:rPr>
          <w:b/>
        </w:rPr>
        <w:t>"</w:t>
      </w:r>
      <w:r w:rsidR="00BE32C0" w:rsidRPr="003D5B86">
        <w:rPr>
          <w:b/>
          <w:bCs/>
          <w:lang w:eastAsia="lv-LV"/>
        </w:rPr>
        <w:t xml:space="preserve"> sākotnējās ietekmes novērtējuma ziņojums</w:t>
      </w:r>
      <w:r w:rsidR="00842CCF" w:rsidRPr="003D5B86">
        <w:rPr>
          <w:b/>
          <w:bCs/>
          <w:lang w:eastAsia="lv-LV"/>
        </w:rPr>
        <w:t xml:space="preserve"> </w:t>
      </w:r>
      <w:r w:rsidR="00BE32C0" w:rsidRPr="003D5B86">
        <w:rPr>
          <w:b/>
          <w:bCs/>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3E24" w:rsidRPr="00842CCF" w14:paraId="0B0FBA8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667FA" w14:textId="77777777" w:rsidR="00655F2C" w:rsidRPr="006C657A" w:rsidRDefault="00E5323B" w:rsidP="00901895">
            <w:pPr>
              <w:jc w:val="center"/>
              <w:rPr>
                <w:b/>
                <w:bCs/>
                <w:iCs/>
                <w:lang w:eastAsia="lv-LV"/>
              </w:rPr>
            </w:pPr>
            <w:r w:rsidRPr="006C657A">
              <w:rPr>
                <w:b/>
                <w:bCs/>
                <w:iCs/>
                <w:lang w:eastAsia="lv-LV"/>
              </w:rPr>
              <w:t>Tiesību akta projekta anotācijas kopsavilkums</w:t>
            </w:r>
          </w:p>
        </w:tc>
      </w:tr>
      <w:tr w:rsidR="00A13E24" w:rsidRPr="00842CCF" w14:paraId="3EEA3B02" w14:textId="77777777" w:rsidTr="008D63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73F601" w14:textId="4C12CAA6" w:rsidR="00E5323B" w:rsidRPr="006C657A" w:rsidRDefault="00E5323B" w:rsidP="008D631D">
            <w:pPr>
              <w:jc w:val="both"/>
              <w:rPr>
                <w:iCs/>
                <w:lang w:eastAsia="lv-LV"/>
              </w:rPr>
            </w:pPr>
            <w:r w:rsidRPr="006C657A">
              <w:rPr>
                <w:iCs/>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87DD31F" w14:textId="547EE06E" w:rsidR="00405F58" w:rsidRPr="00405F58" w:rsidRDefault="00EB272A" w:rsidP="00405F58">
            <w:pPr>
              <w:jc w:val="both"/>
              <w:rPr>
                <w:iCs/>
                <w:lang w:eastAsia="lv-LV"/>
              </w:rPr>
            </w:pPr>
            <w:r w:rsidRPr="006C657A">
              <w:rPr>
                <w:iCs/>
                <w:lang w:eastAsia="lv-LV"/>
              </w:rPr>
              <w:t xml:space="preserve">Ar </w:t>
            </w:r>
            <w:r w:rsidR="00A27005">
              <w:rPr>
                <w:iCs/>
                <w:lang w:eastAsia="lv-LV"/>
              </w:rPr>
              <w:t xml:space="preserve">noteikumu </w:t>
            </w:r>
            <w:r w:rsidRPr="006C657A">
              <w:rPr>
                <w:iCs/>
                <w:lang w:eastAsia="lv-LV"/>
              </w:rPr>
              <w:t xml:space="preserve">projektu paredzēts noteikt </w:t>
            </w:r>
            <w:r w:rsidR="00405F58" w:rsidRPr="00405F58">
              <w:rPr>
                <w:iCs/>
                <w:lang w:eastAsia="lv-LV"/>
              </w:rPr>
              <w:t xml:space="preserve">lēmumu par apstāšanās vai stāvēšanas noteikumu pārkāpumiem, ja transportlīdzekļa vadītājs neatrodas pārkāpuma izdarīšanas vietā, </w:t>
            </w:r>
            <w:r w:rsidR="00631E2C">
              <w:rPr>
                <w:iCs/>
                <w:lang w:eastAsia="lv-LV"/>
              </w:rPr>
              <w:t xml:space="preserve">un </w:t>
            </w:r>
            <w:r w:rsidR="0061202B" w:rsidRPr="00405F58">
              <w:rPr>
                <w:iCs/>
                <w:lang w:eastAsia="lv-LV"/>
              </w:rPr>
              <w:t>lēmumu par pārkāpumiem, kas fiksēti ar tehniskajiem līdzekļiem, neapturot transportlīdzekli,</w:t>
            </w:r>
            <w:r w:rsidR="0061202B">
              <w:rPr>
                <w:iCs/>
                <w:lang w:eastAsia="lv-LV"/>
              </w:rPr>
              <w:t xml:space="preserve"> </w:t>
            </w:r>
            <w:r w:rsidR="00405F58" w:rsidRPr="00405F58">
              <w:rPr>
                <w:iCs/>
                <w:lang w:eastAsia="lv-LV"/>
              </w:rPr>
              <w:t>paziņošanas veidus un kārtību</w:t>
            </w:r>
            <w:r w:rsidR="003D5B86">
              <w:rPr>
                <w:iCs/>
                <w:lang w:eastAsia="lv-LV"/>
              </w:rPr>
              <w:t>.</w:t>
            </w:r>
          </w:p>
          <w:p w14:paraId="7CB17534" w14:textId="6E3C25FC" w:rsidR="00E5323B" w:rsidRPr="006C657A" w:rsidRDefault="00686540" w:rsidP="003A37A0">
            <w:pPr>
              <w:jc w:val="both"/>
              <w:rPr>
                <w:iCs/>
                <w:lang w:eastAsia="lv-LV"/>
              </w:rPr>
            </w:pPr>
            <w:r>
              <w:rPr>
                <w:iCs/>
                <w:lang w:eastAsia="lv-LV"/>
              </w:rPr>
              <w:t>Noteikumi</w:t>
            </w:r>
            <w:r w:rsidR="00041696" w:rsidRPr="006C657A">
              <w:rPr>
                <w:iCs/>
                <w:lang w:eastAsia="lv-LV"/>
              </w:rPr>
              <w:t xml:space="preserve"> stāsies spēkā vienlai</w:t>
            </w:r>
            <w:r w:rsidR="003A37A0" w:rsidRPr="006C657A">
              <w:rPr>
                <w:iCs/>
                <w:lang w:eastAsia="lv-LV"/>
              </w:rPr>
              <w:t>kus ar Administratīvās atbildības likumu.</w:t>
            </w:r>
          </w:p>
        </w:tc>
      </w:tr>
    </w:tbl>
    <w:p w14:paraId="3AE6A3F4"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13E24" w:rsidRPr="00842CCF" w14:paraId="724A73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C9484" w14:textId="77777777" w:rsidR="00655F2C" w:rsidRPr="006C657A" w:rsidRDefault="00E5323B" w:rsidP="00901895">
            <w:pPr>
              <w:jc w:val="center"/>
              <w:rPr>
                <w:b/>
                <w:bCs/>
                <w:iCs/>
                <w:lang w:eastAsia="lv-LV"/>
              </w:rPr>
            </w:pPr>
            <w:r w:rsidRPr="006C657A">
              <w:rPr>
                <w:b/>
                <w:bCs/>
                <w:iCs/>
                <w:lang w:eastAsia="lv-LV"/>
              </w:rPr>
              <w:t>I. Tiesību akta projekta izstrādes nepieciešamība</w:t>
            </w:r>
          </w:p>
        </w:tc>
      </w:tr>
      <w:tr w:rsidR="00A13E24" w:rsidRPr="00842CCF" w14:paraId="55C2910F"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46965D" w14:textId="77777777" w:rsidR="00655F2C" w:rsidRPr="006C657A" w:rsidRDefault="00E5323B" w:rsidP="00E5323B">
            <w:pPr>
              <w:rPr>
                <w:iCs/>
                <w:lang w:eastAsia="lv-LV"/>
              </w:rPr>
            </w:pPr>
            <w:r w:rsidRPr="006C657A">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80347ED" w14:textId="77777777" w:rsidR="00E5323B" w:rsidRPr="006C657A" w:rsidRDefault="00E5323B" w:rsidP="00E5323B">
            <w:pPr>
              <w:rPr>
                <w:iCs/>
                <w:lang w:eastAsia="lv-LV"/>
              </w:rPr>
            </w:pPr>
            <w:r w:rsidRPr="006C657A">
              <w:rPr>
                <w:iCs/>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00EB1649" w14:textId="45648076" w:rsidR="00E5323B" w:rsidRPr="006C657A" w:rsidRDefault="0007538B" w:rsidP="00E5323B">
            <w:pPr>
              <w:rPr>
                <w:iCs/>
                <w:lang w:eastAsia="lv-LV"/>
              </w:rPr>
            </w:pPr>
            <w:r w:rsidRPr="006C657A">
              <w:rPr>
                <w:iCs/>
                <w:lang w:eastAsia="lv-LV"/>
              </w:rPr>
              <w:t xml:space="preserve">Administratīvās atbildības likuma </w:t>
            </w:r>
            <w:r w:rsidR="0061202B" w:rsidRPr="0061202B">
              <w:rPr>
                <w:iCs/>
                <w:lang w:eastAsia="lv-LV"/>
              </w:rPr>
              <w:t>162.panta treš</w:t>
            </w:r>
            <w:r w:rsidR="00335657">
              <w:rPr>
                <w:iCs/>
                <w:lang w:eastAsia="lv-LV"/>
              </w:rPr>
              <w:t>ā</w:t>
            </w:r>
            <w:r w:rsidR="0061202B" w:rsidRPr="0061202B">
              <w:rPr>
                <w:iCs/>
                <w:lang w:eastAsia="lv-LV"/>
              </w:rPr>
              <w:t xml:space="preserve"> daļ</w:t>
            </w:r>
            <w:r w:rsidR="0061202B">
              <w:rPr>
                <w:iCs/>
                <w:lang w:eastAsia="lv-LV"/>
              </w:rPr>
              <w:t>a</w:t>
            </w:r>
            <w:r w:rsidR="00917811" w:rsidRPr="006C657A">
              <w:rPr>
                <w:iCs/>
                <w:lang w:eastAsia="lv-LV"/>
              </w:rPr>
              <w:t>.</w:t>
            </w:r>
          </w:p>
        </w:tc>
      </w:tr>
      <w:tr w:rsidR="00A13E24" w:rsidRPr="00842CCF" w14:paraId="28DF50C3"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3E28A" w14:textId="77777777" w:rsidR="00655F2C" w:rsidRPr="006C657A" w:rsidRDefault="00E5323B" w:rsidP="00E5323B">
            <w:pPr>
              <w:rPr>
                <w:iCs/>
                <w:lang w:eastAsia="lv-LV"/>
              </w:rPr>
            </w:pPr>
            <w:r w:rsidRPr="006C657A">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FF161FA" w14:textId="77777777" w:rsidR="00E5323B" w:rsidRDefault="00E5323B" w:rsidP="00A524B1">
            <w:pPr>
              <w:jc w:val="both"/>
              <w:rPr>
                <w:iCs/>
                <w:lang w:eastAsia="lv-LV"/>
              </w:rPr>
            </w:pPr>
            <w:r w:rsidRPr="006C657A">
              <w:rPr>
                <w:iCs/>
                <w:lang w:eastAsia="lv-LV"/>
              </w:rPr>
              <w:t>Pašreizējā situācija un problēmas, kuru risināšanai tiesību akta projekts izstrādāts, tiesiskā regulējuma mērķis un būtība</w:t>
            </w:r>
          </w:p>
          <w:p w14:paraId="5B569143" w14:textId="6BBD12CE" w:rsidR="00B27EFF" w:rsidRPr="006746E2" w:rsidRDefault="00B27EFF" w:rsidP="0059578D">
            <w:pPr>
              <w:rPr>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4BFCAED7" w14:textId="36FF2460" w:rsidR="00A27005" w:rsidRDefault="00405F58" w:rsidP="00A27005">
            <w:pPr>
              <w:jc w:val="both"/>
              <w:rPr>
                <w:iCs/>
                <w:lang w:eastAsia="lv-LV"/>
              </w:rPr>
            </w:pPr>
            <w:r w:rsidRPr="00405F58">
              <w:rPr>
                <w:iCs/>
                <w:lang w:eastAsia="lv-LV"/>
              </w:rPr>
              <w:t xml:space="preserve">Ar </w:t>
            </w:r>
            <w:r w:rsidR="0061202B" w:rsidRPr="0061202B">
              <w:rPr>
                <w:iCs/>
                <w:lang w:eastAsia="lv-LV"/>
              </w:rPr>
              <w:t>Administratīvās atbildības likum</w:t>
            </w:r>
            <w:r w:rsidR="0061202B">
              <w:rPr>
                <w:iCs/>
                <w:lang w:eastAsia="lv-LV"/>
              </w:rPr>
              <w:t>a spēkā stāšanos</w:t>
            </w:r>
            <w:r w:rsidR="0096640E">
              <w:rPr>
                <w:iCs/>
                <w:lang w:eastAsia="lv-LV"/>
              </w:rPr>
              <w:t xml:space="preserve"> no Ceļu satiksmes likuma uz</w:t>
            </w:r>
            <w:r w:rsidR="0096640E">
              <w:t xml:space="preserve"> </w:t>
            </w:r>
            <w:r w:rsidR="0096640E" w:rsidRPr="0096640E">
              <w:rPr>
                <w:iCs/>
                <w:lang w:eastAsia="lv-LV"/>
              </w:rPr>
              <w:t>Administratīvās atbildības likum</w:t>
            </w:r>
            <w:r w:rsidR="0096640E">
              <w:rPr>
                <w:iCs/>
                <w:lang w:eastAsia="lv-LV"/>
              </w:rPr>
              <w:t xml:space="preserve">u tiks pārceltas tiesību normas, kas nosaka atbildības piemērošanu </w:t>
            </w:r>
            <w:r w:rsidR="0096640E" w:rsidRPr="0096640E">
              <w:rPr>
                <w:iCs/>
                <w:lang w:eastAsia="lv-LV"/>
              </w:rPr>
              <w:t>par pārkāpumiem, kas fiksēti ar tehniskajiem līdzekļiem, neapturot transportlīdzekli</w:t>
            </w:r>
            <w:r w:rsidR="0061202B">
              <w:rPr>
                <w:iCs/>
                <w:lang w:eastAsia="lv-LV"/>
              </w:rPr>
              <w:t xml:space="preserve">, </w:t>
            </w:r>
            <w:r w:rsidR="0096640E">
              <w:rPr>
                <w:iCs/>
                <w:lang w:eastAsia="lv-LV"/>
              </w:rPr>
              <w:t>kā arī</w:t>
            </w:r>
            <w:r w:rsidR="0061202B">
              <w:rPr>
                <w:iCs/>
                <w:lang w:eastAsia="lv-LV"/>
              </w:rPr>
              <w:t xml:space="preserve"> spēku zaudē</w:t>
            </w:r>
            <w:r w:rsidR="00A935E3">
              <w:rPr>
                <w:iCs/>
                <w:lang w:eastAsia="lv-LV"/>
              </w:rPr>
              <w:t>s</w:t>
            </w:r>
            <w:r w:rsidR="0061202B">
              <w:rPr>
                <w:iCs/>
                <w:lang w:eastAsia="lv-LV"/>
              </w:rPr>
              <w:t xml:space="preserve"> </w:t>
            </w:r>
            <w:r w:rsidR="0061202B" w:rsidRPr="0061202B">
              <w:rPr>
                <w:iCs/>
                <w:lang w:eastAsia="lv-LV"/>
              </w:rPr>
              <w:t xml:space="preserve">Ministru kabineta 2016. gada 21.jūnija noteikumi Nr.402 </w:t>
            </w:r>
            <w:r w:rsidR="00686540">
              <w:rPr>
                <w:iCs/>
                <w:lang w:eastAsia="lv-LV"/>
              </w:rPr>
              <w:t>“</w:t>
            </w:r>
            <w:r w:rsidR="0061202B" w:rsidRPr="0061202B">
              <w:rPr>
                <w:iCs/>
                <w:lang w:eastAsia="lv-LV"/>
              </w:rPr>
              <w:t>Kārtība, kādā noformē administratīvā pārkāpuma protokolu–lēmumu par transportlīdzekļu apstāšanās un stāvēšanas noteikumu pārkāpumu</w:t>
            </w:r>
            <w:r w:rsidR="00686540">
              <w:rPr>
                <w:iCs/>
                <w:lang w:eastAsia="lv-LV"/>
              </w:rPr>
              <w:t>”</w:t>
            </w:r>
            <w:r w:rsidR="0061202B" w:rsidRPr="0061202B">
              <w:rPr>
                <w:iCs/>
                <w:lang w:eastAsia="lv-LV"/>
              </w:rPr>
              <w:t>.</w:t>
            </w:r>
            <w:r w:rsidR="00A27005">
              <w:rPr>
                <w:iCs/>
                <w:lang w:eastAsia="lv-LV"/>
              </w:rPr>
              <w:t xml:space="preserve"> Attiecīgi </w:t>
            </w:r>
            <w:r w:rsidR="00A27005" w:rsidRPr="00A27005">
              <w:rPr>
                <w:iCs/>
                <w:lang w:eastAsia="lv-LV"/>
              </w:rPr>
              <w:t>Administratīvās atbildības likum</w:t>
            </w:r>
            <w:r w:rsidR="00A27005">
              <w:rPr>
                <w:iCs/>
                <w:lang w:eastAsia="lv-LV"/>
              </w:rPr>
              <w:t xml:space="preserve">a </w:t>
            </w:r>
            <w:r w:rsidR="00A27005" w:rsidRPr="00A27005">
              <w:rPr>
                <w:iCs/>
                <w:lang w:eastAsia="lv-LV"/>
              </w:rPr>
              <w:t>162.panta treš</w:t>
            </w:r>
            <w:r w:rsidR="00132B43">
              <w:rPr>
                <w:iCs/>
                <w:lang w:eastAsia="lv-LV"/>
              </w:rPr>
              <w:t>ajā</w:t>
            </w:r>
            <w:r w:rsidR="00A27005" w:rsidRPr="00A27005">
              <w:rPr>
                <w:iCs/>
                <w:lang w:eastAsia="lv-LV"/>
              </w:rPr>
              <w:t xml:space="preserve"> daļ</w:t>
            </w:r>
            <w:r w:rsidR="00A27005">
              <w:rPr>
                <w:iCs/>
                <w:lang w:eastAsia="lv-LV"/>
              </w:rPr>
              <w:t xml:space="preserve">ā ietverts deleģējums Ministru kabinetam noteikt: </w:t>
            </w:r>
          </w:p>
          <w:p w14:paraId="6F4699BD" w14:textId="7514BBF7" w:rsidR="00A27005" w:rsidRPr="00A27005" w:rsidRDefault="00A27005" w:rsidP="00A27005">
            <w:pPr>
              <w:jc w:val="both"/>
              <w:rPr>
                <w:iCs/>
                <w:lang w:eastAsia="lv-LV"/>
              </w:rPr>
            </w:pPr>
            <w:r>
              <w:rPr>
                <w:iCs/>
                <w:lang w:eastAsia="lv-LV"/>
              </w:rPr>
              <w:t xml:space="preserve">1) </w:t>
            </w:r>
            <w:r w:rsidRPr="00A27005">
              <w:rPr>
                <w:iCs/>
                <w:lang w:eastAsia="lv-LV"/>
              </w:rPr>
              <w:t>lēmumu par apstāšanās vai stāvēšanas noteikumu pārkāpumiem, ja transportlīdzekļa vadītājs neatrodas pārkāpuma izdarīšanas vietā, paziņošanas veidus un kārtību;</w:t>
            </w:r>
          </w:p>
          <w:p w14:paraId="145BA64F" w14:textId="5FEBFCB8" w:rsidR="0061202B" w:rsidRDefault="00A27005" w:rsidP="00405F58">
            <w:pPr>
              <w:jc w:val="both"/>
              <w:rPr>
                <w:iCs/>
                <w:lang w:eastAsia="lv-LV"/>
              </w:rPr>
            </w:pPr>
            <w:r>
              <w:rPr>
                <w:iCs/>
                <w:lang w:eastAsia="lv-LV"/>
              </w:rPr>
              <w:t>2)</w:t>
            </w:r>
            <w:r w:rsidRPr="00A27005">
              <w:rPr>
                <w:iCs/>
                <w:lang w:eastAsia="lv-LV"/>
              </w:rPr>
              <w:t xml:space="preserve"> lēmumu par pārkāpumiem, kas fiksēti ar tehniskajiem līdzekļiem, neapturot transportlīdzekli, paziņošanas veidus un kārtību. </w:t>
            </w:r>
          </w:p>
          <w:p w14:paraId="4FA1B12C" w14:textId="57F6D690" w:rsidR="00A27005" w:rsidRDefault="00405F58" w:rsidP="00405F58">
            <w:pPr>
              <w:jc w:val="both"/>
              <w:rPr>
                <w:iCs/>
                <w:lang w:eastAsia="lv-LV"/>
              </w:rPr>
            </w:pPr>
            <w:r w:rsidRPr="003B7608">
              <w:rPr>
                <w:iCs/>
                <w:lang w:eastAsia="lv-LV"/>
              </w:rPr>
              <w:t>Noteikumu projektā ir noteikt</w:t>
            </w:r>
            <w:r w:rsidR="00A27005" w:rsidRPr="003B7608">
              <w:rPr>
                <w:iCs/>
                <w:lang w:eastAsia="lv-LV"/>
              </w:rPr>
              <w:t>i</w:t>
            </w:r>
            <w:r w:rsidRPr="003B7608">
              <w:rPr>
                <w:iCs/>
                <w:lang w:eastAsia="lv-LV"/>
              </w:rPr>
              <w:t xml:space="preserve"> lēmuma </w:t>
            </w:r>
            <w:r w:rsidR="00A27005" w:rsidRPr="003B7608">
              <w:rPr>
                <w:iCs/>
                <w:lang w:eastAsia="lv-LV"/>
              </w:rPr>
              <w:t>par apstāšanās vai stāvēšanas noteikumu pārkāpumiem, ja transportlīdzekļa vadītājs neatrodas pārkāpuma izdarīšanas vietā, paziņošanas veidi</w:t>
            </w:r>
            <w:r w:rsidR="00A76EE4">
              <w:rPr>
                <w:iCs/>
                <w:lang w:eastAsia="lv-LV"/>
              </w:rPr>
              <w:t xml:space="preserve">, proti, </w:t>
            </w:r>
            <w:r w:rsidR="00A27005" w:rsidRPr="003B7608">
              <w:rPr>
                <w:iCs/>
                <w:lang w:eastAsia="lv-LV"/>
              </w:rPr>
              <w:t>eksemplāra piestiprināšana pie transportlīdzekļa priekšējā vējstikla vadītāja pusē vai uz motocikla, tricikla vai kvadricikla degvielas tvertnes un eksemplāra nosūtīšana</w:t>
            </w:r>
            <w:r w:rsidR="00A27005" w:rsidRPr="003B7608">
              <w:t xml:space="preserve"> </w:t>
            </w:r>
            <w:r w:rsidR="00A27005" w:rsidRPr="003B7608">
              <w:rPr>
                <w:iCs/>
                <w:lang w:eastAsia="lv-LV"/>
              </w:rPr>
              <w:t xml:space="preserve">personai, kurai piemērots administratīvais sods par apstāšanās vai stāvēšanas noteikumu pārkāpumiem. Noteikumu projekts paredz, ka </w:t>
            </w:r>
            <w:r w:rsidR="00C42992" w:rsidRPr="003B7608">
              <w:rPr>
                <w:iCs/>
                <w:lang w:eastAsia="lv-LV"/>
              </w:rPr>
              <w:t xml:space="preserve">lēmuma </w:t>
            </w:r>
            <w:r w:rsidR="00A27005" w:rsidRPr="003B7608">
              <w:rPr>
                <w:iCs/>
                <w:lang w:eastAsia="lv-LV"/>
              </w:rPr>
              <w:t>nosūtīšana personai, kurai piemērots administratīvais sods par apstāšanās vai stāvēšanas noteikumu pārkāpumiem, var notikt arī elektroniski</w:t>
            </w:r>
            <w:r w:rsidR="00A27005" w:rsidRPr="003B7608">
              <w:t xml:space="preserve"> </w:t>
            </w:r>
            <w:r w:rsidR="0059578D" w:rsidRPr="003B7608">
              <w:t>valsts akciju sabiedrības “</w:t>
            </w:r>
            <w:r w:rsidR="00A27005" w:rsidRPr="003B7608">
              <w:rPr>
                <w:iCs/>
                <w:lang w:eastAsia="lv-LV"/>
              </w:rPr>
              <w:t>Ceļu satiksmes drošības direkcija</w:t>
            </w:r>
            <w:r w:rsidR="0059578D" w:rsidRPr="003B7608">
              <w:rPr>
                <w:iCs/>
                <w:lang w:eastAsia="lv-LV"/>
              </w:rPr>
              <w:t>” (turpmāk - Ceļu satiksmes drošības direkcija)</w:t>
            </w:r>
            <w:r w:rsidR="00A27005" w:rsidRPr="003B7608">
              <w:rPr>
                <w:iCs/>
                <w:lang w:eastAsia="lv-LV"/>
              </w:rPr>
              <w:t xml:space="preserve"> elektroniskajā</w:t>
            </w:r>
            <w:r w:rsidR="00A27005" w:rsidRPr="00A27005">
              <w:rPr>
                <w:iCs/>
                <w:lang w:eastAsia="lv-LV"/>
              </w:rPr>
              <w:t xml:space="preserve"> e-pakalpojumu sistēmā</w:t>
            </w:r>
            <w:r w:rsidR="00A27005">
              <w:rPr>
                <w:iCs/>
                <w:lang w:eastAsia="lv-LV"/>
              </w:rPr>
              <w:t>, ja persona šajā sistēm</w:t>
            </w:r>
            <w:r w:rsidR="00F17501">
              <w:rPr>
                <w:iCs/>
                <w:lang w:eastAsia="lv-LV"/>
              </w:rPr>
              <w:t>ā</w:t>
            </w:r>
            <w:r w:rsidR="00A27005">
              <w:rPr>
                <w:iCs/>
                <w:lang w:eastAsia="lv-LV"/>
              </w:rPr>
              <w:t xml:space="preserve"> ir reģistrējusies un piekritusi paziņojumu saņemšanai</w:t>
            </w:r>
            <w:r w:rsidR="00F17501">
              <w:rPr>
                <w:iCs/>
                <w:lang w:eastAsia="lv-LV"/>
              </w:rPr>
              <w:t xml:space="preserve"> elektroniski</w:t>
            </w:r>
            <w:r w:rsidR="00A27005">
              <w:rPr>
                <w:iCs/>
                <w:lang w:eastAsia="lv-LV"/>
              </w:rPr>
              <w:t xml:space="preserve">. </w:t>
            </w:r>
          </w:p>
          <w:p w14:paraId="78929CC5" w14:textId="487B6183" w:rsidR="00A27005" w:rsidRDefault="00A27005" w:rsidP="00A27005">
            <w:pPr>
              <w:jc w:val="both"/>
              <w:rPr>
                <w:iCs/>
                <w:lang w:eastAsia="lv-LV"/>
              </w:rPr>
            </w:pPr>
            <w:r w:rsidRPr="00A27005">
              <w:rPr>
                <w:iCs/>
                <w:lang w:eastAsia="lv-LV"/>
              </w:rPr>
              <w:lastRenderedPageBreak/>
              <w:t>Lai nodrošinātu lēmuma par apstāšanās vai stāvēšanas noteikumu pārkāpumiem paziņošanu</w:t>
            </w:r>
            <w:r>
              <w:rPr>
                <w:iCs/>
                <w:lang w:eastAsia="lv-LV"/>
              </w:rPr>
              <w:t xml:space="preserve"> nepieciešama informācijas</w:t>
            </w:r>
            <w:r w:rsidRPr="00A27005">
              <w:rPr>
                <w:iCs/>
                <w:lang w:eastAsia="lv-LV"/>
              </w:rPr>
              <w:t xml:space="preserve"> ievad</w:t>
            </w:r>
            <w:r>
              <w:rPr>
                <w:iCs/>
                <w:lang w:eastAsia="lv-LV"/>
              </w:rPr>
              <w:t>īšana</w:t>
            </w:r>
            <w:r w:rsidRPr="00A27005">
              <w:rPr>
                <w:iCs/>
                <w:lang w:eastAsia="lv-LV"/>
              </w:rPr>
              <w:t xml:space="preserve"> transportlīdzekļu un to vadītāju valsts reģistrā</w:t>
            </w:r>
            <w:r>
              <w:rPr>
                <w:iCs/>
                <w:lang w:eastAsia="lv-LV"/>
              </w:rPr>
              <w:t xml:space="preserve">, par ko </w:t>
            </w:r>
            <w:r w:rsidRPr="00A27005">
              <w:rPr>
                <w:iCs/>
                <w:lang w:eastAsia="lv-LV"/>
              </w:rPr>
              <w:t>pašvaldība, kas pilnvarojusi institūciju (amatpersonu) kontrolēt transportlīdzekļu apstāšanās un stāvēšanas noteikumu ievērošanu</w:t>
            </w:r>
            <w:r w:rsidR="00790B23">
              <w:rPr>
                <w:iCs/>
                <w:lang w:eastAsia="lv-LV"/>
              </w:rPr>
              <w:t>,</w:t>
            </w:r>
            <w:r>
              <w:rPr>
                <w:iCs/>
                <w:lang w:eastAsia="lv-LV"/>
              </w:rPr>
              <w:t xml:space="preserve"> slēdz līgumu ar Ceļu satiksmes drošības direkciju.</w:t>
            </w:r>
            <w:r w:rsidR="00C42992">
              <w:rPr>
                <w:iCs/>
                <w:lang w:eastAsia="lv-LV"/>
              </w:rPr>
              <w:t xml:space="preserve"> </w:t>
            </w:r>
            <w:r>
              <w:rPr>
                <w:iCs/>
                <w:lang w:eastAsia="lv-LV"/>
              </w:rPr>
              <w:t xml:space="preserve">Šāda </w:t>
            </w:r>
            <w:r w:rsidR="00F251B5">
              <w:rPr>
                <w:iCs/>
                <w:lang w:eastAsia="lv-LV"/>
              </w:rPr>
              <w:t>informācijas par</w:t>
            </w:r>
            <w:r w:rsidR="00F251B5" w:rsidRPr="00A27005">
              <w:rPr>
                <w:iCs/>
                <w:lang w:eastAsia="lv-LV"/>
              </w:rPr>
              <w:t xml:space="preserve"> </w:t>
            </w:r>
            <w:r w:rsidRPr="00A27005">
              <w:rPr>
                <w:iCs/>
                <w:lang w:eastAsia="lv-LV"/>
              </w:rPr>
              <w:t>lēmuma par apstāšanās vai stāvēšanas noteikumu pārkāpumiem, ja transportlīdzekļa vadītājs neatrodas pārkāpuma izdarīšanas vietā,</w:t>
            </w:r>
            <w:r>
              <w:rPr>
                <w:iCs/>
                <w:lang w:eastAsia="lv-LV"/>
              </w:rPr>
              <w:t xml:space="preserve"> apstrāde</w:t>
            </w:r>
            <w:r w:rsidR="00F251B5">
              <w:rPr>
                <w:iCs/>
                <w:lang w:eastAsia="lv-LV"/>
              </w:rPr>
              <w:t>s</w:t>
            </w:r>
            <w:r>
              <w:rPr>
                <w:iCs/>
                <w:lang w:eastAsia="lv-LV"/>
              </w:rPr>
              <w:t xml:space="preserve"> un sadarbība</w:t>
            </w:r>
            <w:r w:rsidR="00F251B5">
              <w:rPr>
                <w:iCs/>
                <w:lang w:eastAsia="lv-LV"/>
              </w:rPr>
              <w:t>s modelis</w:t>
            </w:r>
            <w:r>
              <w:rPr>
                <w:iCs/>
                <w:lang w:eastAsia="lv-LV"/>
              </w:rPr>
              <w:t xml:space="preserve"> starp</w:t>
            </w:r>
            <w:r w:rsidR="00F251B5">
              <w:t xml:space="preserve"> p</w:t>
            </w:r>
            <w:r w:rsidR="00F251B5" w:rsidRPr="00F251B5">
              <w:rPr>
                <w:iCs/>
                <w:lang w:eastAsia="lv-LV"/>
              </w:rPr>
              <w:t>ašvaldībā</w:t>
            </w:r>
            <w:r w:rsidR="00F251B5">
              <w:rPr>
                <w:iCs/>
                <w:lang w:eastAsia="lv-LV"/>
              </w:rPr>
              <w:t xml:space="preserve">m </w:t>
            </w:r>
            <w:r w:rsidR="00F251B5" w:rsidRPr="00F251B5">
              <w:rPr>
                <w:iCs/>
                <w:lang w:eastAsia="lv-LV"/>
              </w:rPr>
              <w:t>ar Ceļu satiksmes drošības direkciju</w:t>
            </w:r>
            <w:r>
              <w:rPr>
                <w:iCs/>
                <w:lang w:eastAsia="lv-LV"/>
              </w:rPr>
              <w:t xml:space="preserve"> jau ir </w:t>
            </w:r>
            <w:r w:rsidR="00F251B5">
              <w:rPr>
                <w:iCs/>
                <w:lang w:eastAsia="lv-LV"/>
              </w:rPr>
              <w:t xml:space="preserve">sekmīgi </w:t>
            </w:r>
            <w:r>
              <w:rPr>
                <w:iCs/>
                <w:lang w:eastAsia="lv-LV"/>
              </w:rPr>
              <w:t>darbojusies praksē</w:t>
            </w:r>
            <w:r w:rsidR="00F251B5">
              <w:rPr>
                <w:iCs/>
                <w:lang w:eastAsia="lv-LV"/>
              </w:rPr>
              <w:t xml:space="preserve"> spēkā esot </w:t>
            </w:r>
            <w:r w:rsidR="00F251B5" w:rsidRPr="00F251B5">
              <w:rPr>
                <w:iCs/>
                <w:lang w:eastAsia="lv-LV"/>
              </w:rPr>
              <w:t>Ministru kabineta 2016. gada 21.jūnija noteikumi</w:t>
            </w:r>
            <w:r w:rsidR="00686540">
              <w:rPr>
                <w:iCs/>
                <w:lang w:eastAsia="lv-LV"/>
              </w:rPr>
              <w:t>em</w:t>
            </w:r>
            <w:r w:rsidR="00F251B5" w:rsidRPr="00F251B5">
              <w:rPr>
                <w:iCs/>
                <w:lang w:eastAsia="lv-LV"/>
              </w:rPr>
              <w:t xml:space="preserve"> Nr.402 </w:t>
            </w:r>
            <w:r w:rsidR="00686540">
              <w:rPr>
                <w:iCs/>
                <w:lang w:eastAsia="lv-LV"/>
              </w:rPr>
              <w:t>“</w:t>
            </w:r>
            <w:r w:rsidR="00F251B5" w:rsidRPr="00F251B5">
              <w:rPr>
                <w:iCs/>
                <w:lang w:eastAsia="lv-LV"/>
              </w:rPr>
              <w:t>Kārtība, kādā noformē administratīvā pārkāpuma protokolu–lēmumu par transportlīdzekļu apstāšanās un stāvēšanas noteikumu pārkāpumu</w:t>
            </w:r>
            <w:r w:rsidR="00686540">
              <w:rPr>
                <w:iCs/>
                <w:lang w:eastAsia="lv-LV"/>
              </w:rPr>
              <w:t>”</w:t>
            </w:r>
            <w:r w:rsidR="00F251B5">
              <w:rPr>
                <w:iCs/>
                <w:lang w:eastAsia="lv-LV"/>
              </w:rPr>
              <w:t>, līdz ar to</w:t>
            </w:r>
            <w:r w:rsidR="0059578D">
              <w:t xml:space="preserve"> </w:t>
            </w:r>
            <w:r w:rsidR="0059578D" w:rsidRPr="0059578D">
              <w:rPr>
                <w:iCs/>
                <w:lang w:eastAsia="lv-LV"/>
              </w:rPr>
              <w:t>noteikumu projekts</w:t>
            </w:r>
            <w:r w:rsidR="00F251B5">
              <w:rPr>
                <w:iCs/>
                <w:lang w:eastAsia="lv-LV"/>
              </w:rPr>
              <w:t xml:space="preserve"> neparedz konceptuāli jaunu noregulējumu.</w:t>
            </w:r>
          </w:p>
          <w:p w14:paraId="7D962F44" w14:textId="711144FA" w:rsidR="00C42992" w:rsidRPr="00C42992" w:rsidRDefault="00C42992" w:rsidP="00C42992">
            <w:pPr>
              <w:jc w:val="both"/>
              <w:rPr>
                <w:iCs/>
                <w:lang w:eastAsia="lv-LV"/>
              </w:rPr>
            </w:pPr>
            <w:r>
              <w:rPr>
                <w:iCs/>
                <w:lang w:eastAsia="lv-LV"/>
              </w:rPr>
              <w:t>Tāpat</w:t>
            </w:r>
            <w:r>
              <w:t xml:space="preserve"> </w:t>
            </w:r>
            <w:r>
              <w:rPr>
                <w:iCs/>
                <w:lang w:eastAsia="lv-LV"/>
              </w:rPr>
              <w:t>n</w:t>
            </w:r>
            <w:r w:rsidRPr="00C42992">
              <w:rPr>
                <w:iCs/>
                <w:lang w:eastAsia="lv-LV"/>
              </w:rPr>
              <w:t>oteikumu projektā ir</w:t>
            </w:r>
            <w:r>
              <w:rPr>
                <w:iCs/>
                <w:lang w:eastAsia="lv-LV"/>
              </w:rPr>
              <w:t xml:space="preserve"> noteikts </w:t>
            </w:r>
            <w:r w:rsidRPr="00C42992">
              <w:rPr>
                <w:iCs/>
                <w:lang w:eastAsia="lv-LV"/>
              </w:rPr>
              <w:t>lēmumu par pārkāpumiem, kas fiksēti ar tehniskajiem līdzekļiem, neapturot transportlīdzekli, paziņošanas veid</w:t>
            </w:r>
            <w:r>
              <w:rPr>
                <w:iCs/>
                <w:lang w:eastAsia="lv-LV"/>
              </w:rPr>
              <w:t>s, kas ir lēmuma nosūtīšana</w:t>
            </w:r>
            <w:r w:rsidRPr="00C42992">
              <w:rPr>
                <w:iCs/>
                <w:lang w:eastAsia="lv-LV"/>
              </w:rPr>
              <w:t xml:space="preserve"> personai, kurai piemērots administratīvais sods par pārkāpumiem, kas fiksēti ar tehniskajiem līdzekļiem, neapturot transportlīdzekli.</w:t>
            </w:r>
            <w:r>
              <w:t xml:space="preserve"> </w:t>
            </w:r>
            <w:r w:rsidRPr="00C42992">
              <w:rPr>
                <w:iCs/>
                <w:lang w:eastAsia="lv-LV"/>
              </w:rPr>
              <w:t xml:space="preserve">Noteikumu projekts paredz, ka </w:t>
            </w:r>
            <w:r>
              <w:rPr>
                <w:iCs/>
                <w:lang w:eastAsia="lv-LV"/>
              </w:rPr>
              <w:t xml:space="preserve">lēmuma </w:t>
            </w:r>
            <w:r w:rsidRPr="00C42992">
              <w:rPr>
                <w:iCs/>
                <w:lang w:eastAsia="lv-LV"/>
              </w:rPr>
              <w:t>nosūtīšana personai, kurai piemērots administratīvais sods par pārkāpumiem, kas fiksēti ar tehniskajiem līdzekļiem, neapturot transportlīdzekli, var notikt arī elektroniski Ceļu satiksmes drošības direkcijas elektroniskajā e-pakalpojumu sistēmā, ja persona šajā sistēma ir reģistrējusies un piekritusi paziņojumu saņemšanai</w:t>
            </w:r>
            <w:r w:rsidR="00790B23">
              <w:rPr>
                <w:iCs/>
                <w:lang w:eastAsia="lv-LV"/>
              </w:rPr>
              <w:t xml:space="preserve"> elektroniski</w:t>
            </w:r>
            <w:r w:rsidRPr="00C42992">
              <w:rPr>
                <w:iCs/>
                <w:lang w:eastAsia="lv-LV"/>
              </w:rPr>
              <w:t xml:space="preserve">. </w:t>
            </w:r>
          </w:p>
          <w:p w14:paraId="718D7F43" w14:textId="3E901D16" w:rsidR="00C42992" w:rsidRPr="00C42992" w:rsidRDefault="00C42992" w:rsidP="00C42992">
            <w:pPr>
              <w:jc w:val="both"/>
              <w:rPr>
                <w:iCs/>
                <w:lang w:eastAsia="lv-LV"/>
              </w:rPr>
            </w:pPr>
            <w:r w:rsidRPr="00C42992">
              <w:rPr>
                <w:iCs/>
                <w:lang w:eastAsia="lv-LV"/>
              </w:rPr>
              <w:t>Lai nodrošinātu lēmuma par pārkāpumiem, kas fiksēti ar tehniskajiem līdzekļiem, neapturot transportlīdzekli</w:t>
            </w:r>
            <w:r>
              <w:rPr>
                <w:iCs/>
                <w:lang w:eastAsia="lv-LV"/>
              </w:rPr>
              <w:t>,</w:t>
            </w:r>
            <w:r w:rsidRPr="00C42992">
              <w:rPr>
                <w:iCs/>
                <w:lang w:eastAsia="lv-LV"/>
              </w:rPr>
              <w:t xml:space="preserve"> paziņošanu nepieciešama informācijas ievadīšana transportlīdzekļu un to vadītāju valsts reģistrā, </w:t>
            </w:r>
            <w:r>
              <w:rPr>
                <w:iCs/>
                <w:lang w:eastAsia="lv-LV"/>
              </w:rPr>
              <w:t>Valsts policija</w:t>
            </w:r>
            <w:r w:rsidRPr="00C42992">
              <w:rPr>
                <w:iCs/>
                <w:lang w:eastAsia="lv-LV"/>
              </w:rPr>
              <w:t xml:space="preserve"> slēdz līgumu ar Ceļu satiksmes drošības direkciju.</w:t>
            </w:r>
          </w:p>
          <w:p w14:paraId="230F9BF8" w14:textId="3121135A" w:rsidR="006B3D32" w:rsidRPr="00842CCF" w:rsidRDefault="00C42992" w:rsidP="0059578D">
            <w:pPr>
              <w:jc w:val="both"/>
            </w:pPr>
            <w:r w:rsidRPr="00C42992">
              <w:rPr>
                <w:iCs/>
                <w:lang w:eastAsia="lv-LV"/>
              </w:rPr>
              <w:t>Šād</w:t>
            </w:r>
            <w:r w:rsidR="0054339D">
              <w:rPr>
                <w:iCs/>
                <w:lang w:eastAsia="lv-LV"/>
              </w:rPr>
              <w:t>s</w:t>
            </w:r>
            <w:r w:rsidRPr="00C42992">
              <w:rPr>
                <w:iCs/>
                <w:lang w:eastAsia="lv-LV"/>
              </w:rPr>
              <w:t xml:space="preserve"> informācijas par lēmuma par pārkāpumiem, kas fiksēti ar tehniskajiem līdzekļiem, neapturot transportlīdzekli, apstrādes un sadarbības modelis starp </w:t>
            </w:r>
            <w:r>
              <w:rPr>
                <w:iCs/>
                <w:lang w:eastAsia="lv-LV"/>
              </w:rPr>
              <w:t>Valsts policiju</w:t>
            </w:r>
            <w:r w:rsidRPr="00C42992">
              <w:rPr>
                <w:iCs/>
                <w:lang w:eastAsia="lv-LV"/>
              </w:rPr>
              <w:t xml:space="preserve"> ar Ceļu satiksmes drošības direkciju jau ir sekmīgi darbojies praksē spēkā esot</w:t>
            </w:r>
            <w:r>
              <w:rPr>
                <w:iCs/>
                <w:lang w:eastAsia="lv-LV"/>
              </w:rPr>
              <w:t xml:space="preserve"> Ceļu satiksmes likumam (redakcijā līdz Administratīvās atbildības likuma spēkā stāšanās), kā arī </w:t>
            </w:r>
            <w:r w:rsidR="00FC7006">
              <w:rPr>
                <w:iCs/>
                <w:lang w:eastAsia="lv-LV"/>
              </w:rPr>
              <w:t xml:space="preserve">atbilstoši </w:t>
            </w:r>
            <w:r>
              <w:rPr>
                <w:iCs/>
                <w:lang w:eastAsia="lv-LV"/>
              </w:rPr>
              <w:t xml:space="preserve">starp Valsts policiju un Ceļu satiksmes drošības direkciju noslēgtajiem </w:t>
            </w:r>
            <w:r w:rsidRPr="00C42992">
              <w:rPr>
                <w:iCs/>
                <w:lang w:eastAsia="lv-LV"/>
              </w:rPr>
              <w:t>2015.gada 3.februāra</w:t>
            </w:r>
            <w:r>
              <w:rPr>
                <w:iCs/>
                <w:lang w:eastAsia="lv-LV"/>
              </w:rPr>
              <w:t xml:space="preserve">, </w:t>
            </w:r>
            <w:r w:rsidRPr="00C42992">
              <w:rPr>
                <w:iCs/>
                <w:lang w:eastAsia="lv-LV"/>
              </w:rPr>
              <w:t>2016.gada 5.decembra</w:t>
            </w:r>
            <w:r>
              <w:rPr>
                <w:iCs/>
                <w:lang w:eastAsia="lv-LV"/>
              </w:rPr>
              <w:t>,</w:t>
            </w:r>
            <w:r w:rsidRPr="00C42992">
              <w:rPr>
                <w:iCs/>
                <w:lang w:eastAsia="lv-LV"/>
              </w:rPr>
              <w:t xml:space="preserve"> 2017.gada 14.novembra</w:t>
            </w:r>
            <w:r>
              <w:rPr>
                <w:iCs/>
                <w:lang w:eastAsia="lv-LV"/>
              </w:rPr>
              <w:t xml:space="preserve"> un </w:t>
            </w:r>
            <w:r w:rsidRPr="00C42992">
              <w:rPr>
                <w:iCs/>
                <w:lang w:eastAsia="lv-LV"/>
              </w:rPr>
              <w:t xml:space="preserve"> </w:t>
            </w:r>
            <w:r w:rsidR="0059578D" w:rsidRPr="0059578D">
              <w:rPr>
                <w:iCs/>
                <w:lang w:eastAsia="lv-LV"/>
              </w:rPr>
              <w:t xml:space="preserve">2019.gada 27.augusta </w:t>
            </w:r>
            <w:r w:rsidRPr="00C42992">
              <w:rPr>
                <w:iCs/>
                <w:lang w:eastAsia="lv-LV"/>
              </w:rPr>
              <w:t>deleģēšanas līgum</w:t>
            </w:r>
            <w:r>
              <w:rPr>
                <w:iCs/>
                <w:lang w:eastAsia="lv-LV"/>
              </w:rPr>
              <w:t>iem (pieejami</w:t>
            </w:r>
            <w:r w:rsidR="0059578D">
              <w:rPr>
                <w:iCs/>
                <w:lang w:eastAsia="lv-LV"/>
              </w:rPr>
              <w:t xml:space="preserve"> </w:t>
            </w:r>
            <w:hyperlink r:id="rId7" w:history="1">
              <w:r w:rsidR="0059578D" w:rsidRPr="00F55AD8">
                <w:rPr>
                  <w:rStyle w:val="Hyperlink"/>
                  <w:iCs/>
                  <w:lang w:eastAsia="lv-LV"/>
                </w:rPr>
                <w:t>https://www.csdd.lv/stacionarie-fotoradari/vispariga-informacija</w:t>
              </w:r>
            </w:hyperlink>
            <w:r w:rsidR="0059578D">
              <w:rPr>
                <w:iCs/>
                <w:lang w:eastAsia="lv-LV"/>
              </w:rPr>
              <w:t>)</w:t>
            </w:r>
            <w:r w:rsidR="0059578D" w:rsidRPr="0059578D">
              <w:rPr>
                <w:iCs/>
                <w:lang w:eastAsia="lv-LV"/>
              </w:rPr>
              <w:t xml:space="preserve">, līdz ar to </w:t>
            </w:r>
            <w:r w:rsidR="0059578D">
              <w:rPr>
                <w:iCs/>
                <w:lang w:eastAsia="lv-LV"/>
              </w:rPr>
              <w:t xml:space="preserve">noteikumu projekts </w:t>
            </w:r>
            <w:r w:rsidR="0059578D" w:rsidRPr="0059578D">
              <w:rPr>
                <w:iCs/>
                <w:lang w:eastAsia="lv-LV"/>
              </w:rPr>
              <w:t>neparedz konceptuāli jaunu noregulējumu.</w:t>
            </w:r>
            <w:r w:rsidR="00405F58" w:rsidRPr="00405F58">
              <w:rPr>
                <w:iCs/>
                <w:lang w:eastAsia="lv-LV"/>
              </w:rPr>
              <w:t xml:space="preserve"> </w:t>
            </w:r>
          </w:p>
        </w:tc>
      </w:tr>
      <w:tr w:rsidR="00A13E24" w:rsidRPr="00842CCF" w14:paraId="562CC71E"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A1040" w14:textId="77777777" w:rsidR="00655F2C" w:rsidRPr="006C657A" w:rsidRDefault="00E5323B" w:rsidP="00E5323B">
            <w:pPr>
              <w:rPr>
                <w:iCs/>
                <w:lang w:eastAsia="lv-LV"/>
              </w:rPr>
            </w:pPr>
            <w:r w:rsidRPr="006C657A">
              <w:rPr>
                <w:iCs/>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5ABE1EB2" w14:textId="77777777" w:rsidR="00E5323B" w:rsidRPr="006C657A" w:rsidRDefault="00E5323B" w:rsidP="00836C3A">
            <w:pPr>
              <w:jc w:val="both"/>
              <w:rPr>
                <w:iCs/>
                <w:lang w:eastAsia="lv-LV"/>
              </w:rPr>
            </w:pPr>
            <w:r w:rsidRPr="006C657A">
              <w:rPr>
                <w:iCs/>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4AAC7C63" w14:textId="0828D9E2" w:rsidR="00E5323B" w:rsidRPr="006C657A" w:rsidRDefault="009729BD" w:rsidP="002C67D6">
            <w:pPr>
              <w:jc w:val="both"/>
              <w:rPr>
                <w:iCs/>
                <w:lang w:eastAsia="lv-LV"/>
              </w:rPr>
            </w:pPr>
            <w:r>
              <w:rPr>
                <w:iCs/>
                <w:lang w:eastAsia="lv-LV"/>
              </w:rPr>
              <w:t xml:space="preserve">Satiksmes ministrija, </w:t>
            </w:r>
            <w:r w:rsidR="00A935E3">
              <w:rPr>
                <w:iCs/>
                <w:lang w:eastAsia="lv-LV"/>
              </w:rPr>
              <w:t>VAS</w:t>
            </w:r>
            <w:r w:rsidR="0059578D">
              <w:rPr>
                <w:iCs/>
                <w:lang w:eastAsia="lv-LV"/>
              </w:rPr>
              <w:t xml:space="preserve"> </w:t>
            </w:r>
            <w:r w:rsidR="00A935E3">
              <w:rPr>
                <w:iCs/>
                <w:lang w:eastAsia="lv-LV"/>
              </w:rPr>
              <w:t>“</w:t>
            </w:r>
            <w:r w:rsidR="0059578D">
              <w:rPr>
                <w:iCs/>
                <w:lang w:eastAsia="lv-LV"/>
              </w:rPr>
              <w:t>Ceļu satiksmes drošības direkcija</w:t>
            </w:r>
            <w:r w:rsidR="00A935E3">
              <w:rPr>
                <w:iCs/>
                <w:lang w:eastAsia="lv-LV"/>
              </w:rPr>
              <w:t>”</w:t>
            </w:r>
            <w:r w:rsidR="0059578D">
              <w:rPr>
                <w:iCs/>
                <w:lang w:eastAsia="lv-LV"/>
              </w:rPr>
              <w:t xml:space="preserve">, </w:t>
            </w:r>
            <w:r>
              <w:rPr>
                <w:iCs/>
                <w:lang w:eastAsia="lv-LV"/>
              </w:rPr>
              <w:t xml:space="preserve">Valsts policija, </w:t>
            </w:r>
            <w:r w:rsidR="0059578D">
              <w:rPr>
                <w:iCs/>
                <w:lang w:eastAsia="lv-LV"/>
              </w:rPr>
              <w:t>pašvaldības</w:t>
            </w:r>
            <w:r w:rsidR="00FC7006">
              <w:rPr>
                <w:iCs/>
                <w:lang w:eastAsia="lv-LV"/>
              </w:rPr>
              <w:t>,</w:t>
            </w:r>
            <w:r w:rsidR="00BD60E6">
              <w:t xml:space="preserve"> </w:t>
            </w:r>
            <w:r w:rsidR="00BD60E6" w:rsidRPr="00BD60E6">
              <w:rPr>
                <w:iCs/>
                <w:lang w:eastAsia="lv-LV"/>
              </w:rPr>
              <w:t>kas pilnvaroju</w:t>
            </w:r>
            <w:r w:rsidR="00BD60E6">
              <w:rPr>
                <w:iCs/>
                <w:lang w:eastAsia="lv-LV"/>
              </w:rPr>
              <w:t>šas</w:t>
            </w:r>
            <w:r w:rsidR="00BD60E6" w:rsidRPr="00BD60E6">
              <w:rPr>
                <w:iCs/>
                <w:lang w:eastAsia="lv-LV"/>
              </w:rPr>
              <w:t xml:space="preserve"> institūciju (amatpersonu) kontrolēt transportlīdzekļu apstāšanās un stāvēšanas noteikumu ievērošanu</w:t>
            </w:r>
            <w:r w:rsidR="0059578D">
              <w:rPr>
                <w:iCs/>
                <w:lang w:eastAsia="lv-LV"/>
              </w:rPr>
              <w:t>.</w:t>
            </w:r>
          </w:p>
        </w:tc>
      </w:tr>
      <w:tr w:rsidR="00A13E24" w:rsidRPr="00842CCF" w14:paraId="14088C99"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DFABFC" w14:textId="77777777" w:rsidR="00655F2C" w:rsidRPr="006C657A" w:rsidRDefault="00E5323B" w:rsidP="00E5323B">
            <w:pPr>
              <w:rPr>
                <w:iCs/>
                <w:lang w:eastAsia="lv-LV"/>
              </w:rPr>
            </w:pPr>
            <w:r w:rsidRPr="006C657A">
              <w:rPr>
                <w:iCs/>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5D58D1B" w14:textId="77777777" w:rsidR="00E5323B" w:rsidRPr="006C657A" w:rsidRDefault="00E5323B" w:rsidP="00E5323B">
            <w:pPr>
              <w:rPr>
                <w:iCs/>
                <w:lang w:eastAsia="lv-LV"/>
              </w:rPr>
            </w:pPr>
            <w:r w:rsidRPr="006C657A">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C93253D" w14:textId="598C7711" w:rsidR="00E5323B" w:rsidRPr="00AA5699" w:rsidRDefault="0059578D" w:rsidP="00E7614A">
            <w:pPr>
              <w:jc w:val="both"/>
              <w:rPr>
                <w:iCs/>
                <w:lang w:eastAsia="lv-LV"/>
              </w:rPr>
            </w:pPr>
            <w:r>
              <w:rPr>
                <w:iCs/>
                <w:lang w:eastAsia="lv-LV"/>
              </w:rPr>
              <w:t>Nav</w:t>
            </w:r>
            <w:r w:rsidR="009729BD">
              <w:rPr>
                <w:iCs/>
                <w:lang w:eastAsia="lv-LV"/>
              </w:rPr>
              <w:t>.</w:t>
            </w:r>
          </w:p>
        </w:tc>
      </w:tr>
    </w:tbl>
    <w:p w14:paraId="27069197" w14:textId="77777777" w:rsidR="00E5323B" w:rsidRPr="00842CCF" w:rsidRDefault="00E5323B" w:rsidP="00E5323B">
      <w:pPr>
        <w:rPr>
          <w:iCs/>
          <w:lang w:eastAsia="lv-LV"/>
        </w:rPr>
      </w:pPr>
      <w:r w:rsidRPr="00842CCF">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64CF26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C16B0" w14:textId="77777777" w:rsidR="00655F2C" w:rsidRPr="00842CCF" w:rsidRDefault="00E5323B" w:rsidP="00901895">
            <w:pPr>
              <w:jc w:val="center"/>
              <w:rPr>
                <w:b/>
                <w:bCs/>
                <w:iCs/>
                <w:lang w:eastAsia="lv-LV"/>
              </w:rPr>
            </w:pPr>
            <w:r w:rsidRPr="00842CCF">
              <w:rPr>
                <w:b/>
                <w:bCs/>
                <w:iCs/>
                <w:lang w:eastAsia="lv-LV"/>
              </w:rPr>
              <w:lastRenderedPageBreak/>
              <w:t>II. Tiesību akta projekta ietekme uz sabiedrību, tautsaimniecības attīstību un administratīvo slogu</w:t>
            </w:r>
          </w:p>
        </w:tc>
      </w:tr>
      <w:tr w:rsidR="00A13E24" w:rsidRPr="00842CCF" w14:paraId="6A14F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C3C73"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77F40D" w14:textId="77777777" w:rsidR="00E5323B" w:rsidRPr="006C657A" w:rsidRDefault="00E5323B" w:rsidP="00836C3A">
            <w:pPr>
              <w:jc w:val="both"/>
              <w:rPr>
                <w:iCs/>
                <w:lang w:eastAsia="lv-LV"/>
              </w:rPr>
            </w:pPr>
            <w:r w:rsidRPr="006C657A">
              <w:rPr>
                <w:iCs/>
                <w:lang w:eastAsia="lv-LV"/>
              </w:rPr>
              <w:t xml:space="preserve">Sabiedrības </w:t>
            </w:r>
            <w:proofErr w:type="spellStart"/>
            <w:r w:rsidRPr="006C657A">
              <w:rPr>
                <w:iCs/>
                <w:lang w:eastAsia="lv-LV"/>
              </w:rPr>
              <w:t>mērķgrupas</w:t>
            </w:r>
            <w:proofErr w:type="spellEnd"/>
            <w:r w:rsidRPr="006C657A">
              <w:rPr>
                <w:iCs/>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EDA5C56" w14:textId="4BC76D3B" w:rsidR="00E5323B" w:rsidRPr="002319B3" w:rsidRDefault="0059578D" w:rsidP="00227A95">
            <w:pPr>
              <w:jc w:val="both"/>
            </w:pPr>
            <w:r w:rsidRPr="0059578D">
              <w:t>Noteikumu projekts attiecas uz personām, kuras izdara apstāšanās vai stāvēšanas noteikumu pārkāpumus</w:t>
            </w:r>
            <w:r>
              <w:t xml:space="preserve"> un </w:t>
            </w:r>
            <w:r w:rsidRPr="0059578D">
              <w:t>pārkāpum</w:t>
            </w:r>
            <w:r>
              <w:t>us</w:t>
            </w:r>
            <w:r w:rsidRPr="0059578D">
              <w:t xml:space="preserve">, kas fiksēti ar tehniskajiem līdzekļiem, neapturot transportlīdzekli, transportlīdzekļu īpašniekiem (turētājiem, valdītājiem), ar kuru transportlīdzekļiem ir izdarīti </w:t>
            </w:r>
            <w:r>
              <w:t>minētie</w:t>
            </w:r>
            <w:r w:rsidRPr="0059578D">
              <w:t xml:space="preserve"> pārkāpum</w:t>
            </w:r>
            <w:r>
              <w:t>i</w:t>
            </w:r>
            <w:r w:rsidRPr="0059578D">
              <w:t>, kā arī komersantiem, kas nodarbojas ar transportlīdzekļu tirdzniecību un personām, kuras saņēmušas atļaujas ārvalstīs reģistrēta transportlīdzekļa izmantošanai Latvijā.</w:t>
            </w:r>
          </w:p>
        </w:tc>
      </w:tr>
      <w:tr w:rsidR="00A13E24" w:rsidRPr="00842CCF" w14:paraId="3E455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8F75"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557AA" w14:textId="77777777" w:rsidR="00E5323B" w:rsidRPr="006C657A" w:rsidRDefault="00E5323B" w:rsidP="00E5323B">
            <w:pPr>
              <w:rPr>
                <w:iCs/>
                <w:lang w:eastAsia="lv-LV"/>
              </w:rPr>
            </w:pPr>
            <w:r w:rsidRPr="006C657A">
              <w:rPr>
                <w:iCs/>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50FEA3" w14:textId="671D2B5F" w:rsidR="00E5323B" w:rsidRPr="006C657A" w:rsidRDefault="0059578D" w:rsidP="00BD60E6">
            <w:pPr>
              <w:jc w:val="both"/>
              <w:rPr>
                <w:iCs/>
                <w:lang w:eastAsia="lv-LV"/>
              </w:rPr>
            </w:pPr>
            <w:r w:rsidRPr="0059578D">
              <w:rPr>
                <w:lang w:eastAsia="lv-LV"/>
              </w:rPr>
              <w:t>Noteikumu projekts</w:t>
            </w:r>
            <w:r>
              <w:rPr>
                <w:lang w:eastAsia="lv-LV"/>
              </w:rPr>
              <w:t xml:space="preserve"> pēc būtības</w:t>
            </w:r>
            <w:r w:rsidRPr="0059578D">
              <w:rPr>
                <w:lang w:eastAsia="lv-LV"/>
              </w:rPr>
              <w:t xml:space="preserve"> </w:t>
            </w:r>
            <w:r>
              <w:rPr>
                <w:lang w:eastAsia="lv-LV"/>
              </w:rPr>
              <w:t xml:space="preserve">saglabā līdzšinējo </w:t>
            </w:r>
            <w:r w:rsidRPr="0059578D">
              <w:rPr>
                <w:lang w:eastAsia="lv-LV"/>
              </w:rPr>
              <w:t>kārtību attiecībā uz administratīvā naudas soda piemērošanu par apstāšanās un stāvēšanas noteikumu neievērošanu</w:t>
            </w:r>
            <w:r w:rsidR="00BD60E6">
              <w:t xml:space="preserve"> </w:t>
            </w:r>
            <w:r w:rsidR="00BD60E6">
              <w:rPr>
                <w:lang w:eastAsia="lv-LV"/>
              </w:rPr>
              <w:t>un par</w:t>
            </w:r>
            <w:r w:rsidR="00BD60E6" w:rsidRPr="00BD60E6">
              <w:rPr>
                <w:lang w:eastAsia="lv-LV"/>
              </w:rPr>
              <w:t xml:space="preserve"> pārkāpum</w:t>
            </w:r>
            <w:r w:rsidR="00BD60E6">
              <w:rPr>
                <w:lang w:eastAsia="lv-LV"/>
              </w:rPr>
              <w:t>iem</w:t>
            </w:r>
            <w:r w:rsidR="00BD60E6" w:rsidRPr="00BD60E6">
              <w:rPr>
                <w:lang w:eastAsia="lv-LV"/>
              </w:rPr>
              <w:t>, kas fiksēti ar tehniskajiem līdzekļiem, neapturot transportlīdzekli</w:t>
            </w:r>
            <w:r w:rsidRPr="0059578D">
              <w:rPr>
                <w:lang w:eastAsia="lv-LV"/>
              </w:rPr>
              <w:t xml:space="preserve">, līdz ar to </w:t>
            </w:r>
            <w:r w:rsidR="00A935E3">
              <w:rPr>
                <w:lang w:eastAsia="lv-LV"/>
              </w:rPr>
              <w:t xml:space="preserve">administratīvais slogs </w:t>
            </w:r>
            <w:proofErr w:type="spellStart"/>
            <w:r w:rsidR="00A935E3">
              <w:rPr>
                <w:lang w:eastAsia="lv-LV"/>
              </w:rPr>
              <w:t>nemainās.</w:t>
            </w:r>
            <w:r w:rsidRPr="0059578D">
              <w:rPr>
                <w:lang w:eastAsia="lv-LV"/>
              </w:rPr>
              <w:t>Visām</w:t>
            </w:r>
            <w:proofErr w:type="spellEnd"/>
            <w:r w:rsidRPr="0059578D">
              <w:rPr>
                <w:lang w:eastAsia="lv-LV"/>
              </w:rPr>
              <w:t xml:space="preserve"> iesaistītajām institūcijām būs arī turpmāk jānodrošina uzdevumu izpilde atbilstoši savai kompetencei, pilnveidojot procesu. Datu uzglabāšana par izdarītajiem apstāšanās un stāvēšanas noteikumu pārkāpumiem</w:t>
            </w:r>
            <w:r w:rsidR="00BD60E6" w:rsidRPr="00BD60E6">
              <w:rPr>
                <w:lang w:eastAsia="lv-LV"/>
              </w:rPr>
              <w:t xml:space="preserve">, kas fiksēti ar tehniskajiem līdzekļiem, neapturot transportlīdzekli, </w:t>
            </w:r>
            <w:r w:rsidRPr="0059578D">
              <w:rPr>
                <w:lang w:eastAsia="lv-LV"/>
              </w:rPr>
              <w:t xml:space="preserve">tiek nodrošināta Transportlīdzekļu un to vadītāju valsts reģistrā. </w:t>
            </w:r>
          </w:p>
        </w:tc>
      </w:tr>
      <w:tr w:rsidR="00A13E24" w:rsidRPr="00842CCF" w14:paraId="56CA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A5C9C"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0F865E" w14:textId="77777777" w:rsidR="00E5323B" w:rsidRPr="006C657A" w:rsidRDefault="00E5323B" w:rsidP="00E5323B">
            <w:pPr>
              <w:rPr>
                <w:iCs/>
                <w:lang w:eastAsia="lv-LV"/>
              </w:rPr>
            </w:pPr>
            <w:r w:rsidRPr="006C657A">
              <w:rPr>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A298BD" w14:textId="4E79303E" w:rsidR="00E5323B" w:rsidRPr="006C657A" w:rsidRDefault="006E1C21" w:rsidP="00E5323B">
            <w:pPr>
              <w:rPr>
                <w:iCs/>
                <w:lang w:eastAsia="lv-LV"/>
              </w:rPr>
            </w:pPr>
            <w:r w:rsidRPr="00842CCF">
              <w:rPr>
                <w:lang w:eastAsia="lv-LV"/>
              </w:rPr>
              <w:t>Projekts šo jomu neskar.</w:t>
            </w:r>
          </w:p>
        </w:tc>
      </w:tr>
      <w:tr w:rsidR="00A13E24" w:rsidRPr="00842CCF" w14:paraId="70EDB8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86D2C" w14:textId="77777777" w:rsidR="00655F2C" w:rsidRPr="006C657A" w:rsidRDefault="00E5323B" w:rsidP="00E5323B">
            <w:pPr>
              <w:rPr>
                <w:iCs/>
                <w:lang w:eastAsia="lv-LV"/>
              </w:rPr>
            </w:pPr>
            <w:r w:rsidRPr="006C657A">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10B59" w14:textId="77777777" w:rsidR="00E5323B" w:rsidRPr="006C657A" w:rsidRDefault="00E5323B" w:rsidP="00836C3A">
            <w:pPr>
              <w:jc w:val="both"/>
              <w:rPr>
                <w:iCs/>
                <w:lang w:eastAsia="lv-LV"/>
              </w:rPr>
            </w:pPr>
            <w:r w:rsidRPr="006C657A">
              <w:rPr>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CD316C" w14:textId="69A232BE" w:rsidR="00E5323B" w:rsidRPr="006C657A" w:rsidRDefault="006E1C21" w:rsidP="00E5323B">
            <w:pPr>
              <w:rPr>
                <w:iCs/>
                <w:lang w:eastAsia="lv-LV"/>
              </w:rPr>
            </w:pPr>
            <w:r w:rsidRPr="00842CCF">
              <w:rPr>
                <w:lang w:eastAsia="lv-LV"/>
              </w:rPr>
              <w:t>Projekts šo jomu neskar.</w:t>
            </w:r>
          </w:p>
        </w:tc>
      </w:tr>
      <w:tr w:rsidR="00A13E24" w:rsidRPr="00842CCF" w14:paraId="66221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67B23" w14:textId="77777777" w:rsidR="00655F2C" w:rsidRPr="006C657A" w:rsidRDefault="00E5323B" w:rsidP="00E5323B">
            <w:pPr>
              <w:rPr>
                <w:iCs/>
                <w:lang w:eastAsia="lv-LV"/>
              </w:rPr>
            </w:pPr>
            <w:r w:rsidRPr="006C657A">
              <w:rPr>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3EED9E"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2EA2A3" w14:textId="33EBEA93" w:rsidR="00E5323B" w:rsidRPr="006C657A" w:rsidRDefault="006E1C21" w:rsidP="00E5323B">
            <w:pPr>
              <w:rPr>
                <w:iCs/>
                <w:lang w:eastAsia="lv-LV"/>
              </w:rPr>
            </w:pPr>
            <w:r w:rsidRPr="006C657A">
              <w:rPr>
                <w:iCs/>
                <w:lang w:eastAsia="lv-LV"/>
              </w:rPr>
              <w:t>Nav.</w:t>
            </w:r>
          </w:p>
        </w:tc>
      </w:tr>
    </w:tbl>
    <w:p w14:paraId="440DA245" w14:textId="7F68B91E"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842CCF" w14:paraId="373B45D3"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9F510" w14:textId="77777777" w:rsidR="009F7552" w:rsidRPr="006C657A" w:rsidRDefault="009F7552" w:rsidP="00901895">
            <w:pPr>
              <w:jc w:val="center"/>
              <w:rPr>
                <w:b/>
                <w:bCs/>
                <w:iCs/>
                <w:lang w:eastAsia="lv-LV"/>
              </w:rPr>
            </w:pPr>
            <w:r w:rsidRPr="006C657A">
              <w:rPr>
                <w:b/>
                <w:bCs/>
                <w:iCs/>
                <w:lang w:eastAsia="lv-LV"/>
              </w:rPr>
              <w:t>III. Tiesību akta projekta ietekme uz valsts budžetu un pašvaldību budžetiem</w:t>
            </w:r>
          </w:p>
        </w:tc>
      </w:tr>
      <w:tr w:rsidR="00A13E24" w:rsidRPr="00842CCF" w14:paraId="2AA92574"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26F6A" w14:textId="77777777" w:rsidR="009F7552" w:rsidRPr="006C657A" w:rsidRDefault="009F7552" w:rsidP="009F7552">
            <w:pPr>
              <w:jc w:val="center"/>
              <w:rPr>
                <w:bCs/>
                <w:iCs/>
                <w:lang w:eastAsia="lv-LV"/>
              </w:rPr>
            </w:pPr>
            <w:r w:rsidRPr="006C657A">
              <w:rPr>
                <w:bCs/>
                <w:iCs/>
                <w:lang w:eastAsia="lv-LV"/>
              </w:rPr>
              <w:t>Projekts šo jomu neskar.</w:t>
            </w:r>
          </w:p>
        </w:tc>
      </w:tr>
    </w:tbl>
    <w:p w14:paraId="7BAAAE3D"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842CCF" w14:paraId="25645CA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B4289" w14:textId="77777777" w:rsidR="00655F2C" w:rsidRPr="006C657A" w:rsidRDefault="00E5323B" w:rsidP="00901895">
            <w:pPr>
              <w:jc w:val="center"/>
              <w:rPr>
                <w:b/>
                <w:bCs/>
                <w:iCs/>
                <w:lang w:eastAsia="lv-LV"/>
              </w:rPr>
            </w:pPr>
            <w:r w:rsidRPr="006C657A">
              <w:rPr>
                <w:b/>
                <w:bCs/>
                <w:iCs/>
                <w:lang w:eastAsia="lv-LV"/>
              </w:rPr>
              <w:t>IV. Tiesību akta projekta ietekme uz spēkā esošo tiesību normu sistēmu</w:t>
            </w:r>
          </w:p>
        </w:tc>
      </w:tr>
      <w:tr w:rsidR="00956E15" w:rsidRPr="00842CCF" w14:paraId="7BF8B9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B2BC8F" w14:textId="1CA1FEA6" w:rsidR="00956E15" w:rsidRPr="006C657A" w:rsidRDefault="00956E15" w:rsidP="00956E15">
            <w:pPr>
              <w:jc w:val="center"/>
              <w:rPr>
                <w:b/>
                <w:bCs/>
                <w:iCs/>
                <w:lang w:eastAsia="lv-LV"/>
              </w:rPr>
            </w:pPr>
            <w:r w:rsidRPr="006C657A">
              <w:rPr>
                <w:bCs/>
                <w:iCs/>
                <w:lang w:eastAsia="lv-LV"/>
              </w:rPr>
              <w:t>Projekts šo jomu neskar.</w:t>
            </w:r>
          </w:p>
        </w:tc>
      </w:tr>
    </w:tbl>
    <w:p w14:paraId="0A9462CA" w14:textId="6FA8D7F6" w:rsidR="00E5323B" w:rsidRPr="006C657A" w:rsidRDefault="00E5323B" w:rsidP="00E5323B">
      <w:pPr>
        <w:rPr>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842CCF" w14:paraId="514FCC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848B" w14:textId="77777777" w:rsidR="00655F2C" w:rsidRPr="006C657A" w:rsidRDefault="00E5323B" w:rsidP="00901895">
            <w:pPr>
              <w:jc w:val="center"/>
              <w:rPr>
                <w:b/>
                <w:bCs/>
                <w:iCs/>
                <w:lang w:eastAsia="lv-LV"/>
              </w:rPr>
            </w:pPr>
            <w:r w:rsidRPr="006C657A">
              <w:rPr>
                <w:b/>
                <w:bCs/>
                <w:iCs/>
                <w:lang w:eastAsia="lv-LV"/>
              </w:rPr>
              <w:t>V. Tiesību akta projekta atbilstība Latvijas Republikas starptautiskajām saistībām</w:t>
            </w:r>
          </w:p>
        </w:tc>
      </w:tr>
      <w:tr w:rsidR="0059578D" w:rsidRPr="00842CCF" w14:paraId="64F74934" w14:textId="77777777" w:rsidTr="005957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6513D" w14:textId="77777777" w:rsidR="0059578D" w:rsidRPr="0059578D" w:rsidRDefault="0059578D" w:rsidP="009B0CAD">
            <w:pPr>
              <w:jc w:val="center"/>
              <w:rPr>
                <w:bCs/>
                <w:iCs/>
                <w:lang w:eastAsia="lv-LV"/>
              </w:rPr>
            </w:pPr>
            <w:r w:rsidRPr="0059578D">
              <w:rPr>
                <w:bCs/>
                <w:iCs/>
                <w:lang w:eastAsia="lv-LV"/>
              </w:rPr>
              <w:t>Projekts šo jomu neskar.</w:t>
            </w:r>
          </w:p>
        </w:tc>
      </w:tr>
    </w:tbl>
    <w:p w14:paraId="75F545CD" w14:textId="157055B0" w:rsidR="0036690F" w:rsidRPr="006C657A" w:rsidRDefault="00E5323B" w:rsidP="00E5323B">
      <w:pPr>
        <w:rPr>
          <w:iCs/>
          <w:lang w:eastAsia="lv-LV"/>
        </w:rPr>
      </w:pPr>
      <w:r w:rsidRPr="006C657A">
        <w:rPr>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2711A8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C2039E" w14:textId="77777777" w:rsidR="00655F2C" w:rsidRPr="006C657A" w:rsidRDefault="00E5323B" w:rsidP="00901895">
            <w:pPr>
              <w:jc w:val="center"/>
              <w:rPr>
                <w:b/>
                <w:bCs/>
                <w:iCs/>
                <w:lang w:eastAsia="lv-LV"/>
              </w:rPr>
            </w:pPr>
            <w:r w:rsidRPr="006C657A">
              <w:rPr>
                <w:b/>
                <w:bCs/>
                <w:iCs/>
                <w:lang w:eastAsia="lv-LV"/>
              </w:rPr>
              <w:t>VI. Sabiedrības līdzdalība un komunikācijas aktivitātes</w:t>
            </w:r>
          </w:p>
        </w:tc>
      </w:tr>
      <w:tr w:rsidR="00A13E24" w:rsidRPr="00842CCF" w14:paraId="1ECF3E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EAE3"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080372" w14:textId="77777777" w:rsidR="00E5323B" w:rsidRPr="006C657A" w:rsidRDefault="00E5323B" w:rsidP="00E5323B">
            <w:pPr>
              <w:rPr>
                <w:iCs/>
                <w:lang w:eastAsia="lv-LV"/>
              </w:rPr>
            </w:pPr>
            <w:r w:rsidRPr="006C657A">
              <w:rPr>
                <w:iCs/>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579055A" w14:textId="01C95B70" w:rsidR="00E5323B" w:rsidRPr="006C657A" w:rsidRDefault="00A935E3" w:rsidP="00FD3392">
            <w:pPr>
              <w:jc w:val="both"/>
              <w:rPr>
                <w:iCs/>
                <w:lang w:eastAsia="lv-LV"/>
              </w:rPr>
            </w:pPr>
            <w:r w:rsidRPr="005E5B01">
              <w:rPr>
                <w:iCs/>
                <w:lang w:eastAsia="lv-LV"/>
              </w:rPr>
              <w:t>Atbilstoši Ministru kabineta 2009.gada 25.augusta noteikumu Nr.970 “Sabiedrības līdzdalības kārtība attīstības plānošanas procesā” 7.4.</w:t>
            </w:r>
            <w:r w:rsidRPr="00C62E96">
              <w:rPr>
                <w:iCs/>
                <w:vertAlign w:val="superscript"/>
                <w:lang w:eastAsia="lv-LV"/>
              </w:rPr>
              <w:t>1</w:t>
            </w:r>
            <w:r w:rsidRPr="005E5B01">
              <w:rPr>
                <w:iCs/>
                <w:lang w:eastAsia="lv-LV"/>
              </w:rPr>
              <w:t xml:space="preserve"> apakšpunktam </w:t>
            </w:r>
            <w:r w:rsidRPr="005E5B01">
              <w:rPr>
                <w:iCs/>
                <w:lang w:eastAsia="lv-LV"/>
              </w:rPr>
              <w:lastRenderedPageBreak/>
              <w:t>sabiedrībai tiek dota iespēja rakstiski sniegt viedokli par noteikumu projektu tā saskaņošanas stadijā.</w:t>
            </w:r>
          </w:p>
        </w:tc>
      </w:tr>
      <w:tr w:rsidR="00A13E24" w:rsidRPr="00842CCF" w14:paraId="3B6158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A7C39" w14:textId="77777777" w:rsidR="00655F2C" w:rsidRPr="006C657A" w:rsidRDefault="00E5323B" w:rsidP="00E5323B">
            <w:pPr>
              <w:rPr>
                <w:iCs/>
                <w:lang w:eastAsia="lv-LV"/>
              </w:rPr>
            </w:pPr>
            <w:r w:rsidRPr="006C657A">
              <w:rPr>
                <w:iCs/>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A6C6070" w14:textId="77777777" w:rsidR="00E5323B" w:rsidRPr="006C657A" w:rsidRDefault="00E5323B" w:rsidP="00E5323B">
            <w:pPr>
              <w:rPr>
                <w:iCs/>
                <w:lang w:eastAsia="lv-LV"/>
              </w:rPr>
            </w:pPr>
            <w:r w:rsidRPr="006C657A">
              <w:rPr>
                <w:iCs/>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BC7856" w14:textId="55EC4D66" w:rsidR="00204958" w:rsidRPr="00842CCF" w:rsidRDefault="00A935E3" w:rsidP="00204958">
            <w:pPr>
              <w:jc w:val="both"/>
              <w:rPr>
                <w:iCs/>
                <w:lang w:eastAsia="lv-LV"/>
              </w:rPr>
            </w:pPr>
            <w:r w:rsidRPr="00A935E3">
              <w:rPr>
                <w:iCs/>
                <w:lang w:eastAsia="lv-LV"/>
              </w:rPr>
              <w:t>Paziņojums par līdzdalības iespējām tiesību akta saskaņošanas procesā ievietots Satiksmes ministrijas tīmekļa vietnē 2020.gada 1</w:t>
            </w:r>
            <w:r>
              <w:rPr>
                <w:iCs/>
                <w:lang w:eastAsia="lv-LV"/>
              </w:rPr>
              <w:t>4</w:t>
            </w:r>
            <w:r w:rsidRPr="00A935E3">
              <w:rPr>
                <w:iCs/>
                <w:lang w:eastAsia="lv-LV"/>
              </w:rPr>
              <w:t>.</w:t>
            </w:r>
            <w:r>
              <w:rPr>
                <w:iCs/>
                <w:lang w:eastAsia="lv-LV"/>
              </w:rPr>
              <w:t>februārī</w:t>
            </w:r>
            <w:r w:rsidRPr="00A935E3">
              <w:rPr>
                <w:iCs/>
                <w:lang w:eastAsia="lv-LV"/>
              </w:rPr>
              <w:t xml:space="preserve"> </w:t>
            </w:r>
            <w:hyperlink r:id="rId8" w:history="1">
              <w:r w:rsidR="00204958" w:rsidRPr="00483EA0">
                <w:rPr>
                  <w:rStyle w:val="Hyperlink"/>
                  <w:iCs/>
                  <w:lang w:eastAsia="lv-LV"/>
                </w:rPr>
                <w:t>http://www.sam.gov.lv/satmin/content/?cat=553</w:t>
              </w:r>
            </w:hyperlink>
          </w:p>
        </w:tc>
      </w:tr>
      <w:tr w:rsidR="00A13E24" w:rsidRPr="00842CCF" w14:paraId="062A6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572BE"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8FA4A9" w14:textId="77777777" w:rsidR="00E5323B" w:rsidRPr="006C657A" w:rsidRDefault="00E5323B" w:rsidP="00E5323B">
            <w:pPr>
              <w:rPr>
                <w:iCs/>
                <w:lang w:eastAsia="lv-LV"/>
              </w:rPr>
            </w:pPr>
            <w:r w:rsidRPr="006C657A">
              <w:rPr>
                <w:iCs/>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F3E606" w14:textId="69340118" w:rsidR="00E5323B" w:rsidRDefault="00B408E6" w:rsidP="00C0519E">
            <w:pPr>
              <w:jc w:val="both"/>
              <w:rPr>
                <w:lang w:eastAsia="lv-LV"/>
              </w:rPr>
            </w:pPr>
            <w:r>
              <w:rPr>
                <w:lang w:eastAsia="lv-LV"/>
              </w:rPr>
              <w:t>Par noteikumu projektu tika saņemts priekšlikums</w:t>
            </w:r>
            <w:r w:rsidR="00204958">
              <w:rPr>
                <w:lang w:eastAsia="lv-LV"/>
              </w:rPr>
              <w:t xml:space="preserve"> </w:t>
            </w:r>
            <w:r>
              <w:rPr>
                <w:lang w:eastAsia="lv-LV"/>
              </w:rPr>
              <w:t xml:space="preserve"> a</w:t>
            </w:r>
            <w:r w:rsidRPr="00B408E6">
              <w:rPr>
                <w:lang w:eastAsia="lv-LV"/>
              </w:rPr>
              <w:t>dministratīvā pārkāpuma procesu</w:t>
            </w:r>
            <w:r>
              <w:rPr>
                <w:lang w:eastAsia="lv-LV"/>
              </w:rPr>
              <w:t xml:space="preserve"> par apstāšanās un stāvēšanas noteikumu pārkāpumiem </w:t>
            </w:r>
            <w:r w:rsidRPr="00B408E6">
              <w:rPr>
                <w:lang w:eastAsia="lv-LV"/>
              </w:rPr>
              <w:t>nodot pašvaldības iestāžu vai ārpakalpojumu sniedzēju</w:t>
            </w:r>
            <w:r>
              <w:rPr>
                <w:lang w:eastAsia="lv-LV"/>
              </w:rPr>
              <w:t xml:space="preserve"> kompetencē.</w:t>
            </w:r>
            <w:r w:rsidRPr="00B408E6">
              <w:rPr>
                <w:lang w:eastAsia="lv-LV"/>
              </w:rPr>
              <w:t xml:space="preserve"> </w:t>
            </w:r>
          </w:p>
          <w:p w14:paraId="7DFA505A" w14:textId="12A42048" w:rsidR="00F273FF" w:rsidRDefault="00F273FF" w:rsidP="00C0519E">
            <w:pPr>
              <w:jc w:val="both"/>
              <w:rPr>
                <w:lang w:eastAsia="lv-LV"/>
              </w:rPr>
            </w:pPr>
            <w:r>
              <w:rPr>
                <w:lang w:eastAsia="lv-LV"/>
              </w:rPr>
              <w:t xml:space="preserve">Kompetenci veikt administratīvā pārkāpuma procesu par apstāšanās un stāvēšanas noteikumu pārkāpumiem no 2020.gada 1.jūlija noteiks Ceļu satiksmes likums, ievērojot minēto, </w:t>
            </w:r>
            <w:r w:rsidR="00967E2E">
              <w:rPr>
                <w:lang w:eastAsia="lv-LV"/>
              </w:rPr>
              <w:t xml:space="preserve">šis </w:t>
            </w:r>
            <w:r>
              <w:rPr>
                <w:lang w:eastAsia="lv-LV"/>
              </w:rPr>
              <w:t xml:space="preserve">priekšlikums neattiecas uz Administratīvās atbildības likuma 162.panta trešajā daļā doto deleģējumu </w:t>
            </w:r>
            <w:r w:rsidR="000D3308">
              <w:rPr>
                <w:lang w:eastAsia="lv-LV"/>
              </w:rPr>
              <w:t>M</w:t>
            </w:r>
            <w:r>
              <w:rPr>
                <w:lang w:eastAsia="lv-LV"/>
              </w:rPr>
              <w:t xml:space="preserve">inistru kabinetam </w:t>
            </w:r>
            <w:r w:rsidR="000D3308">
              <w:rPr>
                <w:lang w:eastAsia="lv-LV"/>
              </w:rPr>
              <w:t>noteikt lēmuma paziņošanas veidus un kārtību.</w:t>
            </w:r>
          </w:p>
          <w:p w14:paraId="33ACC5BB" w14:textId="60B0853A" w:rsidR="00B408E6" w:rsidRPr="00B408E6" w:rsidRDefault="00B408E6" w:rsidP="00C0519E">
            <w:pPr>
              <w:jc w:val="both"/>
              <w:rPr>
                <w:lang w:eastAsia="lv-LV"/>
              </w:rPr>
            </w:pPr>
          </w:p>
        </w:tc>
      </w:tr>
      <w:tr w:rsidR="00A13E24" w:rsidRPr="00842CCF" w14:paraId="1CF29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626D" w14:textId="77777777" w:rsidR="00655F2C" w:rsidRPr="006C657A" w:rsidRDefault="00E5323B" w:rsidP="00E5323B">
            <w:pPr>
              <w:rPr>
                <w:iCs/>
                <w:lang w:eastAsia="lv-LV"/>
              </w:rPr>
            </w:pPr>
            <w:r w:rsidRPr="006C657A">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DAADF1"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4FAED2" w14:textId="2E95B410" w:rsidR="00E5323B" w:rsidRPr="006C657A" w:rsidRDefault="00BD60E6" w:rsidP="002F2D76">
            <w:pPr>
              <w:jc w:val="both"/>
              <w:rPr>
                <w:iCs/>
                <w:lang w:eastAsia="lv-LV"/>
              </w:rPr>
            </w:pPr>
            <w:r>
              <w:rPr>
                <w:iCs/>
                <w:lang w:eastAsia="lv-LV"/>
              </w:rPr>
              <w:t>Nav</w:t>
            </w:r>
            <w:r w:rsidR="002C67D6">
              <w:rPr>
                <w:iCs/>
                <w:lang w:eastAsia="lv-LV"/>
              </w:rPr>
              <w:t>.</w:t>
            </w:r>
          </w:p>
        </w:tc>
      </w:tr>
    </w:tbl>
    <w:p w14:paraId="21BBB060"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585CC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6A12B7" w14:textId="77777777" w:rsidR="00655F2C" w:rsidRPr="006C657A" w:rsidRDefault="00E5323B" w:rsidP="00901895">
            <w:pPr>
              <w:jc w:val="center"/>
              <w:rPr>
                <w:b/>
                <w:bCs/>
                <w:iCs/>
                <w:lang w:eastAsia="lv-LV"/>
              </w:rPr>
            </w:pPr>
            <w:r w:rsidRPr="006C657A">
              <w:rPr>
                <w:b/>
                <w:bCs/>
                <w:iCs/>
                <w:lang w:eastAsia="lv-LV"/>
              </w:rPr>
              <w:t>VII. Tiesību akta projekta izpildes nodrošināšana un tās ietekme uz institūcijām</w:t>
            </w:r>
          </w:p>
        </w:tc>
      </w:tr>
      <w:tr w:rsidR="00A13E24" w:rsidRPr="00842CCF" w14:paraId="4945ED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4C3B7E"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935CD0" w14:textId="77777777" w:rsidR="00E5323B" w:rsidRPr="006C657A" w:rsidRDefault="00E5323B" w:rsidP="007947AE">
            <w:pPr>
              <w:jc w:val="both"/>
              <w:rPr>
                <w:iCs/>
                <w:lang w:eastAsia="lv-LV"/>
              </w:rPr>
            </w:pPr>
            <w:r w:rsidRPr="006C657A">
              <w:rPr>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C8423" w14:textId="5DEC8E6D" w:rsidR="003B5A83" w:rsidRPr="006C657A" w:rsidRDefault="00BD60E6" w:rsidP="00A935E3">
            <w:pPr>
              <w:jc w:val="both"/>
              <w:rPr>
                <w:iCs/>
                <w:lang w:eastAsia="lv-LV"/>
              </w:rPr>
            </w:pPr>
            <w:r w:rsidRPr="00BD60E6">
              <w:rPr>
                <w:iCs/>
                <w:lang w:eastAsia="lv-LV"/>
              </w:rPr>
              <w:t xml:space="preserve">Valsts policija, </w:t>
            </w:r>
            <w:r w:rsidR="00A935E3">
              <w:rPr>
                <w:iCs/>
                <w:lang w:eastAsia="lv-LV"/>
              </w:rPr>
              <w:t>VAS “</w:t>
            </w:r>
            <w:r w:rsidRPr="00BD60E6">
              <w:rPr>
                <w:iCs/>
                <w:lang w:eastAsia="lv-LV"/>
              </w:rPr>
              <w:t>Ceļu satiksmes drošības direkcija</w:t>
            </w:r>
            <w:r w:rsidR="00A935E3">
              <w:rPr>
                <w:iCs/>
                <w:lang w:eastAsia="lv-LV"/>
              </w:rPr>
              <w:t>”</w:t>
            </w:r>
            <w:r w:rsidRPr="00BD60E6">
              <w:rPr>
                <w:iCs/>
                <w:lang w:eastAsia="lv-LV"/>
              </w:rPr>
              <w:t>, pašvaldības kas pilnvarojušas institūciju (amatpersonu) kontrolēt transportlīdzekļu apstāšanās un stāvēšanas noteikumu ievērošanu.</w:t>
            </w:r>
          </w:p>
        </w:tc>
      </w:tr>
      <w:tr w:rsidR="00A13E24" w:rsidRPr="00842CCF" w14:paraId="2617E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F0A6A"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FF3D4E" w14:textId="77777777" w:rsidR="00E5323B" w:rsidRPr="006C657A" w:rsidRDefault="00E5323B" w:rsidP="007947AE">
            <w:pPr>
              <w:jc w:val="both"/>
              <w:rPr>
                <w:iCs/>
                <w:lang w:eastAsia="lv-LV"/>
              </w:rPr>
            </w:pPr>
            <w:r w:rsidRPr="006C657A">
              <w:rPr>
                <w:iCs/>
                <w:lang w:eastAsia="lv-LV"/>
              </w:rPr>
              <w:t>Projekta izpildes ietekme uz pārvaldes funkcijām un institucionālo struktūru.</w:t>
            </w:r>
            <w:r w:rsidRPr="006C657A">
              <w:rPr>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3DFA70A" w14:textId="33B5735C" w:rsidR="00E5323B" w:rsidRPr="00842CCF" w:rsidRDefault="00A935E3" w:rsidP="00054A03">
            <w:pPr>
              <w:tabs>
                <w:tab w:val="left" w:pos="3686"/>
              </w:tabs>
              <w:jc w:val="both"/>
              <w:rPr>
                <w:iCs/>
                <w:lang w:eastAsia="lv-LV"/>
              </w:rPr>
            </w:pPr>
            <w:r w:rsidRPr="00A935E3">
              <w:rPr>
                <w:iCs/>
                <w:lang w:eastAsia="lv-LV"/>
              </w:rPr>
              <w:t>Normatīvā akta izpilde tiks nodrošināta anotācijas VII sadaļas 1.punktā minētās institūcijas līdzšinējo funkciju ietvaros.</w:t>
            </w:r>
          </w:p>
        </w:tc>
      </w:tr>
      <w:tr w:rsidR="00E5323B" w:rsidRPr="00842CCF" w14:paraId="0FEF4A91" w14:textId="77777777" w:rsidTr="00204958">
        <w:trPr>
          <w:trHeight w:val="38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471EA"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322A1"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6467CE" w14:textId="4884FEED" w:rsidR="00E5323B" w:rsidRPr="006C657A" w:rsidRDefault="00A935E3" w:rsidP="00D140E9">
            <w:pPr>
              <w:jc w:val="both"/>
              <w:rPr>
                <w:iCs/>
                <w:lang w:eastAsia="lv-LV"/>
              </w:rPr>
            </w:pPr>
            <w:r>
              <w:t>Nav.</w:t>
            </w:r>
          </w:p>
        </w:tc>
      </w:tr>
    </w:tbl>
    <w:p w14:paraId="075DE9D5" w14:textId="77777777" w:rsidR="00092C27" w:rsidRDefault="00092C27" w:rsidP="00AC361E">
      <w:pPr>
        <w:pStyle w:val="StyleRight"/>
        <w:spacing w:after="0"/>
        <w:ind w:firstLine="0"/>
        <w:jc w:val="both"/>
        <w:rPr>
          <w:sz w:val="24"/>
          <w:szCs w:val="24"/>
        </w:rPr>
      </w:pPr>
    </w:p>
    <w:p w14:paraId="56642FD0" w14:textId="77777777" w:rsidR="00092C27" w:rsidRDefault="00092C27" w:rsidP="00AC361E">
      <w:pPr>
        <w:pStyle w:val="StyleRight"/>
        <w:spacing w:after="0"/>
        <w:ind w:firstLine="0"/>
        <w:jc w:val="both"/>
        <w:rPr>
          <w:sz w:val="24"/>
          <w:szCs w:val="24"/>
        </w:rPr>
      </w:pPr>
    </w:p>
    <w:p w14:paraId="0DA98408" w14:textId="77777777" w:rsidR="00690A13" w:rsidRDefault="00690A13" w:rsidP="00BD60E6">
      <w:pPr>
        <w:pStyle w:val="StyleRight"/>
        <w:spacing w:after="0"/>
        <w:ind w:firstLine="0"/>
        <w:jc w:val="both"/>
        <w:rPr>
          <w:sz w:val="24"/>
          <w:szCs w:val="24"/>
        </w:rPr>
      </w:pPr>
    </w:p>
    <w:p w14:paraId="54B84AED" w14:textId="1E571411" w:rsidR="00894C55" w:rsidRPr="00BD60E6" w:rsidRDefault="00BD60E6" w:rsidP="00BD60E6">
      <w:pPr>
        <w:pStyle w:val="StyleRight"/>
        <w:spacing w:after="0"/>
        <w:ind w:firstLine="0"/>
        <w:jc w:val="both"/>
        <w:rPr>
          <w:sz w:val="24"/>
          <w:szCs w:val="24"/>
        </w:rPr>
      </w:pPr>
      <w:bookmarkStart w:id="0" w:name="_GoBack"/>
      <w:bookmarkEnd w:id="0"/>
      <w:r w:rsidRPr="00BD60E6">
        <w:rPr>
          <w:sz w:val="24"/>
          <w:szCs w:val="24"/>
        </w:rPr>
        <w:t xml:space="preserve">Satiksmes ministrs </w:t>
      </w:r>
      <w:r w:rsidRPr="00BD60E6">
        <w:rPr>
          <w:sz w:val="24"/>
          <w:szCs w:val="24"/>
        </w:rPr>
        <w:tab/>
      </w:r>
      <w:r w:rsidRPr="00BD60E6">
        <w:rPr>
          <w:sz w:val="24"/>
          <w:szCs w:val="24"/>
        </w:rPr>
        <w:tab/>
      </w:r>
      <w:r w:rsidRPr="00BD60E6">
        <w:rPr>
          <w:sz w:val="24"/>
          <w:szCs w:val="24"/>
        </w:rPr>
        <w:tab/>
      </w:r>
      <w:r w:rsidRPr="00BD60E6">
        <w:rPr>
          <w:sz w:val="24"/>
          <w:szCs w:val="24"/>
        </w:rPr>
        <w:tab/>
      </w:r>
      <w:r w:rsidRPr="00BD60E6">
        <w:rPr>
          <w:sz w:val="24"/>
          <w:szCs w:val="24"/>
        </w:rPr>
        <w:tab/>
      </w:r>
      <w:r w:rsidRPr="00BD60E6">
        <w:rPr>
          <w:sz w:val="24"/>
          <w:szCs w:val="24"/>
        </w:rPr>
        <w:tab/>
      </w:r>
      <w:r w:rsidRPr="00BD60E6">
        <w:rPr>
          <w:sz w:val="24"/>
          <w:szCs w:val="24"/>
        </w:rPr>
        <w:tab/>
      </w:r>
      <w:r w:rsidRPr="00BD60E6">
        <w:rPr>
          <w:sz w:val="24"/>
          <w:szCs w:val="24"/>
        </w:rPr>
        <w:tab/>
      </w:r>
      <w:r w:rsidRPr="00BD60E6">
        <w:rPr>
          <w:sz w:val="24"/>
          <w:szCs w:val="24"/>
        </w:rPr>
        <w:tab/>
        <w:t xml:space="preserve">T </w:t>
      </w:r>
      <w:proofErr w:type="spellStart"/>
      <w:r w:rsidRPr="00BD60E6">
        <w:rPr>
          <w:sz w:val="24"/>
          <w:szCs w:val="24"/>
        </w:rPr>
        <w:t>Linkaits</w:t>
      </w:r>
      <w:proofErr w:type="spellEnd"/>
    </w:p>
    <w:p w14:paraId="10A77514" w14:textId="156BC6D8" w:rsidR="00E84A0B" w:rsidRDefault="00E84A0B" w:rsidP="00894C55">
      <w:pPr>
        <w:tabs>
          <w:tab w:val="left" w:pos="6237"/>
        </w:tabs>
      </w:pPr>
    </w:p>
    <w:p w14:paraId="62B80470" w14:textId="77777777" w:rsidR="00A935E3" w:rsidRPr="00BD60E6" w:rsidRDefault="00A935E3" w:rsidP="00894C55">
      <w:pPr>
        <w:tabs>
          <w:tab w:val="left" w:pos="6237"/>
        </w:tabs>
      </w:pPr>
    </w:p>
    <w:p w14:paraId="1E27D35E" w14:textId="77777777" w:rsidR="00A935E3" w:rsidRPr="00C62E96" w:rsidRDefault="00A935E3" w:rsidP="00A935E3">
      <w:pPr>
        <w:jc w:val="both"/>
        <w:rPr>
          <w:rFonts w:eastAsia="Calibri"/>
        </w:rPr>
      </w:pPr>
      <w:r>
        <w:rPr>
          <w:rFonts w:eastAsia="Calibri"/>
        </w:rPr>
        <w:t>Vīza: Valsts sekretāre</w:t>
      </w:r>
      <w:r w:rsidRPr="00907E60">
        <w:rPr>
          <w:rFonts w:eastAsia="Calibri"/>
        </w:rPr>
        <w:tab/>
      </w:r>
      <w:r w:rsidRPr="00907E60">
        <w:rPr>
          <w:rFonts w:eastAsia="Calibri"/>
        </w:rPr>
        <w:tab/>
      </w:r>
      <w:r w:rsidRPr="00907E60">
        <w:rPr>
          <w:rFonts w:eastAsia="Calibri"/>
        </w:rPr>
        <w:tab/>
      </w:r>
      <w:r w:rsidRPr="00907E60">
        <w:rPr>
          <w:rFonts w:eastAsia="Calibri"/>
        </w:rPr>
        <w:tab/>
      </w:r>
      <w:r w:rsidRPr="00907E60">
        <w:rPr>
          <w:rFonts w:eastAsia="Calibri"/>
        </w:rPr>
        <w:tab/>
      </w:r>
      <w:r w:rsidRPr="00907E60">
        <w:rPr>
          <w:rFonts w:eastAsia="Calibri"/>
        </w:rPr>
        <w:tab/>
      </w:r>
      <w:r w:rsidRPr="00907E60">
        <w:rPr>
          <w:rFonts w:eastAsia="Calibri"/>
        </w:rPr>
        <w:tab/>
      </w:r>
      <w:r>
        <w:rPr>
          <w:rFonts w:eastAsia="Calibri"/>
        </w:rPr>
        <w:t xml:space="preserve">                       </w:t>
      </w:r>
      <w:proofErr w:type="spellStart"/>
      <w:r>
        <w:rPr>
          <w:rFonts w:eastAsia="Calibri"/>
        </w:rPr>
        <w:t>I.Stepanova</w:t>
      </w:r>
      <w:proofErr w:type="spellEnd"/>
    </w:p>
    <w:p w14:paraId="5ED23D7C" w14:textId="518CB5D0" w:rsidR="00092C27" w:rsidRPr="00BD60E6" w:rsidRDefault="00092C27" w:rsidP="00BD60E6">
      <w:pPr>
        <w:tabs>
          <w:tab w:val="left" w:pos="6237"/>
        </w:tabs>
      </w:pPr>
    </w:p>
    <w:sectPr w:rsidR="00092C27" w:rsidRPr="00BD60E6" w:rsidSect="00A935E3">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50BC" w14:textId="77777777" w:rsidR="00043AAE" w:rsidRDefault="00043AAE" w:rsidP="00894C55">
      <w:r>
        <w:separator/>
      </w:r>
    </w:p>
  </w:endnote>
  <w:endnote w:type="continuationSeparator" w:id="0">
    <w:p w14:paraId="2A41877F" w14:textId="77777777" w:rsidR="00043AAE" w:rsidRDefault="00043AAE" w:rsidP="00894C55">
      <w:r>
        <w:continuationSeparator/>
      </w:r>
    </w:p>
  </w:endnote>
  <w:endnote w:type="continuationNotice" w:id="1">
    <w:p w14:paraId="7445F2CA" w14:textId="77777777" w:rsidR="00043AAE" w:rsidRDefault="0004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1C6F" w14:textId="51059E59" w:rsidR="00894C55" w:rsidRPr="00B408E6" w:rsidRDefault="00B408E6" w:rsidP="00405F58">
    <w:pPr>
      <w:pStyle w:val="Footer"/>
      <w:rPr>
        <w:sz w:val="20"/>
        <w:szCs w:val="20"/>
      </w:rPr>
    </w:pPr>
    <w:r w:rsidRPr="00B408E6">
      <w:rPr>
        <w:sz w:val="20"/>
        <w:szCs w:val="20"/>
      </w:rPr>
      <w:t>SMAnot_280220_apstasanas_stavesana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99A0" w14:textId="6D0A3F45" w:rsidR="00515FD2" w:rsidRPr="00B408E6" w:rsidRDefault="00B408E6" w:rsidP="00405F58">
    <w:pPr>
      <w:pStyle w:val="Footer"/>
      <w:rPr>
        <w:sz w:val="20"/>
        <w:szCs w:val="20"/>
      </w:rPr>
    </w:pPr>
    <w:r w:rsidRPr="00B408E6">
      <w:rPr>
        <w:sz w:val="20"/>
        <w:szCs w:val="20"/>
      </w:rPr>
      <w:t>SMAnot_280220_apstasanas_stavesana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9AD7" w14:textId="77777777" w:rsidR="00043AAE" w:rsidRDefault="00043AAE" w:rsidP="00894C55">
      <w:r>
        <w:separator/>
      </w:r>
    </w:p>
  </w:footnote>
  <w:footnote w:type="continuationSeparator" w:id="0">
    <w:p w14:paraId="4E4EF8CC" w14:textId="77777777" w:rsidR="00043AAE" w:rsidRDefault="00043AAE" w:rsidP="00894C55">
      <w:r>
        <w:continuationSeparator/>
      </w:r>
    </w:p>
  </w:footnote>
  <w:footnote w:type="continuationNotice" w:id="1">
    <w:p w14:paraId="401F4E5A" w14:textId="77777777" w:rsidR="00043AAE" w:rsidRDefault="00043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61E2A499" w14:textId="77777777" w:rsidR="00894C55" w:rsidRPr="00C25B49" w:rsidRDefault="00456E40">
        <w:pPr>
          <w:pStyle w:val="Header"/>
          <w:jc w:val="center"/>
          <w:rPr>
            <w:szCs w:val="20"/>
          </w:rPr>
        </w:pPr>
        <w:r w:rsidRPr="00C25B49">
          <w:rPr>
            <w:szCs w:val="20"/>
          </w:rPr>
          <w:fldChar w:fldCharType="begin"/>
        </w:r>
        <w:r w:rsidR="00894C55" w:rsidRPr="00C25B49">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17C39"/>
    <w:rsid w:val="00027969"/>
    <w:rsid w:val="00027D68"/>
    <w:rsid w:val="0003501D"/>
    <w:rsid w:val="0003627B"/>
    <w:rsid w:val="00041696"/>
    <w:rsid w:val="00043360"/>
    <w:rsid w:val="00043AAE"/>
    <w:rsid w:val="00051841"/>
    <w:rsid w:val="00054A03"/>
    <w:rsid w:val="00056D29"/>
    <w:rsid w:val="000577E4"/>
    <w:rsid w:val="0006131B"/>
    <w:rsid w:val="00066B55"/>
    <w:rsid w:val="00066ECA"/>
    <w:rsid w:val="0007538B"/>
    <w:rsid w:val="000820BC"/>
    <w:rsid w:val="00086B42"/>
    <w:rsid w:val="00091B85"/>
    <w:rsid w:val="00092C27"/>
    <w:rsid w:val="000C08A7"/>
    <w:rsid w:val="000C242A"/>
    <w:rsid w:val="000C4E5E"/>
    <w:rsid w:val="000D1BED"/>
    <w:rsid w:val="000D3308"/>
    <w:rsid w:val="000D4FF4"/>
    <w:rsid w:val="000E6D3C"/>
    <w:rsid w:val="000E7CC9"/>
    <w:rsid w:val="00101126"/>
    <w:rsid w:val="00106132"/>
    <w:rsid w:val="001309F8"/>
    <w:rsid w:val="0013274F"/>
    <w:rsid w:val="00132B43"/>
    <w:rsid w:val="00132E83"/>
    <w:rsid w:val="00136761"/>
    <w:rsid w:val="001454B4"/>
    <w:rsid w:val="00145616"/>
    <w:rsid w:val="00157758"/>
    <w:rsid w:val="0017413D"/>
    <w:rsid w:val="001773C9"/>
    <w:rsid w:val="00183F33"/>
    <w:rsid w:val="00190C11"/>
    <w:rsid w:val="001A0702"/>
    <w:rsid w:val="001A35D8"/>
    <w:rsid w:val="001A5268"/>
    <w:rsid w:val="001B135F"/>
    <w:rsid w:val="001C7885"/>
    <w:rsid w:val="001E0711"/>
    <w:rsid w:val="001F2496"/>
    <w:rsid w:val="00202F60"/>
    <w:rsid w:val="00204958"/>
    <w:rsid w:val="002058FF"/>
    <w:rsid w:val="00205F11"/>
    <w:rsid w:val="00217F53"/>
    <w:rsid w:val="002213F8"/>
    <w:rsid w:val="00227A95"/>
    <w:rsid w:val="002319B3"/>
    <w:rsid w:val="00234290"/>
    <w:rsid w:val="00237BB1"/>
    <w:rsid w:val="0024229F"/>
    <w:rsid w:val="00243426"/>
    <w:rsid w:val="0024354E"/>
    <w:rsid w:val="00244AAC"/>
    <w:rsid w:val="0024596B"/>
    <w:rsid w:val="00245EDE"/>
    <w:rsid w:val="002607D0"/>
    <w:rsid w:val="002620B3"/>
    <w:rsid w:val="002643C9"/>
    <w:rsid w:val="00273920"/>
    <w:rsid w:val="0027773F"/>
    <w:rsid w:val="00283771"/>
    <w:rsid w:val="00287724"/>
    <w:rsid w:val="002879C7"/>
    <w:rsid w:val="00291F0B"/>
    <w:rsid w:val="002933D6"/>
    <w:rsid w:val="00293A30"/>
    <w:rsid w:val="002946A8"/>
    <w:rsid w:val="00295806"/>
    <w:rsid w:val="002A1CAC"/>
    <w:rsid w:val="002A6A48"/>
    <w:rsid w:val="002B2DBD"/>
    <w:rsid w:val="002B5524"/>
    <w:rsid w:val="002C67D6"/>
    <w:rsid w:val="002C6AB2"/>
    <w:rsid w:val="002D3B76"/>
    <w:rsid w:val="002E1C05"/>
    <w:rsid w:val="002E67F8"/>
    <w:rsid w:val="002E7883"/>
    <w:rsid w:val="002F2D76"/>
    <w:rsid w:val="002F372C"/>
    <w:rsid w:val="002F5263"/>
    <w:rsid w:val="002F7069"/>
    <w:rsid w:val="00301417"/>
    <w:rsid w:val="0030318E"/>
    <w:rsid w:val="00321818"/>
    <w:rsid w:val="00324410"/>
    <w:rsid w:val="003255A5"/>
    <w:rsid w:val="00332F2C"/>
    <w:rsid w:val="0033338A"/>
    <w:rsid w:val="00334F07"/>
    <w:rsid w:val="00335657"/>
    <w:rsid w:val="00344DFC"/>
    <w:rsid w:val="00350C8C"/>
    <w:rsid w:val="003526F9"/>
    <w:rsid w:val="00356CFA"/>
    <w:rsid w:val="003634BE"/>
    <w:rsid w:val="0036690F"/>
    <w:rsid w:val="00373268"/>
    <w:rsid w:val="00373D15"/>
    <w:rsid w:val="003767EB"/>
    <w:rsid w:val="00382D51"/>
    <w:rsid w:val="003842ED"/>
    <w:rsid w:val="003859FD"/>
    <w:rsid w:val="0038719E"/>
    <w:rsid w:val="00390CF7"/>
    <w:rsid w:val="00392782"/>
    <w:rsid w:val="003A2760"/>
    <w:rsid w:val="003A3719"/>
    <w:rsid w:val="003A37A0"/>
    <w:rsid w:val="003A6B5B"/>
    <w:rsid w:val="003B0BF9"/>
    <w:rsid w:val="003B25A1"/>
    <w:rsid w:val="003B4917"/>
    <w:rsid w:val="003B5A83"/>
    <w:rsid w:val="003B5E93"/>
    <w:rsid w:val="003B7608"/>
    <w:rsid w:val="003C6AE8"/>
    <w:rsid w:val="003D5B86"/>
    <w:rsid w:val="003E0791"/>
    <w:rsid w:val="003F28AC"/>
    <w:rsid w:val="003F41EA"/>
    <w:rsid w:val="00405F58"/>
    <w:rsid w:val="0042265E"/>
    <w:rsid w:val="00436D5C"/>
    <w:rsid w:val="004437D2"/>
    <w:rsid w:val="00444134"/>
    <w:rsid w:val="004454FE"/>
    <w:rsid w:val="00447062"/>
    <w:rsid w:val="00451261"/>
    <w:rsid w:val="00456E40"/>
    <w:rsid w:val="00464A85"/>
    <w:rsid w:val="0046703A"/>
    <w:rsid w:val="00471F27"/>
    <w:rsid w:val="00476D91"/>
    <w:rsid w:val="004772AC"/>
    <w:rsid w:val="004814E0"/>
    <w:rsid w:val="0048495A"/>
    <w:rsid w:val="004A268D"/>
    <w:rsid w:val="004B431D"/>
    <w:rsid w:val="004C1097"/>
    <w:rsid w:val="004D3177"/>
    <w:rsid w:val="004D357A"/>
    <w:rsid w:val="004E4887"/>
    <w:rsid w:val="004E6813"/>
    <w:rsid w:val="004E78DA"/>
    <w:rsid w:val="004E7B20"/>
    <w:rsid w:val="004F1729"/>
    <w:rsid w:val="004F24E8"/>
    <w:rsid w:val="0050178F"/>
    <w:rsid w:val="00504049"/>
    <w:rsid w:val="00510924"/>
    <w:rsid w:val="00515FD2"/>
    <w:rsid w:val="00516244"/>
    <w:rsid w:val="00522832"/>
    <w:rsid w:val="0052726D"/>
    <w:rsid w:val="0053255F"/>
    <w:rsid w:val="00533F88"/>
    <w:rsid w:val="00536722"/>
    <w:rsid w:val="00541DDE"/>
    <w:rsid w:val="0054339D"/>
    <w:rsid w:val="005515D9"/>
    <w:rsid w:val="0055509A"/>
    <w:rsid w:val="00556260"/>
    <w:rsid w:val="00575D05"/>
    <w:rsid w:val="00582B66"/>
    <w:rsid w:val="0059443F"/>
    <w:rsid w:val="0059578D"/>
    <w:rsid w:val="00597115"/>
    <w:rsid w:val="005C1816"/>
    <w:rsid w:val="005C66AB"/>
    <w:rsid w:val="005E3A47"/>
    <w:rsid w:val="005E757A"/>
    <w:rsid w:val="005F0411"/>
    <w:rsid w:val="00601A94"/>
    <w:rsid w:val="00604E94"/>
    <w:rsid w:val="006068EC"/>
    <w:rsid w:val="0061202B"/>
    <w:rsid w:val="006313F8"/>
    <w:rsid w:val="00631E2C"/>
    <w:rsid w:val="00634092"/>
    <w:rsid w:val="006439BF"/>
    <w:rsid w:val="0064785F"/>
    <w:rsid w:val="006511D3"/>
    <w:rsid w:val="00654D4E"/>
    <w:rsid w:val="006552ED"/>
    <w:rsid w:val="00655F2C"/>
    <w:rsid w:val="0065620A"/>
    <w:rsid w:val="006746E2"/>
    <w:rsid w:val="00676D8F"/>
    <w:rsid w:val="00686540"/>
    <w:rsid w:val="00686605"/>
    <w:rsid w:val="00690A13"/>
    <w:rsid w:val="00695A42"/>
    <w:rsid w:val="006B3D32"/>
    <w:rsid w:val="006B6907"/>
    <w:rsid w:val="006C657A"/>
    <w:rsid w:val="006C7359"/>
    <w:rsid w:val="006C7A95"/>
    <w:rsid w:val="006D62FD"/>
    <w:rsid w:val="006E03B2"/>
    <w:rsid w:val="006E1081"/>
    <w:rsid w:val="006E1C21"/>
    <w:rsid w:val="006E221F"/>
    <w:rsid w:val="00706475"/>
    <w:rsid w:val="007100B9"/>
    <w:rsid w:val="007119E7"/>
    <w:rsid w:val="007139C1"/>
    <w:rsid w:val="00720585"/>
    <w:rsid w:val="00722D60"/>
    <w:rsid w:val="00730667"/>
    <w:rsid w:val="007345A2"/>
    <w:rsid w:val="007367D4"/>
    <w:rsid w:val="007377CD"/>
    <w:rsid w:val="00740175"/>
    <w:rsid w:val="00742E9B"/>
    <w:rsid w:val="00753574"/>
    <w:rsid w:val="007617CE"/>
    <w:rsid w:val="00767500"/>
    <w:rsid w:val="007676F7"/>
    <w:rsid w:val="00773AF6"/>
    <w:rsid w:val="00782F33"/>
    <w:rsid w:val="007871FE"/>
    <w:rsid w:val="007901D8"/>
    <w:rsid w:val="00790B23"/>
    <w:rsid w:val="007937A1"/>
    <w:rsid w:val="007947AE"/>
    <w:rsid w:val="00795F71"/>
    <w:rsid w:val="00796E48"/>
    <w:rsid w:val="007A6D34"/>
    <w:rsid w:val="007C30C5"/>
    <w:rsid w:val="007D3760"/>
    <w:rsid w:val="007D4200"/>
    <w:rsid w:val="007D4CDB"/>
    <w:rsid w:val="007D5ED8"/>
    <w:rsid w:val="007E5F7A"/>
    <w:rsid w:val="007E73AB"/>
    <w:rsid w:val="007F1C70"/>
    <w:rsid w:val="007F1F5B"/>
    <w:rsid w:val="00801529"/>
    <w:rsid w:val="00806B59"/>
    <w:rsid w:val="0081555C"/>
    <w:rsid w:val="00816C11"/>
    <w:rsid w:val="0083118D"/>
    <w:rsid w:val="00836C3A"/>
    <w:rsid w:val="00842CCF"/>
    <w:rsid w:val="00865CCA"/>
    <w:rsid w:val="00875ED5"/>
    <w:rsid w:val="00876645"/>
    <w:rsid w:val="00891D32"/>
    <w:rsid w:val="00894C55"/>
    <w:rsid w:val="00894D37"/>
    <w:rsid w:val="008A6247"/>
    <w:rsid w:val="008B124B"/>
    <w:rsid w:val="008B12BB"/>
    <w:rsid w:val="008B500F"/>
    <w:rsid w:val="008C345A"/>
    <w:rsid w:val="008D631D"/>
    <w:rsid w:val="008D68F3"/>
    <w:rsid w:val="008E1BAC"/>
    <w:rsid w:val="008E687D"/>
    <w:rsid w:val="008F01D0"/>
    <w:rsid w:val="008F0CBD"/>
    <w:rsid w:val="008F655F"/>
    <w:rsid w:val="00900464"/>
    <w:rsid w:val="00901895"/>
    <w:rsid w:val="0091008A"/>
    <w:rsid w:val="00910159"/>
    <w:rsid w:val="00917811"/>
    <w:rsid w:val="009227F6"/>
    <w:rsid w:val="0092350A"/>
    <w:rsid w:val="009236CC"/>
    <w:rsid w:val="009331EE"/>
    <w:rsid w:val="00942263"/>
    <w:rsid w:val="00947F13"/>
    <w:rsid w:val="00952384"/>
    <w:rsid w:val="00954432"/>
    <w:rsid w:val="00956E15"/>
    <w:rsid w:val="00961D6D"/>
    <w:rsid w:val="0096640E"/>
    <w:rsid w:val="009666A6"/>
    <w:rsid w:val="009669D3"/>
    <w:rsid w:val="00967E2E"/>
    <w:rsid w:val="009729BD"/>
    <w:rsid w:val="009748D0"/>
    <w:rsid w:val="00977095"/>
    <w:rsid w:val="00981628"/>
    <w:rsid w:val="00985352"/>
    <w:rsid w:val="00985795"/>
    <w:rsid w:val="00992677"/>
    <w:rsid w:val="00996DDF"/>
    <w:rsid w:val="00997109"/>
    <w:rsid w:val="009A2654"/>
    <w:rsid w:val="009A6371"/>
    <w:rsid w:val="009C2496"/>
    <w:rsid w:val="009C73B3"/>
    <w:rsid w:val="009D05E1"/>
    <w:rsid w:val="009D715A"/>
    <w:rsid w:val="009E375C"/>
    <w:rsid w:val="009E39E7"/>
    <w:rsid w:val="009E6B85"/>
    <w:rsid w:val="009E715B"/>
    <w:rsid w:val="009F186A"/>
    <w:rsid w:val="009F7552"/>
    <w:rsid w:val="00A01C24"/>
    <w:rsid w:val="00A10FC3"/>
    <w:rsid w:val="00A13E24"/>
    <w:rsid w:val="00A17217"/>
    <w:rsid w:val="00A2038F"/>
    <w:rsid w:val="00A20C12"/>
    <w:rsid w:val="00A27005"/>
    <w:rsid w:val="00A31623"/>
    <w:rsid w:val="00A34E19"/>
    <w:rsid w:val="00A405DF"/>
    <w:rsid w:val="00A42888"/>
    <w:rsid w:val="00A510BF"/>
    <w:rsid w:val="00A524B1"/>
    <w:rsid w:val="00A53DDE"/>
    <w:rsid w:val="00A541C2"/>
    <w:rsid w:val="00A6073E"/>
    <w:rsid w:val="00A6454D"/>
    <w:rsid w:val="00A667AE"/>
    <w:rsid w:val="00A71428"/>
    <w:rsid w:val="00A7160A"/>
    <w:rsid w:val="00A76EE4"/>
    <w:rsid w:val="00A81853"/>
    <w:rsid w:val="00A83967"/>
    <w:rsid w:val="00A85BD7"/>
    <w:rsid w:val="00A874FC"/>
    <w:rsid w:val="00A87907"/>
    <w:rsid w:val="00A91224"/>
    <w:rsid w:val="00A935E3"/>
    <w:rsid w:val="00A937DD"/>
    <w:rsid w:val="00A97257"/>
    <w:rsid w:val="00A97CB3"/>
    <w:rsid w:val="00AA2568"/>
    <w:rsid w:val="00AA30A9"/>
    <w:rsid w:val="00AA38D7"/>
    <w:rsid w:val="00AA4AC9"/>
    <w:rsid w:val="00AA5400"/>
    <w:rsid w:val="00AA5699"/>
    <w:rsid w:val="00AB0265"/>
    <w:rsid w:val="00AB3859"/>
    <w:rsid w:val="00AB548D"/>
    <w:rsid w:val="00AB79F3"/>
    <w:rsid w:val="00AC361E"/>
    <w:rsid w:val="00AC7993"/>
    <w:rsid w:val="00AD0591"/>
    <w:rsid w:val="00AD453A"/>
    <w:rsid w:val="00AE14F8"/>
    <w:rsid w:val="00AE5567"/>
    <w:rsid w:val="00AE7547"/>
    <w:rsid w:val="00AF1239"/>
    <w:rsid w:val="00AF410F"/>
    <w:rsid w:val="00AF435A"/>
    <w:rsid w:val="00AF4A30"/>
    <w:rsid w:val="00B01472"/>
    <w:rsid w:val="00B1345E"/>
    <w:rsid w:val="00B14B40"/>
    <w:rsid w:val="00B15297"/>
    <w:rsid w:val="00B15F58"/>
    <w:rsid w:val="00B16480"/>
    <w:rsid w:val="00B2165C"/>
    <w:rsid w:val="00B22063"/>
    <w:rsid w:val="00B27EFF"/>
    <w:rsid w:val="00B30896"/>
    <w:rsid w:val="00B31A18"/>
    <w:rsid w:val="00B408BD"/>
    <w:rsid w:val="00B408E6"/>
    <w:rsid w:val="00B50D28"/>
    <w:rsid w:val="00B66E37"/>
    <w:rsid w:val="00B731A0"/>
    <w:rsid w:val="00B74C3D"/>
    <w:rsid w:val="00B81CFC"/>
    <w:rsid w:val="00B821D3"/>
    <w:rsid w:val="00B82FD8"/>
    <w:rsid w:val="00B90384"/>
    <w:rsid w:val="00B949AC"/>
    <w:rsid w:val="00BA20AA"/>
    <w:rsid w:val="00BA340D"/>
    <w:rsid w:val="00BA4008"/>
    <w:rsid w:val="00BA7247"/>
    <w:rsid w:val="00BB0361"/>
    <w:rsid w:val="00BB0A79"/>
    <w:rsid w:val="00BC3FBF"/>
    <w:rsid w:val="00BD2C12"/>
    <w:rsid w:val="00BD4425"/>
    <w:rsid w:val="00BD60E6"/>
    <w:rsid w:val="00BE133C"/>
    <w:rsid w:val="00BE32C0"/>
    <w:rsid w:val="00BE723E"/>
    <w:rsid w:val="00BF145E"/>
    <w:rsid w:val="00BF6064"/>
    <w:rsid w:val="00BF6282"/>
    <w:rsid w:val="00C0519E"/>
    <w:rsid w:val="00C07E6C"/>
    <w:rsid w:val="00C21B08"/>
    <w:rsid w:val="00C25B49"/>
    <w:rsid w:val="00C42992"/>
    <w:rsid w:val="00C4408A"/>
    <w:rsid w:val="00C52A56"/>
    <w:rsid w:val="00C53D4C"/>
    <w:rsid w:val="00C543E7"/>
    <w:rsid w:val="00C57F8A"/>
    <w:rsid w:val="00C63ED2"/>
    <w:rsid w:val="00C64686"/>
    <w:rsid w:val="00C7089F"/>
    <w:rsid w:val="00C712E4"/>
    <w:rsid w:val="00C71DDE"/>
    <w:rsid w:val="00C929EE"/>
    <w:rsid w:val="00C97B8A"/>
    <w:rsid w:val="00CA0075"/>
    <w:rsid w:val="00CA1487"/>
    <w:rsid w:val="00CA3D37"/>
    <w:rsid w:val="00CA5298"/>
    <w:rsid w:val="00CA7EC9"/>
    <w:rsid w:val="00CB19B1"/>
    <w:rsid w:val="00CB6DB1"/>
    <w:rsid w:val="00CC0D2D"/>
    <w:rsid w:val="00CC1F02"/>
    <w:rsid w:val="00CC7B51"/>
    <w:rsid w:val="00CD35C3"/>
    <w:rsid w:val="00CD4343"/>
    <w:rsid w:val="00CE28C4"/>
    <w:rsid w:val="00CE44A2"/>
    <w:rsid w:val="00CE47E0"/>
    <w:rsid w:val="00CE5657"/>
    <w:rsid w:val="00CE763B"/>
    <w:rsid w:val="00CF0CD4"/>
    <w:rsid w:val="00CF1972"/>
    <w:rsid w:val="00CF2AEA"/>
    <w:rsid w:val="00CF5557"/>
    <w:rsid w:val="00D074AE"/>
    <w:rsid w:val="00D12177"/>
    <w:rsid w:val="00D133F8"/>
    <w:rsid w:val="00D140E9"/>
    <w:rsid w:val="00D14A3E"/>
    <w:rsid w:val="00D1537F"/>
    <w:rsid w:val="00D153D8"/>
    <w:rsid w:val="00D2152A"/>
    <w:rsid w:val="00D22FB5"/>
    <w:rsid w:val="00D257F2"/>
    <w:rsid w:val="00D3331C"/>
    <w:rsid w:val="00D33469"/>
    <w:rsid w:val="00D41446"/>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21087"/>
    <w:rsid w:val="00E23018"/>
    <w:rsid w:val="00E26AD3"/>
    <w:rsid w:val="00E27ED4"/>
    <w:rsid w:val="00E3716B"/>
    <w:rsid w:val="00E41067"/>
    <w:rsid w:val="00E42232"/>
    <w:rsid w:val="00E45DF4"/>
    <w:rsid w:val="00E50C9F"/>
    <w:rsid w:val="00E53130"/>
    <w:rsid w:val="00E5323B"/>
    <w:rsid w:val="00E5640A"/>
    <w:rsid w:val="00E57944"/>
    <w:rsid w:val="00E57B90"/>
    <w:rsid w:val="00E616FF"/>
    <w:rsid w:val="00E70AE3"/>
    <w:rsid w:val="00E71420"/>
    <w:rsid w:val="00E7150E"/>
    <w:rsid w:val="00E742DB"/>
    <w:rsid w:val="00E74904"/>
    <w:rsid w:val="00E74D65"/>
    <w:rsid w:val="00E7614A"/>
    <w:rsid w:val="00E848DE"/>
    <w:rsid w:val="00E84A0B"/>
    <w:rsid w:val="00E8749E"/>
    <w:rsid w:val="00E9072E"/>
    <w:rsid w:val="00E90C01"/>
    <w:rsid w:val="00E9145D"/>
    <w:rsid w:val="00E957A8"/>
    <w:rsid w:val="00EA2301"/>
    <w:rsid w:val="00EA486E"/>
    <w:rsid w:val="00EA7460"/>
    <w:rsid w:val="00EB1B6C"/>
    <w:rsid w:val="00EB272A"/>
    <w:rsid w:val="00EB2DB8"/>
    <w:rsid w:val="00EC544B"/>
    <w:rsid w:val="00EC6A0C"/>
    <w:rsid w:val="00ED1CA4"/>
    <w:rsid w:val="00ED3272"/>
    <w:rsid w:val="00ED4706"/>
    <w:rsid w:val="00EE0031"/>
    <w:rsid w:val="00EF232E"/>
    <w:rsid w:val="00EF2ED2"/>
    <w:rsid w:val="00EF3A8E"/>
    <w:rsid w:val="00EF420A"/>
    <w:rsid w:val="00EF690D"/>
    <w:rsid w:val="00F0348B"/>
    <w:rsid w:val="00F05737"/>
    <w:rsid w:val="00F10D4C"/>
    <w:rsid w:val="00F17501"/>
    <w:rsid w:val="00F251B5"/>
    <w:rsid w:val="00F273FF"/>
    <w:rsid w:val="00F30AF7"/>
    <w:rsid w:val="00F4405B"/>
    <w:rsid w:val="00F55786"/>
    <w:rsid w:val="00F57B0C"/>
    <w:rsid w:val="00F62F35"/>
    <w:rsid w:val="00F71108"/>
    <w:rsid w:val="00F72A1A"/>
    <w:rsid w:val="00F93263"/>
    <w:rsid w:val="00F96AA9"/>
    <w:rsid w:val="00FA2428"/>
    <w:rsid w:val="00FC33FB"/>
    <w:rsid w:val="00FC7006"/>
    <w:rsid w:val="00FD3392"/>
    <w:rsid w:val="00FD4D02"/>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2879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customStyle="1" w:styleId="tv213">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customStyle="1" w:styleId="StyleRight">
    <w:name w:val="Style Right"/>
    <w:basedOn w:val="Normal"/>
    <w:rsid w:val="00AC361E"/>
    <w:pPr>
      <w:spacing w:after="120"/>
      <w:ind w:firstLine="720"/>
      <w:jc w:val="right"/>
    </w:pPr>
    <w:rPr>
      <w:sz w:val="28"/>
      <w:szCs w:val="28"/>
    </w:rPr>
  </w:style>
  <w:style w:type="character" w:styleId="CommentReference">
    <w:name w:val="annotation reference"/>
    <w:basedOn w:val="DefaultParagraphFont"/>
    <w:uiPriority w:val="99"/>
    <w:semiHidden/>
    <w:unhideWhenUsed/>
    <w:rsid w:val="002319B3"/>
    <w:rPr>
      <w:sz w:val="16"/>
      <w:szCs w:val="16"/>
    </w:rPr>
  </w:style>
  <w:style w:type="paragraph" w:styleId="CommentText">
    <w:name w:val="annotation text"/>
    <w:basedOn w:val="Normal"/>
    <w:link w:val="CommentTextChar"/>
    <w:uiPriority w:val="99"/>
    <w:semiHidden/>
    <w:unhideWhenUsed/>
    <w:rsid w:val="002319B3"/>
    <w:rPr>
      <w:sz w:val="20"/>
      <w:szCs w:val="20"/>
    </w:rPr>
  </w:style>
  <w:style w:type="character" w:customStyle="1" w:styleId="CommentTextChar">
    <w:name w:val="Comment Text Char"/>
    <w:basedOn w:val="DefaultParagraphFont"/>
    <w:link w:val="CommentText"/>
    <w:uiPriority w:val="99"/>
    <w:semiHidden/>
    <w:rsid w:val="002319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9B3"/>
    <w:rPr>
      <w:b/>
      <w:bCs/>
    </w:rPr>
  </w:style>
  <w:style w:type="character" w:customStyle="1" w:styleId="CommentSubjectChar">
    <w:name w:val="Comment Subject Char"/>
    <w:basedOn w:val="CommentTextChar"/>
    <w:link w:val="CommentSubject"/>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sdd.lv/stacionarie-fotoradari/vispariga-informaci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229B"/>
    <w:rsid w:val="00057C8B"/>
    <w:rsid w:val="00084514"/>
    <w:rsid w:val="000D15B4"/>
    <w:rsid w:val="0016713F"/>
    <w:rsid w:val="00175089"/>
    <w:rsid w:val="002C5440"/>
    <w:rsid w:val="00344186"/>
    <w:rsid w:val="003F3989"/>
    <w:rsid w:val="00410527"/>
    <w:rsid w:val="00472F39"/>
    <w:rsid w:val="00523A63"/>
    <w:rsid w:val="005915FC"/>
    <w:rsid w:val="005A54D8"/>
    <w:rsid w:val="007F5F7D"/>
    <w:rsid w:val="008B623B"/>
    <w:rsid w:val="008D39C9"/>
    <w:rsid w:val="009C1B4C"/>
    <w:rsid w:val="00A04D57"/>
    <w:rsid w:val="00AD4A2F"/>
    <w:rsid w:val="00B3767C"/>
    <w:rsid w:val="00C00671"/>
    <w:rsid w:val="00E72D9E"/>
    <w:rsid w:val="00F90A1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385D-6163-4996-BD6F-BD22DA45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6204</Words>
  <Characters>3537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paziņo lēmumus par apstāšanās vai stāvēšanas noteikumu pārkāpumiem, ja transportlīdzekļa vadītājs neatrodas pārkāpuma izdarīšanas vietā, vai par pārkāpumiem, kas fiksēti ar tehniskajiem līdzekļiem, neapt</vt:lpstr>
      <vt:lpstr>Ministru kabineta noteikumu projekta "Noteikumi par īpašas formas apliecinājumu administratīvā pārkāpuma procesā" sākotnējās ietekmes novērtējuma ziņojums (anotācija)</vt:lpstr>
    </vt:vector>
  </TitlesOfParts>
  <Company>Tieslietu ministrija</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paziņo lēmumus par apstāšanās vai stāvēšanas noteikumu pārkāpumiem, ja transportlīdzekļa vadītājs neatrodas pārkāpuma izdarīšanas vietā, vai par pārkāpumiem, kas fiksēti ar tehniskajiem līdzekļiem, neapturot transportlīdzekli" sākotnējās ietekmes novērtējuma ziņojums (anotācija)</dc:title>
  <dc:subject>Anotācija</dc:subject>
  <dc:creator>Lauris.Mikelsons@sam.gov.lv</dc:creator>
  <cp:keywords/>
  <dc:description/>
  <cp:lastModifiedBy>Ineta Vula</cp:lastModifiedBy>
  <cp:revision>13</cp:revision>
  <cp:lastPrinted>2019-06-21T07:11:00Z</cp:lastPrinted>
  <dcterms:created xsi:type="dcterms:W3CDTF">2020-02-13T12:50:00Z</dcterms:created>
  <dcterms:modified xsi:type="dcterms:W3CDTF">2020-03-10T08:21:00Z</dcterms:modified>
</cp:coreProperties>
</file>