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AD76" w14:textId="77777777" w:rsidR="00C624E4" w:rsidRDefault="005313AA" w:rsidP="00B10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01D1">
        <w:rPr>
          <w:rFonts w:ascii="Times New Roman" w:hAnsi="Times New Roman" w:cs="Times New Roman"/>
          <w:sz w:val="24"/>
          <w:szCs w:val="24"/>
        </w:rPr>
        <w:t>.pielikums</w:t>
      </w:r>
    </w:p>
    <w:p w14:paraId="14D9362E" w14:textId="77777777" w:rsidR="00B101D1" w:rsidRDefault="00B101D1" w:rsidP="00B10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14:paraId="6C00308E" w14:textId="77777777" w:rsidR="00B101D1" w:rsidRDefault="00B101D1" w:rsidP="00B10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 __.______</w:t>
      </w:r>
    </w:p>
    <w:p w14:paraId="5E53AED5" w14:textId="77777777" w:rsidR="00B101D1" w:rsidRDefault="00B101D1" w:rsidP="00B10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Nr.____</w:t>
      </w:r>
    </w:p>
    <w:p w14:paraId="4B67118C" w14:textId="77777777" w:rsidR="00B101D1" w:rsidRDefault="00B101D1" w:rsidP="00B101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18FE7A" w14:textId="77777777" w:rsidR="00B101D1" w:rsidRDefault="00355510" w:rsidP="00B10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Kontrolējamie pamatparametri</w:t>
      </w:r>
    </w:p>
    <w:p w14:paraId="75E76742" w14:textId="77777777" w:rsidR="00355510" w:rsidRDefault="00355510" w:rsidP="00B10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401E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Vispārējā dokumentācija.</w:t>
      </w:r>
    </w:p>
    <w:p w14:paraId="18B5A388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4F49B6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Vispārējā </w:t>
      </w:r>
      <w:r w:rsidRPr="00FD3B65">
        <w:rPr>
          <w:rFonts w:ascii="Times New Roman" w:hAnsi="Times New Roman" w:cs="Times New Roman"/>
          <w:sz w:val="24"/>
          <w:szCs w:val="24"/>
        </w:rPr>
        <w:t>dokumentācija (</w:t>
      </w:r>
      <w:r w:rsidR="00210C21" w:rsidRPr="00FD3B65">
        <w:rPr>
          <w:rFonts w:ascii="Times New Roman" w:hAnsi="Times New Roman" w:cs="Times New Roman"/>
          <w:sz w:val="24"/>
          <w:szCs w:val="24"/>
        </w:rPr>
        <w:t>ritoša sastāva ekspluatācijas rokasgrāmata, kurā ir norādīta informācija: ritošā sastāva tehniskais apraksts; ritošā sastāva pielietojums un vispārīgs raksturojums; ritošā sastāva</w:t>
      </w:r>
      <w:r w:rsidR="00FD3B65">
        <w:rPr>
          <w:rFonts w:ascii="Times New Roman" w:hAnsi="Times New Roman" w:cs="Times New Roman"/>
          <w:sz w:val="24"/>
          <w:szCs w:val="24"/>
        </w:rPr>
        <w:t xml:space="preserve"> </w:t>
      </w:r>
      <w:r w:rsidR="00C758A4">
        <w:rPr>
          <w:rFonts w:ascii="Times New Roman" w:hAnsi="Times New Roman" w:cs="Times New Roman"/>
          <w:sz w:val="24"/>
          <w:szCs w:val="24"/>
        </w:rPr>
        <w:t xml:space="preserve">pamatparametrus, kuri </w:t>
      </w:r>
      <w:r w:rsidR="00C758A4" w:rsidRPr="00C758A4">
        <w:rPr>
          <w:rFonts w:ascii="Times New Roman" w:hAnsi="Times New Roman" w:cs="Times New Roman"/>
          <w:sz w:val="24"/>
          <w:szCs w:val="24"/>
        </w:rPr>
        <w:t xml:space="preserve">norādīti </w:t>
      </w:r>
      <w:r w:rsidR="004E0DC0" w:rsidRPr="00C758A4">
        <w:rPr>
          <w:rFonts w:ascii="Times New Roman" w:hAnsi="Times New Roman" w:cs="Times New Roman"/>
          <w:sz w:val="24"/>
          <w:szCs w:val="24"/>
        </w:rPr>
        <w:t>R</w:t>
      </w:r>
      <w:r w:rsidR="00FD3B65" w:rsidRPr="00C758A4">
        <w:rPr>
          <w:rFonts w:ascii="Times New Roman" w:hAnsi="Times New Roman" w:cs="Times New Roman"/>
          <w:sz w:val="24"/>
          <w:szCs w:val="24"/>
        </w:rPr>
        <w:t xml:space="preserve">egulas (ES) </w:t>
      </w:r>
      <w:r w:rsidR="00C758A4" w:rsidRPr="00C758A4">
        <w:rPr>
          <w:rFonts w:ascii="Times New Roman" w:hAnsi="Times New Roman" w:cs="Times New Roman"/>
          <w:sz w:val="24"/>
          <w:szCs w:val="24"/>
        </w:rPr>
        <w:t>2019/776 VIII pielikumā</w:t>
      </w:r>
      <w:r w:rsidR="00FD3B65" w:rsidRPr="00C758A4">
        <w:rPr>
          <w:rFonts w:ascii="Times New Roman" w:hAnsi="Times New Roman" w:cs="Times New Roman"/>
          <w:sz w:val="24"/>
          <w:szCs w:val="24"/>
        </w:rPr>
        <w:t>, tostarp</w:t>
      </w:r>
      <w:r w:rsidR="00210C21" w:rsidRPr="00C758A4">
        <w:rPr>
          <w:rFonts w:ascii="Times New Roman" w:hAnsi="Times New Roman" w:cs="Times New Roman"/>
          <w:sz w:val="24"/>
          <w:szCs w:val="24"/>
        </w:rPr>
        <w:t xml:space="preserve"> pneimatiskās shēmas, hidrauliskās shēmas, elektriskās shēmas, iekārtu raksturojums un to darbības un izvietojuma apraksts; ritošā sastāva e</w:t>
      </w:r>
      <w:r w:rsidR="00FD3B65" w:rsidRPr="00C758A4">
        <w:rPr>
          <w:rFonts w:ascii="Times New Roman" w:hAnsi="Times New Roman" w:cs="Times New Roman"/>
          <w:sz w:val="24"/>
          <w:szCs w:val="24"/>
        </w:rPr>
        <w:t>kspluatācijas prasību apraksts, tostarp</w:t>
      </w:r>
      <w:r w:rsidR="00210C21" w:rsidRPr="00C758A4">
        <w:rPr>
          <w:rFonts w:ascii="Times New Roman" w:hAnsi="Times New Roman" w:cs="Times New Roman"/>
          <w:sz w:val="24"/>
          <w:szCs w:val="24"/>
        </w:rPr>
        <w:t xml:space="preserve"> drošības tehnikas prasības, ritošā</w:t>
      </w:r>
      <w:r w:rsidR="00210C21" w:rsidRPr="00FD3B65">
        <w:rPr>
          <w:rFonts w:ascii="Times New Roman" w:hAnsi="Times New Roman" w:cs="Times New Roman"/>
          <w:sz w:val="24"/>
          <w:szCs w:val="24"/>
        </w:rPr>
        <w:t xml:space="preserve"> sastāva ekspluatācijas kārtība, informācija par raksturīgiem ritošā sastāva bojājumiem un to novēršanas metodēm, bojātā ritošā sastāva pārsūtīšanas kārtība; ritošā sastāva tehniskās apkopes programma</w:t>
      </w:r>
      <w:r w:rsidR="00FD3B65">
        <w:rPr>
          <w:rFonts w:ascii="Times New Roman" w:hAnsi="Times New Roman" w:cs="Times New Roman"/>
          <w:sz w:val="24"/>
          <w:szCs w:val="24"/>
        </w:rPr>
        <w:t>, tostarp</w:t>
      </w:r>
      <w:r w:rsidR="007604DA" w:rsidRPr="00FD3B65">
        <w:rPr>
          <w:rFonts w:ascii="Times New Roman" w:hAnsi="Times New Roman" w:cs="Times New Roman"/>
          <w:sz w:val="24"/>
          <w:szCs w:val="24"/>
        </w:rPr>
        <w:t xml:space="preserve"> remonta un apkopes veikšanas periodiskums, remontā un apkopē veicamie darbi un to apjoms, raksturlielumu robežvērtības</w:t>
      </w:r>
      <w:r w:rsidRPr="00FD3B65">
        <w:rPr>
          <w:rFonts w:ascii="Times New Roman" w:hAnsi="Times New Roman" w:cs="Times New Roman"/>
          <w:sz w:val="24"/>
          <w:szCs w:val="24"/>
        </w:rPr>
        <w:t>).</w:t>
      </w:r>
    </w:p>
    <w:p w14:paraId="7BCB9285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C0FC7D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Konstrukcija un mehāniskās daļas.</w:t>
      </w:r>
    </w:p>
    <w:p w14:paraId="45A33122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A0CA82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Ritošā sastāva mehāniskā integritāte un saskarnes (ieskaitot </w:t>
      </w:r>
      <w:r w:rsidR="00D92103">
        <w:rPr>
          <w:rFonts w:ascii="Times New Roman" w:hAnsi="Times New Roman" w:cs="Times New Roman"/>
          <w:sz w:val="24"/>
          <w:szCs w:val="24"/>
        </w:rPr>
        <w:t xml:space="preserve">tā iekārtas un sakabes </w:t>
      </w:r>
      <w:r>
        <w:rPr>
          <w:rFonts w:ascii="Times New Roman" w:hAnsi="Times New Roman" w:cs="Times New Roman"/>
          <w:sz w:val="24"/>
          <w:szCs w:val="24"/>
        </w:rPr>
        <w:t>ierīces, pārejas tiltiņu</w:t>
      </w:r>
      <w:r w:rsidR="00D921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), ritošā sastāva konstrukcijas un aprīkojuma (piemēram, sēdekļu) stiprība, pieļaujamā slodze, pasīvā drošība (ieskaitot iekšējo un </w:t>
      </w:r>
      <w:r w:rsidR="00D92103">
        <w:rPr>
          <w:rFonts w:ascii="Times New Roman" w:hAnsi="Times New Roman" w:cs="Times New Roman"/>
          <w:sz w:val="24"/>
          <w:szCs w:val="24"/>
        </w:rPr>
        <w:t>ārējo drošumu, notiekot negadījumam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8598F2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494CD6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Savstarpējā mijiedarbība ar sliežu ceļu un gabarītu noteikšana.</w:t>
      </w:r>
    </w:p>
    <w:p w14:paraId="62158E2C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FC256B" w14:textId="77777777" w:rsidR="00355510" w:rsidRDefault="00355510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Mehāniskās saskarsmes ar infrastruktūru (ieskaitot statiskās un dinamiskās īpašības, klīrensus un gabarītus, sliežu </w:t>
      </w:r>
      <w:r w:rsidR="00D92103">
        <w:rPr>
          <w:rFonts w:ascii="Times New Roman" w:hAnsi="Times New Roman" w:cs="Times New Roman"/>
          <w:sz w:val="24"/>
          <w:szCs w:val="24"/>
        </w:rPr>
        <w:t xml:space="preserve">ceļa </w:t>
      </w:r>
      <w:r>
        <w:rPr>
          <w:rFonts w:ascii="Times New Roman" w:hAnsi="Times New Roman" w:cs="Times New Roman"/>
          <w:sz w:val="24"/>
          <w:szCs w:val="24"/>
        </w:rPr>
        <w:t>platumu, gaitas daļu).</w:t>
      </w:r>
    </w:p>
    <w:p w14:paraId="3734683E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8FDB6D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Bremžu iekārta.</w:t>
      </w:r>
    </w:p>
    <w:p w14:paraId="59E1DAAF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8F4F9A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Bremžu iekārtas darbība (ieskaitot izslīdēšanas aizsardzību, bremzēšanas ierīces un bremzēšanu dienesta bremzēšanas režīmā, pēk</w:t>
      </w:r>
      <w:r w:rsidR="00D92103">
        <w:rPr>
          <w:rFonts w:ascii="Times New Roman" w:hAnsi="Times New Roman" w:cs="Times New Roman"/>
          <w:sz w:val="24"/>
          <w:szCs w:val="24"/>
        </w:rPr>
        <w:t>šņās</w:t>
      </w:r>
      <w:r>
        <w:rPr>
          <w:rFonts w:ascii="Times New Roman" w:hAnsi="Times New Roman" w:cs="Times New Roman"/>
          <w:sz w:val="24"/>
          <w:szCs w:val="24"/>
        </w:rPr>
        <w:t xml:space="preserve"> bremzēšanas režīmā un bremzēšanas režīmā stāvot).</w:t>
      </w:r>
    </w:p>
    <w:p w14:paraId="3CEDB398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0F903C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Pasažieriem paredzētais aprīkojums.</w:t>
      </w:r>
    </w:p>
    <w:p w14:paraId="1E1D0240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EC0A6B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Pasažieriem un pasažieru ērtībām paredzētais aprīkojums (piemēram, pasažieriem paredzētie logi un durvis, vajadzības </w:t>
      </w:r>
      <w:r w:rsidR="00D92103" w:rsidRPr="00861766">
        <w:rPr>
          <w:rFonts w:ascii="Times New Roman" w:hAnsi="Times New Roman" w:cs="Times New Roman"/>
          <w:sz w:val="24"/>
          <w:szCs w:val="24"/>
        </w:rPr>
        <w:t>personām ar invaliditāti un personām ar ierobežotām pārvietošanās spējām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589B6A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4F049B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Vides apstākļi un aerodinamiskie efekti.</w:t>
      </w:r>
    </w:p>
    <w:p w14:paraId="137072A5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EAF097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ietekme uz ritošo sastāvu un ritošā sastāva ietekme uz vidi (ieskaitot aerodinamiskos apstākļus, ritošā sastāva saskarni ar dzelzceļa sistēmas sliežu ceļu lauku iekārtām un saskarni ar ārējo vidi).</w:t>
      </w:r>
    </w:p>
    <w:p w14:paraId="5F1CCA16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E81AA25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Prasības ārējām brīdinājuma ierīcēm, uzrakstiem, programmatūras funkcijām un integritātei.</w:t>
      </w:r>
    </w:p>
    <w:p w14:paraId="7F694CD1" w14:textId="77777777" w:rsidR="00B0404F" w:rsidRDefault="00B0404F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B4E60A" w14:textId="77777777" w:rsidR="00B0404F" w:rsidRDefault="003452F3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Ārējās brīdinājuma ierīces, uzraksti, programmatūras funkcijas un integritāte (piemēram, ar drošību saistītas funkcijas, kurām ir ietekme uz vilciena un vilciena vagona kustību).</w:t>
      </w:r>
      <w:bookmarkStart w:id="0" w:name="_GoBack"/>
      <w:bookmarkEnd w:id="0"/>
    </w:p>
    <w:p w14:paraId="07E9C7B5" w14:textId="77777777" w:rsidR="003452F3" w:rsidRDefault="003452F3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9F1577" w14:textId="77777777" w:rsidR="003452F3" w:rsidRDefault="003452F3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A780D">
        <w:rPr>
          <w:rFonts w:ascii="Times New Roman" w:hAnsi="Times New Roman" w:cs="Times New Roman"/>
          <w:sz w:val="24"/>
          <w:szCs w:val="24"/>
        </w:rPr>
        <w:t>Borta spēka un vadības iekārtas.</w:t>
      </w:r>
    </w:p>
    <w:p w14:paraId="28073E3D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EB72FE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Borta vilces, elektriskās un vadības sistēmas, ritošā sastāva saskarne ar </w:t>
      </w:r>
      <w:r w:rsidR="00CC12A7">
        <w:rPr>
          <w:rFonts w:ascii="Times New Roman" w:hAnsi="Times New Roman" w:cs="Times New Roman"/>
          <w:sz w:val="24"/>
          <w:szCs w:val="24"/>
        </w:rPr>
        <w:t>energoapgādes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2A7">
        <w:rPr>
          <w:rFonts w:ascii="Times New Roman" w:hAnsi="Times New Roman" w:cs="Times New Roman"/>
          <w:sz w:val="24"/>
          <w:szCs w:val="24"/>
        </w:rPr>
        <w:t>apakšistēmu</w:t>
      </w:r>
      <w:r>
        <w:rPr>
          <w:rFonts w:ascii="Times New Roman" w:hAnsi="Times New Roman" w:cs="Times New Roman"/>
          <w:sz w:val="24"/>
          <w:szCs w:val="24"/>
        </w:rPr>
        <w:t xml:space="preserve"> un visi ar elektromagnētisko savietojamību saistītie aspekti.</w:t>
      </w:r>
    </w:p>
    <w:p w14:paraId="3BA74308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C34BB2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Personālam paredzētais aprīkojums, saskarnes un vide.</w:t>
      </w:r>
    </w:p>
    <w:p w14:paraId="513BB192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1819EF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Personālam paredzētās borta iekārtas, saskarnes, darba apstākļi un vide (ieskaitot vadītāja kabīni, vadītāja un mašīnas saskarni).</w:t>
      </w:r>
    </w:p>
    <w:p w14:paraId="09A7D53F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AC8943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Ugunsdrošība un evakuācija.</w:t>
      </w:r>
    </w:p>
    <w:p w14:paraId="241A8BBC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6F6E36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Ekipēšana.</w:t>
      </w:r>
    </w:p>
    <w:p w14:paraId="32E3C8F6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A159CF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Ekipēšanai paredzētās borta iekārtas un saskarnes.</w:t>
      </w:r>
    </w:p>
    <w:p w14:paraId="33FF4F3D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8FA65C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Borta kontroles, vadības un signalizācijas iekārtas.</w:t>
      </w:r>
    </w:p>
    <w:p w14:paraId="75EDF108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44C966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Visas borta iekārtas, kas </w:t>
      </w:r>
      <w:r w:rsidR="00CC12A7">
        <w:rPr>
          <w:rFonts w:ascii="Times New Roman" w:hAnsi="Times New Roman" w:cs="Times New Roman"/>
          <w:sz w:val="24"/>
          <w:szCs w:val="24"/>
        </w:rPr>
        <w:t>ietekmē kustības drošību</w:t>
      </w:r>
      <w:r>
        <w:rPr>
          <w:rFonts w:ascii="Times New Roman" w:hAnsi="Times New Roman" w:cs="Times New Roman"/>
          <w:sz w:val="24"/>
          <w:szCs w:val="24"/>
        </w:rPr>
        <w:t xml:space="preserve">, kā arī </w:t>
      </w:r>
      <w:r w:rsidR="00CC12A7">
        <w:rPr>
          <w:rFonts w:ascii="Times New Roman" w:hAnsi="Times New Roman" w:cs="Times New Roman"/>
          <w:sz w:val="24"/>
          <w:szCs w:val="24"/>
        </w:rPr>
        <w:t xml:space="preserve">iekārtas </w:t>
      </w:r>
      <w:r>
        <w:rPr>
          <w:rFonts w:ascii="Times New Roman" w:hAnsi="Times New Roman" w:cs="Times New Roman"/>
          <w:sz w:val="24"/>
          <w:szCs w:val="24"/>
        </w:rPr>
        <w:t xml:space="preserve">to vilcienu kustības vadībai, kuriem atļauts izmantot konkrēto </w:t>
      </w:r>
      <w:r w:rsidR="00961DE5">
        <w:rPr>
          <w:rFonts w:ascii="Times New Roman" w:hAnsi="Times New Roman" w:cs="Times New Roman"/>
          <w:sz w:val="24"/>
          <w:szCs w:val="24"/>
        </w:rPr>
        <w:t xml:space="preserve">dzelzceļa </w:t>
      </w:r>
      <w:r>
        <w:rPr>
          <w:rFonts w:ascii="Times New Roman" w:hAnsi="Times New Roman" w:cs="Times New Roman"/>
          <w:sz w:val="24"/>
          <w:szCs w:val="24"/>
        </w:rPr>
        <w:t xml:space="preserve">tīklu, un to ietekme uz </w:t>
      </w:r>
      <w:r w:rsidR="00961DE5">
        <w:rPr>
          <w:rFonts w:ascii="Times New Roman" w:hAnsi="Times New Roman" w:cs="Times New Roman"/>
          <w:sz w:val="24"/>
          <w:szCs w:val="24"/>
        </w:rPr>
        <w:t>vilcienu vadības un signalizācijas stacionāro lauku iekārtu apakšsistēmu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F33E2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A6392B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Īpašas ekspluatācijas prasības.</w:t>
      </w:r>
    </w:p>
    <w:p w14:paraId="0FEC1F2F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750B96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Īpašas ekspluatācijas prasības ritošajam sastāvam (piemēram, avārijas ekspluatācija, ritošā sastāva darba spējas atjaunošana).</w:t>
      </w:r>
    </w:p>
    <w:p w14:paraId="554A7E90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E64AEE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Kravu pārvadājumu aprīkojums.</w:t>
      </w:r>
    </w:p>
    <w:p w14:paraId="0ED56687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CB0942" w14:textId="77777777" w:rsidR="009A780D" w:rsidRDefault="009A780D" w:rsidP="0035551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Īpašas prasības kravu pārvadājumiem un vides aizsardzībai (ieskaitot īpašas iekārtas bīstamo kravu </w:t>
      </w:r>
      <w:r w:rsidR="00961DE5">
        <w:rPr>
          <w:rFonts w:ascii="Times New Roman" w:hAnsi="Times New Roman" w:cs="Times New Roman"/>
          <w:sz w:val="24"/>
          <w:szCs w:val="24"/>
        </w:rPr>
        <w:t>pārvadāšanai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A053B6" w14:textId="77777777" w:rsidR="005778EF" w:rsidRDefault="005778EF" w:rsidP="00577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854AB" w14:textId="77777777" w:rsidR="005778EF" w:rsidRDefault="005778EF" w:rsidP="00577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70D04" w14:textId="77777777" w:rsidR="006D01D2" w:rsidRPr="001D2CC5" w:rsidRDefault="006D01D2" w:rsidP="006D01D2">
      <w:pPr>
        <w:tabs>
          <w:tab w:val="left" w:pos="6237"/>
          <w:tab w:val="left" w:pos="6663"/>
          <w:tab w:val="left" w:pos="6946"/>
          <w:tab w:val="left" w:pos="7088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CC5">
        <w:rPr>
          <w:rFonts w:ascii="Times New Roman" w:hAnsi="Times New Roman" w:cs="Times New Roman"/>
          <w:sz w:val="24"/>
          <w:szCs w:val="24"/>
        </w:rPr>
        <w:t>A. K. Kariņš</w:t>
      </w:r>
    </w:p>
    <w:p w14:paraId="5BAB198F" w14:textId="77777777" w:rsidR="006D01D2" w:rsidRPr="001D2CC5" w:rsidRDefault="006D01D2" w:rsidP="006D01D2">
      <w:pPr>
        <w:tabs>
          <w:tab w:val="left" w:pos="6237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4E006B40" w14:textId="77777777" w:rsidR="006D01D2" w:rsidRPr="001D2CC5" w:rsidRDefault="006D01D2" w:rsidP="006D01D2">
      <w:pPr>
        <w:tabs>
          <w:tab w:val="left" w:pos="1418"/>
          <w:tab w:val="left" w:pos="1701"/>
        </w:tabs>
        <w:spacing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011F4A19" w14:textId="77777777" w:rsidR="006D01D2" w:rsidRPr="001D2CC5" w:rsidRDefault="006D01D2" w:rsidP="006D01D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A5E60" w14:textId="77777777" w:rsidR="006D01D2" w:rsidRPr="001D2CC5" w:rsidRDefault="006D01D2" w:rsidP="006D01D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13B352AF" w14:textId="77777777" w:rsidR="006D01D2" w:rsidRPr="001D2CC5" w:rsidRDefault="006D01D2" w:rsidP="006D01D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7BF54" w14:textId="77777777" w:rsidR="006D01D2" w:rsidRPr="001D2CC5" w:rsidRDefault="006D01D2" w:rsidP="006D01D2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Vīza: valsts </w:t>
      </w:r>
      <w:r>
        <w:rPr>
          <w:rFonts w:ascii="Times New Roman" w:hAnsi="Times New Roman" w:cs="Times New Roman"/>
          <w:sz w:val="24"/>
          <w:szCs w:val="24"/>
        </w:rPr>
        <w:t>sekretāre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I. Stepanova</w:t>
      </w:r>
    </w:p>
    <w:p w14:paraId="7D6CC451" w14:textId="06341F72" w:rsidR="005778EF" w:rsidRPr="00355510" w:rsidRDefault="005778EF" w:rsidP="006D01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8EF" w:rsidRPr="00355510" w:rsidSect="00433D2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D6BB" w14:textId="77777777" w:rsidR="00F73A6B" w:rsidRDefault="00F73A6B" w:rsidP="006D01D2">
      <w:r>
        <w:separator/>
      </w:r>
    </w:p>
  </w:endnote>
  <w:endnote w:type="continuationSeparator" w:id="0">
    <w:p w14:paraId="04DF7504" w14:textId="77777777" w:rsidR="00F73A6B" w:rsidRDefault="00F73A6B" w:rsidP="006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8670" w14:textId="2A3F9A84" w:rsidR="006D01D2" w:rsidRPr="00B8014A" w:rsidRDefault="006D01D2" w:rsidP="006D01D2">
    <w:pPr>
      <w:pStyle w:val="Footer"/>
      <w:rPr>
        <w:rFonts w:ascii="Times New Roman" w:hAnsi="Times New Roman" w:cs="Times New Roman"/>
        <w:sz w:val="20"/>
        <w:szCs w:val="20"/>
      </w:rPr>
    </w:pPr>
    <w:r w:rsidRPr="00B8014A">
      <w:rPr>
        <w:rFonts w:ascii="Times New Roman" w:hAnsi="Times New Roman" w:cs="Times New Roman"/>
        <w:sz w:val="20"/>
        <w:szCs w:val="20"/>
      </w:rPr>
      <w:t>SMNotp</w:t>
    </w:r>
    <w:r>
      <w:rPr>
        <w:rFonts w:ascii="Times New Roman" w:hAnsi="Times New Roman" w:cs="Times New Roman"/>
        <w:sz w:val="20"/>
        <w:szCs w:val="20"/>
      </w:rPr>
      <w:t>4</w:t>
    </w:r>
    <w:r w:rsidRPr="00B8014A">
      <w:rPr>
        <w:rFonts w:ascii="Times New Roman" w:hAnsi="Times New Roman" w:cs="Times New Roman"/>
        <w:sz w:val="20"/>
        <w:szCs w:val="20"/>
      </w:rPr>
      <w:t>_210220_MKnotDSI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AA52" w14:textId="77777777" w:rsidR="00F100D7" w:rsidRPr="00B8014A" w:rsidRDefault="00F100D7" w:rsidP="00F100D7">
    <w:pPr>
      <w:pStyle w:val="Footer"/>
      <w:rPr>
        <w:rFonts w:ascii="Times New Roman" w:hAnsi="Times New Roman" w:cs="Times New Roman"/>
        <w:sz w:val="20"/>
        <w:szCs w:val="20"/>
      </w:rPr>
    </w:pPr>
    <w:r w:rsidRPr="00B8014A">
      <w:rPr>
        <w:rFonts w:ascii="Times New Roman" w:hAnsi="Times New Roman" w:cs="Times New Roman"/>
        <w:sz w:val="20"/>
        <w:szCs w:val="20"/>
      </w:rPr>
      <w:t>SMNotp</w:t>
    </w:r>
    <w:r>
      <w:rPr>
        <w:rFonts w:ascii="Times New Roman" w:hAnsi="Times New Roman" w:cs="Times New Roman"/>
        <w:sz w:val="20"/>
        <w:szCs w:val="20"/>
      </w:rPr>
      <w:t>4</w:t>
    </w:r>
    <w:r w:rsidRPr="00B8014A">
      <w:rPr>
        <w:rFonts w:ascii="Times New Roman" w:hAnsi="Times New Roman" w:cs="Times New Roman"/>
        <w:sz w:val="20"/>
        <w:szCs w:val="20"/>
      </w:rPr>
      <w:t>_210220_MKnotDSI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25EF" w14:textId="77777777" w:rsidR="00F73A6B" w:rsidRDefault="00F73A6B" w:rsidP="006D01D2">
      <w:r>
        <w:separator/>
      </w:r>
    </w:p>
  </w:footnote>
  <w:footnote w:type="continuationSeparator" w:id="0">
    <w:p w14:paraId="2AF199EA" w14:textId="77777777" w:rsidR="00F73A6B" w:rsidRDefault="00F73A6B" w:rsidP="006D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42380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607357" w14:textId="6C0CBDC7" w:rsidR="00C72688" w:rsidRPr="00643771" w:rsidRDefault="00C72688">
        <w:pPr>
          <w:pStyle w:val="Header"/>
          <w:jc w:val="center"/>
          <w:rPr>
            <w:rFonts w:ascii="Times New Roman" w:hAnsi="Times New Roman" w:cs="Times New Roman"/>
          </w:rPr>
        </w:pPr>
        <w:r w:rsidRPr="00643771">
          <w:rPr>
            <w:rFonts w:ascii="Times New Roman" w:hAnsi="Times New Roman" w:cs="Times New Roman"/>
          </w:rPr>
          <w:fldChar w:fldCharType="begin"/>
        </w:r>
        <w:r w:rsidRPr="00643771">
          <w:rPr>
            <w:rFonts w:ascii="Times New Roman" w:hAnsi="Times New Roman" w:cs="Times New Roman"/>
          </w:rPr>
          <w:instrText xml:space="preserve"> PAGE   \* MERGEFORMAT </w:instrText>
        </w:r>
        <w:r w:rsidRPr="00643771">
          <w:rPr>
            <w:rFonts w:ascii="Times New Roman" w:hAnsi="Times New Roman" w:cs="Times New Roman"/>
          </w:rPr>
          <w:fldChar w:fldCharType="separate"/>
        </w:r>
        <w:r w:rsidRPr="00643771">
          <w:rPr>
            <w:rFonts w:ascii="Times New Roman" w:hAnsi="Times New Roman" w:cs="Times New Roman"/>
            <w:noProof/>
          </w:rPr>
          <w:t>2</w:t>
        </w:r>
        <w:r w:rsidRPr="006437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C91FB59" w14:textId="77777777" w:rsidR="00C72688" w:rsidRDefault="00C72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F9"/>
    <w:rsid w:val="00097031"/>
    <w:rsid w:val="00210C21"/>
    <w:rsid w:val="003165F9"/>
    <w:rsid w:val="003452F3"/>
    <w:rsid w:val="00355510"/>
    <w:rsid w:val="00433D2E"/>
    <w:rsid w:val="004B7ABA"/>
    <w:rsid w:val="004E0DC0"/>
    <w:rsid w:val="005313AA"/>
    <w:rsid w:val="005778EF"/>
    <w:rsid w:val="00643771"/>
    <w:rsid w:val="006D01D2"/>
    <w:rsid w:val="007604DA"/>
    <w:rsid w:val="007D1A28"/>
    <w:rsid w:val="00961DE5"/>
    <w:rsid w:val="009A5601"/>
    <w:rsid w:val="009A780D"/>
    <w:rsid w:val="00B0404F"/>
    <w:rsid w:val="00B101D1"/>
    <w:rsid w:val="00BC5F08"/>
    <w:rsid w:val="00C624E4"/>
    <w:rsid w:val="00C72688"/>
    <w:rsid w:val="00C758A4"/>
    <w:rsid w:val="00C94FC1"/>
    <w:rsid w:val="00CC12A7"/>
    <w:rsid w:val="00D92103"/>
    <w:rsid w:val="00E15EE6"/>
    <w:rsid w:val="00F100D7"/>
    <w:rsid w:val="00F73A6B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CC7B"/>
  <w15:chartTrackingRefBased/>
  <w15:docId w15:val="{E74A63C0-73DD-4C9F-BDD5-FDC68BD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1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1D2"/>
  </w:style>
  <w:style w:type="paragraph" w:styleId="Footer">
    <w:name w:val="footer"/>
    <w:basedOn w:val="Normal"/>
    <w:link w:val="FooterChar"/>
    <w:uiPriority w:val="99"/>
    <w:unhideWhenUsed/>
    <w:rsid w:val="006D0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dzelzceļa savstarpējo izmantojamību".</dc:title>
  <dc:subject/>
  <dc:creator>Kaspars-Oz</dc:creator>
  <cp:keywords>Pielikums Nr.4</cp:keywords>
  <dc:description>Gailīte, 67234308,
linda.gailite@vdzti.gov.lv, Balaša 67028071
Santa.Balasa@mk.gov.lv; Dainis.Lacis@vdzti.gov.lv</dc:description>
  <cp:lastModifiedBy>Santa Balaša</cp:lastModifiedBy>
  <cp:revision>9</cp:revision>
  <dcterms:created xsi:type="dcterms:W3CDTF">2020-01-23T07:51:00Z</dcterms:created>
  <dcterms:modified xsi:type="dcterms:W3CDTF">2020-02-21T10:45:00Z</dcterms:modified>
</cp:coreProperties>
</file>