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578E7" w:rsidR="0031438D" w:rsidP="00A14F91" w:rsidRDefault="00A14F91" w14:paraId="78D827D6" w14:textId="3130F11B">
      <w:pPr>
        <w:jc w:val="center"/>
        <w:rPr>
          <w:b/>
          <w:bCs/>
          <w:color w:val="0D0D0D" w:themeColor="text1" w:themeTint="F2"/>
        </w:rPr>
      </w:pPr>
      <w:r w:rsidRPr="005578E7">
        <w:rPr>
          <w:b/>
          <w:bCs/>
          <w:color w:val="0D0D0D" w:themeColor="text1" w:themeTint="F2"/>
        </w:rPr>
        <w:t xml:space="preserve">Ministru kabineta </w:t>
      </w:r>
      <w:r w:rsidRPr="005578E7" w:rsidR="00BC4ABC">
        <w:rPr>
          <w:b/>
          <w:bCs/>
          <w:color w:val="0D0D0D" w:themeColor="text1" w:themeTint="F2"/>
        </w:rPr>
        <w:t>noteikumu</w:t>
      </w:r>
      <w:r w:rsidRPr="005578E7">
        <w:rPr>
          <w:b/>
          <w:bCs/>
          <w:color w:val="0D0D0D" w:themeColor="text1" w:themeTint="F2"/>
        </w:rPr>
        <w:t xml:space="preserve"> projekta</w:t>
      </w:r>
      <w:r w:rsidRPr="005578E7" w:rsidR="0031438D">
        <w:rPr>
          <w:b/>
          <w:bCs/>
          <w:color w:val="0D0D0D" w:themeColor="text1" w:themeTint="F2"/>
        </w:rPr>
        <w:t xml:space="preserve"> „</w:t>
      </w:r>
      <w:r w:rsidRPr="00EB2BE8" w:rsidR="002C43FD">
        <w:rPr>
          <w:b/>
          <w:bCs/>
        </w:rPr>
        <w:t>Noteikumi par ostas pārvaldes funkciju veikšanu Ventspils ostā</w:t>
      </w:r>
      <w:r w:rsidRPr="005578E7" w:rsidR="00D8274A">
        <w:rPr>
          <w:b/>
          <w:color w:val="0D0D0D" w:themeColor="text1" w:themeTint="F2"/>
        </w:rPr>
        <w:t>”</w:t>
      </w:r>
      <w:r w:rsidRPr="005578E7">
        <w:rPr>
          <w:b/>
          <w:bCs/>
          <w:color w:val="0D0D0D" w:themeColor="text1" w:themeTint="F2"/>
        </w:rPr>
        <w:t xml:space="preserve"> </w:t>
      </w:r>
      <w:r w:rsidRPr="005578E7" w:rsidR="00B07CD8">
        <w:rPr>
          <w:b/>
          <w:bCs/>
          <w:color w:val="0D0D0D" w:themeColor="text1" w:themeTint="F2"/>
        </w:rPr>
        <w:t xml:space="preserve">sākotnējās </w:t>
      </w:r>
      <w:r w:rsidRPr="005578E7" w:rsidR="0031438D">
        <w:rPr>
          <w:b/>
          <w:bCs/>
          <w:color w:val="0D0D0D" w:themeColor="text1" w:themeTint="F2"/>
        </w:rPr>
        <w:t>ietekmes novērtējuma ziņojums (anotācija)</w:t>
      </w:r>
    </w:p>
    <w:p w:rsidRPr="005578E7" w:rsidR="00BD5588" w:rsidP="00C57E86" w:rsidRDefault="00BD5588" w14:paraId="177D3EBF"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28" w:type="dxa"/>
          <w:left w:w="28" w:type="dxa"/>
          <w:bottom w:w="28" w:type="dxa"/>
          <w:right w:w="28" w:type="dxa"/>
        </w:tblCellMar>
        <w:tblLook w:val="04A0" w:firstRow="1" w:lastRow="0" w:firstColumn="1" w:lastColumn="0" w:noHBand="0" w:noVBand="1"/>
      </w:tblPr>
      <w:tblGrid>
        <w:gridCol w:w="3247"/>
        <w:gridCol w:w="5814"/>
      </w:tblGrid>
      <w:tr w:rsidRPr="005578E7" w:rsidR="009D2D72" w:rsidTr="00B07CD8" w14:paraId="4652DE21" w14:textId="77777777">
        <w:trPr>
          <w:cantSplit/>
        </w:trPr>
        <w:tc>
          <w:tcPr>
            <w:tcW w:w="9061" w:type="dxa"/>
            <w:gridSpan w:val="2"/>
            <w:shd w:val="clear" w:color="auto" w:fill="auto"/>
            <w:vAlign w:val="center"/>
            <w:hideMark/>
          </w:tcPr>
          <w:p w:rsidRPr="005578E7" w:rsidR="00BD5588" w:rsidP="00C57E86" w:rsidRDefault="006E2E27" w14:paraId="3ADCDE8F" w14:textId="77777777">
            <w:pPr>
              <w:jc w:val="center"/>
              <w:rPr>
                <w:b/>
                <w:iCs/>
                <w:color w:val="0D0D0D" w:themeColor="text1" w:themeTint="F2"/>
                <w:lang w:eastAsia="en-US"/>
              </w:rPr>
            </w:pPr>
            <w:r w:rsidRPr="005578E7">
              <w:rPr>
                <w:b/>
                <w:iCs/>
                <w:color w:val="0D0D0D" w:themeColor="text1" w:themeTint="F2"/>
                <w:lang w:eastAsia="en-US"/>
              </w:rPr>
              <w:t>Tiesību akta projekta anotācijas kopsavilkums</w:t>
            </w:r>
          </w:p>
        </w:tc>
      </w:tr>
      <w:tr w:rsidRPr="005578E7" w:rsidR="009D2D72" w:rsidTr="00B07CD8" w14:paraId="43C2362B" w14:textId="77777777">
        <w:trPr>
          <w:cantSplit/>
        </w:trPr>
        <w:tc>
          <w:tcPr>
            <w:tcW w:w="3247" w:type="dxa"/>
            <w:shd w:val="clear" w:color="auto" w:fill="auto"/>
            <w:hideMark/>
          </w:tcPr>
          <w:p w:rsidRPr="005578E7" w:rsidR="00BD5588" w:rsidP="00C57E86" w:rsidRDefault="006E2E27" w14:paraId="74206B15" w14:textId="77777777">
            <w:pPr>
              <w:rPr>
                <w:iCs/>
                <w:color w:val="0D0D0D" w:themeColor="text1" w:themeTint="F2"/>
                <w:lang w:eastAsia="en-US"/>
              </w:rPr>
            </w:pPr>
            <w:r w:rsidRPr="005578E7">
              <w:rPr>
                <w:iCs/>
                <w:color w:val="0D0D0D" w:themeColor="text1" w:themeTint="F2"/>
                <w:lang w:eastAsia="en-US"/>
              </w:rPr>
              <w:t>Mērķis, risinājums un projekta spēkā stāšanās laiks (500 zīmes bez atstarpēm)</w:t>
            </w:r>
          </w:p>
        </w:tc>
        <w:tc>
          <w:tcPr>
            <w:tcW w:w="5814" w:type="dxa"/>
            <w:shd w:val="clear" w:color="auto" w:fill="auto"/>
            <w:hideMark/>
          </w:tcPr>
          <w:p w:rsidRPr="005578E7" w:rsidR="00B878FF" w:rsidP="00BC5A90" w:rsidRDefault="00A14F91" w14:paraId="215EB34E" w14:textId="4553F2FB">
            <w:pPr>
              <w:widowControl w:val="0"/>
              <w:tabs>
                <w:tab w:val="left" w:pos="560"/>
              </w:tabs>
              <w:ind w:right="115"/>
              <w:jc w:val="both"/>
              <w:outlineLvl w:val="2"/>
              <w:rPr>
                <w:color w:val="0D0D0D" w:themeColor="text1" w:themeTint="F2"/>
              </w:rPr>
            </w:pPr>
            <w:r w:rsidRPr="005578E7">
              <w:rPr>
                <w:color w:val="0D0D0D" w:themeColor="text1" w:themeTint="F2"/>
              </w:rPr>
              <w:t xml:space="preserve">Ministru kabineta </w:t>
            </w:r>
            <w:r w:rsidRPr="005578E7" w:rsidR="002B6B86">
              <w:rPr>
                <w:color w:val="0D0D0D" w:themeColor="text1" w:themeTint="F2"/>
              </w:rPr>
              <w:t>noteikumu</w:t>
            </w:r>
            <w:r w:rsidRPr="005578E7">
              <w:rPr>
                <w:color w:val="0D0D0D" w:themeColor="text1" w:themeTint="F2"/>
              </w:rPr>
              <w:t xml:space="preserve"> projekta </w:t>
            </w:r>
            <w:r w:rsidRPr="005578E7" w:rsidR="00BC5A90">
              <w:rPr>
                <w:color w:val="0D0D0D" w:themeColor="text1" w:themeTint="F2"/>
              </w:rPr>
              <w:t xml:space="preserve">mērķis ir </w:t>
            </w:r>
            <w:r w:rsidRPr="005578E7" w:rsidR="002B6B86">
              <w:rPr>
                <w:color w:val="0D0D0D" w:themeColor="text1" w:themeTint="F2"/>
              </w:rPr>
              <w:t xml:space="preserve">noteikt nosacījumus un kārtību, kādā </w:t>
            </w:r>
            <w:r w:rsidRPr="005578E7" w:rsidR="002B6B86">
              <w:t xml:space="preserve">Ventspils ostas pārvalde (atvasināta publisko tiesību juridiskā persona) un </w:t>
            </w:r>
            <w:r w:rsidRPr="005578E7">
              <w:rPr>
                <w:color w:val="0D0D0D" w:themeColor="text1" w:themeTint="F2"/>
              </w:rPr>
              <w:t>akciju sabiedrīb</w:t>
            </w:r>
            <w:r w:rsidR="00EC3D20">
              <w:rPr>
                <w:color w:val="0D0D0D" w:themeColor="text1" w:themeTint="F2"/>
              </w:rPr>
              <w:t>a</w:t>
            </w:r>
            <w:r w:rsidRPr="005578E7">
              <w:rPr>
                <w:color w:val="0D0D0D" w:themeColor="text1" w:themeTint="F2"/>
              </w:rPr>
              <w:t xml:space="preserve"> </w:t>
            </w:r>
            <w:r w:rsidRPr="005578E7" w:rsidR="0090709F">
              <w:rPr>
                <w:color w:val="0D0D0D" w:themeColor="text1" w:themeTint="F2"/>
              </w:rPr>
              <w:t>“</w:t>
            </w:r>
            <w:r w:rsidRPr="005578E7" w:rsidR="00415A12">
              <w:rPr>
                <w:color w:val="0D0D0D" w:themeColor="text1" w:themeTint="F2"/>
              </w:rPr>
              <w:t>Ventas osta</w:t>
            </w:r>
            <w:r w:rsidRPr="005578E7">
              <w:rPr>
                <w:color w:val="0D0D0D" w:themeColor="text1" w:themeTint="F2"/>
              </w:rPr>
              <w:t>”</w:t>
            </w:r>
            <w:r w:rsidRPr="005578E7" w:rsidR="002B6B86">
              <w:rPr>
                <w:color w:val="0D0D0D" w:themeColor="text1" w:themeTint="F2"/>
              </w:rPr>
              <w:t xml:space="preserve">  veic </w:t>
            </w:r>
            <w:r w:rsidRPr="005578E7" w:rsidR="00805F62">
              <w:rPr>
                <w:color w:val="0D0D0D" w:themeColor="text1" w:themeTint="F2"/>
              </w:rPr>
              <w:t>L</w:t>
            </w:r>
            <w:r w:rsidRPr="005578E7" w:rsidR="002B6B86">
              <w:t>ikuma</w:t>
            </w:r>
            <w:r w:rsidRPr="005578E7" w:rsidR="00805F62">
              <w:t xml:space="preserve"> par ostām </w:t>
            </w:r>
            <w:hyperlink w:history="1" w:anchor="p7" r:id="rId8">
              <w:r w:rsidRPr="005578E7" w:rsidR="002B6B86">
                <w:t>7.</w:t>
              </w:r>
            </w:hyperlink>
            <w:r w:rsidRPr="005578E7" w:rsidR="002B6B86">
              <w:t> panta trešās daļas 2., 3., 4., 8. un 9. punktā minētās funkcijas pārejas periodā, līdz stā</w:t>
            </w:r>
            <w:r w:rsidRPr="005578E7" w:rsidR="00805F62">
              <w:t>sies</w:t>
            </w:r>
            <w:r w:rsidRPr="005578E7" w:rsidR="002B6B86">
              <w:t xml:space="preserve"> spēkā likums, ar kuru tiks mainīts ostu pārvaldības modelis atbilstoši labas pārvaldības principiem.</w:t>
            </w:r>
            <w:r w:rsidRPr="005578E7">
              <w:rPr>
                <w:color w:val="0D0D0D" w:themeColor="text1" w:themeTint="F2"/>
              </w:rPr>
              <w:t xml:space="preserve"> </w:t>
            </w:r>
          </w:p>
          <w:p w:rsidRPr="005578E7" w:rsidR="00427EE9" w:rsidP="00B878FF" w:rsidRDefault="00ED6432" w14:paraId="36BA2185" w14:textId="0F767AD5">
            <w:pPr>
              <w:widowControl w:val="0"/>
              <w:tabs>
                <w:tab w:val="left" w:pos="560"/>
              </w:tabs>
              <w:ind w:right="115"/>
              <w:jc w:val="both"/>
              <w:outlineLvl w:val="2"/>
            </w:pPr>
            <w:r w:rsidRPr="005578E7">
              <w:t xml:space="preserve">Ministru kabineta </w:t>
            </w:r>
            <w:r w:rsidRPr="005578E7" w:rsidR="002B6B86">
              <w:t>noteikumu projekts</w:t>
            </w:r>
            <w:r w:rsidRPr="005578E7">
              <w:t xml:space="preserve"> stāsies spēkā </w:t>
            </w:r>
            <w:r w:rsidRPr="005578E7" w:rsidR="002B6B86">
              <w:t>Oficiālo publikāciju un tiesiskās informācijas likumā noteiktā kārtībā</w:t>
            </w:r>
            <w:r w:rsidRPr="005578E7">
              <w:t>.</w:t>
            </w:r>
          </w:p>
          <w:p w:rsidRPr="005578E7" w:rsidR="003A0705" w:rsidP="00B878FF" w:rsidRDefault="003A0705" w14:paraId="1AB8EF54" w14:textId="59E1D0FF">
            <w:pPr>
              <w:widowControl w:val="0"/>
              <w:tabs>
                <w:tab w:val="left" w:pos="560"/>
              </w:tabs>
              <w:ind w:right="115"/>
              <w:jc w:val="both"/>
              <w:outlineLvl w:val="2"/>
              <w:rPr>
                <w:color w:val="0D0D0D" w:themeColor="text1" w:themeTint="F2"/>
              </w:rPr>
            </w:pPr>
          </w:p>
        </w:tc>
      </w:tr>
    </w:tbl>
    <w:p w:rsidRPr="005578E7" w:rsidR="004E5314" w:rsidP="00C57E86" w:rsidRDefault="004E5314" w14:paraId="250B1397" w14:textId="008D0AD8">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240"/>
        <w:gridCol w:w="2732"/>
        <w:gridCol w:w="6089"/>
      </w:tblGrid>
      <w:tr w:rsidRPr="005578E7" w:rsidR="009D2D72" w:rsidTr="00737785" w14:paraId="712180B0" w14:textId="77777777">
        <w:trPr>
          <w:cantSplit/>
        </w:trPr>
        <w:tc>
          <w:tcPr>
            <w:tcW w:w="5000" w:type="pct"/>
            <w:gridSpan w:val="3"/>
            <w:vAlign w:val="center"/>
            <w:hideMark/>
          </w:tcPr>
          <w:p w:rsidRPr="005578E7" w:rsidR="00BD5588" w:rsidP="00C57E86" w:rsidRDefault="006E2E27" w14:paraId="2C91D191" w14:textId="77777777">
            <w:pPr>
              <w:jc w:val="center"/>
              <w:rPr>
                <w:b/>
                <w:bCs/>
                <w:color w:val="0D0D0D" w:themeColor="text1" w:themeTint="F2"/>
              </w:rPr>
            </w:pPr>
            <w:r w:rsidRPr="005578E7">
              <w:rPr>
                <w:b/>
                <w:bCs/>
                <w:color w:val="0D0D0D" w:themeColor="text1" w:themeTint="F2"/>
              </w:rPr>
              <w:t>I. Tiesību akta projekta izstrādes nepieciešamība</w:t>
            </w:r>
          </w:p>
        </w:tc>
      </w:tr>
      <w:tr w:rsidRPr="005578E7" w:rsidR="009D2D72" w:rsidTr="00BC5A90" w14:paraId="6FA8504B" w14:textId="77777777">
        <w:tc>
          <w:tcPr>
            <w:tcW w:w="132" w:type="pct"/>
            <w:hideMark/>
          </w:tcPr>
          <w:p w:rsidRPr="005578E7" w:rsidR="00BD5588" w:rsidP="00C57E86" w:rsidRDefault="006E2E27" w14:paraId="2D52D80D" w14:textId="77777777">
            <w:pPr>
              <w:jc w:val="center"/>
              <w:rPr>
                <w:color w:val="0D0D0D" w:themeColor="text1" w:themeTint="F2"/>
              </w:rPr>
            </w:pPr>
            <w:r w:rsidRPr="005578E7">
              <w:rPr>
                <w:color w:val="0D0D0D" w:themeColor="text1" w:themeTint="F2"/>
              </w:rPr>
              <w:t>1.</w:t>
            </w:r>
          </w:p>
        </w:tc>
        <w:tc>
          <w:tcPr>
            <w:tcW w:w="1508" w:type="pct"/>
            <w:hideMark/>
          </w:tcPr>
          <w:p w:rsidRPr="005578E7" w:rsidR="00BD5588" w:rsidP="00C57E86" w:rsidRDefault="006E2E27" w14:paraId="5E3724CA" w14:textId="77777777">
            <w:pPr>
              <w:rPr>
                <w:color w:val="0D0D0D" w:themeColor="text1" w:themeTint="F2"/>
              </w:rPr>
            </w:pPr>
            <w:r w:rsidRPr="005578E7">
              <w:rPr>
                <w:color w:val="0D0D0D" w:themeColor="text1" w:themeTint="F2"/>
              </w:rPr>
              <w:t>Pamatojums</w:t>
            </w:r>
          </w:p>
        </w:tc>
        <w:tc>
          <w:tcPr>
            <w:tcW w:w="3360" w:type="pct"/>
            <w:hideMark/>
          </w:tcPr>
          <w:p w:rsidRPr="005578E7" w:rsidR="003A0705" w:rsidP="00BC4ABC" w:rsidRDefault="00BC4ABC" w14:paraId="2848BD7A" w14:textId="6FF37C9C">
            <w:pPr>
              <w:pStyle w:val="Standard"/>
              <w:tabs>
                <w:tab w:val="left" w:pos="262"/>
              </w:tabs>
              <w:ind w:right="100"/>
              <w:jc w:val="both"/>
              <w:rPr>
                <w:rFonts w:cs="Times New Roman"/>
                <w:color w:val="0D0D0D" w:themeColor="text1" w:themeTint="F2"/>
              </w:rPr>
            </w:pPr>
            <w:r w:rsidRPr="005578E7">
              <w:rPr>
                <w:rFonts w:cs="Times New Roman"/>
                <w:color w:val="0D0D0D" w:themeColor="text1" w:themeTint="F2"/>
              </w:rPr>
              <w:t>Likuma par ostām pārejas noteikumu 15.punkta 5.apakšpunkts</w:t>
            </w:r>
            <w:r w:rsidRPr="005578E7" w:rsidR="00943F8D">
              <w:rPr>
                <w:rFonts w:cs="Times New Roman"/>
                <w:color w:val="0D0D0D" w:themeColor="text1" w:themeTint="F2"/>
              </w:rPr>
              <w:t xml:space="preserve">. </w:t>
            </w:r>
          </w:p>
          <w:p w:rsidRPr="005578E7" w:rsidR="00BC4ABC" w:rsidP="00BC4ABC" w:rsidRDefault="00BC4ABC" w14:paraId="048B50D3" w14:textId="720AED91">
            <w:pPr>
              <w:pStyle w:val="Standard"/>
              <w:tabs>
                <w:tab w:val="left" w:pos="262"/>
              </w:tabs>
              <w:ind w:right="100"/>
              <w:jc w:val="both"/>
              <w:rPr>
                <w:rFonts w:cs="Times New Roman"/>
                <w:color w:val="0D0D0D" w:themeColor="text1" w:themeTint="F2"/>
              </w:rPr>
            </w:pPr>
          </w:p>
        </w:tc>
      </w:tr>
      <w:tr w:rsidRPr="005578E7" w:rsidR="005865CF" w:rsidTr="00BC5A90" w14:paraId="43BCF0C4" w14:textId="77777777">
        <w:tc>
          <w:tcPr>
            <w:tcW w:w="132" w:type="pct"/>
            <w:hideMark/>
          </w:tcPr>
          <w:p w:rsidRPr="005578E7" w:rsidR="005865CF" w:rsidP="005865CF" w:rsidRDefault="005865CF" w14:paraId="271D3C71" w14:textId="77777777">
            <w:pPr>
              <w:jc w:val="center"/>
              <w:rPr>
                <w:color w:val="0D0D0D" w:themeColor="text1" w:themeTint="F2"/>
              </w:rPr>
            </w:pPr>
            <w:r w:rsidRPr="005578E7">
              <w:rPr>
                <w:color w:val="0D0D0D" w:themeColor="text1" w:themeTint="F2"/>
              </w:rPr>
              <w:t>2.</w:t>
            </w:r>
          </w:p>
        </w:tc>
        <w:tc>
          <w:tcPr>
            <w:tcW w:w="1508" w:type="pct"/>
            <w:hideMark/>
          </w:tcPr>
          <w:p w:rsidRPr="005578E7" w:rsidR="005865CF" w:rsidP="005865CF" w:rsidRDefault="005865CF" w14:paraId="27A483CF" w14:textId="77777777">
            <w:pPr>
              <w:rPr>
                <w:color w:val="0D0D0D" w:themeColor="text1" w:themeTint="F2"/>
              </w:rPr>
            </w:pPr>
            <w:r w:rsidRPr="005578E7">
              <w:rPr>
                <w:color w:val="0D0D0D" w:themeColor="text1" w:themeTint="F2"/>
              </w:rPr>
              <w:t>Pašreizējā situācija un problēmas, kuru risināšanai tiesību akta projekts izstrādāts, tiesiskā regulējuma mērķis un būtība</w:t>
            </w:r>
          </w:p>
          <w:p w:rsidRPr="005578E7" w:rsidR="005865CF" w:rsidP="005865CF" w:rsidRDefault="005865CF" w14:paraId="6D615DFC" w14:textId="77777777">
            <w:pPr>
              <w:rPr>
                <w:color w:val="0D0D0D" w:themeColor="text1" w:themeTint="F2"/>
              </w:rPr>
            </w:pPr>
          </w:p>
          <w:p w:rsidRPr="005578E7" w:rsidR="005865CF" w:rsidP="005865CF" w:rsidRDefault="005865CF" w14:paraId="4B5F78D1" w14:textId="77777777">
            <w:pPr>
              <w:rPr>
                <w:color w:val="0D0D0D" w:themeColor="text1" w:themeTint="F2"/>
              </w:rPr>
            </w:pPr>
          </w:p>
          <w:p w:rsidRPr="005578E7" w:rsidR="005865CF" w:rsidP="005865CF" w:rsidRDefault="005865CF" w14:paraId="28AAD5E6" w14:textId="77777777">
            <w:pPr>
              <w:rPr>
                <w:color w:val="0D0D0D" w:themeColor="text1" w:themeTint="F2"/>
              </w:rPr>
            </w:pPr>
          </w:p>
          <w:p w:rsidRPr="005578E7" w:rsidR="005865CF" w:rsidP="005865CF" w:rsidRDefault="005865CF" w14:paraId="3CDCA894" w14:textId="77777777">
            <w:pPr>
              <w:rPr>
                <w:color w:val="0D0D0D" w:themeColor="text1" w:themeTint="F2"/>
              </w:rPr>
            </w:pPr>
          </w:p>
          <w:p w:rsidRPr="005578E7" w:rsidR="005865CF" w:rsidP="005865CF" w:rsidRDefault="005865CF" w14:paraId="783C0F4D" w14:textId="77777777">
            <w:pPr>
              <w:rPr>
                <w:color w:val="0D0D0D" w:themeColor="text1" w:themeTint="F2"/>
              </w:rPr>
            </w:pPr>
          </w:p>
          <w:p w:rsidRPr="005578E7" w:rsidR="005865CF" w:rsidP="005865CF" w:rsidRDefault="005865CF" w14:paraId="3323FF80" w14:textId="77777777">
            <w:pPr>
              <w:rPr>
                <w:color w:val="0D0D0D" w:themeColor="text1" w:themeTint="F2"/>
              </w:rPr>
            </w:pPr>
          </w:p>
          <w:p w:rsidRPr="005578E7" w:rsidR="005865CF" w:rsidP="005865CF" w:rsidRDefault="005865CF" w14:paraId="070D952A" w14:textId="77777777">
            <w:pPr>
              <w:rPr>
                <w:color w:val="0D0D0D" w:themeColor="text1" w:themeTint="F2"/>
              </w:rPr>
            </w:pPr>
          </w:p>
          <w:p w:rsidRPr="005578E7" w:rsidR="005865CF" w:rsidP="005865CF" w:rsidRDefault="005865CF" w14:paraId="2F20208F" w14:textId="77777777">
            <w:pPr>
              <w:rPr>
                <w:color w:val="0D0D0D" w:themeColor="text1" w:themeTint="F2"/>
              </w:rPr>
            </w:pPr>
          </w:p>
          <w:p w:rsidRPr="005578E7" w:rsidR="005865CF" w:rsidP="005865CF" w:rsidRDefault="005865CF" w14:paraId="7E8DDF8B" w14:textId="77777777">
            <w:pPr>
              <w:rPr>
                <w:color w:val="0D0D0D" w:themeColor="text1" w:themeTint="F2"/>
              </w:rPr>
            </w:pPr>
          </w:p>
          <w:p w:rsidRPr="005578E7" w:rsidR="005865CF" w:rsidP="005865CF" w:rsidRDefault="005865CF" w14:paraId="23C5D048" w14:textId="77777777">
            <w:pPr>
              <w:rPr>
                <w:color w:val="0D0D0D" w:themeColor="text1" w:themeTint="F2"/>
              </w:rPr>
            </w:pPr>
          </w:p>
          <w:p w:rsidRPr="005578E7" w:rsidR="005865CF" w:rsidP="005865CF" w:rsidRDefault="005865CF" w14:paraId="76D42C80" w14:textId="77777777">
            <w:pPr>
              <w:rPr>
                <w:color w:val="0D0D0D" w:themeColor="text1" w:themeTint="F2"/>
              </w:rPr>
            </w:pPr>
          </w:p>
          <w:p w:rsidRPr="005578E7" w:rsidR="005865CF" w:rsidP="005865CF" w:rsidRDefault="005865CF" w14:paraId="44BC1C3E" w14:textId="77777777">
            <w:pPr>
              <w:rPr>
                <w:color w:val="0D0D0D" w:themeColor="text1" w:themeTint="F2"/>
              </w:rPr>
            </w:pPr>
          </w:p>
          <w:p w:rsidRPr="005578E7" w:rsidR="005865CF" w:rsidP="005865CF" w:rsidRDefault="005865CF" w14:paraId="7F94462B" w14:textId="77777777">
            <w:pPr>
              <w:rPr>
                <w:color w:val="0D0D0D" w:themeColor="text1" w:themeTint="F2"/>
              </w:rPr>
            </w:pPr>
          </w:p>
          <w:p w:rsidRPr="005578E7" w:rsidR="005865CF" w:rsidP="005865CF" w:rsidRDefault="005865CF" w14:paraId="7654E30B" w14:textId="77777777">
            <w:pPr>
              <w:rPr>
                <w:color w:val="0D0D0D" w:themeColor="text1" w:themeTint="F2"/>
              </w:rPr>
            </w:pPr>
          </w:p>
          <w:p w:rsidRPr="005578E7" w:rsidR="005865CF" w:rsidP="005865CF" w:rsidRDefault="005865CF" w14:paraId="31970DEA" w14:textId="77777777">
            <w:pPr>
              <w:rPr>
                <w:color w:val="0D0D0D" w:themeColor="text1" w:themeTint="F2"/>
              </w:rPr>
            </w:pPr>
          </w:p>
          <w:p w:rsidRPr="005578E7" w:rsidR="005865CF" w:rsidP="005865CF" w:rsidRDefault="005865CF" w14:paraId="0AFD99A9" w14:textId="77777777">
            <w:pPr>
              <w:rPr>
                <w:color w:val="0D0D0D" w:themeColor="text1" w:themeTint="F2"/>
              </w:rPr>
            </w:pPr>
          </w:p>
          <w:p w:rsidRPr="005578E7" w:rsidR="005865CF" w:rsidP="005865CF" w:rsidRDefault="005865CF" w14:paraId="3DFC9F18" w14:textId="77777777">
            <w:pPr>
              <w:rPr>
                <w:color w:val="0D0D0D" w:themeColor="text1" w:themeTint="F2"/>
              </w:rPr>
            </w:pPr>
          </w:p>
          <w:p w:rsidRPr="005578E7" w:rsidR="005865CF" w:rsidP="005865CF" w:rsidRDefault="005865CF" w14:paraId="1F702620" w14:textId="77777777">
            <w:pPr>
              <w:rPr>
                <w:color w:val="0D0D0D" w:themeColor="text1" w:themeTint="F2"/>
              </w:rPr>
            </w:pPr>
          </w:p>
          <w:p w:rsidRPr="005578E7" w:rsidR="005865CF" w:rsidP="005865CF" w:rsidRDefault="005865CF" w14:paraId="2C735B44" w14:textId="77777777">
            <w:pPr>
              <w:rPr>
                <w:color w:val="0D0D0D" w:themeColor="text1" w:themeTint="F2"/>
              </w:rPr>
            </w:pPr>
          </w:p>
          <w:p w:rsidRPr="005578E7" w:rsidR="005865CF" w:rsidP="005865CF" w:rsidRDefault="005865CF" w14:paraId="6080F7AC" w14:textId="77777777">
            <w:pPr>
              <w:rPr>
                <w:color w:val="0D0D0D" w:themeColor="text1" w:themeTint="F2"/>
              </w:rPr>
            </w:pPr>
          </w:p>
          <w:p w:rsidRPr="005578E7" w:rsidR="005865CF" w:rsidP="005865CF" w:rsidRDefault="005865CF" w14:paraId="4EAA759F" w14:textId="77777777">
            <w:pPr>
              <w:rPr>
                <w:color w:val="0D0D0D" w:themeColor="text1" w:themeTint="F2"/>
              </w:rPr>
            </w:pPr>
          </w:p>
          <w:p w:rsidRPr="005578E7" w:rsidR="005865CF" w:rsidP="005865CF" w:rsidRDefault="005865CF" w14:paraId="7C6F436D" w14:textId="77777777">
            <w:pPr>
              <w:rPr>
                <w:color w:val="0D0D0D" w:themeColor="text1" w:themeTint="F2"/>
              </w:rPr>
            </w:pPr>
          </w:p>
          <w:p w:rsidRPr="005578E7" w:rsidR="005865CF" w:rsidP="005865CF" w:rsidRDefault="005865CF" w14:paraId="537AB7AA" w14:textId="77777777">
            <w:pPr>
              <w:rPr>
                <w:color w:val="0D0D0D" w:themeColor="text1" w:themeTint="F2"/>
              </w:rPr>
            </w:pPr>
          </w:p>
          <w:p w:rsidRPr="005578E7" w:rsidR="005865CF" w:rsidP="005865CF" w:rsidRDefault="005865CF" w14:paraId="25E4D365" w14:textId="77777777">
            <w:pPr>
              <w:rPr>
                <w:color w:val="0D0D0D" w:themeColor="text1" w:themeTint="F2"/>
              </w:rPr>
            </w:pPr>
          </w:p>
          <w:p w:rsidRPr="005578E7" w:rsidR="005865CF" w:rsidP="005865CF" w:rsidRDefault="005865CF" w14:paraId="568E8CFA" w14:textId="77777777">
            <w:pPr>
              <w:rPr>
                <w:color w:val="0D0D0D" w:themeColor="text1" w:themeTint="F2"/>
              </w:rPr>
            </w:pPr>
          </w:p>
          <w:p w:rsidRPr="005578E7" w:rsidR="005865CF" w:rsidP="005865CF" w:rsidRDefault="005865CF" w14:paraId="35C33102" w14:textId="77777777">
            <w:pPr>
              <w:rPr>
                <w:color w:val="0D0D0D" w:themeColor="text1" w:themeTint="F2"/>
              </w:rPr>
            </w:pPr>
          </w:p>
          <w:p w:rsidRPr="005578E7" w:rsidR="005865CF" w:rsidP="005865CF" w:rsidRDefault="005865CF" w14:paraId="1C3BD991" w14:textId="77777777">
            <w:pPr>
              <w:rPr>
                <w:color w:val="0D0D0D" w:themeColor="text1" w:themeTint="F2"/>
              </w:rPr>
            </w:pPr>
          </w:p>
          <w:p w:rsidRPr="005578E7" w:rsidR="005865CF" w:rsidP="005865CF" w:rsidRDefault="005865CF" w14:paraId="3F166039" w14:textId="77777777">
            <w:pPr>
              <w:jc w:val="center"/>
              <w:rPr>
                <w:color w:val="0D0D0D" w:themeColor="text1" w:themeTint="F2"/>
              </w:rPr>
            </w:pPr>
          </w:p>
        </w:tc>
        <w:tc>
          <w:tcPr>
            <w:tcW w:w="3360" w:type="pct"/>
            <w:tcBorders>
              <w:top w:val="single" w:color="auto" w:sz="4" w:space="0"/>
              <w:left w:val="single" w:color="auto" w:sz="4" w:space="0"/>
              <w:bottom w:val="single" w:color="auto" w:sz="4" w:space="0"/>
              <w:right w:val="single" w:color="auto" w:sz="4" w:space="0"/>
            </w:tcBorders>
          </w:tcPr>
          <w:p w:rsidRPr="005578E7" w:rsidR="00A066E4" w:rsidP="00A066E4" w:rsidRDefault="00A066E4" w14:paraId="520A4396" w14:textId="274BC1DE">
            <w:pPr>
              <w:ind w:firstLine="375"/>
              <w:jc w:val="both"/>
              <w:rPr>
                <w:lang w:eastAsia="en-US"/>
              </w:rPr>
            </w:pPr>
            <w:r w:rsidRPr="005578E7">
              <w:lastRenderedPageBreak/>
              <w:t>Deklarācijā par Artura Krišjāņa Kariņa vadītā Ministru kabineta iecerēto darbību (turpmāk – Valdības deklarācija) kā viena no valdības prioritātēm minēta cīņa ar korupciju (Valdības deklarācijas 33. punkts). Valdība kā vienu no prioritātēm norādījusi modernas pārvaldības īstenošanu, tai skaitā reformēt valsts pārvaldi, lai uzlabotu tās pakalpojumu sniegšanas kvalitāti un samazinātu korupcijas riskus. Valdība ir secinājusi, ka Ventspils osta ir pakļauta augstam korupcijas riskam, tādējādi nepieciešamas neatliekamas reformas ost</w:t>
            </w:r>
            <w:r w:rsidRPr="005578E7" w:rsidR="00805F62">
              <w:t>as</w:t>
            </w:r>
            <w:r w:rsidRPr="005578E7">
              <w:t xml:space="preserve"> pārvaldībā, lai izpildītu valdības deklarācijā noteikto prioritāti cīņai pret korupciju un uzlabotu šo ostu pārvaldību.</w:t>
            </w:r>
          </w:p>
          <w:p w:rsidRPr="005578E7" w:rsidR="00C97EDA" w:rsidP="00366524" w:rsidRDefault="00A066E4" w14:paraId="1A424D1C" w14:textId="4B92B9BC">
            <w:pPr>
              <w:ind w:left="-22" w:firstLine="425"/>
              <w:jc w:val="both"/>
            </w:pPr>
            <w:r w:rsidRPr="005578E7">
              <w:t>Valdības deklarācijas</w:t>
            </w:r>
            <w:r w:rsidRPr="005578E7" w:rsidR="00C97EDA">
              <w:t xml:space="preserve"> 82. punkts noteic, ka lielo ostu darbībā tiks piemēroti </w:t>
            </w:r>
            <w:r w:rsidRPr="005578E7">
              <w:t xml:space="preserve">Ekonomiskās sadarbības un attīstības organizācijas (turpmāk – </w:t>
            </w:r>
            <w:r w:rsidRPr="005578E7" w:rsidR="00C97EDA">
              <w:t>OECD</w:t>
            </w:r>
            <w:r w:rsidRPr="005578E7">
              <w:t>)</w:t>
            </w:r>
            <w:r w:rsidRPr="005578E7" w:rsidR="00C97EDA">
              <w:t xml:space="preserve"> valsts kapitālsabiedrību pārvaldības principi, tiks palielināta valsts ietekme lēmumu pieņemšanā un tiks nodrošināta efektīvāka resursu izmantošana; tiks izvērtēts un reformēts lielo ostu pārvaldības modelis, kā prioritāro risinājumu paredzot </w:t>
            </w:r>
            <w:r w:rsidRPr="005578E7" w:rsidR="00805F62">
              <w:t>lielo ostu</w:t>
            </w:r>
            <w:r w:rsidRPr="005578E7" w:rsidR="00C97EDA">
              <w:t xml:space="preserve"> pārveidošanu par valsts kapitālsabiedrībām.</w:t>
            </w:r>
          </w:p>
          <w:p w:rsidRPr="005578E7" w:rsidR="00E0571B" w:rsidP="00E0571B" w:rsidRDefault="00E0571B" w14:paraId="7CB26AFF" w14:textId="643B37AC">
            <w:pPr>
              <w:pStyle w:val="ListParagraph"/>
              <w:ind w:left="0" w:firstLine="375"/>
              <w:jc w:val="both"/>
            </w:pPr>
            <w:r w:rsidRPr="005578E7">
              <w:t xml:space="preserve">Korupcijas riski Ventspils pilsētā esošajā ostā (turpmāk – </w:t>
            </w:r>
            <w:r w:rsidRPr="005578E7" w:rsidR="00AA12CA">
              <w:t>Ventspils o</w:t>
            </w:r>
            <w:r w:rsidRPr="005578E7">
              <w:t xml:space="preserve">sta) </w:t>
            </w:r>
            <w:r w:rsidRPr="005578E7" w:rsidR="005578E7">
              <w:t>bija</w:t>
            </w:r>
            <w:r w:rsidRPr="005578E7">
              <w:t xml:space="preserve"> iemesls Amerikas Savienoto valstu (turpmāk – ASV) Valsts kases Ārvalstu aktīvu kontroles biroja (turpmāk – ASV OFAC) 2019.gada 9.decembra lēmumam par sankciju noteikšanu pret Aivaru Lembergu un četrām ar viņu saistītām juridiskām personām -  Ventspils brīvostas pārvaldi, Ventspils Attīstības aģentūru, Biznesa attīstības asociāciju un Latvijas Tranzīta biznesa asociāciju. </w:t>
            </w:r>
            <w:r w:rsidRPr="005578E7" w:rsidR="00805F62">
              <w:t xml:space="preserve">2019.gada beigās tika atceltas ASV OFAC noteiktās sankcijas Ventspils brīvostas pārvaldei. Papildus  iepriekš minētajam </w:t>
            </w:r>
            <w:r w:rsidRPr="005578E7">
              <w:t>ASV OFAC lēmums</w:t>
            </w:r>
            <w:r w:rsidRPr="005578E7" w:rsidR="00CE02DD">
              <w:t xml:space="preserve"> 2019.gada decembrī</w:t>
            </w:r>
            <w:r w:rsidRPr="005578E7">
              <w:t xml:space="preserve"> pamato</w:t>
            </w:r>
            <w:r w:rsidRPr="005578E7" w:rsidR="00CE02DD">
              <w:t>ja</w:t>
            </w:r>
            <w:r w:rsidRPr="005578E7">
              <w:t xml:space="preserve"> nepieciešamību nekavējoties rīkoties, lai izveidotu neatkarīgu valsts kapitālsabiedrību, kas veiktu </w:t>
            </w:r>
            <w:r w:rsidRPr="005578E7" w:rsidR="00AA12CA">
              <w:t>Ventspils ostas</w:t>
            </w:r>
            <w:r w:rsidRPr="005578E7">
              <w:t xml:space="preserve"> pārvaldi, </w:t>
            </w:r>
            <w:r w:rsidRPr="005578E7" w:rsidR="005578E7">
              <w:t>lai</w:t>
            </w:r>
            <w:r w:rsidRPr="005578E7">
              <w:t xml:space="preserve"> samazinātu korupcijas riskus šajā ostā.</w:t>
            </w:r>
          </w:p>
          <w:p w:rsidRPr="005578E7" w:rsidR="00CE02DD" w:rsidP="00147A5D" w:rsidRDefault="00E0571B" w14:paraId="08AA68F1" w14:textId="6EF23AF2">
            <w:pPr>
              <w:pStyle w:val="ListParagraph"/>
              <w:ind w:left="0" w:firstLine="375"/>
              <w:jc w:val="both"/>
            </w:pPr>
            <w:r w:rsidRPr="005578E7">
              <w:lastRenderedPageBreak/>
              <w:t xml:space="preserve">Tādējādi sankciju ietekmē faktiski </w:t>
            </w:r>
            <w:r w:rsidRPr="005578E7" w:rsidR="00CE02DD">
              <w:t xml:space="preserve">tika </w:t>
            </w:r>
            <w:r w:rsidRPr="005578E7">
              <w:t xml:space="preserve">radīta ļoti nelabvēlīga situācija tranzīta sektora </w:t>
            </w:r>
            <w:r w:rsidRPr="005578E7" w:rsidR="00AA12CA">
              <w:t>Ventspils ostā</w:t>
            </w:r>
            <w:r w:rsidRPr="005578E7">
              <w:t xml:space="preserve"> darbības turpināšanai un šķēršļi iespējamai </w:t>
            </w:r>
            <w:r w:rsidRPr="005578E7" w:rsidR="00AA12CA">
              <w:t>Ventspils ostas</w:t>
            </w:r>
            <w:r w:rsidRPr="005578E7">
              <w:t xml:space="preserve"> attīstībai nākotnē. </w:t>
            </w:r>
          </w:p>
          <w:p w:rsidRPr="005578E7" w:rsidR="00A066E4" w:rsidP="00147A5D" w:rsidRDefault="00CE02DD" w14:paraId="1B5C2191" w14:textId="439959B7">
            <w:pPr>
              <w:pStyle w:val="ListParagraph"/>
              <w:ind w:left="0" w:firstLine="375"/>
              <w:jc w:val="both"/>
              <w:rPr>
                <w:lang w:eastAsia="en-US"/>
              </w:rPr>
            </w:pPr>
            <w:r w:rsidRPr="005578E7">
              <w:t xml:space="preserve">Jāņem vērā, ka </w:t>
            </w:r>
            <w:r w:rsidRPr="005578E7" w:rsidR="00AA12CA">
              <w:t>Ventspils osta</w:t>
            </w:r>
            <w:r w:rsidRPr="005578E7" w:rsidR="00A066E4">
              <w:t xml:space="preserve"> ir </w:t>
            </w:r>
            <w:r w:rsidRPr="005578E7" w:rsidR="009B569F">
              <w:t>Latvijas otra lielākā osta</w:t>
            </w:r>
            <w:r w:rsidRPr="005578E7" w:rsidR="00A066E4">
              <w:t xml:space="preserve"> </w:t>
            </w:r>
            <w:r w:rsidRPr="005578E7" w:rsidR="009B569F">
              <w:t xml:space="preserve">ar </w:t>
            </w:r>
            <w:r w:rsidRPr="005578E7" w:rsidR="00A066E4">
              <w:t>kravu apgrozījum</w:t>
            </w:r>
            <w:r w:rsidRPr="005578E7" w:rsidR="009B569F">
              <w:t xml:space="preserve">u </w:t>
            </w:r>
            <w:r w:rsidR="00E930B4">
              <w:t>aptuveni</w:t>
            </w:r>
            <w:r w:rsidRPr="005578E7" w:rsidR="00A066E4">
              <w:t xml:space="preserve"> 20 miljoni tonnu gadā un </w:t>
            </w:r>
            <w:r w:rsidRPr="005578E7" w:rsidR="00AA12CA">
              <w:t>Ventspils ostas</w:t>
            </w:r>
            <w:r w:rsidRPr="005578E7" w:rsidR="00A066E4">
              <w:t xml:space="preserve"> teritorijā esošajos uzņēmumos strādā vairāk nekā 2000 darbinieku.</w:t>
            </w:r>
            <w:r w:rsidRPr="005578E7" w:rsidR="00147A5D">
              <w:t xml:space="preserve"> </w:t>
            </w:r>
            <w:r w:rsidRPr="005578E7" w:rsidR="00AA12CA">
              <w:t>Ventspils ostas</w:t>
            </w:r>
            <w:r w:rsidRPr="005578E7" w:rsidR="00147A5D">
              <w:t xml:space="preserve"> teritorija atrodas stratēģiski svarīgā vietā, pie Baltijas jūras, tā ir iekļauta Eiropas TEN-T transporta pamattīklā un vēsturiski kalpo par stratēģisku Krievijas un NVS valstu eksporta preču tranzīta mezglu</w:t>
            </w:r>
            <w:r w:rsidRPr="005578E7" w:rsidR="000A0A1C">
              <w:t>.</w:t>
            </w:r>
            <w:r w:rsidRPr="005578E7">
              <w:t xml:space="preserve"> </w:t>
            </w:r>
            <w:r w:rsidRPr="005578E7" w:rsidR="00AA12CA">
              <w:t>Ventspils osta</w:t>
            </w:r>
            <w:r w:rsidRPr="005578E7" w:rsidR="00147A5D">
              <w:t xml:space="preserve"> ir būtiska </w:t>
            </w:r>
            <w:r w:rsidRPr="005578E7">
              <w:t xml:space="preserve"> arī </w:t>
            </w:r>
            <w:r w:rsidRPr="005578E7" w:rsidR="00147A5D">
              <w:t xml:space="preserve">Ziemeļatlantijas līguma organizācijas (NATO) sabiedroto spēku uzņemšanas ievaros. </w:t>
            </w:r>
            <w:r w:rsidRPr="005578E7" w:rsidR="00AA12CA">
              <w:t>Ventspils ostas</w:t>
            </w:r>
            <w:r w:rsidRPr="005578E7" w:rsidR="00147A5D">
              <w:t xml:space="preserve"> infrastruktūra ir būtiska, lai saglabātu to kā otru ostu ar dziļāko iegrimi un nodrošinātu iespēju sabiedroto spēku militāro kravu piegādei Latvijā.</w:t>
            </w:r>
          </w:p>
          <w:p w:rsidRPr="005578E7" w:rsidR="00CE02DD" w:rsidP="005C457A" w:rsidRDefault="005C457A" w14:paraId="0891022A" w14:textId="6673F1EC">
            <w:pPr>
              <w:pStyle w:val="ListParagraph"/>
              <w:ind w:left="0" w:firstLine="375"/>
              <w:jc w:val="both"/>
            </w:pPr>
            <w:r w:rsidRPr="005578E7">
              <w:t xml:space="preserve">Lai nodrošinātu </w:t>
            </w:r>
            <w:r w:rsidRPr="005578E7" w:rsidR="00AA12CA">
              <w:t>Ventspils ostas</w:t>
            </w:r>
            <w:r w:rsidRPr="005578E7">
              <w:t xml:space="preserve"> darbības nepārtrauktību, nekavētu kravu plūsmu un novērstu potenciālās</w:t>
            </w:r>
            <w:r w:rsidRPr="005578E7" w:rsidR="00805F62">
              <w:t xml:space="preserve"> sankciju</w:t>
            </w:r>
            <w:r w:rsidRPr="005578E7">
              <w:t xml:space="preserve"> negatīvās sekas uz kravu pārvadājumiem </w:t>
            </w:r>
            <w:r w:rsidRPr="005578E7" w:rsidR="00AA12CA">
              <w:t xml:space="preserve">Ventspils ostā </w:t>
            </w:r>
            <w:r w:rsidRPr="005578E7">
              <w:t xml:space="preserve">un uz </w:t>
            </w:r>
            <w:r w:rsidRPr="005578E7" w:rsidR="00AA12CA">
              <w:t xml:space="preserve">Ventspils ostā </w:t>
            </w:r>
            <w:r w:rsidRPr="005578E7">
              <w:t>strādājošajiem komersantiem,</w:t>
            </w:r>
            <w:r w:rsidRPr="005578E7" w:rsidR="00CE02DD">
              <w:t xml:space="preserve"> 2019.gada 18.decembrī Saeim</w:t>
            </w:r>
            <w:r w:rsidRPr="005578E7" w:rsidR="00AA12CA">
              <w:t>a</w:t>
            </w:r>
            <w:r w:rsidRPr="005578E7" w:rsidR="00CE02DD">
              <w:t xml:space="preserve"> pieņēma </w:t>
            </w:r>
            <w:r w:rsidRPr="005578E7" w:rsidR="00AA12CA">
              <w:t>g</w:t>
            </w:r>
            <w:r w:rsidRPr="005578E7" w:rsidR="00CE02DD">
              <w:t>rozījumus Likumā par ostām,</w:t>
            </w:r>
            <w:r w:rsidRPr="005578E7" w:rsidR="00AA12CA">
              <w:t xml:space="preserve"> 7.panta 1.</w:t>
            </w:r>
            <w:r w:rsidRPr="005578E7" w:rsidR="00AA12CA">
              <w:rPr>
                <w:vertAlign w:val="superscript"/>
              </w:rPr>
              <w:t>2</w:t>
            </w:r>
            <w:r w:rsidRPr="005578E7" w:rsidR="00AA12CA">
              <w:t xml:space="preserve"> daļā</w:t>
            </w:r>
            <w:r w:rsidRPr="005578E7" w:rsidR="00CE02DD">
              <w:t xml:space="preserve"> nosakot, ka ostas pārvaldes funkcijas, uzdevumus un pienākumus Ventspils ostā veic Ministru kabineta noteiktā valsts kapitālsabiedrība, kura atrodas Satiksmes ministrijas pārraudzībā attiecībā uz šajā likumā un</w:t>
            </w:r>
            <w:r w:rsidRPr="005578E7" w:rsidR="00AA12CA">
              <w:t xml:space="preserve"> </w:t>
            </w:r>
            <w:hyperlink w:tgtFrame="_blank" w:history="1" r:id="rId9">
              <w:r w:rsidRPr="005578E7" w:rsidR="00CE02DD">
                <w:t>Ventspils brīvostas likumā</w:t>
              </w:r>
            </w:hyperlink>
            <w:r w:rsidRPr="005578E7" w:rsidR="00AA12CA">
              <w:t xml:space="preserve"> </w:t>
            </w:r>
            <w:r w:rsidRPr="005578E7" w:rsidR="00CE02DD">
              <w:t>noteikto ostas pārvaldes funkciju, uzdevumu un pienākumu īstenošanu un kuras kapitāla daļas (akcijas) nav atsavināmas vai ieķīlājamas</w:t>
            </w:r>
            <w:r w:rsidRPr="005578E7" w:rsidR="00AA12CA">
              <w:t>.</w:t>
            </w:r>
          </w:p>
          <w:p w:rsidRPr="005578E7" w:rsidR="00AA12CA" w:rsidP="005C457A" w:rsidRDefault="00AA12CA" w14:paraId="4818CE16" w14:textId="185AD559">
            <w:pPr>
              <w:pStyle w:val="ListParagraph"/>
              <w:ind w:left="0" w:firstLine="375"/>
              <w:jc w:val="both"/>
            </w:pPr>
            <w:r w:rsidRPr="005578E7">
              <w:t>Ar Ministru kabineta 2019.gada 18.decembra rīkojumu Nr.640 “Par valsts akciju sabiedrības “Ventas osta” dibināšanu nolemts dibināt valsts akciju sabiedrību “Ventas osta”. Akciju sabiedrība “Ventas osta”</w:t>
            </w:r>
            <w:r w:rsidR="00E930B4">
              <w:t xml:space="preserve"> (turpmāk - AS “Ventas osta”)</w:t>
            </w:r>
            <w:r w:rsidRPr="005578E7">
              <w:t xml:space="preserve"> 2019.gada 27.decembrī reģistrēta Komercreģistrā. </w:t>
            </w:r>
          </w:p>
          <w:p w:rsidRPr="005578E7" w:rsidR="00AA12CA" w:rsidP="005C457A" w:rsidRDefault="00AA12CA" w14:paraId="070C15DF" w14:textId="3D9E6E74">
            <w:pPr>
              <w:pStyle w:val="ListParagraph"/>
              <w:ind w:left="0" w:firstLine="375"/>
              <w:jc w:val="both"/>
            </w:pPr>
            <w:r w:rsidRPr="005578E7">
              <w:t>Atbilstoši grozījumiem Likuma par ostām</w:t>
            </w:r>
            <w:r w:rsidR="00F038E0">
              <w:t>,</w:t>
            </w:r>
            <w:r w:rsidRPr="005578E7">
              <w:t xml:space="preserve"> pārejas noteikumu 15.punktā noteikts,</w:t>
            </w:r>
            <w:r w:rsidRPr="005578E7" w:rsidR="00805F62">
              <w:t xml:space="preserve"> ka</w:t>
            </w:r>
            <w:r w:rsidRPr="005578E7">
              <w:t xml:space="preserve"> līdz dienai, kad </w:t>
            </w:r>
            <w:r w:rsidRPr="005578E7" w:rsidR="002B6B86">
              <w:t>stāsies</w:t>
            </w:r>
            <w:r w:rsidRPr="005578E7">
              <w:t xml:space="preserve"> spēkā likums, ar kuru </w:t>
            </w:r>
            <w:r w:rsidRPr="005578E7" w:rsidR="002B6B86">
              <w:t>tiks</w:t>
            </w:r>
            <w:r w:rsidRPr="005578E7">
              <w:t xml:space="preserve"> mainīts Latvijas ostu pārvaldības modelis atbilstoši </w:t>
            </w:r>
            <w:r w:rsidRPr="005578E7" w:rsidR="00FC7C3F">
              <w:t>labas pārvaldības principiem</w:t>
            </w:r>
            <w:r w:rsidRPr="005578E7">
              <w:t xml:space="preserve">, Ventspils ostas pārvalde (atvasināta publisko tiesību juridiskā persona) darbojas, ievērojot </w:t>
            </w:r>
            <w:r w:rsidRPr="005578E7" w:rsidR="00255439">
              <w:t xml:space="preserve">šajā punktā minētos </w:t>
            </w:r>
            <w:r w:rsidRPr="005578E7">
              <w:t>nosacījumus</w:t>
            </w:r>
            <w:r w:rsidRPr="005578E7" w:rsidR="00255439">
              <w:t>, tostarp nosacījumu, ka  likuma </w:t>
            </w:r>
            <w:hyperlink w:history="1" w:anchor="p7" r:id="rId10">
              <w:r w:rsidRPr="005578E7" w:rsidR="00255439">
                <w:t>7.</w:t>
              </w:r>
            </w:hyperlink>
            <w:r w:rsidRPr="005578E7" w:rsidR="00255439">
              <w:t> panta trešās daļas 2., 3., 4., 8. un 9. punktā minētās funkcijas veic Ventspils ostas pārvalde (atvasināta publisko tiesību juridiskā persona) un šā likuma </w:t>
            </w:r>
            <w:hyperlink w:history="1" w:anchor="p7" r:id="rId11">
              <w:r w:rsidRPr="005578E7" w:rsidR="00255439">
                <w:t>7.</w:t>
              </w:r>
            </w:hyperlink>
            <w:r w:rsidRPr="005578E7" w:rsidR="00255439">
              <w:t> panta 1.</w:t>
            </w:r>
            <w:r w:rsidRPr="005578E7" w:rsidR="00255439">
              <w:rPr>
                <w:vertAlign w:val="superscript"/>
              </w:rPr>
              <w:t>2</w:t>
            </w:r>
            <w:r w:rsidRPr="005578E7" w:rsidR="00255439">
              <w:t> daļā minētā valsts kapitālsabiedrība. Vienlaikus minētajā pārejas noteikumu punktā dots deleģējums Ministru kabinetam paredzēt nosacījumus un kārtību, kādā Ventspils ostas pārvalde (atvasināta publisko tiesību juridiskā persona) un šā likuma </w:t>
            </w:r>
            <w:hyperlink w:history="1" w:anchor="p7" r:id="rId12">
              <w:r w:rsidRPr="005578E7" w:rsidR="00255439">
                <w:t>7.</w:t>
              </w:r>
            </w:hyperlink>
            <w:r w:rsidRPr="005578E7" w:rsidR="00255439">
              <w:t> panta 1.</w:t>
            </w:r>
            <w:r w:rsidRPr="005578E7" w:rsidR="00255439">
              <w:rPr>
                <w:vertAlign w:val="superscript"/>
              </w:rPr>
              <w:t>2</w:t>
            </w:r>
            <w:r w:rsidRPr="005578E7" w:rsidR="00255439">
              <w:t> daļā minētā valsts kapitālsabiedrība</w:t>
            </w:r>
            <w:r w:rsidRPr="005578E7" w:rsidR="00805F62">
              <w:t xml:space="preserve"> (AS “Ventas osta”)</w:t>
            </w:r>
            <w:r w:rsidRPr="005578E7" w:rsidR="00255439">
              <w:t xml:space="preserve"> veic šajā apakšpunktā minētās funkcijas. Minētie noteikumi Ministru kabinetam jāizdod līdz 2020. gada 1. februārim.</w:t>
            </w:r>
          </w:p>
          <w:p w:rsidRPr="005578E7" w:rsidR="00F53B29" w:rsidP="005C457A" w:rsidRDefault="00F53B29" w14:paraId="739220C4" w14:textId="77777777">
            <w:pPr>
              <w:pStyle w:val="ListParagraph"/>
              <w:ind w:left="0" w:firstLine="375"/>
              <w:jc w:val="both"/>
            </w:pPr>
          </w:p>
          <w:p w:rsidRPr="005578E7" w:rsidR="00FC7C3F" w:rsidP="005C457A" w:rsidRDefault="00FC7C3F" w14:paraId="69B1EF34" w14:textId="55E4C52A">
            <w:pPr>
              <w:pStyle w:val="ListParagraph"/>
              <w:ind w:left="0" w:firstLine="375"/>
              <w:jc w:val="both"/>
            </w:pPr>
            <w:r w:rsidRPr="005578E7">
              <w:lastRenderedPageBreak/>
              <w:t xml:space="preserve">Ievērojot to, ka atbilstoši Likuma par ostām </w:t>
            </w:r>
            <w:hyperlink w:history="1" w:anchor="p7" r:id="rId13">
              <w:r w:rsidRPr="005578E7">
                <w:t>7.</w:t>
              </w:r>
            </w:hyperlink>
            <w:r w:rsidRPr="005578E7">
              <w:t> panta 1.</w:t>
            </w:r>
            <w:r w:rsidRPr="005578E7">
              <w:rPr>
                <w:vertAlign w:val="superscript"/>
              </w:rPr>
              <w:t>2</w:t>
            </w:r>
            <w:r w:rsidRPr="005578E7">
              <w:t xml:space="preserve"> daļā noteiktajam ostas pārvaldes funkcijas, uzdevumus un pienākumus Ventspils ostā veic AS “Ventas osta”, Noteikumu projektā jāietver regulējums, lai </w:t>
            </w:r>
            <w:r w:rsidR="00DB547D">
              <w:t>noteiktu to, kā</w:t>
            </w:r>
            <w:r w:rsidRPr="005578E7">
              <w:t xml:space="preserve"> Ventspils brīvostas pārvalde pild</w:t>
            </w:r>
            <w:r w:rsidR="00DB547D">
              <w:t>a</w:t>
            </w:r>
            <w:r w:rsidRPr="005578E7">
              <w:t xml:space="preserve"> likuma</w:t>
            </w:r>
            <w:r w:rsidR="00DB547D">
              <w:t xml:space="preserve"> </w:t>
            </w:r>
            <w:hyperlink w:history="1" w:anchor="p7" r:id="rId14">
              <w:r w:rsidRPr="005578E7">
                <w:t>7.</w:t>
              </w:r>
            </w:hyperlink>
            <w:r w:rsidRPr="005578E7">
              <w:t xml:space="preserve"> panta trešās daļas 2., 3., 4., 8. un 9. punktā minētās ostas pārvaldes funkcijas </w:t>
            </w:r>
            <w:r w:rsidR="00DB547D">
              <w:t>vienlaikus ar</w:t>
            </w:r>
            <w:r w:rsidRPr="005578E7">
              <w:t xml:space="preserve"> AS “Ventas osta”. Minētās funkcijas galvenokārt ir saistītas ar ostas pārvaldes valdījumā nodotā nekustamā īpašuma, infrastruktūras, akvatorijas pārvaldī</w:t>
            </w:r>
            <w:r w:rsidRPr="005578E7" w:rsidR="006A18FD">
              <w:t>šanu,</w:t>
            </w:r>
            <w:r w:rsidRPr="005578E7">
              <w:t xml:space="preserve"> apsaimniekošanu, </w:t>
            </w:r>
            <w:r w:rsidRPr="005578E7" w:rsidR="00D23DC3">
              <w:t xml:space="preserve">uzturēšanu un </w:t>
            </w:r>
            <w:r w:rsidRPr="005578E7" w:rsidR="006A18FD">
              <w:t>attīstību</w:t>
            </w:r>
            <w:r w:rsidRPr="005578E7" w:rsidR="00D23DC3">
              <w:t xml:space="preserve">, kā arī </w:t>
            </w:r>
            <w:r w:rsidRPr="005578E7" w:rsidR="006A18FD">
              <w:t>ostas pārvaldes finanšu līdzekļu plānošanu</w:t>
            </w:r>
            <w:r w:rsidRPr="005578E7" w:rsidR="00E10724">
              <w:t>.</w:t>
            </w:r>
          </w:p>
          <w:p w:rsidRPr="005578E7" w:rsidR="00B77D5C" w:rsidP="005C457A" w:rsidRDefault="00DB547D" w14:paraId="528FDFC4" w14:textId="188491EB">
            <w:pPr>
              <w:pStyle w:val="ListParagraph"/>
              <w:ind w:left="0" w:firstLine="375"/>
              <w:jc w:val="both"/>
            </w:pPr>
            <w:r>
              <w:t>Minētā sakarā</w:t>
            </w:r>
            <w:r w:rsidRPr="005578E7">
              <w:t xml:space="preserve"> </w:t>
            </w:r>
            <w:r w:rsidRPr="005578E7" w:rsidR="00FC7C3F">
              <w:t>jāņem vērā, ka Ventspils brīvostas pārvalde šo funkciju veikšanas</w:t>
            </w:r>
            <w:r w:rsidRPr="005578E7" w:rsidR="006A18FD">
              <w:t xml:space="preserve"> ietvaros līdz šim ir rīkojusies, slēdzot līgumus gan par valsts un pašvaldības nekustamā īpašuma lietošanu, apbūvi, gan arī pati īstenojusi dažādus attīstības projektus. Līdz ar to, lai </w:t>
            </w:r>
            <w:r w:rsidR="00F038E0">
              <w:t>pārņemtu</w:t>
            </w:r>
            <w:r w:rsidRPr="005578E7" w:rsidR="00F038E0">
              <w:t xml:space="preserve"> </w:t>
            </w:r>
            <w:r w:rsidRPr="005578E7" w:rsidR="006A18FD">
              <w:t xml:space="preserve">visas ar Ventspils brīvostas pārvaldi nodibinātās saistības, ir nepieciešams </w:t>
            </w:r>
            <w:r w:rsidRPr="005578E7" w:rsidR="00E10724">
              <w:t>pārejas periods</w:t>
            </w:r>
            <w:r w:rsidRPr="005578E7" w:rsidR="006A18FD">
              <w:t>, lai izvērtētu nodibinātās saistības</w:t>
            </w:r>
            <w:r w:rsidR="00F038E0">
              <w:t>, nodotu valdījumā nekustamos īpašumus</w:t>
            </w:r>
            <w:r w:rsidRPr="005578E7" w:rsidR="006A18FD">
              <w:t xml:space="preserve"> un risinātu jautājumu par saistību </w:t>
            </w:r>
            <w:r w:rsidR="00F038E0">
              <w:t xml:space="preserve">nodibināšanu ar </w:t>
            </w:r>
            <w:r w:rsidRPr="005578E7" w:rsidR="006A18FD">
              <w:t xml:space="preserve">AS “Ventas osta” kā institūciju, kas veiks Ventspils ostas pārvaldes funkcijas. </w:t>
            </w:r>
            <w:r>
              <w:t xml:space="preserve">Vienlaikus jāņem vērā, ka šobrīd nav pieņemts lēmums par Ventspils brīvostas pārvaldes turpmāko darbību. </w:t>
            </w:r>
          </w:p>
          <w:p w:rsidR="00A63A36" w:rsidP="005C457A" w:rsidRDefault="00B77D5C" w14:paraId="1F268CE4" w14:textId="30DE9214">
            <w:pPr>
              <w:pStyle w:val="ListParagraph"/>
              <w:ind w:left="0" w:firstLine="375"/>
              <w:jc w:val="both"/>
            </w:pPr>
            <w:r w:rsidRPr="005578E7">
              <w:t xml:space="preserve">Ievērojot minēto, noteikumu projektā tiek paredzēts, ka </w:t>
            </w:r>
            <w:r w:rsidRPr="005578E7" w:rsidR="005578E7">
              <w:t xml:space="preserve">Likuma par ostām </w:t>
            </w:r>
            <w:hyperlink w:history="1" w:anchor="p7" r:id="rId15">
              <w:r w:rsidRPr="005578E7" w:rsidR="005578E7">
                <w:t>7.</w:t>
              </w:r>
            </w:hyperlink>
            <w:r w:rsidRPr="005578E7" w:rsidR="005578E7">
              <w:t>panta trešās daļas 3., 8. un 9.punktā minētās ostas pārvaldes funkcijas</w:t>
            </w:r>
            <w:r w:rsidRPr="005578E7">
              <w:t xml:space="preserve"> ir tiesīga veikt AS “Ventas osta” attiecībā uz</w:t>
            </w:r>
            <w:r w:rsidRPr="005578E7" w:rsidR="00A63A36">
              <w:t xml:space="preserve"> </w:t>
            </w:r>
            <w:r w:rsidRPr="005578E7">
              <w:t xml:space="preserve">tai valdījumā, pārvaldīšanā, </w:t>
            </w:r>
            <w:r w:rsidRPr="005578E7" w:rsidR="00A63A36">
              <w:t xml:space="preserve">vai apsaimniekošanā esošo nekustamo īpašumu, kustamo īpašumu, infrastruktūru. </w:t>
            </w:r>
            <w:r w:rsidRPr="005578E7" w:rsidR="000E4591">
              <w:t>Vienlaikus noteikumu projektā noteikts, ka AS “Ventas osta” nodrošina infrastruktūras attīstību, kā arī</w:t>
            </w:r>
            <w:r w:rsidR="00927D08">
              <w:t>, par to informējot Ventspils brīvostas pārvaldi,</w:t>
            </w:r>
            <w:r w:rsidRPr="005578E7" w:rsidR="000E4591">
              <w:t xml:space="preserve"> nepieciešamības gadījumā ostas darbības nepārtrauktības nodrošināšanai veic ar ostas darbību saistītās infrastruktūras uzturēšanu darba kārtībā arī gadījumā, ja attiecīgais infrastruktūras objekts atrodas Ventspils brīvostas pārvaldes valdījumā</w:t>
            </w:r>
            <w:r w:rsidR="00927D08">
              <w:t xml:space="preserve">, bet </w:t>
            </w:r>
            <w:r w:rsidRPr="00191E48" w:rsidR="00927D08">
              <w:t xml:space="preserve">Ventspils brīvostas </w:t>
            </w:r>
            <w:r w:rsidRPr="00E35F1C" w:rsidR="00927D08">
              <w:t xml:space="preserve">pārvalde </w:t>
            </w:r>
            <w:r w:rsidRPr="00EB2BE8" w:rsidR="00927D08">
              <w:t>attiecīgi nerīkojas vai rīkojas nepietiekami ātri</w:t>
            </w:r>
            <w:r w:rsidRPr="00E35F1C" w:rsidR="00E35F1C">
              <w:t>.</w:t>
            </w:r>
          </w:p>
          <w:p w:rsidRPr="005578E7" w:rsidR="00FC7C3F" w:rsidP="005C457A" w:rsidRDefault="00A63A36" w14:paraId="4C94FC68" w14:textId="7BDA009F">
            <w:pPr>
              <w:pStyle w:val="ListParagraph"/>
              <w:ind w:left="0" w:firstLine="375"/>
              <w:jc w:val="both"/>
            </w:pPr>
            <w:r w:rsidRPr="005578E7">
              <w:t>Savukārt</w:t>
            </w:r>
            <w:r w:rsidRPr="005578E7" w:rsidR="00B77D5C">
              <w:t xml:space="preserve"> Ventspils brīvostas pārvalde</w:t>
            </w:r>
            <w:r w:rsidRPr="005578E7">
              <w:t>i paredzētas š</w:t>
            </w:r>
            <w:r w:rsidRPr="005578E7" w:rsidR="003E0828">
              <w:t>ādas funkcijas</w:t>
            </w:r>
            <w:r w:rsidRPr="005578E7" w:rsidR="00B77D5C">
              <w:t>:</w:t>
            </w:r>
          </w:p>
          <w:p w:rsidRPr="005578E7" w:rsidR="00FC7C3F" w:rsidP="003E0828" w:rsidRDefault="00E35F1C" w14:paraId="52FB31C6" w14:textId="31CC7A9A">
            <w:pPr>
              <w:pStyle w:val="ListParagraph"/>
              <w:numPr>
                <w:ilvl w:val="0"/>
                <w:numId w:val="19"/>
              </w:numPr>
              <w:jc w:val="both"/>
            </w:pPr>
            <w:r w:rsidRPr="00124951">
              <w:t>Likuma par ostām 7.panta trešās daļas 2.punktā paredzēt</w:t>
            </w:r>
            <w:r>
              <w:t>ā</w:t>
            </w:r>
            <w:r w:rsidRPr="00124951">
              <w:t xml:space="preserve"> funkcij</w:t>
            </w:r>
            <w:r>
              <w:t>a</w:t>
            </w:r>
            <w:r w:rsidRPr="00124951">
              <w:t xml:space="preserve"> – nodrošināt Latvijas Ostu, tranzīta un loģistikas padomē akceptētās ostas attīstības programmas realizāciju –</w:t>
            </w:r>
            <w:r>
              <w:t xml:space="preserve">, </w:t>
            </w:r>
            <w:r w:rsidRPr="00124951">
              <w:t xml:space="preserve">turpinot uzsāktās darbības </w:t>
            </w:r>
            <w:r>
              <w:t xml:space="preserve">Latvijas </w:t>
            </w:r>
            <w:r w:rsidRPr="00124951">
              <w:t>ost</w:t>
            </w:r>
            <w:r>
              <w:t>u</w:t>
            </w:r>
            <w:r w:rsidRPr="00124951">
              <w:t xml:space="preserve"> attīstības programmā</w:t>
            </w:r>
            <w:r>
              <w:t xml:space="preserve"> 2014.-2020.gadam</w:t>
            </w:r>
            <w:r w:rsidRPr="00124951">
              <w:t xml:space="preserve"> paredzēto projektu realizācijas ietvaros.</w:t>
            </w:r>
          </w:p>
          <w:p w:rsidRPr="005578E7" w:rsidR="003E0828" w:rsidP="003E0828" w:rsidRDefault="00493525" w14:paraId="311B7160" w14:textId="3D9087EF">
            <w:pPr>
              <w:pStyle w:val="ListParagraph"/>
              <w:numPr>
                <w:ilvl w:val="0"/>
                <w:numId w:val="19"/>
              </w:numPr>
              <w:jc w:val="both"/>
            </w:pPr>
            <w:r w:rsidRPr="005578E7">
              <w:t>Apsaimniekot un rīkoties ar k</w:t>
            </w:r>
            <w:r w:rsidRPr="005578E7" w:rsidR="003E0828">
              <w:t>ustamo un nekustamo īpašumu</w:t>
            </w:r>
            <w:r w:rsidRPr="005578E7" w:rsidR="000E4591">
              <w:t xml:space="preserve"> un infrastruktūru,</w:t>
            </w:r>
            <w:r w:rsidRPr="005578E7">
              <w:t xml:space="preserve"> kas atrodas tās valdījumā, pārvaldīšanā vai apsaimniekošanā. </w:t>
            </w:r>
          </w:p>
          <w:p w:rsidRPr="00124951" w:rsidR="00F90112" w:rsidP="00F90112" w:rsidRDefault="00F90112" w14:paraId="3134B4DB" w14:textId="4DF07C12">
            <w:pPr>
              <w:pStyle w:val="NormalWeb"/>
              <w:spacing w:before="0" w:beforeAutospacing="0" w:after="0" w:afterAutospacing="0"/>
              <w:ind w:right="13"/>
              <w:jc w:val="both"/>
            </w:pPr>
            <w:r>
              <w:t>Attiecībā uz Likum</w:t>
            </w:r>
            <w:r w:rsidRPr="00124951">
              <w:t>a par ostām 7.panta trešās daļas 2.punktā paredzēt</w:t>
            </w:r>
            <w:r>
              <w:t>o</w:t>
            </w:r>
            <w:r w:rsidRPr="00124951">
              <w:t xml:space="preserve"> funkcij</w:t>
            </w:r>
            <w:r>
              <w:t>u</w:t>
            </w:r>
            <w:r w:rsidRPr="00124951">
              <w:t xml:space="preserve"> – nodrošināt Latvijas Ostu, tranzīta un loģistikas padomē akceptētās ostas attīstības programmas realizāciju</w:t>
            </w:r>
            <w:r>
              <w:t>-, jānorāda, ka s</w:t>
            </w:r>
            <w:r w:rsidRPr="00124951">
              <w:t xml:space="preserve">askaņā ar Latvijas Ostu, tranzīta un </w:t>
            </w:r>
            <w:r w:rsidRPr="00124951">
              <w:lastRenderedPageBreak/>
              <w:t>loģistikas padomes 2015.gada 15.aprīļa sēdē apstiprināto “Latvijas ostu attīstības programmu 2014.-2020.gadam</w:t>
            </w:r>
            <w:r w:rsidR="00E930B4">
              <w:t>”</w:t>
            </w:r>
            <w:r w:rsidRPr="00124951">
              <w:t xml:space="preserve"> Ventspils brīvostā paredzēta šādu projektu realizācija:</w:t>
            </w:r>
          </w:p>
          <w:p w:rsidRPr="00124951" w:rsidR="00F90112" w:rsidP="00F90112" w:rsidRDefault="00F90112" w14:paraId="4E0B09C7" w14:textId="77777777">
            <w:pPr>
              <w:pStyle w:val="NormalWeb"/>
              <w:spacing w:before="0" w:beforeAutospacing="0" w:after="0" w:afterAutospacing="0"/>
              <w:ind w:right="13"/>
              <w:jc w:val="both"/>
            </w:pPr>
            <w:r w:rsidRPr="00124951">
              <w:t xml:space="preserve">   1. Tilta terminālis;</w:t>
            </w:r>
          </w:p>
          <w:p w:rsidRPr="00124951" w:rsidR="00F90112" w:rsidP="00F90112" w:rsidRDefault="00F90112" w14:paraId="1882F76E" w14:textId="77777777">
            <w:pPr>
              <w:pStyle w:val="NormalWeb"/>
              <w:spacing w:before="0" w:beforeAutospacing="0" w:after="0" w:afterAutospacing="0"/>
              <w:ind w:right="13"/>
              <w:jc w:val="both"/>
            </w:pPr>
            <w:r w:rsidRPr="00124951">
              <w:t xml:space="preserve">   2. Pievedceļu būvniecība un atjaunošana Ventspils brīvostas teritorijā esošajiem termināliem un industriālajām zonām;</w:t>
            </w:r>
          </w:p>
          <w:p w:rsidRPr="00124951" w:rsidR="00F90112" w:rsidP="00F90112" w:rsidRDefault="00F90112" w14:paraId="735AEC28" w14:textId="77777777">
            <w:pPr>
              <w:pStyle w:val="NormalWeb"/>
              <w:spacing w:before="0" w:beforeAutospacing="0" w:after="0" w:afterAutospacing="0"/>
              <w:ind w:right="13"/>
              <w:jc w:val="both"/>
            </w:pPr>
            <w:r w:rsidRPr="00124951">
              <w:t xml:space="preserve">   3. Ventspils rūpnieciskā parka infrastruktūras attīstība, tai skaitā ražošanas ēku būvniecība;</w:t>
            </w:r>
          </w:p>
          <w:p w:rsidRPr="00124951" w:rsidR="00F90112" w:rsidP="00F90112" w:rsidRDefault="00F90112" w14:paraId="0222B964" w14:textId="77777777">
            <w:pPr>
              <w:pStyle w:val="NormalWeb"/>
              <w:spacing w:before="0" w:beforeAutospacing="0" w:after="0" w:afterAutospacing="0"/>
              <w:ind w:right="13"/>
              <w:jc w:val="both"/>
            </w:pPr>
            <w:r w:rsidRPr="00124951">
              <w:t xml:space="preserve">   4. Esošo objektu paplašināšana un atjaunošana, tajā skaitā molu kapitālie remonti;</w:t>
            </w:r>
          </w:p>
          <w:p w:rsidRPr="00124951" w:rsidR="00F90112" w:rsidP="00F90112" w:rsidRDefault="00F90112" w14:paraId="092ED260" w14:textId="77777777">
            <w:pPr>
              <w:pStyle w:val="NormalWeb"/>
              <w:spacing w:before="0" w:beforeAutospacing="0" w:after="0" w:afterAutospacing="0"/>
              <w:ind w:right="13"/>
              <w:jc w:val="both"/>
            </w:pPr>
            <w:r w:rsidRPr="00124951">
              <w:t xml:space="preserve">   5. Ostas akvatorijas padziļināšanai nepieciešamā grunts sūcēja iegāde;</w:t>
            </w:r>
          </w:p>
          <w:p w:rsidRPr="00124951" w:rsidR="00F90112" w:rsidP="00F90112" w:rsidRDefault="00F90112" w14:paraId="64496453" w14:textId="77777777">
            <w:pPr>
              <w:pStyle w:val="NormalWeb"/>
              <w:spacing w:before="0" w:beforeAutospacing="0" w:after="0" w:afterAutospacing="0"/>
              <w:ind w:right="13"/>
              <w:jc w:val="both"/>
            </w:pPr>
            <w:r w:rsidRPr="00124951">
              <w:t xml:space="preserve">   6. Ziemeļu ostas būvniecība ar dziļumu līdz 17m.</w:t>
            </w:r>
          </w:p>
          <w:p w:rsidR="00CE02DD" w:rsidP="001F3CE2" w:rsidRDefault="00F90112" w14:paraId="13C2D5C1" w14:textId="1AADC51B">
            <w:pPr>
              <w:jc w:val="both"/>
            </w:pPr>
            <w:r w:rsidRPr="00124951">
              <w:t>Tā kā Ventspils brīvostas pārvalde ir uzsākusi un turpina realizēt minētos projektus atbilstoši noslēgtiem līgumiem, tad arī turpmāk par šiem projektiem un to realizāciju atbild</w:t>
            </w:r>
            <w:r>
              <w:t xml:space="preserve">ēs </w:t>
            </w:r>
            <w:r w:rsidRPr="00124951">
              <w:t xml:space="preserve"> Ventspils brīvostas pārvalde. </w:t>
            </w:r>
          </w:p>
          <w:p w:rsidR="00F90112" w:rsidP="005C457A" w:rsidRDefault="00F90112" w14:paraId="503B2BE3" w14:textId="7B6AA34D">
            <w:pPr>
              <w:pStyle w:val="ListParagraph"/>
              <w:ind w:left="0" w:firstLine="375"/>
              <w:jc w:val="both"/>
            </w:pPr>
          </w:p>
          <w:p w:rsidRPr="00AC25E8" w:rsidR="00AC25E8" w:rsidP="005C457A" w:rsidRDefault="009A2920" w14:paraId="4507C273" w14:textId="136427E4">
            <w:pPr>
              <w:pStyle w:val="ListParagraph"/>
              <w:ind w:left="0" w:firstLine="375"/>
              <w:jc w:val="both"/>
            </w:pPr>
            <w:r>
              <w:t>J</w:t>
            </w:r>
            <w:r w:rsidRPr="00AC25E8" w:rsidR="00AC25E8">
              <w:t xml:space="preserve">autājumā par </w:t>
            </w:r>
            <w:r w:rsidRPr="001F3CE2" w:rsidR="00AC25E8">
              <w:t>Likuma par ostām 7.panta trešās daļas 4.punktā minēt</w:t>
            </w:r>
            <w:r w:rsidR="00AC25E8">
              <w:t>o</w:t>
            </w:r>
            <w:r w:rsidRPr="001F3CE2" w:rsidR="00AC25E8">
              <w:t xml:space="preserve"> funkcij</w:t>
            </w:r>
            <w:r w:rsidR="00AC25E8">
              <w:t>u</w:t>
            </w:r>
            <w:r w:rsidRPr="001F3CE2" w:rsidR="00AC25E8">
              <w:t>, t.i. izstrādā</w:t>
            </w:r>
            <w:r w:rsidR="00AC25E8">
              <w:t>t</w:t>
            </w:r>
            <w:r w:rsidRPr="001F3CE2" w:rsidR="00AC25E8">
              <w:t xml:space="preserve"> un apstiprin</w:t>
            </w:r>
            <w:r w:rsidR="00AC25E8">
              <w:t>āt</w:t>
            </w:r>
            <w:r w:rsidRPr="001F3CE2" w:rsidR="00AC25E8">
              <w:t xml:space="preserve"> ostas pārvaldes nolikumā noteiktajā kārtībā finanšu līdzekļu izlietojuma tāmes </w:t>
            </w:r>
            <w:r w:rsidRPr="00EB2BE8" w:rsidR="00AC25E8">
              <w:t xml:space="preserve">projektu nākamajam kalendārajam gadam un turpmākajiem pieciem gadiem un, ja nepieciešams, precizējumus iepriekšējā gadā iesniegtajā perspektīvajā finanšu līdzekļu izlietojuma tāmē, jānorāda, ka </w:t>
            </w:r>
            <w:r w:rsidRPr="00EB2BE8" w:rsidR="00AC25E8">
              <w:rPr>
                <w:bCs/>
              </w:rPr>
              <w:t>2019.gada novembrī tika apstiprināts Ventspils brīvostas pārvaldes budžets 2020.gadam. Pamatojoties uz to, tiks nodrošināta funkciju izpilde. Savukārt AS “Ventas osta” darbosies</w:t>
            </w:r>
            <w:r w:rsidRPr="00EB2BE8" w:rsidR="00EB2BE8">
              <w:rPr>
                <w:bCs/>
              </w:rPr>
              <w:t>, ņemot vērā</w:t>
            </w:r>
            <w:r w:rsidRPr="00EB2BE8" w:rsidR="00AC25E8">
              <w:rPr>
                <w:bCs/>
              </w:rPr>
              <w:t xml:space="preserve"> Ventspils brīvostas pārvaldes apstiprināto budžetu.</w:t>
            </w:r>
          </w:p>
          <w:p w:rsidRPr="005578E7" w:rsidR="00AC25E8" w:rsidP="005C457A" w:rsidRDefault="00AC25E8" w14:paraId="16C97A5A" w14:textId="77777777">
            <w:pPr>
              <w:pStyle w:val="ListParagraph"/>
              <w:ind w:left="0" w:firstLine="375"/>
              <w:jc w:val="both"/>
            </w:pPr>
          </w:p>
          <w:p w:rsidR="000E4591" w:rsidP="005C457A" w:rsidRDefault="005E52E5" w14:paraId="78A24783" w14:textId="1870BEDE">
            <w:pPr>
              <w:pStyle w:val="ListParagraph"/>
              <w:ind w:left="0" w:firstLine="375"/>
              <w:jc w:val="both"/>
            </w:pPr>
            <w:bookmarkStart w:name="_Hlk31969457" w:id="0"/>
            <w:r w:rsidRPr="008D1E3B">
              <w:t xml:space="preserve">Līdz jaunā ostu pārvaldības modeļa noteikšanai, kā rezultātā tiktu pieņemts lēmums par Ventspils brīvostas pārvaldes  reorganizāciju vai likvidāciju, nepieciešams noteikt procedūru par sadarbību starp Ventspils brīvostas pārvaldi un akciju sabiedrību “Ventas osta”, lai veiktu Ventspils brīvostas valdījumā nodotās un īpašumā esošās kustamās un nekustamās mantas inventarizāciju un  sagatavotu priekšlikumus Satiksmes ministrijai par valsts zemes, akvatorijas un ostas kopējo hidrotehnisko būvju nodošanu valdījumā </w:t>
            </w:r>
            <w:r w:rsidR="00E930B4">
              <w:t>AS</w:t>
            </w:r>
            <w:r w:rsidRPr="008D1E3B">
              <w:t xml:space="preserve"> “Ventas osta”.</w:t>
            </w:r>
            <w:r>
              <w:t xml:space="preserve"> Ievērojot minēto, projektā ietverta norma, kas  paredz </w:t>
            </w:r>
            <w:r w:rsidRPr="008D1E3B">
              <w:t>izveido</w:t>
            </w:r>
            <w:r>
              <w:t>t</w:t>
            </w:r>
            <w:r w:rsidRPr="008D1E3B">
              <w:t xml:space="preserve"> </w:t>
            </w:r>
            <w:r>
              <w:t xml:space="preserve">Ventspils brīvostas pārvaldes un AS “Ventas osta” </w:t>
            </w:r>
            <w:r w:rsidRPr="008D1E3B">
              <w:t>kopīgu komisiju, kas veic Ventspils brīvostas</w:t>
            </w:r>
            <w:r w:rsidR="00D42E36">
              <w:t xml:space="preserve"> pārvaldes</w:t>
            </w:r>
            <w:r w:rsidRPr="008D1E3B">
              <w:t xml:space="preserve"> valdījumā nodotās un īpašumā esošās kustamās un nekustamās mantas inventarizāciju un sagatavo priekšlikumus Satiksmes ministrijai par valsts zemes, akvatorijas un ostas kopējo hidrotehnisko būvju nodošanu valdījumā akciju sabiedrībai “Ventas osta”</w:t>
            </w:r>
            <w:r>
              <w:t>.</w:t>
            </w:r>
            <w:r w:rsidRPr="005578E7" w:rsidR="00E17CD8">
              <w:t xml:space="preserve"> </w:t>
            </w:r>
          </w:p>
          <w:bookmarkEnd w:id="0"/>
          <w:p w:rsidR="006F4155" w:rsidP="005C457A" w:rsidRDefault="006F4155" w14:paraId="725D79E9" w14:textId="60B936C1">
            <w:pPr>
              <w:pStyle w:val="ListParagraph"/>
              <w:ind w:left="0" w:firstLine="375"/>
              <w:jc w:val="both"/>
            </w:pPr>
            <w:r>
              <w:t xml:space="preserve">Jautājumā par valsts nekustamā īpašuma nodošanu AS “Ventas osta” valdījumā, jānorāda, ka nekustamie īpašumi tiks nodoti AS “Ventas osta” ostas infrastruktūras uzturēšanai atbilstoši Likuma par ostām 4.panta trešajai daļai. </w:t>
            </w:r>
            <w:r w:rsidR="0091551B">
              <w:t xml:space="preserve">Līdz </w:t>
            </w:r>
            <w:r>
              <w:t xml:space="preserve"> attiecīg</w:t>
            </w:r>
            <w:r w:rsidR="005E52E5">
              <w:t>a</w:t>
            </w:r>
            <w:r>
              <w:t xml:space="preserve"> lēmuma pieņemšanas tiks vērtēti visi aspekti, ievērojot </w:t>
            </w:r>
            <w:r>
              <w:lastRenderedPageBreak/>
              <w:t>arī komercdarbības atbalsta kontroles regulējumu.</w:t>
            </w:r>
            <w:r w:rsidR="007E6EDA">
              <w:t xml:space="preserve"> </w:t>
            </w:r>
            <w:r w:rsidR="00441575">
              <w:t xml:space="preserve">Nekustamie īpašumi AS “Ventas osta” tiks nodoti pēc veiktajām konsultācijām </w:t>
            </w:r>
            <w:r w:rsidR="00000B4F">
              <w:t>ar Eiropas komisijas atbildīgajiem speciālistiem</w:t>
            </w:r>
            <w:r w:rsidR="00441575">
              <w:t xml:space="preserve"> par rīcības atbilstību komercdarbības atbalsta kontroles regulējumam. </w:t>
            </w:r>
          </w:p>
          <w:p w:rsidRPr="005578E7" w:rsidR="006F4155" w:rsidP="005C457A" w:rsidRDefault="006F4155" w14:paraId="27045849" w14:textId="77777777">
            <w:pPr>
              <w:pStyle w:val="ListParagraph"/>
              <w:ind w:left="0" w:firstLine="375"/>
              <w:jc w:val="both"/>
            </w:pPr>
          </w:p>
          <w:p w:rsidRPr="005578E7" w:rsidR="00E41664" w:rsidP="005C457A" w:rsidRDefault="00B60913" w14:paraId="32CC0D98" w14:textId="0757337D">
            <w:pPr>
              <w:pStyle w:val="ListParagraph"/>
              <w:ind w:left="0" w:firstLine="375"/>
              <w:jc w:val="both"/>
            </w:pPr>
            <w:bookmarkStart w:name="_Hlk31970173" w:id="1"/>
            <w:r w:rsidRPr="005578E7">
              <w:t xml:space="preserve">Vienlaikus, lai nodrošinātu Ventspils ostas darbības nepārtrauktību, noteikumu projektā iekļauta norma, </w:t>
            </w:r>
            <w:r w:rsidR="00511C96">
              <w:t>saskaņā ar kuru</w:t>
            </w:r>
            <w:r w:rsidRPr="005578E7">
              <w:t xml:space="preserve"> AS “Ventas osta” </w:t>
            </w:r>
            <w:r w:rsidRPr="00E9060A" w:rsidR="00511C96">
              <w:t>sedz izmaksas, kas radušās, nodrošinot Ventspils ostas darbību, un saistītas ar Ventspils brīvostas pārvaldes valdījumā esošās vai pārvaldīšanā vai apsaimniekošanā nodotās infrastruktūras un ar to saistīto aktīvu uzturēšanu un izmantošanu</w:t>
            </w:r>
            <w:r w:rsidR="00511C96">
              <w:t xml:space="preserve">. </w:t>
            </w:r>
            <w:r w:rsidRPr="005578E7">
              <w:t xml:space="preserve">Tādējādi līdz brīdim, kad AS “Ventas osta” būs ieguvusi visus nepieciešamos  resursus (cilvēkresursus, iekārtas, transportlīdzekļus, kā arī nodibinājusi nepieciešamās līgumiskās attiecības ostas pakalpojumu nodrošināšanai), šos </w:t>
            </w:r>
            <w:r w:rsidR="00137FE7">
              <w:t>uzdevumus</w:t>
            </w:r>
            <w:r w:rsidRPr="005578E7" w:rsidR="00137FE7">
              <w:t xml:space="preserve"> </w:t>
            </w:r>
            <w:r w:rsidRPr="005578E7">
              <w:t xml:space="preserve">veiks līdzšinējā ostas pārvaldes funkciju veicēja – Ventspils brīvostas pārvalde. </w:t>
            </w:r>
          </w:p>
          <w:bookmarkEnd w:id="1"/>
          <w:p w:rsidRPr="005578E7" w:rsidR="00E41664" w:rsidP="005C457A" w:rsidRDefault="00E41664" w14:paraId="77873106" w14:textId="1870B45C">
            <w:pPr>
              <w:pStyle w:val="ListParagraph"/>
              <w:ind w:left="0" w:firstLine="375"/>
              <w:jc w:val="both"/>
            </w:pPr>
          </w:p>
          <w:p w:rsidRPr="005578E7" w:rsidR="00C42F5A" w:rsidP="00A13BD5" w:rsidRDefault="00C42F5A" w14:paraId="7A49BFCB" w14:textId="6027E41E">
            <w:pPr>
              <w:pStyle w:val="tv213"/>
              <w:shd w:val="clear" w:color="auto" w:fill="FFFFFF"/>
              <w:spacing w:before="0" w:beforeAutospacing="0" w:after="0" w:afterAutospacing="0" w:line="293" w:lineRule="atLeast"/>
              <w:ind w:firstLine="300"/>
              <w:jc w:val="both"/>
            </w:pPr>
            <w:r w:rsidRPr="005578E7">
              <w:t>Pārejas periodā, līdz visas Ventspils ostas pārvaldes funkcijas pārņems AS “Ventas osta”, t</w:t>
            </w:r>
            <w:r w:rsidRPr="005578E7" w:rsidR="00EC6E86">
              <w:t xml:space="preserve">iks apzināta Ventspils brīvostas pārvaldes </w:t>
            </w:r>
            <w:r w:rsidRPr="005578E7" w:rsidR="00943F8D">
              <w:t xml:space="preserve">manta, aktīvi un </w:t>
            </w:r>
            <w:r w:rsidRPr="005578E7" w:rsidR="00EC6E86">
              <w:t xml:space="preserve">saistības, t.sk. ar nomniekiem, pakalpojumu sniedzējiem, kreditoriem, investoriem, valsts un pašvaldības institūcijām, lai noteiktu saistību raksturu, apmēru, pielīgtos apgrūtinājumus u.c. </w:t>
            </w:r>
          </w:p>
          <w:p w:rsidRPr="005578E7" w:rsidR="00C42F5A" w:rsidP="00A13BD5" w:rsidRDefault="00C42F5A" w14:paraId="5CEE3EB8" w14:textId="2E4B6950">
            <w:pPr>
              <w:pStyle w:val="tv213"/>
              <w:shd w:val="clear" w:color="auto" w:fill="FFFFFF"/>
              <w:spacing w:before="0" w:beforeAutospacing="0" w:after="0" w:afterAutospacing="0" w:line="293" w:lineRule="atLeast"/>
              <w:ind w:firstLine="300"/>
              <w:jc w:val="both"/>
            </w:pPr>
            <w:r w:rsidRPr="005578E7">
              <w:t xml:space="preserve">Pēc saistību apzināšanas, tās pakāpeniski tiks inventarizētas un </w:t>
            </w:r>
            <w:r w:rsidR="00E70BC7">
              <w:t>nodibinātas</w:t>
            </w:r>
            <w:r w:rsidRPr="005578E7" w:rsidR="00E70BC7">
              <w:t xml:space="preserve"> </w:t>
            </w:r>
            <w:r w:rsidRPr="005578E7">
              <w:t xml:space="preserve">ar AS “Ventas osta”. </w:t>
            </w:r>
          </w:p>
          <w:p w:rsidRPr="005578E7" w:rsidR="00B159D7" w:rsidP="00621F6A" w:rsidRDefault="00B159D7" w14:paraId="3DA37B46" w14:textId="4C8DA445">
            <w:pPr>
              <w:jc w:val="both"/>
            </w:pPr>
          </w:p>
        </w:tc>
      </w:tr>
      <w:tr w:rsidRPr="005578E7" w:rsidR="005865CF" w:rsidTr="00BC5A90" w14:paraId="01394C9C" w14:textId="77777777">
        <w:tc>
          <w:tcPr>
            <w:tcW w:w="132" w:type="pct"/>
            <w:hideMark/>
          </w:tcPr>
          <w:p w:rsidRPr="005578E7" w:rsidR="005865CF" w:rsidP="005865CF" w:rsidRDefault="005865CF" w14:paraId="426D5BDB" w14:textId="04D93137">
            <w:pPr>
              <w:jc w:val="center"/>
              <w:rPr>
                <w:color w:val="0D0D0D" w:themeColor="text1" w:themeTint="F2"/>
              </w:rPr>
            </w:pPr>
            <w:r w:rsidRPr="005578E7">
              <w:rPr>
                <w:color w:val="0D0D0D" w:themeColor="text1" w:themeTint="F2"/>
              </w:rPr>
              <w:lastRenderedPageBreak/>
              <w:t>3.</w:t>
            </w:r>
          </w:p>
        </w:tc>
        <w:tc>
          <w:tcPr>
            <w:tcW w:w="1508" w:type="pct"/>
            <w:hideMark/>
          </w:tcPr>
          <w:p w:rsidRPr="005578E7" w:rsidR="005865CF" w:rsidP="005865CF" w:rsidRDefault="005865CF" w14:paraId="7869B36D" w14:textId="77777777">
            <w:pPr>
              <w:rPr>
                <w:color w:val="0D0D0D" w:themeColor="text1" w:themeTint="F2"/>
              </w:rPr>
            </w:pPr>
            <w:r w:rsidRPr="005578E7">
              <w:rPr>
                <w:color w:val="0D0D0D" w:themeColor="text1" w:themeTint="F2"/>
              </w:rPr>
              <w:t>Projekta izstrādē iesaistītās institūcijas un publiskas personas kapitālsabiedrības</w:t>
            </w:r>
          </w:p>
        </w:tc>
        <w:tc>
          <w:tcPr>
            <w:tcW w:w="3360" w:type="pct"/>
          </w:tcPr>
          <w:p w:rsidRPr="005578E7" w:rsidR="0056170A" w:rsidP="00AE77CE" w:rsidRDefault="00D170C1" w14:paraId="3742F922" w14:textId="08A15657">
            <w:pPr>
              <w:jc w:val="both"/>
              <w:rPr>
                <w:color w:val="0D0D0D" w:themeColor="text1" w:themeTint="F2"/>
              </w:rPr>
            </w:pPr>
            <w:r w:rsidRPr="005578E7">
              <w:rPr>
                <w:color w:val="0D0D0D" w:themeColor="text1" w:themeTint="F2"/>
              </w:rPr>
              <w:t>Satiksmes ministrija</w:t>
            </w:r>
            <w:r w:rsidRPr="005578E7" w:rsidR="00943F8D">
              <w:rPr>
                <w:color w:val="0D0D0D" w:themeColor="text1" w:themeTint="F2"/>
              </w:rPr>
              <w:t>, Ventspils brīvostas pārvalde, AS “Ventas osta”</w:t>
            </w:r>
          </w:p>
          <w:p w:rsidRPr="005578E7" w:rsidR="003A0705" w:rsidP="00AE77CE" w:rsidRDefault="003A0705" w14:paraId="6FFABD33" w14:textId="56C0A33B">
            <w:pPr>
              <w:jc w:val="both"/>
              <w:rPr>
                <w:color w:val="0D0D0D" w:themeColor="text1" w:themeTint="F2"/>
              </w:rPr>
            </w:pPr>
          </w:p>
        </w:tc>
      </w:tr>
      <w:tr w:rsidRPr="005578E7" w:rsidR="005865CF" w:rsidTr="00BC5A90" w14:paraId="45D441AE" w14:textId="77777777">
        <w:tc>
          <w:tcPr>
            <w:tcW w:w="132" w:type="pct"/>
            <w:hideMark/>
          </w:tcPr>
          <w:p w:rsidRPr="005578E7" w:rsidR="005865CF" w:rsidP="005865CF" w:rsidRDefault="005865CF" w14:paraId="0E3CB28C" w14:textId="77777777">
            <w:pPr>
              <w:jc w:val="center"/>
              <w:rPr>
                <w:color w:val="0D0D0D" w:themeColor="text1" w:themeTint="F2"/>
              </w:rPr>
            </w:pPr>
            <w:r w:rsidRPr="005578E7">
              <w:rPr>
                <w:color w:val="0D0D0D" w:themeColor="text1" w:themeTint="F2"/>
              </w:rPr>
              <w:t>4.</w:t>
            </w:r>
          </w:p>
        </w:tc>
        <w:tc>
          <w:tcPr>
            <w:tcW w:w="1508" w:type="pct"/>
            <w:hideMark/>
          </w:tcPr>
          <w:p w:rsidRPr="005578E7" w:rsidR="005865CF" w:rsidP="005865CF" w:rsidRDefault="005865CF" w14:paraId="499A6F57" w14:textId="77777777">
            <w:pPr>
              <w:rPr>
                <w:color w:val="0D0D0D" w:themeColor="text1" w:themeTint="F2"/>
              </w:rPr>
            </w:pPr>
            <w:r w:rsidRPr="005578E7">
              <w:rPr>
                <w:color w:val="0D0D0D" w:themeColor="text1" w:themeTint="F2"/>
              </w:rPr>
              <w:t>Cita informācija</w:t>
            </w:r>
          </w:p>
        </w:tc>
        <w:tc>
          <w:tcPr>
            <w:tcW w:w="3360" w:type="pct"/>
          </w:tcPr>
          <w:p w:rsidRPr="005578E7" w:rsidR="005865CF" w:rsidP="00D170C1" w:rsidRDefault="00BD184C" w14:paraId="698F9F04" w14:textId="6032C627">
            <w:pPr>
              <w:ind w:right="100"/>
              <w:jc w:val="both"/>
              <w:rPr>
                <w:color w:val="0D0D0D" w:themeColor="text1" w:themeTint="F2"/>
              </w:rPr>
            </w:pPr>
            <w:r w:rsidRPr="005578E7">
              <w:rPr>
                <w:color w:val="0D0D0D" w:themeColor="text1" w:themeTint="F2"/>
              </w:rPr>
              <w:t>Nav.</w:t>
            </w:r>
          </w:p>
        </w:tc>
      </w:tr>
    </w:tbl>
    <w:p w:rsidRPr="005578E7" w:rsidR="00160FEF" w:rsidP="00C57E86" w:rsidRDefault="00160FEF" w14:paraId="27CCCF06" w14:textId="1378173F">
      <w:pPr>
        <w:pStyle w:val="Title"/>
        <w:ind w:firstLine="539"/>
        <w:jc w:val="both"/>
        <w:rPr>
          <w:color w:val="0D0D0D" w:themeColor="text1" w:themeTint="F2"/>
          <w:sz w:val="24"/>
          <w:szCs w:val="24"/>
        </w:rPr>
      </w:pPr>
    </w:p>
    <w:p w:rsidRPr="005578E7" w:rsidR="006959D9" w:rsidP="00C57E86" w:rsidRDefault="006959D9" w14:paraId="012088F5" w14:textId="77777777">
      <w:pPr>
        <w:pStyle w:val="Title"/>
        <w:ind w:firstLine="539"/>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5578E7" w:rsidR="00865761" w:rsidTr="009B74E7" w14:paraId="5A6D8B8B" w14:textId="77777777">
        <w:trPr>
          <w:cantSplit/>
        </w:trPr>
        <w:tc>
          <w:tcPr>
            <w:tcW w:w="5000" w:type="pct"/>
            <w:gridSpan w:val="3"/>
            <w:vAlign w:val="center"/>
            <w:hideMark/>
          </w:tcPr>
          <w:p w:rsidRPr="005578E7" w:rsidR="00865761" w:rsidP="00C57E86" w:rsidRDefault="00865761" w14:paraId="28FBAECC" w14:textId="77777777">
            <w:pPr>
              <w:jc w:val="center"/>
              <w:rPr>
                <w:b/>
                <w:bCs/>
                <w:color w:val="0D0D0D" w:themeColor="text1" w:themeTint="F2"/>
              </w:rPr>
            </w:pPr>
            <w:r w:rsidRPr="005578E7">
              <w:rPr>
                <w:b/>
                <w:bCs/>
                <w:color w:val="0D0D0D" w:themeColor="text1" w:themeTint="F2"/>
              </w:rPr>
              <w:t>II. Tiesību akta projekta ietekme uz sabiedrību, tautsaimniecības attīstību un administratīvo slogu</w:t>
            </w:r>
          </w:p>
        </w:tc>
      </w:tr>
      <w:tr w:rsidRPr="005578E7" w:rsidR="00865761" w:rsidTr="009B74E7" w14:paraId="4E8331F1" w14:textId="77777777">
        <w:tc>
          <w:tcPr>
            <w:tcW w:w="311" w:type="pct"/>
            <w:hideMark/>
          </w:tcPr>
          <w:p w:rsidRPr="005578E7" w:rsidR="00865761" w:rsidP="00C57E86" w:rsidRDefault="00865761" w14:paraId="378F3F9E" w14:textId="77777777">
            <w:pPr>
              <w:jc w:val="center"/>
              <w:rPr>
                <w:color w:val="0D0D0D" w:themeColor="text1" w:themeTint="F2"/>
              </w:rPr>
            </w:pPr>
            <w:r w:rsidRPr="005578E7">
              <w:rPr>
                <w:color w:val="0D0D0D" w:themeColor="text1" w:themeTint="F2"/>
              </w:rPr>
              <w:t>1.</w:t>
            </w:r>
          </w:p>
        </w:tc>
        <w:tc>
          <w:tcPr>
            <w:tcW w:w="1479" w:type="pct"/>
            <w:hideMark/>
          </w:tcPr>
          <w:p w:rsidRPr="005578E7" w:rsidR="00865761" w:rsidP="00C57E86" w:rsidRDefault="00865761" w14:paraId="0D886E5D" w14:textId="77777777">
            <w:pPr>
              <w:rPr>
                <w:color w:val="0D0D0D" w:themeColor="text1" w:themeTint="F2"/>
              </w:rPr>
            </w:pPr>
            <w:r w:rsidRPr="005578E7">
              <w:rPr>
                <w:color w:val="0D0D0D" w:themeColor="text1" w:themeTint="F2"/>
              </w:rPr>
              <w:t xml:space="preserve">Sabiedrības </w:t>
            </w:r>
            <w:proofErr w:type="spellStart"/>
            <w:r w:rsidRPr="005578E7">
              <w:rPr>
                <w:color w:val="0D0D0D" w:themeColor="text1" w:themeTint="F2"/>
              </w:rPr>
              <w:t>mērķgrupas</w:t>
            </w:r>
            <w:proofErr w:type="spellEnd"/>
            <w:r w:rsidRPr="005578E7">
              <w:rPr>
                <w:color w:val="0D0D0D" w:themeColor="text1" w:themeTint="F2"/>
              </w:rPr>
              <w:t>, kuras tiesiskais regulējums ietekmē vai varētu ietekmēt</w:t>
            </w:r>
          </w:p>
        </w:tc>
        <w:tc>
          <w:tcPr>
            <w:tcW w:w="3210" w:type="pct"/>
          </w:tcPr>
          <w:p w:rsidRPr="005578E7" w:rsidR="00865761" w:rsidP="00700104" w:rsidRDefault="006B3B31" w14:paraId="5202BFC1" w14:textId="3499206A">
            <w:pPr>
              <w:ind w:left="118" w:right="100"/>
              <w:jc w:val="both"/>
              <w:rPr>
                <w:color w:val="0D0D0D" w:themeColor="text1" w:themeTint="F2"/>
              </w:rPr>
            </w:pPr>
            <w:r w:rsidRPr="005578E7">
              <w:rPr>
                <w:color w:val="0D0D0D" w:themeColor="text1" w:themeTint="F2"/>
              </w:rPr>
              <w:t xml:space="preserve">Publiskās un privātās personas, kas izmanto </w:t>
            </w:r>
            <w:r w:rsidRPr="005578E7" w:rsidR="00700104">
              <w:rPr>
                <w:color w:val="0D0D0D" w:themeColor="text1" w:themeTint="F2"/>
              </w:rPr>
              <w:t xml:space="preserve">Ventspils </w:t>
            </w:r>
            <w:r w:rsidRPr="005578E7">
              <w:rPr>
                <w:color w:val="0D0D0D" w:themeColor="text1" w:themeTint="F2"/>
              </w:rPr>
              <w:t xml:space="preserve">ostas pakalpojumus. </w:t>
            </w:r>
            <w:r w:rsidRPr="005578E7" w:rsidR="0056170A">
              <w:rPr>
                <w:color w:val="0D0D0D" w:themeColor="text1" w:themeTint="F2"/>
              </w:rPr>
              <w:t xml:space="preserve">Privātpersonas, kas nodarbinātas </w:t>
            </w:r>
            <w:r w:rsidRPr="005578E7" w:rsidR="00700104">
              <w:rPr>
                <w:color w:val="0D0D0D" w:themeColor="text1" w:themeTint="F2"/>
              </w:rPr>
              <w:t>Ventspils ostā</w:t>
            </w:r>
            <w:r w:rsidRPr="005578E7" w:rsidR="0056170A">
              <w:rPr>
                <w:color w:val="0D0D0D" w:themeColor="text1" w:themeTint="F2"/>
              </w:rPr>
              <w:t xml:space="preserve"> esošajos uzņēmumos. </w:t>
            </w:r>
          </w:p>
        </w:tc>
      </w:tr>
      <w:tr w:rsidRPr="005578E7" w:rsidR="00865761" w:rsidTr="009B74E7" w14:paraId="18A36BAC" w14:textId="77777777">
        <w:tc>
          <w:tcPr>
            <w:tcW w:w="311" w:type="pct"/>
            <w:hideMark/>
          </w:tcPr>
          <w:p w:rsidRPr="005578E7" w:rsidR="00865761" w:rsidP="00C57E86" w:rsidRDefault="00865761" w14:paraId="1A1FDACC" w14:textId="77777777">
            <w:pPr>
              <w:jc w:val="center"/>
              <w:rPr>
                <w:color w:val="0D0D0D" w:themeColor="text1" w:themeTint="F2"/>
              </w:rPr>
            </w:pPr>
            <w:r w:rsidRPr="005578E7">
              <w:rPr>
                <w:color w:val="0D0D0D" w:themeColor="text1" w:themeTint="F2"/>
              </w:rPr>
              <w:t>2.</w:t>
            </w:r>
          </w:p>
        </w:tc>
        <w:tc>
          <w:tcPr>
            <w:tcW w:w="1479" w:type="pct"/>
            <w:hideMark/>
          </w:tcPr>
          <w:p w:rsidRPr="005578E7" w:rsidR="00865761" w:rsidP="00C57E86" w:rsidRDefault="00865761" w14:paraId="53197B55" w14:textId="77777777">
            <w:pPr>
              <w:rPr>
                <w:color w:val="0D0D0D" w:themeColor="text1" w:themeTint="F2"/>
              </w:rPr>
            </w:pPr>
            <w:r w:rsidRPr="005578E7">
              <w:rPr>
                <w:color w:val="0D0D0D" w:themeColor="text1" w:themeTint="F2"/>
              </w:rPr>
              <w:t>Tiesiskā regulējuma ietekme uz tautsaimniecību un administratīvo slogu</w:t>
            </w:r>
          </w:p>
        </w:tc>
        <w:tc>
          <w:tcPr>
            <w:tcW w:w="3210" w:type="pct"/>
          </w:tcPr>
          <w:p w:rsidRPr="005578E7" w:rsidR="00865761" w:rsidP="0056170A" w:rsidRDefault="0056170A" w14:paraId="2587687F" w14:textId="4ADF7F38">
            <w:pPr>
              <w:ind w:left="118" w:right="100"/>
              <w:jc w:val="both"/>
              <w:rPr>
                <w:color w:val="0D0D0D" w:themeColor="text1" w:themeTint="F2"/>
              </w:rPr>
            </w:pPr>
            <w:r w:rsidRPr="005578E7">
              <w:rPr>
                <w:color w:val="0D0D0D" w:themeColor="text1" w:themeTint="F2"/>
              </w:rPr>
              <w:t>Paredzams, ka</w:t>
            </w:r>
            <w:r w:rsidRPr="005578E7" w:rsidR="00C07F6A">
              <w:rPr>
                <w:color w:val="0D0D0D" w:themeColor="text1" w:themeTint="F2"/>
              </w:rPr>
              <w:t xml:space="preserve"> kopumā ietekme uz</w:t>
            </w:r>
            <w:r w:rsidRPr="005578E7">
              <w:rPr>
                <w:color w:val="0D0D0D" w:themeColor="text1" w:themeTint="F2"/>
              </w:rPr>
              <w:t xml:space="preserve"> </w:t>
            </w:r>
            <w:r w:rsidRPr="005578E7" w:rsidR="00C07F6A">
              <w:rPr>
                <w:color w:val="0D0D0D" w:themeColor="text1" w:themeTint="F2"/>
              </w:rPr>
              <w:t>Ventspils o</w:t>
            </w:r>
            <w:r w:rsidRPr="005578E7">
              <w:rPr>
                <w:color w:val="0D0D0D" w:themeColor="text1" w:themeTint="F2"/>
              </w:rPr>
              <w:t xml:space="preserve">stas darbību, tranzīta sektoru un ekonomiku </w:t>
            </w:r>
            <w:r w:rsidRPr="005578E7" w:rsidR="00C07F6A">
              <w:rPr>
                <w:color w:val="0D0D0D" w:themeColor="text1" w:themeTint="F2"/>
              </w:rPr>
              <w:t>būs pozitīva</w:t>
            </w:r>
            <w:r w:rsidRPr="005578E7">
              <w:rPr>
                <w:color w:val="0D0D0D" w:themeColor="text1" w:themeTint="F2"/>
              </w:rPr>
              <w:t xml:space="preserve">. </w:t>
            </w:r>
          </w:p>
          <w:p w:rsidRPr="005578E7" w:rsidR="003A0705" w:rsidP="0056170A" w:rsidRDefault="003A0705" w14:paraId="12C7DE2F" w14:textId="4A367085">
            <w:pPr>
              <w:ind w:left="118" w:right="100"/>
              <w:jc w:val="both"/>
              <w:rPr>
                <w:color w:val="0D0D0D" w:themeColor="text1" w:themeTint="F2"/>
              </w:rPr>
            </w:pPr>
          </w:p>
        </w:tc>
      </w:tr>
      <w:tr w:rsidRPr="005578E7" w:rsidR="00865761" w:rsidTr="009B74E7" w14:paraId="00FE0CDF" w14:textId="77777777">
        <w:tc>
          <w:tcPr>
            <w:tcW w:w="311" w:type="pct"/>
            <w:hideMark/>
          </w:tcPr>
          <w:p w:rsidRPr="005578E7" w:rsidR="00865761" w:rsidP="00C57E86" w:rsidRDefault="00865761" w14:paraId="50665A9C" w14:textId="77777777">
            <w:pPr>
              <w:jc w:val="center"/>
              <w:rPr>
                <w:color w:val="0D0D0D" w:themeColor="text1" w:themeTint="F2"/>
              </w:rPr>
            </w:pPr>
            <w:r w:rsidRPr="005578E7">
              <w:rPr>
                <w:color w:val="0D0D0D" w:themeColor="text1" w:themeTint="F2"/>
              </w:rPr>
              <w:t>3.</w:t>
            </w:r>
          </w:p>
        </w:tc>
        <w:tc>
          <w:tcPr>
            <w:tcW w:w="1479" w:type="pct"/>
            <w:hideMark/>
          </w:tcPr>
          <w:p w:rsidRPr="005578E7" w:rsidR="00865761" w:rsidP="00C57E86" w:rsidRDefault="00865761" w14:paraId="01AEE433" w14:textId="77777777">
            <w:pPr>
              <w:rPr>
                <w:color w:val="0D0D0D" w:themeColor="text1" w:themeTint="F2"/>
              </w:rPr>
            </w:pPr>
            <w:r w:rsidRPr="005578E7">
              <w:rPr>
                <w:color w:val="0D0D0D" w:themeColor="text1" w:themeTint="F2"/>
              </w:rPr>
              <w:t>Administratīvo izmaksu monetārs novērtējums</w:t>
            </w:r>
          </w:p>
        </w:tc>
        <w:tc>
          <w:tcPr>
            <w:tcW w:w="3210" w:type="pct"/>
          </w:tcPr>
          <w:p w:rsidRPr="005578E7" w:rsidR="00865761" w:rsidP="00B93AE6" w:rsidRDefault="00865761" w14:paraId="2D751D9E" w14:textId="59A572B4">
            <w:pPr>
              <w:ind w:left="118" w:right="100"/>
              <w:jc w:val="both"/>
              <w:rPr>
                <w:color w:val="0D0D0D" w:themeColor="text1" w:themeTint="F2"/>
              </w:rPr>
            </w:pPr>
            <w:r w:rsidRPr="005578E7">
              <w:rPr>
                <w:color w:val="0D0D0D" w:themeColor="text1" w:themeTint="F2"/>
              </w:rPr>
              <w:t>Projekts šo jomu neskar.</w:t>
            </w:r>
          </w:p>
        </w:tc>
      </w:tr>
      <w:tr w:rsidRPr="005578E7" w:rsidR="00865761" w:rsidTr="009B74E7" w14:paraId="525FAA4A" w14:textId="77777777">
        <w:tc>
          <w:tcPr>
            <w:tcW w:w="311" w:type="pct"/>
            <w:hideMark/>
          </w:tcPr>
          <w:p w:rsidRPr="005578E7" w:rsidR="00865761" w:rsidP="00C57E86" w:rsidRDefault="00865761" w14:paraId="2D4082A8" w14:textId="77777777">
            <w:pPr>
              <w:jc w:val="center"/>
              <w:rPr>
                <w:color w:val="0D0D0D" w:themeColor="text1" w:themeTint="F2"/>
              </w:rPr>
            </w:pPr>
            <w:r w:rsidRPr="005578E7">
              <w:rPr>
                <w:color w:val="0D0D0D" w:themeColor="text1" w:themeTint="F2"/>
              </w:rPr>
              <w:t>4.</w:t>
            </w:r>
          </w:p>
        </w:tc>
        <w:tc>
          <w:tcPr>
            <w:tcW w:w="1479" w:type="pct"/>
            <w:hideMark/>
          </w:tcPr>
          <w:p w:rsidRPr="005578E7" w:rsidR="00865761" w:rsidP="00C57E86" w:rsidRDefault="00865761" w14:paraId="1EE130FD" w14:textId="77777777">
            <w:pPr>
              <w:rPr>
                <w:color w:val="0D0D0D" w:themeColor="text1" w:themeTint="F2"/>
              </w:rPr>
            </w:pPr>
            <w:r w:rsidRPr="005578E7">
              <w:rPr>
                <w:color w:val="0D0D0D" w:themeColor="text1" w:themeTint="F2"/>
              </w:rPr>
              <w:t>Atbilstības izmaksu monetārs novērtējums</w:t>
            </w:r>
          </w:p>
        </w:tc>
        <w:tc>
          <w:tcPr>
            <w:tcW w:w="3210" w:type="pct"/>
          </w:tcPr>
          <w:p w:rsidRPr="005578E7" w:rsidR="00865761" w:rsidP="00B93AE6" w:rsidRDefault="00865761" w14:paraId="4021239A" w14:textId="77777777">
            <w:pPr>
              <w:ind w:left="118" w:right="100"/>
              <w:jc w:val="both"/>
              <w:rPr>
                <w:color w:val="0D0D0D" w:themeColor="text1" w:themeTint="F2"/>
              </w:rPr>
            </w:pPr>
            <w:r w:rsidRPr="005578E7">
              <w:rPr>
                <w:color w:val="0D0D0D" w:themeColor="text1" w:themeTint="F2"/>
              </w:rPr>
              <w:t>Projekts šo jomu neskar.</w:t>
            </w:r>
          </w:p>
        </w:tc>
      </w:tr>
      <w:tr w:rsidRPr="005578E7" w:rsidR="00865761" w:rsidTr="009B74E7" w14:paraId="5A2AB384" w14:textId="77777777">
        <w:tc>
          <w:tcPr>
            <w:tcW w:w="311" w:type="pct"/>
            <w:hideMark/>
          </w:tcPr>
          <w:p w:rsidRPr="005578E7" w:rsidR="00865761" w:rsidP="00C57E86" w:rsidRDefault="00865761" w14:paraId="3B14CB39" w14:textId="77777777">
            <w:pPr>
              <w:jc w:val="center"/>
              <w:rPr>
                <w:color w:val="0D0D0D" w:themeColor="text1" w:themeTint="F2"/>
              </w:rPr>
            </w:pPr>
            <w:r w:rsidRPr="005578E7">
              <w:rPr>
                <w:color w:val="0D0D0D" w:themeColor="text1" w:themeTint="F2"/>
              </w:rPr>
              <w:t>5.</w:t>
            </w:r>
          </w:p>
        </w:tc>
        <w:tc>
          <w:tcPr>
            <w:tcW w:w="1479" w:type="pct"/>
            <w:hideMark/>
          </w:tcPr>
          <w:p w:rsidRPr="005578E7" w:rsidR="00865761" w:rsidP="00C57E86" w:rsidRDefault="00865761" w14:paraId="27C52A97" w14:textId="77777777">
            <w:pPr>
              <w:rPr>
                <w:color w:val="0D0D0D" w:themeColor="text1" w:themeTint="F2"/>
              </w:rPr>
            </w:pPr>
            <w:r w:rsidRPr="005578E7">
              <w:rPr>
                <w:color w:val="0D0D0D" w:themeColor="text1" w:themeTint="F2"/>
              </w:rPr>
              <w:t>Cita informācija</w:t>
            </w:r>
          </w:p>
        </w:tc>
        <w:tc>
          <w:tcPr>
            <w:tcW w:w="3210" w:type="pct"/>
            <w:hideMark/>
          </w:tcPr>
          <w:p w:rsidRPr="005578E7" w:rsidR="00865761" w:rsidP="00B93AE6" w:rsidRDefault="00865761" w14:paraId="266D4D2D" w14:textId="77777777">
            <w:pPr>
              <w:ind w:left="118" w:right="100"/>
              <w:jc w:val="both"/>
              <w:rPr>
                <w:color w:val="0D0D0D" w:themeColor="text1" w:themeTint="F2"/>
              </w:rPr>
            </w:pPr>
            <w:r w:rsidRPr="005578E7">
              <w:rPr>
                <w:color w:val="0D0D0D" w:themeColor="text1" w:themeTint="F2"/>
              </w:rPr>
              <w:t>Nav.</w:t>
            </w:r>
          </w:p>
          <w:p w:rsidRPr="005578E7" w:rsidR="003A0705" w:rsidP="00B93AE6" w:rsidRDefault="003A0705" w14:paraId="51FFB760" w14:textId="7CE2DE0B">
            <w:pPr>
              <w:ind w:left="118" w:right="100"/>
              <w:jc w:val="both"/>
              <w:rPr>
                <w:color w:val="0D0D0D" w:themeColor="text1" w:themeTint="F2"/>
              </w:rPr>
            </w:pPr>
          </w:p>
        </w:tc>
      </w:tr>
    </w:tbl>
    <w:p w:rsidRPr="005578E7" w:rsidR="00AA33A6" w:rsidP="00AA33A6" w:rsidRDefault="00AA33A6" w14:paraId="229232D2" w14:textId="77777777">
      <w:r w:rsidRPr="005578E7">
        <w:lastRenderedPageBreak/>
        <w:t xml:space="preserve">  </w:t>
      </w:r>
    </w:p>
    <w:tbl>
      <w:tblPr>
        <w:tblW w:w="5003" w:type="pct"/>
        <w:tblCellSpacing w:w="15" w:type="dxa"/>
        <w:tblInd w:w="-3" w:type="dxa"/>
        <w:tblBorders>
          <w:top w:val="outset" w:color="auto" w:sz="6" w:space="0"/>
          <w:left w:val="outset" w:color="auto" w:sz="6" w:space="0"/>
          <w:bottom w:val="outset" w:color="auto" w:sz="6" w:space="0"/>
          <w:right w:val="outset" w:color="auto" w:sz="6" w:space="0"/>
        </w:tblBorders>
        <w:tblLayout w:type="fixed"/>
        <w:tblCellMar>
          <w:top w:w="30" w:type="dxa"/>
          <w:left w:w="30" w:type="dxa"/>
          <w:bottom w:w="30" w:type="dxa"/>
          <w:right w:w="30" w:type="dxa"/>
        </w:tblCellMar>
        <w:tblLook w:val="04A0" w:firstRow="1" w:lastRow="0" w:firstColumn="1" w:lastColumn="0" w:noHBand="0" w:noVBand="1"/>
      </w:tblPr>
      <w:tblGrid>
        <w:gridCol w:w="9009"/>
        <w:gridCol w:w="51"/>
      </w:tblGrid>
      <w:tr w:rsidRPr="005578E7" w:rsidR="00AA33A6" w:rsidTr="005578E7" w14:paraId="6A0EB497" w14:textId="77777777">
        <w:trPr>
          <w:gridAfter w:val="1"/>
          <w:wAfter w:w="6" w:type="dxa"/>
          <w:tblCellSpacing w:w="15" w:type="dxa"/>
        </w:trPr>
        <w:tc>
          <w:tcPr>
            <w:tcW w:w="8964" w:type="dxa"/>
            <w:tcBorders>
              <w:top w:val="outset" w:color="auto" w:sz="6" w:space="0"/>
              <w:left w:val="outset" w:color="auto" w:sz="6" w:space="0"/>
              <w:bottom w:val="outset" w:color="auto" w:sz="6" w:space="0"/>
              <w:right w:val="outset" w:color="auto" w:sz="6" w:space="0"/>
            </w:tcBorders>
            <w:vAlign w:val="center"/>
            <w:hideMark/>
          </w:tcPr>
          <w:p w:rsidRPr="005578E7" w:rsidR="00AA33A6" w:rsidP="00AA33A6" w:rsidRDefault="00AA33A6" w14:paraId="5DB45431" w14:textId="77777777">
            <w:pPr>
              <w:jc w:val="center"/>
              <w:rPr>
                <w:b/>
                <w:bCs/>
              </w:rPr>
            </w:pPr>
            <w:r w:rsidRPr="005578E7">
              <w:rPr>
                <w:b/>
                <w:bCs/>
              </w:rPr>
              <w:t>III. Tiesību akta projekta ietekme uz valsts budžetu un pašvaldību budžetiem</w:t>
            </w:r>
          </w:p>
        </w:tc>
      </w:tr>
      <w:tr w:rsidRPr="005578E7" w:rsidR="005578E7" w:rsidTr="005578E7" w14:paraId="62ED4BE7" w14:textId="77777777">
        <w:tblPrEx>
          <w:tblCellSpacing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cantSplit/>
          <w:trHeight w:val="268"/>
        </w:trPr>
        <w:tc>
          <w:tcPr>
            <w:tcW w:w="8964" w:type="dxa"/>
          </w:tcPr>
          <w:p w:rsidRPr="005578E7" w:rsidR="005578E7" w:rsidP="000761E7" w:rsidRDefault="005578E7" w14:paraId="61646115" w14:textId="77777777">
            <w:pPr>
              <w:ind w:left="118" w:right="100"/>
              <w:jc w:val="center"/>
              <w:rPr>
                <w:color w:val="0D0D0D" w:themeColor="text1" w:themeTint="F2"/>
              </w:rPr>
            </w:pPr>
            <w:r w:rsidRPr="005578E7">
              <w:rPr>
                <w:color w:val="0D0D0D" w:themeColor="text1" w:themeTint="F2"/>
              </w:rPr>
              <w:t>Projekts šo jomu neskar.</w:t>
            </w:r>
          </w:p>
        </w:tc>
      </w:tr>
      <w:tr w:rsidRPr="005578E7" w:rsidR="009D2D72" w:rsidTr="005578E7" w14:paraId="0AA70E13" w14:textId="77777777">
        <w:tblPrEx>
          <w:tblCellSpacing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gridAfter w:val="1"/>
          <w:wAfter w:w="6" w:type="dxa"/>
        </w:trPr>
        <w:tc>
          <w:tcPr>
            <w:tcW w:w="8964" w:type="dxa"/>
            <w:vAlign w:val="center"/>
            <w:hideMark/>
          </w:tcPr>
          <w:p w:rsidRPr="005578E7" w:rsidR="00BD5588" w:rsidP="00C57E86" w:rsidRDefault="006E2E27" w14:paraId="356F51EF" w14:textId="71E861C5">
            <w:pPr>
              <w:jc w:val="center"/>
              <w:rPr>
                <w:b/>
                <w:bCs/>
                <w:color w:val="0D0D0D" w:themeColor="text1" w:themeTint="F2"/>
              </w:rPr>
            </w:pPr>
            <w:r w:rsidRPr="005578E7">
              <w:rPr>
                <w:b/>
                <w:bCs/>
                <w:color w:val="0D0D0D" w:themeColor="text1" w:themeTint="F2"/>
              </w:rPr>
              <w:t>IV. Tiesību akta projekta ietekme uz spēkā esošo tiesību normu sistēmu</w:t>
            </w:r>
          </w:p>
        </w:tc>
      </w:tr>
      <w:tr w:rsidRPr="005578E7" w:rsidR="00BC5A90" w:rsidTr="005578E7" w14:paraId="795E91FF" w14:textId="77777777">
        <w:tblPrEx>
          <w:tblCellSpacing w:w="0" w:type="nil"/>
          <w:tblBorders>
            <w:top w:val="outset" w:color="000000" w:sz="6" w:space="0"/>
            <w:left w:val="outset" w:color="000000" w:sz="6" w:space="0"/>
            <w:bottom w:val="outset" w:color="000000" w:sz="6" w:space="0"/>
            <w:right w:val="outset" w:color="000000" w:sz="6" w:space="0"/>
          </w:tblBorders>
          <w:tblLook w:val="00A0" w:firstRow="1" w:lastRow="0" w:firstColumn="1" w:lastColumn="0" w:noHBand="0" w:noVBand="0"/>
        </w:tblPrEx>
        <w:trPr>
          <w:trHeight w:val="304"/>
        </w:trPr>
        <w:tc>
          <w:tcPr>
            <w:tcW w:w="9000" w:type="dxa"/>
            <w:gridSpan w:val="2"/>
            <w:tcBorders>
              <w:top w:val="outset" w:color="000000" w:sz="6" w:space="0"/>
              <w:left w:val="outset" w:color="000000" w:sz="6" w:space="0"/>
              <w:right w:val="outset" w:color="000000" w:sz="6" w:space="0"/>
            </w:tcBorders>
          </w:tcPr>
          <w:p w:rsidRPr="005578E7" w:rsidR="00BC5A90" w:rsidP="00BC5A90" w:rsidRDefault="00BC5A90" w14:paraId="2311B522" w14:textId="2ED2E31D">
            <w:pPr>
              <w:suppressAutoHyphens/>
              <w:ind w:left="67" w:right="115"/>
              <w:jc w:val="center"/>
              <w:rPr>
                <w:color w:val="000000"/>
                <w:lang w:eastAsia="ar-SA"/>
              </w:rPr>
            </w:pPr>
            <w:r w:rsidRPr="005578E7">
              <w:rPr>
                <w:color w:val="000000"/>
                <w:lang w:eastAsia="ar-SA"/>
              </w:rPr>
              <w:t>Projekts šo jomu neskar.</w:t>
            </w:r>
          </w:p>
        </w:tc>
      </w:tr>
    </w:tbl>
    <w:p w:rsidRPr="005578E7" w:rsidR="006959D9" w:rsidP="00C063C0" w:rsidRDefault="006959D9" w14:paraId="79C80B1E" w14:textId="77777777">
      <w:pPr>
        <w:rPr>
          <w:b/>
          <w:bCs/>
          <w:color w:val="000000"/>
          <w:lang w:eastAsia="en-US"/>
        </w:rPr>
      </w:pPr>
    </w:p>
    <w:tbl>
      <w:tblPr>
        <w:tblW w:w="9129" w:type="dxa"/>
        <w:tblBorders>
          <w:top w:val="outset" w:color="000000" w:sz="6" w:space="0"/>
          <w:left w:val="outset" w:color="000000" w:sz="6" w:space="0"/>
          <w:bottom w:val="outset" w:color="000000" w:sz="6" w:space="0"/>
          <w:right w:val="outset" w:color="000000" w:sz="6" w:space="0"/>
        </w:tblBorders>
        <w:tblCellMar>
          <w:top w:w="30" w:type="dxa"/>
          <w:left w:w="30" w:type="dxa"/>
          <w:bottom w:w="30" w:type="dxa"/>
          <w:right w:w="30" w:type="dxa"/>
        </w:tblCellMar>
        <w:tblLook w:val="0000" w:firstRow="0" w:lastRow="0" w:firstColumn="0" w:lastColumn="0" w:noHBand="0" w:noVBand="0"/>
      </w:tblPr>
      <w:tblGrid>
        <w:gridCol w:w="9129"/>
      </w:tblGrid>
      <w:tr w:rsidRPr="005578E7" w:rsidR="00C063C0" w:rsidTr="009B74E7" w14:paraId="526010BA" w14:textId="77777777">
        <w:tc>
          <w:tcPr>
            <w:tcW w:w="5000" w:type="pct"/>
            <w:tcBorders>
              <w:top w:val="single" w:color="auto" w:sz="6" w:space="0"/>
              <w:left w:val="single" w:color="auto" w:sz="6" w:space="0"/>
              <w:bottom w:val="outset" w:color="000000" w:sz="6" w:space="0"/>
              <w:right w:val="single" w:color="auto" w:sz="6" w:space="0"/>
            </w:tcBorders>
          </w:tcPr>
          <w:p w:rsidRPr="005578E7" w:rsidR="00C063C0" w:rsidP="00C063C0" w:rsidRDefault="00C063C0" w14:paraId="05C42F87" w14:textId="77777777">
            <w:pPr>
              <w:jc w:val="center"/>
              <w:rPr>
                <w:b/>
                <w:bCs/>
                <w:color w:val="000000"/>
                <w:lang w:eastAsia="en-US"/>
              </w:rPr>
            </w:pPr>
            <w:r w:rsidRPr="005578E7">
              <w:rPr>
                <w:b/>
                <w:bCs/>
                <w:color w:val="000000"/>
                <w:lang w:eastAsia="en-US"/>
              </w:rPr>
              <w:t>V. Tiesību akta projekta atbilstība Latvijas Republikas starptautiskajām saistībām</w:t>
            </w:r>
          </w:p>
        </w:tc>
      </w:tr>
      <w:tr w:rsidRPr="005578E7" w:rsidR="00BC5A90" w:rsidTr="00BC5A90" w14:paraId="7EF7841E" w14:textId="77777777">
        <w:trPr>
          <w:trHeight w:val="291"/>
        </w:trPr>
        <w:tc>
          <w:tcPr>
            <w:tcW w:w="5000" w:type="pct"/>
            <w:tcBorders>
              <w:top w:val="outset" w:color="000000" w:sz="6" w:space="0"/>
              <w:left w:val="outset" w:color="000000" w:sz="6" w:space="0"/>
              <w:right w:val="outset" w:color="000000" w:sz="6" w:space="0"/>
            </w:tcBorders>
          </w:tcPr>
          <w:p w:rsidRPr="005578E7" w:rsidR="00BC5A90" w:rsidP="00BC5A90" w:rsidRDefault="00BC5A90" w14:paraId="7934F066" w14:textId="5BE4A690">
            <w:pPr>
              <w:ind w:left="15" w:right="112"/>
              <w:jc w:val="center"/>
              <w:rPr>
                <w:lang w:eastAsia="en-US"/>
              </w:rPr>
            </w:pPr>
            <w:r w:rsidRPr="005578E7">
              <w:rPr>
                <w:lang w:eastAsia="en-US"/>
              </w:rPr>
              <w:t>Projekts šo jomu neskar.</w:t>
            </w:r>
          </w:p>
        </w:tc>
      </w:tr>
    </w:tbl>
    <w:p w:rsidRPr="005578E7" w:rsidR="006959D9" w:rsidP="00C57E86" w:rsidRDefault="006959D9" w14:paraId="0CD738CC" w14:textId="77777777">
      <w:pPr>
        <w:pStyle w:val="Title"/>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9061"/>
      </w:tblGrid>
      <w:tr w:rsidRPr="005578E7" w:rsidR="009D2D72" w:rsidTr="00737785" w14:paraId="3F5259C7" w14:textId="77777777">
        <w:trPr>
          <w:cantSplit/>
        </w:trPr>
        <w:tc>
          <w:tcPr>
            <w:tcW w:w="5000" w:type="pct"/>
            <w:vAlign w:val="center"/>
            <w:hideMark/>
          </w:tcPr>
          <w:p w:rsidRPr="005578E7" w:rsidR="00BD5588" w:rsidP="00C57E86" w:rsidRDefault="006E2E27" w14:paraId="1AC98079" w14:textId="77777777">
            <w:pPr>
              <w:jc w:val="center"/>
              <w:rPr>
                <w:b/>
                <w:bCs/>
                <w:color w:val="0D0D0D" w:themeColor="text1" w:themeTint="F2"/>
              </w:rPr>
            </w:pPr>
            <w:r w:rsidRPr="005578E7">
              <w:rPr>
                <w:b/>
                <w:bCs/>
                <w:color w:val="0D0D0D" w:themeColor="text1" w:themeTint="F2"/>
              </w:rPr>
              <w:t>VI. Sabiedrības līdzdalība un komunikācijas aktivitātes</w:t>
            </w:r>
          </w:p>
        </w:tc>
      </w:tr>
      <w:tr w:rsidRPr="005578E7" w:rsidR="00BC5A90" w:rsidTr="00BC5A90" w14:paraId="40BC82B9" w14:textId="77777777">
        <w:trPr>
          <w:cantSplit/>
          <w:trHeight w:val="268"/>
        </w:trPr>
        <w:tc>
          <w:tcPr>
            <w:tcW w:w="5000" w:type="pct"/>
          </w:tcPr>
          <w:p w:rsidRPr="005578E7" w:rsidR="00BC5A90" w:rsidP="00BC5A90" w:rsidRDefault="00BC5A90" w14:paraId="434ECA87" w14:textId="59025999">
            <w:pPr>
              <w:ind w:left="118" w:right="100"/>
              <w:jc w:val="center"/>
              <w:rPr>
                <w:color w:val="0D0D0D" w:themeColor="text1" w:themeTint="F2"/>
              </w:rPr>
            </w:pPr>
            <w:r w:rsidRPr="005578E7">
              <w:rPr>
                <w:color w:val="0D0D0D" w:themeColor="text1" w:themeTint="F2"/>
              </w:rPr>
              <w:t>Projekts šo jomu neskar.</w:t>
            </w:r>
          </w:p>
        </w:tc>
      </w:tr>
    </w:tbl>
    <w:p w:rsidRPr="005578E7" w:rsidR="006959D9" w:rsidP="00BC5A90" w:rsidRDefault="006959D9" w14:paraId="2A6612E5" w14:textId="77777777">
      <w:pPr>
        <w:pStyle w:val="Title"/>
        <w:jc w:val="both"/>
        <w:rPr>
          <w:color w:val="0D0D0D" w:themeColor="text1" w:themeTint="F2"/>
          <w:sz w:val="24"/>
          <w:szCs w:val="24"/>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Pr="005578E7" w:rsidR="009D2D72" w:rsidTr="00737785" w14:paraId="7A60F6AC" w14:textId="77777777">
        <w:trPr>
          <w:cantSplit/>
        </w:trPr>
        <w:tc>
          <w:tcPr>
            <w:tcW w:w="5000" w:type="pct"/>
            <w:gridSpan w:val="3"/>
            <w:vAlign w:val="center"/>
            <w:hideMark/>
          </w:tcPr>
          <w:p w:rsidRPr="005578E7" w:rsidR="00BD5588" w:rsidP="00C57E86" w:rsidRDefault="006E2E27" w14:paraId="5A6F496E" w14:textId="77777777">
            <w:pPr>
              <w:jc w:val="center"/>
              <w:rPr>
                <w:b/>
                <w:bCs/>
                <w:color w:val="0D0D0D" w:themeColor="text1" w:themeTint="F2"/>
              </w:rPr>
            </w:pPr>
            <w:r w:rsidRPr="005578E7">
              <w:rPr>
                <w:b/>
                <w:bCs/>
                <w:color w:val="0D0D0D" w:themeColor="text1" w:themeTint="F2"/>
              </w:rPr>
              <w:t>VII. Tiesību akta projekta izpildes nodrošināšana un tās ietekme uz institūcijām</w:t>
            </w:r>
          </w:p>
        </w:tc>
      </w:tr>
      <w:tr w:rsidRPr="005578E7" w:rsidR="009D2D72" w:rsidTr="0031438D" w14:paraId="37863427" w14:textId="77777777">
        <w:tc>
          <w:tcPr>
            <w:tcW w:w="311" w:type="pct"/>
            <w:hideMark/>
          </w:tcPr>
          <w:p w:rsidRPr="005578E7" w:rsidR="00BD5588" w:rsidP="00C57E86" w:rsidRDefault="006E2E27" w14:paraId="74E40C08" w14:textId="77777777">
            <w:pPr>
              <w:jc w:val="center"/>
              <w:rPr>
                <w:color w:val="0D0D0D" w:themeColor="text1" w:themeTint="F2"/>
              </w:rPr>
            </w:pPr>
            <w:r w:rsidRPr="005578E7">
              <w:rPr>
                <w:color w:val="0D0D0D" w:themeColor="text1" w:themeTint="F2"/>
              </w:rPr>
              <w:t>1.</w:t>
            </w:r>
          </w:p>
        </w:tc>
        <w:tc>
          <w:tcPr>
            <w:tcW w:w="1479" w:type="pct"/>
            <w:hideMark/>
          </w:tcPr>
          <w:p w:rsidRPr="005578E7" w:rsidR="00BD5588" w:rsidP="00C57E86" w:rsidRDefault="006E2E27" w14:paraId="6BAE904E" w14:textId="77777777">
            <w:pPr>
              <w:rPr>
                <w:color w:val="0D0D0D" w:themeColor="text1" w:themeTint="F2"/>
              </w:rPr>
            </w:pPr>
            <w:r w:rsidRPr="005578E7">
              <w:rPr>
                <w:color w:val="0D0D0D" w:themeColor="text1" w:themeTint="F2"/>
              </w:rPr>
              <w:t>Projekta izpildē iesaistītās institūcijas</w:t>
            </w:r>
          </w:p>
        </w:tc>
        <w:tc>
          <w:tcPr>
            <w:tcW w:w="3210" w:type="pct"/>
          </w:tcPr>
          <w:p w:rsidRPr="005578E7" w:rsidR="00186C12" w:rsidP="00B93AE6" w:rsidRDefault="00D170C1" w14:paraId="77D8140D" w14:textId="497358AD">
            <w:pPr>
              <w:ind w:left="118" w:right="100"/>
              <w:jc w:val="both"/>
              <w:rPr>
                <w:color w:val="0D0D0D" w:themeColor="text1" w:themeTint="F2"/>
              </w:rPr>
            </w:pPr>
            <w:r w:rsidRPr="005578E7">
              <w:rPr>
                <w:color w:val="0D0D0D" w:themeColor="text1" w:themeTint="F2"/>
              </w:rPr>
              <w:t>Satiksmes ministrija</w:t>
            </w:r>
            <w:r w:rsidRPr="005578E7" w:rsidR="00C07F6A">
              <w:rPr>
                <w:color w:val="0D0D0D" w:themeColor="text1" w:themeTint="F2"/>
              </w:rPr>
              <w:t>, Ventspils brīvostas pārvalde, AS “Ventas osta”.</w:t>
            </w:r>
          </w:p>
        </w:tc>
      </w:tr>
      <w:tr w:rsidRPr="005578E7" w:rsidR="009D2D72" w:rsidTr="0031438D" w14:paraId="6D82DD9D" w14:textId="77777777">
        <w:tc>
          <w:tcPr>
            <w:tcW w:w="311" w:type="pct"/>
            <w:hideMark/>
          </w:tcPr>
          <w:p w:rsidRPr="005578E7" w:rsidR="00BD5588" w:rsidP="00C57E86" w:rsidRDefault="006E2E27" w14:paraId="328B98B5" w14:textId="77777777">
            <w:pPr>
              <w:jc w:val="center"/>
              <w:rPr>
                <w:color w:val="0D0D0D" w:themeColor="text1" w:themeTint="F2"/>
              </w:rPr>
            </w:pPr>
            <w:r w:rsidRPr="005578E7">
              <w:rPr>
                <w:color w:val="0D0D0D" w:themeColor="text1" w:themeTint="F2"/>
              </w:rPr>
              <w:t>2.</w:t>
            </w:r>
          </w:p>
        </w:tc>
        <w:tc>
          <w:tcPr>
            <w:tcW w:w="1479" w:type="pct"/>
            <w:hideMark/>
          </w:tcPr>
          <w:p w:rsidRPr="005578E7" w:rsidR="00BD5588" w:rsidP="00C57E86" w:rsidRDefault="006E2E27" w14:paraId="306E17BE" w14:textId="77777777">
            <w:pPr>
              <w:rPr>
                <w:color w:val="0D0D0D" w:themeColor="text1" w:themeTint="F2"/>
              </w:rPr>
            </w:pPr>
            <w:r w:rsidRPr="005578E7">
              <w:rPr>
                <w:color w:val="0D0D0D" w:themeColor="text1" w:themeTint="F2"/>
              </w:rPr>
              <w:t>Projekta izpildes ietekme uz pārvaldes funkcijām un institucionālo struktūru.</w:t>
            </w:r>
            <w:r w:rsidRPr="005578E7">
              <w:rPr>
                <w:color w:val="0D0D0D" w:themeColor="text1" w:themeTint="F2"/>
              </w:rPr>
              <w:br/>
              <w:t>Jaunu institūciju izveide, esošu institūciju likvidācija vai reorganizācija, to ietekme uz institūcijas cilvēkresursiem</w:t>
            </w:r>
          </w:p>
        </w:tc>
        <w:tc>
          <w:tcPr>
            <w:tcW w:w="3210" w:type="pct"/>
          </w:tcPr>
          <w:p w:rsidRPr="005578E7" w:rsidR="005127CA" w:rsidP="00B93AE6" w:rsidRDefault="00C07F6A" w14:paraId="0CA6A9E8" w14:textId="24F5B32B">
            <w:pPr>
              <w:ind w:left="118" w:right="100"/>
              <w:jc w:val="both"/>
            </w:pPr>
            <w:r w:rsidRPr="005578E7">
              <w:t>Noteikumu projekta izpilde neietekmēs pārvaldes funkcijas vai institucionālo struktūru, jo tā izpilde tiks nodrošināta Ventspils brīvostas pārvaldes un AS “Ventas osta” resursu ietvaros.</w:t>
            </w:r>
          </w:p>
          <w:p w:rsidRPr="005578E7" w:rsidR="009528D6" w:rsidP="00C07F6A" w:rsidRDefault="00C07F6A" w14:paraId="127A00F1" w14:textId="2610B567">
            <w:pPr>
              <w:ind w:left="118" w:right="100"/>
              <w:jc w:val="both"/>
              <w:rPr>
                <w:color w:val="0D0D0D" w:themeColor="text1" w:themeTint="F2"/>
              </w:rPr>
            </w:pPr>
            <w:r w:rsidRPr="005578E7">
              <w:rPr>
                <w:color w:val="0D0D0D" w:themeColor="text1" w:themeTint="F2"/>
              </w:rPr>
              <w:t xml:space="preserve">Lai arī </w:t>
            </w:r>
            <w:r w:rsidRPr="005578E7" w:rsidR="009528D6">
              <w:rPr>
                <w:color w:val="0D0D0D" w:themeColor="text1" w:themeTint="F2"/>
              </w:rPr>
              <w:t xml:space="preserve"> Ventspils brīvostas pārvalde turpina pastāvēt, taču sagaidāms, ka ievērojam</w:t>
            </w:r>
            <w:r w:rsidRPr="005578E7">
              <w:rPr>
                <w:color w:val="0D0D0D" w:themeColor="text1" w:themeTint="F2"/>
              </w:rPr>
              <w:t>a</w:t>
            </w:r>
            <w:r w:rsidRPr="005578E7" w:rsidR="009528D6">
              <w:rPr>
                <w:color w:val="0D0D0D" w:themeColor="text1" w:themeTint="F2"/>
              </w:rPr>
              <w:t xml:space="preserve"> daļa darbinieku – speciālisti, tehniskais personāls u.c. pakāpeniski pāries darbā uz</w:t>
            </w:r>
            <w:r w:rsidRPr="005578E7" w:rsidR="001B165B">
              <w:rPr>
                <w:color w:val="0D0D0D" w:themeColor="text1" w:themeTint="F2"/>
              </w:rPr>
              <w:t xml:space="preserve"> </w:t>
            </w:r>
            <w:r w:rsidRPr="005578E7">
              <w:rPr>
                <w:color w:val="0D0D0D" w:themeColor="text1" w:themeTint="F2"/>
              </w:rPr>
              <w:t>AS</w:t>
            </w:r>
            <w:r w:rsidRPr="005578E7" w:rsidR="00637AD0">
              <w:rPr>
                <w:color w:val="0D0D0D" w:themeColor="text1" w:themeTint="F2"/>
              </w:rPr>
              <w:t xml:space="preserve"> </w:t>
            </w:r>
            <w:r w:rsidRPr="005578E7" w:rsidR="00415A12">
              <w:rPr>
                <w:color w:val="0D0D0D" w:themeColor="text1" w:themeTint="F2"/>
              </w:rPr>
              <w:t>“Ventas osta”.</w:t>
            </w:r>
          </w:p>
        </w:tc>
      </w:tr>
      <w:tr w:rsidRPr="005578E7" w:rsidR="00477344" w:rsidTr="006E22EB" w14:paraId="2CB4F030" w14:textId="77777777">
        <w:tc>
          <w:tcPr>
            <w:tcW w:w="311" w:type="pct"/>
            <w:hideMark/>
          </w:tcPr>
          <w:p w:rsidRPr="005578E7" w:rsidR="00BD5588" w:rsidP="00C57E86" w:rsidRDefault="006E2E27" w14:paraId="507CB57D" w14:textId="77777777">
            <w:pPr>
              <w:jc w:val="center"/>
              <w:rPr>
                <w:color w:val="0D0D0D" w:themeColor="text1" w:themeTint="F2"/>
              </w:rPr>
            </w:pPr>
            <w:r w:rsidRPr="005578E7">
              <w:rPr>
                <w:color w:val="0D0D0D" w:themeColor="text1" w:themeTint="F2"/>
              </w:rPr>
              <w:t>3.</w:t>
            </w:r>
          </w:p>
        </w:tc>
        <w:tc>
          <w:tcPr>
            <w:tcW w:w="1479" w:type="pct"/>
            <w:hideMark/>
          </w:tcPr>
          <w:p w:rsidRPr="005578E7" w:rsidR="00BD5588" w:rsidP="00C57E86" w:rsidRDefault="006E2E27" w14:paraId="5B4B5426" w14:textId="77777777">
            <w:pPr>
              <w:rPr>
                <w:color w:val="0D0D0D" w:themeColor="text1" w:themeTint="F2"/>
              </w:rPr>
            </w:pPr>
            <w:r w:rsidRPr="005578E7">
              <w:rPr>
                <w:color w:val="0D0D0D" w:themeColor="text1" w:themeTint="F2"/>
              </w:rPr>
              <w:t>Cita informācija</w:t>
            </w:r>
          </w:p>
        </w:tc>
        <w:tc>
          <w:tcPr>
            <w:tcW w:w="3210" w:type="pct"/>
            <w:hideMark/>
          </w:tcPr>
          <w:p w:rsidRPr="005578E7" w:rsidR="00A04176" w:rsidP="00C57E86" w:rsidRDefault="006E2E27" w14:paraId="73E82A8A" w14:textId="77777777">
            <w:pPr>
              <w:rPr>
                <w:color w:val="0D0D0D" w:themeColor="text1" w:themeTint="F2"/>
              </w:rPr>
            </w:pPr>
            <w:r w:rsidRPr="005578E7">
              <w:rPr>
                <w:color w:val="0D0D0D" w:themeColor="text1" w:themeTint="F2"/>
              </w:rPr>
              <w:t>Nav.</w:t>
            </w:r>
          </w:p>
        </w:tc>
      </w:tr>
    </w:tbl>
    <w:p w:rsidRPr="005578E7" w:rsidR="00AF7506" w:rsidP="00C57E86" w:rsidRDefault="00AF7506" w14:paraId="2F023204" w14:textId="77777777">
      <w:pPr>
        <w:rPr>
          <w:color w:val="0D0D0D" w:themeColor="text1" w:themeTint="F2"/>
        </w:rPr>
      </w:pPr>
    </w:p>
    <w:p w:rsidRPr="005578E7" w:rsidR="00C07F6A" w:rsidP="00C57E86" w:rsidRDefault="00C07F6A" w14:paraId="6A0BE59D" w14:textId="77777777">
      <w:pPr>
        <w:rPr>
          <w:color w:val="0D0D0D" w:themeColor="text1" w:themeTint="F2"/>
        </w:rPr>
      </w:pPr>
    </w:p>
    <w:p w:rsidRPr="005578E7" w:rsidR="00E80DB8" w:rsidP="00D81B0A" w:rsidRDefault="00E80DB8" w14:paraId="26F4CA7D" w14:textId="52FDA7F1">
      <w:pPr>
        <w:rPr>
          <w:b/>
        </w:rPr>
      </w:pPr>
      <w:r w:rsidRPr="005578E7">
        <w:t>Satiksmes ministrs</w:t>
      </w:r>
      <w:r w:rsidRPr="005578E7">
        <w:tab/>
      </w:r>
      <w:r w:rsidRPr="005578E7" w:rsidR="00D81B0A">
        <w:tab/>
      </w:r>
      <w:r w:rsidRPr="005578E7" w:rsidR="00D81B0A">
        <w:tab/>
      </w:r>
      <w:r w:rsidRPr="005578E7" w:rsidR="00D81B0A">
        <w:tab/>
      </w:r>
      <w:r w:rsidRPr="005578E7" w:rsidR="00D81B0A">
        <w:tab/>
      </w:r>
      <w:r w:rsidRPr="005578E7" w:rsidR="00D81B0A">
        <w:tab/>
      </w:r>
      <w:r w:rsidRPr="005578E7" w:rsidR="00D81B0A">
        <w:tab/>
      </w:r>
      <w:r w:rsidRPr="005578E7" w:rsidR="00D81B0A">
        <w:tab/>
      </w:r>
      <w:proofErr w:type="spellStart"/>
      <w:r w:rsidRPr="005578E7" w:rsidR="00C063C0">
        <w:t>T.Linkaits</w:t>
      </w:r>
      <w:proofErr w:type="spellEnd"/>
    </w:p>
    <w:p w:rsidRPr="005578E7" w:rsidR="00E80DB8" w:rsidP="00D81B0A" w:rsidRDefault="00E80DB8" w14:paraId="1808E6C5" w14:textId="77777777"/>
    <w:p w:rsidRPr="00E930B4" w:rsidR="00E930B4" w:rsidP="00E930B4" w:rsidRDefault="00E930B4" w14:paraId="1340DAB3" w14:textId="77777777">
      <w:r w:rsidRPr="00E930B4">
        <w:t>Vīza: valsts sekretāra vietā –</w:t>
      </w:r>
    </w:p>
    <w:p w:rsidRPr="00E930B4" w:rsidR="00E930B4" w:rsidP="00E930B4" w:rsidRDefault="00E930B4" w14:paraId="3A12CE62" w14:textId="1B8C5A26">
      <w:r w:rsidRPr="00E930B4">
        <w:t>valsts sekretāra vietniece</w:t>
      </w:r>
      <w:r w:rsidRPr="00E930B4">
        <w:tab/>
      </w:r>
      <w:r w:rsidRPr="00E930B4">
        <w:tab/>
      </w:r>
      <w:r w:rsidRPr="00E930B4">
        <w:tab/>
      </w:r>
      <w:r w:rsidRPr="00E930B4">
        <w:tab/>
      </w:r>
      <w:r w:rsidRPr="00E930B4">
        <w:tab/>
      </w:r>
      <w:r>
        <w:tab/>
      </w:r>
      <w:r>
        <w:tab/>
      </w:r>
      <w:bookmarkStart w:name="_GoBack" w:id="2"/>
      <w:bookmarkEnd w:id="2"/>
      <w:proofErr w:type="spellStart"/>
      <w:r w:rsidRPr="00E930B4">
        <w:t>L.Austrupe</w:t>
      </w:r>
      <w:proofErr w:type="spellEnd"/>
    </w:p>
    <w:p w:rsidRPr="00C063C0" w:rsidR="00C063C0" w:rsidP="00C57E86" w:rsidRDefault="00C063C0" w14:paraId="694D7935" w14:textId="77777777">
      <w:pPr>
        <w:rPr>
          <w:sz w:val="20"/>
          <w:szCs w:val="20"/>
          <w:lang w:eastAsia="en-US"/>
        </w:rPr>
      </w:pPr>
    </w:p>
    <w:p w:rsidRPr="00611D2A" w:rsidR="00B95967" w:rsidP="00611D2A" w:rsidRDefault="00B95967" w14:paraId="1A94600E" w14:textId="77777777">
      <w:pPr>
        <w:rPr>
          <w:sz w:val="20"/>
          <w:szCs w:val="20"/>
          <w:lang w:eastAsia="en-US"/>
        </w:rPr>
      </w:pPr>
    </w:p>
    <w:sectPr w:rsidRPr="00611D2A" w:rsidR="00B95967" w:rsidSect="002324B5">
      <w:headerReference w:type="default" r:id="rId16"/>
      <w:footerReference w:type="default" r:id="rId17"/>
      <w:footerReference w:type="first" r:id="rId18"/>
      <w:pgSz w:w="11906" w:h="16838"/>
      <w:pgMar w:top="567" w:right="1134"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622A" w14:textId="77777777" w:rsidR="00CA46F2" w:rsidRDefault="00CA46F2">
      <w:r>
        <w:separator/>
      </w:r>
    </w:p>
  </w:endnote>
  <w:endnote w:type="continuationSeparator" w:id="0">
    <w:p w14:paraId="2D53C54D" w14:textId="77777777" w:rsidR="00CA46F2" w:rsidRDefault="00CA4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7CF06" w14:textId="62356AB5" w:rsidR="000E4591" w:rsidRPr="00AA5BA7" w:rsidRDefault="00AA5BA7" w:rsidP="00AA5BA7">
    <w:pPr>
      <w:pStyle w:val="Footer"/>
    </w:pPr>
    <w:r w:rsidRPr="002324B5">
      <w:rPr>
        <w:sz w:val="20"/>
        <w:szCs w:val="20"/>
      </w:rPr>
      <w:t>SM</w:t>
    </w:r>
    <w:r>
      <w:rPr>
        <w:sz w:val="20"/>
        <w:szCs w:val="20"/>
      </w:rPr>
      <w:t>a</w:t>
    </w:r>
    <w:r w:rsidRPr="002324B5">
      <w:rPr>
        <w:sz w:val="20"/>
        <w:szCs w:val="20"/>
      </w:rPr>
      <w:t>not_</w:t>
    </w:r>
    <w:r w:rsidR="00E9060A">
      <w:rPr>
        <w:sz w:val="20"/>
        <w:szCs w:val="20"/>
      </w:rPr>
      <w:t>2701</w:t>
    </w:r>
    <w:r>
      <w:rPr>
        <w:sz w:val="20"/>
        <w:szCs w:val="20"/>
      </w:rPr>
      <w:t>20_VBP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35F4" w14:textId="64B97ED3" w:rsidR="000E4591" w:rsidRPr="00724AEF" w:rsidRDefault="000E4591">
    <w:pPr>
      <w:pStyle w:val="Footer"/>
      <w:rPr>
        <w:sz w:val="20"/>
        <w:szCs w:val="20"/>
      </w:rPr>
    </w:pPr>
    <w:r w:rsidRPr="002324B5">
      <w:rPr>
        <w:sz w:val="20"/>
        <w:szCs w:val="20"/>
      </w:rPr>
      <w:t>SM</w:t>
    </w:r>
    <w:r>
      <w:rPr>
        <w:sz w:val="20"/>
        <w:szCs w:val="20"/>
      </w:rPr>
      <w:t>a</w:t>
    </w:r>
    <w:r w:rsidRPr="002324B5">
      <w:rPr>
        <w:sz w:val="20"/>
        <w:szCs w:val="20"/>
      </w:rPr>
      <w:t>not_</w:t>
    </w:r>
    <w:r w:rsidR="008E3E6A">
      <w:rPr>
        <w:sz w:val="20"/>
        <w:szCs w:val="20"/>
      </w:rPr>
      <w:t>27</w:t>
    </w:r>
    <w:r w:rsidR="00AA5BA7">
      <w:rPr>
        <w:sz w:val="20"/>
        <w:szCs w:val="20"/>
      </w:rPr>
      <w:t>0120</w:t>
    </w:r>
    <w:r>
      <w:rPr>
        <w:sz w:val="20"/>
        <w:szCs w:val="20"/>
      </w:rPr>
      <w:t>_</w:t>
    </w:r>
    <w:r w:rsidR="00AA5BA7">
      <w:rPr>
        <w:sz w:val="20"/>
        <w:szCs w:val="20"/>
      </w:rPr>
      <w:t>VBP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4FF1E" w14:textId="77777777" w:rsidR="00CA46F2" w:rsidRDefault="00CA46F2">
      <w:r>
        <w:separator/>
      </w:r>
    </w:p>
  </w:footnote>
  <w:footnote w:type="continuationSeparator" w:id="0">
    <w:p w14:paraId="10B4C067" w14:textId="77777777" w:rsidR="00CA46F2" w:rsidRDefault="00CA46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239964"/>
      <w:docPartObj>
        <w:docPartGallery w:val="Page Numbers (Top of Page)"/>
        <w:docPartUnique/>
      </w:docPartObj>
    </w:sdtPr>
    <w:sdtEndPr>
      <w:rPr>
        <w:noProof/>
      </w:rPr>
    </w:sdtEndPr>
    <w:sdtContent>
      <w:p w:rsidR="000E4591" w:rsidP="003E0828" w:rsidRDefault="000E4591" w14:paraId="0645182A" w14:textId="77777777">
        <w:pPr>
          <w:pStyle w:val="Header"/>
          <w:ind w:left="4487" w:hanging="4487"/>
          <w:jc w:val="center"/>
        </w:pPr>
        <w:r>
          <w:fldChar w:fldCharType="begin"/>
        </w:r>
        <w:r>
          <w:instrText xml:space="preserve"> PAGE   \* MERGEFORMAT </w:instrText>
        </w:r>
        <w:r>
          <w:fldChar w:fldCharType="separate"/>
        </w:r>
        <w:r w:rsidR="00C05A70">
          <w:rPr>
            <w:noProof/>
          </w:rPr>
          <w:t>6</w:t>
        </w:r>
        <w:r>
          <w:rPr>
            <w:noProof/>
          </w:rPr>
          <w:fldChar w:fldCharType="end"/>
        </w:r>
      </w:p>
    </w:sdtContent>
  </w:sdt>
  <w:p w:rsidR="000E4591" w:rsidRDefault="000E4591" w14:paraId="23BCACC5"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081"/>
    <w:multiLevelType w:val="hybridMultilevel"/>
    <w:tmpl w:val="008C7916"/>
    <w:lvl w:ilvl="0" w:tplc="2D82647A">
      <w:start w:val="1"/>
      <w:numFmt w:val="decimal"/>
      <w:lvlText w:val="%1."/>
      <w:lvlJc w:val="left"/>
      <w:pPr>
        <w:ind w:left="1565" w:hanging="360"/>
      </w:pPr>
      <w:rPr>
        <w:rFonts w:hint="default"/>
      </w:rPr>
    </w:lvl>
    <w:lvl w:ilvl="1" w:tplc="04260019" w:tentative="1">
      <w:start w:val="1"/>
      <w:numFmt w:val="lowerLetter"/>
      <w:lvlText w:val="%2."/>
      <w:lvlJc w:val="left"/>
      <w:pPr>
        <w:ind w:left="2285" w:hanging="360"/>
      </w:pPr>
    </w:lvl>
    <w:lvl w:ilvl="2" w:tplc="0426001B" w:tentative="1">
      <w:start w:val="1"/>
      <w:numFmt w:val="lowerRoman"/>
      <w:lvlText w:val="%3."/>
      <w:lvlJc w:val="right"/>
      <w:pPr>
        <w:ind w:left="3005" w:hanging="180"/>
      </w:pPr>
    </w:lvl>
    <w:lvl w:ilvl="3" w:tplc="0426000F" w:tentative="1">
      <w:start w:val="1"/>
      <w:numFmt w:val="decimal"/>
      <w:lvlText w:val="%4."/>
      <w:lvlJc w:val="left"/>
      <w:pPr>
        <w:ind w:left="3725" w:hanging="360"/>
      </w:pPr>
    </w:lvl>
    <w:lvl w:ilvl="4" w:tplc="04260019" w:tentative="1">
      <w:start w:val="1"/>
      <w:numFmt w:val="lowerLetter"/>
      <w:lvlText w:val="%5."/>
      <w:lvlJc w:val="left"/>
      <w:pPr>
        <w:ind w:left="4445" w:hanging="360"/>
      </w:pPr>
    </w:lvl>
    <w:lvl w:ilvl="5" w:tplc="0426001B" w:tentative="1">
      <w:start w:val="1"/>
      <w:numFmt w:val="lowerRoman"/>
      <w:lvlText w:val="%6."/>
      <w:lvlJc w:val="right"/>
      <w:pPr>
        <w:ind w:left="5165" w:hanging="180"/>
      </w:pPr>
    </w:lvl>
    <w:lvl w:ilvl="6" w:tplc="0426000F" w:tentative="1">
      <w:start w:val="1"/>
      <w:numFmt w:val="decimal"/>
      <w:lvlText w:val="%7."/>
      <w:lvlJc w:val="left"/>
      <w:pPr>
        <w:ind w:left="5885" w:hanging="360"/>
      </w:pPr>
    </w:lvl>
    <w:lvl w:ilvl="7" w:tplc="04260019" w:tentative="1">
      <w:start w:val="1"/>
      <w:numFmt w:val="lowerLetter"/>
      <w:lvlText w:val="%8."/>
      <w:lvlJc w:val="left"/>
      <w:pPr>
        <w:ind w:left="6605" w:hanging="360"/>
      </w:pPr>
    </w:lvl>
    <w:lvl w:ilvl="8" w:tplc="0426001B" w:tentative="1">
      <w:start w:val="1"/>
      <w:numFmt w:val="lowerRoman"/>
      <w:lvlText w:val="%9."/>
      <w:lvlJc w:val="right"/>
      <w:pPr>
        <w:ind w:left="7325" w:hanging="180"/>
      </w:pPr>
    </w:lvl>
  </w:abstractNum>
  <w:abstractNum w:abstractNumId="1" w15:restartNumberingAfterBreak="0">
    <w:nsid w:val="09077F97"/>
    <w:multiLevelType w:val="hybridMultilevel"/>
    <w:tmpl w:val="A5B21784"/>
    <w:lvl w:ilvl="0" w:tplc="C5445E3C">
      <w:start w:val="1"/>
      <w:numFmt w:val="decimal"/>
      <w:lvlText w:val="%1."/>
      <w:lvlJc w:val="left"/>
      <w:pPr>
        <w:ind w:left="622" w:hanging="360"/>
      </w:pPr>
      <w:rPr>
        <w:rFonts w:hint="default"/>
      </w:rPr>
    </w:lvl>
    <w:lvl w:ilvl="1" w:tplc="04260019" w:tentative="1">
      <w:start w:val="1"/>
      <w:numFmt w:val="lowerLetter"/>
      <w:lvlText w:val="%2."/>
      <w:lvlJc w:val="left"/>
      <w:pPr>
        <w:ind w:left="1342" w:hanging="360"/>
      </w:pPr>
    </w:lvl>
    <w:lvl w:ilvl="2" w:tplc="0426001B" w:tentative="1">
      <w:start w:val="1"/>
      <w:numFmt w:val="lowerRoman"/>
      <w:lvlText w:val="%3."/>
      <w:lvlJc w:val="right"/>
      <w:pPr>
        <w:ind w:left="2062" w:hanging="180"/>
      </w:pPr>
    </w:lvl>
    <w:lvl w:ilvl="3" w:tplc="0426000F" w:tentative="1">
      <w:start w:val="1"/>
      <w:numFmt w:val="decimal"/>
      <w:lvlText w:val="%4."/>
      <w:lvlJc w:val="left"/>
      <w:pPr>
        <w:ind w:left="2782" w:hanging="360"/>
      </w:pPr>
    </w:lvl>
    <w:lvl w:ilvl="4" w:tplc="04260019" w:tentative="1">
      <w:start w:val="1"/>
      <w:numFmt w:val="lowerLetter"/>
      <w:lvlText w:val="%5."/>
      <w:lvlJc w:val="left"/>
      <w:pPr>
        <w:ind w:left="3502" w:hanging="360"/>
      </w:pPr>
    </w:lvl>
    <w:lvl w:ilvl="5" w:tplc="0426001B" w:tentative="1">
      <w:start w:val="1"/>
      <w:numFmt w:val="lowerRoman"/>
      <w:lvlText w:val="%6."/>
      <w:lvlJc w:val="right"/>
      <w:pPr>
        <w:ind w:left="4222" w:hanging="180"/>
      </w:pPr>
    </w:lvl>
    <w:lvl w:ilvl="6" w:tplc="0426000F" w:tentative="1">
      <w:start w:val="1"/>
      <w:numFmt w:val="decimal"/>
      <w:lvlText w:val="%7."/>
      <w:lvlJc w:val="left"/>
      <w:pPr>
        <w:ind w:left="4942" w:hanging="360"/>
      </w:pPr>
    </w:lvl>
    <w:lvl w:ilvl="7" w:tplc="04260019" w:tentative="1">
      <w:start w:val="1"/>
      <w:numFmt w:val="lowerLetter"/>
      <w:lvlText w:val="%8."/>
      <w:lvlJc w:val="left"/>
      <w:pPr>
        <w:ind w:left="5662" w:hanging="360"/>
      </w:pPr>
    </w:lvl>
    <w:lvl w:ilvl="8" w:tplc="0426001B" w:tentative="1">
      <w:start w:val="1"/>
      <w:numFmt w:val="lowerRoman"/>
      <w:lvlText w:val="%9."/>
      <w:lvlJc w:val="right"/>
      <w:pPr>
        <w:ind w:left="6382" w:hanging="180"/>
      </w:pPr>
    </w:lvl>
  </w:abstractNum>
  <w:abstractNum w:abstractNumId="2" w15:restartNumberingAfterBreak="0">
    <w:nsid w:val="0A8B2C5D"/>
    <w:multiLevelType w:val="hybridMultilevel"/>
    <w:tmpl w:val="1B142F8E"/>
    <w:lvl w:ilvl="0" w:tplc="BA7E0250">
      <w:start w:val="1"/>
      <w:numFmt w:val="decimal"/>
      <w:lvlText w:val="%1."/>
      <w:lvlJc w:val="left"/>
      <w:pPr>
        <w:ind w:left="735" w:hanging="360"/>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3" w15:restartNumberingAfterBreak="0">
    <w:nsid w:val="0EA508F2"/>
    <w:multiLevelType w:val="hybridMultilevel"/>
    <w:tmpl w:val="7780CA68"/>
    <w:lvl w:ilvl="0" w:tplc="2584A55E">
      <w:start w:val="14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215920"/>
    <w:multiLevelType w:val="hybridMultilevel"/>
    <w:tmpl w:val="A5B21784"/>
    <w:lvl w:ilvl="0" w:tplc="C5445E3C">
      <w:start w:val="1"/>
      <w:numFmt w:val="decimal"/>
      <w:lvlText w:val="%1."/>
      <w:lvlJc w:val="left"/>
      <w:pPr>
        <w:ind w:left="622" w:hanging="360"/>
      </w:pPr>
      <w:rPr>
        <w:rFonts w:hint="default"/>
      </w:rPr>
    </w:lvl>
    <w:lvl w:ilvl="1" w:tplc="04260019" w:tentative="1">
      <w:start w:val="1"/>
      <w:numFmt w:val="lowerLetter"/>
      <w:lvlText w:val="%2."/>
      <w:lvlJc w:val="left"/>
      <w:pPr>
        <w:ind w:left="1342" w:hanging="360"/>
      </w:pPr>
    </w:lvl>
    <w:lvl w:ilvl="2" w:tplc="0426001B" w:tentative="1">
      <w:start w:val="1"/>
      <w:numFmt w:val="lowerRoman"/>
      <w:lvlText w:val="%3."/>
      <w:lvlJc w:val="right"/>
      <w:pPr>
        <w:ind w:left="2062" w:hanging="180"/>
      </w:pPr>
    </w:lvl>
    <w:lvl w:ilvl="3" w:tplc="0426000F" w:tentative="1">
      <w:start w:val="1"/>
      <w:numFmt w:val="decimal"/>
      <w:lvlText w:val="%4."/>
      <w:lvlJc w:val="left"/>
      <w:pPr>
        <w:ind w:left="2782" w:hanging="360"/>
      </w:pPr>
    </w:lvl>
    <w:lvl w:ilvl="4" w:tplc="04260019" w:tentative="1">
      <w:start w:val="1"/>
      <w:numFmt w:val="lowerLetter"/>
      <w:lvlText w:val="%5."/>
      <w:lvlJc w:val="left"/>
      <w:pPr>
        <w:ind w:left="3502" w:hanging="360"/>
      </w:pPr>
    </w:lvl>
    <w:lvl w:ilvl="5" w:tplc="0426001B" w:tentative="1">
      <w:start w:val="1"/>
      <w:numFmt w:val="lowerRoman"/>
      <w:lvlText w:val="%6."/>
      <w:lvlJc w:val="right"/>
      <w:pPr>
        <w:ind w:left="4222" w:hanging="180"/>
      </w:pPr>
    </w:lvl>
    <w:lvl w:ilvl="6" w:tplc="0426000F" w:tentative="1">
      <w:start w:val="1"/>
      <w:numFmt w:val="decimal"/>
      <w:lvlText w:val="%7."/>
      <w:lvlJc w:val="left"/>
      <w:pPr>
        <w:ind w:left="4942" w:hanging="360"/>
      </w:pPr>
    </w:lvl>
    <w:lvl w:ilvl="7" w:tplc="04260019" w:tentative="1">
      <w:start w:val="1"/>
      <w:numFmt w:val="lowerLetter"/>
      <w:lvlText w:val="%8."/>
      <w:lvlJc w:val="left"/>
      <w:pPr>
        <w:ind w:left="5662" w:hanging="360"/>
      </w:pPr>
    </w:lvl>
    <w:lvl w:ilvl="8" w:tplc="0426001B" w:tentative="1">
      <w:start w:val="1"/>
      <w:numFmt w:val="lowerRoman"/>
      <w:lvlText w:val="%9."/>
      <w:lvlJc w:val="right"/>
      <w:pPr>
        <w:ind w:left="6382" w:hanging="180"/>
      </w:pPr>
    </w:lvl>
  </w:abstractNum>
  <w:abstractNum w:abstractNumId="5" w15:restartNumberingAfterBreak="0">
    <w:nsid w:val="1C993D6D"/>
    <w:multiLevelType w:val="hybridMultilevel"/>
    <w:tmpl w:val="E7E0378C"/>
    <w:lvl w:ilvl="0" w:tplc="0ACEE4EC">
      <w:start w:val="1"/>
      <w:numFmt w:val="decimal"/>
      <w:lvlText w:val="%1."/>
      <w:lvlJc w:val="left"/>
      <w:pPr>
        <w:ind w:left="720" w:hanging="360"/>
      </w:pPr>
      <w:rPr>
        <w:rFonts w:hint="default"/>
      </w:rPr>
    </w:lvl>
    <w:lvl w:ilvl="1" w:tplc="E550E716" w:tentative="1">
      <w:start w:val="1"/>
      <w:numFmt w:val="lowerLetter"/>
      <w:lvlText w:val="%2."/>
      <w:lvlJc w:val="left"/>
      <w:pPr>
        <w:ind w:left="1440" w:hanging="360"/>
      </w:pPr>
    </w:lvl>
    <w:lvl w:ilvl="2" w:tplc="F00EDA4A" w:tentative="1">
      <w:start w:val="1"/>
      <w:numFmt w:val="lowerRoman"/>
      <w:lvlText w:val="%3."/>
      <w:lvlJc w:val="right"/>
      <w:pPr>
        <w:ind w:left="2160" w:hanging="180"/>
      </w:pPr>
    </w:lvl>
    <w:lvl w:ilvl="3" w:tplc="C830536E" w:tentative="1">
      <w:start w:val="1"/>
      <w:numFmt w:val="decimal"/>
      <w:lvlText w:val="%4."/>
      <w:lvlJc w:val="left"/>
      <w:pPr>
        <w:ind w:left="2880" w:hanging="360"/>
      </w:pPr>
    </w:lvl>
    <w:lvl w:ilvl="4" w:tplc="135AA57A" w:tentative="1">
      <w:start w:val="1"/>
      <w:numFmt w:val="lowerLetter"/>
      <w:lvlText w:val="%5."/>
      <w:lvlJc w:val="left"/>
      <w:pPr>
        <w:ind w:left="3600" w:hanging="360"/>
      </w:pPr>
    </w:lvl>
    <w:lvl w:ilvl="5" w:tplc="C1D0C36E" w:tentative="1">
      <w:start w:val="1"/>
      <w:numFmt w:val="lowerRoman"/>
      <w:lvlText w:val="%6."/>
      <w:lvlJc w:val="right"/>
      <w:pPr>
        <w:ind w:left="4320" w:hanging="180"/>
      </w:pPr>
    </w:lvl>
    <w:lvl w:ilvl="6" w:tplc="C9D45BCC" w:tentative="1">
      <w:start w:val="1"/>
      <w:numFmt w:val="decimal"/>
      <w:lvlText w:val="%7."/>
      <w:lvlJc w:val="left"/>
      <w:pPr>
        <w:ind w:left="5040" w:hanging="360"/>
      </w:pPr>
    </w:lvl>
    <w:lvl w:ilvl="7" w:tplc="1E1EBE7E" w:tentative="1">
      <w:start w:val="1"/>
      <w:numFmt w:val="lowerLetter"/>
      <w:lvlText w:val="%8."/>
      <w:lvlJc w:val="left"/>
      <w:pPr>
        <w:ind w:left="5760" w:hanging="360"/>
      </w:pPr>
    </w:lvl>
    <w:lvl w:ilvl="8" w:tplc="820ECF30" w:tentative="1">
      <w:start w:val="1"/>
      <w:numFmt w:val="lowerRoman"/>
      <w:lvlText w:val="%9."/>
      <w:lvlJc w:val="right"/>
      <w:pPr>
        <w:ind w:left="6480" w:hanging="180"/>
      </w:pPr>
    </w:lvl>
  </w:abstractNum>
  <w:abstractNum w:abstractNumId="6" w15:restartNumberingAfterBreak="0">
    <w:nsid w:val="2B8F382C"/>
    <w:multiLevelType w:val="hybridMultilevel"/>
    <w:tmpl w:val="7F926818"/>
    <w:lvl w:ilvl="0" w:tplc="D266505C">
      <w:start w:val="1"/>
      <w:numFmt w:val="decimal"/>
      <w:lvlText w:val="%1."/>
      <w:lvlJc w:val="left"/>
      <w:pPr>
        <w:ind w:left="720" w:hanging="360"/>
      </w:pPr>
      <w:rPr>
        <w:rFonts w:hint="default"/>
      </w:rPr>
    </w:lvl>
    <w:lvl w:ilvl="1" w:tplc="73749240" w:tentative="1">
      <w:start w:val="1"/>
      <w:numFmt w:val="lowerLetter"/>
      <w:lvlText w:val="%2."/>
      <w:lvlJc w:val="left"/>
      <w:pPr>
        <w:ind w:left="1440" w:hanging="360"/>
      </w:pPr>
    </w:lvl>
    <w:lvl w:ilvl="2" w:tplc="119A960A" w:tentative="1">
      <w:start w:val="1"/>
      <w:numFmt w:val="lowerRoman"/>
      <w:lvlText w:val="%3."/>
      <w:lvlJc w:val="right"/>
      <w:pPr>
        <w:ind w:left="2160" w:hanging="180"/>
      </w:pPr>
    </w:lvl>
    <w:lvl w:ilvl="3" w:tplc="8B8888C2" w:tentative="1">
      <w:start w:val="1"/>
      <w:numFmt w:val="decimal"/>
      <w:lvlText w:val="%4."/>
      <w:lvlJc w:val="left"/>
      <w:pPr>
        <w:ind w:left="2880" w:hanging="360"/>
      </w:pPr>
    </w:lvl>
    <w:lvl w:ilvl="4" w:tplc="14DE0D7A" w:tentative="1">
      <w:start w:val="1"/>
      <w:numFmt w:val="lowerLetter"/>
      <w:lvlText w:val="%5."/>
      <w:lvlJc w:val="left"/>
      <w:pPr>
        <w:ind w:left="3600" w:hanging="360"/>
      </w:pPr>
    </w:lvl>
    <w:lvl w:ilvl="5" w:tplc="835C03D2" w:tentative="1">
      <w:start w:val="1"/>
      <w:numFmt w:val="lowerRoman"/>
      <w:lvlText w:val="%6."/>
      <w:lvlJc w:val="right"/>
      <w:pPr>
        <w:ind w:left="4320" w:hanging="180"/>
      </w:pPr>
    </w:lvl>
    <w:lvl w:ilvl="6" w:tplc="108C1D8E" w:tentative="1">
      <w:start w:val="1"/>
      <w:numFmt w:val="decimal"/>
      <w:lvlText w:val="%7."/>
      <w:lvlJc w:val="left"/>
      <w:pPr>
        <w:ind w:left="5040" w:hanging="360"/>
      </w:pPr>
    </w:lvl>
    <w:lvl w:ilvl="7" w:tplc="11CAB6AE" w:tentative="1">
      <w:start w:val="1"/>
      <w:numFmt w:val="lowerLetter"/>
      <w:lvlText w:val="%8."/>
      <w:lvlJc w:val="left"/>
      <w:pPr>
        <w:ind w:left="5760" w:hanging="360"/>
      </w:pPr>
    </w:lvl>
    <w:lvl w:ilvl="8" w:tplc="ADDECCEE" w:tentative="1">
      <w:start w:val="1"/>
      <w:numFmt w:val="lowerRoman"/>
      <w:lvlText w:val="%9."/>
      <w:lvlJc w:val="right"/>
      <w:pPr>
        <w:ind w:left="6480" w:hanging="180"/>
      </w:pPr>
    </w:lvl>
  </w:abstractNum>
  <w:abstractNum w:abstractNumId="7" w15:restartNumberingAfterBreak="0">
    <w:nsid w:val="30F42B8E"/>
    <w:multiLevelType w:val="hybridMultilevel"/>
    <w:tmpl w:val="AF84DD4C"/>
    <w:lvl w:ilvl="0" w:tplc="8A1032F6">
      <w:start w:val="1"/>
      <w:numFmt w:val="decimal"/>
      <w:lvlText w:val="%1)"/>
      <w:lvlJc w:val="left"/>
      <w:pPr>
        <w:ind w:left="644" w:hanging="360"/>
      </w:pPr>
      <w:rPr>
        <w:rFonts w:hint="default"/>
      </w:rPr>
    </w:lvl>
    <w:lvl w:ilvl="1" w:tplc="8E56ED3C" w:tentative="1">
      <w:start w:val="1"/>
      <w:numFmt w:val="lowerLetter"/>
      <w:lvlText w:val="%2."/>
      <w:lvlJc w:val="left"/>
      <w:pPr>
        <w:ind w:left="1364" w:hanging="360"/>
      </w:pPr>
    </w:lvl>
    <w:lvl w:ilvl="2" w:tplc="BB9858B2" w:tentative="1">
      <w:start w:val="1"/>
      <w:numFmt w:val="lowerRoman"/>
      <w:lvlText w:val="%3."/>
      <w:lvlJc w:val="right"/>
      <w:pPr>
        <w:ind w:left="2084" w:hanging="180"/>
      </w:pPr>
    </w:lvl>
    <w:lvl w:ilvl="3" w:tplc="3E4E9BBC" w:tentative="1">
      <w:start w:val="1"/>
      <w:numFmt w:val="decimal"/>
      <w:lvlText w:val="%4."/>
      <w:lvlJc w:val="left"/>
      <w:pPr>
        <w:ind w:left="2804" w:hanging="360"/>
      </w:pPr>
    </w:lvl>
    <w:lvl w:ilvl="4" w:tplc="25D01172" w:tentative="1">
      <w:start w:val="1"/>
      <w:numFmt w:val="lowerLetter"/>
      <w:lvlText w:val="%5."/>
      <w:lvlJc w:val="left"/>
      <w:pPr>
        <w:ind w:left="3524" w:hanging="360"/>
      </w:pPr>
    </w:lvl>
    <w:lvl w:ilvl="5" w:tplc="B388E660" w:tentative="1">
      <w:start w:val="1"/>
      <w:numFmt w:val="lowerRoman"/>
      <w:lvlText w:val="%6."/>
      <w:lvlJc w:val="right"/>
      <w:pPr>
        <w:ind w:left="4244" w:hanging="180"/>
      </w:pPr>
    </w:lvl>
    <w:lvl w:ilvl="6" w:tplc="833AACB6" w:tentative="1">
      <w:start w:val="1"/>
      <w:numFmt w:val="decimal"/>
      <w:lvlText w:val="%7."/>
      <w:lvlJc w:val="left"/>
      <w:pPr>
        <w:ind w:left="4964" w:hanging="360"/>
      </w:pPr>
    </w:lvl>
    <w:lvl w:ilvl="7" w:tplc="4F945B6A" w:tentative="1">
      <w:start w:val="1"/>
      <w:numFmt w:val="lowerLetter"/>
      <w:lvlText w:val="%8."/>
      <w:lvlJc w:val="left"/>
      <w:pPr>
        <w:ind w:left="5684" w:hanging="360"/>
      </w:pPr>
    </w:lvl>
    <w:lvl w:ilvl="8" w:tplc="56E27226" w:tentative="1">
      <w:start w:val="1"/>
      <w:numFmt w:val="lowerRoman"/>
      <w:lvlText w:val="%9."/>
      <w:lvlJc w:val="right"/>
      <w:pPr>
        <w:ind w:left="6404" w:hanging="180"/>
      </w:pPr>
    </w:lvl>
  </w:abstractNum>
  <w:abstractNum w:abstractNumId="8" w15:restartNumberingAfterBreak="0">
    <w:nsid w:val="315C54AB"/>
    <w:multiLevelType w:val="hybridMultilevel"/>
    <w:tmpl w:val="9056D190"/>
    <w:lvl w:ilvl="0" w:tplc="DF763156">
      <w:start w:val="1"/>
      <w:numFmt w:val="decimal"/>
      <w:lvlText w:val="%1."/>
      <w:lvlJc w:val="left"/>
      <w:pPr>
        <w:ind w:left="720" w:hanging="360"/>
      </w:pPr>
      <w:rPr>
        <w:rFonts w:hint="default"/>
      </w:rPr>
    </w:lvl>
    <w:lvl w:ilvl="1" w:tplc="22A2F84E" w:tentative="1">
      <w:start w:val="1"/>
      <w:numFmt w:val="lowerLetter"/>
      <w:lvlText w:val="%2."/>
      <w:lvlJc w:val="left"/>
      <w:pPr>
        <w:ind w:left="1440" w:hanging="360"/>
      </w:pPr>
    </w:lvl>
    <w:lvl w:ilvl="2" w:tplc="8CDEB764" w:tentative="1">
      <w:start w:val="1"/>
      <w:numFmt w:val="lowerRoman"/>
      <w:lvlText w:val="%3."/>
      <w:lvlJc w:val="right"/>
      <w:pPr>
        <w:ind w:left="2160" w:hanging="180"/>
      </w:pPr>
    </w:lvl>
    <w:lvl w:ilvl="3" w:tplc="FF646B8E" w:tentative="1">
      <w:start w:val="1"/>
      <w:numFmt w:val="decimal"/>
      <w:lvlText w:val="%4."/>
      <w:lvlJc w:val="left"/>
      <w:pPr>
        <w:ind w:left="2880" w:hanging="360"/>
      </w:pPr>
    </w:lvl>
    <w:lvl w:ilvl="4" w:tplc="B844A49A" w:tentative="1">
      <w:start w:val="1"/>
      <w:numFmt w:val="lowerLetter"/>
      <w:lvlText w:val="%5."/>
      <w:lvlJc w:val="left"/>
      <w:pPr>
        <w:ind w:left="3600" w:hanging="360"/>
      </w:pPr>
    </w:lvl>
    <w:lvl w:ilvl="5" w:tplc="3A8C6490" w:tentative="1">
      <w:start w:val="1"/>
      <w:numFmt w:val="lowerRoman"/>
      <w:lvlText w:val="%6."/>
      <w:lvlJc w:val="right"/>
      <w:pPr>
        <w:ind w:left="4320" w:hanging="180"/>
      </w:pPr>
    </w:lvl>
    <w:lvl w:ilvl="6" w:tplc="5D807F22" w:tentative="1">
      <w:start w:val="1"/>
      <w:numFmt w:val="decimal"/>
      <w:lvlText w:val="%7."/>
      <w:lvlJc w:val="left"/>
      <w:pPr>
        <w:ind w:left="5040" w:hanging="360"/>
      </w:pPr>
    </w:lvl>
    <w:lvl w:ilvl="7" w:tplc="B3EE2180" w:tentative="1">
      <w:start w:val="1"/>
      <w:numFmt w:val="lowerLetter"/>
      <w:lvlText w:val="%8."/>
      <w:lvlJc w:val="left"/>
      <w:pPr>
        <w:ind w:left="5760" w:hanging="360"/>
      </w:pPr>
    </w:lvl>
    <w:lvl w:ilvl="8" w:tplc="B35206DE" w:tentative="1">
      <w:start w:val="1"/>
      <w:numFmt w:val="lowerRoman"/>
      <w:lvlText w:val="%9."/>
      <w:lvlJc w:val="right"/>
      <w:pPr>
        <w:ind w:left="6480" w:hanging="180"/>
      </w:pPr>
    </w:lvl>
  </w:abstractNum>
  <w:abstractNum w:abstractNumId="9" w15:restartNumberingAfterBreak="0">
    <w:nsid w:val="39D31D79"/>
    <w:multiLevelType w:val="hybridMultilevel"/>
    <w:tmpl w:val="D6F287E6"/>
    <w:lvl w:ilvl="0" w:tplc="750E0DB2">
      <w:start w:val="1"/>
      <w:numFmt w:val="decimal"/>
      <w:lvlText w:val="%1."/>
      <w:lvlJc w:val="left"/>
      <w:pPr>
        <w:ind w:left="720" w:hanging="360"/>
      </w:pPr>
      <w:rPr>
        <w:rFonts w:hint="default"/>
      </w:rPr>
    </w:lvl>
    <w:lvl w:ilvl="1" w:tplc="C862D858" w:tentative="1">
      <w:start w:val="1"/>
      <w:numFmt w:val="lowerLetter"/>
      <w:lvlText w:val="%2."/>
      <w:lvlJc w:val="left"/>
      <w:pPr>
        <w:ind w:left="1440" w:hanging="360"/>
      </w:pPr>
    </w:lvl>
    <w:lvl w:ilvl="2" w:tplc="2CAAD6DC" w:tentative="1">
      <w:start w:val="1"/>
      <w:numFmt w:val="lowerRoman"/>
      <w:lvlText w:val="%3."/>
      <w:lvlJc w:val="right"/>
      <w:pPr>
        <w:ind w:left="2160" w:hanging="180"/>
      </w:pPr>
    </w:lvl>
    <w:lvl w:ilvl="3" w:tplc="42F03CBA" w:tentative="1">
      <w:start w:val="1"/>
      <w:numFmt w:val="decimal"/>
      <w:lvlText w:val="%4."/>
      <w:lvlJc w:val="left"/>
      <w:pPr>
        <w:ind w:left="2880" w:hanging="360"/>
      </w:pPr>
    </w:lvl>
    <w:lvl w:ilvl="4" w:tplc="0C80E85A" w:tentative="1">
      <w:start w:val="1"/>
      <w:numFmt w:val="lowerLetter"/>
      <w:lvlText w:val="%5."/>
      <w:lvlJc w:val="left"/>
      <w:pPr>
        <w:ind w:left="3600" w:hanging="360"/>
      </w:pPr>
    </w:lvl>
    <w:lvl w:ilvl="5" w:tplc="690EC24E" w:tentative="1">
      <w:start w:val="1"/>
      <w:numFmt w:val="lowerRoman"/>
      <w:lvlText w:val="%6."/>
      <w:lvlJc w:val="right"/>
      <w:pPr>
        <w:ind w:left="4320" w:hanging="180"/>
      </w:pPr>
    </w:lvl>
    <w:lvl w:ilvl="6" w:tplc="C0FC3D1E" w:tentative="1">
      <w:start w:val="1"/>
      <w:numFmt w:val="decimal"/>
      <w:lvlText w:val="%7."/>
      <w:lvlJc w:val="left"/>
      <w:pPr>
        <w:ind w:left="5040" w:hanging="360"/>
      </w:pPr>
    </w:lvl>
    <w:lvl w:ilvl="7" w:tplc="255ECD38" w:tentative="1">
      <w:start w:val="1"/>
      <w:numFmt w:val="lowerLetter"/>
      <w:lvlText w:val="%8."/>
      <w:lvlJc w:val="left"/>
      <w:pPr>
        <w:ind w:left="5760" w:hanging="360"/>
      </w:pPr>
    </w:lvl>
    <w:lvl w:ilvl="8" w:tplc="6C8A53F4" w:tentative="1">
      <w:start w:val="1"/>
      <w:numFmt w:val="lowerRoman"/>
      <w:lvlText w:val="%9."/>
      <w:lvlJc w:val="right"/>
      <w:pPr>
        <w:ind w:left="6480" w:hanging="180"/>
      </w:pPr>
    </w:lvl>
  </w:abstractNum>
  <w:abstractNum w:abstractNumId="10" w15:restartNumberingAfterBreak="0">
    <w:nsid w:val="44467BA5"/>
    <w:multiLevelType w:val="hybridMultilevel"/>
    <w:tmpl w:val="89B2187A"/>
    <w:lvl w:ilvl="0" w:tplc="7A0CBCCC">
      <w:start w:val="1"/>
      <w:numFmt w:val="decimal"/>
      <w:lvlText w:val="%1."/>
      <w:lvlJc w:val="left"/>
      <w:pPr>
        <w:ind w:left="720" w:hanging="360"/>
      </w:pPr>
      <w:rPr>
        <w:rFonts w:hint="default"/>
      </w:rPr>
    </w:lvl>
    <w:lvl w:ilvl="1" w:tplc="6FCEBF00" w:tentative="1">
      <w:start w:val="1"/>
      <w:numFmt w:val="lowerLetter"/>
      <w:lvlText w:val="%2."/>
      <w:lvlJc w:val="left"/>
      <w:pPr>
        <w:ind w:left="1440" w:hanging="360"/>
      </w:pPr>
    </w:lvl>
    <w:lvl w:ilvl="2" w:tplc="E2C2D2E4" w:tentative="1">
      <w:start w:val="1"/>
      <w:numFmt w:val="lowerRoman"/>
      <w:lvlText w:val="%3."/>
      <w:lvlJc w:val="right"/>
      <w:pPr>
        <w:ind w:left="2160" w:hanging="180"/>
      </w:pPr>
    </w:lvl>
    <w:lvl w:ilvl="3" w:tplc="F9BEA51E" w:tentative="1">
      <w:start w:val="1"/>
      <w:numFmt w:val="decimal"/>
      <w:lvlText w:val="%4."/>
      <w:lvlJc w:val="left"/>
      <w:pPr>
        <w:ind w:left="2880" w:hanging="360"/>
      </w:pPr>
    </w:lvl>
    <w:lvl w:ilvl="4" w:tplc="FBF0DA8C" w:tentative="1">
      <w:start w:val="1"/>
      <w:numFmt w:val="lowerLetter"/>
      <w:lvlText w:val="%5."/>
      <w:lvlJc w:val="left"/>
      <w:pPr>
        <w:ind w:left="3600" w:hanging="360"/>
      </w:pPr>
    </w:lvl>
    <w:lvl w:ilvl="5" w:tplc="EEE43926" w:tentative="1">
      <w:start w:val="1"/>
      <w:numFmt w:val="lowerRoman"/>
      <w:lvlText w:val="%6."/>
      <w:lvlJc w:val="right"/>
      <w:pPr>
        <w:ind w:left="4320" w:hanging="180"/>
      </w:pPr>
    </w:lvl>
    <w:lvl w:ilvl="6" w:tplc="CB0C29F2" w:tentative="1">
      <w:start w:val="1"/>
      <w:numFmt w:val="decimal"/>
      <w:lvlText w:val="%7."/>
      <w:lvlJc w:val="left"/>
      <w:pPr>
        <w:ind w:left="5040" w:hanging="360"/>
      </w:pPr>
    </w:lvl>
    <w:lvl w:ilvl="7" w:tplc="AE56C1CE" w:tentative="1">
      <w:start w:val="1"/>
      <w:numFmt w:val="lowerLetter"/>
      <w:lvlText w:val="%8."/>
      <w:lvlJc w:val="left"/>
      <w:pPr>
        <w:ind w:left="5760" w:hanging="360"/>
      </w:pPr>
    </w:lvl>
    <w:lvl w:ilvl="8" w:tplc="92681036" w:tentative="1">
      <w:start w:val="1"/>
      <w:numFmt w:val="lowerRoman"/>
      <w:lvlText w:val="%9."/>
      <w:lvlJc w:val="right"/>
      <w:pPr>
        <w:ind w:left="6480" w:hanging="180"/>
      </w:pPr>
    </w:lvl>
  </w:abstractNum>
  <w:abstractNum w:abstractNumId="11" w15:restartNumberingAfterBreak="0">
    <w:nsid w:val="4D934427"/>
    <w:multiLevelType w:val="hybridMultilevel"/>
    <w:tmpl w:val="B6E283E4"/>
    <w:lvl w:ilvl="0" w:tplc="CA304620">
      <w:start w:val="1"/>
      <w:numFmt w:val="decimal"/>
      <w:lvlText w:val="%1)"/>
      <w:lvlJc w:val="left"/>
      <w:pPr>
        <w:ind w:left="762" w:hanging="360"/>
      </w:pPr>
      <w:rPr>
        <w:rFonts w:hint="default"/>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2" w15:restartNumberingAfterBreak="0">
    <w:nsid w:val="528F6CF1"/>
    <w:multiLevelType w:val="hybridMultilevel"/>
    <w:tmpl w:val="125CC1EC"/>
    <w:lvl w:ilvl="0" w:tplc="11540D98">
      <w:start w:val="1"/>
      <w:numFmt w:val="decimal"/>
      <w:lvlText w:val="%1)"/>
      <w:lvlJc w:val="left"/>
      <w:pPr>
        <w:ind w:left="720" w:hanging="360"/>
      </w:pPr>
      <w:rPr>
        <w:rFonts w:hint="default"/>
      </w:rPr>
    </w:lvl>
    <w:lvl w:ilvl="1" w:tplc="C5A4A92A" w:tentative="1">
      <w:start w:val="1"/>
      <w:numFmt w:val="lowerLetter"/>
      <w:lvlText w:val="%2."/>
      <w:lvlJc w:val="left"/>
      <w:pPr>
        <w:ind w:left="1440" w:hanging="360"/>
      </w:pPr>
    </w:lvl>
    <w:lvl w:ilvl="2" w:tplc="5354285E" w:tentative="1">
      <w:start w:val="1"/>
      <w:numFmt w:val="lowerRoman"/>
      <w:lvlText w:val="%3."/>
      <w:lvlJc w:val="right"/>
      <w:pPr>
        <w:ind w:left="2160" w:hanging="180"/>
      </w:pPr>
    </w:lvl>
    <w:lvl w:ilvl="3" w:tplc="E6ECB364" w:tentative="1">
      <w:start w:val="1"/>
      <w:numFmt w:val="decimal"/>
      <w:lvlText w:val="%4."/>
      <w:lvlJc w:val="left"/>
      <w:pPr>
        <w:ind w:left="2880" w:hanging="360"/>
      </w:pPr>
    </w:lvl>
    <w:lvl w:ilvl="4" w:tplc="830CFE2E" w:tentative="1">
      <w:start w:val="1"/>
      <w:numFmt w:val="lowerLetter"/>
      <w:lvlText w:val="%5."/>
      <w:lvlJc w:val="left"/>
      <w:pPr>
        <w:ind w:left="3600" w:hanging="360"/>
      </w:pPr>
    </w:lvl>
    <w:lvl w:ilvl="5" w:tplc="EA60F040" w:tentative="1">
      <w:start w:val="1"/>
      <w:numFmt w:val="lowerRoman"/>
      <w:lvlText w:val="%6."/>
      <w:lvlJc w:val="right"/>
      <w:pPr>
        <w:ind w:left="4320" w:hanging="180"/>
      </w:pPr>
    </w:lvl>
    <w:lvl w:ilvl="6" w:tplc="79927228" w:tentative="1">
      <w:start w:val="1"/>
      <w:numFmt w:val="decimal"/>
      <w:lvlText w:val="%7."/>
      <w:lvlJc w:val="left"/>
      <w:pPr>
        <w:ind w:left="5040" w:hanging="360"/>
      </w:pPr>
    </w:lvl>
    <w:lvl w:ilvl="7" w:tplc="FDF65658" w:tentative="1">
      <w:start w:val="1"/>
      <w:numFmt w:val="lowerLetter"/>
      <w:lvlText w:val="%8."/>
      <w:lvlJc w:val="left"/>
      <w:pPr>
        <w:ind w:left="5760" w:hanging="360"/>
      </w:pPr>
    </w:lvl>
    <w:lvl w:ilvl="8" w:tplc="C08A20B6" w:tentative="1">
      <w:start w:val="1"/>
      <w:numFmt w:val="lowerRoman"/>
      <w:lvlText w:val="%9."/>
      <w:lvlJc w:val="right"/>
      <w:pPr>
        <w:ind w:left="6480" w:hanging="180"/>
      </w:pPr>
    </w:lvl>
  </w:abstractNum>
  <w:abstractNum w:abstractNumId="13" w15:restartNumberingAfterBreak="0">
    <w:nsid w:val="5DB4170C"/>
    <w:multiLevelType w:val="hybridMultilevel"/>
    <w:tmpl w:val="C8329ABE"/>
    <w:lvl w:ilvl="0" w:tplc="E63C1548">
      <w:start w:val="1"/>
      <w:numFmt w:val="decimal"/>
      <w:lvlText w:val="%1."/>
      <w:lvlJc w:val="left"/>
      <w:pPr>
        <w:ind w:left="338" w:hanging="360"/>
      </w:pPr>
      <w:rPr>
        <w:rFonts w:hint="default"/>
      </w:rPr>
    </w:lvl>
    <w:lvl w:ilvl="1" w:tplc="04260019" w:tentative="1">
      <w:start w:val="1"/>
      <w:numFmt w:val="lowerLetter"/>
      <w:lvlText w:val="%2."/>
      <w:lvlJc w:val="left"/>
      <w:pPr>
        <w:ind w:left="1058" w:hanging="360"/>
      </w:pPr>
    </w:lvl>
    <w:lvl w:ilvl="2" w:tplc="0426001B" w:tentative="1">
      <w:start w:val="1"/>
      <w:numFmt w:val="lowerRoman"/>
      <w:lvlText w:val="%3."/>
      <w:lvlJc w:val="right"/>
      <w:pPr>
        <w:ind w:left="1778" w:hanging="180"/>
      </w:pPr>
    </w:lvl>
    <w:lvl w:ilvl="3" w:tplc="0426000F" w:tentative="1">
      <w:start w:val="1"/>
      <w:numFmt w:val="decimal"/>
      <w:lvlText w:val="%4."/>
      <w:lvlJc w:val="left"/>
      <w:pPr>
        <w:ind w:left="2498" w:hanging="360"/>
      </w:pPr>
    </w:lvl>
    <w:lvl w:ilvl="4" w:tplc="04260019" w:tentative="1">
      <w:start w:val="1"/>
      <w:numFmt w:val="lowerLetter"/>
      <w:lvlText w:val="%5."/>
      <w:lvlJc w:val="left"/>
      <w:pPr>
        <w:ind w:left="3218" w:hanging="360"/>
      </w:pPr>
    </w:lvl>
    <w:lvl w:ilvl="5" w:tplc="0426001B" w:tentative="1">
      <w:start w:val="1"/>
      <w:numFmt w:val="lowerRoman"/>
      <w:lvlText w:val="%6."/>
      <w:lvlJc w:val="right"/>
      <w:pPr>
        <w:ind w:left="3938" w:hanging="180"/>
      </w:pPr>
    </w:lvl>
    <w:lvl w:ilvl="6" w:tplc="0426000F" w:tentative="1">
      <w:start w:val="1"/>
      <w:numFmt w:val="decimal"/>
      <w:lvlText w:val="%7."/>
      <w:lvlJc w:val="left"/>
      <w:pPr>
        <w:ind w:left="4658" w:hanging="360"/>
      </w:pPr>
    </w:lvl>
    <w:lvl w:ilvl="7" w:tplc="04260019" w:tentative="1">
      <w:start w:val="1"/>
      <w:numFmt w:val="lowerLetter"/>
      <w:lvlText w:val="%8."/>
      <w:lvlJc w:val="left"/>
      <w:pPr>
        <w:ind w:left="5378" w:hanging="360"/>
      </w:pPr>
    </w:lvl>
    <w:lvl w:ilvl="8" w:tplc="0426001B" w:tentative="1">
      <w:start w:val="1"/>
      <w:numFmt w:val="lowerRoman"/>
      <w:lvlText w:val="%9."/>
      <w:lvlJc w:val="right"/>
      <w:pPr>
        <w:ind w:left="6098" w:hanging="180"/>
      </w:pPr>
    </w:lvl>
  </w:abstractNum>
  <w:abstractNum w:abstractNumId="14" w15:restartNumberingAfterBreak="0">
    <w:nsid w:val="632F4095"/>
    <w:multiLevelType w:val="hybridMultilevel"/>
    <w:tmpl w:val="4D587D40"/>
    <w:lvl w:ilvl="0" w:tplc="C9649ECA">
      <w:start w:val="1"/>
      <w:numFmt w:val="decimal"/>
      <w:lvlText w:val="%1."/>
      <w:lvlJc w:val="left"/>
      <w:pPr>
        <w:ind w:left="852" w:hanging="360"/>
      </w:pPr>
      <w:rPr>
        <w:rFonts w:hint="default"/>
      </w:rPr>
    </w:lvl>
    <w:lvl w:ilvl="1" w:tplc="04260019" w:tentative="1">
      <w:start w:val="1"/>
      <w:numFmt w:val="lowerLetter"/>
      <w:lvlText w:val="%2."/>
      <w:lvlJc w:val="left"/>
      <w:pPr>
        <w:ind w:left="1572" w:hanging="360"/>
      </w:pPr>
    </w:lvl>
    <w:lvl w:ilvl="2" w:tplc="0426001B" w:tentative="1">
      <w:start w:val="1"/>
      <w:numFmt w:val="lowerRoman"/>
      <w:lvlText w:val="%3."/>
      <w:lvlJc w:val="right"/>
      <w:pPr>
        <w:ind w:left="2292" w:hanging="180"/>
      </w:pPr>
    </w:lvl>
    <w:lvl w:ilvl="3" w:tplc="0426000F" w:tentative="1">
      <w:start w:val="1"/>
      <w:numFmt w:val="decimal"/>
      <w:lvlText w:val="%4."/>
      <w:lvlJc w:val="left"/>
      <w:pPr>
        <w:ind w:left="3012" w:hanging="360"/>
      </w:pPr>
    </w:lvl>
    <w:lvl w:ilvl="4" w:tplc="04260019" w:tentative="1">
      <w:start w:val="1"/>
      <w:numFmt w:val="lowerLetter"/>
      <w:lvlText w:val="%5."/>
      <w:lvlJc w:val="left"/>
      <w:pPr>
        <w:ind w:left="3732" w:hanging="360"/>
      </w:pPr>
    </w:lvl>
    <w:lvl w:ilvl="5" w:tplc="0426001B" w:tentative="1">
      <w:start w:val="1"/>
      <w:numFmt w:val="lowerRoman"/>
      <w:lvlText w:val="%6."/>
      <w:lvlJc w:val="right"/>
      <w:pPr>
        <w:ind w:left="4452" w:hanging="180"/>
      </w:pPr>
    </w:lvl>
    <w:lvl w:ilvl="6" w:tplc="0426000F" w:tentative="1">
      <w:start w:val="1"/>
      <w:numFmt w:val="decimal"/>
      <w:lvlText w:val="%7."/>
      <w:lvlJc w:val="left"/>
      <w:pPr>
        <w:ind w:left="5172" w:hanging="360"/>
      </w:pPr>
    </w:lvl>
    <w:lvl w:ilvl="7" w:tplc="04260019" w:tentative="1">
      <w:start w:val="1"/>
      <w:numFmt w:val="lowerLetter"/>
      <w:lvlText w:val="%8."/>
      <w:lvlJc w:val="left"/>
      <w:pPr>
        <w:ind w:left="5892" w:hanging="360"/>
      </w:pPr>
    </w:lvl>
    <w:lvl w:ilvl="8" w:tplc="0426001B" w:tentative="1">
      <w:start w:val="1"/>
      <w:numFmt w:val="lowerRoman"/>
      <w:lvlText w:val="%9."/>
      <w:lvlJc w:val="right"/>
      <w:pPr>
        <w:ind w:left="6612" w:hanging="180"/>
      </w:pPr>
    </w:lvl>
  </w:abstractNum>
  <w:abstractNum w:abstractNumId="15" w15:restartNumberingAfterBreak="0">
    <w:nsid w:val="648511D5"/>
    <w:multiLevelType w:val="hybridMultilevel"/>
    <w:tmpl w:val="D22EE1FE"/>
    <w:lvl w:ilvl="0" w:tplc="7FA6AC4C">
      <w:start w:val="1"/>
      <w:numFmt w:val="decimal"/>
      <w:lvlText w:val="%1."/>
      <w:lvlJc w:val="left"/>
      <w:pPr>
        <w:ind w:left="720" w:hanging="360"/>
      </w:pPr>
      <w:rPr>
        <w:rFonts w:hint="default"/>
      </w:rPr>
    </w:lvl>
    <w:lvl w:ilvl="1" w:tplc="9536CF30" w:tentative="1">
      <w:start w:val="1"/>
      <w:numFmt w:val="lowerLetter"/>
      <w:lvlText w:val="%2."/>
      <w:lvlJc w:val="left"/>
      <w:pPr>
        <w:ind w:left="1440" w:hanging="360"/>
      </w:pPr>
    </w:lvl>
    <w:lvl w:ilvl="2" w:tplc="D9C2852E" w:tentative="1">
      <w:start w:val="1"/>
      <w:numFmt w:val="lowerRoman"/>
      <w:lvlText w:val="%3."/>
      <w:lvlJc w:val="right"/>
      <w:pPr>
        <w:ind w:left="2160" w:hanging="180"/>
      </w:pPr>
    </w:lvl>
    <w:lvl w:ilvl="3" w:tplc="B1187290" w:tentative="1">
      <w:start w:val="1"/>
      <w:numFmt w:val="decimal"/>
      <w:lvlText w:val="%4."/>
      <w:lvlJc w:val="left"/>
      <w:pPr>
        <w:ind w:left="2880" w:hanging="360"/>
      </w:pPr>
    </w:lvl>
    <w:lvl w:ilvl="4" w:tplc="5D76DB1C" w:tentative="1">
      <w:start w:val="1"/>
      <w:numFmt w:val="lowerLetter"/>
      <w:lvlText w:val="%5."/>
      <w:lvlJc w:val="left"/>
      <w:pPr>
        <w:ind w:left="3600" w:hanging="360"/>
      </w:pPr>
    </w:lvl>
    <w:lvl w:ilvl="5" w:tplc="41885C20" w:tentative="1">
      <w:start w:val="1"/>
      <w:numFmt w:val="lowerRoman"/>
      <w:lvlText w:val="%6."/>
      <w:lvlJc w:val="right"/>
      <w:pPr>
        <w:ind w:left="4320" w:hanging="180"/>
      </w:pPr>
    </w:lvl>
    <w:lvl w:ilvl="6" w:tplc="9E8CE314" w:tentative="1">
      <w:start w:val="1"/>
      <w:numFmt w:val="decimal"/>
      <w:lvlText w:val="%7."/>
      <w:lvlJc w:val="left"/>
      <w:pPr>
        <w:ind w:left="5040" w:hanging="360"/>
      </w:pPr>
    </w:lvl>
    <w:lvl w:ilvl="7" w:tplc="34FAD74A" w:tentative="1">
      <w:start w:val="1"/>
      <w:numFmt w:val="lowerLetter"/>
      <w:lvlText w:val="%8."/>
      <w:lvlJc w:val="left"/>
      <w:pPr>
        <w:ind w:left="5760" w:hanging="360"/>
      </w:pPr>
    </w:lvl>
    <w:lvl w:ilvl="8" w:tplc="E69ECF6C" w:tentative="1">
      <w:start w:val="1"/>
      <w:numFmt w:val="lowerRoman"/>
      <w:lvlText w:val="%9."/>
      <w:lvlJc w:val="right"/>
      <w:pPr>
        <w:ind w:left="6480" w:hanging="180"/>
      </w:pPr>
    </w:lvl>
  </w:abstractNum>
  <w:abstractNum w:abstractNumId="16" w15:restartNumberingAfterBreak="0">
    <w:nsid w:val="67B6733A"/>
    <w:multiLevelType w:val="hybridMultilevel"/>
    <w:tmpl w:val="A1361028"/>
    <w:lvl w:ilvl="0" w:tplc="BA76E960">
      <w:start w:val="146"/>
      <w:numFmt w:val="bullet"/>
      <w:lvlText w:val="-"/>
      <w:lvlJc w:val="left"/>
      <w:pPr>
        <w:ind w:left="852" w:hanging="360"/>
      </w:pPr>
      <w:rPr>
        <w:rFonts w:ascii="Times New Roman" w:eastAsiaTheme="minorHAnsi" w:hAnsi="Times New Roman" w:cs="Times New Roman" w:hint="default"/>
      </w:rPr>
    </w:lvl>
    <w:lvl w:ilvl="1" w:tplc="04260003" w:tentative="1">
      <w:start w:val="1"/>
      <w:numFmt w:val="bullet"/>
      <w:lvlText w:val="o"/>
      <w:lvlJc w:val="left"/>
      <w:pPr>
        <w:ind w:left="1572" w:hanging="360"/>
      </w:pPr>
      <w:rPr>
        <w:rFonts w:ascii="Courier New" w:hAnsi="Courier New" w:cs="Courier New" w:hint="default"/>
      </w:rPr>
    </w:lvl>
    <w:lvl w:ilvl="2" w:tplc="04260005" w:tentative="1">
      <w:start w:val="1"/>
      <w:numFmt w:val="bullet"/>
      <w:lvlText w:val=""/>
      <w:lvlJc w:val="left"/>
      <w:pPr>
        <w:ind w:left="2292" w:hanging="360"/>
      </w:pPr>
      <w:rPr>
        <w:rFonts w:ascii="Wingdings" w:hAnsi="Wingdings" w:hint="default"/>
      </w:rPr>
    </w:lvl>
    <w:lvl w:ilvl="3" w:tplc="04260001" w:tentative="1">
      <w:start w:val="1"/>
      <w:numFmt w:val="bullet"/>
      <w:lvlText w:val=""/>
      <w:lvlJc w:val="left"/>
      <w:pPr>
        <w:ind w:left="3012" w:hanging="360"/>
      </w:pPr>
      <w:rPr>
        <w:rFonts w:ascii="Symbol" w:hAnsi="Symbol" w:hint="default"/>
      </w:rPr>
    </w:lvl>
    <w:lvl w:ilvl="4" w:tplc="04260003" w:tentative="1">
      <w:start w:val="1"/>
      <w:numFmt w:val="bullet"/>
      <w:lvlText w:val="o"/>
      <w:lvlJc w:val="left"/>
      <w:pPr>
        <w:ind w:left="3732" w:hanging="360"/>
      </w:pPr>
      <w:rPr>
        <w:rFonts w:ascii="Courier New" w:hAnsi="Courier New" w:cs="Courier New" w:hint="default"/>
      </w:rPr>
    </w:lvl>
    <w:lvl w:ilvl="5" w:tplc="04260005" w:tentative="1">
      <w:start w:val="1"/>
      <w:numFmt w:val="bullet"/>
      <w:lvlText w:val=""/>
      <w:lvlJc w:val="left"/>
      <w:pPr>
        <w:ind w:left="4452" w:hanging="360"/>
      </w:pPr>
      <w:rPr>
        <w:rFonts w:ascii="Wingdings" w:hAnsi="Wingdings" w:hint="default"/>
      </w:rPr>
    </w:lvl>
    <w:lvl w:ilvl="6" w:tplc="04260001" w:tentative="1">
      <w:start w:val="1"/>
      <w:numFmt w:val="bullet"/>
      <w:lvlText w:val=""/>
      <w:lvlJc w:val="left"/>
      <w:pPr>
        <w:ind w:left="5172" w:hanging="360"/>
      </w:pPr>
      <w:rPr>
        <w:rFonts w:ascii="Symbol" w:hAnsi="Symbol" w:hint="default"/>
      </w:rPr>
    </w:lvl>
    <w:lvl w:ilvl="7" w:tplc="04260003" w:tentative="1">
      <w:start w:val="1"/>
      <w:numFmt w:val="bullet"/>
      <w:lvlText w:val="o"/>
      <w:lvlJc w:val="left"/>
      <w:pPr>
        <w:ind w:left="5892" w:hanging="360"/>
      </w:pPr>
      <w:rPr>
        <w:rFonts w:ascii="Courier New" w:hAnsi="Courier New" w:cs="Courier New" w:hint="default"/>
      </w:rPr>
    </w:lvl>
    <w:lvl w:ilvl="8" w:tplc="04260005" w:tentative="1">
      <w:start w:val="1"/>
      <w:numFmt w:val="bullet"/>
      <w:lvlText w:val=""/>
      <w:lvlJc w:val="left"/>
      <w:pPr>
        <w:ind w:left="6612" w:hanging="360"/>
      </w:pPr>
      <w:rPr>
        <w:rFonts w:ascii="Wingdings" w:hAnsi="Wingdings" w:hint="default"/>
      </w:rPr>
    </w:lvl>
  </w:abstractNum>
  <w:abstractNum w:abstractNumId="17" w15:restartNumberingAfterBreak="0">
    <w:nsid w:val="730B3306"/>
    <w:multiLevelType w:val="hybridMultilevel"/>
    <w:tmpl w:val="C05ADBB8"/>
    <w:lvl w:ilvl="0" w:tplc="7DD86636">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8" w15:restartNumberingAfterBreak="0">
    <w:nsid w:val="785C334B"/>
    <w:multiLevelType w:val="hybridMultilevel"/>
    <w:tmpl w:val="11D8E3D4"/>
    <w:lvl w:ilvl="0" w:tplc="2EF00EFA">
      <w:start w:val="1"/>
      <w:numFmt w:val="decimal"/>
      <w:lvlText w:val="%1."/>
      <w:lvlJc w:val="left"/>
      <w:pPr>
        <w:ind w:left="478" w:hanging="360"/>
      </w:pPr>
      <w:rPr>
        <w:rFonts w:hint="default"/>
      </w:rPr>
    </w:lvl>
    <w:lvl w:ilvl="1" w:tplc="04260019" w:tentative="1">
      <w:start w:val="1"/>
      <w:numFmt w:val="lowerLetter"/>
      <w:lvlText w:val="%2."/>
      <w:lvlJc w:val="left"/>
      <w:pPr>
        <w:ind w:left="1198" w:hanging="360"/>
      </w:pPr>
    </w:lvl>
    <w:lvl w:ilvl="2" w:tplc="0426001B" w:tentative="1">
      <w:start w:val="1"/>
      <w:numFmt w:val="lowerRoman"/>
      <w:lvlText w:val="%3."/>
      <w:lvlJc w:val="right"/>
      <w:pPr>
        <w:ind w:left="1918" w:hanging="180"/>
      </w:pPr>
    </w:lvl>
    <w:lvl w:ilvl="3" w:tplc="0426000F" w:tentative="1">
      <w:start w:val="1"/>
      <w:numFmt w:val="decimal"/>
      <w:lvlText w:val="%4."/>
      <w:lvlJc w:val="left"/>
      <w:pPr>
        <w:ind w:left="2638" w:hanging="360"/>
      </w:pPr>
    </w:lvl>
    <w:lvl w:ilvl="4" w:tplc="04260019" w:tentative="1">
      <w:start w:val="1"/>
      <w:numFmt w:val="lowerLetter"/>
      <w:lvlText w:val="%5."/>
      <w:lvlJc w:val="left"/>
      <w:pPr>
        <w:ind w:left="3358" w:hanging="360"/>
      </w:pPr>
    </w:lvl>
    <w:lvl w:ilvl="5" w:tplc="0426001B" w:tentative="1">
      <w:start w:val="1"/>
      <w:numFmt w:val="lowerRoman"/>
      <w:lvlText w:val="%6."/>
      <w:lvlJc w:val="right"/>
      <w:pPr>
        <w:ind w:left="4078" w:hanging="180"/>
      </w:pPr>
    </w:lvl>
    <w:lvl w:ilvl="6" w:tplc="0426000F" w:tentative="1">
      <w:start w:val="1"/>
      <w:numFmt w:val="decimal"/>
      <w:lvlText w:val="%7."/>
      <w:lvlJc w:val="left"/>
      <w:pPr>
        <w:ind w:left="4798" w:hanging="360"/>
      </w:pPr>
    </w:lvl>
    <w:lvl w:ilvl="7" w:tplc="04260019" w:tentative="1">
      <w:start w:val="1"/>
      <w:numFmt w:val="lowerLetter"/>
      <w:lvlText w:val="%8."/>
      <w:lvlJc w:val="left"/>
      <w:pPr>
        <w:ind w:left="5518" w:hanging="360"/>
      </w:pPr>
    </w:lvl>
    <w:lvl w:ilvl="8" w:tplc="0426001B" w:tentative="1">
      <w:start w:val="1"/>
      <w:numFmt w:val="lowerRoman"/>
      <w:lvlText w:val="%9."/>
      <w:lvlJc w:val="right"/>
      <w:pPr>
        <w:ind w:left="6238" w:hanging="180"/>
      </w:pPr>
    </w:lvl>
  </w:abstractNum>
  <w:num w:numId="1">
    <w:abstractNumId w:val="7"/>
  </w:num>
  <w:num w:numId="2">
    <w:abstractNumId w:val="8"/>
  </w:num>
  <w:num w:numId="3">
    <w:abstractNumId w:val="6"/>
  </w:num>
  <w:num w:numId="4">
    <w:abstractNumId w:val="9"/>
  </w:num>
  <w:num w:numId="5">
    <w:abstractNumId w:val="10"/>
  </w:num>
  <w:num w:numId="6">
    <w:abstractNumId w:val="15"/>
  </w:num>
  <w:num w:numId="7">
    <w:abstractNumId w:val="12"/>
  </w:num>
  <w:num w:numId="8">
    <w:abstractNumId w:val="5"/>
  </w:num>
  <w:num w:numId="9">
    <w:abstractNumId w:val="14"/>
  </w:num>
  <w:num w:numId="10">
    <w:abstractNumId w:val="16"/>
  </w:num>
  <w:num w:numId="11">
    <w:abstractNumId w:val="0"/>
  </w:num>
  <w:num w:numId="12">
    <w:abstractNumId w:val="3"/>
  </w:num>
  <w:num w:numId="13">
    <w:abstractNumId w:val="11"/>
  </w:num>
  <w:num w:numId="14">
    <w:abstractNumId w:val="18"/>
  </w:num>
  <w:num w:numId="15">
    <w:abstractNumId w:val="17"/>
  </w:num>
  <w:num w:numId="16">
    <w:abstractNumId w:val="13"/>
  </w:num>
  <w:num w:numId="17">
    <w:abstractNumId w:val="1"/>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88"/>
    <w:rsid w:val="00000B4F"/>
    <w:rsid w:val="00001426"/>
    <w:rsid w:val="00001750"/>
    <w:rsid w:val="00013013"/>
    <w:rsid w:val="00013DFF"/>
    <w:rsid w:val="00016532"/>
    <w:rsid w:val="00035DBF"/>
    <w:rsid w:val="00040764"/>
    <w:rsid w:val="00040D63"/>
    <w:rsid w:val="0004565D"/>
    <w:rsid w:val="00050F6B"/>
    <w:rsid w:val="00061A2B"/>
    <w:rsid w:val="00064101"/>
    <w:rsid w:val="00064E15"/>
    <w:rsid w:val="000716F8"/>
    <w:rsid w:val="0007194C"/>
    <w:rsid w:val="0007285D"/>
    <w:rsid w:val="00073B5D"/>
    <w:rsid w:val="00074913"/>
    <w:rsid w:val="000750CA"/>
    <w:rsid w:val="00076770"/>
    <w:rsid w:val="00080B22"/>
    <w:rsid w:val="000827E1"/>
    <w:rsid w:val="00083D2F"/>
    <w:rsid w:val="000941F9"/>
    <w:rsid w:val="00095D84"/>
    <w:rsid w:val="0009692F"/>
    <w:rsid w:val="000A0A1C"/>
    <w:rsid w:val="000A1276"/>
    <w:rsid w:val="000A7A6F"/>
    <w:rsid w:val="000A7B48"/>
    <w:rsid w:val="000B3D62"/>
    <w:rsid w:val="000B4ECF"/>
    <w:rsid w:val="000C0750"/>
    <w:rsid w:val="000C3A62"/>
    <w:rsid w:val="000C3CF0"/>
    <w:rsid w:val="000D1A8E"/>
    <w:rsid w:val="000D1C35"/>
    <w:rsid w:val="000D2A18"/>
    <w:rsid w:val="000E0E0F"/>
    <w:rsid w:val="000E1074"/>
    <w:rsid w:val="000E1CF9"/>
    <w:rsid w:val="000E2382"/>
    <w:rsid w:val="000E3638"/>
    <w:rsid w:val="000E4591"/>
    <w:rsid w:val="000E544A"/>
    <w:rsid w:val="000E5552"/>
    <w:rsid w:val="000E7319"/>
    <w:rsid w:val="000F6A86"/>
    <w:rsid w:val="000F6ECD"/>
    <w:rsid w:val="00104B43"/>
    <w:rsid w:val="00107009"/>
    <w:rsid w:val="00107A3C"/>
    <w:rsid w:val="00107E59"/>
    <w:rsid w:val="001212C7"/>
    <w:rsid w:val="0012499A"/>
    <w:rsid w:val="00136397"/>
    <w:rsid w:val="00137FE7"/>
    <w:rsid w:val="00141B45"/>
    <w:rsid w:val="00142FE9"/>
    <w:rsid w:val="001441A8"/>
    <w:rsid w:val="001470DB"/>
    <w:rsid w:val="00147A5D"/>
    <w:rsid w:val="0015360B"/>
    <w:rsid w:val="00155B99"/>
    <w:rsid w:val="001561B1"/>
    <w:rsid w:val="00156897"/>
    <w:rsid w:val="00160FEF"/>
    <w:rsid w:val="00164414"/>
    <w:rsid w:val="00164D7F"/>
    <w:rsid w:val="0016772E"/>
    <w:rsid w:val="0017647A"/>
    <w:rsid w:val="00180563"/>
    <w:rsid w:val="00182566"/>
    <w:rsid w:val="001838FA"/>
    <w:rsid w:val="00186C12"/>
    <w:rsid w:val="00190134"/>
    <w:rsid w:val="00190824"/>
    <w:rsid w:val="00191340"/>
    <w:rsid w:val="001918E5"/>
    <w:rsid w:val="001924B0"/>
    <w:rsid w:val="001925EF"/>
    <w:rsid w:val="00194622"/>
    <w:rsid w:val="001968CC"/>
    <w:rsid w:val="00197437"/>
    <w:rsid w:val="00197AFA"/>
    <w:rsid w:val="001A44A7"/>
    <w:rsid w:val="001B165B"/>
    <w:rsid w:val="001C271E"/>
    <w:rsid w:val="001C2F9F"/>
    <w:rsid w:val="001C6B11"/>
    <w:rsid w:val="001C7039"/>
    <w:rsid w:val="001D6F2D"/>
    <w:rsid w:val="001D7342"/>
    <w:rsid w:val="001E4175"/>
    <w:rsid w:val="001E45F8"/>
    <w:rsid w:val="001E5E7A"/>
    <w:rsid w:val="001F25E9"/>
    <w:rsid w:val="001F316D"/>
    <w:rsid w:val="001F3CE2"/>
    <w:rsid w:val="001F417F"/>
    <w:rsid w:val="001F4915"/>
    <w:rsid w:val="001F4937"/>
    <w:rsid w:val="001F77A0"/>
    <w:rsid w:val="002002F8"/>
    <w:rsid w:val="00215AD2"/>
    <w:rsid w:val="00222910"/>
    <w:rsid w:val="002248D5"/>
    <w:rsid w:val="002278A2"/>
    <w:rsid w:val="002324B5"/>
    <w:rsid w:val="00233C77"/>
    <w:rsid w:val="00234AEC"/>
    <w:rsid w:val="00241D9C"/>
    <w:rsid w:val="00242006"/>
    <w:rsid w:val="00242AF5"/>
    <w:rsid w:val="0024432F"/>
    <w:rsid w:val="002460C3"/>
    <w:rsid w:val="00250051"/>
    <w:rsid w:val="00250E58"/>
    <w:rsid w:val="00254DA2"/>
    <w:rsid w:val="00255439"/>
    <w:rsid w:val="00257ACC"/>
    <w:rsid w:val="00261E56"/>
    <w:rsid w:val="0026204A"/>
    <w:rsid w:val="002624DC"/>
    <w:rsid w:val="00276EF6"/>
    <w:rsid w:val="00277AF4"/>
    <w:rsid w:val="00282F30"/>
    <w:rsid w:val="00287AD5"/>
    <w:rsid w:val="002925EF"/>
    <w:rsid w:val="002973B0"/>
    <w:rsid w:val="002A2F57"/>
    <w:rsid w:val="002A524E"/>
    <w:rsid w:val="002A68F1"/>
    <w:rsid w:val="002B15D7"/>
    <w:rsid w:val="002B2526"/>
    <w:rsid w:val="002B4811"/>
    <w:rsid w:val="002B5130"/>
    <w:rsid w:val="002B6819"/>
    <w:rsid w:val="002B6B86"/>
    <w:rsid w:val="002C28C9"/>
    <w:rsid w:val="002C2C39"/>
    <w:rsid w:val="002C43FD"/>
    <w:rsid w:val="002C5C2D"/>
    <w:rsid w:val="002D363B"/>
    <w:rsid w:val="002D6721"/>
    <w:rsid w:val="002E0C5E"/>
    <w:rsid w:val="002E1E15"/>
    <w:rsid w:val="002E4A3E"/>
    <w:rsid w:val="002E553E"/>
    <w:rsid w:val="002F4E07"/>
    <w:rsid w:val="002F635E"/>
    <w:rsid w:val="0030487E"/>
    <w:rsid w:val="00304F54"/>
    <w:rsid w:val="0031168D"/>
    <w:rsid w:val="0031438D"/>
    <w:rsid w:val="00315987"/>
    <w:rsid w:val="0031736A"/>
    <w:rsid w:val="003222C8"/>
    <w:rsid w:val="00324CE0"/>
    <w:rsid w:val="0032633A"/>
    <w:rsid w:val="0032645A"/>
    <w:rsid w:val="0033157A"/>
    <w:rsid w:val="0033169C"/>
    <w:rsid w:val="00333796"/>
    <w:rsid w:val="00340631"/>
    <w:rsid w:val="00345BBE"/>
    <w:rsid w:val="00345BDA"/>
    <w:rsid w:val="003506D4"/>
    <w:rsid w:val="003647D9"/>
    <w:rsid w:val="0036484F"/>
    <w:rsid w:val="003656BD"/>
    <w:rsid w:val="00366524"/>
    <w:rsid w:val="00372312"/>
    <w:rsid w:val="00372469"/>
    <w:rsid w:val="00372A0D"/>
    <w:rsid w:val="00373067"/>
    <w:rsid w:val="00373211"/>
    <w:rsid w:val="00373B35"/>
    <w:rsid w:val="00374635"/>
    <w:rsid w:val="00382272"/>
    <w:rsid w:val="00383AFC"/>
    <w:rsid w:val="00383B91"/>
    <w:rsid w:val="00386489"/>
    <w:rsid w:val="00386BCF"/>
    <w:rsid w:val="003940D4"/>
    <w:rsid w:val="003A0705"/>
    <w:rsid w:val="003A166B"/>
    <w:rsid w:val="003A21B8"/>
    <w:rsid w:val="003A3C65"/>
    <w:rsid w:val="003A59A0"/>
    <w:rsid w:val="003A6E9A"/>
    <w:rsid w:val="003A7C3B"/>
    <w:rsid w:val="003B58C7"/>
    <w:rsid w:val="003C0FBB"/>
    <w:rsid w:val="003C2E1D"/>
    <w:rsid w:val="003C3047"/>
    <w:rsid w:val="003C65CE"/>
    <w:rsid w:val="003D0134"/>
    <w:rsid w:val="003D0AAF"/>
    <w:rsid w:val="003D0C57"/>
    <w:rsid w:val="003D4716"/>
    <w:rsid w:val="003D7366"/>
    <w:rsid w:val="003D758A"/>
    <w:rsid w:val="003D7616"/>
    <w:rsid w:val="003D7CB7"/>
    <w:rsid w:val="003E0828"/>
    <w:rsid w:val="003E30F3"/>
    <w:rsid w:val="003E43CE"/>
    <w:rsid w:val="003F2172"/>
    <w:rsid w:val="003F463E"/>
    <w:rsid w:val="004029CF"/>
    <w:rsid w:val="004054FB"/>
    <w:rsid w:val="004058BF"/>
    <w:rsid w:val="004101E6"/>
    <w:rsid w:val="00415956"/>
    <w:rsid w:val="00415A12"/>
    <w:rsid w:val="00417522"/>
    <w:rsid w:val="004248D7"/>
    <w:rsid w:val="00427942"/>
    <w:rsid w:val="00427EE9"/>
    <w:rsid w:val="00430082"/>
    <w:rsid w:val="004306D5"/>
    <w:rsid w:val="00430AA0"/>
    <w:rsid w:val="004362C7"/>
    <w:rsid w:val="0043693B"/>
    <w:rsid w:val="00441575"/>
    <w:rsid w:val="004421D6"/>
    <w:rsid w:val="00451D84"/>
    <w:rsid w:val="004540B6"/>
    <w:rsid w:val="004625C2"/>
    <w:rsid w:val="00463864"/>
    <w:rsid w:val="004748F8"/>
    <w:rsid w:val="004767B3"/>
    <w:rsid w:val="00477344"/>
    <w:rsid w:val="0048395C"/>
    <w:rsid w:val="0049307D"/>
    <w:rsid w:val="00493218"/>
    <w:rsid w:val="00493525"/>
    <w:rsid w:val="004948C6"/>
    <w:rsid w:val="00496A5E"/>
    <w:rsid w:val="00497FAC"/>
    <w:rsid w:val="004A22E4"/>
    <w:rsid w:val="004A6C6A"/>
    <w:rsid w:val="004B2030"/>
    <w:rsid w:val="004B29D5"/>
    <w:rsid w:val="004B3D68"/>
    <w:rsid w:val="004B3F31"/>
    <w:rsid w:val="004B6A3B"/>
    <w:rsid w:val="004C14EF"/>
    <w:rsid w:val="004C7158"/>
    <w:rsid w:val="004C7A5A"/>
    <w:rsid w:val="004C7D95"/>
    <w:rsid w:val="004D0C3F"/>
    <w:rsid w:val="004E2A64"/>
    <w:rsid w:val="004E2B46"/>
    <w:rsid w:val="004E2E2A"/>
    <w:rsid w:val="004E5314"/>
    <w:rsid w:val="004E5A15"/>
    <w:rsid w:val="004F3CA0"/>
    <w:rsid w:val="005037C0"/>
    <w:rsid w:val="00511C96"/>
    <w:rsid w:val="005127CA"/>
    <w:rsid w:val="0051573C"/>
    <w:rsid w:val="00520114"/>
    <w:rsid w:val="005248D5"/>
    <w:rsid w:val="00525293"/>
    <w:rsid w:val="00535A32"/>
    <w:rsid w:val="005402D9"/>
    <w:rsid w:val="00541887"/>
    <w:rsid w:val="00544914"/>
    <w:rsid w:val="00544C7C"/>
    <w:rsid w:val="00554BAE"/>
    <w:rsid w:val="005559D2"/>
    <w:rsid w:val="005574ED"/>
    <w:rsid w:val="005578E7"/>
    <w:rsid w:val="0056170A"/>
    <w:rsid w:val="00564033"/>
    <w:rsid w:val="00566F01"/>
    <w:rsid w:val="00573BCA"/>
    <w:rsid w:val="00576387"/>
    <w:rsid w:val="0058405A"/>
    <w:rsid w:val="00584751"/>
    <w:rsid w:val="00584B99"/>
    <w:rsid w:val="005865CF"/>
    <w:rsid w:val="00590D47"/>
    <w:rsid w:val="005919B9"/>
    <w:rsid w:val="00594358"/>
    <w:rsid w:val="00595B12"/>
    <w:rsid w:val="005A16EC"/>
    <w:rsid w:val="005A4EA0"/>
    <w:rsid w:val="005A784B"/>
    <w:rsid w:val="005A78F1"/>
    <w:rsid w:val="005B28E5"/>
    <w:rsid w:val="005B5BBD"/>
    <w:rsid w:val="005B61C6"/>
    <w:rsid w:val="005C0A73"/>
    <w:rsid w:val="005C457A"/>
    <w:rsid w:val="005C4F7F"/>
    <w:rsid w:val="005C635A"/>
    <w:rsid w:val="005D28CA"/>
    <w:rsid w:val="005D3D2D"/>
    <w:rsid w:val="005E1041"/>
    <w:rsid w:val="005E1C45"/>
    <w:rsid w:val="005E52E5"/>
    <w:rsid w:val="005F276C"/>
    <w:rsid w:val="005F68F9"/>
    <w:rsid w:val="00601F81"/>
    <w:rsid w:val="00611D2A"/>
    <w:rsid w:val="00620D19"/>
    <w:rsid w:val="0062123A"/>
    <w:rsid w:val="00621F6A"/>
    <w:rsid w:val="00632A0E"/>
    <w:rsid w:val="00633A0B"/>
    <w:rsid w:val="006342F1"/>
    <w:rsid w:val="00634316"/>
    <w:rsid w:val="00634FF3"/>
    <w:rsid w:val="00635790"/>
    <w:rsid w:val="00637AD0"/>
    <w:rsid w:val="00640F3E"/>
    <w:rsid w:val="0064283B"/>
    <w:rsid w:val="00645D21"/>
    <w:rsid w:val="00653058"/>
    <w:rsid w:val="00656403"/>
    <w:rsid w:val="00657CD8"/>
    <w:rsid w:val="006600F2"/>
    <w:rsid w:val="00661763"/>
    <w:rsid w:val="0066321A"/>
    <w:rsid w:val="00664900"/>
    <w:rsid w:val="00672624"/>
    <w:rsid w:val="00680D02"/>
    <w:rsid w:val="0069037C"/>
    <w:rsid w:val="00693AE3"/>
    <w:rsid w:val="006942BA"/>
    <w:rsid w:val="00694426"/>
    <w:rsid w:val="006959D9"/>
    <w:rsid w:val="006A0E20"/>
    <w:rsid w:val="006A18FD"/>
    <w:rsid w:val="006A4D3C"/>
    <w:rsid w:val="006A53AB"/>
    <w:rsid w:val="006B18A4"/>
    <w:rsid w:val="006B3B31"/>
    <w:rsid w:val="006B742D"/>
    <w:rsid w:val="006C25E8"/>
    <w:rsid w:val="006C2881"/>
    <w:rsid w:val="006C4C7A"/>
    <w:rsid w:val="006D2925"/>
    <w:rsid w:val="006D353A"/>
    <w:rsid w:val="006D36C2"/>
    <w:rsid w:val="006E22EB"/>
    <w:rsid w:val="006E2D8A"/>
    <w:rsid w:val="006E2E27"/>
    <w:rsid w:val="006E3935"/>
    <w:rsid w:val="006E462A"/>
    <w:rsid w:val="006E704D"/>
    <w:rsid w:val="006F1C6A"/>
    <w:rsid w:val="006F4155"/>
    <w:rsid w:val="006F58BA"/>
    <w:rsid w:val="006F7FBA"/>
    <w:rsid w:val="00700104"/>
    <w:rsid w:val="00700D74"/>
    <w:rsid w:val="00710974"/>
    <w:rsid w:val="00720B18"/>
    <w:rsid w:val="00721444"/>
    <w:rsid w:val="00724AEF"/>
    <w:rsid w:val="00724C70"/>
    <w:rsid w:val="00724ED3"/>
    <w:rsid w:val="0072591A"/>
    <w:rsid w:val="0072684F"/>
    <w:rsid w:val="007325FA"/>
    <w:rsid w:val="007368D8"/>
    <w:rsid w:val="00737785"/>
    <w:rsid w:val="0074255A"/>
    <w:rsid w:val="0074309D"/>
    <w:rsid w:val="007451BD"/>
    <w:rsid w:val="00747917"/>
    <w:rsid w:val="007543DA"/>
    <w:rsid w:val="00755520"/>
    <w:rsid w:val="007563CD"/>
    <w:rsid w:val="00762048"/>
    <w:rsid w:val="00762657"/>
    <w:rsid w:val="007708F8"/>
    <w:rsid w:val="00771352"/>
    <w:rsid w:val="00771490"/>
    <w:rsid w:val="007725A6"/>
    <w:rsid w:val="0077653B"/>
    <w:rsid w:val="00781F4E"/>
    <w:rsid w:val="0078202C"/>
    <w:rsid w:val="007826C7"/>
    <w:rsid w:val="00784FA5"/>
    <w:rsid w:val="0078695F"/>
    <w:rsid w:val="00792053"/>
    <w:rsid w:val="00792CC5"/>
    <w:rsid w:val="00794081"/>
    <w:rsid w:val="007A1F00"/>
    <w:rsid w:val="007A6C3C"/>
    <w:rsid w:val="007B1235"/>
    <w:rsid w:val="007B2E51"/>
    <w:rsid w:val="007B377A"/>
    <w:rsid w:val="007B533E"/>
    <w:rsid w:val="007C3875"/>
    <w:rsid w:val="007C6728"/>
    <w:rsid w:val="007D009B"/>
    <w:rsid w:val="007D0789"/>
    <w:rsid w:val="007D0D40"/>
    <w:rsid w:val="007D41DC"/>
    <w:rsid w:val="007E5631"/>
    <w:rsid w:val="007E5759"/>
    <w:rsid w:val="007E6EDA"/>
    <w:rsid w:val="007F02B3"/>
    <w:rsid w:val="007F0BCB"/>
    <w:rsid w:val="007F29CB"/>
    <w:rsid w:val="007F5DEB"/>
    <w:rsid w:val="007F6FB4"/>
    <w:rsid w:val="0080008C"/>
    <w:rsid w:val="00805A56"/>
    <w:rsid w:val="00805F62"/>
    <w:rsid w:val="00810E84"/>
    <w:rsid w:val="00813A50"/>
    <w:rsid w:val="008148F3"/>
    <w:rsid w:val="00814D20"/>
    <w:rsid w:val="00820831"/>
    <w:rsid w:val="00821908"/>
    <w:rsid w:val="00821D07"/>
    <w:rsid w:val="00824088"/>
    <w:rsid w:val="0083396B"/>
    <w:rsid w:val="00842D5E"/>
    <w:rsid w:val="0084561F"/>
    <w:rsid w:val="0085012E"/>
    <w:rsid w:val="00855B1A"/>
    <w:rsid w:val="0085601B"/>
    <w:rsid w:val="008601E8"/>
    <w:rsid w:val="0086531D"/>
    <w:rsid w:val="00865761"/>
    <w:rsid w:val="0086618A"/>
    <w:rsid w:val="008709BF"/>
    <w:rsid w:val="0088241E"/>
    <w:rsid w:val="0088686F"/>
    <w:rsid w:val="008905DF"/>
    <w:rsid w:val="0089594F"/>
    <w:rsid w:val="008A0062"/>
    <w:rsid w:val="008A3252"/>
    <w:rsid w:val="008A3F1C"/>
    <w:rsid w:val="008A4554"/>
    <w:rsid w:val="008A636B"/>
    <w:rsid w:val="008A68B3"/>
    <w:rsid w:val="008A6F9C"/>
    <w:rsid w:val="008A7FF6"/>
    <w:rsid w:val="008B5C00"/>
    <w:rsid w:val="008B5F92"/>
    <w:rsid w:val="008C78FD"/>
    <w:rsid w:val="008D44EE"/>
    <w:rsid w:val="008D6E4B"/>
    <w:rsid w:val="008D7CC9"/>
    <w:rsid w:val="008E26A0"/>
    <w:rsid w:val="008E3E6A"/>
    <w:rsid w:val="008F0C7A"/>
    <w:rsid w:val="008F115C"/>
    <w:rsid w:val="008F3F0D"/>
    <w:rsid w:val="008F6369"/>
    <w:rsid w:val="009053F4"/>
    <w:rsid w:val="0090709F"/>
    <w:rsid w:val="00912E12"/>
    <w:rsid w:val="0091318A"/>
    <w:rsid w:val="00914DD8"/>
    <w:rsid w:val="00915441"/>
    <w:rsid w:val="0091551B"/>
    <w:rsid w:val="00916D31"/>
    <w:rsid w:val="0091700B"/>
    <w:rsid w:val="00920C81"/>
    <w:rsid w:val="00927D08"/>
    <w:rsid w:val="00932A3C"/>
    <w:rsid w:val="00935AF5"/>
    <w:rsid w:val="00935AFD"/>
    <w:rsid w:val="00943F8D"/>
    <w:rsid w:val="00946E07"/>
    <w:rsid w:val="00951360"/>
    <w:rsid w:val="009528D6"/>
    <w:rsid w:val="00955805"/>
    <w:rsid w:val="009571D8"/>
    <w:rsid w:val="00964B05"/>
    <w:rsid w:val="00965E3D"/>
    <w:rsid w:val="00966568"/>
    <w:rsid w:val="00966F2E"/>
    <w:rsid w:val="00971126"/>
    <w:rsid w:val="00972793"/>
    <w:rsid w:val="00977598"/>
    <w:rsid w:val="00986C2C"/>
    <w:rsid w:val="00987516"/>
    <w:rsid w:val="00987AFB"/>
    <w:rsid w:val="00993DB9"/>
    <w:rsid w:val="00995BD2"/>
    <w:rsid w:val="009A0F54"/>
    <w:rsid w:val="009A2920"/>
    <w:rsid w:val="009A3ADF"/>
    <w:rsid w:val="009A69E3"/>
    <w:rsid w:val="009A7E48"/>
    <w:rsid w:val="009B0562"/>
    <w:rsid w:val="009B080D"/>
    <w:rsid w:val="009B2BDE"/>
    <w:rsid w:val="009B569F"/>
    <w:rsid w:val="009B74E7"/>
    <w:rsid w:val="009C5AD1"/>
    <w:rsid w:val="009C63BA"/>
    <w:rsid w:val="009D2D72"/>
    <w:rsid w:val="009D2FF8"/>
    <w:rsid w:val="009D4818"/>
    <w:rsid w:val="009D4ECF"/>
    <w:rsid w:val="009D7194"/>
    <w:rsid w:val="009E0DB1"/>
    <w:rsid w:val="009E0F72"/>
    <w:rsid w:val="009E313F"/>
    <w:rsid w:val="009E3385"/>
    <w:rsid w:val="009E44C4"/>
    <w:rsid w:val="009E53F0"/>
    <w:rsid w:val="009F141D"/>
    <w:rsid w:val="009F2977"/>
    <w:rsid w:val="009F4D79"/>
    <w:rsid w:val="009F5D9A"/>
    <w:rsid w:val="00A04176"/>
    <w:rsid w:val="00A060BB"/>
    <w:rsid w:val="00A066E4"/>
    <w:rsid w:val="00A13BD5"/>
    <w:rsid w:val="00A14BCC"/>
    <w:rsid w:val="00A14F91"/>
    <w:rsid w:val="00A2188A"/>
    <w:rsid w:val="00A23561"/>
    <w:rsid w:val="00A2388B"/>
    <w:rsid w:val="00A2540F"/>
    <w:rsid w:val="00A4039E"/>
    <w:rsid w:val="00A445A7"/>
    <w:rsid w:val="00A46721"/>
    <w:rsid w:val="00A5621E"/>
    <w:rsid w:val="00A5670D"/>
    <w:rsid w:val="00A56806"/>
    <w:rsid w:val="00A633F1"/>
    <w:rsid w:val="00A63A36"/>
    <w:rsid w:val="00A63F44"/>
    <w:rsid w:val="00A64038"/>
    <w:rsid w:val="00A64970"/>
    <w:rsid w:val="00A66380"/>
    <w:rsid w:val="00A724C4"/>
    <w:rsid w:val="00A75F63"/>
    <w:rsid w:val="00A76F0E"/>
    <w:rsid w:val="00A80E88"/>
    <w:rsid w:val="00A87114"/>
    <w:rsid w:val="00A94B3C"/>
    <w:rsid w:val="00AA12CA"/>
    <w:rsid w:val="00AA16FE"/>
    <w:rsid w:val="00AA33A6"/>
    <w:rsid w:val="00AA3A28"/>
    <w:rsid w:val="00AA4FE0"/>
    <w:rsid w:val="00AA5BA7"/>
    <w:rsid w:val="00AB21B3"/>
    <w:rsid w:val="00AB2B5D"/>
    <w:rsid w:val="00AC149A"/>
    <w:rsid w:val="00AC1A0D"/>
    <w:rsid w:val="00AC25E8"/>
    <w:rsid w:val="00AC4885"/>
    <w:rsid w:val="00AC527C"/>
    <w:rsid w:val="00AC57AE"/>
    <w:rsid w:val="00AD35EC"/>
    <w:rsid w:val="00AD454D"/>
    <w:rsid w:val="00AD7588"/>
    <w:rsid w:val="00AE4C3F"/>
    <w:rsid w:val="00AE5100"/>
    <w:rsid w:val="00AE77CE"/>
    <w:rsid w:val="00AF1884"/>
    <w:rsid w:val="00AF7506"/>
    <w:rsid w:val="00B0125C"/>
    <w:rsid w:val="00B04762"/>
    <w:rsid w:val="00B06DAE"/>
    <w:rsid w:val="00B07CD8"/>
    <w:rsid w:val="00B11BF8"/>
    <w:rsid w:val="00B12951"/>
    <w:rsid w:val="00B12F1E"/>
    <w:rsid w:val="00B159D7"/>
    <w:rsid w:val="00B16617"/>
    <w:rsid w:val="00B17784"/>
    <w:rsid w:val="00B2018E"/>
    <w:rsid w:val="00B2153D"/>
    <w:rsid w:val="00B2177B"/>
    <w:rsid w:val="00B30A47"/>
    <w:rsid w:val="00B35ED8"/>
    <w:rsid w:val="00B37904"/>
    <w:rsid w:val="00B41782"/>
    <w:rsid w:val="00B42320"/>
    <w:rsid w:val="00B428E1"/>
    <w:rsid w:val="00B47BD1"/>
    <w:rsid w:val="00B60913"/>
    <w:rsid w:val="00B62FD5"/>
    <w:rsid w:val="00B66FE2"/>
    <w:rsid w:val="00B71158"/>
    <w:rsid w:val="00B7341B"/>
    <w:rsid w:val="00B778A2"/>
    <w:rsid w:val="00B77D5C"/>
    <w:rsid w:val="00B81B95"/>
    <w:rsid w:val="00B85D03"/>
    <w:rsid w:val="00B878FF"/>
    <w:rsid w:val="00B93AE6"/>
    <w:rsid w:val="00B94112"/>
    <w:rsid w:val="00B95967"/>
    <w:rsid w:val="00B97298"/>
    <w:rsid w:val="00BA1130"/>
    <w:rsid w:val="00BA1D2B"/>
    <w:rsid w:val="00BA6123"/>
    <w:rsid w:val="00BB2DDD"/>
    <w:rsid w:val="00BB5C95"/>
    <w:rsid w:val="00BC33EA"/>
    <w:rsid w:val="00BC4ABC"/>
    <w:rsid w:val="00BC5306"/>
    <w:rsid w:val="00BC5565"/>
    <w:rsid w:val="00BC5A90"/>
    <w:rsid w:val="00BC5B3B"/>
    <w:rsid w:val="00BC7CDC"/>
    <w:rsid w:val="00BD16D7"/>
    <w:rsid w:val="00BD184C"/>
    <w:rsid w:val="00BD5588"/>
    <w:rsid w:val="00BD65D2"/>
    <w:rsid w:val="00BD744C"/>
    <w:rsid w:val="00BE1AE8"/>
    <w:rsid w:val="00BE4722"/>
    <w:rsid w:val="00BF3E8F"/>
    <w:rsid w:val="00BF4C8F"/>
    <w:rsid w:val="00C017B3"/>
    <w:rsid w:val="00C05A70"/>
    <w:rsid w:val="00C063C0"/>
    <w:rsid w:val="00C07F6A"/>
    <w:rsid w:val="00C13E61"/>
    <w:rsid w:val="00C14DCC"/>
    <w:rsid w:val="00C202AC"/>
    <w:rsid w:val="00C26900"/>
    <w:rsid w:val="00C31B4B"/>
    <w:rsid w:val="00C323E7"/>
    <w:rsid w:val="00C32A65"/>
    <w:rsid w:val="00C37830"/>
    <w:rsid w:val="00C42A05"/>
    <w:rsid w:val="00C42CF1"/>
    <w:rsid w:val="00C42F5A"/>
    <w:rsid w:val="00C4322A"/>
    <w:rsid w:val="00C47F50"/>
    <w:rsid w:val="00C502A6"/>
    <w:rsid w:val="00C50B3A"/>
    <w:rsid w:val="00C528DE"/>
    <w:rsid w:val="00C558FD"/>
    <w:rsid w:val="00C57E86"/>
    <w:rsid w:val="00C60491"/>
    <w:rsid w:val="00C76FB3"/>
    <w:rsid w:val="00C802FC"/>
    <w:rsid w:val="00C80BBF"/>
    <w:rsid w:val="00C81924"/>
    <w:rsid w:val="00C8271E"/>
    <w:rsid w:val="00C86B17"/>
    <w:rsid w:val="00C95191"/>
    <w:rsid w:val="00C96DE0"/>
    <w:rsid w:val="00C97EDA"/>
    <w:rsid w:val="00CA36B8"/>
    <w:rsid w:val="00CA46F2"/>
    <w:rsid w:val="00CA4A0B"/>
    <w:rsid w:val="00CA6888"/>
    <w:rsid w:val="00CB199E"/>
    <w:rsid w:val="00CB23AD"/>
    <w:rsid w:val="00CB43E7"/>
    <w:rsid w:val="00CB4820"/>
    <w:rsid w:val="00CB7065"/>
    <w:rsid w:val="00CC4E58"/>
    <w:rsid w:val="00CC6A6A"/>
    <w:rsid w:val="00CD2E99"/>
    <w:rsid w:val="00CD6E4C"/>
    <w:rsid w:val="00CE02DD"/>
    <w:rsid w:val="00CE273F"/>
    <w:rsid w:val="00D0727B"/>
    <w:rsid w:val="00D13269"/>
    <w:rsid w:val="00D13F72"/>
    <w:rsid w:val="00D167DD"/>
    <w:rsid w:val="00D16B19"/>
    <w:rsid w:val="00D16C38"/>
    <w:rsid w:val="00D170C1"/>
    <w:rsid w:val="00D23DC3"/>
    <w:rsid w:val="00D24FC0"/>
    <w:rsid w:val="00D3148A"/>
    <w:rsid w:val="00D31C3F"/>
    <w:rsid w:val="00D36EDB"/>
    <w:rsid w:val="00D4107D"/>
    <w:rsid w:val="00D42E36"/>
    <w:rsid w:val="00D45D9A"/>
    <w:rsid w:val="00D47A6B"/>
    <w:rsid w:val="00D553C2"/>
    <w:rsid w:val="00D62078"/>
    <w:rsid w:val="00D628D6"/>
    <w:rsid w:val="00D646C6"/>
    <w:rsid w:val="00D71FCA"/>
    <w:rsid w:val="00D73BAF"/>
    <w:rsid w:val="00D75968"/>
    <w:rsid w:val="00D8110F"/>
    <w:rsid w:val="00D81AC4"/>
    <w:rsid w:val="00D81B0A"/>
    <w:rsid w:val="00D8274A"/>
    <w:rsid w:val="00D876C0"/>
    <w:rsid w:val="00D901A8"/>
    <w:rsid w:val="00D91F12"/>
    <w:rsid w:val="00D9523A"/>
    <w:rsid w:val="00D95D0B"/>
    <w:rsid w:val="00D976EF"/>
    <w:rsid w:val="00DA0D99"/>
    <w:rsid w:val="00DA39A9"/>
    <w:rsid w:val="00DA70BA"/>
    <w:rsid w:val="00DB0214"/>
    <w:rsid w:val="00DB43F7"/>
    <w:rsid w:val="00DB547D"/>
    <w:rsid w:val="00DC2DCD"/>
    <w:rsid w:val="00DC3F3C"/>
    <w:rsid w:val="00DC43FE"/>
    <w:rsid w:val="00DC4915"/>
    <w:rsid w:val="00DC4E11"/>
    <w:rsid w:val="00DC7E5F"/>
    <w:rsid w:val="00DD21E5"/>
    <w:rsid w:val="00DD46C4"/>
    <w:rsid w:val="00DD6B59"/>
    <w:rsid w:val="00DE75CF"/>
    <w:rsid w:val="00DF2E0B"/>
    <w:rsid w:val="00DF6216"/>
    <w:rsid w:val="00E02B81"/>
    <w:rsid w:val="00E056E1"/>
    <w:rsid w:val="00E0571B"/>
    <w:rsid w:val="00E10724"/>
    <w:rsid w:val="00E10BB8"/>
    <w:rsid w:val="00E17CD8"/>
    <w:rsid w:val="00E207B6"/>
    <w:rsid w:val="00E21798"/>
    <w:rsid w:val="00E244D2"/>
    <w:rsid w:val="00E24957"/>
    <w:rsid w:val="00E256A0"/>
    <w:rsid w:val="00E35F1C"/>
    <w:rsid w:val="00E37F2F"/>
    <w:rsid w:val="00E41664"/>
    <w:rsid w:val="00E41F14"/>
    <w:rsid w:val="00E434BE"/>
    <w:rsid w:val="00E44165"/>
    <w:rsid w:val="00E44472"/>
    <w:rsid w:val="00E46797"/>
    <w:rsid w:val="00E5292B"/>
    <w:rsid w:val="00E533E1"/>
    <w:rsid w:val="00E535DE"/>
    <w:rsid w:val="00E53FBF"/>
    <w:rsid w:val="00E550A5"/>
    <w:rsid w:val="00E6315A"/>
    <w:rsid w:val="00E63DE7"/>
    <w:rsid w:val="00E67296"/>
    <w:rsid w:val="00E67C33"/>
    <w:rsid w:val="00E70BC7"/>
    <w:rsid w:val="00E71435"/>
    <w:rsid w:val="00E71583"/>
    <w:rsid w:val="00E73E96"/>
    <w:rsid w:val="00E742BF"/>
    <w:rsid w:val="00E8039A"/>
    <w:rsid w:val="00E80B67"/>
    <w:rsid w:val="00E80DB8"/>
    <w:rsid w:val="00E835F2"/>
    <w:rsid w:val="00E8715E"/>
    <w:rsid w:val="00E8782E"/>
    <w:rsid w:val="00E87FCE"/>
    <w:rsid w:val="00E9060A"/>
    <w:rsid w:val="00E930B4"/>
    <w:rsid w:val="00EA3C49"/>
    <w:rsid w:val="00EA4B56"/>
    <w:rsid w:val="00EB2BE8"/>
    <w:rsid w:val="00EB3BF3"/>
    <w:rsid w:val="00EB4FE7"/>
    <w:rsid w:val="00EC2D6E"/>
    <w:rsid w:val="00EC319D"/>
    <w:rsid w:val="00EC333F"/>
    <w:rsid w:val="00EC3D20"/>
    <w:rsid w:val="00EC6A06"/>
    <w:rsid w:val="00EC6E86"/>
    <w:rsid w:val="00ED1F8D"/>
    <w:rsid w:val="00ED6432"/>
    <w:rsid w:val="00EE2534"/>
    <w:rsid w:val="00EF04F7"/>
    <w:rsid w:val="00EF0B15"/>
    <w:rsid w:val="00EF358B"/>
    <w:rsid w:val="00EF70A3"/>
    <w:rsid w:val="00F02938"/>
    <w:rsid w:val="00F032EB"/>
    <w:rsid w:val="00F038E0"/>
    <w:rsid w:val="00F03F4C"/>
    <w:rsid w:val="00F05AE5"/>
    <w:rsid w:val="00F1185E"/>
    <w:rsid w:val="00F15D5B"/>
    <w:rsid w:val="00F179EA"/>
    <w:rsid w:val="00F20980"/>
    <w:rsid w:val="00F25DC9"/>
    <w:rsid w:val="00F314F0"/>
    <w:rsid w:val="00F32213"/>
    <w:rsid w:val="00F3794A"/>
    <w:rsid w:val="00F44996"/>
    <w:rsid w:val="00F528C2"/>
    <w:rsid w:val="00F52BE9"/>
    <w:rsid w:val="00F53B29"/>
    <w:rsid w:val="00F55384"/>
    <w:rsid w:val="00F6084A"/>
    <w:rsid w:val="00F613AA"/>
    <w:rsid w:val="00F6329E"/>
    <w:rsid w:val="00F74300"/>
    <w:rsid w:val="00F82333"/>
    <w:rsid w:val="00F83A8F"/>
    <w:rsid w:val="00F90112"/>
    <w:rsid w:val="00F93812"/>
    <w:rsid w:val="00F9432B"/>
    <w:rsid w:val="00FA0E85"/>
    <w:rsid w:val="00FA22E1"/>
    <w:rsid w:val="00FA2E27"/>
    <w:rsid w:val="00FB7757"/>
    <w:rsid w:val="00FB7AD5"/>
    <w:rsid w:val="00FC4544"/>
    <w:rsid w:val="00FC7C3F"/>
    <w:rsid w:val="00FC7D4C"/>
    <w:rsid w:val="00FD15E9"/>
    <w:rsid w:val="00FD25E3"/>
    <w:rsid w:val="00FE1578"/>
    <w:rsid w:val="00FE2352"/>
    <w:rsid w:val="00FE39AF"/>
    <w:rsid w:val="00FE3DE8"/>
    <w:rsid w:val="00FE4CDD"/>
    <w:rsid w:val="00FF3373"/>
    <w:rsid w:val="00FF3693"/>
    <w:rsid w:val="00FF5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F84C956"/>
  <w15:docId w15:val="{904601C3-43A1-4D1B-AE8B-72689894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4C"/>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uiPriority w:val="99"/>
    <w:qFormat/>
    <w:rsid w:val="00E80DB8"/>
    <w:pPr>
      <w:keepNext/>
      <w:spacing w:before="240" w:after="60"/>
      <w:outlineLvl w:val="2"/>
    </w:pPr>
    <w:rPr>
      <w:rFonts w:ascii="Cambria" w:hAnsi="Cambria"/>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D5588"/>
    <w:pPr>
      <w:jc w:val="center"/>
    </w:pPr>
    <w:rPr>
      <w:sz w:val="28"/>
      <w:szCs w:val="20"/>
      <w:lang w:eastAsia="en-US"/>
    </w:rPr>
  </w:style>
  <w:style w:type="character" w:customStyle="1" w:styleId="TitleChar">
    <w:name w:val="Title Char"/>
    <w:basedOn w:val="DefaultParagraphFont"/>
    <w:link w:val="Title"/>
    <w:rsid w:val="00BD5588"/>
    <w:rPr>
      <w:rFonts w:ascii="Times New Roman" w:eastAsia="Times New Roman" w:hAnsi="Times New Roman" w:cs="Times New Roman"/>
      <w:sz w:val="28"/>
      <w:szCs w:val="20"/>
    </w:rPr>
  </w:style>
  <w:style w:type="character" w:styleId="Hyperlink">
    <w:name w:val="Hyperlink"/>
    <w:basedOn w:val="DefaultParagraphFont"/>
    <w:uiPriority w:val="99"/>
    <w:unhideWhenUsed/>
    <w:rsid w:val="00BD5588"/>
    <w:rPr>
      <w:color w:val="0000FF"/>
      <w:u w:val="single"/>
    </w:rPr>
  </w:style>
  <w:style w:type="character" w:styleId="CommentReference">
    <w:name w:val="annotation reference"/>
    <w:basedOn w:val="DefaultParagraphFont"/>
    <w:uiPriority w:val="99"/>
    <w:semiHidden/>
    <w:unhideWhenUsed/>
    <w:rsid w:val="001F4937"/>
    <w:rPr>
      <w:sz w:val="16"/>
      <w:szCs w:val="16"/>
    </w:rPr>
  </w:style>
  <w:style w:type="paragraph" w:styleId="CommentText">
    <w:name w:val="annotation text"/>
    <w:basedOn w:val="Normal"/>
    <w:link w:val="CommentTextChar"/>
    <w:uiPriority w:val="99"/>
    <w:unhideWhenUsed/>
    <w:rsid w:val="001F4937"/>
    <w:rPr>
      <w:sz w:val="20"/>
      <w:szCs w:val="20"/>
    </w:rPr>
  </w:style>
  <w:style w:type="character" w:customStyle="1" w:styleId="CommentTextChar">
    <w:name w:val="Comment Text Char"/>
    <w:basedOn w:val="DefaultParagraphFont"/>
    <w:link w:val="CommentText"/>
    <w:uiPriority w:val="99"/>
    <w:rsid w:val="001F4937"/>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F4937"/>
    <w:rPr>
      <w:b/>
      <w:bCs/>
    </w:rPr>
  </w:style>
  <w:style w:type="character" w:customStyle="1" w:styleId="CommentSubjectChar">
    <w:name w:val="Comment Subject Char"/>
    <w:basedOn w:val="CommentTextChar"/>
    <w:link w:val="CommentSubject"/>
    <w:uiPriority w:val="99"/>
    <w:semiHidden/>
    <w:rsid w:val="001F4937"/>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1F49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937"/>
    <w:rPr>
      <w:rFonts w:ascii="Segoe UI" w:eastAsia="Times New Roman" w:hAnsi="Segoe UI" w:cs="Segoe UI"/>
      <w:sz w:val="18"/>
      <w:szCs w:val="18"/>
      <w:lang w:eastAsia="lv-LV"/>
    </w:rPr>
  </w:style>
  <w:style w:type="paragraph" w:customStyle="1" w:styleId="Standard">
    <w:name w:val="Standard"/>
    <w:rsid w:val="000F6ECD"/>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ListParagraph">
    <w:name w:val="List Paragraph"/>
    <w:aliases w:val="H&amp;P List Paragraph,2"/>
    <w:basedOn w:val="Normal"/>
    <w:link w:val="ListParagraphChar"/>
    <w:uiPriority w:val="34"/>
    <w:qFormat/>
    <w:rsid w:val="0009692F"/>
    <w:pPr>
      <w:ind w:left="720"/>
      <w:contextualSpacing/>
    </w:pPr>
  </w:style>
  <w:style w:type="paragraph" w:styleId="Header">
    <w:name w:val="header"/>
    <w:basedOn w:val="Normal"/>
    <w:link w:val="HeaderChar"/>
    <w:uiPriority w:val="99"/>
    <w:unhideWhenUsed/>
    <w:rsid w:val="009C5AD1"/>
    <w:pPr>
      <w:tabs>
        <w:tab w:val="center" w:pos="4153"/>
        <w:tab w:val="right" w:pos="8306"/>
      </w:tabs>
    </w:pPr>
  </w:style>
  <w:style w:type="character" w:customStyle="1" w:styleId="HeaderChar">
    <w:name w:val="Header Char"/>
    <w:basedOn w:val="DefaultParagraphFont"/>
    <w:link w:val="Header"/>
    <w:uiPriority w:val="99"/>
    <w:rsid w:val="009C5AD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9C5AD1"/>
    <w:pPr>
      <w:tabs>
        <w:tab w:val="center" w:pos="4153"/>
        <w:tab w:val="right" w:pos="8306"/>
      </w:tabs>
    </w:pPr>
  </w:style>
  <w:style w:type="character" w:customStyle="1" w:styleId="FooterChar">
    <w:name w:val="Footer Char"/>
    <w:basedOn w:val="DefaultParagraphFont"/>
    <w:link w:val="Footer"/>
    <w:uiPriority w:val="99"/>
    <w:rsid w:val="009C5AD1"/>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semiHidden/>
    <w:unhideWhenUsed/>
    <w:rsid w:val="000827E1"/>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0827E1"/>
    <w:rPr>
      <w:rFonts w:ascii="Calibri" w:hAnsi="Calibri"/>
      <w:szCs w:val="21"/>
    </w:rPr>
  </w:style>
  <w:style w:type="table" w:customStyle="1" w:styleId="TableGridLight1">
    <w:name w:val="Table Grid Light1"/>
    <w:basedOn w:val="TableNormal"/>
    <w:uiPriority w:val="40"/>
    <w:rsid w:val="000941F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v2132">
    <w:name w:val="tv2132"/>
    <w:basedOn w:val="Normal"/>
    <w:rsid w:val="0031438D"/>
    <w:pPr>
      <w:spacing w:line="360" w:lineRule="auto"/>
      <w:ind w:firstLine="300"/>
    </w:pPr>
    <w:rPr>
      <w:color w:val="414142"/>
      <w:sz w:val="20"/>
      <w:szCs w:val="20"/>
    </w:rPr>
  </w:style>
  <w:style w:type="character" w:customStyle="1" w:styleId="Heading3Char">
    <w:name w:val="Heading 3 Char"/>
    <w:basedOn w:val="DefaultParagraphFont"/>
    <w:link w:val="Heading3"/>
    <w:uiPriority w:val="99"/>
    <w:rsid w:val="00E80DB8"/>
    <w:rPr>
      <w:rFonts w:ascii="Cambria" w:eastAsia="Times New Roman" w:hAnsi="Cambria" w:cs="Times New Roman"/>
      <w:b/>
      <w:bCs/>
      <w:sz w:val="26"/>
      <w:szCs w:val="26"/>
      <w:lang w:val="en-US"/>
    </w:rPr>
  </w:style>
  <w:style w:type="paragraph" w:styleId="NoSpacing">
    <w:name w:val="No Spacing"/>
    <w:uiPriority w:val="1"/>
    <w:qFormat/>
    <w:rsid w:val="00633A0B"/>
    <w:pPr>
      <w:widowControl w:val="0"/>
      <w:spacing w:after="0" w:line="240" w:lineRule="auto"/>
    </w:pPr>
    <w:rPr>
      <w:rFonts w:ascii="Calibri" w:eastAsia="Calibri" w:hAnsi="Calibri" w:cs="Times New Roman"/>
      <w:lang w:val="en-US"/>
    </w:rPr>
  </w:style>
  <w:style w:type="paragraph" w:customStyle="1" w:styleId="naisf">
    <w:name w:val="naisf"/>
    <w:basedOn w:val="Normal"/>
    <w:rsid w:val="005865CF"/>
    <w:pPr>
      <w:spacing w:before="100" w:beforeAutospacing="1" w:after="100" w:afterAutospacing="1"/>
    </w:pPr>
  </w:style>
  <w:style w:type="character" w:customStyle="1" w:styleId="UnresolvedMention1">
    <w:name w:val="Unresolved Mention1"/>
    <w:basedOn w:val="DefaultParagraphFont"/>
    <w:uiPriority w:val="99"/>
    <w:semiHidden/>
    <w:unhideWhenUsed/>
    <w:rsid w:val="00160FEF"/>
    <w:rPr>
      <w:color w:val="605E5C"/>
      <w:shd w:val="clear" w:color="auto" w:fill="E1DFDD"/>
    </w:rPr>
  </w:style>
  <w:style w:type="paragraph" w:styleId="Revision">
    <w:name w:val="Revision"/>
    <w:hidden/>
    <w:uiPriority w:val="99"/>
    <w:semiHidden/>
    <w:rsid w:val="002A2F57"/>
    <w:pPr>
      <w:spacing w:after="0" w:line="240" w:lineRule="auto"/>
    </w:pPr>
    <w:rPr>
      <w:rFonts w:ascii="Times New Roman" w:eastAsia="Times New Roman" w:hAnsi="Times New Roman" w:cs="Times New Roman"/>
      <w:sz w:val="24"/>
      <w:szCs w:val="24"/>
      <w:lang w:eastAsia="lv-LV"/>
    </w:rPr>
  </w:style>
  <w:style w:type="paragraph" w:customStyle="1" w:styleId="doc-ti1">
    <w:name w:val="doc-ti1"/>
    <w:basedOn w:val="Normal"/>
    <w:rsid w:val="005A784B"/>
    <w:pPr>
      <w:spacing w:before="240" w:after="120" w:line="312" w:lineRule="atLeast"/>
      <w:jc w:val="center"/>
    </w:pPr>
    <w:rPr>
      <w:b/>
      <w:bCs/>
    </w:rPr>
  </w:style>
  <w:style w:type="character" w:customStyle="1" w:styleId="ListParagraphChar">
    <w:name w:val="List Paragraph Char"/>
    <w:aliases w:val="H&amp;P List Paragraph Char,2 Char"/>
    <w:link w:val="ListParagraph"/>
    <w:uiPriority w:val="34"/>
    <w:locked/>
    <w:rsid w:val="00A066E4"/>
    <w:rPr>
      <w:rFonts w:ascii="Times New Roman" w:eastAsia="Times New Roman" w:hAnsi="Times New Roman" w:cs="Times New Roman"/>
      <w:sz w:val="24"/>
      <w:szCs w:val="24"/>
      <w:lang w:eastAsia="lv-LV"/>
    </w:rPr>
  </w:style>
  <w:style w:type="paragraph" w:customStyle="1" w:styleId="tv213">
    <w:name w:val="tv213"/>
    <w:basedOn w:val="Normal"/>
    <w:rsid w:val="00A13BD5"/>
    <w:pPr>
      <w:spacing w:before="100" w:beforeAutospacing="1" w:after="100" w:afterAutospacing="1"/>
    </w:pPr>
  </w:style>
  <w:style w:type="paragraph" w:styleId="NormalWeb">
    <w:name w:val="Normal (Web)"/>
    <w:basedOn w:val="Normal"/>
    <w:uiPriority w:val="99"/>
    <w:rsid w:val="00F53B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8288">
      <w:bodyDiv w:val="1"/>
      <w:marLeft w:val="0"/>
      <w:marRight w:val="0"/>
      <w:marTop w:val="0"/>
      <w:marBottom w:val="0"/>
      <w:divBdr>
        <w:top w:val="none" w:sz="0" w:space="0" w:color="auto"/>
        <w:left w:val="none" w:sz="0" w:space="0" w:color="auto"/>
        <w:bottom w:val="none" w:sz="0" w:space="0" w:color="auto"/>
        <w:right w:val="none" w:sz="0" w:space="0" w:color="auto"/>
      </w:divBdr>
      <w:divsChild>
        <w:div w:id="1571886855">
          <w:marLeft w:val="0"/>
          <w:marRight w:val="0"/>
          <w:marTop w:val="0"/>
          <w:marBottom w:val="0"/>
          <w:divBdr>
            <w:top w:val="none" w:sz="0" w:space="0" w:color="auto"/>
            <w:left w:val="none" w:sz="0" w:space="0" w:color="auto"/>
            <w:bottom w:val="none" w:sz="0" w:space="0" w:color="auto"/>
            <w:right w:val="none" w:sz="0" w:space="0" w:color="auto"/>
          </w:divBdr>
          <w:divsChild>
            <w:div w:id="1184393506">
              <w:marLeft w:val="0"/>
              <w:marRight w:val="0"/>
              <w:marTop w:val="0"/>
              <w:marBottom w:val="0"/>
              <w:divBdr>
                <w:top w:val="none" w:sz="0" w:space="0" w:color="auto"/>
                <w:left w:val="none" w:sz="0" w:space="0" w:color="auto"/>
                <w:bottom w:val="none" w:sz="0" w:space="0" w:color="auto"/>
                <w:right w:val="none" w:sz="0" w:space="0" w:color="auto"/>
              </w:divBdr>
              <w:divsChild>
                <w:div w:id="202138833">
                  <w:marLeft w:val="0"/>
                  <w:marRight w:val="0"/>
                  <w:marTop w:val="0"/>
                  <w:marBottom w:val="0"/>
                  <w:divBdr>
                    <w:top w:val="none" w:sz="0" w:space="0" w:color="auto"/>
                    <w:left w:val="none" w:sz="0" w:space="0" w:color="auto"/>
                    <w:bottom w:val="none" w:sz="0" w:space="0" w:color="auto"/>
                    <w:right w:val="none" w:sz="0" w:space="0" w:color="auto"/>
                  </w:divBdr>
                  <w:divsChild>
                    <w:div w:id="1045135276">
                      <w:marLeft w:val="0"/>
                      <w:marRight w:val="0"/>
                      <w:marTop w:val="0"/>
                      <w:marBottom w:val="0"/>
                      <w:divBdr>
                        <w:top w:val="none" w:sz="0" w:space="0" w:color="auto"/>
                        <w:left w:val="none" w:sz="0" w:space="0" w:color="auto"/>
                        <w:bottom w:val="none" w:sz="0" w:space="0" w:color="auto"/>
                        <w:right w:val="none" w:sz="0" w:space="0" w:color="auto"/>
                      </w:divBdr>
                      <w:divsChild>
                        <w:div w:id="2053922659">
                          <w:marLeft w:val="0"/>
                          <w:marRight w:val="0"/>
                          <w:marTop w:val="0"/>
                          <w:marBottom w:val="0"/>
                          <w:divBdr>
                            <w:top w:val="none" w:sz="0" w:space="0" w:color="auto"/>
                            <w:left w:val="none" w:sz="0" w:space="0" w:color="auto"/>
                            <w:bottom w:val="none" w:sz="0" w:space="0" w:color="auto"/>
                            <w:right w:val="none" w:sz="0" w:space="0" w:color="auto"/>
                          </w:divBdr>
                          <w:divsChild>
                            <w:div w:id="15834873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89768">
      <w:bodyDiv w:val="1"/>
      <w:marLeft w:val="0"/>
      <w:marRight w:val="0"/>
      <w:marTop w:val="0"/>
      <w:marBottom w:val="0"/>
      <w:divBdr>
        <w:top w:val="none" w:sz="0" w:space="0" w:color="auto"/>
        <w:left w:val="none" w:sz="0" w:space="0" w:color="auto"/>
        <w:bottom w:val="none" w:sz="0" w:space="0" w:color="auto"/>
        <w:right w:val="none" w:sz="0" w:space="0" w:color="auto"/>
      </w:divBdr>
      <w:divsChild>
        <w:div w:id="442499833">
          <w:marLeft w:val="0"/>
          <w:marRight w:val="0"/>
          <w:marTop w:val="0"/>
          <w:marBottom w:val="0"/>
          <w:divBdr>
            <w:top w:val="none" w:sz="0" w:space="0" w:color="auto"/>
            <w:left w:val="none" w:sz="0" w:space="0" w:color="auto"/>
            <w:bottom w:val="none" w:sz="0" w:space="0" w:color="auto"/>
            <w:right w:val="none" w:sz="0" w:space="0" w:color="auto"/>
          </w:divBdr>
          <w:divsChild>
            <w:div w:id="159854649">
              <w:marLeft w:val="0"/>
              <w:marRight w:val="0"/>
              <w:marTop w:val="0"/>
              <w:marBottom w:val="0"/>
              <w:divBdr>
                <w:top w:val="none" w:sz="0" w:space="0" w:color="auto"/>
                <w:left w:val="none" w:sz="0" w:space="0" w:color="auto"/>
                <w:bottom w:val="none" w:sz="0" w:space="0" w:color="auto"/>
                <w:right w:val="none" w:sz="0" w:space="0" w:color="auto"/>
              </w:divBdr>
              <w:divsChild>
                <w:div w:id="1500929331">
                  <w:marLeft w:val="0"/>
                  <w:marRight w:val="0"/>
                  <w:marTop w:val="0"/>
                  <w:marBottom w:val="0"/>
                  <w:divBdr>
                    <w:top w:val="none" w:sz="0" w:space="0" w:color="auto"/>
                    <w:left w:val="none" w:sz="0" w:space="0" w:color="auto"/>
                    <w:bottom w:val="none" w:sz="0" w:space="0" w:color="auto"/>
                    <w:right w:val="none" w:sz="0" w:space="0" w:color="auto"/>
                  </w:divBdr>
                  <w:divsChild>
                    <w:div w:id="446318656">
                      <w:marLeft w:val="0"/>
                      <w:marRight w:val="0"/>
                      <w:marTop w:val="0"/>
                      <w:marBottom w:val="0"/>
                      <w:divBdr>
                        <w:top w:val="none" w:sz="0" w:space="0" w:color="auto"/>
                        <w:left w:val="none" w:sz="0" w:space="0" w:color="auto"/>
                        <w:bottom w:val="none" w:sz="0" w:space="0" w:color="auto"/>
                        <w:right w:val="none" w:sz="0" w:space="0" w:color="auto"/>
                      </w:divBdr>
                      <w:divsChild>
                        <w:div w:id="1948463978">
                          <w:marLeft w:val="0"/>
                          <w:marRight w:val="0"/>
                          <w:marTop w:val="0"/>
                          <w:marBottom w:val="0"/>
                          <w:divBdr>
                            <w:top w:val="none" w:sz="0" w:space="0" w:color="auto"/>
                            <w:left w:val="none" w:sz="0" w:space="0" w:color="auto"/>
                            <w:bottom w:val="none" w:sz="0" w:space="0" w:color="auto"/>
                            <w:right w:val="none" w:sz="0" w:space="0" w:color="auto"/>
                          </w:divBdr>
                          <w:divsChild>
                            <w:div w:id="132720120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75343">
      <w:bodyDiv w:val="1"/>
      <w:marLeft w:val="0"/>
      <w:marRight w:val="0"/>
      <w:marTop w:val="0"/>
      <w:marBottom w:val="0"/>
      <w:divBdr>
        <w:top w:val="none" w:sz="0" w:space="0" w:color="auto"/>
        <w:left w:val="none" w:sz="0" w:space="0" w:color="auto"/>
        <w:bottom w:val="none" w:sz="0" w:space="0" w:color="auto"/>
        <w:right w:val="none" w:sz="0" w:space="0" w:color="auto"/>
      </w:divBdr>
    </w:div>
    <w:div w:id="637538843">
      <w:bodyDiv w:val="1"/>
      <w:marLeft w:val="0"/>
      <w:marRight w:val="0"/>
      <w:marTop w:val="0"/>
      <w:marBottom w:val="0"/>
      <w:divBdr>
        <w:top w:val="none" w:sz="0" w:space="0" w:color="auto"/>
        <w:left w:val="none" w:sz="0" w:space="0" w:color="auto"/>
        <w:bottom w:val="none" w:sz="0" w:space="0" w:color="auto"/>
        <w:right w:val="none" w:sz="0" w:space="0" w:color="auto"/>
      </w:divBdr>
    </w:div>
    <w:div w:id="675424286">
      <w:bodyDiv w:val="1"/>
      <w:marLeft w:val="0"/>
      <w:marRight w:val="0"/>
      <w:marTop w:val="0"/>
      <w:marBottom w:val="0"/>
      <w:divBdr>
        <w:top w:val="none" w:sz="0" w:space="0" w:color="auto"/>
        <w:left w:val="none" w:sz="0" w:space="0" w:color="auto"/>
        <w:bottom w:val="none" w:sz="0" w:space="0" w:color="auto"/>
        <w:right w:val="none" w:sz="0" w:space="0" w:color="auto"/>
      </w:divBdr>
      <w:divsChild>
        <w:div w:id="1639992393">
          <w:marLeft w:val="0"/>
          <w:marRight w:val="0"/>
          <w:marTop w:val="0"/>
          <w:marBottom w:val="0"/>
          <w:divBdr>
            <w:top w:val="none" w:sz="0" w:space="0" w:color="auto"/>
            <w:left w:val="none" w:sz="0" w:space="0" w:color="auto"/>
            <w:bottom w:val="none" w:sz="0" w:space="0" w:color="auto"/>
            <w:right w:val="none" w:sz="0" w:space="0" w:color="auto"/>
          </w:divBdr>
          <w:divsChild>
            <w:div w:id="1949846816">
              <w:marLeft w:val="0"/>
              <w:marRight w:val="0"/>
              <w:marTop w:val="0"/>
              <w:marBottom w:val="0"/>
              <w:divBdr>
                <w:top w:val="none" w:sz="0" w:space="0" w:color="auto"/>
                <w:left w:val="none" w:sz="0" w:space="0" w:color="auto"/>
                <w:bottom w:val="none" w:sz="0" w:space="0" w:color="auto"/>
                <w:right w:val="none" w:sz="0" w:space="0" w:color="auto"/>
              </w:divBdr>
              <w:divsChild>
                <w:div w:id="688029097">
                  <w:marLeft w:val="0"/>
                  <w:marRight w:val="0"/>
                  <w:marTop w:val="0"/>
                  <w:marBottom w:val="0"/>
                  <w:divBdr>
                    <w:top w:val="none" w:sz="0" w:space="0" w:color="auto"/>
                    <w:left w:val="none" w:sz="0" w:space="0" w:color="auto"/>
                    <w:bottom w:val="none" w:sz="0" w:space="0" w:color="auto"/>
                    <w:right w:val="none" w:sz="0" w:space="0" w:color="auto"/>
                  </w:divBdr>
                  <w:divsChild>
                    <w:div w:id="573975533">
                      <w:marLeft w:val="-150"/>
                      <w:marRight w:val="-150"/>
                      <w:marTop w:val="0"/>
                      <w:marBottom w:val="0"/>
                      <w:divBdr>
                        <w:top w:val="none" w:sz="0" w:space="0" w:color="auto"/>
                        <w:left w:val="none" w:sz="0" w:space="0" w:color="auto"/>
                        <w:bottom w:val="none" w:sz="0" w:space="0" w:color="auto"/>
                        <w:right w:val="none" w:sz="0" w:space="0" w:color="auto"/>
                      </w:divBdr>
                      <w:divsChild>
                        <w:div w:id="725681670">
                          <w:marLeft w:val="0"/>
                          <w:marRight w:val="0"/>
                          <w:marTop w:val="0"/>
                          <w:marBottom w:val="0"/>
                          <w:divBdr>
                            <w:top w:val="none" w:sz="0" w:space="0" w:color="auto"/>
                            <w:left w:val="none" w:sz="0" w:space="0" w:color="auto"/>
                            <w:bottom w:val="none" w:sz="0" w:space="0" w:color="auto"/>
                            <w:right w:val="none" w:sz="0" w:space="0" w:color="auto"/>
                          </w:divBdr>
                          <w:divsChild>
                            <w:div w:id="360404025">
                              <w:marLeft w:val="0"/>
                              <w:marRight w:val="0"/>
                              <w:marTop w:val="0"/>
                              <w:marBottom w:val="0"/>
                              <w:divBdr>
                                <w:top w:val="none" w:sz="0" w:space="0" w:color="auto"/>
                                <w:left w:val="none" w:sz="0" w:space="0" w:color="auto"/>
                                <w:bottom w:val="none" w:sz="0" w:space="0" w:color="auto"/>
                                <w:right w:val="none" w:sz="0" w:space="0" w:color="auto"/>
                              </w:divBdr>
                              <w:divsChild>
                                <w:div w:id="173807855">
                                  <w:marLeft w:val="0"/>
                                  <w:marRight w:val="0"/>
                                  <w:marTop w:val="0"/>
                                  <w:marBottom w:val="300"/>
                                  <w:divBdr>
                                    <w:top w:val="none" w:sz="0" w:space="0" w:color="auto"/>
                                    <w:left w:val="none" w:sz="0" w:space="0" w:color="auto"/>
                                    <w:bottom w:val="none" w:sz="0" w:space="0" w:color="auto"/>
                                    <w:right w:val="none" w:sz="0" w:space="0" w:color="auto"/>
                                  </w:divBdr>
                                  <w:divsChild>
                                    <w:div w:id="1540895251">
                                      <w:marLeft w:val="0"/>
                                      <w:marRight w:val="0"/>
                                      <w:marTop w:val="0"/>
                                      <w:marBottom w:val="0"/>
                                      <w:divBdr>
                                        <w:top w:val="none" w:sz="0" w:space="0" w:color="auto"/>
                                        <w:left w:val="none" w:sz="0" w:space="0" w:color="auto"/>
                                        <w:bottom w:val="none" w:sz="0" w:space="0" w:color="auto"/>
                                        <w:right w:val="none" w:sz="0" w:space="0" w:color="auto"/>
                                      </w:divBdr>
                                      <w:divsChild>
                                        <w:div w:id="147215612">
                                          <w:marLeft w:val="0"/>
                                          <w:marRight w:val="0"/>
                                          <w:marTop w:val="0"/>
                                          <w:marBottom w:val="0"/>
                                          <w:divBdr>
                                            <w:top w:val="none" w:sz="0" w:space="0" w:color="auto"/>
                                            <w:left w:val="none" w:sz="0" w:space="0" w:color="auto"/>
                                            <w:bottom w:val="none" w:sz="0" w:space="0" w:color="auto"/>
                                            <w:right w:val="none" w:sz="0" w:space="0" w:color="auto"/>
                                          </w:divBdr>
                                          <w:divsChild>
                                            <w:div w:id="98063079">
                                              <w:marLeft w:val="0"/>
                                              <w:marRight w:val="0"/>
                                              <w:marTop w:val="0"/>
                                              <w:marBottom w:val="0"/>
                                              <w:divBdr>
                                                <w:top w:val="none" w:sz="0" w:space="0" w:color="auto"/>
                                                <w:left w:val="none" w:sz="0" w:space="0" w:color="auto"/>
                                                <w:bottom w:val="none" w:sz="0" w:space="0" w:color="auto"/>
                                                <w:right w:val="none" w:sz="0" w:space="0" w:color="auto"/>
                                              </w:divBdr>
                                              <w:divsChild>
                                                <w:div w:id="105079832">
                                                  <w:marLeft w:val="0"/>
                                                  <w:marRight w:val="0"/>
                                                  <w:marTop w:val="0"/>
                                                  <w:marBottom w:val="0"/>
                                                  <w:divBdr>
                                                    <w:top w:val="none" w:sz="0" w:space="0" w:color="auto"/>
                                                    <w:left w:val="none" w:sz="0" w:space="0" w:color="auto"/>
                                                    <w:bottom w:val="none" w:sz="0" w:space="0" w:color="auto"/>
                                                    <w:right w:val="none" w:sz="0" w:space="0" w:color="auto"/>
                                                  </w:divBdr>
                                                  <w:divsChild>
                                                    <w:div w:id="1350909770">
                                                      <w:marLeft w:val="0"/>
                                                      <w:marRight w:val="0"/>
                                                      <w:marTop w:val="0"/>
                                                      <w:marBottom w:val="0"/>
                                                      <w:divBdr>
                                                        <w:top w:val="none" w:sz="0" w:space="0" w:color="auto"/>
                                                        <w:left w:val="none" w:sz="0" w:space="0" w:color="auto"/>
                                                        <w:bottom w:val="none" w:sz="0" w:space="0" w:color="auto"/>
                                                        <w:right w:val="none" w:sz="0" w:space="0" w:color="auto"/>
                                                      </w:divBdr>
                                                      <w:divsChild>
                                                        <w:div w:id="435372275">
                                                          <w:marLeft w:val="0"/>
                                                          <w:marRight w:val="0"/>
                                                          <w:marTop w:val="0"/>
                                                          <w:marBottom w:val="0"/>
                                                          <w:divBdr>
                                                            <w:top w:val="none" w:sz="0" w:space="0" w:color="auto"/>
                                                            <w:left w:val="none" w:sz="0" w:space="0" w:color="auto"/>
                                                            <w:bottom w:val="none" w:sz="0" w:space="0" w:color="auto"/>
                                                            <w:right w:val="none" w:sz="0" w:space="0" w:color="auto"/>
                                                          </w:divBdr>
                                                          <w:divsChild>
                                                            <w:div w:id="124885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6851402">
      <w:bodyDiv w:val="1"/>
      <w:marLeft w:val="0"/>
      <w:marRight w:val="0"/>
      <w:marTop w:val="0"/>
      <w:marBottom w:val="0"/>
      <w:divBdr>
        <w:top w:val="none" w:sz="0" w:space="0" w:color="auto"/>
        <w:left w:val="none" w:sz="0" w:space="0" w:color="auto"/>
        <w:bottom w:val="none" w:sz="0" w:space="0" w:color="auto"/>
        <w:right w:val="none" w:sz="0" w:space="0" w:color="auto"/>
      </w:divBdr>
    </w:div>
    <w:div w:id="1173690352">
      <w:bodyDiv w:val="1"/>
      <w:marLeft w:val="0"/>
      <w:marRight w:val="0"/>
      <w:marTop w:val="0"/>
      <w:marBottom w:val="0"/>
      <w:divBdr>
        <w:top w:val="none" w:sz="0" w:space="0" w:color="auto"/>
        <w:left w:val="none" w:sz="0" w:space="0" w:color="auto"/>
        <w:bottom w:val="none" w:sz="0" w:space="0" w:color="auto"/>
        <w:right w:val="none" w:sz="0" w:space="0" w:color="auto"/>
      </w:divBdr>
    </w:div>
    <w:div w:id="1312102796">
      <w:bodyDiv w:val="1"/>
      <w:marLeft w:val="0"/>
      <w:marRight w:val="0"/>
      <w:marTop w:val="0"/>
      <w:marBottom w:val="0"/>
      <w:divBdr>
        <w:top w:val="none" w:sz="0" w:space="0" w:color="auto"/>
        <w:left w:val="none" w:sz="0" w:space="0" w:color="auto"/>
        <w:bottom w:val="none" w:sz="0" w:space="0" w:color="auto"/>
        <w:right w:val="none" w:sz="0" w:space="0" w:color="auto"/>
      </w:divBdr>
    </w:div>
    <w:div w:id="1509519858">
      <w:bodyDiv w:val="1"/>
      <w:marLeft w:val="0"/>
      <w:marRight w:val="0"/>
      <w:marTop w:val="0"/>
      <w:marBottom w:val="0"/>
      <w:divBdr>
        <w:top w:val="none" w:sz="0" w:space="0" w:color="auto"/>
        <w:left w:val="none" w:sz="0" w:space="0" w:color="auto"/>
        <w:bottom w:val="none" w:sz="0" w:space="0" w:color="auto"/>
        <w:right w:val="none" w:sz="0" w:space="0" w:color="auto"/>
      </w:divBdr>
    </w:div>
    <w:div w:id="1801485946">
      <w:bodyDiv w:val="1"/>
      <w:marLeft w:val="0"/>
      <w:marRight w:val="0"/>
      <w:marTop w:val="0"/>
      <w:marBottom w:val="0"/>
      <w:divBdr>
        <w:top w:val="none" w:sz="0" w:space="0" w:color="auto"/>
        <w:left w:val="none" w:sz="0" w:space="0" w:color="auto"/>
        <w:bottom w:val="none" w:sz="0" w:space="0" w:color="auto"/>
        <w:right w:val="none" w:sz="0" w:space="0" w:color="auto"/>
      </w:divBdr>
    </w:div>
    <w:div w:id="1908107310">
      <w:bodyDiv w:val="1"/>
      <w:marLeft w:val="0"/>
      <w:marRight w:val="0"/>
      <w:marTop w:val="0"/>
      <w:marBottom w:val="0"/>
      <w:divBdr>
        <w:top w:val="none" w:sz="0" w:space="0" w:color="auto"/>
        <w:left w:val="none" w:sz="0" w:space="0" w:color="auto"/>
        <w:bottom w:val="none" w:sz="0" w:space="0" w:color="auto"/>
        <w:right w:val="none" w:sz="0" w:space="0" w:color="auto"/>
      </w:divBdr>
    </w:div>
    <w:div w:id="1982343517">
      <w:bodyDiv w:val="1"/>
      <w:marLeft w:val="0"/>
      <w:marRight w:val="0"/>
      <w:marTop w:val="0"/>
      <w:marBottom w:val="0"/>
      <w:divBdr>
        <w:top w:val="none" w:sz="0" w:space="0" w:color="auto"/>
        <w:left w:val="none" w:sz="0" w:space="0" w:color="auto"/>
        <w:bottom w:val="none" w:sz="0" w:space="0" w:color="auto"/>
        <w:right w:val="none" w:sz="0" w:space="0" w:color="auto"/>
      </w:divBdr>
    </w:div>
    <w:div w:id="2024624858">
      <w:bodyDiv w:val="1"/>
      <w:marLeft w:val="0"/>
      <w:marRight w:val="0"/>
      <w:marTop w:val="0"/>
      <w:marBottom w:val="0"/>
      <w:divBdr>
        <w:top w:val="none" w:sz="0" w:space="0" w:color="auto"/>
        <w:left w:val="none" w:sz="0" w:space="0" w:color="auto"/>
        <w:bottom w:val="none" w:sz="0" w:space="0" w:color="auto"/>
        <w:right w:val="none" w:sz="0" w:space="0" w:color="auto"/>
      </w:divBdr>
    </w:div>
    <w:div w:id="210942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57435" TargetMode="External"/><Relationship Id="rId13" Type="http://schemas.openxmlformats.org/officeDocument/2006/relationships/hyperlink" Target="https://likumi.lv/ta/id/5743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kumi.lv/ta/id/5743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57435" TargetMode="External"/><Relationship Id="rId5" Type="http://schemas.openxmlformats.org/officeDocument/2006/relationships/webSettings" Target="webSettings.xml"/><Relationship Id="rId15" Type="http://schemas.openxmlformats.org/officeDocument/2006/relationships/hyperlink" Target="https://likumi.lv/ta/id/57435" TargetMode="External"/><Relationship Id="rId10" Type="http://schemas.openxmlformats.org/officeDocument/2006/relationships/hyperlink" Target="https://likumi.lv/ta/id/5743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41737-ventspils-brivostas-likums" TargetMode="External"/><Relationship Id="rId14" Type="http://schemas.openxmlformats.org/officeDocument/2006/relationships/hyperlink" Target="https://likumi.lv/ta/id/57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8A9502-36FA-4BDA-A286-9BFB18985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6</Pages>
  <Words>9790</Words>
  <Characters>5581</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Ministru kabineta rīkojuma projekta „Par valsts  akciju sabiedrības “Ventas osta” dibināšanu” sākotnējās ietekmes novērtējuma ziņojums (anotācija)</vt:lpstr>
    </vt:vector>
  </TitlesOfParts>
  <Company>Satiksmes ministrija</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akciju sabiedrības “Ventas osta” dibināšanu” sākotnējās ietekmes novērtējuma ziņojums (anotācija)</dc:title>
  <dc:subject>Likumprojekta anotācija</dc:subject>
  <dc:creator>Īrisa Kalniņa</dc:creator>
  <dc:description>67028225, Marite.Paegle@sam.gov.lv</dc:description>
  <cp:lastModifiedBy>Baiba Jirgena</cp:lastModifiedBy>
  <cp:revision>26</cp:revision>
  <cp:lastPrinted>2020-02-14T11:28:00Z</cp:lastPrinted>
  <dcterms:created xsi:type="dcterms:W3CDTF">2020-01-28T09:24:00Z</dcterms:created>
  <dcterms:modified xsi:type="dcterms:W3CDTF">2020-02-17T06:53:00Z</dcterms:modified>
</cp:coreProperties>
</file>