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B3AF5" w:rsidR="00894C55" w:rsidP="00BC0506" w:rsidRDefault="00400166" w14:paraId="11A21785" w14:textId="75001A8A">
      <w:pPr>
        <w:shd w:val="clear" w:color="auto" w:fill="FFFFFF" w:themeFill="background1"/>
        <w:spacing w:after="0" w:line="240" w:lineRule="auto"/>
        <w:jc w:val="center"/>
        <w:rPr>
          <w:rFonts w:ascii="Times New Roman" w:hAnsi="Times New Roman" w:eastAsia="Times New Roman" w:cs="Times New Roman"/>
          <w:b/>
          <w:bCs/>
          <w:sz w:val="24"/>
          <w:szCs w:val="24"/>
          <w:lang w:eastAsia="lv-LV"/>
        </w:rPr>
      </w:pPr>
      <w:sdt>
        <w:sdtPr>
          <w:rPr>
            <w:rFonts w:ascii="Times New Roman" w:hAnsi="Times New Roman" w:eastAsia="Times New Roman" w:cs="Times New Roman"/>
            <w:b/>
            <w:bCs/>
            <w:sz w:val="24"/>
            <w:szCs w:val="24"/>
            <w:lang w:eastAsia="lv-LV"/>
          </w:rPr>
          <w:id w:val="882755678"/>
          <w:placeholder>
            <w:docPart w:val="B2513C7936974E769D1103048039203D"/>
          </w:placeholder>
        </w:sdtPr>
        <w:sdtEndPr/>
        <w:sdtContent>
          <w:r w:rsidRPr="000B3AF5" w:rsidR="007F78B5">
            <w:rPr>
              <w:rFonts w:ascii="Times New Roman" w:hAnsi="Times New Roman" w:eastAsia="Times New Roman" w:cs="Times New Roman"/>
              <w:b/>
              <w:bCs/>
              <w:sz w:val="24"/>
              <w:szCs w:val="24"/>
              <w:lang w:eastAsia="lv-LV"/>
            </w:rPr>
            <w:t>Likumprojekta „</w:t>
          </w:r>
          <w:r w:rsidRPr="000B3AF5" w:rsidR="003238C9">
            <w:rPr>
              <w:rFonts w:ascii="Times New Roman" w:hAnsi="Times New Roman" w:cs="Times New Roman"/>
              <w:b/>
              <w:bCs/>
              <w:sz w:val="24"/>
              <w:szCs w:val="24"/>
            </w:rPr>
            <w:t xml:space="preserve"> Grozījumi Aizsargāta pakalpojuma likumā</w:t>
          </w:r>
          <w:r w:rsidRPr="000B3AF5" w:rsidR="007F78B5">
            <w:rPr>
              <w:rFonts w:ascii="Times New Roman" w:hAnsi="Times New Roman" w:eastAsia="Times New Roman" w:cs="Times New Roman"/>
              <w:b/>
              <w:bCs/>
              <w:sz w:val="24"/>
              <w:szCs w:val="24"/>
              <w:lang w:eastAsia="lv-LV"/>
            </w:rPr>
            <w:t>”</w:t>
          </w:r>
        </w:sdtContent>
      </w:sdt>
      <w:r w:rsidRPr="000B3AF5" w:rsidR="00894C55">
        <w:rPr>
          <w:rFonts w:ascii="Times New Roman" w:hAnsi="Times New Roman" w:eastAsia="Times New Roman" w:cs="Times New Roman"/>
          <w:b/>
          <w:bCs/>
          <w:sz w:val="24"/>
          <w:szCs w:val="24"/>
          <w:lang w:eastAsia="lv-LV"/>
        </w:rPr>
        <w:t xml:space="preserve"> projekta</w:t>
      </w:r>
      <w:r w:rsidRPr="000B3AF5" w:rsidR="003B0BF9">
        <w:rPr>
          <w:rFonts w:ascii="Times New Roman" w:hAnsi="Times New Roman" w:eastAsia="Times New Roman" w:cs="Times New Roman"/>
          <w:b/>
          <w:bCs/>
          <w:sz w:val="24"/>
          <w:szCs w:val="24"/>
          <w:lang w:eastAsia="lv-LV"/>
        </w:rPr>
        <w:br/>
      </w:r>
      <w:r w:rsidRPr="000B3AF5" w:rsidR="00894C55">
        <w:rPr>
          <w:rFonts w:ascii="Times New Roman" w:hAnsi="Times New Roman" w:eastAsia="Times New Roman" w:cs="Times New Roman"/>
          <w:b/>
          <w:bCs/>
          <w:sz w:val="24"/>
          <w:szCs w:val="24"/>
          <w:lang w:eastAsia="lv-LV"/>
        </w:rPr>
        <w:t>sākotnējās ietekmes novērtējuma ziņojums (anotācija)</w:t>
      </w:r>
    </w:p>
    <w:p w:rsidRPr="000B3AF5" w:rsidR="00E5323B" w:rsidP="00BC0506" w:rsidRDefault="00E5323B" w14:paraId="210FFD37" w14:textId="4C31443C">
      <w:pPr>
        <w:shd w:val="clear" w:color="auto" w:fill="FFFFFF" w:themeFill="background1"/>
        <w:spacing w:after="0" w:line="240" w:lineRule="auto"/>
        <w:rPr>
          <w:rFonts w:ascii="Times New Roman" w:hAnsi="Times New Roman" w:eastAsia="Times New Roman" w:cs="Times New Roman"/>
          <w:iCs/>
          <w:sz w:val="24"/>
          <w:szCs w:val="24"/>
          <w:lang w:eastAsia="lv-LV"/>
        </w:rPr>
      </w:pPr>
    </w:p>
    <w:tbl>
      <w:tblPr>
        <w:tblStyle w:val="TableGrid"/>
        <w:tblW w:w="5000" w:type="pct"/>
        <w:tblLayout w:type="fixed"/>
        <w:tblLook w:val="04A0" w:firstRow="1" w:lastRow="0" w:firstColumn="1" w:lastColumn="0" w:noHBand="0" w:noVBand="1"/>
      </w:tblPr>
      <w:tblGrid>
        <w:gridCol w:w="2517"/>
        <w:gridCol w:w="6544"/>
      </w:tblGrid>
      <w:tr w:rsidRPr="000B3AF5" w:rsidR="000B3AF5" w:rsidTr="00614A48" w14:paraId="44FE051D" w14:textId="77777777">
        <w:tc>
          <w:tcPr>
            <w:tcW w:w="8995" w:type="dxa"/>
            <w:gridSpan w:val="2"/>
            <w:hideMark/>
          </w:tcPr>
          <w:p w:rsidRPr="000B3AF5" w:rsidR="00233BFD" w:rsidP="00233BFD" w:rsidRDefault="00233BFD" w14:paraId="010C03E4" w14:textId="7617642E">
            <w:pPr>
              <w:jc w:val="center"/>
              <w:rPr>
                <w:rFonts w:ascii="Times New Roman" w:hAnsi="Times New Roman" w:cs="Times New Roman"/>
                <w:b/>
                <w:bCs/>
                <w:iCs/>
                <w:sz w:val="24"/>
                <w:szCs w:val="24"/>
              </w:rPr>
            </w:pPr>
            <w:r w:rsidRPr="000B3AF5">
              <w:rPr>
                <w:rFonts w:ascii="Times New Roman" w:hAnsi="Times New Roman" w:cs="Times New Roman"/>
                <w:b/>
                <w:bCs/>
                <w:iCs/>
                <w:sz w:val="24"/>
                <w:szCs w:val="24"/>
              </w:rPr>
              <w:t>Tiesību akta projekta anotācijas kopsavilkums</w:t>
            </w:r>
          </w:p>
        </w:tc>
      </w:tr>
      <w:tr w:rsidRPr="000B3AF5" w:rsidR="00614A48" w:rsidTr="00614A48" w14:paraId="1B15DBCB" w14:textId="77777777">
        <w:trPr>
          <w:trHeight w:val="408"/>
        </w:trPr>
        <w:tc>
          <w:tcPr>
            <w:tcW w:w="2499" w:type="dxa"/>
            <w:hideMark/>
          </w:tcPr>
          <w:p w:rsidRPr="000B3AF5" w:rsidR="00233BFD" w:rsidP="004A3CB0" w:rsidRDefault="00233BFD" w14:paraId="26E7EB5F" w14:textId="77777777">
            <w:pPr>
              <w:shd w:val="clear" w:color="auto" w:fill="FFFFFF" w:themeFill="background1"/>
              <w:rPr>
                <w:rFonts w:ascii="Times New Roman" w:hAnsi="Times New Roman" w:eastAsia="Times New Roman" w:cs="Times New Roman"/>
                <w:b/>
                <w:bCs/>
                <w:iCs/>
                <w:sz w:val="24"/>
                <w:szCs w:val="24"/>
                <w:lang w:eastAsia="lv-LV"/>
              </w:rPr>
            </w:pPr>
            <w:r w:rsidRPr="000B3AF5">
              <w:rPr>
                <w:rFonts w:ascii="Times New Roman" w:hAnsi="Times New Roman" w:cs="Times New Roman"/>
                <w:iCs/>
                <w:sz w:val="24"/>
                <w:szCs w:val="24"/>
              </w:rPr>
              <w:t>Mērķis, risinājums un projekta spēkā stāšanās laiks (500 zīmes bez atstarpēm)</w:t>
            </w:r>
          </w:p>
        </w:tc>
        <w:tc>
          <w:tcPr>
            <w:tcW w:w="6466" w:type="dxa"/>
          </w:tcPr>
          <w:p w:rsidRPr="005477DF" w:rsidR="005477DF" w:rsidP="005477DF" w:rsidRDefault="008D1F11" w14:paraId="381F87D3" w14:textId="39FAF0DA">
            <w:pPr>
              <w:pStyle w:val="Heading4"/>
              <w:shd w:val="clear" w:color="auto" w:fill="FFFFFF"/>
              <w:ind w:left="-77" w:firstLine="425"/>
              <w:jc w:val="both"/>
              <w:outlineLvl w:val="3"/>
              <w:rPr>
                <w:rFonts w:ascii="Times New Roman" w:hAnsi="Times New Roman" w:cs="Times New Roman"/>
                <w:i w:val="0"/>
                <w:iCs w:val="0"/>
                <w:color w:val="auto"/>
                <w:sz w:val="24"/>
                <w:szCs w:val="24"/>
              </w:rPr>
            </w:pPr>
            <w:r w:rsidRPr="005477DF">
              <w:rPr>
                <w:rFonts w:ascii="Times New Roman" w:hAnsi="Times New Roman" w:cs="Times New Roman"/>
                <w:i w:val="0"/>
                <w:iCs w:val="0"/>
                <w:color w:val="auto"/>
                <w:sz w:val="24"/>
                <w:szCs w:val="24"/>
              </w:rPr>
              <w:t>Likumprojekt</w:t>
            </w:r>
            <w:r w:rsidRPr="005477DF" w:rsidR="005477DF">
              <w:rPr>
                <w:rFonts w:ascii="Times New Roman" w:hAnsi="Times New Roman" w:cs="Times New Roman"/>
                <w:i w:val="0"/>
                <w:iCs w:val="0"/>
                <w:color w:val="auto"/>
                <w:sz w:val="24"/>
                <w:szCs w:val="24"/>
              </w:rPr>
              <w:t>a</w:t>
            </w:r>
            <w:r w:rsidRPr="005477DF">
              <w:rPr>
                <w:rFonts w:ascii="Times New Roman" w:hAnsi="Times New Roman" w:cs="Times New Roman"/>
                <w:i w:val="0"/>
                <w:iCs w:val="0"/>
                <w:color w:val="auto"/>
                <w:sz w:val="24"/>
                <w:szCs w:val="24"/>
              </w:rPr>
              <w:t xml:space="preserve"> </w:t>
            </w:r>
            <w:r w:rsidRPr="005477DF" w:rsidR="005477DF">
              <w:rPr>
                <w:rFonts w:ascii="Times New Roman" w:hAnsi="Times New Roman" w:cs="Times New Roman"/>
                <w:i w:val="0"/>
                <w:iCs w:val="0"/>
                <w:color w:val="auto"/>
                <w:sz w:val="24"/>
                <w:szCs w:val="24"/>
              </w:rPr>
              <w:t>mērķis ir nodrošināt aizsargāta pakalpojuma sniedzēja aizsardzību no neatļautas aizsargāta pakalpojuma izmantošanas ne tikai komerciāliem mērķiem, bet arī privātiem mērķiem, kā arī noteikt tiesiska pakalpojuma pazīmēm neatbilstoša (prettiesiska) pakalpojuma izmantošanas aizliegumu.</w:t>
            </w:r>
          </w:p>
          <w:p w:rsidRPr="000B3AF5" w:rsidR="003A2074" w:rsidP="00066B4A" w:rsidRDefault="0036203F" w14:paraId="6BFB19B3" w14:textId="13F937E0">
            <w:pPr>
              <w:shd w:val="clear" w:color="auto" w:fill="FFFFFF" w:themeFill="background1"/>
              <w:ind w:left="-77" w:firstLine="425"/>
              <w:jc w:val="both"/>
              <w:rPr>
                <w:rFonts w:ascii="Times New Roman" w:hAnsi="Times New Roman" w:eastAsia="Times New Roman" w:cs="Times New Roman"/>
                <w:b/>
                <w:bCs/>
                <w:iCs/>
                <w:sz w:val="24"/>
                <w:szCs w:val="24"/>
                <w:lang w:eastAsia="lv-LV"/>
              </w:rPr>
            </w:pPr>
            <w:r w:rsidRPr="000B3AF5">
              <w:rPr>
                <w:rFonts w:ascii="Times New Roman" w:hAnsi="Times New Roman" w:cs="Times New Roman"/>
                <w:sz w:val="24"/>
                <w:szCs w:val="24"/>
              </w:rPr>
              <w:t>Likumprojekts stāsies spēkā saskaņā ar Oficiālo publikāciju un tiesiskās informācijas likumu.</w:t>
            </w:r>
          </w:p>
        </w:tc>
      </w:tr>
    </w:tbl>
    <w:p w:rsidRPr="000B3AF5" w:rsidR="00233BFD" w:rsidP="00BC0506" w:rsidRDefault="00233BFD" w14:paraId="4049C372" w14:textId="77777777">
      <w:pPr>
        <w:shd w:val="clear" w:color="auto" w:fill="FFFFFF" w:themeFill="background1"/>
        <w:spacing w:after="0" w:line="240" w:lineRule="auto"/>
        <w:rPr>
          <w:rFonts w:ascii="Times New Roman" w:hAnsi="Times New Roman" w:eastAsia="Times New Roman" w:cs="Times New Roman"/>
          <w:iCs/>
          <w:sz w:val="24"/>
          <w:szCs w:val="24"/>
          <w:lang w:eastAsia="lv-LV"/>
        </w:rPr>
      </w:pPr>
    </w:p>
    <w:tbl>
      <w:tblPr>
        <w:tblStyle w:val="TableGrid"/>
        <w:tblW w:w="5000" w:type="pct"/>
        <w:tblLayout w:type="fixed"/>
        <w:tblLook w:val="04A0" w:firstRow="1" w:lastRow="0" w:firstColumn="1" w:lastColumn="0" w:noHBand="0" w:noVBand="1"/>
      </w:tblPr>
      <w:tblGrid>
        <w:gridCol w:w="421"/>
        <w:gridCol w:w="1984"/>
        <w:gridCol w:w="6656"/>
      </w:tblGrid>
      <w:tr w:rsidRPr="000B3AF5" w:rsidR="000B3AF5" w:rsidTr="00614A48" w14:paraId="79D307DC" w14:textId="77777777">
        <w:tc>
          <w:tcPr>
            <w:tcW w:w="9061" w:type="dxa"/>
            <w:gridSpan w:val="3"/>
          </w:tcPr>
          <w:p w:rsidRPr="000B3AF5" w:rsidR="00233BFD" w:rsidP="00E100E1" w:rsidRDefault="00233BFD" w14:paraId="5203E0C7" w14:textId="3B209C89">
            <w:pPr>
              <w:shd w:val="clear" w:color="auto" w:fill="FFFFFF" w:themeFill="background1"/>
              <w:jc w:val="center"/>
              <w:rPr>
                <w:rFonts w:ascii="Times New Roman" w:hAnsi="Times New Roman" w:eastAsia="Times New Roman" w:cs="Times New Roman"/>
                <w:b/>
                <w:bCs/>
                <w:iCs/>
                <w:sz w:val="24"/>
                <w:szCs w:val="24"/>
                <w:lang w:eastAsia="lv-LV"/>
              </w:rPr>
            </w:pPr>
            <w:r w:rsidRPr="000B3AF5">
              <w:rPr>
                <w:rFonts w:ascii="Times New Roman" w:hAnsi="Times New Roman" w:eastAsia="Times New Roman" w:cs="Times New Roman"/>
                <w:b/>
                <w:bCs/>
                <w:iCs/>
                <w:sz w:val="24"/>
                <w:szCs w:val="24"/>
                <w:lang w:eastAsia="lv-LV"/>
              </w:rPr>
              <w:t>I. Tiesību akta projekta izstrādes nepieciešamība</w:t>
            </w:r>
          </w:p>
        </w:tc>
      </w:tr>
      <w:tr w:rsidRPr="000B3AF5" w:rsidR="000B3AF5" w:rsidTr="00A05F35" w14:paraId="3E5CA0D7" w14:textId="77777777">
        <w:tc>
          <w:tcPr>
            <w:tcW w:w="421" w:type="dxa"/>
            <w:hideMark/>
          </w:tcPr>
          <w:p w:rsidRPr="000B3AF5" w:rsidR="00655F2C" w:rsidP="00BC0506" w:rsidRDefault="00E5323B" w14:paraId="44087E3E"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1.</w:t>
            </w:r>
          </w:p>
        </w:tc>
        <w:tc>
          <w:tcPr>
            <w:tcW w:w="1984" w:type="dxa"/>
            <w:hideMark/>
          </w:tcPr>
          <w:p w:rsidRPr="000B3AF5" w:rsidR="00E5323B" w:rsidP="00BC0506" w:rsidRDefault="00E5323B" w14:paraId="14DFDC0E"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Pamatojums</w:t>
            </w:r>
          </w:p>
        </w:tc>
        <w:tc>
          <w:tcPr>
            <w:tcW w:w="6656" w:type="dxa"/>
            <w:hideMark/>
          </w:tcPr>
          <w:p w:rsidRPr="000B3AF5" w:rsidR="00E5323B" w:rsidP="00073D2D" w:rsidRDefault="00220477" w14:paraId="6F8437C6" w14:textId="49E5AF65">
            <w:pPr>
              <w:pStyle w:val="Default"/>
              <w:jc w:val="both"/>
              <w:rPr>
                <w:rFonts w:eastAsia="Times New Roman"/>
                <w:iCs/>
                <w:color w:val="auto"/>
                <w:lang w:eastAsia="lv-LV"/>
              </w:rPr>
            </w:pPr>
            <w:r w:rsidRPr="000B3AF5">
              <w:rPr>
                <w:color w:val="auto"/>
              </w:rPr>
              <w:t>Ministru kabineta 2019. gada 7.maija rīkojum</w:t>
            </w:r>
            <w:r w:rsidRPr="000B3AF5" w:rsidR="0098755E">
              <w:rPr>
                <w:color w:val="auto"/>
              </w:rPr>
              <w:t>a</w:t>
            </w:r>
            <w:r w:rsidRPr="000B3AF5">
              <w:rPr>
                <w:color w:val="auto"/>
              </w:rPr>
              <w:t xml:space="preserve"> Nr.210</w:t>
            </w:r>
            <w:r w:rsidRPr="000B3AF5" w:rsidR="00073D2D">
              <w:rPr>
                <w:color w:val="auto"/>
              </w:rPr>
              <w:t> </w:t>
            </w:r>
            <w:r w:rsidRPr="000B3AF5">
              <w:rPr>
                <w:color w:val="auto"/>
              </w:rPr>
              <w:t>“</w:t>
            </w:r>
            <w:r w:rsidRPr="000B3AF5" w:rsidR="0036203F">
              <w:rPr>
                <w:color w:val="auto"/>
              </w:rPr>
              <w:t xml:space="preserve">Par </w:t>
            </w:r>
            <w:r w:rsidRPr="000B3AF5">
              <w:rPr>
                <w:color w:val="auto"/>
              </w:rPr>
              <w:t>Valdības rīcības plān</w:t>
            </w:r>
            <w:r w:rsidRPr="000B3AF5" w:rsidR="0036203F">
              <w:rPr>
                <w:color w:val="auto"/>
              </w:rPr>
              <w:t>u</w:t>
            </w:r>
            <w:r w:rsidRPr="000B3AF5">
              <w:rPr>
                <w:color w:val="auto"/>
              </w:rPr>
              <w:t xml:space="preserve"> Deklarācijas par Artura Krišjāņa Kariņa vadītā Ministru kabineta iecerēto darbību īstenošanai” </w:t>
            </w:r>
            <w:r w:rsidRPr="000B3AF5" w:rsidR="007A48B1">
              <w:rPr>
                <w:color w:val="auto"/>
              </w:rPr>
              <w:t>(turpmāk – VRP)</w:t>
            </w:r>
            <w:r w:rsidRPr="000B3AF5" w:rsidR="0098755E">
              <w:rPr>
                <w:color w:val="auto"/>
              </w:rPr>
              <w:t xml:space="preserve"> 169.1.pasākums</w:t>
            </w:r>
            <w:r w:rsidRPr="000B3AF5" w:rsidR="007A48B1">
              <w:rPr>
                <w:color w:val="auto"/>
              </w:rPr>
              <w:t>.</w:t>
            </w:r>
          </w:p>
        </w:tc>
      </w:tr>
      <w:tr w:rsidRPr="000B3AF5" w:rsidR="000B3AF5" w:rsidTr="00A05F35" w14:paraId="54E3DD67" w14:textId="77777777">
        <w:tc>
          <w:tcPr>
            <w:tcW w:w="421" w:type="dxa"/>
            <w:hideMark/>
          </w:tcPr>
          <w:p w:rsidRPr="000B3AF5" w:rsidR="00655F2C" w:rsidP="00BC0506" w:rsidRDefault="00E5323B" w14:paraId="02931FF7"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2.</w:t>
            </w:r>
          </w:p>
        </w:tc>
        <w:tc>
          <w:tcPr>
            <w:tcW w:w="1984" w:type="dxa"/>
            <w:hideMark/>
          </w:tcPr>
          <w:p w:rsidRPr="000B3AF5" w:rsidR="00E5323B" w:rsidP="00BC0506" w:rsidRDefault="00E5323B" w14:paraId="68C498CD"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0B3AF5" w:rsidR="00A05F35" w:rsidP="00A05F35" w:rsidRDefault="00A05F35" w14:paraId="40FE074B" w14:textId="77777777">
            <w:pPr>
              <w:rPr>
                <w:rFonts w:ascii="Times New Roman" w:hAnsi="Times New Roman" w:eastAsia="Times New Roman" w:cs="Times New Roman"/>
                <w:sz w:val="24"/>
                <w:szCs w:val="24"/>
                <w:lang w:eastAsia="lv-LV"/>
              </w:rPr>
            </w:pPr>
          </w:p>
          <w:p w:rsidRPr="000B3AF5" w:rsidR="00A05F35" w:rsidP="00A05F35" w:rsidRDefault="00A05F35" w14:paraId="52B08DF7" w14:textId="77777777">
            <w:pPr>
              <w:rPr>
                <w:rFonts w:ascii="Times New Roman" w:hAnsi="Times New Roman" w:eastAsia="Times New Roman" w:cs="Times New Roman"/>
                <w:sz w:val="24"/>
                <w:szCs w:val="24"/>
                <w:lang w:eastAsia="lv-LV"/>
              </w:rPr>
            </w:pPr>
          </w:p>
          <w:p w:rsidRPr="000B3AF5" w:rsidR="00A05F35" w:rsidP="00A05F35" w:rsidRDefault="00A05F35" w14:paraId="5A63F51B" w14:textId="77777777">
            <w:pPr>
              <w:rPr>
                <w:rFonts w:ascii="Times New Roman" w:hAnsi="Times New Roman" w:eastAsia="Times New Roman" w:cs="Times New Roman"/>
                <w:sz w:val="24"/>
                <w:szCs w:val="24"/>
                <w:lang w:eastAsia="lv-LV"/>
              </w:rPr>
            </w:pPr>
          </w:p>
          <w:p w:rsidRPr="000B3AF5" w:rsidR="00A05F35" w:rsidP="00A05F35" w:rsidRDefault="00A05F35" w14:paraId="05521590" w14:textId="77777777">
            <w:pPr>
              <w:rPr>
                <w:rFonts w:ascii="Times New Roman" w:hAnsi="Times New Roman" w:eastAsia="Times New Roman" w:cs="Times New Roman"/>
                <w:sz w:val="24"/>
                <w:szCs w:val="24"/>
                <w:lang w:eastAsia="lv-LV"/>
              </w:rPr>
            </w:pPr>
          </w:p>
          <w:p w:rsidRPr="000B3AF5" w:rsidR="00A05F35" w:rsidP="00A05F35" w:rsidRDefault="00A05F35" w14:paraId="7DB22F59" w14:textId="77777777">
            <w:pPr>
              <w:rPr>
                <w:rFonts w:ascii="Times New Roman" w:hAnsi="Times New Roman" w:eastAsia="Times New Roman" w:cs="Times New Roman"/>
                <w:sz w:val="24"/>
                <w:szCs w:val="24"/>
                <w:lang w:eastAsia="lv-LV"/>
              </w:rPr>
            </w:pPr>
          </w:p>
          <w:p w:rsidRPr="000B3AF5" w:rsidR="00A05F35" w:rsidP="00A05F35" w:rsidRDefault="00A05F35" w14:paraId="28531E13" w14:textId="77777777">
            <w:pPr>
              <w:rPr>
                <w:rFonts w:ascii="Times New Roman" w:hAnsi="Times New Roman" w:eastAsia="Times New Roman" w:cs="Times New Roman"/>
                <w:sz w:val="24"/>
                <w:szCs w:val="24"/>
                <w:lang w:eastAsia="lv-LV"/>
              </w:rPr>
            </w:pPr>
          </w:p>
          <w:p w:rsidRPr="000B3AF5" w:rsidR="00A05F35" w:rsidP="00A05F35" w:rsidRDefault="00A05F35" w14:paraId="29224BB1" w14:textId="77777777">
            <w:pPr>
              <w:rPr>
                <w:rFonts w:ascii="Times New Roman" w:hAnsi="Times New Roman" w:eastAsia="Times New Roman" w:cs="Times New Roman"/>
                <w:sz w:val="24"/>
                <w:szCs w:val="24"/>
                <w:lang w:eastAsia="lv-LV"/>
              </w:rPr>
            </w:pPr>
          </w:p>
          <w:p w:rsidRPr="000B3AF5" w:rsidR="00A05F35" w:rsidP="00A05F35" w:rsidRDefault="00A05F35" w14:paraId="63285708" w14:textId="77777777">
            <w:pPr>
              <w:rPr>
                <w:rFonts w:ascii="Times New Roman" w:hAnsi="Times New Roman" w:eastAsia="Times New Roman" w:cs="Times New Roman"/>
                <w:sz w:val="24"/>
                <w:szCs w:val="24"/>
                <w:lang w:eastAsia="lv-LV"/>
              </w:rPr>
            </w:pPr>
          </w:p>
          <w:p w:rsidRPr="000B3AF5" w:rsidR="00A05F35" w:rsidP="00A05F35" w:rsidRDefault="00A05F35" w14:paraId="15290B90" w14:textId="77777777">
            <w:pPr>
              <w:rPr>
                <w:rFonts w:ascii="Times New Roman" w:hAnsi="Times New Roman" w:eastAsia="Times New Roman" w:cs="Times New Roman"/>
                <w:sz w:val="24"/>
                <w:szCs w:val="24"/>
                <w:lang w:eastAsia="lv-LV"/>
              </w:rPr>
            </w:pPr>
          </w:p>
          <w:p w:rsidRPr="000B3AF5" w:rsidR="00A05F35" w:rsidP="00A05F35" w:rsidRDefault="00A05F35" w14:paraId="308F365F" w14:textId="77777777">
            <w:pPr>
              <w:rPr>
                <w:rFonts w:ascii="Times New Roman" w:hAnsi="Times New Roman" w:eastAsia="Times New Roman" w:cs="Times New Roman"/>
                <w:sz w:val="24"/>
                <w:szCs w:val="24"/>
                <w:lang w:eastAsia="lv-LV"/>
              </w:rPr>
            </w:pPr>
          </w:p>
          <w:p w:rsidRPr="000B3AF5" w:rsidR="00A05F35" w:rsidP="00A05F35" w:rsidRDefault="00A05F35" w14:paraId="19F886BF" w14:textId="77777777">
            <w:pPr>
              <w:rPr>
                <w:rFonts w:ascii="Times New Roman" w:hAnsi="Times New Roman" w:eastAsia="Times New Roman" w:cs="Times New Roman"/>
                <w:sz w:val="24"/>
                <w:szCs w:val="24"/>
                <w:lang w:eastAsia="lv-LV"/>
              </w:rPr>
            </w:pPr>
          </w:p>
          <w:p w:rsidRPr="000B3AF5" w:rsidR="00A05F35" w:rsidP="00A05F35" w:rsidRDefault="00A05F35" w14:paraId="77433ABC" w14:textId="77777777">
            <w:pPr>
              <w:rPr>
                <w:rFonts w:ascii="Times New Roman" w:hAnsi="Times New Roman" w:eastAsia="Times New Roman" w:cs="Times New Roman"/>
                <w:sz w:val="24"/>
                <w:szCs w:val="24"/>
                <w:lang w:eastAsia="lv-LV"/>
              </w:rPr>
            </w:pPr>
          </w:p>
          <w:p w:rsidRPr="000B3AF5" w:rsidR="00A05F35" w:rsidP="00A05F35" w:rsidRDefault="00A05F35" w14:paraId="2256F951" w14:textId="77777777">
            <w:pPr>
              <w:rPr>
                <w:rFonts w:ascii="Times New Roman" w:hAnsi="Times New Roman" w:eastAsia="Times New Roman" w:cs="Times New Roman"/>
                <w:sz w:val="24"/>
                <w:szCs w:val="24"/>
                <w:lang w:eastAsia="lv-LV"/>
              </w:rPr>
            </w:pPr>
          </w:p>
          <w:p w:rsidRPr="000B3AF5" w:rsidR="00A05F35" w:rsidP="00A05F35" w:rsidRDefault="00A05F35" w14:paraId="188D3245" w14:textId="77777777">
            <w:pPr>
              <w:rPr>
                <w:rFonts w:ascii="Times New Roman" w:hAnsi="Times New Roman" w:eastAsia="Times New Roman" w:cs="Times New Roman"/>
                <w:sz w:val="24"/>
                <w:szCs w:val="24"/>
                <w:lang w:eastAsia="lv-LV"/>
              </w:rPr>
            </w:pPr>
          </w:p>
          <w:p w:rsidRPr="000B3AF5" w:rsidR="00A05F35" w:rsidP="00A05F35" w:rsidRDefault="00A05F35" w14:paraId="336EAB64" w14:textId="77777777">
            <w:pPr>
              <w:rPr>
                <w:rFonts w:ascii="Times New Roman" w:hAnsi="Times New Roman" w:eastAsia="Times New Roman" w:cs="Times New Roman"/>
                <w:sz w:val="24"/>
                <w:szCs w:val="24"/>
                <w:lang w:eastAsia="lv-LV"/>
              </w:rPr>
            </w:pPr>
          </w:p>
          <w:p w:rsidRPr="000B3AF5" w:rsidR="00A05F35" w:rsidP="00C92497" w:rsidRDefault="00A05F35" w14:paraId="3DC46A93" w14:textId="77777777">
            <w:pPr>
              <w:jc w:val="center"/>
              <w:rPr>
                <w:rFonts w:ascii="Times New Roman" w:hAnsi="Times New Roman" w:eastAsia="Times New Roman" w:cs="Times New Roman"/>
                <w:sz w:val="24"/>
                <w:szCs w:val="24"/>
                <w:lang w:eastAsia="lv-LV"/>
              </w:rPr>
            </w:pPr>
          </w:p>
          <w:p w:rsidRPr="000B3AF5" w:rsidR="00A05F35" w:rsidP="00755CB7" w:rsidRDefault="00A05F35" w14:paraId="3A64E16C" w14:textId="77777777">
            <w:pPr>
              <w:jc w:val="center"/>
              <w:rPr>
                <w:rFonts w:ascii="Times New Roman" w:hAnsi="Times New Roman" w:eastAsia="Times New Roman" w:cs="Times New Roman"/>
                <w:iCs/>
                <w:sz w:val="24"/>
                <w:szCs w:val="24"/>
                <w:lang w:eastAsia="lv-LV"/>
              </w:rPr>
            </w:pPr>
          </w:p>
          <w:p w:rsidRPr="000B3AF5" w:rsidR="00A05F35" w:rsidP="00190BFB" w:rsidRDefault="00190BFB" w14:paraId="75242581" w14:textId="30CE1793">
            <w:pPr>
              <w:tabs>
                <w:tab w:val="left" w:pos="405"/>
              </w:tabs>
              <w:rPr>
                <w:rFonts w:ascii="Times New Roman" w:hAnsi="Times New Roman" w:eastAsia="Times New Roman" w:cs="Times New Roman"/>
                <w:sz w:val="24"/>
                <w:szCs w:val="24"/>
                <w:lang w:eastAsia="lv-LV"/>
              </w:rPr>
            </w:pPr>
            <w:r w:rsidRPr="000B3AF5">
              <w:rPr>
                <w:rFonts w:ascii="Times New Roman" w:hAnsi="Times New Roman" w:eastAsia="Times New Roman" w:cs="Times New Roman"/>
                <w:sz w:val="24"/>
                <w:szCs w:val="24"/>
                <w:lang w:eastAsia="lv-LV"/>
              </w:rPr>
              <w:tab/>
            </w:r>
          </w:p>
          <w:p w:rsidRPr="000B3AF5" w:rsidR="00A05F35" w:rsidP="00A05F35" w:rsidRDefault="00A05F35" w14:paraId="04919DC6" w14:textId="77777777">
            <w:pPr>
              <w:rPr>
                <w:rFonts w:ascii="Times New Roman" w:hAnsi="Times New Roman" w:eastAsia="Times New Roman" w:cs="Times New Roman"/>
                <w:sz w:val="24"/>
                <w:szCs w:val="24"/>
                <w:lang w:eastAsia="lv-LV"/>
              </w:rPr>
            </w:pPr>
          </w:p>
          <w:p w:rsidRPr="000B3AF5" w:rsidR="00A05F35" w:rsidP="00A05F35" w:rsidRDefault="00A05F35" w14:paraId="7DCF8FD6" w14:textId="77777777">
            <w:pPr>
              <w:rPr>
                <w:rFonts w:ascii="Times New Roman" w:hAnsi="Times New Roman" w:eastAsia="Times New Roman" w:cs="Times New Roman"/>
                <w:sz w:val="24"/>
                <w:szCs w:val="24"/>
                <w:lang w:eastAsia="lv-LV"/>
              </w:rPr>
            </w:pPr>
          </w:p>
          <w:p w:rsidRPr="000B3AF5" w:rsidR="00A05F35" w:rsidP="00A05F35" w:rsidRDefault="00A05F35" w14:paraId="6269952C" w14:textId="77777777">
            <w:pPr>
              <w:rPr>
                <w:rFonts w:ascii="Times New Roman" w:hAnsi="Times New Roman" w:eastAsia="Times New Roman" w:cs="Times New Roman"/>
                <w:sz w:val="24"/>
                <w:szCs w:val="24"/>
                <w:lang w:eastAsia="lv-LV"/>
              </w:rPr>
            </w:pPr>
          </w:p>
          <w:p w:rsidRPr="000B3AF5" w:rsidR="00A05F35" w:rsidP="00A05F35" w:rsidRDefault="00A05F35" w14:paraId="38790859" w14:textId="77777777">
            <w:pPr>
              <w:rPr>
                <w:rFonts w:ascii="Times New Roman" w:hAnsi="Times New Roman" w:eastAsia="Times New Roman" w:cs="Times New Roman"/>
                <w:sz w:val="24"/>
                <w:szCs w:val="24"/>
                <w:lang w:eastAsia="lv-LV"/>
              </w:rPr>
            </w:pPr>
          </w:p>
          <w:p w:rsidRPr="000B3AF5" w:rsidR="00A05F35" w:rsidP="00A05F35" w:rsidRDefault="00A05F35" w14:paraId="00F97DE9" w14:textId="77777777">
            <w:pPr>
              <w:rPr>
                <w:rFonts w:ascii="Times New Roman" w:hAnsi="Times New Roman" w:eastAsia="Times New Roman" w:cs="Times New Roman"/>
                <w:sz w:val="24"/>
                <w:szCs w:val="24"/>
                <w:lang w:eastAsia="lv-LV"/>
              </w:rPr>
            </w:pPr>
          </w:p>
          <w:p w:rsidRPr="000B3AF5" w:rsidR="00A05F35" w:rsidP="00A05F35" w:rsidRDefault="00A05F35" w14:paraId="44432A57" w14:textId="77777777">
            <w:pPr>
              <w:rPr>
                <w:rFonts w:ascii="Times New Roman" w:hAnsi="Times New Roman" w:eastAsia="Times New Roman" w:cs="Times New Roman"/>
                <w:iCs/>
                <w:sz w:val="24"/>
                <w:szCs w:val="24"/>
                <w:lang w:eastAsia="lv-LV"/>
              </w:rPr>
            </w:pPr>
          </w:p>
          <w:p w:rsidRPr="000B3AF5" w:rsidR="00A05F35" w:rsidP="00A05F35" w:rsidRDefault="00A05F35" w14:paraId="5187C5FB" w14:textId="77777777">
            <w:pPr>
              <w:rPr>
                <w:rFonts w:ascii="Times New Roman" w:hAnsi="Times New Roman" w:eastAsia="Times New Roman" w:cs="Times New Roman"/>
                <w:sz w:val="24"/>
                <w:szCs w:val="24"/>
                <w:lang w:eastAsia="lv-LV"/>
              </w:rPr>
            </w:pPr>
          </w:p>
          <w:p w:rsidRPr="000B3AF5" w:rsidR="00A05F35" w:rsidP="00A05F35" w:rsidRDefault="00A05F35" w14:paraId="34CCE337" w14:textId="77777777">
            <w:pPr>
              <w:rPr>
                <w:rFonts w:ascii="Times New Roman" w:hAnsi="Times New Roman" w:eastAsia="Times New Roman" w:cs="Times New Roman"/>
                <w:sz w:val="24"/>
                <w:szCs w:val="24"/>
                <w:lang w:eastAsia="lv-LV"/>
              </w:rPr>
            </w:pPr>
          </w:p>
          <w:p w:rsidRPr="000B3AF5" w:rsidR="00A05F35" w:rsidP="00A05F35" w:rsidRDefault="00A05F35" w14:paraId="2772EE72" w14:textId="77777777">
            <w:pPr>
              <w:rPr>
                <w:rFonts w:ascii="Times New Roman" w:hAnsi="Times New Roman" w:eastAsia="Times New Roman" w:cs="Times New Roman"/>
                <w:iCs/>
                <w:sz w:val="24"/>
                <w:szCs w:val="24"/>
                <w:lang w:eastAsia="lv-LV"/>
              </w:rPr>
            </w:pPr>
          </w:p>
          <w:p w:rsidR="00A05F35" w:rsidP="00A05F35" w:rsidRDefault="00A05F35" w14:paraId="7E138BD2" w14:textId="77777777">
            <w:pPr>
              <w:rPr>
                <w:rFonts w:ascii="Times New Roman" w:hAnsi="Times New Roman" w:eastAsia="Times New Roman" w:cs="Times New Roman"/>
                <w:sz w:val="24"/>
                <w:szCs w:val="24"/>
                <w:lang w:eastAsia="lv-LV"/>
              </w:rPr>
            </w:pPr>
          </w:p>
          <w:p w:rsidRPr="00755CB7" w:rsidR="00755CB7" w:rsidP="00755CB7" w:rsidRDefault="00755CB7" w14:paraId="33CF315E" w14:textId="77777777">
            <w:pPr>
              <w:rPr>
                <w:rFonts w:ascii="Times New Roman" w:hAnsi="Times New Roman" w:eastAsia="Times New Roman" w:cs="Times New Roman"/>
                <w:sz w:val="24"/>
                <w:szCs w:val="24"/>
                <w:lang w:eastAsia="lv-LV"/>
              </w:rPr>
            </w:pPr>
          </w:p>
          <w:p w:rsidRPr="00755CB7" w:rsidR="00755CB7" w:rsidP="00755CB7" w:rsidRDefault="00755CB7" w14:paraId="24A1067E" w14:textId="77777777">
            <w:pPr>
              <w:rPr>
                <w:rFonts w:ascii="Times New Roman" w:hAnsi="Times New Roman" w:eastAsia="Times New Roman" w:cs="Times New Roman"/>
                <w:sz w:val="24"/>
                <w:szCs w:val="24"/>
                <w:lang w:eastAsia="lv-LV"/>
              </w:rPr>
            </w:pPr>
          </w:p>
          <w:p w:rsidRPr="00755CB7" w:rsidR="00755CB7" w:rsidP="00755CB7" w:rsidRDefault="00755CB7" w14:paraId="4757B415" w14:textId="77777777">
            <w:pPr>
              <w:rPr>
                <w:rFonts w:ascii="Times New Roman" w:hAnsi="Times New Roman" w:eastAsia="Times New Roman" w:cs="Times New Roman"/>
                <w:sz w:val="24"/>
                <w:szCs w:val="24"/>
                <w:lang w:eastAsia="lv-LV"/>
              </w:rPr>
            </w:pPr>
          </w:p>
          <w:p w:rsidRPr="00755CB7" w:rsidR="00755CB7" w:rsidP="00755CB7" w:rsidRDefault="00755CB7" w14:paraId="5D134096" w14:textId="77777777">
            <w:pPr>
              <w:rPr>
                <w:rFonts w:ascii="Times New Roman" w:hAnsi="Times New Roman" w:eastAsia="Times New Roman" w:cs="Times New Roman"/>
                <w:sz w:val="24"/>
                <w:szCs w:val="24"/>
                <w:lang w:eastAsia="lv-LV"/>
              </w:rPr>
            </w:pPr>
          </w:p>
          <w:p w:rsidRPr="00755CB7" w:rsidR="00755CB7" w:rsidP="00755CB7" w:rsidRDefault="00755CB7" w14:paraId="42B8508A" w14:textId="77777777">
            <w:pPr>
              <w:rPr>
                <w:rFonts w:ascii="Times New Roman" w:hAnsi="Times New Roman" w:eastAsia="Times New Roman" w:cs="Times New Roman"/>
                <w:sz w:val="24"/>
                <w:szCs w:val="24"/>
                <w:lang w:eastAsia="lv-LV"/>
              </w:rPr>
            </w:pPr>
          </w:p>
          <w:p w:rsidRPr="00755CB7" w:rsidR="00755CB7" w:rsidP="00755CB7" w:rsidRDefault="00755CB7" w14:paraId="14ACEE97" w14:textId="77777777">
            <w:pPr>
              <w:rPr>
                <w:rFonts w:ascii="Times New Roman" w:hAnsi="Times New Roman" w:eastAsia="Times New Roman" w:cs="Times New Roman"/>
                <w:sz w:val="24"/>
                <w:szCs w:val="24"/>
                <w:lang w:eastAsia="lv-LV"/>
              </w:rPr>
            </w:pPr>
          </w:p>
          <w:p w:rsidRPr="00755CB7" w:rsidR="00755CB7" w:rsidP="00755CB7" w:rsidRDefault="00755CB7" w14:paraId="31B57017" w14:textId="77777777">
            <w:pPr>
              <w:rPr>
                <w:rFonts w:ascii="Times New Roman" w:hAnsi="Times New Roman" w:eastAsia="Times New Roman" w:cs="Times New Roman"/>
                <w:sz w:val="24"/>
                <w:szCs w:val="24"/>
                <w:lang w:eastAsia="lv-LV"/>
              </w:rPr>
            </w:pPr>
          </w:p>
          <w:p w:rsidRPr="00755CB7" w:rsidR="00755CB7" w:rsidP="00755CB7" w:rsidRDefault="00755CB7" w14:paraId="66923A27" w14:textId="77777777">
            <w:pPr>
              <w:rPr>
                <w:rFonts w:ascii="Times New Roman" w:hAnsi="Times New Roman" w:eastAsia="Times New Roman" w:cs="Times New Roman"/>
                <w:sz w:val="24"/>
                <w:szCs w:val="24"/>
                <w:lang w:eastAsia="lv-LV"/>
              </w:rPr>
            </w:pPr>
          </w:p>
          <w:p w:rsidRPr="00755CB7" w:rsidR="00755CB7" w:rsidP="00755CB7" w:rsidRDefault="00755CB7" w14:paraId="7E4C4B36" w14:textId="77777777">
            <w:pPr>
              <w:rPr>
                <w:rFonts w:ascii="Times New Roman" w:hAnsi="Times New Roman" w:eastAsia="Times New Roman" w:cs="Times New Roman"/>
                <w:sz w:val="24"/>
                <w:szCs w:val="24"/>
                <w:lang w:eastAsia="lv-LV"/>
              </w:rPr>
            </w:pPr>
          </w:p>
          <w:p w:rsidRPr="00755CB7" w:rsidR="00755CB7" w:rsidP="00755CB7" w:rsidRDefault="00755CB7" w14:paraId="024C8D15" w14:textId="77777777">
            <w:pPr>
              <w:rPr>
                <w:rFonts w:ascii="Times New Roman" w:hAnsi="Times New Roman" w:eastAsia="Times New Roman" w:cs="Times New Roman"/>
                <w:sz w:val="24"/>
                <w:szCs w:val="24"/>
                <w:lang w:eastAsia="lv-LV"/>
              </w:rPr>
            </w:pPr>
          </w:p>
          <w:p w:rsidRPr="00755CB7" w:rsidR="00755CB7" w:rsidP="00755CB7" w:rsidRDefault="00755CB7" w14:paraId="4E311382" w14:textId="77777777">
            <w:pPr>
              <w:rPr>
                <w:rFonts w:ascii="Times New Roman" w:hAnsi="Times New Roman" w:eastAsia="Times New Roman" w:cs="Times New Roman"/>
                <w:sz w:val="24"/>
                <w:szCs w:val="24"/>
                <w:lang w:eastAsia="lv-LV"/>
              </w:rPr>
            </w:pPr>
          </w:p>
          <w:p w:rsidRPr="00755CB7" w:rsidR="00755CB7" w:rsidP="00755CB7" w:rsidRDefault="00755CB7" w14:paraId="124E0392" w14:textId="77777777">
            <w:pPr>
              <w:rPr>
                <w:rFonts w:ascii="Times New Roman" w:hAnsi="Times New Roman" w:eastAsia="Times New Roman" w:cs="Times New Roman"/>
                <w:sz w:val="24"/>
                <w:szCs w:val="24"/>
                <w:lang w:eastAsia="lv-LV"/>
              </w:rPr>
            </w:pPr>
          </w:p>
          <w:p w:rsidRPr="00755CB7" w:rsidR="00755CB7" w:rsidP="00755CB7" w:rsidRDefault="00755CB7" w14:paraId="4E396BF3" w14:textId="77777777">
            <w:pPr>
              <w:rPr>
                <w:rFonts w:ascii="Times New Roman" w:hAnsi="Times New Roman" w:eastAsia="Times New Roman" w:cs="Times New Roman"/>
                <w:sz w:val="24"/>
                <w:szCs w:val="24"/>
                <w:lang w:eastAsia="lv-LV"/>
              </w:rPr>
            </w:pPr>
          </w:p>
          <w:p w:rsidRPr="00755CB7" w:rsidR="00755CB7" w:rsidP="00755CB7" w:rsidRDefault="00755CB7" w14:paraId="72C9690C" w14:textId="77777777">
            <w:pPr>
              <w:rPr>
                <w:rFonts w:ascii="Times New Roman" w:hAnsi="Times New Roman" w:eastAsia="Times New Roman" w:cs="Times New Roman"/>
                <w:sz w:val="24"/>
                <w:szCs w:val="24"/>
                <w:lang w:eastAsia="lv-LV"/>
              </w:rPr>
            </w:pPr>
          </w:p>
          <w:p w:rsidRPr="00755CB7" w:rsidR="00755CB7" w:rsidP="00755CB7" w:rsidRDefault="00755CB7" w14:paraId="495C4B1D" w14:textId="77777777">
            <w:pPr>
              <w:rPr>
                <w:rFonts w:ascii="Times New Roman" w:hAnsi="Times New Roman" w:eastAsia="Times New Roman" w:cs="Times New Roman"/>
                <w:sz w:val="24"/>
                <w:szCs w:val="24"/>
                <w:lang w:eastAsia="lv-LV"/>
              </w:rPr>
            </w:pPr>
          </w:p>
          <w:p w:rsidRPr="00755CB7" w:rsidR="00755CB7" w:rsidP="00755CB7" w:rsidRDefault="00755CB7" w14:paraId="30799797" w14:textId="77777777">
            <w:pPr>
              <w:rPr>
                <w:rFonts w:ascii="Times New Roman" w:hAnsi="Times New Roman" w:eastAsia="Times New Roman" w:cs="Times New Roman"/>
                <w:sz w:val="24"/>
                <w:szCs w:val="24"/>
                <w:lang w:eastAsia="lv-LV"/>
              </w:rPr>
            </w:pPr>
          </w:p>
          <w:p w:rsidRPr="00755CB7" w:rsidR="00755CB7" w:rsidP="00755CB7" w:rsidRDefault="00755CB7" w14:paraId="367B71F6" w14:textId="77777777">
            <w:pPr>
              <w:rPr>
                <w:rFonts w:ascii="Times New Roman" w:hAnsi="Times New Roman" w:eastAsia="Times New Roman" w:cs="Times New Roman"/>
                <w:sz w:val="24"/>
                <w:szCs w:val="24"/>
                <w:lang w:eastAsia="lv-LV"/>
              </w:rPr>
            </w:pPr>
          </w:p>
          <w:p w:rsidRPr="00755CB7" w:rsidR="00755CB7" w:rsidP="00755CB7" w:rsidRDefault="00755CB7" w14:paraId="1287DAE2" w14:textId="77777777">
            <w:pPr>
              <w:rPr>
                <w:rFonts w:ascii="Times New Roman" w:hAnsi="Times New Roman" w:eastAsia="Times New Roman" w:cs="Times New Roman"/>
                <w:sz w:val="24"/>
                <w:szCs w:val="24"/>
                <w:lang w:eastAsia="lv-LV"/>
              </w:rPr>
            </w:pPr>
          </w:p>
          <w:p w:rsidRPr="00755CB7" w:rsidR="00755CB7" w:rsidP="00755CB7" w:rsidRDefault="00755CB7" w14:paraId="62556044" w14:textId="77777777">
            <w:pPr>
              <w:rPr>
                <w:rFonts w:ascii="Times New Roman" w:hAnsi="Times New Roman" w:eastAsia="Times New Roman" w:cs="Times New Roman"/>
                <w:sz w:val="24"/>
                <w:szCs w:val="24"/>
                <w:lang w:eastAsia="lv-LV"/>
              </w:rPr>
            </w:pPr>
          </w:p>
          <w:p w:rsidRPr="00755CB7" w:rsidR="00755CB7" w:rsidP="00755CB7" w:rsidRDefault="00755CB7" w14:paraId="3BC4E98C" w14:textId="77777777">
            <w:pPr>
              <w:rPr>
                <w:rFonts w:ascii="Times New Roman" w:hAnsi="Times New Roman" w:eastAsia="Times New Roman" w:cs="Times New Roman"/>
                <w:sz w:val="24"/>
                <w:szCs w:val="24"/>
                <w:lang w:eastAsia="lv-LV"/>
              </w:rPr>
            </w:pPr>
          </w:p>
          <w:p w:rsidRPr="00755CB7" w:rsidR="00755CB7" w:rsidP="00755CB7" w:rsidRDefault="00755CB7" w14:paraId="1D172FCA" w14:textId="77777777">
            <w:pPr>
              <w:rPr>
                <w:rFonts w:ascii="Times New Roman" w:hAnsi="Times New Roman" w:eastAsia="Times New Roman" w:cs="Times New Roman"/>
                <w:sz w:val="24"/>
                <w:szCs w:val="24"/>
                <w:lang w:eastAsia="lv-LV"/>
              </w:rPr>
            </w:pPr>
          </w:p>
          <w:p w:rsidRPr="00755CB7" w:rsidR="00755CB7" w:rsidP="00755CB7" w:rsidRDefault="00755CB7" w14:paraId="6557B0DA" w14:textId="77777777">
            <w:pPr>
              <w:rPr>
                <w:rFonts w:ascii="Times New Roman" w:hAnsi="Times New Roman" w:eastAsia="Times New Roman" w:cs="Times New Roman"/>
                <w:sz w:val="24"/>
                <w:szCs w:val="24"/>
                <w:lang w:eastAsia="lv-LV"/>
              </w:rPr>
            </w:pPr>
          </w:p>
          <w:p w:rsidRPr="00755CB7" w:rsidR="00755CB7" w:rsidP="00755CB7" w:rsidRDefault="00755CB7" w14:paraId="5F155E4A" w14:textId="77777777">
            <w:pPr>
              <w:rPr>
                <w:rFonts w:ascii="Times New Roman" w:hAnsi="Times New Roman" w:eastAsia="Times New Roman" w:cs="Times New Roman"/>
                <w:sz w:val="24"/>
                <w:szCs w:val="24"/>
                <w:lang w:eastAsia="lv-LV"/>
              </w:rPr>
            </w:pPr>
          </w:p>
          <w:p w:rsidR="00755CB7" w:rsidP="00755CB7" w:rsidRDefault="00755CB7" w14:paraId="110F043A" w14:textId="77777777">
            <w:pPr>
              <w:rPr>
                <w:rFonts w:ascii="Times New Roman" w:hAnsi="Times New Roman" w:eastAsia="Times New Roman" w:cs="Times New Roman"/>
                <w:sz w:val="24"/>
                <w:szCs w:val="24"/>
                <w:lang w:eastAsia="lv-LV"/>
              </w:rPr>
            </w:pPr>
          </w:p>
          <w:p w:rsidRPr="00755CB7" w:rsidR="00755CB7" w:rsidP="00755CB7" w:rsidRDefault="00755CB7" w14:paraId="162F7C84" w14:textId="77777777">
            <w:pPr>
              <w:rPr>
                <w:rFonts w:ascii="Times New Roman" w:hAnsi="Times New Roman" w:eastAsia="Times New Roman" w:cs="Times New Roman"/>
                <w:sz w:val="24"/>
                <w:szCs w:val="24"/>
                <w:lang w:eastAsia="lv-LV"/>
              </w:rPr>
            </w:pPr>
          </w:p>
          <w:p w:rsidRPr="00755CB7" w:rsidR="00755CB7" w:rsidP="00755CB7" w:rsidRDefault="00755CB7" w14:paraId="47E342E8" w14:textId="77777777">
            <w:pPr>
              <w:rPr>
                <w:rFonts w:ascii="Times New Roman" w:hAnsi="Times New Roman" w:eastAsia="Times New Roman" w:cs="Times New Roman"/>
                <w:sz w:val="24"/>
                <w:szCs w:val="24"/>
                <w:lang w:eastAsia="lv-LV"/>
              </w:rPr>
            </w:pPr>
          </w:p>
          <w:p w:rsidRPr="00755CB7" w:rsidR="00755CB7" w:rsidP="00755CB7" w:rsidRDefault="00755CB7" w14:paraId="03A472D1" w14:textId="77777777">
            <w:pPr>
              <w:rPr>
                <w:rFonts w:ascii="Times New Roman" w:hAnsi="Times New Roman" w:eastAsia="Times New Roman" w:cs="Times New Roman"/>
                <w:sz w:val="24"/>
                <w:szCs w:val="24"/>
                <w:lang w:eastAsia="lv-LV"/>
              </w:rPr>
            </w:pPr>
          </w:p>
          <w:p w:rsidRPr="00755CB7" w:rsidR="00755CB7" w:rsidP="00755CB7" w:rsidRDefault="00755CB7" w14:paraId="5656061F" w14:textId="77777777">
            <w:pPr>
              <w:rPr>
                <w:rFonts w:ascii="Times New Roman" w:hAnsi="Times New Roman" w:eastAsia="Times New Roman" w:cs="Times New Roman"/>
                <w:sz w:val="24"/>
                <w:szCs w:val="24"/>
                <w:lang w:eastAsia="lv-LV"/>
              </w:rPr>
            </w:pPr>
          </w:p>
          <w:p w:rsidRPr="00755CB7" w:rsidR="00755CB7" w:rsidP="00755CB7" w:rsidRDefault="00755CB7" w14:paraId="5177B683" w14:textId="77777777">
            <w:pPr>
              <w:rPr>
                <w:rFonts w:ascii="Times New Roman" w:hAnsi="Times New Roman" w:eastAsia="Times New Roman" w:cs="Times New Roman"/>
                <w:sz w:val="24"/>
                <w:szCs w:val="24"/>
                <w:lang w:eastAsia="lv-LV"/>
              </w:rPr>
            </w:pPr>
          </w:p>
          <w:p w:rsidRPr="00755CB7" w:rsidR="00755CB7" w:rsidP="00755CB7" w:rsidRDefault="00755CB7" w14:paraId="68E9F541" w14:textId="77777777">
            <w:pPr>
              <w:rPr>
                <w:rFonts w:ascii="Times New Roman" w:hAnsi="Times New Roman" w:eastAsia="Times New Roman" w:cs="Times New Roman"/>
                <w:sz w:val="24"/>
                <w:szCs w:val="24"/>
                <w:lang w:eastAsia="lv-LV"/>
              </w:rPr>
            </w:pPr>
          </w:p>
          <w:p w:rsidRPr="00755CB7" w:rsidR="00755CB7" w:rsidP="00755CB7" w:rsidRDefault="00755CB7" w14:paraId="33F5CD4B" w14:textId="77777777">
            <w:pPr>
              <w:rPr>
                <w:rFonts w:ascii="Times New Roman" w:hAnsi="Times New Roman" w:eastAsia="Times New Roman" w:cs="Times New Roman"/>
                <w:sz w:val="24"/>
                <w:szCs w:val="24"/>
                <w:lang w:eastAsia="lv-LV"/>
              </w:rPr>
            </w:pPr>
          </w:p>
          <w:p w:rsidRPr="00755CB7" w:rsidR="00755CB7" w:rsidP="00755CB7" w:rsidRDefault="00755CB7" w14:paraId="3B808576" w14:textId="77777777">
            <w:pPr>
              <w:rPr>
                <w:rFonts w:ascii="Times New Roman" w:hAnsi="Times New Roman" w:eastAsia="Times New Roman" w:cs="Times New Roman"/>
                <w:sz w:val="24"/>
                <w:szCs w:val="24"/>
                <w:lang w:eastAsia="lv-LV"/>
              </w:rPr>
            </w:pPr>
          </w:p>
          <w:p w:rsidRPr="00755CB7" w:rsidR="00755CB7" w:rsidP="00755CB7" w:rsidRDefault="00755CB7" w14:paraId="51245676" w14:textId="77777777">
            <w:pPr>
              <w:rPr>
                <w:rFonts w:ascii="Times New Roman" w:hAnsi="Times New Roman" w:eastAsia="Times New Roman" w:cs="Times New Roman"/>
                <w:sz w:val="24"/>
                <w:szCs w:val="24"/>
                <w:lang w:eastAsia="lv-LV"/>
              </w:rPr>
            </w:pPr>
          </w:p>
          <w:p w:rsidR="00755CB7" w:rsidP="00755CB7" w:rsidRDefault="00755CB7" w14:paraId="323B0AFE" w14:textId="77777777">
            <w:pPr>
              <w:rPr>
                <w:rFonts w:ascii="Times New Roman" w:hAnsi="Times New Roman" w:eastAsia="Times New Roman" w:cs="Times New Roman"/>
                <w:sz w:val="24"/>
                <w:szCs w:val="24"/>
                <w:lang w:eastAsia="lv-LV"/>
              </w:rPr>
            </w:pPr>
          </w:p>
          <w:p w:rsidRPr="00755CB7" w:rsidR="00755CB7" w:rsidP="00755CB7" w:rsidRDefault="00755CB7" w14:paraId="0820052D" w14:textId="77777777">
            <w:pPr>
              <w:rPr>
                <w:rFonts w:ascii="Times New Roman" w:hAnsi="Times New Roman" w:eastAsia="Times New Roman" w:cs="Times New Roman"/>
                <w:sz w:val="24"/>
                <w:szCs w:val="24"/>
                <w:lang w:eastAsia="lv-LV"/>
              </w:rPr>
            </w:pPr>
          </w:p>
          <w:p w:rsidRPr="00755CB7" w:rsidR="00755CB7" w:rsidP="00755CB7" w:rsidRDefault="00755CB7" w14:paraId="149521CB" w14:textId="77777777">
            <w:pPr>
              <w:rPr>
                <w:rFonts w:ascii="Times New Roman" w:hAnsi="Times New Roman" w:eastAsia="Times New Roman" w:cs="Times New Roman"/>
                <w:sz w:val="24"/>
                <w:szCs w:val="24"/>
                <w:lang w:eastAsia="lv-LV"/>
              </w:rPr>
            </w:pPr>
          </w:p>
          <w:p w:rsidRPr="00755CB7" w:rsidR="00755CB7" w:rsidP="00755CB7" w:rsidRDefault="00755CB7" w14:paraId="41380F1B" w14:textId="77777777">
            <w:pPr>
              <w:rPr>
                <w:rFonts w:ascii="Times New Roman" w:hAnsi="Times New Roman" w:eastAsia="Times New Roman" w:cs="Times New Roman"/>
                <w:sz w:val="24"/>
                <w:szCs w:val="24"/>
                <w:lang w:eastAsia="lv-LV"/>
              </w:rPr>
            </w:pPr>
          </w:p>
          <w:p w:rsidR="00755CB7" w:rsidP="00755CB7" w:rsidRDefault="00755CB7" w14:paraId="38EB062C" w14:textId="77777777">
            <w:pPr>
              <w:rPr>
                <w:rFonts w:ascii="Times New Roman" w:hAnsi="Times New Roman" w:eastAsia="Times New Roman" w:cs="Times New Roman"/>
                <w:sz w:val="24"/>
                <w:szCs w:val="24"/>
                <w:lang w:eastAsia="lv-LV"/>
              </w:rPr>
            </w:pPr>
          </w:p>
          <w:p w:rsidRPr="00755CB7" w:rsidR="00755CB7" w:rsidP="00755CB7" w:rsidRDefault="00755CB7" w14:paraId="7E8E5AA3" w14:textId="77777777">
            <w:pPr>
              <w:rPr>
                <w:rFonts w:ascii="Times New Roman" w:hAnsi="Times New Roman" w:eastAsia="Times New Roman" w:cs="Times New Roman"/>
                <w:sz w:val="24"/>
                <w:szCs w:val="24"/>
                <w:lang w:eastAsia="lv-LV"/>
              </w:rPr>
            </w:pPr>
          </w:p>
          <w:p w:rsidR="00755CB7" w:rsidP="00755CB7" w:rsidRDefault="00755CB7" w14:paraId="200EF528" w14:textId="77777777">
            <w:pPr>
              <w:jc w:val="center"/>
              <w:rPr>
                <w:rFonts w:ascii="Times New Roman" w:hAnsi="Times New Roman" w:eastAsia="Times New Roman" w:cs="Times New Roman"/>
                <w:sz w:val="24"/>
                <w:szCs w:val="24"/>
                <w:lang w:eastAsia="lv-LV"/>
              </w:rPr>
            </w:pPr>
          </w:p>
          <w:p w:rsidRPr="00755CB7" w:rsidR="00755CB7" w:rsidP="00755CB7" w:rsidRDefault="00755CB7" w14:paraId="613E019F" w14:textId="363811C8">
            <w:pPr>
              <w:jc w:val="center"/>
              <w:rPr>
                <w:rFonts w:ascii="Times New Roman" w:hAnsi="Times New Roman" w:eastAsia="Times New Roman" w:cs="Times New Roman"/>
                <w:sz w:val="24"/>
                <w:szCs w:val="24"/>
                <w:lang w:eastAsia="lv-LV"/>
              </w:rPr>
            </w:pPr>
          </w:p>
        </w:tc>
        <w:tc>
          <w:tcPr>
            <w:tcW w:w="6656" w:type="dxa"/>
          </w:tcPr>
          <w:p w:rsidRPr="006B1293" w:rsidR="00FE556C" w:rsidP="00FE556C" w:rsidRDefault="00A05E9E" w14:paraId="76AD2A1D" w14:textId="740BD4F2">
            <w:pPr>
              <w:shd w:val="clear" w:color="auto" w:fill="FFFFFF"/>
              <w:ind w:firstLine="567"/>
              <w:jc w:val="both"/>
              <w:rPr>
                <w:rFonts w:ascii="Times New Roman" w:hAnsi="Times New Roman" w:cs="Times New Roman"/>
                <w:sz w:val="24"/>
                <w:szCs w:val="24"/>
              </w:rPr>
            </w:pPr>
            <w:r w:rsidRPr="006B1293">
              <w:rPr>
                <w:rFonts w:ascii="Times New Roman" w:hAnsi="Times New Roman" w:cs="Times New Roman"/>
                <w:sz w:val="24"/>
                <w:szCs w:val="24"/>
              </w:rPr>
              <w:lastRenderedPageBreak/>
              <w:t xml:space="preserve">Likumprojekts izstrādāts ar mērķi </w:t>
            </w:r>
            <w:r w:rsidRPr="006B1293" w:rsidR="00706241">
              <w:rPr>
                <w:rFonts w:ascii="Times New Roman" w:hAnsi="Times New Roman" w:cs="Times New Roman"/>
                <w:sz w:val="24"/>
                <w:szCs w:val="24"/>
              </w:rPr>
              <w:t>iz</w:t>
            </w:r>
            <w:r w:rsidRPr="006B1293">
              <w:rPr>
                <w:rFonts w:ascii="Times New Roman" w:hAnsi="Times New Roman" w:cs="Times New Roman"/>
                <w:sz w:val="24"/>
                <w:szCs w:val="24"/>
              </w:rPr>
              <w:t>pildīt</w:t>
            </w:r>
            <w:r w:rsidRPr="006B1293" w:rsidR="00EC027A">
              <w:rPr>
                <w:rFonts w:ascii="Times New Roman" w:hAnsi="Times New Roman" w:cs="Times New Roman"/>
                <w:sz w:val="24"/>
                <w:szCs w:val="24"/>
              </w:rPr>
              <w:t xml:space="preserve"> </w:t>
            </w:r>
            <w:r w:rsidRPr="006B1293" w:rsidR="000F712F">
              <w:rPr>
                <w:rFonts w:ascii="Times New Roman" w:hAnsi="Times New Roman" w:cs="Times New Roman"/>
                <w:sz w:val="24"/>
                <w:szCs w:val="24"/>
              </w:rPr>
              <w:t xml:space="preserve">VRP 169.uzdevumā </w:t>
            </w:r>
            <w:r w:rsidRPr="006B1293">
              <w:rPr>
                <w:rFonts w:ascii="Times New Roman" w:hAnsi="Times New Roman" w:cs="Times New Roman"/>
                <w:sz w:val="24"/>
                <w:szCs w:val="24"/>
              </w:rPr>
              <w:t>noteikto: “Panāksim nelegālo TV</w:t>
            </w:r>
            <w:r w:rsidRPr="006B1293" w:rsidR="00A72B4D">
              <w:rPr>
                <w:rStyle w:val="FootnoteReference"/>
                <w:rFonts w:ascii="Times New Roman" w:hAnsi="Times New Roman" w:cs="Times New Roman"/>
                <w:sz w:val="24"/>
                <w:szCs w:val="24"/>
              </w:rPr>
              <w:footnoteReference w:id="2"/>
            </w:r>
            <w:r w:rsidRPr="006B1293">
              <w:rPr>
                <w:rFonts w:ascii="Times New Roman" w:hAnsi="Times New Roman" w:cs="Times New Roman"/>
                <w:sz w:val="24"/>
                <w:szCs w:val="24"/>
              </w:rPr>
              <w:t xml:space="preserve"> izplatītāju būtisku samazinājumu.</w:t>
            </w:r>
            <w:r w:rsidRPr="006B1293" w:rsidR="00BB7EF5">
              <w:rPr>
                <w:rFonts w:ascii="Times New Roman" w:hAnsi="Times New Roman" w:cs="Times New Roman"/>
                <w:sz w:val="24"/>
                <w:szCs w:val="24"/>
              </w:rPr>
              <w:t xml:space="preserve"> </w:t>
            </w:r>
            <w:r w:rsidRPr="006B1293">
              <w:rPr>
                <w:rFonts w:ascii="Times New Roman" w:hAnsi="Times New Roman" w:cs="Times New Roman"/>
                <w:sz w:val="24"/>
                <w:szCs w:val="24"/>
              </w:rPr>
              <w:t xml:space="preserve">Izstrādājot grozījumus </w:t>
            </w:r>
            <w:r w:rsidR="00B9508E">
              <w:rPr>
                <w:rFonts w:ascii="Times New Roman" w:hAnsi="Times New Roman" w:cs="Times New Roman"/>
                <w:sz w:val="24"/>
                <w:szCs w:val="24"/>
              </w:rPr>
              <w:t xml:space="preserve">Aizsargāta pakalpojuma likumā (turpmāk – </w:t>
            </w:r>
            <w:r w:rsidRPr="006B1293" w:rsidR="00CD7587">
              <w:rPr>
                <w:rFonts w:ascii="Times New Roman" w:hAnsi="Times New Roman" w:cs="Times New Roman"/>
                <w:sz w:val="24"/>
                <w:szCs w:val="24"/>
              </w:rPr>
              <w:t>APL</w:t>
            </w:r>
            <w:r w:rsidR="00B9508E">
              <w:rPr>
                <w:rFonts w:ascii="Times New Roman" w:hAnsi="Times New Roman" w:cs="Times New Roman"/>
                <w:sz w:val="24"/>
                <w:szCs w:val="24"/>
              </w:rPr>
              <w:t>)</w:t>
            </w:r>
            <w:r w:rsidRPr="006B1293" w:rsidR="008D1F11">
              <w:rPr>
                <w:rFonts w:ascii="Times New Roman" w:hAnsi="Times New Roman" w:cs="Times New Roman"/>
                <w:sz w:val="24"/>
                <w:szCs w:val="24"/>
              </w:rPr>
              <w:t>,</w:t>
            </w:r>
            <w:r w:rsidRPr="006B1293" w:rsidR="00A05F35">
              <w:rPr>
                <w:rFonts w:ascii="Times New Roman" w:hAnsi="Times New Roman" w:cs="Times New Roman"/>
                <w:sz w:val="24"/>
                <w:szCs w:val="24"/>
              </w:rPr>
              <w:t xml:space="preserve"> </w:t>
            </w:r>
            <w:r w:rsidRPr="006B1293">
              <w:rPr>
                <w:rFonts w:ascii="Times New Roman" w:hAnsi="Times New Roman" w:cs="Times New Roman"/>
                <w:sz w:val="24"/>
                <w:szCs w:val="24"/>
              </w:rPr>
              <w:t>radikāli samazināsim nelegālo Krievijas satelītu izplatību Latvijā.”</w:t>
            </w:r>
            <w:r w:rsidRPr="006B1293" w:rsidR="00CD7587">
              <w:rPr>
                <w:rFonts w:ascii="Times New Roman" w:hAnsi="Times New Roman" w:cs="Times New Roman"/>
                <w:sz w:val="24"/>
                <w:szCs w:val="24"/>
              </w:rPr>
              <w:t>.</w:t>
            </w:r>
            <w:r w:rsidRPr="006B1293" w:rsidR="00D9740D">
              <w:rPr>
                <w:rFonts w:ascii="Times New Roman" w:hAnsi="Times New Roman" w:cs="Times New Roman"/>
                <w:sz w:val="24"/>
                <w:szCs w:val="24"/>
              </w:rPr>
              <w:t xml:space="preserve"> </w:t>
            </w:r>
          </w:p>
          <w:p w:rsidRPr="006B1293" w:rsidR="00142898" w:rsidP="00142898" w:rsidRDefault="00BB7EF5" w14:paraId="0FE746FA" w14:textId="6B903136">
            <w:pPr>
              <w:pStyle w:val="ListParagraph"/>
              <w:shd w:val="clear" w:color="auto" w:fill="FFFFFF" w:themeFill="background1"/>
              <w:ind w:left="0"/>
              <w:jc w:val="both"/>
            </w:pPr>
            <w:r w:rsidRPr="006B1293">
              <w:t>Izstrādājot likumprojektu</w:t>
            </w:r>
            <w:r w:rsidRPr="006B1293" w:rsidR="00652ADF">
              <w:t>,</w:t>
            </w:r>
            <w:r w:rsidRPr="006B1293">
              <w:t xml:space="preserve"> ņemti vērā biedrības “Par legālu saturu” (turpmāk</w:t>
            </w:r>
            <w:r w:rsidRPr="006B1293" w:rsidR="00CD7587">
              <w:t xml:space="preserve"> </w:t>
            </w:r>
            <w:r w:rsidRPr="006B1293">
              <w:t xml:space="preserve">- biedrība) Satiksmes ministrijai iesniegtie </w:t>
            </w:r>
            <w:r w:rsidRPr="006B1293" w:rsidR="00D9740D">
              <w:t>priekšlikumi</w:t>
            </w:r>
            <w:r w:rsidRPr="006B1293" w:rsidR="00A05F35">
              <w:t xml:space="preserve">, </w:t>
            </w:r>
            <w:r w:rsidRPr="006B1293" w:rsidR="00E53FE4">
              <w:t>kas sadarbībā ar VRP dotā uzdevuma izpildes līdzatbildīgajām institūcijām precizēti un saskaņoti</w:t>
            </w:r>
            <w:r w:rsidRPr="006B1293" w:rsidR="00A05F35">
              <w:t>.</w:t>
            </w:r>
            <w:r w:rsidRPr="006B1293" w:rsidR="00142898">
              <w:t xml:space="preserve"> Prettiesiskas sistēmas var tikt izmantotas gan Latvijā tiesiski pieejamu informācijas sabiedrības pakalpojumu uztveršanai, gan Latvijā tiesiski nepieejamu pakalpojumu izmantošanai. Aizliedzot prettiesisku sistēmu izmantošanu, tiek ierobežota arī tiesiski nepieejamu pakalpojumu izmantošana, tostarp nelegālo Krievijas satelītu izplatība Latvijā.</w:t>
            </w:r>
          </w:p>
          <w:p w:rsidRPr="006B1293" w:rsidR="00142898" w:rsidP="00F53814" w:rsidRDefault="00142898" w14:paraId="1577A2A7" w14:textId="77777777">
            <w:pPr>
              <w:pStyle w:val="ListParagraph"/>
              <w:shd w:val="clear" w:color="auto" w:fill="FFFFFF" w:themeFill="background1"/>
              <w:ind w:left="0"/>
              <w:jc w:val="both"/>
              <w:rPr>
                <w:iCs/>
              </w:rPr>
            </w:pPr>
          </w:p>
          <w:p w:rsidRPr="006B1293" w:rsidR="00F637DC" w:rsidP="00F637DC" w:rsidRDefault="00F637DC" w14:paraId="37FD37BA" w14:textId="23308102">
            <w:pPr>
              <w:pStyle w:val="ListParagraph"/>
              <w:shd w:val="clear" w:color="auto" w:fill="FFFFFF" w:themeFill="background1"/>
              <w:ind w:left="0"/>
              <w:jc w:val="both"/>
            </w:pPr>
            <w:r w:rsidRPr="006B1293">
              <w:rPr>
                <w:b/>
                <w:bCs/>
              </w:rPr>
              <w:t>Likumprojekta 1.pantā ietvertais  1.pant</w:t>
            </w:r>
            <w:r w:rsidRPr="006B1293" w:rsidR="00A3559D">
              <w:rPr>
                <w:b/>
                <w:bCs/>
              </w:rPr>
              <w:t>a pirmās daļas 1.punkts</w:t>
            </w:r>
            <w:r w:rsidRPr="006B1293">
              <w:rPr>
                <w:b/>
                <w:bCs/>
              </w:rPr>
              <w:t>.</w:t>
            </w:r>
            <w:r w:rsidRPr="006B1293">
              <w:t xml:space="preserve"> </w:t>
            </w:r>
          </w:p>
          <w:p w:rsidRPr="006B1293" w:rsidR="002C2FCC" w:rsidP="00427F37" w:rsidRDefault="00A05F35" w14:paraId="776F4510" w14:textId="356018C3">
            <w:pPr>
              <w:pStyle w:val="ListParagraph"/>
              <w:shd w:val="clear" w:color="auto" w:fill="FFFFFF" w:themeFill="background1"/>
              <w:ind w:left="0"/>
              <w:jc w:val="both"/>
            </w:pPr>
            <w:r w:rsidRPr="006B1293">
              <w:t xml:space="preserve">     </w:t>
            </w:r>
            <w:r w:rsidRPr="006B1293" w:rsidR="00692B88">
              <w:t>APL</w:t>
            </w:r>
            <w:r w:rsidRPr="006B1293" w:rsidR="000F76C4">
              <w:t xml:space="preserve"> 1.panta pirmās daļas 1.punkts </w:t>
            </w:r>
            <w:r w:rsidRPr="006B1293" w:rsidR="00B33F9A">
              <w:t xml:space="preserve">šobrīd </w:t>
            </w:r>
            <w:r w:rsidRPr="006B1293" w:rsidR="000F76C4">
              <w:t>no</w:t>
            </w:r>
            <w:r w:rsidRPr="006B1293" w:rsidR="00CD7587">
              <w:t>teic</w:t>
            </w:r>
            <w:r w:rsidRPr="006B1293">
              <w:t>, ka</w:t>
            </w:r>
            <w:r w:rsidRPr="006B1293" w:rsidR="000F76C4">
              <w:t xml:space="preserve"> aizsargāts pakalpojums </w:t>
            </w:r>
            <w:r w:rsidRPr="006B1293">
              <w:t>ir</w:t>
            </w:r>
            <w:r w:rsidRPr="006B1293" w:rsidR="000F76C4">
              <w:t xml:space="preserve"> pakalpojums (raidīšana, informācijas sabiedrības pakalpojums u.tml.), kuru tā sniedzējs, pamatojoties uz ierobežotu piekļuvi, sniedz par attiecīgu atlīdzību. </w:t>
            </w:r>
            <w:r w:rsidRPr="006B1293" w:rsidR="00692B88">
              <w:t>APL</w:t>
            </w:r>
            <w:r w:rsidRPr="006B1293" w:rsidR="000F76C4">
              <w:t xml:space="preserve"> paredz piekļuvi aizsargātam pakalpojumam vienīgi ar pakalpojuma sniedzēja iepriekšēju piekrišanu vai individuālu atļauju.</w:t>
            </w:r>
            <w:r w:rsidRPr="006B1293" w:rsidR="000F76C4">
              <w:rPr>
                <w:rFonts w:eastAsiaTheme="minorHAnsi"/>
              </w:rPr>
              <w:t xml:space="preserve"> </w:t>
            </w:r>
          </w:p>
          <w:p w:rsidRPr="006B1293" w:rsidR="003E1733" w:rsidP="009542CF" w:rsidRDefault="00D6680A" w14:paraId="44176668" w14:textId="1DB28B1F">
            <w:pPr>
              <w:pStyle w:val="ListParagraph"/>
              <w:shd w:val="clear" w:color="auto" w:fill="FFFFFF" w:themeFill="background1"/>
              <w:ind w:left="0"/>
              <w:jc w:val="both"/>
            </w:pPr>
            <w:r w:rsidRPr="006B1293">
              <w:t>L</w:t>
            </w:r>
            <w:r w:rsidRPr="006B1293" w:rsidR="000F76C4">
              <w:t xml:space="preserve">ai sasniegtu </w:t>
            </w:r>
            <w:r w:rsidRPr="006B1293" w:rsidR="00706241">
              <w:t>VRP</w:t>
            </w:r>
            <w:r w:rsidRPr="006B1293" w:rsidR="002C52FA">
              <w:t xml:space="preserve"> 169.</w:t>
            </w:r>
            <w:r w:rsidRPr="006B1293">
              <w:t>uzdevumā</w:t>
            </w:r>
            <w:r w:rsidRPr="006B1293" w:rsidR="000F76C4">
              <w:t xml:space="preserve"> paredzēto mērķi </w:t>
            </w:r>
            <w:r w:rsidRPr="006B1293" w:rsidR="000F76C4">
              <w:rPr>
                <w:i/>
                <w:iCs/>
              </w:rPr>
              <w:t>“…ierobežot Krievijas satelītu izplatību Latvijā…”</w:t>
            </w:r>
            <w:r w:rsidRPr="006B1293" w:rsidR="000F76C4">
              <w:t xml:space="preserve"> tādās situācijās, kurās </w:t>
            </w:r>
            <w:r w:rsidRPr="006B1293" w:rsidR="00E53FE4">
              <w:t xml:space="preserve">aizsargāta </w:t>
            </w:r>
            <w:r w:rsidRPr="006B1293" w:rsidR="000F76C4">
              <w:t xml:space="preserve">pakalpojuma sniedzēji nebūs izteikuši pretenzijas par programmu </w:t>
            </w:r>
            <w:r w:rsidRPr="006B1293" w:rsidR="001354F7">
              <w:t xml:space="preserve">prettiesisko </w:t>
            </w:r>
            <w:r w:rsidRPr="006B1293" w:rsidR="000F76C4">
              <w:t>izplatīšanu, ir papildināt</w:t>
            </w:r>
            <w:r w:rsidRPr="006B1293" w:rsidR="00E53FE4">
              <w:t>a</w:t>
            </w:r>
            <w:r w:rsidRPr="006B1293" w:rsidR="000F76C4">
              <w:t xml:space="preserve"> </w:t>
            </w:r>
            <w:r w:rsidRPr="006B1293" w:rsidR="005C761E">
              <w:t>APL</w:t>
            </w:r>
            <w:r w:rsidRPr="006B1293" w:rsidR="000F76C4">
              <w:t xml:space="preserve"> 1.panta pirmās daļas 1.punktā ietvert</w:t>
            </w:r>
            <w:r w:rsidRPr="006B1293" w:rsidR="00E53FE4">
              <w:t>ā</w:t>
            </w:r>
            <w:r w:rsidRPr="006B1293" w:rsidR="000F76C4">
              <w:t xml:space="preserve"> “aizsargāta pakalpojuma” definīcij</w:t>
            </w:r>
            <w:r w:rsidRPr="006B1293" w:rsidR="00E53FE4">
              <w:t>a,</w:t>
            </w:r>
            <w:r w:rsidRPr="006B1293" w:rsidR="00F36F5D">
              <w:t xml:space="preserve"> nosakot, ka aizsargāts pakalpojums </w:t>
            </w:r>
            <w:r w:rsidRPr="006B1293" w:rsidR="00B11905">
              <w:t>ir</w:t>
            </w:r>
            <w:r w:rsidRPr="006B1293" w:rsidR="00F36F5D">
              <w:t xml:space="preserve"> Latvijā tiesiski pieejams pakalpojums (raidīšana, informācijas sabiedrības pakalpojums u.tml.), kuru tā sniedzējs, pamatojoties uz ierobežotu piekļuvi, sniedz par attiecīgu atlīdzību.</w:t>
            </w:r>
            <w:r w:rsidRPr="006B1293" w:rsidR="009542CF">
              <w:t xml:space="preserve"> </w:t>
            </w:r>
            <w:r w:rsidRPr="006B1293" w:rsidR="003E1733">
              <w:t xml:space="preserve">Tādējādi tiks nodrošināta aizsargāta </w:t>
            </w:r>
            <w:r w:rsidRPr="006B1293" w:rsidR="003E1733">
              <w:lastRenderedPageBreak/>
              <w:t xml:space="preserve">pakalpojuma sniedzēja aizsardzība pret tādu ierobežotas piekļuves sistēmu izmantošanu Latvijas teritorijā, kas nodrošina piekļuvi </w:t>
            </w:r>
            <w:r w:rsidRPr="006B1293" w:rsidR="00D370B3">
              <w:rPr>
                <w:rFonts w:eastAsiaTheme="minorHAnsi"/>
                <w:lang w:eastAsia="en-US"/>
              </w:rPr>
              <w:t>tiesiska pakalpojuma pazīmēm neatbilstošam (prettiesiskam) pakalpojumam</w:t>
            </w:r>
            <w:r w:rsidRPr="006B1293" w:rsidR="003E1733">
              <w:t>, kropļojot konkurenci un apdraudot aizsargāta pakalpojuma sniedzēja</w:t>
            </w:r>
            <w:r w:rsidRPr="006B1293" w:rsidR="00F127B0">
              <w:t xml:space="preserve"> </w:t>
            </w:r>
            <w:r w:rsidRPr="006B1293" w:rsidR="003E1733">
              <w:t>komerciālo darbību.</w:t>
            </w:r>
          </w:p>
          <w:p w:rsidRPr="006B1293" w:rsidR="00B33F9A" w:rsidP="009542CF" w:rsidRDefault="00811850" w14:paraId="565689E8" w14:textId="04F53324">
            <w:pPr>
              <w:pStyle w:val="ListParagraph"/>
              <w:shd w:val="clear" w:color="auto" w:fill="FFFFFF" w:themeFill="background1"/>
              <w:ind w:left="0"/>
              <w:jc w:val="both"/>
            </w:pPr>
            <w:r w:rsidRPr="006B1293">
              <w:t>Paskaidrojam, ka tiesiskām pazīmēm neatbilstošs pakalpojums ir tāds pakalpojums, kurš tiek sniegts</w:t>
            </w:r>
            <w:r w:rsidR="00B9508E">
              <w:t>,</w:t>
            </w:r>
            <w:r w:rsidRPr="006B1293">
              <w:t xml:space="preserve"> neievērojot Latvijas normatīvajos aktos noteiktos pienākumus, piemēram, reģistrēties kompetento iestāžu reģistros, saņemt atļaujas, licences</w:t>
            </w:r>
            <w:r w:rsidRPr="006B1293" w:rsidR="00442382">
              <w:t xml:space="preserve"> </w:t>
            </w:r>
            <w:r w:rsidRPr="006B1293">
              <w:t xml:space="preserve">utt. </w:t>
            </w:r>
            <w:r w:rsidRPr="006B1293" w:rsidR="00892413">
              <w:t>P</w:t>
            </w:r>
            <w:r w:rsidRPr="006B1293">
              <w:t>rettiesiski sniegt</w:t>
            </w:r>
            <w:r w:rsidRPr="006B1293" w:rsidR="00892413">
              <w:t>a</w:t>
            </w:r>
            <w:r w:rsidRPr="006B1293">
              <w:t xml:space="preserve"> televīzijas programmu izplatīšanas pakalpojum</w:t>
            </w:r>
            <w:r w:rsidRPr="006B1293" w:rsidR="00892413">
              <w:t>a gadījumā</w:t>
            </w:r>
            <w:r w:rsidRPr="006B1293">
              <w:t xml:space="preserve"> </w:t>
            </w:r>
            <w:r w:rsidRPr="006B1293" w:rsidR="00892413">
              <w:t xml:space="preserve">uz šo pakalpojumu sniegšanā iesaistītajiem </w:t>
            </w:r>
            <w:r w:rsidRPr="006B1293">
              <w:t xml:space="preserve">var attiecināt </w:t>
            </w:r>
            <w:r w:rsidRPr="006B1293" w:rsidR="00892413">
              <w:t xml:space="preserve">gan </w:t>
            </w:r>
            <w:r w:rsidRPr="006B1293">
              <w:t xml:space="preserve">Elektronisko plašsaziņas līdzekļu likuma, </w:t>
            </w:r>
            <w:r w:rsidRPr="006B1293" w:rsidR="00892413">
              <w:t>gan</w:t>
            </w:r>
            <w:r w:rsidRPr="006B1293">
              <w:t xml:space="preserve"> Komercdarbības likuma</w:t>
            </w:r>
            <w:r w:rsidRPr="006B1293" w:rsidR="00B11905">
              <w:t>, Informācijas sabiedrības pakalpojumu likuma u.c.</w:t>
            </w:r>
            <w:r w:rsidRPr="006B1293">
              <w:t xml:space="preserve"> </w:t>
            </w:r>
            <w:r w:rsidRPr="006B1293" w:rsidR="00892413">
              <w:t>regulējuma neizpildi</w:t>
            </w:r>
            <w:r w:rsidRPr="006B1293">
              <w:t>.</w:t>
            </w:r>
          </w:p>
          <w:p w:rsidRPr="006B1293" w:rsidR="00465577" w:rsidP="003A5A27" w:rsidRDefault="00BC71CC" w14:paraId="7B20826D" w14:textId="12C77E04">
            <w:pPr>
              <w:shd w:val="clear" w:color="auto" w:fill="FFFFFF"/>
              <w:jc w:val="both"/>
              <w:rPr>
                <w:rFonts w:ascii="Times New Roman" w:hAnsi="Times New Roman" w:eastAsia="Calibri" w:cs="Times New Roman"/>
                <w:sz w:val="24"/>
                <w:szCs w:val="24"/>
              </w:rPr>
            </w:pPr>
            <w:r w:rsidRPr="006B1293">
              <w:rPr>
                <w:rFonts w:ascii="Times New Roman" w:hAnsi="Times New Roman" w:cs="Times New Roman"/>
                <w:sz w:val="24"/>
                <w:szCs w:val="24"/>
              </w:rPr>
              <w:t>Savukārt jebkurai personai ir iespēja p</w:t>
            </w:r>
            <w:r w:rsidRPr="006B1293" w:rsidR="00465577">
              <w:rPr>
                <w:rFonts w:ascii="Times New Roman" w:hAnsi="Times New Roman" w:cs="Times New Roman"/>
                <w:sz w:val="24"/>
                <w:szCs w:val="24"/>
              </w:rPr>
              <w:t>ārliecināt</w:t>
            </w:r>
            <w:r w:rsidRPr="006B1293" w:rsidR="00D33F77">
              <w:rPr>
                <w:rFonts w:ascii="Times New Roman" w:hAnsi="Times New Roman" w:cs="Times New Roman"/>
                <w:sz w:val="24"/>
                <w:szCs w:val="24"/>
              </w:rPr>
              <w:t>ies</w:t>
            </w:r>
            <w:r w:rsidRPr="006B1293" w:rsidR="00465577">
              <w:rPr>
                <w:rFonts w:ascii="Times New Roman" w:hAnsi="Times New Roman" w:cs="Times New Roman"/>
                <w:sz w:val="24"/>
                <w:szCs w:val="24"/>
              </w:rPr>
              <w:t xml:space="preserve"> par </w:t>
            </w:r>
            <w:r w:rsidRPr="006B1293" w:rsidR="00892413">
              <w:rPr>
                <w:rFonts w:ascii="Times New Roman" w:hAnsi="Times New Roman" w:cs="Times New Roman"/>
                <w:sz w:val="24"/>
                <w:szCs w:val="24"/>
              </w:rPr>
              <w:t xml:space="preserve">Latvijas normatīvajiem aktiem atbilstoša </w:t>
            </w:r>
            <w:r w:rsidRPr="006B1293" w:rsidR="00D33F77">
              <w:rPr>
                <w:rFonts w:ascii="Times New Roman" w:hAnsi="Times New Roman" w:cs="Times New Roman"/>
                <w:sz w:val="24"/>
                <w:szCs w:val="24"/>
              </w:rPr>
              <w:t xml:space="preserve">aizsargāta </w:t>
            </w:r>
            <w:r w:rsidRPr="006B1293" w:rsidR="00465577">
              <w:rPr>
                <w:rFonts w:ascii="Times New Roman" w:hAnsi="Times New Roman" w:cs="Times New Roman"/>
                <w:sz w:val="24"/>
                <w:szCs w:val="24"/>
              </w:rPr>
              <w:t xml:space="preserve">pakalpojuma </w:t>
            </w:r>
            <w:r w:rsidRPr="006B1293" w:rsidR="00D33F77">
              <w:rPr>
                <w:rFonts w:ascii="Times New Roman" w:hAnsi="Times New Roman" w:cs="Times New Roman"/>
                <w:sz w:val="24"/>
                <w:szCs w:val="24"/>
              </w:rPr>
              <w:t xml:space="preserve">pieejamību  </w:t>
            </w:r>
            <w:r w:rsidRPr="006B1293" w:rsidR="00353534">
              <w:rPr>
                <w:rFonts w:ascii="Times New Roman" w:hAnsi="Times New Roman" w:cs="Times New Roman"/>
                <w:sz w:val="24"/>
                <w:szCs w:val="24"/>
              </w:rPr>
              <w:t>kabeļtelevīzijas operatoru tīklos</w:t>
            </w:r>
            <w:r w:rsidRPr="006B1293">
              <w:rPr>
                <w:rFonts w:ascii="Times New Roman" w:hAnsi="Times New Roman" w:cs="Times New Roman"/>
                <w:sz w:val="24"/>
                <w:szCs w:val="24"/>
              </w:rPr>
              <w:t xml:space="preserve">, </w:t>
            </w:r>
            <w:r w:rsidRPr="006B1293" w:rsidR="00D33F77">
              <w:rPr>
                <w:rFonts w:ascii="Times New Roman" w:hAnsi="Times New Roman" w:cs="Times New Roman"/>
                <w:sz w:val="24"/>
                <w:szCs w:val="24"/>
              </w:rPr>
              <w:t xml:space="preserve">izmantojot </w:t>
            </w:r>
            <w:r w:rsidRPr="006B1293" w:rsidR="00465577">
              <w:rPr>
                <w:rFonts w:ascii="Times New Roman" w:hAnsi="Times New Roman" w:cs="Times New Roman"/>
                <w:sz w:val="24"/>
                <w:szCs w:val="24"/>
              </w:rPr>
              <w:t xml:space="preserve"> </w:t>
            </w:r>
            <w:r w:rsidRPr="006B1293" w:rsidR="00465577">
              <w:rPr>
                <w:rFonts w:ascii="Times New Roman" w:hAnsi="Times New Roman" w:eastAsia="Calibri" w:cs="Times New Roman"/>
                <w:sz w:val="24"/>
                <w:szCs w:val="24"/>
              </w:rPr>
              <w:t>Nacionālās elektronisko plašsaziņas līdzekļu padomes uzturēt</w:t>
            </w:r>
            <w:r w:rsidRPr="006B1293" w:rsidR="00D33F77">
              <w:rPr>
                <w:rFonts w:ascii="Times New Roman" w:hAnsi="Times New Roman" w:eastAsia="Calibri" w:cs="Times New Roman"/>
                <w:sz w:val="24"/>
                <w:szCs w:val="24"/>
              </w:rPr>
              <w:t>os</w:t>
            </w:r>
            <w:r w:rsidRPr="006B1293" w:rsidR="00465577">
              <w:rPr>
                <w:rFonts w:ascii="Times New Roman" w:hAnsi="Times New Roman" w:eastAsia="Calibri" w:cs="Times New Roman"/>
                <w:sz w:val="24"/>
                <w:szCs w:val="24"/>
              </w:rPr>
              <w:t xml:space="preserve"> </w:t>
            </w:r>
            <w:r w:rsidRPr="006B1293" w:rsidR="00465577">
              <w:rPr>
                <w:rFonts w:ascii="Times New Roman" w:hAnsi="Times New Roman" w:eastAsia="Times New Roman" w:cs="Times New Roman"/>
                <w:bCs/>
                <w:kern w:val="36"/>
                <w:sz w:val="24"/>
                <w:szCs w:val="24"/>
                <w:lang w:eastAsia="lv-LV"/>
              </w:rPr>
              <w:t>reģistr</w:t>
            </w:r>
            <w:r w:rsidRPr="006B1293" w:rsidR="00D33F77">
              <w:rPr>
                <w:rFonts w:ascii="Times New Roman" w:hAnsi="Times New Roman" w:eastAsia="Times New Roman" w:cs="Times New Roman"/>
                <w:bCs/>
                <w:kern w:val="36"/>
                <w:sz w:val="24"/>
                <w:szCs w:val="24"/>
                <w:lang w:eastAsia="lv-LV"/>
              </w:rPr>
              <w:t>us</w:t>
            </w:r>
            <w:r w:rsidRPr="006B1293" w:rsidR="00465577">
              <w:rPr>
                <w:rFonts w:ascii="Times New Roman" w:hAnsi="Times New Roman" w:eastAsia="Times New Roman" w:cs="Times New Roman"/>
                <w:bCs/>
                <w:kern w:val="36"/>
                <w:sz w:val="24"/>
                <w:szCs w:val="24"/>
                <w:lang w:eastAsia="lv-LV"/>
              </w:rPr>
              <w:t xml:space="preserve"> </w:t>
            </w:r>
            <w:r w:rsidRPr="006B1293" w:rsidR="00465577">
              <w:rPr>
                <w:rFonts w:ascii="Times New Roman" w:hAnsi="Times New Roman" w:eastAsia="Times New Roman" w:cs="Times New Roman"/>
                <w:b/>
                <w:bCs/>
                <w:kern w:val="36"/>
                <w:sz w:val="24"/>
                <w:szCs w:val="24"/>
                <w:lang w:eastAsia="lv-LV"/>
              </w:rPr>
              <w:t>(</w:t>
            </w:r>
            <w:hyperlink w:history="1" r:id="rId8">
              <w:r w:rsidRPr="006B1293" w:rsidR="00465577">
                <w:rPr>
                  <w:rStyle w:val="Hyperlink"/>
                  <w:rFonts w:ascii="Times New Roman" w:hAnsi="Times New Roman" w:eastAsia="Calibri" w:cs="Times New Roman"/>
                  <w:color w:val="auto"/>
                  <w:sz w:val="24"/>
                  <w:szCs w:val="24"/>
                </w:rPr>
                <w:t>https://www.neplpadome.lv/lv/sakums/kabelu-operatori/registrs.html</w:t>
              </w:r>
            </w:hyperlink>
            <w:r w:rsidRPr="006B1293" w:rsidR="00465577">
              <w:rPr>
                <w:rFonts w:ascii="Times New Roman" w:hAnsi="Times New Roman" w:eastAsia="Calibri" w:cs="Times New Roman"/>
                <w:sz w:val="24"/>
                <w:szCs w:val="24"/>
              </w:rPr>
              <w:t>).</w:t>
            </w:r>
            <w:r w:rsidRPr="006B1293">
              <w:rPr>
                <w:rFonts w:ascii="Times New Roman" w:hAnsi="Times New Roman" w:eastAsia="Calibri" w:cs="Times New Roman"/>
                <w:sz w:val="24"/>
                <w:szCs w:val="24"/>
              </w:rPr>
              <w:t xml:space="preserve"> S</w:t>
            </w:r>
            <w:r w:rsidRPr="006B1293" w:rsidR="00465577">
              <w:rPr>
                <w:rFonts w:ascii="Times New Roman" w:hAnsi="Times New Roman" w:cs="Times New Roman"/>
                <w:sz w:val="24"/>
                <w:szCs w:val="24"/>
              </w:rPr>
              <w:t xml:space="preserve">atelīta </w:t>
            </w:r>
            <w:r w:rsidRPr="006B1293">
              <w:rPr>
                <w:rFonts w:ascii="Times New Roman" w:hAnsi="Times New Roman" w:cs="Times New Roman"/>
                <w:sz w:val="24"/>
                <w:szCs w:val="24"/>
              </w:rPr>
              <w:t>televīzijas</w:t>
            </w:r>
            <w:r w:rsidRPr="006B1293" w:rsidR="00465577">
              <w:rPr>
                <w:rFonts w:ascii="Times New Roman" w:hAnsi="Times New Roman" w:cs="Times New Roman"/>
                <w:sz w:val="24"/>
                <w:szCs w:val="24"/>
              </w:rPr>
              <w:t xml:space="preserve"> pakalpojumu sniedzēju reģistr</w:t>
            </w:r>
            <w:r w:rsidRPr="006B1293" w:rsidR="004601A9">
              <w:rPr>
                <w:rFonts w:ascii="Times New Roman" w:hAnsi="Times New Roman" w:cs="Times New Roman"/>
                <w:sz w:val="24"/>
                <w:szCs w:val="24"/>
              </w:rPr>
              <w:t>s</w:t>
            </w:r>
            <w:r w:rsidRPr="006B1293" w:rsidR="00353534">
              <w:rPr>
                <w:rFonts w:ascii="Times New Roman" w:hAnsi="Times New Roman" w:cs="Times New Roman"/>
                <w:sz w:val="24"/>
                <w:szCs w:val="24"/>
              </w:rPr>
              <w:t xml:space="preserve"> </w:t>
            </w:r>
            <w:r w:rsidRPr="006B1293" w:rsidR="00465577">
              <w:rPr>
                <w:rFonts w:ascii="Times New Roman" w:hAnsi="Times New Roman" w:cs="Times New Roman"/>
                <w:sz w:val="24"/>
                <w:szCs w:val="24"/>
              </w:rPr>
              <w:t>nav izveido</w:t>
            </w:r>
            <w:r w:rsidRPr="006B1293" w:rsidR="004601A9">
              <w:rPr>
                <w:rFonts w:ascii="Times New Roman" w:hAnsi="Times New Roman" w:cs="Times New Roman"/>
                <w:sz w:val="24"/>
                <w:szCs w:val="24"/>
              </w:rPr>
              <w:t>ts</w:t>
            </w:r>
            <w:r w:rsidRPr="006B1293" w:rsidR="00465577">
              <w:rPr>
                <w:rFonts w:ascii="Times New Roman" w:hAnsi="Times New Roman" w:cs="Times New Roman"/>
                <w:sz w:val="24"/>
                <w:szCs w:val="24"/>
              </w:rPr>
              <w:t>.</w:t>
            </w:r>
          </w:p>
          <w:p w:rsidRPr="006B1293" w:rsidR="002428FE" w:rsidP="00A3559D" w:rsidRDefault="002428FE" w14:paraId="7797FEBC" w14:textId="77777777">
            <w:pPr>
              <w:pStyle w:val="tv213"/>
              <w:spacing w:before="0" w:beforeAutospacing="0" w:after="0" w:afterAutospacing="0"/>
              <w:jc w:val="both"/>
              <w:rPr>
                <w:b/>
                <w:bCs/>
                <w:lang w:val="lv-LV"/>
              </w:rPr>
            </w:pPr>
          </w:p>
          <w:p w:rsidR="00540297" w:rsidP="00A3559D" w:rsidRDefault="00A3559D" w14:paraId="5E96C89C" w14:textId="7536DC7E">
            <w:pPr>
              <w:pStyle w:val="tv213"/>
              <w:spacing w:before="0" w:beforeAutospacing="0" w:after="0" w:afterAutospacing="0"/>
              <w:jc w:val="both"/>
              <w:rPr>
                <w:b/>
                <w:bCs/>
                <w:lang w:val="lv-LV"/>
              </w:rPr>
            </w:pPr>
            <w:r w:rsidRPr="006B1293">
              <w:rPr>
                <w:b/>
                <w:bCs/>
                <w:lang w:val="lv-LV"/>
              </w:rPr>
              <w:t>Likumprojekta 2.pantā ietvertais 1.panta pirmās daļas 4.punkts</w:t>
            </w:r>
            <w:r w:rsidR="0014282C">
              <w:rPr>
                <w:b/>
                <w:bCs/>
                <w:lang w:val="lv-LV"/>
              </w:rPr>
              <w:t>;</w:t>
            </w:r>
          </w:p>
          <w:p w:rsidRPr="009F699F" w:rsidR="0014282C" w:rsidP="00A3559D" w:rsidRDefault="00540297" w14:paraId="5AFED5CC" w14:textId="54B5B480">
            <w:pPr>
              <w:pStyle w:val="tv213"/>
              <w:spacing w:before="0" w:beforeAutospacing="0" w:after="0" w:afterAutospacing="0"/>
              <w:jc w:val="both"/>
              <w:rPr>
                <w:b/>
                <w:bCs/>
                <w:lang w:val="lv-LV"/>
              </w:rPr>
            </w:pPr>
            <w:r w:rsidRPr="009F699F">
              <w:rPr>
                <w:b/>
                <w:bCs/>
                <w:lang w:val="lv-LV"/>
              </w:rPr>
              <w:t xml:space="preserve">Likumprojekta </w:t>
            </w:r>
            <w:r w:rsidRPr="009F699F" w:rsidR="00AD0E6E">
              <w:rPr>
                <w:b/>
                <w:bCs/>
                <w:lang w:val="lv-LV"/>
              </w:rPr>
              <w:t xml:space="preserve">5.pantā ietvertais </w:t>
            </w:r>
            <w:r w:rsidRPr="009F699F" w:rsidR="007F5292">
              <w:rPr>
                <w:b/>
                <w:bCs/>
                <w:lang w:val="lv-LV"/>
              </w:rPr>
              <w:t>7.pants</w:t>
            </w:r>
            <w:r w:rsidRPr="009F699F" w:rsidR="0014282C">
              <w:rPr>
                <w:b/>
                <w:bCs/>
                <w:lang w:val="lv-LV"/>
              </w:rPr>
              <w:t>;</w:t>
            </w:r>
            <w:r w:rsidRPr="009F699F">
              <w:rPr>
                <w:b/>
                <w:bCs/>
                <w:lang w:val="lv-LV"/>
              </w:rPr>
              <w:t xml:space="preserve"> </w:t>
            </w:r>
          </w:p>
          <w:p w:rsidRPr="009F699F" w:rsidR="00A3559D" w:rsidP="00A3559D" w:rsidRDefault="0014282C" w14:paraId="25EDBC02" w14:textId="6DAF6E3E">
            <w:pPr>
              <w:pStyle w:val="tv213"/>
              <w:spacing w:before="0" w:beforeAutospacing="0" w:after="0" w:afterAutospacing="0"/>
              <w:jc w:val="both"/>
              <w:rPr>
                <w:b/>
                <w:bCs/>
                <w:lang w:val="lv-LV"/>
              </w:rPr>
            </w:pPr>
            <w:r w:rsidRPr="009F699F">
              <w:rPr>
                <w:b/>
                <w:bCs/>
                <w:lang w:val="lv-LV"/>
              </w:rPr>
              <w:t xml:space="preserve">Likumprojekta </w:t>
            </w:r>
            <w:r w:rsidRPr="009F699F" w:rsidR="00540297">
              <w:rPr>
                <w:b/>
                <w:bCs/>
                <w:lang w:val="lv-LV"/>
              </w:rPr>
              <w:t>6.pantā ietvertais pārejas noteikums</w:t>
            </w:r>
            <w:r w:rsidRPr="009F699F" w:rsidR="00A3559D">
              <w:rPr>
                <w:b/>
                <w:bCs/>
                <w:lang w:val="lv-LV"/>
              </w:rPr>
              <w:t xml:space="preserve">. </w:t>
            </w:r>
          </w:p>
          <w:p w:rsidRPr="006B1293" w:rsidR="00A3559D" w:rsidP="00A3559D" w:rsidRDefault="0014282C" w14:paraId="02144529" w14:textId="1A5B8564">
            <w:pPr>
              <w:pStyle w:val="tv213"/>
              <w:spacing w:before="0" w:beforeAutospacing="0" w:after="0" w:afterAutospacing="0"/>
              <w:jc w:val="both"/>
              <w:rPr>
                <w:lang w:val="lv-LV"/>
              </w:rPr>
            </w:pPr>
            <w:r w:rsidRPr="009F699F">
              <w:rPr>
                <w:lang w:val="lv-LV"/>
              </w:rPr>
              <w:t xml:space="preserve">      </w:t>
            </w:r>
            <w:r w:rsidRPr="009F699F" w:rsidR="00A3559D">
              <w:rPr>
                <w:lang w:val="lv-LV"/>
              </w:rPr>
              <w:t xml:space="preserve">Pašlaik APL tiek lietoti </w:t>
            </w:r>
            <w:r w:rsidRPr="009F699F" w:rsidR="00353534">
              <w:rPr>
                <w:lang w:val="lv-LV"/>
              </w:rPr>
              <w:t xml:space="preserve">vairāki </w:t>
            </w:r>
            <w:r w:rsidRPr="009F699F" w:rsidR="00A3559D">
              <w:rPr>
                <w:lang w:val="lv-LV"/>
              </w:rPr>
              <w:t xml:space="preserve">termini </w:t>
            </w:r>
            <w:r w:rsidRPr="009F699F" w:rsidR="00353534">
              <w:rPr>
                <w:lang w:val="lv-LV"/>
              </w:rPr>
              <w:t xml:space="preserve">ar vienādu nozīmi, piemēram, </w:t>
            </w:r>
            <w:r w:rsidRPr="009F699F" w:rsidR="00A3559D">
              <w:rPr>
                <w:lang w:val="lv-LV"/>
              </w:rPr>
              <w:t>“nelegāls”, “nelikumīgs”</w:t>
            </w:r>
            <w:r w:rsidRPr="009F699F" w:rsidR="00AA7388">
              <w:rPr>
                <w:lang w:val="lv-LV"/>
              </w:rPr>
              <w:t xml:space="preserve">. </w:t>
            </w:r>
            <w:r w:rsidRPr="009F699F" w:rsidR="00353534">
              <w:rPr>
                <w:lang w:val="lv-LV"/>
              </w:rPr>
              <w:t xml:space="preserve">Ievērojot Tieslietu ministrijas </w:t>
            </w:r>
            <w:r w:rsidRPr="009F699F" w:rsidR="00BF148A">
              <w:rPr>
                <w:lang w:val="lv-LV"/>
              </w:rPr>
              <w:t xml:space="preserve"> priekšlikumu</w:t>
            </w:r>
            <w:r w:rsidRPr="009F699F" w:rsidR="00353534">
              <w:rPr>
                <w:lang w:val="lv-LV"/>
              </w:rPr>
              <w:t xml:space="preserve">, </w:t>
            </w:r>
            <w:r w:rsidRPr="009F699F" w:rsidR="00AA7388">
              <w:rPr>
                <w:lang w:val="lv-LV"/>
              </w:rPr>
              <w:t>likumprojekt</w:t>
            </w:r>
            <w:r w:rsidRPr="009F699F" w:rsidR="00353534">
              <w:rPr>
                <w:lang w:val="lv-LV"/>
              </w:rPr>
              <w:t>s</w:t>
            </w:r>
            <w:r w:rsidRPr="006B1293" w:rsidR="00AA7388">
              <w:rPr>
                <w:lang w:val="lv-LV"/>
              </w:rPr>
              <w:t xml:space="preserve"> </w:t>
            </w:r>
            <w:r w:rsidRPr="006B1293" w:rsidR="00353534">
              <w:rPr>
                <w:lang w:val="lv-LV"/>
              </w:rPr>
              <w:t xml:space="preserve">paredz </w:t>
            </w:r>
            <w:r w:rsidRPr="006B1293" w:rsidR="00C0433F">
              <w:rPr>
                <w:lang w:val="lv-LV"/>
              </w:rPr>
              <w:t xml:space="preserve">ne tikai 2.pantā, bet </w:t>
            </w:r>
            <w:r w:rsidRPr="006B1293" w:rsidR="00AA7388">
              <w:rPr>
                <w:lang w:val="lv-LV"/>
              </w:rPr>
              <w:t xml:space="preserve">visā APL aizstāt vārdus “nelikumīgs” un </w:t>
            </w:r>
            <w:r w:rsidRPr="006B1293" w:rsidR="00784B11">
              <w:rPr>
                <w:lang w:val="lv-LV"/>
              </w:rPr>
              <w:t>“</w:t>
            </w:r>
            <w:r w:rsidRPr="006B1293" w:rsidR="00AA7388">
              <w:rPr>
                <w:lang w:val="lv-LV"/>
              </w:rPr>
              <w:t>nelegāls” ar vārdu “prettiesisks”</w:t>
            </w:r>
            <w:r w:rsidR="00FD7A18">
              <w:rPr>
                <w:lang w:val="lv-LV"/>
              </w:rPr>
              <w:t>, kā to paredz likumprojekta 5. un 6.pants</w:t>
            </w:r>
            <w:r w:rsidRPr="006B1293" w:rsidR="00AA7388">
              <w:rPr>
                <w:lang w:val="lv-LV"/>
              </w:rPr>
              <w:t xml:space="preserve">.  </w:t>
            </w:r>
          </w:p>
          <w:p w:rsidR="00CD2841" w:rsidP="004A25CB" w:rsidRDefault="007F5292" w14:paraId="1879FCE4" w14:textId="2C6F3FC7">
            <w:pPr>
              <w:pStyle w:val="ListParagraph"/>
              <w:shd w:val="clear" w:color="auto" w:fill="FFFFFF" w:themeFill="background1"/>
              <w:ind w:left="0"/>
              <w:jc w:val="both"/>
              <w:rPr>
                <w:highlight w:val="yellow"/>
              </w:rPr>
            </w:pPr>
            <w:r w:rsidRPr="006B1293">
              <w:t xml:space="preserve">      </w:t>
            </w:r>
            <w:r w:rsidRPr="009F699F">
              <w:t xml:space="preserve">2019.gada 10.oktobrī Saeima ir pieņēmusi </w:t>
            </w:r>
            <w:r w:rsidR="0075190B">
              <w:t>likumu</w:t>
            </w:r>
            <w:r w:rsidRPr="009F699F" w:rsidR="0075190B">
              <w:t xml:space="preserve"> </w:t>
            </w:r>
            <w:r w:rsidRPr="009F699F">
              <w:t>“Grozījumi Aizsargāta pakalpojumu likumā” (</w:t>
            </w:r>
            <w:proofErr w:type="spellStart"/>
            <w:r w:rsidRPr="009F699F">
              <w:t>Nr</w:t>
            </w:r>
            <w:proofErr w:type="spellEnd"/>
            <w:r w:rsidRPr="009F699F">
              <w:t>: 118/Lp13)</w:t>
            </w:r>
            <w:r w:rsidRPr="009F699F" w:rsidR="004A25CB">
              <w:t>,</w:t>
            </w:r>
            <w:r w:rsidRPr="009F699F">
              <w:t xml:space="preserve"> </w:t>
            </w:r>
            <w:r w:rsidRPr="009F699F" w:rsidR="004A25CB">
              <w:t xml:space="preserve">kurā tiek integrēts </w:t>
            </w:r>
            <w:r w:rsidRPr="009F699F" w:rsidR="004A25CB">
              <w:rPr>
                <w:shd w:val="clear" w:color="auto" w:fill="FFFFFF"/>
              </w:rPr>
              <w:t>Administratīvo pārkāpumu kodeksa (turpmāk- LAPK) 204.</w:t>
            </w:r>
            <w:r w:rsidRPr="009F699F" w:rsidR="004A25CB">
              <w:rPr>
                <w:shd w:val="clear" w:color="auto" w:fill="FFFFFF"/>
                <w:vertAlign w:val="superscript"/>
              </w:rPr>
              <w:t xml:space="preserve">14 </w:t>
            </w:r>
            <w:r w:rsidRPr="009F699F" w:rsidR="004A25CB">
              <w:rPr>
                <w:shd w:val="clear" w:color="auto" w:fill="FFFFFF"/>
              </w:rPr>
              <w:t xml:space="preserve">pants, tādējādi APL tiek </w:t>
            </w:r>
            <w:r w:rsidRPr="009F699F">
              <w:t xml:space="preserve"> papildināt</w:t>
            </w:r>
            <w:r w:rsidRPr="009F699F" w:rsidR="004A25CB">
              <w:t xml:space="preserve">s ar </w:t>
            </w:r>
            <w:r w:rsidRPr="009F699F">
              <w:t xml:space="preserve">7.pantu, paredzot </w:t>
            </w:r>
            <w:r w:rsidRPr="009F699F" w:rsidR="0074124E">
              <w:t xml:space="preserve">tajā </w:t>
            </w:r>
            <w:r w:rsidRPr="009F699F">
              <w:t xml:space="preserve">atbildību par  ierobežotas piekļuves sistēmu </w:t>
            </w:r>
            <w:r w:rsidRPr="009F699F">
              <w:rPr>
                <w:u w:val="single"/>
              </w:rPr>
              <w:t>nelikumīgu</w:t>
            </w:r>
            <w:r w:rsidRPr="009F699F">
              <w:t xml:space="preserve"> ražošanu, importēšanu, izplatīšanu, iznomāšanu, pārdošanu vai cita veida atsavināšanu komerciāliem mērķiem, kā arī par </w:t>
            </w:r>
            <w:r w:rsidRPr="009F699F">
              <w:rPr>
                <w:u w:val="single"/>
              </w:rPr>
              <w:t>nelegālu</w:t>
            </w:r>
            <w:r w:rsidRPr="009F699F">
              <w:t xml:space="preserve"> sistēmu uzstādīšanu, ierīkošanu, instalēšanu vai izmantošanu komerciāliem mērķiem. </w:t>
            </w:r>
            <w:r w:rsidRPr="009F699F" w:rsidR="0074124E">
              <w:t>Minētie grozījumi</w:t>
            </w:r>
            <w:r w:rsidRPr="009F699F">
              <w:t xml:space="preserve"> </w:t>
            </w:r>
            <w:r w:rsidRPr="009F699F">
              <w:rPr>
                <w:u w:val="single"/>
              </w:rPr>
              <w:t>stāsies spēkā</w:t>
            </w:r>
            <w:r w:rsidRPr="009F699F">
              <w:t xml:space="preserve"> vienlaikus ar </w:t>
            </w:r>
            <w:r w:rsidRPr="009F699F">
              <w:rPr>
                <w:u w:val="single"/>
              </w:rPr>
              <w:t>Administratīvās atbildības likumu</w:t>
            </w:r>
            <w:r w:rsidRPr="009F699F">
              <w:t>.</w:t>
            </w:r>
            <w:r w:rsidRPr="009F699F" w:rsidR="00AD0E6E">
              <w:t xml:space="preserve"> </w:t>
            </w:r>
          </w:p>
          <w:p w:rsidRPr="009F699F" w:rsidR="007F5292" w:rsidP="00A3559D" w:rsidRDefault="00CD2841" w14:paraId="31449B2A" w14:textId="2DF2AD0E">
            <w:pPr>
              <w:pStyle w:val="tv213"/>
              <w:spacing w:before="0" w:beforeAutospacing="0" w:after="0" w:afterAutospacing="0"/>
              <w:jc w:val="both"/>
              <w:rPr>
                <w:lang w:val="lv-LV"/>
              </w:rPr>
            </w:pPr>
            <w:r w:rsidRPr="009F699F">
              <w:rPr>
                <w:lang w:val="lv-LV"/>
              </w:rPr>
              <w:t xml:space="preserve">       </w:t>
            </w:r>
            <w:r w:rsidRPr="009F699F" w:rsidR="00AD0E6E">
              <w:rPr>
                <w:lang w:val="lv-LV"/>
              </w:rPr>
              <w:t xml:space="preserve">Lai </w:t>
            </w:r>
            <w:r w:rsidRPr="009F699F" w:rsidR="0074124E">
              <w:rPr>
                <w:lang w:val="lv-LV"/>
              </w:rPr>
              <w:t xml:space="preserve">APL </w:t>
            </w:r>
            <w:r w:rsidRPr="009F699F" w:rsidR="00AD0E6E">
              <w:rPr>
                <w:lang w:val="lv-LV"/>
              </w:rPr>
              <w:t>vienādotu terminoloģiju</w:t>
            </w:r>
            <w:r w:rsidRPr="009F699F" w:rsidR="006B4A4F">
              <w:rPr>
                <w:lang w:val="lv-LV"/>
              </w:rPr>
              <w:t xml:space="preserve">, </w:t>
            </w:r>
            <w:r w:rsidRPr="009F699F" w:rsidR="007F5292">
              <w:rPr>
                <w:lang w:val="lv-LV"/>
              </w:rPr>
              <w:t xml:space="preserve">Likumprojekta </w:t>
            </w:r>
            <w:r w:rsidRPr="009F699F" w:rsidR="00AD0E6E">
              <w:rPr>
                <w:lang w:val="lv-LV"/>
              </w:rPr>
              <w:t>5</w:t>
            </w:r>
            <w:r w:rsidRPr="009F699F" w:rsidR="007F5292">
              <w:rPr>
                <w:lang w:val="lv-LV"/>
              </w:rPr>
              <w:t xml:space="preserve">.pants paredz grozījumu </w:t>
            </w:r>
            <w:r w:rsidRPr="009F699F" w:rsidR="00AD0E6E">
              <w:rPr>
                <w:lang w:val="lv-LV"/>
              </w:rPr>
              <w:t xml:space="preserve">APL 7.pantā, </w:t>
            </w:r>
            <w:r w:rsidRPr="009F699F" w:rsidR="007F5292">
              <w:rPr>
                <w:lang w:val="lv-LV"/>
              </w:rPr>
              <w:t>aizstājot 7.pantā vārdu “nelikumīgu”  ar vārdu “prettiesisku” un vārdu “nelegālu” ar vārdu “prettiesisku”</w:t>
            </w:r>
            <w:r w:rsidRPr="009F699F" w:rsidR="00AD0E6E">
              <w:rPr>
                <w:lang w:val="lv-LV"/>
              </w:rPr>
              <w:t>. Likumprojekt</w:t>
            </w:r>
            <w:r w:rsidRPr="009F699F" w:rsidR="0074124E">
              <w:rPr>
                <w:lang w:val="lv-LV"/>
              </w:rPr>
              <w:t>a</w:t>
            </w:r>
            <w:r w:rsidRPr="009F699F" w:rsidR="00AD0E6E">
              <w:rPr>
                <w:lang w:val="lv-LV"/>
              </w:rPr>
              <w:t xml:space="preserve"> </w:t>
            </w:r>
            <w:r w:rsidRPr="009F699F" w:rsidR="006B1293">
              <w:rPr>
                <w:lang w:val="lv-LV"/>
              </w:rPr>
              <w:t>6.pantā paredzēts</w:t>
            </w:r>
            <w:r w:rsidR="009F48BB">
              <w:rPr>
                <w:lang w:val="lv-LV"/>
              </w:rPr>
              <w:t xml:space="preserve"> papildināt APL pārejas noteikumus ar</w:t>
            </w:r>
            <w:r w:rsidRPr="009F699F" w:rsidR="00AD0E6E">
              <w:rPr>
                <w:lang w:val="lv-LV"/>
              </w:rPr>
              <w:t xml:space="preserve"> pārejas noteikum</w:t>
            </w:r>
            <w:r w:rsidR="009F48BB">
              <w:rPr>
                <w:lang w:val="lv-LV"/>
              </w:rPr>
              <w:t>u</w:t>
            </w:r>
            <w:r w:rsidRPr="009F699F" w:rsidR="00AD0E6E">
              <w:rPr>
                <w:lang w:val="lv-LV"/>
              </w:rPr>
              <w:t xml:space="preserve">, </w:t>
            </w:r>
            <w:r w:rsidRPr="009F699F" w:rsidR="006B1293">
              <w:rPr>
                <w:lang w:val="lv-LV"/>
              </w:rPr>
              <w:t>nosakot,</w:t>
            </w:r>
            <w:r w:rsidRPr="009F699F" w:rsidR="00AD0E6E">
              <w:rPr>
                <w:lang w:val="lv-LV"/>
              </w:rPr>
              <w:t xml:space="preserve"> ka </w:t>
            </w:r>
            <w:r w:rsidRPr="009F699F" w:rsidR="006B1293">
              <w:rPr>
                <w:lang w:val="lv-LV"/>
              </w:rPr>
              <w:t>grozījums likumprojekta 5. pantā ietvertajā 7.pantā par vārda “nelikumīgu” aizstāšanu ar vārdu “prettiesisku” un vārda “nelegālu” aizstāšanu ar vārdu “prettiesisku” stājas spēkā vienlaikus ar Administratīvās atbildības likumu.</w:t>
            </w:r>
          </w:p>
          <w:p w:rsidRPr="009F699F" w:rsidR="00DE333A" w:rsidP="00C04D5B" w:rsidRDefault="00DE333A" w14:paraId="0D282B8D" w14:textId="75A48CA9">
            <w:pPr>
              <w:pStyle w:val="ListParagraph"/>
              <w:shd w:val="clear" w:color="auto" w:fill="FFFFFF" w:themeFill="background1"/>
              <w:ind w:left="0"/>
              <w:jc w:val="both"/>
              <w:rPr>
                <w:shd w:val="clear" w:color="auto" w:fill="FFFFFF"/>
              </w:rPr>
            </w:pPr>
            <w:r w:rsidRPr="009F699F">
              <w:lastRenderedPageBreak/>
              <w:t xml:space="preserve">       Līdz likumprojekta “Grozījumi Aizsargāta pakalpojumu likumā” (Nr</w:t>
            </w:r>
            <w:r w:rsidRPr="009F699F" w:rsidR="006B4A4F">
              <w:t>.</w:t>
            </w:r>
            <w:r w:rsidRPr="009F699F">
              <w:t xml:space="preserve">: 118/Lp13) spēkā stāšanās brīdim, </w:t>
            </w:r>
            <w:r w:rsidRPr="009F699F" w:rsidR="004A25CB">
              <w:t xml:space="preserve">sods par </w:t>
            </w:r>
            <w:r w:rsidRPr="009F699F">
              <w:rPr>
                <w:shd w:val="clear" w:color="auto" w:fill="FFFFFF"/>
              </w:rPr>
              <w:t xml:space="preserve">ierobežotas piekļuves sistēmu </w:t>
            </w:r>
            <w:r w:rsidRPr="009F699F">
              <w:rPr>
                <w:u w:val="single"/>
                <w:shd w:val="clear" w:color="auto" w:fill="FFFFFF"/>
              </w:rPr>
              <w:t>nelikumīgu</w:t>
            </w:r>
            <w:r w:rsidRPr="009F699F">
              <w:rPr>
                <w:shd w:val="clear" w:color="auto" w:fill="FFFFFF"/>
              </w:rPr>
              <w:t xml:space="preserve"> ražošanu, importēšanu, izplatīšanu, iznomāšanu, pārdošanu vai cita veida atsavināšanu komerciāliem mērķiem, kā arī par </w:t>
            </w:r>
            <w:r w:rsidRPr="009F699F">
              <w:rPr>
                <w:u w:val="single"/>
                <w:shd w:val="clear" w:color="auto" w:fill="FFFFFF"/>
              </w:rPr>
              <w:t>nelegālu</w:t>
            </w:r>
            <w:r w:rsidRPr="009F699F">
              <w:rPr>
                <w:shd w:val="clear" w:color="auto" w:fill="FFFFFF"/>
              </w:rPr>
              <w:t xml:space="preserve"> ierobežotas piekļuves sistēmu uzstādīšanu, ierīkošanu, instalāciju vai izmantošanu komerciāliem mērķiem, </w:t>
            </w:r>
            <w:r w:rsidRPr="009F699F" w:rsidR="004A25CB">
              <w:rPr>
                <w:shd w:val="clear" w:color="auto" w:fill="FFFFFF"/>
              </w:rPr>
              <w:t>tiek piemērots saskaņā ar LAPK 204.</w:t>
            </w:r>
            <w:r w:rsidRPr="009F699F" w:rsidR="004A25CB">
              <w:rPr>
                <w:shd w:val="clear" w:color="auto" w:fill="FFFFFF"/>
                <w:vertAlign w:val="superscript"/>
              </w:rPr>
              <w:t>14</w:t>
            </w:r>
            <w:r w:rsidRPr="009F699F" w:rsidR="004A25CB">
              <w:rPr>
                <w:shd w:val="clear" w:color="auto" w:fill="FFFFFF"/>
                <w:vertAlign w:val="subscript"/>
              </w:rPr>
              <w:t xml:space="preserve"> </w:t>
            </w:r>
            <w:r w:rsidRPr="009F699F" w:rsidR="004A25CB">
              <w:rPr>
                <w:shd w:val="clear" w:color="auto" w:fill="FFFFFF"/>
              </w:rPr>
              <w:t>pantā noteikto.</w:t>
            </w:r>
            <w:r w:rsidRPr="009F699F" w:rsidR="004A25CB">
              <w:rPr>
                <w:shd w:val="clear" w:color="auto" w:fill="FFFFFF"/>
                <w:vertAlign w:val="subscript"/>
              </w:rPr>
              <w:t xml:space="preserve"> </w:t>
            </w:r>
            <w:r w:rsidRPr="009F699F">
              <w:rPr>
                <w:shd w:val="clear" w:color="auto" w:fill="FFFFFF"/>
              </w:rPr>
              <w:t xml:space="preserve">Minētajā pantā </w:t>
            </w:r>
            <w:r w:rsidRPr="009F699F" w:rsidR="006B4A4F">
              <w:rPr>
                <w:shd w:val="clear" w:color="auto" w:fill="FFFFFF"/>
              </w:rPr>
              <w:t>tiek</w:t>
            </w:r>
            <w:r w:rsidRPr="009F699F">
              <w:rPr>
                <w:shd w:val="clear" w:color="auto" w:fill="FFFFFF"/>
              </w:rPr>
              <w:t xml:space="preserve"> lietoti termini </w:t>
            </w:r>
            <w:r w:rsidRPr="009F699F">
              <w:rPr>
                <w:u w:val="single"/>
                <w:shd w:val="clear" w:color="auto" w:fill="FFFFFF"/>
              </w:rPr>
              <w:t>nelikumīgs</w:t>
            </w:r>
            <w:r w:rsidRPr="009F699F">
              <w:rPr>
                <w:shd w:val="clear" w:color="auto" w:fill="FFFFFF"/>
              </w:rPr>
              <w:t xml:space="preserve"> un </w:t>
            </w:r>
            <w:r w:rsidRPr="009F699F">
              <w:rPr>
                <w:u w:val="single"/>
                <w:shd w:val="clear" w:color="auto" w:fill="FFFFFF"/>
              </w:rPr>
              <w:t>nelegāls</w:t>
            </w:r>
            <w:r w:rsidRPr="009F699F">
              <w:rPr>
                <w:shd w:val="clear" w:color="auto" w:fill="FFFFFF"/>
              </w:rPr>
              <w:t>. Minētie termini atbilst</w:t>
            </w:r>
            <w:r w:rsidRPr="009F699F" w:rsidR="004A25CB">
              <w:rPr>
                <w:shd w:val="clear" w:color="auto" w:fill="FFFFFF"/>
              </w:rPr>
              <w:t xml:space="preserve"> </w:t>
            </w:r>
            <w:r w:rsidRPr="009F699F">
              <w:rPr>
                <w:shd w:val="clear" w:color="auto" w:fill="FFFFFF"/>
              </w:rPr>
              <w:t>terminam “</w:t>
            </w:r>
            <w:r w:rsidRPr="009F699F">
              <w:rPr>
                <w:u w:val="single"/>
                <w:shd w:val="clear" w:color="auto" w:fill="FFFFFF"/>
              </w:rPr>
              <w:t>prettiesisks</w:t>
            </w:r>
            <w:r w:rsidRPr="009F699F">
              <w:rPr>
                <w:shd w:val="clear" w:color="auto" w:fill="FFFFFF"/>
              </w:rPr>
              <w:t>”.</w:t>
            </w:r>
          </w:p>
          <w:p w:rsidRPr="004A25CB" w:rsidR="004A25CB" w:rsidP="00C04D5B" w:rsidRDefault="004A25CB" w14:paraId="02B4232C" w14:textId="77777777">
            <w:pPr>
              <w:pStyle w:val="ListParagraph"/>
              <w:shd w:val="clear" w:color="auto" w:fill="FFFFFF" w:themeFill="background1"/>
              <w:ind w:left="0"/>
              <w:jc w:val="both"/>
              <w:rPr>
                <w:highlight w:val="yellow"/>
                <w:shd w:val="clear" w:color="auto" w:fill="FFFFFF"/>
                <w:vertAlign w:val="subscript"/>
              </w:rPr>
            </w:pPr>
          </w:p>
          <w:p w:rsidRPr="006B1293" w:rsidR="00C04D5B" w:rsidP="00C04D5B" w:rsidRDefault="00C04D5B" w14:paraId="7F1C4C91" w14:textId="591B677C">
            <w:pPr>
              <w:pStyle w:val="ListParagraph"/>
              <w:shd w:val="clear" w:color="auto" w:fill="FFFFFF" w:themeFill="background1"/>
              <w:ind w:left="0"/>
              <w:jc w:val="both"/>
            </w:pPr>
            <w:r w:rsidRPr="006B1293">
              <w:rPr>
                <w:b/>
                <w:bCs/>
              </w:rPr>
              <w:t xml:space="preserve">Likumprojekta </w:t>
            </w:r>
            <w:r w:rsidRPr="006B1293" w:rsidR="00AA7388">
              <w:rPr>
                <w:b/>
                <w:bCs/>
              </w:rPr>
              <w:t>3</w:t>
            </w:r>
            <w:r w:rsidRPr="006B1293">
              <w:rPr>
                <w:b/>
                <w:bCs/>
              </w:rPr>
              <w:t>.pantā ietvert</w:t>
            </w:r>
            <w:r w:rsidRPr="006B1293" w:rsidR="00C0433F">
              <w:rPr>
                <w:b/>
                <w:bCs/>
              </w:rPr>
              <w:t>ā</w:t>
            </w:r>
            <w:r w:rsidRPr="006B1293">
              <w:rPr>
                <w:b/>
                <w:bCs/>
              </w:rPr>
              <w:t xml:space="preserve"> 2.pant</w:t>
            </w:r>
            <w:r w:rsidRPr="006B1293" w:rsidR="00C0433F">
              <w:rPr>
                <w:b/>
                <w:bCs/>
              </w:rPr>
              <w:t>a pirmā daļa</w:t>
            </w:r>
            <w:r w:rsidRPr="006B1293">
              <w:rPr>
                <w:b/>
                <w:bCs/>
              </w:rPr>
              <w:t>.</w:t>
            </w:r>
            <w:r w:rsidRPr="006B1293">
              <w:t xml:space="preserve"> </w:t>
            </w:r>
          </w:p>
          <w:p w:rsidRPr="006B1293" w:rsidR="00ED334A" w:rsidP="00F53814" w:rsidRDefault="00D9740D" w14:paraId="4C3A6A4C" w14:textId="0FD96861">
            <w:pPr>
              <w:pStyle w:val="ListParagraph"/>
              <w:shd w:val="clear" w:color="auto" w:fill="FFFFFF" w:themeFill="background1"/>
              <w:ind w:left="0"/>
              <w:jc w:val="both"/>
            </w:pPr>
            <w:r w:rsidRPr="006B1293">
              <w:t xml:space="preserve">      </w:t>
            </w:r>
            <w:r w:rsidRPr="006B1293" w:rsidR="00493C13">
              <w:t>Spēkā esoš</w:t>
            </w:r>
            <w:r w:rsidRPr="006B1293" w:rsidR="000D3D68">
              <w:t>ais</w:t>
            </w:r>
            <w:r w:rsidRPr="006B1293" w:rsidR="00493C13">
              <w:t xml:space="preserve"> </w:t>
            </w:r>
            <w:r w:rsidRPr="006B1293">
              <w:t xml:space="preserve">APL </w:t>
            </w:r>
            <w:r w:rsidRPr="006B1293" w:rsidR="00FF705A">
              <w:t xml:space="preserve">2.pants </w:t>
            </w:r>
            <w:r w:rsidRPr="006B1293">
              <w:t xml:space="preserve">paredz </w:t>
            </w:r>
            <w:r w:rsidRPr="006B1293" w:rsidR="00FF705A">
              <w:t>a</w:t>
            </w:r>
            <w:r w:rsidRPr="006B1293">
              <w:t>izsargāta pakalpojuma sniedzēja aizsardzību no neatļautas aizsargāta pakalpojuma izmantošanas komerciāliem mērķiem</w:t>
            </w:r>
            <w:r w:rsidRPr="006B1293" w:rsidR="000D3D68">
              <w:t>.</w:t>
            </w:r>
            <w:r w:rsidRPr="006B1293">
              <w:t xml:space="preserve"> </w:t>
            </w:r>
          </w:p>
          <w:p w:rsidRPr="006B1293" w:rsidR="00ED334A" w:rsidP="00ED334A" w:rsidRDefault="00ED334A" w14:paraId="0A33FE4C" w14:textId="15BCD71C">
            <w:pPr>
              <w:pStyle w:val="ListParagraph"/>
              <w:shd w:val="clear" w:color="auto" w:fill="FFFFFF" w:themeFill="background1"/>
              <w:ind w:left="0"/>
              <w:jc w:val="both"/>
            </w:pPr>
            <w:r w:rsidRPr="006B1293">
              <w:t xml:space="preserve">      </w:t>
            </w:r>
            <w:r w:rsidRPr="006B1293" w:rsidR="00493C13">
              <w:t xml:space="preserve">Līdz ar to </w:t>
            </w:r>
            <w:r w:rsidRPr="006B1293">
              <w:t xml:space="preserve">Valsts </w:t>
            </w:r>
            <w:r w:rsidRPr="006B1293" w:rsidR="00CF3604">
              <w:t>p</w:t>
            </w:r>
            <w:r w:rsidRPr="006B1293">
              <w:t xml:space="preserve">olicija (turpmāk - VP) piemēro APL normas attiecībā uz </w:t>
            </w:r>
            <w:r w:rsidRPr="006B1293" w:rsidR="00F127B0">
              <w:t xml:space="preserve">prettiesisku </w:t>
            </w:r>
            <w:r w:rsidRPr="006B1293">
              <w:t>sistēmu izmantošanu publiskās vietās - bāros, restorānos, kafejnīcās, sporta klubos u</w:t>
            </w:r>
            <w:r w:rsidRPr="006B1293" w:rsidR="00CF3604">
              <w:t>.</w:t>
            </w:r>
            <w:r w:rsidRPr="006B1293">
              <w:t>tml., piemērojot administratīvo sodu saskaņā ar L</w:t>
            </w:r>
            <w:r w:rsidRPr="006B1293" w:rsidR="00A72B4D">
              <w:t xml:space="preserve">atvijas </w:t>
            </w:r>
            <w:r w:rsidRPr="006B1293">
              <w:t>A</w:t>
            </w:r>
            <w:r w:rsidRPr="006B1293" w:rsidR="00A72B4D">
              <w:t xml:space="preserve">dministratīvo pārkāpumu kodeksa </w:t>
            </w:r>
            <w:r w:rsidRPr="006B1293">
              <w:t>204.</w:t>
            </w:r>
            <w:r w:rsidRPr="006B1293">
              <w:rPr>
                <w:vertAlign w:val="superscript"/>
              </w:rPr>
              <w:t>14</w:t>
            </w:r>
            <w:r w:rsidRPr="006B1293">
              <w:t xml:space="preserve"> pantu. </w:t>
            </w:r>
          </w:p>
          <w:p w:rsidRPr="006B1293" w:rsidR="005E08A9" w:rsidP="009F5577" w:rsidRDefault="00E46344" w14:paraId="1136B31F" w14:textId="089515A2">
            <w:pPr>
              <w:autoSpaceDE w:val="0"/>
              <w:autoSpaceDN w:val="0"/>
              <w:adjustRightInd w:val="0"/>
              <w:jc w:val="both"/>
              <w:rPr>
                <w:rFonts w:ascii="Times New Roman" w:hAnsi="Times New Roman" w:cs="Times New Roman"/>
                <w:sz w:val="24"/>
                <w:szCs w:val="24"/>
              </w:rPr>
            </w:pPr>
            <w:r w:rsidRPr="006B1293">
              <w:rPr>
                <w:rFonts w:ascii="Times New Roman" w:hAnsi="Times New Roman" w:cs="Times New Roman"/>
              </w:rPr>
              <w:t xml:space="preserve">       </w:t>
            </w:r>
            <w:r w:rsidRPr="006B1293" w:rsidR="00C76CD7">
              <w:rPr>
                <w:rFonts w:ascii="Times New Roman" w:hAnsi="Times New Roman" w:cs="Times New Roman"/>
                <w:sz w:val="24"/>
                <w:szCs w:val="24"/>
              </w:rPr>
              <w:t xml:space="preserve">Biedrība ir informējusi Satiksmes ministriju par </w:t>
            </w:r>
            <w:r w:rsidRPr="006B1293" w:rsidR="007D1D8C">
              <w:rPr>
                <w:rFonts w:ascii="Times New Roman" w:hAnsi="Times New Roman" w:cs="Times New Roman"/>
                <w:sz w:val="24"/>
                <w:szCs w:val="24"/>
              </w:rPr>
              <w:t xml:space="preserve">2018. gadā </w:t>
            </w:r>
            <w:r w:rsidRPr="006B1293" w:rsidR="00C76CD7">
              <w:rPr>
                <w:rFonts w:ascii="Times New Roman" w:hAnsi="Times New Roman" w:cs="Times New Roman"/>
                <w:sz w:val="24"/>
                <w:szCs w:val="24"/>
              </w:rPr>
              <w:t xml:space="preserve">veikto izpēti par </w:t>
            </w:r>
            <w:r w:rsidRPr="006B1293" w:rsidR="00F127B0">
              <w:rPr>
                <w:rFonts w:ascii="Times New Roman" w:hAnsi="Times New Roman" w:cs="Times New Roman"/>
              </w:rPr>
              <w:t xml:space="preserve">prettiesisku </w:t>
            </w:r>
            <w:r w:rsidRPr="006B1293" w:rsidR="00C76CD7">
              <w:rPr>
                <w:rFonts w:ascii="Times New Roman" w:hAnsi="Times New Roman" w:cs="Times New Roman"/>
                <w:sz w:val="24"/>
                <w:szCs w:val="24"/>
              </w:rPr>
              <w:t xml:space="preserve">sistēmu izmantošanu privātiem mērķiem. </w:t>
            </w:r>
            <w:r w:rsidRPr="006B1293" w:rsidR="00966A19">
              <w:rPr>
                <w:rFonts w:ascii="Times New Roman" w:hAnsi="Times New Roman" w:cs="Times New Roman"/>
                <w:sz w:val="24"/>
                <w:szCs w:val="24"/>
              </w:rPr>
              <w:t>S</w:t>
            </w:r>
            <w:r w:rsidRPr="006B1293" w:rsidR="00C76CD7">
              <w:rPr>
                <w:rFonts w:ascii="Times New Roman" w:hAnsi="Times New Roman" w:cs="Times New Roman"/>
                <w:sz w:val="24"/>
                <w:szCs w:val="24"/>
              </w:rPr>
              <w:t>askaņā ar Arņa Sauka</w:t>
            </w:r>
            <w:r w:rsidRPr="006B1293" w:rsidR="00427F37">
              <w:rPr>
                <w:rFonts w:ascii="Times New Roman" w:hAnsi="Times New Roman" w:cs="Times New Roman"/>
                <w:sz w:val="24"/>
                <w:szCs w:val="24"/>
              </w:rPr>
              <w:t>s</w:t>
            </w:r>
            <w:r w:rsidRPr="006B1293" w:rsidR="00C76CD7">
              <w:rPr>
                <w:rFonts w:ascii="Times New Roman" w:hAnsi="Times New Roman" w:cs="Times New Roman"/>
                <w:sz w:val="24"/>
                <w:szCs w:val="24"/>
              </w:rPr>
              <w:t xml:space="preserve"> pētījumu</w:t>
            </w:r>
            <w:r w:rsidRPr="006B1293">
              <w:rPr>
                <w:rStyle w:val="FootnoteReference"/>
                <w:rFonts w:ascii="Times New Roman" w:hAnsi="Times New Roman" w:cs="Times New Roman"/>
                <w:sz w:val="24"/>
                <w:szCs w:val="24"/>
              </w:rPr>
              <w:footnoteReference w:id="3"/>
            </w:r>
            <w:r w:rsidRPr="006B1293" w:rsidR="00C76CD7">
              <w:rPr>
                <w:rFonts w:ascii="Times New Roman" w:hAnsi="Times New Roman" w:cs="Times New Roman"/>
                <w:sz w:val="24"/>
                <w:szCs w:val="24"/>
              </w:rPr>
              <w:t xml:space="preserve">, </w:t>
            </w:r>
            <w:r w:rsidRPr="006B1293">
              <w:rPr>
                <w:rFonts w:ascii="Times New Roman" w:hAnsi="Times New Roman" w:cs="Times New Roman"/>
                <w:sz w:val="24"/>
                <w:szCs w:val="24"/>
              </w:rPr>
              <w:t xml:space="preserve">Latvijā </w:t>
            </w:r>
            <w:r w:rsidRPr="006B1293" w:rsidR="007C4A8D">
              <w:rPr>
                <w:rFonts w:ascii="Times New Roman" w:hAnsi="Times New Roman" w:cs="Times New Roman"/>
                <w:sz w:val="24"/>
                <w:szCs w:val="24"/>
              </w:rPr>
              <w:t>201</w:t>
            </w:r>
            <w:r w:rsidRPr="006B1293" w:rsidR="004A735F">
              <w:rPr>
                <w:rFonts w:ascii="Times New Roman" w:hAnsi="Times New Roman" w:cs="Times New Roman"/>
                <w:sz w:val="24"/>
                <w:szCs w:val="24"/>
              </w:rPr>
              <w:t>8</w:t>
            </w:r>
            <w:r w:rsidRPr="006B1293" w:rsidR="007C4A8D">
              <w:rPr>
                <w:rFonts w:ascii="Times New Roman" w:hAnsi="Times New Roman" w:cs="Times New Roman"/>
                <w:sz w:val="24"/>
                <w:szCs w:val="24"/>
              </w:rPr>
              <w:t xml:space="preserve">. gadā bija </w:t>
            </w:r>
            <w:r w:rsidRPr="006B1293" w:rsidR="005E08A9">
              <w:rPr>
                <w:rFonts w:ascii="Times New Roman" w:hAnsi="Times New Roman" w:cs="Times New Roman"/>
                <w:sz w:val="24"/>
                <w:szCs w:val="24"/>
              </w:rPr>
              <w:t xml:space="preserve">apmēram </w:t>
            </w:r>
            <w:r w:rsidRPr="006B1293" w:rsidR="004A735F">
              <w:rPr>
                <w:rFonts w:ascii="Times New Roman" w:hAnsi="Times New Roman" w:cs="Times New Roman"/>
                <w:sz w:val="24"/>
                <w:szCs w:val="24"/>
              </w:rPr>
              <w:t xml:space="preserve">712 878 </w:t>
            </w:r>
            <w:r w:rsidRPr="006B1293">
              <w:rPr>
                <w:rFonts w:ascii="Times New Roman" w:hAnsi="Times New Roman" w:cs="Times New Roman"/>
                <w:sz w:val="24"/>
                <w:szCs w:val="24"/>
              </w:rPr>
              <w:t xml:space="preserve">mājsaimniecību, </w:t>
            </w:r>
            <w:r w:rsidRPr="006B1293" w:rsidR="002C322B">
              <w:rPr>
                <w:rFonts w:ascii="Times New Roman" w:hAnsi="Times New Roman" w:cs="Times New Roman"/>
                <w:sz w:val="24"/>
                <w:szCs w:val="24"/>
              </w:rPr>
              <w:t>kuras izmanto maksas TV pakalpojumus (</w:t>
            </w:r>
            <w:r w:rsidRPr="006B1293" w:rsidR="00493C13">
              <w:rPr>
                <w:rFonts w:ascii="Times New Roman" w:hAnsi="Times New Roman" w:cs="Times New Roman"/>
                <w:sz w:val="24"/>
                <w:szCs w:val="24"/>
              </w:rPr>
              <w:t xml:space="preserve">kopā </w:t>
            </w:r>
            <w:r w:rsidRPr="006B1293" w:rsidR="002C322B">
              <w:rPr>
                <w:rFonts w:ascii="Times New Roman" w:hAnsi="Times New Roman" w:cs="Times New Roman"/>
                <w:sz w:val="24"/>
                <w:szCs w:val="24"/>
              </w:rPr>
              <w:t>legāli vai nelegāli)</w:t>
            </w:r>
            <w:r w:rsidRPr="006B1293" w:rsidR="00493C13">
              <w:rPr>
                <w:rFonts w:ascii="Times New Roman" w:hAnsi="Times New Roman" w:cs="Times New Roman"/>
                <w:sz w:val="24"/>
                <w:szCs w:val="24"/>
              </w:rPr>
              <w:t>, no</w:t>
            </w:r>
            <w:r w:rsidRPr="006B1293" w:rsidR="000D3D68">
              <w:rPr>
                <w:rFonts w:ascii="Times New Roman" w:hAnsi="Times New Roman" w:cs="Times New Roman"/>
                <w:sz w:val="24"/>
                <w:szCs w:val="24"/>
              </w:rPr>
              <w:t xml:space="preserve"> </w:t>
            </w:r>
            <w:r w:rsidRPr="006B1293" w:rsidR="00493C13">
              <w:rPr>
                <w:rFonts w:ascii="Times New Roman" w:hAnsi="Times New Roman" w:cs="Times New Roman"/>
                <w:sz w:val="24"/>
                <w:szCs w:val="24"/>
              </w:rPr>
              <w:t>tām</w:t>
            </w:r>
            <w:r w:rsidRPr="006B1293" w:rsidR="000D3D68">
              <w:rPr>
                <w:rFonts w:ascii="Times New Roman" w:hAnsi="Times New Roman" w:cs="Times New Roman"/>
                <w:sz w:val="24"/>
                <w:szCs w:val="24"/>
              </w:rPr>
              <w:t xml:space="preserve"> </w:t>
            </w:r>
            <w:r w:rsidRPr="006B1293" w:rsidR="007D1D8C">
              <w:rPr>
                <w:rFonts w:ascii="Times New Roman" w:hAnsi="Times New Roman" w:cs="Times New Roman"/>
                <w:sz w:val="24"/>
                <w:szCs w:val="24"/>
              </w:rPr>
              <w:t>201</w:t>
            </w:r>
            <w:r w:rsidRPr="006B1293" w:rsidR="004A735F">
              <w:rPr>
                <w:rFonts w:ascii="Times New Roman" w:hAnsi="Times New Roman" w:cs="Times New Roman"/>
                <w:sz w:val="24"/>
                <w:szCs w:val="24"/>
              </w:rPr>
              <w:t>8</w:t>
            </w:r>
            <w:r w:rsidRPr="006B1293" w:rsidR="007D1D8C">
              <w:rPr>
                <w:rFonts w:ascii="Times New Roman" w:hAnsi="Times New Roman" w:cs="Times New Roman"/>
                <w:sz w:val="24"/>
                <w:szCs w:val="24"/>
              </w:rPr>
              <w:t xml:space="preserve">.gadā </w:t>
            </w:r>
            <w:r w:rsidRPr="006B1293" w:rsidR="005E08A9">
              <w:rPr>
                <w:rFonts w:ascii="Times New Roman" w:hAnsi="Times New Roman" w:cs="Times New Roman"/>
                <w:sz w:val="24"/>
                <w:szCs w:val="24"/>
              </w:rPr>
              <w:t xml:space="preserve">apmēram </w:t>
            </w:r>
            <w:r w:rsidRPr="006B1293" w:rsidR="004A735F">
              <w:rPr>
                <w:rFonts w:ascii="Times New Roman" w:hAnsi="Times New Roman" w:cs="Times New Roman"/>
                <w:sz w:val="24"/>
                <w:szCs w:val="24"/>
              </w:rPr>
              <w:t>62 000</w:t>
            </w:r>
            <w:r w:rsidRPr="006B1293" w:rsidR="004A735F">
              <w:rPr>
                <w:rFonts w:ascii="Times New Roman" w:hAnsi="Times New Roman" w:cs="Times New Roman"/>
                <w:b/>
                <w:bCs/>
                <w:sz w:val="24"/>
                <w:szCs w:val="24"/>
              </w:rPr>
              <w:t xml:space="preserve"> </w:t>
            </w:r>
            <w:r w:rsidRPr="006B1293" w:rsidR="007D1D8C">
              <w:rPr>
                <w:rFonts w:ascii="Times New Roman" w:hAnsi="Times New Roman" w:cs="Times New Roman"/>
                <w:sz w:val="24"/>
                <w:szCs w:val="24"/>
              </w:rPr>
              <w:t>mājsaimniecību</w:t>
            </w:r>
            <w:r w:rsidRPr="006B1293" w:rsidR="007D1D8C">
              <w:rPr>
                <w:rFonts w:ascii="Times New Roman" w:hAnsi="Times New Roman" w:cs="Times New Roman"/>
                <w:b/>
                <w:bCs/>
                <w:sz w:val="24"/>
                <w:szCs w:val="24"/>
              </w:rPr>
              <w:t xml:space="preserve"> </w:t>
            </w:r>
            <w:r w:rsidRPr="006B1293">
              <w:rPr>
                <w:rFonts w:ascii="Times New Roman" w:hAnsi="Times New Roman" w:cs="Times New Roman"/>
                <w:sz w:val="24"/>
                <w:szCs w:val="24"/>
              </w:rPr>
              <w:t>izmanto</w:t>
            </w:r>
            <w:r w:rsidRPr="006B1293" w:rsidR="007D1D8C">
              <w:rPr>
                <w:rFonts w:ascii="Times New Roman" w:hAnsi="Times New Roman" w:cs="Times New Roman"/>
                <w:sz w:val="24"/>
                <w:szCs w:val="24"/>
              </w:rPr>
              <w:t>ja</w:t>
            </w:r>
            <w:r w:rsidRPr="006B1293">
              <w:rPr>
                <w:rFonts w:ascii="Times New Roman" w:hAnsi="Times New Roman" w:cs="Times New Roman"/>
                <w:sz w:val="24"/>
                <w:szCs w:val="24"/>
              </w:rPr>
              <w:t xml:space="preserve"> nelegālo </w:t>
            </w:r>
            <w:r w:rsidRPr="006B1293" w:rsidR="007C4A8D">
              <w:rPr>
                <w:rFonts w:ascii="Times New Roman" w:hAnsi="Times New Roman" w:cs="Times New Roman"/>
                <w:sz w:val="24"/>
                <w:szCs w:val="24"/>
              </w:rPr>
              <w:t>TV apraides nodrošinātāju pakalpojumus</w:t>
            </w:r>
            <w:r w:rsidRPr="006B1293">
              <w:rPr>
                <w:rFonts w:ascii="Times New Roman" w:hAnsi="Times New Roman" w:cs="Times New Roman"/>
                <w:sz w:val="24"/>
                <w:szCs w:val="24"/>
              </w:rPr>
              <w:t>.</w:t>
            </w:r>
            <w:r w:rsidRPr="006B1293" w:rsidR="007D1D8C">
              <w:rPr>
                <w:rFonts w:ascii="Times New Roman" w:hAnsi="Times New Roman" w:cs="Times New Roman"/>
                <w:sz w:val="24"/>
                <w:szCs w:val="24"/>
              </w:rPr>
              <w:t xml:space="preserve"> </w:t>
            </w:r>
            <w:r w:rsidRPr="006B1293" w:rsidR="002C322B">
              <w:rPr>
                <w:rFonts w:ascii="Times New Roman" w:hAnsi="Times New Roman" w:cs="Times New Roman"/>
                <w:sz w:val="24"/>
                <w:szCs w:val="24"/>
              </w:rPr>
              <w:t>Tādējādi</w:t>
            </w:r>
            <w:r w:rsidRPr="006B1293" w:rsidR="005E08A9">
              <w:rPr>
                <w:rFonts w:ascii="Times New Roman" w:hAnsi="Times New Roman" w:cs="Times New Roman"/>
                <w:sz w:val="24"/>
                <w:szCs w:val="24"/>
              </w:rPr>
              <w:t xml:space="preserve"> apmēram</w:t>
            </w:r>
            <w:r w:rsidRPr="006B1293" w:rsidR="00CF3604">
              <w:rPr>
                <w:rFonts w:ascii="Times New Roman" w:hAnsi="Times New Roman" w:cs="Times New Roman"/>
                <w:sz w:val="24"/>
                <w:szCs w:val="24"/>
              </w:rPr>
              <w:t xml:space="preserve"> </w:t>
            </w:r>
            <w:r w:rsidRPr="006B1293" w:rsidR="004A735F">
              <w:rPr>
                <w:rFonts w:ascii="Times New Roman" w:hAnsi="Times New Roman" w:cs="Times New Roman"/>
                <w:sz w:val="24"/>
                <w:szCs w:val="24"/>
              </w:rPr>
              <w:t xml:space="preserve">8,7 </w:t>
            </w:r>
            <w:r w:rsidRPr="006B1293" w:rsidR="002C322B">
              <w:rPr>
                <w:rFonts w:ascii="Times New Roman" w:hAnsi="Times New Roman" w:cs="Times New Roman"/>
                <w:sz w:val="24"/>
                <w:szCs w:val="24"/>
              </w:rPr>
              <w:t>% no visām mājsaimniecībām, kas lieto maksas TV pakalpojumu</w:t>
            </w:r>
            <w:r w:rsidRPr="006B1293" w:rsidR="007D1D8C">
              <w:rPr>
                <w:rFonts w:ascii="Times New Roman" w:hAnsi="Times New Roman" w:cs="Times New Roman"/>
                <w:sz w:val="24"/>
                <w:szCs w:val="24"/>
              </w:rPr>
              <w:t>s, 201</w:t>
            </w:r>
            <w:r w:rsidRPr="006B1293" w:rsidR="004A735F">
              <w:rPr>
                <w:rFonts w:ascii="Times New Roman" w:hAnsi="Times New Roman" w:cs="Times New Roman"/>
                <w:sz w:val="24"/>
                <w:szCs w:val="24"/>
              </w:rPr>
              <w:t>8</w:t>
            </w:r>
            <w:r w:rsidRPr="006B1293" w:rsidR="007D1D8C">
              <w:rPr>
                <w:rFonts w:ascii="Times New Roman" w:hAnsi="Times New Roman" w:cs="Times New Roman"/>
                <w:sz w:val="24"/>
                <w:szCs w:val="24"/>
              </w:rPr>
              <w:t xml:space="preserve">.gadā izmantoja nelegālo TV apraides nodrošinātāju pakalpojumus.  </w:t>
            </w:r>
            <w:r w:rsidRPr="006B1293" w:rsidR="00493C13">
              <w:rPr>
                <w:rFonts w:ascii="Times New Roman" w:hAnsi="Times New Roman" w:cs="Times New Roman"/>
                <w:sz w:val="24"/>
                <w:szCs w:val="24"/>
              </w:rPr>
              <w:t xml:space="preserve">Papildus skaidrojumam norādām, ka ar privātiem mērķiem saprotama prettiesiska sistēmas izmantošana fiziskas personas vajadzībām, </w:t>
            </w:r>
            <w:r w:rsidR="0075190B">
              <w:rPr>
                <w:rFonts w:ascii="Times New Roman" w:hAnsi="Times New Roman" w:cs="Times New Roman"/>
                <w:sz w:val="24"/>
                <w:szCs w:val="24"/>
              </w:rPr>
              <w:t>tostarp</w:t>
            </w:r>
            <w:r w:rsidRPr="006B1293" w:rsidR="00493C13">
              <w:rPr>
                <w:rFonts w:ascii="Times New Roman" w:hAnsi="Times New Roman" w:cs="Times New Roman"/>
                <w:sz w:val="24"/>
                <w:szCs w:val="24"/>
              </w:rPr>
              <w:t xml:space="preserve"> mājsaimniecības vajadzībām, bez mērķa gūt peļņu. Ar komerciāliem mērķiem – saprotama prettiesiskas sistēmas izmantošana ar mērķi gūt ieņēmumus, tai skaitā peļņu</w:t>
            </w:r>
            <w:r w:rsidRPr="006B1293" w:rsidR="00530CDD">
              <w:rPr>
                <w:rFonts w:ascii="Times New Roman" w:hAnsi="Times New Roman" w:cs="Times New Roman"/>
                <w:sz w:val="24"/>
                <w:szCs w:val="24"/>
              </w:rPr>
              <w:t>.</w:t>
            </w:r>
          </w:p>
          <w:p w:rsidRPr="006B1293" w:rsidR="00ED334A" w:rsidP="00ED334A" w:rsidRDefault="00ED334A" w14:paraId="28DE9E02" w14:textId="65DCEAEC">
            <w:pPr>
              <w:shd w:val="clear" w:color="auto" w:fill="FFFFFF" w:themeFill="background1"/>
              <w:jc w:val="both"/>
              <w:rPr>
                <w:rFonts w:ascii="Times New Roman" w:hAnsi="Times New Roman" w:cs="Times New Roman"/>
                <w:sz w:val="24"/>
                <w:szCs w:val="24"/>
              </w:rPr>
            </w:pPr>
            <w:r w:rsidRPr="006B1293">
              <w:rPr>
                <w:rFonts w:ascii="Times New Roman" w:hAnsi="Times New Roman" w:cs="Times New Roman"/>
                <w:sz w:val="24"/>
                <w:szCs w:val="24"/>
              </w:rPr>
              <w:t xml:space="preserve">       Lai mazinātu </w:t>
            </w:r>
            <w:r w:rsidRPr="006B1293" w:rsidR="00F127B0">
              <w:rPr>
                <w:rFonts w:ascii="Times New Roman" w:hAnsi="Times New Roman" w:cs="Times New Roman"/>
                <w:sz w:val="24"/>
                <w:szCs w:val="24"/>
              </w:rPr>
              <w:t>prettiesisku</w:t>
            </w:r>
            <w:r w:rsidRPr="006B1293" w:rsidR="005A350B">
              <w:rPr>
                <w:rFonts w:ascii="Times New Roman" w:hAnsi="Times New Roman" w:cs="Times New Roman"/>
                <w:sz w:val="24"/>
                <w:szCs w:val="24"/>
              </w:rPr>
              <w:t xml:space="preserve"> </w:t>
            </w:r>
            <w:r w:rsidRPr="006B1293">
              <w:rPr>
                <w:rFonts w:ascii="Times New Roman" w:hAnsi="Times New Roman" w:cs="Times New Roman"/>
                <w:sz w:val="24"/>
                <w:szCs w:val="24"/>
              </w:rPr>
              <w:t xml:space="preserve">sistēmu izmantošanu privātām vajadzībām,  likumprojekta </w:t>
            </w:r>
            <w:r w:rsidRPr="006B1293" w:rsidR="00AA7388">
              <w:rPr>
                <w:rFonts w:ascii="Times New Roman" w:hAnsi="Times New Roman" w:cs="Times New Roman"/>
                <w:sz w:val="24"/>
                <w:szCs w:val="24"/>
              </w:rPr>
              <w:t>3</w:t>
            </w:r>
            <w:r w:rsidRPr="006B1293">
              <w:rPr>
                <w:rFonts w:ascii="Times New Roman" w:hAnsi="Times New Roman" w:cs="Times New Roman"/>
                <w:sz w:val="24"/>
                <w:szCs w:val="24"/>
              </w:rPr>
              <w:t>.pantā paredzēti grozījumi APL 2.panta pirmajā daļā, nosakot, ka APL mērķis ir nodrošināt aizsargāta pakalpojuma sniedzēja aizsardzību no neatļautas aizsargāta pakalpojuma izmantošanas arī privātiem mērķiem</w:t>
            </w:r>
            <w:r w:rsidRPr="006B1293" w:rsidR="00493C13">
              <w:rPr>
                <w:rFonts w:ascii="Times New Roman" w:hAnsi="Times New Roman" w:cs="Times New Roman"/>
                <w:sz w:val="24"/>
                <w:szCs w:val="24"/>
              </w:rPr>
              <w:t>.</w:t>
            </w:r>
            <w:r w:rsidRPr="006B1293">
              <w:rPr>
                <w:rFonts w:ascii="Times New Roman" w:hAnsi="Times New Roman" w:cs="Times New Roman"/>
                <w:sz w:val="24"/>
                <w:szCs w:val="24"/>
              </w:rPr>
              <w:t xml:space="preserve"> </w:t>
            </w:r>
            <w:r w:rsidRPr="006B1293" w:rsidR="00493C13">
              <w:rPr>
                <w:rFonts w:ascii="Times New Roman" w:hAnsi="Times New Roman" w:cs="Times New Roman"/>
                <w:sz w:val="24"/>
                <w:szCs w:val="24"/>
              </w:rPr>
              <w:t xml:space="preserve">Vienlaikus likumprojekts paredz papildināt APL 2.panta pirmo daļu ar tiesiska pakalpojuma pazīmēm neatbilstoša (prettiesiska) pakalpojuma izmantošanas aizliegumu. </w:t>
            </w:r>
          </w:p>
          <w:p w:rsidRPr="006B1293" w:rsidR="009542CF" w:rsidP="009542CF" w:rsidRDefault="009542CF" w14:paraId="1C7DCE56" w14:textId="73F7B1E2">
            <w:pPr>
              <w:pStyle w:val="ListParagraph"/>
              <w:shd w:val="clear" w:color="auto" w:fill="FFFFFF" w:themeFill="background1"/>
              <w:ind w:left="0"/>
              <w:jc w:val="both"/>
            </w:pPr>
            <w:r w:rsidRPr="006B1293">
              <w:rPr>
                <w:b/>
                <w:bCs/>
              </w:rPr>
              <w:t xml:space="preserve">Likumprojekta </w:t>
            </w:r>
            <w:r w:rsidRPr="006B1293" w:rsidR="00AA7388">
              <w:rPr>
                <w:b/>
                <w:bCs/>
              </w:rPr>
              <w:t>4</w:t>
            </w:r>
            <w:r w:rsidRPr="006B1293">
              <w:rPr>
                <w:b/>
                <w:bCs/>
              </w:rPr>
              <w:t>.pantā ietvertais  3.pants.</w:t>
            </w:r>
            <w:r w:rsidRPr="006B1293">
              <w:t xml:space="preserve"> </w:t>
            </w:r>
          </w:p>
          <w:p w:rsidRPr="006B1293" w:rsidR="00784B11" w:rsidP="00784B11" w:rsidRDefault="00ED334A" w14:paraId="1D7EFCCC" w14:textId="5F658EF0">
            <w:pPr>
              <w:pStyle w:val="tv213"/>
              <w:spacing w:before="0" w:beforeAutospacing="0" w:after="0" w:afterAutospacing="0"/>
              <w:jc w:val="both"/>
              <w:rPr>
                <w:lang w:val="lv-LV"/>
              </w:rPr>
            </w:pPr>
            <w:r w:rsidRPr="006B1293">
              <w:rPr>
                <w:lang w:val="lv-LV"/>
              </w:rPr>
              <w:t xml:space="preserve">       </w:t>
            </w:r>
            <w:r w:rsidRPr="006B1293" w:rsidR="000D3D68">
              <w:rPr>
                <w:lang w:val="lv-LV"/>
              </w:rPr>
              <w:t>L</w:t>
            </w:r>
            <w:r w:rsidRPr="006B1293">
              <w:rPr>
                <w:lang w:val="lv-LV"/>
              </w:rPr>
              <w:t xml:space="preserve">ikumprojekta </w:t>
            </w:r>
            <w:r w:rsidRPr="006B1293" w:rsidR="00AA7388">
              <w:rPr>
                <w:lang w:val="lv-LV"/>
              </w:rPr>
              <w:t>4</w:t>
            </w:r>
            <w:r w:rsidRPr="006B1293">
              <w:rPr>
                <w:lang w:val="lv-LV"/>
              </w:rPr>
              <w:t>.pant</w:t>
            </w:r>
            <w:r w:rsidRPr="006B1293" w:rsidR="00784B11">
              <w:rPr>
                <w:lang w:val="lv-LV"/>
              </w:rPr>
              <w:t>s paredz</w:t>
            </w:r>
            <w:r w:rsidRPr="006B1293">
              <w:rPr>
                <w:lang w:val="lv-LV"/>
              </w:rPr>
              <w:t xml:space="preserve"> </w:t>
            </w:r>
            <w:r w:rsidRPr="006B1293" w:rsidR="00784B11">
              <w:rPr>
                <w:lang w:val="lv-LV"/>
              </w:rPr>
              <w:t xml:space="preserve"> izteikt</w:t>
            </w:r>
            <w:r w:rsidRPr="006B1293">
              <w:rPr>
                <w:lang w:val="lv-LV"/>
              </w:rPr>
              <w:t xml:space="preserve"> APL 3.pant</w:t>
            </w:r>
            <w:r w:rsidRPr="006B1293" w:rsidR="00784B11">
              <w:rPr>
                <w:lang w:val="lv-LV"/>
              </w:rPr>
              <w:t xml:space="preserve">u jaunā redakcijā, ņemot vērā Tieslietu ministrijas iepriekšminēto par sinonīmu lietošanu, proti, vārdi </w:t>
            </w:r>
            <w:r w:rsidRPr="006B1293">
              <w:rPr>
                <w:lang w:val="lv-LV"/>
              </w:rPr>
              <w:t xml:space="preserve"> </w:t>
            </w:r>
            <w:r w:rsidRPr="006B1293" w:rsidR="00784B11">
              <w:rPr>
                <w:lang w:val="lv-LV"/>
              </w:rPr>
              <w:t>“nelikumīgs” un “nelegāls” aizstāti ar vārdu “prettiesisks”</w:t>
            </w:r>
            <w:r w:rsidRPr="006B1293" w:rsidR="00C96EEF">
              <w:rPr>
                <w:lang w:val="lv-LV"/>
              </w:rPr>
              <w:t xml:space="preserve"> (1.,2.,4. un 5.punkts)</w:t>
            </w:r>
            <w:r w:rsidRPr="006B1293" w:rsidR="00784B11">
              <w:rPr>
                <w:lang w:val="lv-LV"/>
              </w:rPr>
              <w:t xml:space="preserve">, kā arī papildinot ar aizliegumu veikt šajā pantā minētās darbības privātiem mērķiem </w:t>
            </w:r>
            <w:r w:rsidRPr="006B1293" w:rsidR="00C96EEF">
              <w:rPr>
                <w:lang w:val="lv-LV"/>
              </w:rPr>
              <w:t xml:space="preserve">(1., 2. un 4.punkts) </w:t>
            </w:r>
            <w:r w:rsidRPr="006B1293" w:rsidR="00784B11">
              <w:rPr>
                <w:lang w:val="lv-LV"/>
              </w:rPr>
              <w:t xml:space="preserve">un ar aizliegumu izmantot </w:t>
            </w:r>
            <w:r w:rsidRPr="006B1293" w:rsidR="00784B11">
              <w:rPr>
                <w:rFonts w:eastAsiaTheme="minorHAnsi"/>
                <w:lang w:val="lv-LV"/>
              </w:rPr>
              <w:t xml:space="preserve">tādas ierobežotas </w:t>
            </w:r>
            <w:r w:rsidRPr="006B1293" w:rsidR="00784B11">
              <w:rPr>
                <w:rFonts w:eastAsiaTheme="minorHAnsi"/>
                <w:lang w:val="lv-LV"/>
              </w:rPr>
              <w:lastRenderedPageBreak/>
              <w:t>piekļuves sistēmas, kas nodrošina piekļuvi tiesiska pakalpojuma pazīmēm neatbilstošam (prettiesiskam) pakalpojumam</w:t>
            </w:r>
            <w:r w:rsidRPr="006B1293" w:rsidR="00C96EEF">
              <w:rPr>
                <w:rFonts w:eastAsiaTheme="minorHAnsi"/>
                <w:lang w:val="lv-LV"/>
              </w:rPr>
              <w:t xml:space="preserve"> (3.punkts)</w:t>
            </w:r>
            <w:r w:rsidRPr="006B1293" w:rsidR="00784B11">
              <w:rPr>
                <w:lang w:val="lv-LV"/>
              </w:rPr>
              <w:t>.</w:t>
            </w:r>
          </w:p>
          <w:p w:rsidRPr="006B1293" w:rsidR="00ED334A" w:rsidP="00ED334A" w:rsidRDefault="00784B11" w14:paraId="35736E8E" w14:textId="09EDB834">
            <w:pPr>
              <w:shd w:val="clear" w:color="auto" w:fill="FFFFFF" w:themeFill="background1"/>
              <w:jc w:val="both"/>
              <w:rPr>
                <w:rFonts w:ascii="Times New Roman" w:hAnsi="Times New Roman" w:cs="Times New Roman"/>
                <w:sz w:val="24"/>
                <w:szCs w:val="24"/>
              </w:rPr>
            </w:pPr>
            <w:r w:rsidRPr="006B1293">
              <w:rPr>
                <w:rFonts w:ascii="Times New Roman" w:hAnsi="Times New Roman" w:cs="Times New Roman"/>
                <w:sz w:val="24"/>
                <w:szCs w:val="24"/>
              </w:rPr>
              <w:t xml:space="preserve"> Likumprojekta 4.panta </w:t>
            </w:r>
            <w:r w:rsidRPr="006B1293" w:rsidR="00C96EEF">
              <w:rPr>
                <w:rFonts w:ascii="Times New Roman" w:hAnsi="Times New Roman" w:cs="Times New Roman"/>
                <w:sz w:val="24"/>
                <w:szCs w:val="24"/>
              </w:rPr>
              <w:t>3.punktā noteiktais regulējums</w:t>
            </w:r>
            <w:r w:rsidRPr="006B1293">
              <w:rPr>
                <w:rFonts w:ascii="Times New Roman" w:hAnsi="Times New Roman" w:cs="Times New Roman"/>
                <w:sz w:val="24"/>
                <w:szCs w:val="24"/>
              </w:rPr>
              <w:t xml:space="preserve"> pamatoja</w:t>
            </w:r>
            <w:r w:rsidRPr="006B1293" w:rsidR="00C96EEF">
              <w:rPr>
                <w:rFonts w:ascii="Times New Roman" w:hAnsi="Times New Roman" w:cs="Times New Roman"/>
                <w:sz w:val="24"/>
                <w:szCs w:val="24"/>
              </w:rPr>
              <w:t>m</w:t>
            </w:r>
            <w:r w:rsidRPr="006B1293">
              <w:rPr>
                <w:rFonts w:ascii="Times New Roman" w:hAnsi="Times New Roman" w:cs="Times New Roman"/>
                <w:sz w:val="24"/>
                <w:szCs w:val="24"/>
              </w:rPr>
              <w:t>s ar situāciju, kurā</w:t>
            </w:r>
            <w:r w:rsidRPr="006B1293" w:rsidR="00B110D8">
              <w:rPr>
                <w:rFonts w:ascii="Times New Roman" w:hAnsi="Times New Roman" w:cs="Times New Roman"/>
                <w:sz w:val="24"/>
                <w:szCs w:val="24"/>
              </w:rPr>
              <w:t xml:space="preserve"> Latvijas patērētāji ārvalstīs (piemēram, Krievijā) iegādājas un izmanto ierobežotas piekļuves sistēmas, kuras paredzētas aizsargātu satelīta TV pakalpojumu izmantošanai attiecīgās valsts teritorijā. Šādu ierobežotas piekļuves sistēmu izmantošana Latvijas teritorijā pēc būtības ir uzskatāma par aizsargāta pakalpojuma sniedzēja piekrišanas (izmantošanai noteiktā teritorijā) neievērošanu, līdz ar to </w:t>
            </w:r>
            <w:r w:rsidRPr="006B1293" w:rsidR="008822C0">
              <w:rPr>
                <w:rFonts w:ascii="Times New Roman" w:hAnsi="Times New Roman" w:cs="Times New Roman"/>
                <w:sz w:val="24"/>
                <w:szCs w:val="24"/>
              </w:rPr>
              <w:t>Likumprojekt</w:t>
            </w:r>
            <w:r w:rsidRPr="006B1293" w:rsidR="00A674A5">
              <w:rPr>
                <w:rFonts w:ascii="Times New Roman" w:hAnsi="Times New Roman" w:cs="Times New Roman"/>
                <w:sz w:val="24"/>
                <w:szCs w:val="24"/>
              </w:rPr>
              <w:t xml:space="preserve">a </w:t>
            </w:r>
            <w:r w:rsidRPr="006B1293" w:rsidR="00AA7388">
              <w:rPr>
                <w:rFonts w:ascii="Times New Roman" w:hAnsi="Times New Roman" w:cs="Times New Roman"/>
                <w:sz w:val="24"/>
                <w:szCs w:val="24"/>
              </w:rPr>
              <w:t>4</w:t>
            </w:r>
            <w:r w:rsidRPr="006B1293" w:rsidR="00A674A5">
              <w:rPr>
                <w:rFonts w:ascii="Times New Roman" w:hAnsi="Times New Roman" w:cs="Times New Roman"/>
                <w:sz w:val="24"/>
                <w:szCs w:val="24"/>
              </w:rPr>
              <w:t xml:space="preserve">.pants papildina APL </w:t>
            </w:r>
            <w:r w:rsidRPr="006B1293" w:rsidR="008822C0">
              <w:rPr>
                <w:rFonts w:ascii="Times New Roman" w:hAnsi="Times New Roman" w:cs="Times New Roman"/>
                <w:sz w:val="24"/>
                <w:szCs w:val="24"/>
              </w:rPr>
              <w:t>3.pant</w:t>
            </w:r>
            <w:r w:rsidRPr="006B1293" w:rsidR="00A674A5">
              <w:rPr>
                <w:rFonts w:ascii="Times New Roman" w:hAnsi="Times New Roman" w:cs="Times New Roman"/>
                <w:sz w:val="24"/>
                <w:szCs w:val="24"/>
              </w:rPr>
              <w:t>u</w:t>
            </w:r>
            <w:r w:rsidRPr="006B1293" w:rsidR="008822C0">
              <w:rPr>
                <w:rFonts w:ascii="Times New Roman" w:hAnsi="Times New Roman" w:cs="Times New Roman"/>
                <w:sz w:val="24"/>
                <w:szCs w:val="24"/>
              </w:rPr>
              <w:t xml:space="preserve"> </w:t>
            </w:r>
            <w:r w:rsidRPr="006B1293" w:rsidR="00A674A5">
              <w:rPr>
                <w:rFonts w:ascii="Times New Roman" w:hAnsi="Times New Roman" w:cs="Times New Roman"/>
                <w:sz w:val="24"/>
                <w:szCs w:val="24"/>
              </w:rPr>
              <w:t xml:space="preserve">ar </w:t>
            </w:r>
            <w:r w:rsidRPr="006B1293" w:rsidR="008822C0">
              <w:rPr>
                <w:rFonts w:ascii="Times New Roman" w:hAnsi="Times New Roman" w:cs="Times New Roman"/>
                <w:sz w:val="24"/>
                <w:szCs w:val="24"/>
              </w:rPr>
              <w:t>3.punkt</w:t>
            </w:r>
            <w:r w:rsidRPr="006B1293" w:rsidR="00A674A5">
              <w:rPr>
                <w:rFonts w:ascii="Times New Roman" w:hAnsi="Times New Roman" w:cs="Times New Roman"/>
                <w:sz w:val="24"/>
                <w:szCs w:val="24"/>
              </w:rPr>
              <w:t>ā paredzēto</w:t>
            </w:r>
            <w:r w:rsidRPr="006B1293" w:rsidR="008822C0">
              <w:rPr>
                <w:rFonts w:ascii="Times New Roman" w:hAnsi="Times New Roman" w:cs="Times New Roman"/>
                <w:sz w:val="24"/>
                <w:szCs w:val="24"/>
              </w:rPr>
              <w:t xml:space="preserve"> aizliegum</w:t>
            </w:r>
            <w:r w:rsidRPr="006B1293" w:rsidR="00A674A5">
              <w:rPr>
                <w:rFonts w:ascii="Times New Roman" w:hAnsi="Times New Roman" w:cs="Times New Roman"/>
                <w:sz w:val="24"/>
                <w:szCs w:val="24"/>
              </w:rPr>
              <w:t>u</w:t>
            </w:r>
            <w:r w:rsidRPr="006B1293" w:rsidR="008822C0">
              <w:rPr>
                <w:rFonts w:ascii="Times New Roman" w:hAnsi="Times New Roman" w:cs="Times New Roman"/>
                <w:sz w:val="24"/>
                <w:szCs w:val="24"/>
              </w:rPr>
              <w:t xml:space="preserve"> izmantot tādas </w:t>
            </w:r>
            <w:r w:rsidRPr="006B1293" w:rsidR="00F127B0">
              <w:rPr>
                <w:rFonts w:ascii="Times New Roman" w:hAnsi="Times New Roman" w:cs="Times New Roman"/>
                <w:sz w:val="24"/>
                <w:szCs w:val="24"/>
              </w:rPr>
              <w:t xml:space="preserve">ierobežotas piekļuves </w:t>
            </w:r>
            <w:r w:rsidRPr="006B1293" w:rsidR="008822C0">
              <w:rPr>
                <w:rFonts w:ascii="Times New Roman" w:hAnsi="Times New Roman" w:cs="Times New Roman"/>
                <w:sz w:val="24"/>
                <w:szCs w:val="24"/>
              </w:rPr>
              <w:t>sistēmas, kas nodrošina piekļuvi tiesiska pakalpojuma pazīmēm neatbilstošam (prettiesiskam) pakalpojumam</w:t>
            </w:r>
            <w:r w:rsidRPr="006B1293" w:rsidR="00B110D8">
              <w:rPr>
                <w:rFonts w:ascii="Times New Roman" w:hAnsi="Times New Roman" w:cs="Times New Roman"/>
                <w:sz w:val="24"/>
                <w:szCs w:val="24"/>
              </w:rPr>
              <w:t>.</w:t>
            </w:r>
          </w:p>
          <w:p w:rsidRPr="006B1293" w:rsidR="00431660" w:rsidP="00C8462E" w:rsidRDefault="00ED334A" w14:paraId="00CE2A6C" w14:textId="5A6B8DC4">
            <w:pPr>
              <w:pStyle w:val="ListParagraph"/>
              <w:shd w:val="clear" w:color="auto" w:fill="FFFFFF" w:themeFill="background1"/>
              <w:ind w:left="0"/>
              <w:jc w:val="both"/>
            </w:pPr>
            <w:r w:rsidRPr="006B1293">
              <w:t xml:space="preserve">       </w:t>
            </w:r>
            <w:r w:rsidRPr="006B1293" w:rsidR="00942A67">
              <w:t xml:space="preserve"> </w:t>
            </w:r>
            <w:r w:rsidRPr="006B1293" w:rsidR="007A48B1">
              <w:t>VP</w:t>
            </w:r>
            <w:r w:rsidRPr="006B1293" w:rsidR="009D2202">
              <w:t xml:space="preserve"> ir norādījusi, ka sastopas ar gadījumiem, k</w:t>
            </w:r>
            <w:r w:rsidRPr="006B1293" w:rsidR="004C24B7">
              <w:t>uros</w:t>
            </w:r>
            <w:r w:rsidRPr="006B1293" w:rsidR="009D2202">
              <w:t xml:space="preserve"> </w:t>
            </w:r>
            <w:r w:rsidRPr="006B1293" w:rsidR="00F127B0">
              <w:t xml:space="preserve">prettiesiskas </w:t>
            </w:r>
            <w:r w:rsidRPr="006B1293" w:rsidR="009D2202">
              <w:t xml:space="preserve"> sistēmas </w:t>
            </w:r>
            <w:r w:rsidRPr="006B1293" w:rsidR="00201E74">
              <w:t>atrodas</w:t>
            </w:r>
            <w:r w:rsidRPr="006B1293" w:rsidR="009D2202">
              <w:t xml:space="preserve"> pie komersantiem, bet </w:t>
            </w:r>
            <w:r w:rsidRPr="006B1293" w:rsidR="004C24B7">
              <w:t>tobrīd</w:t>
            </w:r>
            <w:r w:rsidRPr="006B1293" w:rsidR="009D2202">
              <w:t xml:space="preserve"> netiek izmantotas</w:t>
            </w:r>
            <w:r w:rsidRPr="006B1293" w:rsidR="00530CDD">
              <w:t xml:space="preserve">. </w:t>
            </w:r>
            <w:r w:rsidR="0075190B">
              <w:t>S</w:t>
            </w:r>
            <w:r w:rsidRPr="006B1293" w:rsidR="00530CDD">
              <w:t>avukārt</w:t>
            </w:r>
            <w:r w:rsidRPr="006B1293" w:rsidR="00C96EEF">
              <w:t xml:space="preserve"> k</w:t>
            </w:r>
            <w:r w:rsidRPr="006B1293" w:rsidR="009D2202">
              <w:t>omersant</w:t>
            </w:r>
            <w:r w:rsidRPr="006B1293" w:rsidR="00201E74">
              <w:t>i</w:t>
            </w:r>
            <w:r w:rsidRPr="006B1293" w:rsidR="009D2202">
              <w:t xml:space="preserve"> norād</w:t>
            </w:r>
            <w:r w:rsidRPr="006B1293" w:rsidR="00201E74">
              <w:t>a</w:t>
            </w:r>
            <w:r w:rsidRPr="006B1293" w:rsidR="009D2202">
              <w:t xml:space="preserve">, ka tās </w:t>
            </w:r>
            <w:r w:rsidRPr="006B1293" w:rsidR="00530CDD">
              <w:t xml:space="preserve">(sistēmas) </w:t>
            </w:r>
            <w:r w:rsidRPr="006B1293" w:rsidR="009D2202">
              <w:t xml:space="preserve">tiek </w:t>
            </w:r>
            <w:r w:rsidRPr="006B1293" w:rsidR="00530CDD">
              <w:t>tikai</w:t>
            </w:r>
            <w:r w:rsidRPr="006B1293" w:rsidR="009D2202">
              <w:t xml:space="preserve"> uzglabātas</w:t>
            </w:r>
            <w:r w:rsidRPr="006B1293" w:rsidR="00C96EEF">
              <w:t xml:space="preserve">. Lai </w:t>
            </w:r>
            <w:r w:rsidRPr="006B1293" w:rsidR="00C43300">
              <w:t xml:space="preserve">novērstu iespēju, ka uzglabātās sistēmas varētu </w:t>
            </w:r>
            <w:r w:rsidRPr="006B1293" w:rsidR="00530CDD">
              <w:t>tikt izmantotas pretēji APL</w:t>
            </w:r>
            <w:r w:rsidRPr="006B1293" w:rsidR="009D2202">
              <w:t xml:space="preserve"> mērķim</w:t>
            </w:r>
            <w:r w:rsidRPr="006B1293" w:rsidR="00C43300">
              <w:t>, likumprojekta 4.pant</w:t>
            </w:r>
            <w:r w:rsidR="0075190B">
              <w:t>ā  ietvertais 3.panta</w:t>
            </w:r>
            <w:r w:rsidRPr="006B1293" w:rsidR="00C43300">
              <w:t xml:space="preserve"> 4.punkts paredz prettiesisku sistēmu uzglabāšanas komerciāliem un privātiem mērķiem aizliegumu</w:t>
            </w:r>
            <w:r w:rsidRPr="006B1293" w:rsidR="009D2202">
              <w:t xml:space="preserve">. </w:t>
            </w:r>
          </w:p>
          <w:p w:rsidRPr="006B1293" w:rsidR="00072F21" w:rsidP="00C8462E" w:rsidRDefault="000946F9" w14:paraId="34274231" w14:textId="6B2A6E98">
            <w:pPr>
              <w:pStyle w:val="ListParagraph"/>
              <w:shd w:val="clear" w:color="auto" w:fill="FFFFFF" w:themeFill="background1"/>
              <w:ind w:left="0"/>
              <w:jc w:val="both"/>
            </w:pPr>
            <w:r w:rsidRPr="006B1293">
              <w:t xml:space="preserve">       </w:t>
            </w:r>
            <w:r w:rsidRPr="006B1293" w:rsidR="00C43300">
              <w:t>Lai arī likumprojekts paredz vairāku darbīb</w:t>
            </w:r>
            <w:r w:rsidRPr="006B1293" w:rsidR="00072F21">
              <w:t>u</w:t>
            </w:r>
            <w:r w:rsidRPr="006B1293" w:rsidR="00C43300">
              <w:t xml:space="preserve"> aizliegumu privātpersonām, šobrīd </w:t>
            </w:r>
            <w:r w:rsidRPr="006B1293" w:rsidR="00501F6C">
              <w:t>administratīv</w:t>
            </w:r>
            <w:r w:rsidRPr="006B1293" w:rsidR="00C43300">
              <w:t>ā</w:t>
            </w:r>
            <w:r w:rsidRPr="006B1293" w:rsidR="00501F6C">
              <w:t xml:space="preserve"> atbildīb</w:t>
            </w:r>
            <w:r w:rsidRPr="006B1293" w:rsidR="00C43300">
              <w:t>a</w:t>
            </w:r>
            <w:r w:rsidRPr="006B1293" w:rsidR="00501F6C">
              <w:t xml:space="preserve"> </w:t>
            </w:r>
            <w:r w:rsidRPr="006B1293" w:rsidR="004C24B7">
              <w:t xml:space="preserve">par </w:t>
            </w:r>
            <w:r w:rsidRPr="006B1293" w:rsidR="00C43300">
              <w:t>attiecīg</w:t>
            </w:r>
            <w:r w:rsidR="00B9508E">
              <w:t>o</w:t>
            </w:r>
            <w:r w:rsidRPr="006B1293" w:rsidR="00C43300">
              <w:t xml:space="preserve"> </w:t>
            </w:r>
            <w:r w:rsidRPr="006B1293" w:rsidR="004C24B7">
              <w:t>tiesību norm</w:t>
            </w:r>
            <w:r w:rsidR="00B9508E">
              <w:t>u</w:t>
            </w:r>
            <w:r w:rsidRPr="006B1293" w:rsidR="00501F6C">
              <w:t xml:space="preserve"> pārkāpum</w:t>
            </w:r>
            <w:r w:rsidRPr="006B1293" w:rsidR="00C43300">
              <w:t>iem netiek paredzēta</w:t>
            </w:r>
            <w:r w:rsidRPr="006B1293" w:rsidR="00501F6C">
              <w:t xml:space="preserve">. Ņemot vērā faktisko situāciju, ka patērētāji nereti nezina, ka izmanto </w:t>
            </w:r>
            <w:r w:rsidRPr="006B1293" w:rsidR="00F127B0">
              <w:t xml:space="preserve">prettiesiskas </w:t>
            </w:r>
            <w:r w:rsidRPr="006B1293" w:rsidR="00501F6C">
              <w:t xml:space="preserve">sistēmas, </w:t>
            </w:r>
            <w:r w:rsidRPr="006B1293" w:rsidR="005A350B">
              <w:t xml:space="preserve">pirms sabiedrības informēšanas kampaņu veikšanas </w:t>
            </w:r>
            <w:r w:rsidRPr="006B1293" w:rsidR="00501F6C">
              <w:t xml:space="preserve">būtu nesamērīgi noteikt administratīvo atbildību. </w:t>
            </w:r>
            <w:proofErr w:type="spellStart"/>
            <w:r w:rsidRPr="006B1293" w:rsidR="000A71FF">
              <w:t>I</w:t>
            </w:r>
            <w:r w:rsidRPr="006B1293" w:rsidR="00862C60">
              <w:t>ekšlietu</w:t>
            </w:r>
            <w:proofErr w:type="spellEnd"/>
            <w:r w:rsidRPr="006B1293" w:rsidR="00862C60">
              <w:t xml:space="preserve"> ministrija</w:t>
            </w:r>
            <w:r w:rsidRPr="006B1293" w:rsidR="00C43300">
              <w:t xml:space="preserve"> ir</w:t>
            </w:r>
            <w:r w:rsidRPr="006B1293" w:rsidR="00862C60">
              <w:t xml:space="preserve"> </w:t>
            </w:r>
            <w:r w:rsidRPr="006B1293" w:rsidR="000A71FF">
              <w:t>norādīj</w:t>
            </w:r>
            <w:r w:rsidRPr="006B1293" w:rsidR="00C43300">
              <w:t>usi</w:t>
            </w:r>
            <w:r w:rsidRPr="006B1293" w:rsidR="000A71FF">
              <w:t>, ka</w:t>
            </w:r>
            <w:r w:rsidRPr="006B1293" w:rsidR="00862C60">
              <w:t xml:space="preserve"> ne V</w:t>
            </w:r>
            <w:r w:rsidRPr="006B1293" w:rsidR="008C18BF">
              <w:t>P</w:t>
            </w:r>
            <w:r w:rsidRPr="006B1293" w:rsidR="00862C60">
              <w:t xml:space="preserve">, ne citas </w:t>
            </w:r>
            <w:r w:rsidRPr="006B1293" w:rsidR="00C0186F">
              <w:t>APL</w:t>
            </w:r>
            <w:r w:rsidRPr="006B1293" w:rsidR="00862C60">
              <w:t xml:space="preserve"> 4. pantā minētās iestādes šobrīd ar esošajiem resursiem nevar ne nodrošināt pārkāpumu, kad </w:t>
            </w:r>
            <w:r w:rsidRPr="006B1293" w:rsidR="00F127B0">
              <w:t xml:space="preserve">prettiesiskas </w:t>
            </w:r>
            <w:r w:rsidRPr="006B1293" w:rsidR="00862C60">
              <w:t>sistēmas tiek izmantotas privātiem mērķiem</w:t>
            </w:r>
            <w:r w:rsidRPr="006B1293" w:rsidR="008C18BF">
              <w:t>,</w:t>
            </w:r>
            <w:r w:rsidRPr="006B1293" w:rsidR="00862C60">
              <w:t xml:space="preserve"> kontroli, ne arī nodrošināt lietvedību attiecīgās administratīvo pārkāpumu lietās</w:t>
            </w:r>
            <w:r w:rsidRPr="006B1293" w:rsidR="0073646D">
              <w:rPr>
                <w:shd w:val="clear" w:color="auto" w:fill="FFFFFF"/>
              </w:rPr>
              <w:t>.</w:t>
            </w:r>
            <w:r w:rsidRPr="006B1293" w:rsidR="00862C60">
              <w:t xml:space="preserve"> </w:t>
            </w:r>
            <w:r w:rsidRPr="006B1293" w:rsidR="00501F6C">
              <w:t>Likumprojekts ir pirmais solis, pēc kura nepieciešam</w:t>
            </w:r>
            <w:r w:rsidRPr="006B1293" w:rsidR="004C24B7">
              <w:t>s</w:t>
            </w:r>
            <w:r w:rsidRPr="006B1293" w:rsidR="00501F6C">
              <w:t xml:space="preserve"> izglītojošais darbs, informējot sabiedrību</w:t>
            </w:r>
            <w:r w:rsidRPr="006B1293" w:rsidR="004C24B7">
              <w:t>, bet it īpaši</w:t>
            </w:r>
            <w:r w:rsidRPr="006B1293" w:rsidR="00D13FFA">
              <w:t xml:space="preserve"> </w:t>
            </w:r>
            <w:r w:rsidRPr="006B1293" w:rsidR="008C18BF">
              <w:t>no VRP 169.uzdevuma izrietošās</w:t>
            </w:r>
            <w:r w:rsidRPr="006B1293" w:rsidR="00501F6C">
              <w:t xml:space="preserve"> </w:t>
            </w:r>
            <w:proofErr w:type="spellStart"/>
            <w:r w:rsidRPr="006B1293" w:rsidR="00501F6C">
              <w:t>mērķgrupas</w:t>
            </w:r>
            <w:proofErr w:type="spellEnd"/>
            <w:r w:rsidRPr="006B1293" w:rsidR="004C24B7">
              <w:t>,</w:t>
            </w:r>
            <w:r w:rsidRPr="006B1293" w:rsidR="00501F6C">
              <w:t xml:space="preserve"> par </w:t>
            </w:r>
            <w:r w:rsidRPr="006B1293" w:rsidR="00F637DC">
              <w:t xml:space="preserve">prettiesiska </w:t>
            </w:r>
            <w:r w:rsidRPr="006B1293" w:rsidR="00501F6C">
              <w:t xml:space="preserve">pakalpojuma izmantošanas </w:t>
            </w:r>
            <w:r w:rsidRPr="006B1293" w:rsidR="00C43300">
              <w:t>aizliegumu</w:t>
            </w:r>
            <w:r w:rsidRPr="006B1293" w:rsidR="00501F6C">
              <w:t xml:space="preserve">. Ja likumprojektā iekļautais aizliegums izmantot </w:t>
            </w:r>
            <w:r w:rsidRPr="006B1293" w:rsidR="00F127B0">
              <w:t xml:space="preserve">prettiesiskas </w:t>
            </w:r>
            <w:r w:rsidRPr="006B1293" w:rsidR="00501F6C">
              <w:t xml:space="preserve">sistēmas privātiem mērķiem nemazinās </w:t>
            </w:r>
            <w:r w:rsidRPr="006B1293" w:rsidR="00F637DC">
              <w:t xml:space="preserve">prettiesisko </w:t>
            </w:r>
            <w:r w:rsidRPr="006B1293" w:rsidR="00501F6C">
              <w:t xml:space="preserve">sistēmu izmantošanu, </w:t>
            </w:r>
            <w:r w:rsidRPr="006B1293" w:rsidR="00862C60">
              <w:t xml:space="preserve">pēc uzraugošo iestāžu resursu kapacitātes apzināšanas </w:t>
            </w:r>
            <w:r w:rsidRPr="006B1293" w:rsidR="00501F6C">
              <w:t xml:space="preserve">APL iespējama </w:t>
            </w:r>
            <w:r w:rsidRPr="006B1293" w:rsidR="004F2924">
              <w:t xml:space="preserve">arī </w:t>
            </w:r>
            <w:r w:rsidRPr="006B1293" w:rsidR="00501F6C">
              <w:t xml:space="preserve">atbildības noteikšana </w:t>
            </w:r>
            <w:r w:rsidRPr="006B1293" w:rsidR="0073646D">
              <w:t xml:space="preserve">par </w:t>
            </w:r>
            <w:r w:rsidRPr="006B1293" w:rsidR="00F127B0">
              <w:t xml:space="preserve">prettiesisku </w:t>
            </w:r>
            <w:r w:rsidRPr="006B1293" w:rsidR="0073646D">
              <w:t xml:space="preserve">sistēmu izmantošanu privātiem mērķiem. </w:t>
            </w:r>
          </w:p>
          <w:p w:rsidRPr="006B1293" w:rsidR="004D4D06" w:rsidP="00072F21" w:rsidRDefault="00EA6ECE" w14:paraId="032A951D" w14:textId="37F91BDA">
            <w:pPr>
              <w:pStyle w:val="ListParagraph"/>
              <w:shd w:val="clear" w:color="auto" w:fill="FFFFFF" w:themeFill="background1"/>
              <w:ind w:left="0"/>
              <w:jc w:val="both"/>
              <w:rPr>
                <w:u w:val="single"/>
              </w:rPr>
            </w:pPr>
            <w:r w:rsidRPr="006B1293">
              <w:t>Kā norāda biedrība, sabiedrības informēšanas un izglītošanas kampaņas tā jau ir veikusi un turpinās</w:t>
            </w:r>
            <w:r w:rsidRPr="006B1293" w:rsidR="00942A67">
              <w:t xml:space="preserve"> t</w:t>
            </w:r>
            <w:r w:rsidRPr="006B1293" w:rsidR="005A6B8B">
              <w:t>ās</w:t>
            </w:r>
            <w:r w:rsidRPr="006B1293" w:rsidR="00942A67">
              <w:t xml:space="preserve"> paplašin</w:t>
            </w:r>
            <w:r w:rsidRPr="006B1293" w:rsidR="00407D32">
              <w:t>ā</w:t>
            </w:r>
            <w:r w:rsidRPr="006B1293" w:rsidR="00942A67">
              <w:t>t</w:t>
            </w:r>
            <w:r w:rsidRPr="006B1293">
              <w:t xml:space="preserve">, lai skaidrotu </w:t>
            </w:r>
            <w:r w:rsidRPr="006B1293" w:rsidR="00C43300">
              <w:t>ar likumprojektu paredzēto</w:t>
            </w:r>
            <w:r w:rsidRPr="006B1293">
              <w:t xml:space="preserve"> regulējumu.</w:t>
            </w:r>
            <w:r w:rsidRPr="006B1293" w:rsidR="00475156">
              <w:t xml:space="preserve"> Biedrība </w:t>
            </w:r>
            <w:r w:rsidRPr="006B1293" w:rsidR="00240588">
              <w:t xml:space="preserve">par saviem līdzekļiem </w:t>
            </w:r>
            <w:r w:rsidRPr="006B1293" w:rsidR="00475156">
              <w:t xml:space="preserve">ir paredzējusi veikt sociālās </w:t>
            </w:r>
            <w:r w:rsidRPr="006B1293" w:rsidR="00C43300">
              <w:t xml:space="preserve">informēšanas </w:t>
            </w:r>
            <w:r w:rsidRPr="006B1293" w:rsidR="00475156">
              <w:t>kampaņas</w:t>
            </w:r>
            <w:r w:rsidRPr="006B1293" w:rsidR="00C43300">
              <w:t xml:space="preserve">, kuru </w:t>
            </w:r>
            <w:r w:rsidRPr="00FD7A18" w:rsidR="004D4D06">
              <w:t xml:space="preserve">rezultatīvais mērķis </w:t>
            </w:r>
            <w:r w:rsidRPr="00FD7A18" w:rsidR="00C43300">
              <w:t xml:space="preserve">ir </w:t>
            </w:r>
            <w:r w:rsidRPr="00FD7A18" w:rsidR="004D4D06">
              <w:t>panākt:</w:t>
            </w:r>
            <w:r w:rsidRPr="006B1293" w:rsidR="004D4D06">
              <w:rPr>
                <w:u w:val="single"/>
              </w:rPr>
              <w:t xml:space="preserve"> </w:t>
            </w:r>
          </w:p>
          <w:p w:rsidRPr="006B1293" w:rsidR="004D4D06" w:rsidP="004D4D06" w:rsidRDefault="004D4D06" w14:paraId="13A7255F" w14:textId="316F582B">
            <w:pPr>
              <w:pStyle w:val="Default"/>
              <w:spacing w:after="16"/>
              <w:jc w:val="both"/>
              <w:rPr>
                <w:color w:val="auto"/>
              </w:rPr>
            </w:pPr>
            <w:r w:rsidRPr="006B1293">
              <w:rPr>
                <w:color w:val="auto"/>
              </w:rPr>
              <w:t xml:space="preserve">- vismaz 20% jeb 6000 </w:t>
            </w:r>
            <w:r w:rsidRPr="006B1293" w:rsidR="00595A92">
              <w:rPr>
                <w:color w:val="auto"/>
              </w:rPr>
              <w:t xml:space="preserve">prettiesisko </w:t>
            </w:r>
            <w:r w:rsidRPr="006B1293">
              <w:rPr>
                <w:color w:val="auto"/>
              </w:rPr>
              <w:t xml:space="preserve">satelītu TV </w:t>
            </w:r>
            <w:proofErr w:type="spellStart"/>
            <w:r w:rsidRPr="006B1293">
              <w:rPr>
                <w:color w:val="auto"/>
              </w:rPr>
              <w:t>pieslēgumu</w:t>
            </w:r>
            <w:proofErr w:type="spellEnd"/>
            <w:r w:rsidRPr="006B1293">
              <w:rPr>
                <w:color w:val="auto"/>
              </w:rPr>
              <w:t xml:space="preserve"> mājsaimniecību samazinājumu;</w:t>
            </w:r>
          </w:p>
          <w:p w:rsidRPr="006B1293" w:rsidR="004D4D06" w:rsidP="004D4D06" w:rsidRDefault="004D4D06" w14:paraId="0E516AF5" w14:textId="77777777">
            <w:pPr>
              <w:pStyle w:val="Default"/>
              <w:spacing w:after="16"/>
              <w:jc w:val="both"/>
              <w:rPr>
                <w:color w:val="auto"/>
              </w:rPr>
            </w:pPr>
            <w:r w:rsidRPr="006B1293">
              <w:rPr>
                <w:color w:val="auto"/>
              </w:rPr>
              <w:t>- vismaz 10% jeb 4400</w:t>
            </w:r>
            <w:r w:rsidRPr="006B1293">
              <w:rPr>
                <w:b/>
                <w:color w:val="auto"/>
              </w:rPr>
              <w:t xml:space="preserve"> </w:t>
            </w:r>
            <w:r w:rsidRPr="006B1293">
              <w:rPr>
                <w:color w:val="auto"/>
              </w:rPr>
              <w:t>TV „šaubīgo” jeb pirātismu attaisnojošo mājsaimniecību samazinājumu;</w:t>
            </w:r>
          </w:p>
          <w:p w:rsidRPr="006B1293" w:rsidR="004D4D06" w:rsidP="004D4D06" w:rsidRDefault="004D4D06" w14:paraId="64810162" w14:textId="6AAE3C5B">
            <w:pPr>
              <w:pStyle w:val="Default"/>
              <w:spacing w:after="16"/>
              <w:jc w:val="both"/>
              <w:rPr>
                <w:color w:val="auto"/>
              </w:rPr>
            </w:pPr>
            <w:r w:rsidRPr="006B1293">
              <w:rPr>
                <w:color w:val="auto"/>
              </w:rPr>
              <w:t>- veicināt A</w:t>
            </w:r>
            <w:r w:rsidRPr="006B1293" w:rsidR="00C87B61">
              <w:rPr>
                <w:color w:val="auto"/>
              </w:rPr>
              <w:t>PL</w:t>
            </w:r>
            <w:r w:rsidRPr="006B1293">
              <w:rPr>
                <w:color w:val="auto"/>
              </w:rPr>
              <w:t xml:space="preserve"> grozījumu nepieciešamības izpratni</w:t>
            </w:r>
            <w:r w:rsidRPr="006B1293" w:rsidR="00E33283">
              <w:rPr>
                <w:color w:val="auto"/>
              </w:rPr>
              <w:t>.</w:t>
            </w:r>
          </w:p>
          <w:p w:rsidRPr="006B1293" w:rsidR="004D4D06" w:rsidP="004D4D06" w:rsidRDefault="00C43300" w14:paraId="73276FF1" w14:textId="0D8B777E">
            <w:pPr>
              <w:pStyle w:val="Default"/>
              <w:spacing w:after="16"/>
              <w:jc w:val="both"/>
              <w:rPr>
                <w:bCs/>
                <w:color w:val="auto"/>
                <w:u w:val="single"/>
              </w:rPr>
            </w:pPr>
            <w:r w:rsidRPr="006B1293">
              <w:rPr>
                <w:bCs/>
                <w:color w:val="auto"/>
                <w:u w:val="single"/>
              </w:rPr>
              <w:t>Kā k</w:t>
            </w:r>
            <w:r w:rsidRPr="006B1293" w:rsidR="004D4D06">
              <w:rPr>
                <w:bCs/>
                <w:color w:val="auto"/>
                <w:u w:val="single"/>
              </w:rPr>
              <w:t>omunikācijas kanāl</w:t>
            </w:r>
            <w:r w:rsidRPr="006B1293">
              <w:rPr>
                <w:bCs/>
                <w:color w:val="auto"/>
                <w:u w:val="single"/>
              </w:rPr>
              <w:t xml:space="preserve">us </w:t>
            </w:r>
            <w:r w:rsidRPr="006B1293" w:rsidR="001054D7">
              <w:rPr>
                <w:bCs/>
                <w:color w:val="auto"/>
                <w:u w:val="single"/>
              </w:rPr>
              <w:t>b</w:t>
            </w:r>
            <w:r w:rsidRPr="006B1293">
              <w:rPr>
                <w:bCs/>
                <w:color w:val="auto"/>
                <w:u w:val="single"/>
              </w:rPr>
              <w:t>iedrība ir norādījusi</w:t>
            </w:r>
            <w:r w:rsidRPr="006B1293" w:rsidR="00B543C3">
              <w:rPr>
                <w:bCs/>
                <w:color w:val="auto"/>
                <w:u w:val="single"/>
              </w:rPr>
              <w:t>:</w:t>
            </w:r>
          </w:p>
          <w:p w:rsidRPr="006B1293" w:rsidR="004D4D06" w:rsidP="004D4D06" w:rsidRDefault="004D4D06" w14:paraId="6D4D9897" w14:textId="79F839DA">
            <w:pPr>
              <w:pStyle w:val="Default"/>
              <w:spacing w:after="16"/>
              <w:jc w:val="both"/>
              <w:rPr>
                <w:color w:val="auto"/>
              </w:rPr>
            </w:pPr>
            <w:bookmarkStart w:name="_Hlk21087810" w:id="0"/>
            <w:r w:rsidRPr="006B1293">
              <w:rPr>
                <w:color w:val="auto"/>
              </w:rPr>
              <w:lastRenderedPageBreak/>
              <w:t>Reklāmas laika atbalsts: visi lielākie TV kanāli (TV3, LNT, PBK,</w:t>
            </w:r>
            <w:r w:rsidRPr="006B1293" w:rsidR="00CF3604">
              <w:rPr>
                <w:color w:val="auto"/>
              </w:rPr>
              <w:t xml:space="preserve"> </w:t>
            </w:r>
            <w:r w:rsidRPr="006B1293">
              <w:rPr>
                <w:color w:val="auto"/>
              </w:rPr>
              <w:t xml:space="preserve">TV6, 360TV </w:t>
            </w:r>
            <w:proofErr w:type="spellStart"/>
            <w:r w:rsidRPr="006B1293">
              <w:rPr>
                <w:color w:val="auto"/>
              </w:rPr>
              <w:t>u.c</w:t>
            </w:r>
            <w:proofErr w:type="spellEnd"/>
            <w:r w:rsidRPr="006B1293">
              <w:rPr>
                <w:color w:val="auto"/>
              </w:rPr>
              <w:t>),</w:t>
            </w:r>
            <w:r w:rsidRPr="006B1293" w:rsidR="004C24B7">
              <w:rPr>
                <w:color w:val="auto"/>
              </w:rPr>
              <w:t xml:space="preserve"> </w:t>
            </w:r>
            <w:r w:rsidRPr="006B1293">
              <w:rPr>
                <w:color w:val="auto"/>
              </w:rPr>
              <w:t>sabiedriskā TV, Radio LR1, LR4,</w:t>
            </w:r>
            <w:r w:rsidRPr="006B1293" w:rsidR="004C24B7">
              <w:rPr>
                <w:color w:val="auto"/>
              </w:rPr>
              <w:t xml:space="preserve"> </w:t>
            </w:r>
            <w:r w:rsidRPr="006B1293" w:rsidR="00C87B61">
              <w:rPr>
                <w:color w:val="auto"/>
              </w:rPr>
              <w:t xml:space="preserve">dažādi </w:t>
            </w:r>
            <w:r w:rsidRPr="006B1293">
              <w:rPr>
                <w:color w:val="auto"/>
              </w:rPr>
              <w:t>portāli, vides ekrāni, sabiedriskais transports.</w:t>
            </w:r>
            <w:bookmarkEnd w:id="0"/>
          </w:p>
        </w:tc>
      </w:tr>
      <w:tr w:rsidRPr="000B3AF5" w:rsidR="000B3AF5" w:rsidTr="00A05F35" w14:paraId="2FCAA8A0" w14:textId="77777777">
        <w:tc>
          <w:tcPr>
            <w:tcW w:w="421" w:type="dxa"/>
            <w:hideMark/>
          </w:tcPr>
          <w:p w:rsidRPr="000B3AF5" w:rsidR="00655F2C" w:rsidP="00BC0506" w:rsidRDefault="00A05F35" w14:paraId="44B19EB2" w14:textId="5364D612">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lastRenderedPageBreak/>
              <w:t>3</w:t>
            </w:r>
            <w:r w:rsidRPr="000B3AF5" w:rsidR="00E5323B">
              <w:rPr>
                <w:rFonts w:ascii="Times New Roman" w:hAnsi="Times New Roman" w:eastAsia="Times New Roman" w:cs="Times New Roman"/>
                <w:iCs/>
                <w:sz w:val="24"/>
                <w:szCs w:val="24"/>
                <w:lang w:eastAsia="lv-LV"/>
              </w:rPr>
              <w:t>.</w:t>
            </w:r>
          </w:p>
        </w:tc>
        <w:tc>
          <w:tcPr>
            <w:tcW w:w="1984" w:type="dxa"/>
            <w:hideMark/>
          </w:tcPr>
          <w:p w:rsidRPr="000B3AF5" w:rsidR="00E5323B" w:rsidP="00BC0506" w:rsidRDefault="00E5323B" w14:paraId="6D21EA2E"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Projekta izstrādē iesaistītās institūcijas un publiskas personas kapitālsabiedrības</w:t>
            </w:r>
          </w:p>
        </w:tc>
        <w:tc>
          <w:tcPr>
            <w:tcW w:w="6656" w:type="dxa"/>
            <w:hideMark/>
          </w:tcPr>
          <w:p w:rsidRPr="000B3AF5" w:rsidR="006D3E06" w:rsidP="00554A2C" w:rsidRDefault="00A87420" w14:paraId="4921C68B" w14:textId="33A6CCCA">
            <w:pPr>
              <w:jc w:val="both"/>
              <w:rPr>
                <w:rFonts w:ascii="Times New Roman" w:hAnsi="Times New Roman" w:eastAsia="Times New Roman" w:cs="Times New Roman"/>
                <w:iCs/>
                <w:sz w:val="24"/>
                <w:szCs w:val="24"/>
                <w:lang w:eastAsia="lv-LV"/>
              </w:rPr>
            </w:pPr>
            <w:r w:rsidRPr="000B3AF5">
              <w:rPr>
                <w:rFonts w:ascii="Times New Roman" w:hAnsi="Times New Roman" w:cs="Times New Roman"/>
                <w:sz w:val="24"/>
                <w:szCs w:val="24"/>
              </w:rPr>
              <w:t>Satiksmes ministrija</w:t>
            </w:r>
            <w:r w:rsidRPr="000B3AF5" w:rsidR="00EA6ECE">
              <w:rPr>
                <w:rFonts w:ascii="Times New Roman" w:hAnsi="Times New Roman" w:cs="Times New Roman"/>
                <w:sz w:val="24"/>
                <w:szCs w:val="24"/>
              </w:rPr>
              <w:t>,</w:t>
            </w:r>
            <w:r w:rsidRPr="000B3AF5" w:rsidR="00554A2C">
              <w:rPr>
                <w:rFonts w:ascii="Times New Roman" w:hAnsi="Times New Roman" w:cs="Times New Roman"/>
                <w:sz w:val="24"/>
                <w:szCs w:val="24"/>
              </w:rPr>
              <w:t xml:space="preserve"> </w:t>
            </w:r>
            <w:r w:rsidRPr="00451609" w:rsidR="0075190B">
              <w:rPr>
                <w:rFonts w:ascii="Times New Roman" w:hAnsi="Times New Roman" w:cs="Times New Roman"/>
                <w:sz w:val="24"/>
                <w:szCs w:val="24"/>
              </w:rPr>
              <w:t>Nacionālā elektronisko plašsaziņas līdzekļu padome</w:t>
            </w:r>
            <w:r w:rsidRPr="000B3AF5" w:rsidR="00FC40CE">
              <w:rPr>
                <w:rFonts w:ascii="Times New Roman" w:hAnsi="Times New Roman" w:cs="Times New Roman"/>
                <w:sz w:val="24"/>
                <w:szCs w:val="24"/>
              </w:rPr>
              <w:t xml:space="preserve">, </w:t>
            </w:r>
            <w:r w:rsidRPr="000B3AF5" w:rsidR="00554A2C">
              <w:rPr>
                <w:rFonts w:ascii="Times New Roman" w:hAnsi="Times New Roman" w:cs="Times New Roman"/>
                <w:sz w:val="24"/>
                <w:szCs w:val="24"/>
              </w:rPr>
              <w:t>K</w:t>
            </w:r>
            <w:r w:rsidRPr="000B3AF5" w:rsidR="00952A1C">
              <w:rPr>
                <w:rFonts w:ascii="Times New Roman" w:hAnsi="Times New Roman" w:cs="Times New Roman"/>
                <w:sz w:val="24"/>
                <w:szCs w:val="24"/>
              </w:rPr>
              <w:t>ultūras ministrija</w:t>
            </w:r>
            <w:r w:rsidRPr="000B3AF5" w:rsidR="00FC40CE">
              <w:rPr>
                <w:rFonts w:ascii="Times New Roman" w:hAnsi="Times New Roman" w:cs="Times New Roman"/>
                <w:sz w:val="24"/>
                <w:szCs w:val="24"/>
              </w:rPr>
              <w:t xml:space="preserve">, </w:t>
            </w:r>
            <w:proofErr w:type="spellStart"/>
            <w:r w:rsidRPr="000B3AF5" w:rsidR="00FC40CE">
              <w:rPr>
                <w:rFonts w:ascii="Times New Roman" w:hAnsi="Times New Roman" w:cs="Times New Roman"/>
                <w:sz w:val="24"/>
                <w:szCs w:val="24"/>
              </w:rPr>
              <w:t>Iekšlietu</w:t>
            </w:r>
            <w:proofErr w:type="spellEnd"/>
            <w:r w:rsidRPr="000B3AF5" w:rsidR="00FC40CE">
              <w:rPr>
                <w:rFonts w:ascii="Times New Roman" w:hAnsi="Times New Roman" w:cs="Times New Roman"/>
                <w:sz w:val="24"/>
                <w:szCs w:val="24"/>
              </w:rPr>
              <w:t xml:space="preserve"> ministrija, </w:t>
            </w:r>
            <w:r w:rsidRPr="000B3AF5" w:rsidR="004C24B7">
              <w:rPr>
                <w:rFonts w:ascii="Times New Roman" w:hAnsi="Times New Roman" w:cs="Times New Roman"/>
                <w:sz w:val="24"/>
                <w:szCs w:val="24"/>
              </w:rPr>
              <w:t xml:space="preserve">VP, </w:t>
            </w:r>
            <w:r w:rsidR="0075190B">
              <w:rPr>
                <w:rFonts w:ascii="Times New Roman" w:hAnsi="Times New Roman" w:cs="Times New Roman"/>
                <w:sz w:val="24"/>
                <w:szCs w:val="24"/>
              </w:rPr>
              <w:t>Vides aizsardzības un reģionālās attīstības ministrija</w:t>
            </w:r>
            <w:r w:rsidRPr="000B3AF5" w:rsidR="00554A2C">
              <w:rPr>
                <w:rFonts w:ascii="Times New Roman" w:hAnsi="Times New Roman" w:cs="Times New Roman"/>
                <w:sz w:val="24"/>
                <w:szCs w:val="24"/>
              </w:rPr>
              <w:t>.</w:t>
            </w:r>
          </w:p>
        </w:tc>
      </w:tr>
      <w:tr w:rsidRPr="000B3AF5" w:rsidR="000B3AF5" w:rsidTr="00A05F35" w14:paraId="2E6E836D" w14:textId="77777777">
        <w:tc>
          <w:tcPr>
            <w:tcW w:w="421" w:type="dxa"/>
            <w:hideMark/>
          </w:tcPr>
          <w:p w:rsidRPr="000B3AF5" w:rsidR="00655F2C" w:rsidP="00BC0506" w:rsidRDefault="00E5323B" w14:paraId="0CB3CBB5"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4.</w:t>
            </w:r>
          </w:p>
        </w:tc>
        <w:tc>
          <w:tcPr>
            <w:tcW w:w="1984" w:type="dxa"/>
            <w:hideMark/>
          </w:tcPr>
          <w:p w:rsidRPr="000B3AF5" w:rsidR="00E5323B" w:rsidP="00BC0506" w:rsidRDefault="00E5323B" w14:paraId="689AA077"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Cita informācija</w:t>
            </w:r>
          </w:p>
        </w:tc>
        <w:tc>
          <w:tcPr>
            <w:tcW w:w="6656" w:type="dxa"/>
          </w:tcPr>
          <w:p w:rsidRPr="000B3AF5" w:rsidR="00AF33B8" w:rsidP="00BC0506" w:rsidRDefault="00EA6ECE" w14:paraId="0F0ADA89" w14:textId="1A01FC87">
            <w:pPr>
              <w:shd w:val="clear" w:color="auto" w:fill="FFFFFF" w:themeFill="background1"/>
              <w:jc w:val="both"/>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Likumprojekts izstrādāts</w:t>
            </w:r>
            <w:r w:rsidRPr="000B3AF5" w:rsidR="00CF3604">
              <w:rPr>
                <w:rFonts w:ascii="Times New Roman" w:hAnsi="Times New Roman" w:eastAsia="Times New Roman" w:cs="Times New Roman"/>
                <w:iCs/>
                <w:sz w:val="24"/>
                <w:szCs w:val="24"/>
                <w:lang w:eastAsia="lv-LV"/>
              </w:rPr>
              <w:t>,</w:t>
            </w:r>
            <w:r w:rsidRPr="000B3AF5">
              <w:rPr>
                <w:rFonts w:ascii="Times New Roman" w:hAnsi="Times New Roman" w:eastAsia="Times New Roman" w:cs="Times New Roman"/>
                <w:iCs/>
                <w:sz w:val="24"/>
                <w:szCs w:val="24"/>
                <w:lang w:eastAsia="lv-LV"/>
              </w:rPr>
              <w:t xml:space="preserve"> balstoties uz biedrības sniegto informāciju un izteiktajiem priekšlikumiem.</w:t>
            </w:r>
            <w:r w:rsidRPr="000B3AF5" w:rsidR="000D2762">
              <w:rPr>
                <w:rFonts w:ascii="Times New Roman" w:hAnsi="Times New Roman" w:cs="Times New Roman"/>
                <w:sz w:val="24"/>
                <w:szCs w:val="24"/>
                <w:lang w:eastAsia="lv-LV"/>
              </w:rPr>
              <w:t xml:space="preserve"> </w:t>
            </w:r>
            <w:r w:rsidRPr="000B3AF5" w:rsidR="00AF33B8">
              <w:rPr>
                <w:rFonts w:ascii="Times New Roman" w:hAnsi="Times New Roman" w:cs="Times New Roman"/>
                <w:sz w:val="24"/>
                <w:szCs w:val="24"/>
                <w:lang w:eastAsia="lv-LV"/>
              </w:rPr>
              <w:t xml:space="preserve">Ja likumprojektā iekļautais aizliegums izmantot </w:t>
            </w:r>
            <w:r w:rsidRPr="000B3AF5" w:rsidR="00595A92">
              <w:rPr>
                <w:rFonts w:ascii="Times New Roman" w:hAnsi="Times New Roman" w:cs="Times New Roman"/>
                <w:sz w:val="24"/>
                <w:szCs w:val="24"/>
                <w:lang w:eastAsia="lv-LV"/>
              </w:rPr>
              <w:t xml:space="preserve">prettiesiskas </w:t>
            </w:r>
            <w:r w:rsidRPr="000B3AF5" w:rsidR="00AF33B8">
              <w:rPr>
                <w:rFonts w:ascii="Times New Roman" w:hAnsi="Times New Roman" w:cs="Times New Roman"/>
                <w:sz w:val="24"/>
                <w:szCs w:val="24"/>
                <w:lang w:eastAsia="lv-LV"/>
              </w:rPr>
              <w:t xml:space="preserve">sistēmas privātiem mērķiem un sabiedrības izglītošana nemazinās </w:t>
            </w:r>
            <w:r w:rsidRPr="000B3AF5" w:rsidR="00595A92">
              <w:rPr>
                <w:rFonts w:ascii="Times New Roman" w:hAnsi="Times New Roman" w:cs="Times New Roman"/>
                <w:sz w:val="24"/>
                <w:szCs w:val="24"/>
                <w:lang w:eastAsia="lv-LV"/>
              </w:rPr>
              <w:t xml:space="preserve">prettiesisko </w:t>
            </w:r>
            <w:r w:rsidRPr="000B3AF5" w:rsidR="00AF33B8">
              <w:rPr>
                <w:rFonts w:ascii="Times New Roman" w:hAnsi="Times New Roman" w:cs="Times New Roman"/>
                <w:sz w:val="24"/>
                <w:szCs w:val="24"/>
                <w:lang w:eastAsia="lv-LV"/>
              </w:rPr>
              <w:t xml:space="preserve">sistēmu izmantošanu, iespējama diskusija par administratīvās atbildības noteikšanu </w:t>
            </w:r>
            <w:r w:rsidRPr="000B3AF5" w:rsidR="00102694">
              <w:rPr>
                <w:rFonts w:ascii="Times New Roman" w:hAnsi="Times New Roman" w:cs="Times New Roman"/>
                <w:sz w:val="24"/>
                <w:szCs w:val="24"/>
                <w:lang w:eastAsia="lv-LV"/>
              </w:rPr>
              <w:t xml:space="preserve">arī </w:t>
            </w:r>
            <w:r w:rsidRPr="000B3AF5" w:rsidR="00AF33B8">
              <w:rPr>
                <w:rFonts w:ascii="Times New Roman" w:hAnsi="Times New Roman" w:cs="Times New Roman"/>
                <w:sz w:val="24"/>
                <w:szCs w:val="24"/>
                <w:lang w:eastAsia="lv-LV"/>
              </w:rPr>
              <w:t xml:space="preserve">fiziskām personām.  </w:t>
            </w:r>
          </w:p>
        </w:tc>
      </w:tr>
    </w:tbl>
    <w:p w:rsidRPr="000B3AF5" w:rsidR="000D2762" w:rsidP="00BC0506" w:rsidRDefault="00E5323B" w14:paraId="0D454D34" w14:textId="43B821F2">
      <w:pPr>
        <w:shd w:val="clear" w:color="auto" w:fill="FFFFFF" w:themeFill="background1"/>
        <w:spacing w:after="0" w:line="240" w:lineRule="auto"/>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4"/>
        <w:gridCol w:w="3280"/>
        <w:gridCol w:w="5237"/>
      </w:tblGrid>
      <w:tr w:rsidRPr="000B3AF5" w:rsidR="000B3AF5" w:rsidTr="00614A48" w14:paraId="52D851D9" w14:textId="77777777">
        <w:tc>
          <w:tcPr>
            <w:tcW w:w="0" w:type="auto"/>
            <w:gridSpan w:val="3"/>
            <w:hideMark/>
          </w:tcPr>
          <w:p w:rsidRPr="000B3AF5" w:rsidR="00655F2C" w:rsidP="00066B4A" w:rsidRDefault="00E5323B" w14:paraId="0F9B45FA" w14:textId="77777777">
            <w:pPr>
              <w:shd w:val="clear" w:color="auto" w:fill="FFFFFF" w:themeFill="background1"/>
              <w:jc w:val="center"/>
              <w:rPr>
                <w:rFonts w:ascii="Times New Roman" w:hAnsi="Times New Roman" w:eastAsia="Times New Roman" w:cs="Times New Roman"/>
                <w:b/>
                <w:bCs/>
                <w:iCs/>
                <w:sz w:val="24"/>
                <w:szCs w:val="24"/>
                <w:lang w:eastAsia="lv-LV"/>
              </w:rPr>
            </w:pPr>
            <w:r w:rsidRPr="000B3AF5">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0B3AF5" w:rsidR="000B3AF5" w:rsidTr="00551275" w14:paraId="14FB5535" w14:textId="77777777">
        <w:tc>
          <w:tcPr>
            <w:tcW w:w="300" w:type="pct"/>
            <w:hideMark/>
          </w:tcPr>
          <w:p w:rsidRPr="000B3AF5" w:rsidR="00655F2C" w:rsidP="00BC0506" w:rsidRDefault="00E5323B" w14:paraId="4FC8DD5A"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1.</w:t>
            </w:r>
          </w:p>
        </w:tc>
        <w:tc>
          <w:tcPr>
            <w:tcW w:w="1810" w:type="pct"/>
            <w:hideMark/>
          </w:tcPr>
          <w:p w:rsidRPr="000B3AF5" w:rsidR="00E5323B" w:rsidP="00BC0506" w:rsidRDefault="00E5323B" w14:paraId="67E0B8A2"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 xml:space="preserve">Sabiedrības </w:t>
            </w:r>
            <w:proofErr w:type="spellStart"/>
            <w:r w:rsidRPr="000B3AF5">
              <w:rPr>
                <w:rFonts w:ascii="Times New Roman" w:hAnsi="Times New Roman" w:eastAsia="Times New Roman" w:cs="Times New Roman"/>
                <w:iCs/>
                <w:sz w:val="24"/>
                <w:szCs w:val="24"/>
                <w:lang w:eastAsia="lv-LV"/>
              </w:rPr>
              <w:t>mērķgrupas</w:t>
            </w:r>
            <w:proofErr w:type="spellEnd"/>
            <w:r w:rsidRPr="000B3AF5">
              <w:rPr>
                <w:rFonts w:ascii="Times New Roman" w:hAnsi="Times New Roman" w:eastAsia="Times New Roman" w:cs="Times New Roman"/>
                <w:iCs/>
                <w:sz w:val="24"/>
                <w:szCs w:val="24"/>
                <w:lang w:eastAsia="lv-LV"/>
              </w:rPr>
              <w:t>, kuras tiesiskais regulējums ietekmē vai varētu ietekmēt</w:t>
            </w:r>
          </w:p>
        </w:tc>
        <w:tc>
          <w:tcPr>
            <w:tcW w:w="2890" w:type="pct"/>
            <w:hideMark/>
          </w:tcPr>
          <w:p w:rsidRPr="000B3AF5" w:rsidR="00E5323B" w:rsidP="00BC0506" w:rsidRDefault="00A87420" w14:paraId="3D5585D0" w14:textId="210B2B0A">
            <w:pPr>
              <w:shd w:val="clear" w:color="auto" w:fill="FFFFFF" w:themeFill="background1"/>
              <w:jc w:val="both"/>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sz w:val="24"/>
                <w:szCs w:val="24"/>
                <w:lang w:eastAsia="lv-LV"/>
              </w:rPr>
              <w:t>Projekts attiecas uz</w:t>
            </w:r>
            <w:r w:rsidRPr="000B3AF5">
              <w:rPr>
                <w:rFonts w:ascii="Times New Roman" w:hAnsi="Times New Roman" w:cs="Times New Roman"/>
                <w:sz w:val="24"/>
                <w:szCs w:val="24"/>
              </w:rPr>
              <w:t xml:space="preserve"> </w:t>
            </w:r>
            <w:r w:rsidRPr="000B3AF5">
              <w:rPr>
                <w:rFonts w:ascii="Times New Roman" w:hAnsi="Times New Roman" w:eastAsia="Times New Roman" w:cs="Times New Roman"/>
                <w:sz w:val="24"/>
                <w:szCs w:val="24"/>
                <w:lang w:eastAsia="lv-LV"/>
              </w:rPr>
              <w:t>jebkuru fizisku vai juridisku personu</w:t>
            </w:r>
            <w:r w:rsidRPr="000B3AF5" w:rsidR="005971F1">
              <w:rPr>
                <w:rFonts w:ascii="Times New Roman" w:hAnsi="Times New Roman" w:eastAsia="Times New Roman" w:cs="Times New Roman"/>
                <w:sz w:val="24"/>
                <w:szCs w:val="24"/>
                <w:lang w:eastAsia="lv-LV"/>
              </w:rPr>
              <w:t>, kā arī aizsargāta pakalpojuma sniedzējiem</w:t>
            </w:r>
            <w:r w:rsidRPr="000B3AF5" w:rsidR="001D01F8">
              <w:rPr>
                <w:rFonts w:ascii="Times New Roman" w:hAnsi="Times New Roman" w:eastAsia="Times New Roman" w:cs="Times New Roman"/>
                <w:sz w:val="24"/>
                <w:szCs w:val="24"/>
                <w:lang w:eastAsia="lv-LV"/>
              </w:rPr>
              <w:t>.</w:t>
            </w:r>
            <w:r w:rsidRPr="000B3AF5">
              <w:rPr>
                <w:rFonts w:ascii="Times New Roman" w:hAnsi="Times New Roman" w:eastAsia="Times New Roman" w:cs="Times New Roman"/>
                <w:sz w:val="24"/>
                <w:szCs w:val="24"/>
                <w:lang w:eastAsia="lv-LV"/>
              </w:rPr>
              <w:t xml:space="preserve"> Projekts attiecas arī </w:t>
            </w:r>
            <w:r w:rsidR="0075190B">
              <w:rPr>
                <w:rFonts w:ascii="Times New Roman" w:hAnsi="Times New Roman" w:eastAsia="Times New Roman" w:cs="Times New Roman"/>
                <w:sz w:val="24"/>
                <w:szCs w:val="24"/>
                <w:lang w:eastAsia="lv-LV"/>
              </w:rPr>
              <w:t xml:space="preserve">uz </w:t>
            </w:r>
            <w:r w:rsidRPr="000B3AF5" w:rsidR="007A48B1">
              <w:rPr>
                <w:rFonts w:ascii="Times New Roman" w:hAnsi="Times New Roman" w:eastAsia="Times New Roman" w:cs="Times New Roman"/>
                <w:sz w:val="24"/>
                <w:szCs w:val="24"/>
                <w:lang w:eastAsia="lv-LV"/>
              </w:rPr>
              <w:t>VP</w:t>
            </w:r>
            <w:r w:rsidR="0075190B">
              <w:rPr>
                <w:rFonts w:ascii="Times New Roman" w:hAnsi="Times New Roman" w:eastAsia="Times New Roman" w:cs="Times New Roman"/>
                <w:sz w:val="24"/>
                <w:szCs w:val="24"/>
                <w:lang w:eastAsia="lv-LV"/>
              </w:rPr>
              <w:t xml:space="preserve"> amatpersonām</w:t>
            </w:r>
            <w:r w:rsidRPr="000B3AF5" w:rsidR="003A4872">
              <w:rPr>
                <w:rFonts w:ascii="Times New Roman" w:hAnsi="Times New Roman" w:eastAsia="Times New Roman" w:cs="Times New Roman"/>
                <w:sz w:val="24"/>
                <w:szCs w:val="24"/>
                <w:lang w:eastAsia="lv-LV"/>
              </w:rPr>
              <w:t>,</w:t>
            </w:r>
            <w:r w:rsidRPr="000B3AF5">
              <w:rPr>
                <w:rFonts w:ascii="Times New Roman" w:hAnsi="Times New Roman" w:cs="Times New Roman"/>
                <w:sz w:val="24"/>
                <w:szCs w:val="24"/>
              </w:rPr>
              <w:t xml:space="preserve"> kur</w:t>
            </w:r>
            <w:r w:rsidR="0075190B">
              <w:rPr>
                <w:rFonts w:ascii="Times New Roman" w:hAnsi="Times New Roman" w:cs="Times New Roman"/>
                <w:sz w:val="24"/>
                <w:szCs w:val="24"/>
              </w:rPr>
              <w:t>u</w:t>
            </w:r>
            <w:r w:rsidRPr="000B3AF5">
              <w:rPr>
                <w:rFonts w:ascii="Times New Roman" w:hAnsi="Times New Roman" w:cs="Times New Roman"/>
                <w:sz w:val="24"/>
                <w:szCs w:val="24"/>
              </w:rPr>
              <w:t xml:space="preserve"> kompetencē ir nodrošināt tādu personu aizsardzību, kas sniedz aizsargātu pakalpojumu</w:t>
            </w:r>
            <w:r w:rsidRPr="000B3AF5" w:rsidR="000946F9">
              <w:rPr>
                <w:rFonts w:ascii="Times New Roman" w:hAnsi="Times New Roman" w:cs="Times New Roman"/>
                <w:sz w:val="24"/>
                <w:szCs w:val="24"/>
              </w:rPr>
              <w:t>,</w:t>
            </w:r>
            <w:r w:rsidRPr="000B3AF5" w:rsidR="00407D32">
              <w:rPr>
                <w:rFonts w:ascii="Times New Roman" w:hAnsi="Times New Roman" w:cs="Times New Roman"/>
                <w:sz w:val="24"/>
                <w:szCs w:val="24"/>
              </w:rPr>
              <w:t xml:space="preserve"> kā arī uz biedrību, kura</w:t>
            </w:r>
            <w:r w:rsidRPr="000B3AF5" w:rsidR="000946F9">
              <w:rPr>
                <w:rFonts w:ascii="Times New Roman" w:hAnsi="Times New Roman" w:cs="Times New Roman"/>
                <w:sz w:val="24"/>
                <w:szCs w:val="24"/>
              </w:rPr>
              <w:t xml:space="preserve"> paredz </w:t>
            </w:r>
            <w:r w:rsidRPr="000B3AF5" w:rsidR="00407D32">
              <w:rPr>
                <w:rFonts w:ascii="Times New Roman" w:hAnsi="Times New Roman" w:cs="Times New Roman"/>
                <w:sz w:val="24"/>
                <w:szCs w:val="24"/>
              </w:rPr>
              <w:t xml:space="preserve">izglītot sabiedrību par </w:t>
            </w:r>
            <w:r w:rsidRPr="000B3AF5" w:rsidR="001354F7">
              <w:rPr>
                <w:rFonts w:ascii="Times New Roman" w:hAnsi="Times New Roman" w:cs="Times New Roman"/>
                <w:sz w:val="24"/>
                <w:szCs w:val="24"/>
              </w:rPr>
              <w:t xml:space="preserve">prettiesisku </w:t>
            </w:r>
            <w:r w:rsidRPr="000B3AF5" w:rsidR="00407D32">
              <w:rPr>
                <w:rFonts w:ascii="Times New Roman" w:hAnsi="Times New Roman" w:cs="Times New Roman"/>
                <w:sz w:val="24"/>
                <w:szCs w:val="24"/>
              </w:rPr>
              <w:t>sistēmu lietošanas aizliegumu privātiem mērķiem.</w:t>
            </w:r>
          </w:p>
        </w:tc>
      </w:tr>
      <w:tr w:rsidRPr="000B3AF5" w:rsidR="000B3AF5" w:rsidTr="00551275" w14:paraId="1F9BD3E3" w14:textId="77777777">
        <w:tc>
          <w:tcPr>
            <w:tcW w:w="300" w:type="pct"/>
            <w:hideMark/>
          </w:tcPr>
          <w:p w:rsidRPr="000B3AF5" w:rsidR="00655F2C" w:rsidP="00BC0506" w:rsidRDefault="00E5323B" w14:paraId="0900812A"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2.</w:t>
            </w:r>
          </w:p>
        </w:tc>
        <w:tc>
          <w:tcPr>
            <w:tcW w:w="1810" w:type="pct"/>
            <w:hideMark/>
          </w:tcPr>
          <w:p w:rsidRPr="000B3AF5" w:rsidR="00E5323B" w:rsidP="00BC0506" w:rsidRDefault="00E5323B" w14:paraId="7367D07E"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Tiesiskā regulējuma ietekme uz tautsaimniecību un administratīvo slogu</w:t>
            </w:r>
          </w:p>
        </w:tc>
        <w:tc>
          <w:tcPr>
            <w:tcW w:w="2890" w:type="pct"/>
            <w:hideMark/>
          </w:tcPr>
          <w:p w:rsidRPr="000B3AF5" w:rsidR="00E5323B" w:rsidP="00BC0506" w:rsidRDefault="007721C9" w14:paraId="70B6605D" w14:textId="53A52965">
            <w:pPr>
              <w:shd w:val="clear" w:color="auto" w:fill="FFFFFF" w:themeFill="background1"/>
              <w:jc w:val="both"/>
              <w:rPr>
                <w:rFonts w:ascii="Times New Roman" w:hAnsi="Times New Roman" w:cs="Times New Roman"/>
                <w:sz w:val="24"/>
                <w:szCs w:val="24"/>
              </w:rPr>
            </w:pPr>
            <w:r w:rsidRPr="000B3AF5">
              <w:rPr>
                <w:rFonts w:ascii="Times New Roman" w:hAnsi="Times New Roman" w:cs="Times New Roman"/>
                <w:sz w:val="24"/>
                <w:szCs w:val="24"/>
              </w:rPr>
              <w:t>Projekts šo jomu neskar.</w:t>
            </w:r>
          </w:p>
        </w:tc>
      </w:tr>
      <w:tr w:rsidRPr="000B3AF5" w:rsidR="000B3AF5" w:rsidTr="00551275" w14:paraId="314FF6A4" w14:textId="77777777">
        <w:tc>
          <w:tcPr>
            <w:tcW w:w="300" w:type="pct"/>
            <w:hideMark/>
          </w:tcPr>
          <w:p w:rsidRPr="000B3AF5" w:rsidR="00655F2C" w:rsidP="00BC0506" w:rsidRDefault="00E5323B" w14:paraId="381C67EF"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3.</w:t>
            </w:r>
          </w:p>
        </w:tc>
        <w:tc>
          <w:tcPr>
            <w:tcW w:w="1810" w:type="pct"/>
            <w:hideMark/>
          </w:tcPr>
          <w:p w:rsidRPr="000B3AF5" w:rsidR="00E5323B" w:rsidP="00BC0506" w:rsidRDefault="00E5323B" w14:paraId="34CC05B4"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Administratīvo izmaksu monetārs novērtējums</w:t>
            </w:r>
          </w:p>
        </w:tc>
        <w:tc>
          <w:tcPr>
            <w:tcW w:w="2890" w:type="pct"/>
            <w:hideMark/>
          </w:tcPr>
          <w:p w:rsidRPr="000B3AF5" w:rsidR="00E5323B" w:rsidP="00BC0506" w:rsidRDefault="007F78B5" w14:paraId="1203A7FB"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Projekts šo jomu neskar.</w:t>
            </w:r>
          </w:p>
        </w:tc>
      </w:tr>
      <w:tr w:rsidRPr="000B3AF5" w:rsidR="000B3AF5" w:rsidTr="00551275" w14:paraId="766964F2" w14:textId="77777777">
        <w:tc>
          <w:tcPr>
            <w:tcW w:w="300" w:type="pct"/>
            <w:hideMark/>
          </w:tcPr>
          <w:p w:rsidRPr="000B3AF5" w:rsidR="00655F2C" w:rsidP="00BC0506" w:rsidRDefault="00E5323B" w14:paraId="63B5BCBB"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4.</w:t>
            </w:r>
          </w:p>
        </w:tc>
        <w:tc>
          <w:tcPr>
            <w:tcW w:w="1810" w:type="pct"/>
            <w:hideMark/>
          </w:tcPr>
          <w:p w:rsidRPr="000B3AF5" w:rsidR="00E5323B" w:rsidP="00BC0506" w:rsidRDefault="00E5323B" w14:paraId="4E1632E4"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Atbilstības izmaksu monetārs novērtējums</w:t>
            </w:r>
          </w:p>
        </w:tc>
        <w:tc>
          <w:tcPr>
            <w:tcW w:w="2890" w:type="pct"/>
            <w:hideMark/>
          </w:tcPr>
          <w:p w:rsidRPr="000B3AF5" w:rsidR="00E5323B" w:rsidP="00BC0506" w:rsidRDefault="007F78B5" w14:paraId="44AB3051"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Projekts šo jomu neskar.</w:t>
            </w:r>
          </w:p>
        </w:tc>
      </w:tr>
      <w:tr w:rsidRPr="000B3AF5" w:rsidR="000B3AF5" w:rsidTr="00551275" w14:paraId="7065E725" w14:textId="77777777">
        <w:tc>
          <w:tcPr>
            <w:tcW w:w="300" w:type="pct"/>
            <w:hideMark/>
          </w:tcPr>
          <w:p w:rsidRPr="000B3AF5" w:rsidR="00655F2C" w:rsidP="00BC0506" w:rsidRDefault="00E5323B" w14:paraId="445289BB"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5.</w:t>
            </w:r>
          </w:p>
        </w:tc>
        <w:tc>
          <w:tcPr>
            <w:tcW w:w="1810" w:type="pct"/>
            <w:hideMark/>
          </w:tcPr>
          <w:p w:rsidRPr="000B3AF5" w:rsidR="00E5323B" w:rsidP="00BC0506" w:rsidRDefault="00E5323B" w14:paraId="2D7AA17A"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Cita informācija</w:t>
            </w:r>
          </w:p>
        </w:tc>
        <w:tc>
          <w:tcPr>
            <w:tcW w:w="2890" w:type="pct"/>
            <w:hideMark/>
          </w:tcPr>
          <w:p w:rsidRPr="000B3AF5" w:rsidR="00E5323B" w:rsidP="00BC0506" w:rsidRDefault="00E5323B" w14:paraId="5491974A"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Nav</w:t>
            </w:r>
            <w:r w:rsidRPr="000B3AF5" w:rsidR="007F78B5">
              <w:rPr>
                <w:rFonts w:ascii="Times New Roman" w:hAnsi="Times New Roman" w:eastAsia="Times New Roman" w:cs="Times New Roman"/>
                <w:iCs/>
                <w:sz w:val="24"/>
                <w:szCs w:val="24"/>
                <w:lang w:eastAsia="lv-LV"/>
              </w:rPr>
              <w:t>.</w:t>
            </w:r>
          </w:p>
        </w:tc>
      </w:tr>
    </w:tbl>
    <w:p w:rsidRPr="000B3AF5" w:rsidR="00664F49" w:rsidP="00BC0506" w:rsidRDefault="00E5323B" w14:paraId="4349CBC4" w14:textId="675448E1">
      <w:pPr>
        <w:shd w:val="clear" w:color="auto" w:fill="FFFFFF" w:themeFill="background1"/>
        <w:spacing w:after="0" w:line="240" w:lineRule="auto"/>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9061"/>
      </w:tblGrid>
      <w:tr w:rsidRPr="000B3AF5" w:rsidR="000B3AF5" w:rsidTr="005D3091" w14:paraId="044C113B" w14:textId="77777777">
        <w:tc>
          <w:tcPr>
            <w:tcW w:w="0" w:type="auto"/>
            <w:tcBorders>
              <w:bottom w:val="single" w:color="auto" w:sz="4" w:space="0"/>
            </w:tcBorders>
            <w:hideMark/>
          </w:tcPr>
          <w:p w:rsidRPr="000B3AF5" w:rsidR="009D3A26" w:rsidP="00066B4A" w:rsidRDefault="009D3A26" w14:paraId="37C10E3D" w14:textId="57B2CD77">
            <w:pPr>
              <w:shd w:val="clear" w:color="auto" w:fill="FFFFFF" w:themeFill="background1"/>
              <w:jc w:val="center"/>
              <w:rPr>
                <w:rFonts w:ascii="Times New Roman" w:hAnsi="Times New Roman" w:eastAsia="Times New Roman" w:cs="Times New Roman"/>
                <w:b/>
                <w:bCs/>
                <w:iCs/>
                <w:sz w:val="24"/>
                <w:szCs w:val="24"/>
                <w:lang w:eastAsia="lv-LV"/>
              </w:rPr>
            </w:pPr>
            <w:r w:rsidRPr="000B3AF5">
              <w:rPr>
                <w:rFonts w:ascii="Times New Roman" w:hAnsi="Times New Roman" w:eastAsia="Times New Roman" w:cs="Times New Roman"/>
                <w:b/>
                <w:bCs/>
                <w:sz w:val="24"/>
                <w:szCs w:val="24"/>
              </w:rPr>
              <w:t>III. Tiesību akta projekta ietekme uz valsts budžetu un pašvaldību budžetiem</w:t>
            </w:r>
          </w:p>
        </w:tc>
      </w:tr>
      <w:tr w:rsidRPr="000B3AF5" w:rsidR="000B3AF5" w:rsidTr="004A3CB0" w14:paraId="5C26F2EB" w14:textId="77777777">
        <w:tc>
          <w:tcPr>
            <w:tcW w:w="4967" w:type="pct"/>
          </w:tcPr>
          <w:p w:rsidRPr="000B3AF5" w:rsidR="009D3A26" w:rsidP="004A3CB0" w:rsidRDefault="009D3A26" w14:paraId="753DBA74" w14:textId="77777777">
            <w:pPr>
              <w:shd w:val="clear" w:color="auto" w:fill="FFFFFF" w:themeFill="background1"/>
              <w:jc w:val="center"/>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Projekts šo jomu neskar.</w:t>
            </w:r>
          </w:p>
        </w:tc>
      </w:tr>
    </w:tbl>
    <w:p w:rsidRPr="000B3AF5" w:rsidR="00C97994" w:rsidP="00C97994" w:rsidRDefault="00C97994" w14:paraId="6D6715F4" w14:textId="5474EFB1">
      <w:pPr>
        <w:spacing w:after="0" w:line="240" w:lineRule="auto"/>
        <w:jc w:val="both"/>
        <w:rPr>
          <w:rFonts w:ascii="Times New Roman" w:hAnsi="Times New Roman" w:eastAsia="Times New Roman" w:cs="Times New Roman"/>
          <w:sz w:val="24"/>
          <w:szCs w:val="24"/>
        </w:rPr>
      </w:pPr>
      <w:r w:rsidRPr="000B3AF5">
        <w:rPr>
          <w:rFonts w:ascii="Times New Roman" w:hAnsi="Times New Roman" w:eastAsia="Times New Roman" w:cs="Times New Roman"/>
          <w:sz w:val="24"/>
          <w:szCs w:val="24"/>
        </w:rPr>
        <w:t> </w:t>
      </w:r>
    </w:p>
    <w:tbl>
      <w:tblPr>
        <w:tblStyle w:val="TableGrid"/>
        <w:tblW w:w="5000" w:type="pct"/>
        <w:tblLook w:val="04A0" w:firstRow="1" w:lastRow="0" w:firstColumn="1" w:lastColumn="0" w:noHBand="0" w:noVBand="1"/>
      </w:tblPr>
      <w:tblGrid>
        <w:gridCol w:w="9061"/>
      </w:tblGrid>
      <w:tr w:rsidRPr="000B3AF5" w:rsidR="000B3AF5" w:rsidTr="000D2762" w14:paraId="73E01DEA" w14:textId="77777777">
        <w:tc>
          <w:tcPr>
            <w:tcW w:w="5000" w:type="pct"/>
            <w:hideMark/>
          </w:tcPr>
          <w:p w:rsidRPr="000B3AF5" w:rsidR="00655F2C" w:rsidP="00066B4A" w:rsidRDefault="00E5323B" w14:paraId="088510BF" w14:textId="77777777">
            <w:pPr>
              <w:shd w:val="clear" w:color="auto" w:fill="FFFFFF" w:themeFill="background1"/>
              <w:jc w:val="center"/>
              <w:rPr>
                <w:rFonts w:ascii="Times New Roman" w:hAnsi="Times New Roman" w:eastAsia="Times New Roman" w:cs="Times New Roman"/>
                <w:b/>
                <w:bCs/>
                <w:iCs/>
                <w:sz w:val="24"/>
                <w:szCs w:val="24"/>
                <w:lang w:eastAsia="lv-LV"/>
              </w:rPr>
            </w:pPr>
            <w:r w:rsidRPr="000B3AF5">
              <w:rPr>
                <w:rFonts w:ascii="Times New Roman" w:hAnsi="Times New Roman" w:eastAsia="Times New Roman" w:cs="Times New Roman"/>
                <w:b/>
                <w:bCs/>
                <w:iCs/>
                <w:sz w:val="24"/>
                <w:szCs w:val="24"/>
                <w:lang w:eastAsia="lv-LV"/>
              </w:rPr>
              <w:t>IV. Tiesību akta projekta ietekme uz spēkā esošo tiesību normu sistēmu</w:t>
            </w:r>
          </w:p>
        </w:tc>
      </w:tr>
      <w:tr w:rsidRPr="000B3AF5" w:rsidR="000B3AF5" w:rsidTr="000D2762" w14:paraId="4B6B2D2C" w14:textId="77777777">
        <w:tc>
          <w:tcPr>
            <w:tcW w:w="5000" w:type="pct"/>
          </w:tcPr>
          <w:p w:rsidRPr="000B3AF5" w:rsidR="000D2762" w:rsidP="000D2762" w:rsidRDefault="000D2762" w14:paraId="2377F127" w14:textId="2EE995A8">
            <w:pPr>
              <w:spacing w:line="252" w:lineRule="auto"/>
              <w:contextualSpacing/>
              <w:jc w:val="center"/>
              <w:rPr>
                <w:rFonts w:ascii="Times New Roman" w:hAnsi="Times New Roman" w:cs="Times New Roman"/>
                <w:sz w:val="24"/>
                <w:szCs w:val="24"/>
                <w:lang w:eastAsia="lv-LV"/>
              </w:rPr>
            </w:pPr>
            <w:r w:rsidRPr="000B3AF5">
              <w:rPr>
                <w:rFonts w:ascii="Times New Roman" w:hAnsi="Times New Roman" w:cs="Times New Roman"/>
                <w:sz w:val="24"/>
                <w:szCs w:val="24"/>
                <w:lang w:eastAsia="lv-LV"/>
              </w:rPr>
              <w:t>Projekts šo jomu neskar.</w:t>
            </w:r>
          </w:p>
        </w:tc>
      </w:tr>
    </w:tbl>
    <w:p w:rsidRPr="000B3AF5" w:rsidR="00287C2E" w:rsidP="00BC0506" w:rsidRDefault="00E5323B" w14:paraId="189B2DA5" w14:textId="5D321CF9">
      <w:pPr>
        <w:shd w:val="clear" w:color="auto" w:fill="FFFFFF" w:themeFill="background1"/>
        <w:spacing w:after="0" w:line="240" w:lineRule="auto"/>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9061"/>
      </w:tblGrid>
      <w:tr w:rsidRPr="000B3AF5" w:rsidR="000B3AF5" w:rsidTr="00614A48" w14:paraId="407AE498" w14:textId="77777777">
        <w:tc>
          <w:tcPr>
            <w:tcW w:w="0" w:type="auto"/>
            <w:hideMark/>
          </w:tcPr>
          <w:p w:rsidRPr="000B3AF5" w:rsidR="00655F2C" w:rsidP="00BC0506" w:rsidRDefault="00E5323B" w14:paraId="4293F06A" w14:textId="77777777">
            <w:pPr>
              <w:shd w:val="clear" w:color="auto" w:fill="FFFFFF" w:themeFill="background1"/>
              <w:rPr>
                <w:rFonts w:ascii="Times New Roman" w:hAnsi="Times New Roman" w:eastAsia="Times New Roman" w:cs="Times New Roman"/>
                <w:b/>
                <w:bCs/>
                <w:iCs/>
                <w:sz w:val="24"/>
                <w:szCs w:val="24"/>
                <w:lang w:eastAsia="lv-LV"/>
              </w:rPr>
            </w:pPr>
            <w:r w:rsidRPr="000B3AF5">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0B3AF5" w:rsidR="000B3AF5" w:rsidTr="00614A48" w14:paraId="59B9D790" w14:textId="77777777">
        <w:tc>
          <w:tcPr>
            <w:tcW w:w="4967" w:type="pct"/>
          </w:tcPr>
          <w:p w:rsidRPr="000B3AF5" w:rsidR="00CD43A6" w:rsidP="008806AE" w:rsidRDefault="00CD43A6" w14:paraId="4E16BF68" w14:textId="06C89E83">
            <w:pPr>
              <w:shd w:val="clear" w:color="auto" w:fill="FFFFFF" w:themeFill="background1"/>
              <w:jc w:val="center"/>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Projekts šo jomu neskar.</w:t>
            </w:r>
          </w:p>
        </w:tc>
      </w:tr>
    </w:tbl>
    <w:p w:rsidRPr="000B3AF5" w:rsidR="00E5323B" w:rsidP="00BC0506" w:rsidRDefault="00E5323B" w14:paraId="2CB50E17" w14:textId="6E5D4AC4">
      <w:pPr>
        <w:shd w:val="clear" w:color="auto" w:fill="FFFFFF" w:themeFill="background1"/>
        <w:spacing w:after="0" w:line="240" w:lineRule="auto"/>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397"/>
        <w:gridCol w:w="3427"/>
        <w:gridCol w:w="5237"/>
      </w:tblGrid>
      <w:tr w:rsidRPr="000B3AF5" w:rsidR="000B3AF5" w:rsidTr="00614A48" w14:paraId="135E42FC" w14:textId="77777777">
        <w:tc>
          <w:tcPr>
            <w:tcW w:w="0" w:type="auto"/>
            <w:gridSpan w:val="3"/>
            <w:hideMark/>
          </w:tcPr>
          <w:p w:rsidRPr="000B3AF5" w:rsidR="00655F2C" w:rsidP="00066B4A" w:rsidRDefault="00E5323B" w14:paraId="38EA662B" w14:textId="77777777">
            <w:pPr>
              <w:shd w:val="clear" w:color="auto" w:fill="FFFFFF" w:themeFill="background1"/>
              <w:jc w:val="center"/>
              <w:rPr>
                <w:rFonts w:ascii="Times New Roman" w:hAnsi="Times New Roman" w:eastAsia="Times New Roman" w:cs="Times New Roman"/>
                <w:b/>
                <w:bCs/>
                <w:iCs/>
                <w:sz w:val="24"/>
                <w:szCs w:val="24"/>
                <w:lang w:eastAsia="lv-LV"/>
              </w:rPr>
            </w:pPr>
            <w:r w:rsidRPr="000B3AF5">
              <w:rPr>
                <w:rFonts w:ascii="Times New Roman" w:hAnsi="Times New Roman" w:eastAsia="Times New Roman" w:cs="Times New Roman"/>
                <w:b/>
                <w:bCs/>
                <w:iCs/>
                <w:sz w:val="24"/>
                <w:szCs w:val="24"/>
                <w:lang w:eastAsia="lv-LV"/>
              </w:rPr>
              <w:t>VI. Sabiedrības līdzdalība un komunikācijas aktivitātes</w:t>
            </w:r>
          </w:p>
        </w:tc>
      </w:tr>
      <w:tr w:rsidRPr="000B3AF5" w:rsidR="000B3AF5" w:rsidTr="00551275" w14:paraId="1B9D6F56" w14:textId="77777777">
        <w:tc>
          <w:tcPr>
            <w:tcW w:w="219" w:type="pct"/>
            <w:hideMark/>
          </w:tcPr>
          <w:p w:rsidRPr="000B3AF5" w:rsidR="00655F2C" w:rsidP="00BC0506" w:rsidRDefault="00E5323B" w14:paraId="223C7C57"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1.</w:t>
            </w:r>
          </w:p>
        </w:tc>
        <w:tc>
          <w:tcPr>
            <w:tcW w:w="1891" w:type="pct"/>
            <w:hideMark/>
          </w:tcPr>
          <w:p w:rsidRPr="000B3AF5" w:rsidR="00E5323B" w:rsidP="00BC0506" w:rsidRDefault="00E5323B" w14:paraId="057AD154"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890" w:type="pct"/>
          </w:tcPr>
          <w:p w:rsidR="0081059D" w:rsidP="00BC0506" w:rsidRDefault="0081059D" w14:paraId="3BB4E539" w14:textId="512CB39E">
            <w:pPr>
              <w:shd w:val="clear" w:color="auto" w:fill="FFFFFF" w:themeFill="background1"/>
              <w:jc w:val="both"/>
              <w:rPr>
                <w:rFonts w:ascii="Times New Roman" w:hAnsi="Times New Roman" w:cs="Times New Roman"/>
                <w:sz w:val="24"/>
                <w:szCs w:val="24"/>
              </w:rPr>
            </w:pPr>
            <w:r w:rsidRPr="000B3AF5">
              <w:rPr>
                <w:rFonts w:ascii="Times New Roman" w:hAnsi="Times New Roman" w:cs="Times New Roman"/>
                <w:sz w:val="24"/>
                <w:szCs w:val="24"/>
              </w:rPr>
              <w:t xml:space="preserve">Paziņojums par līdzdalības iespējām tiesību akta izstrādes procesā 2019.gada </w:t>
            </w:r>
            <w:r w:rsidR="00DC4607">
              <w:rPr>
                <w:rFonts w:ascii="Times New Roman" w:hAnsi="Times New Roman" w:cs="Times New Roman"/>
                <w:sz w:val="24"/>
                <w:szCs w:val="24"/>
              </w:rPr>
              <w:t>9</w:t>
            </w:r>
            <w:r w:rsidRPr="000B3AF5">
              <w:rPr>
                <w:rFonts w:ascii="Times New Roman" w:hAnsi="Times New Roman" w:cs="Times New Roman"/>
                <w:sz w:val="24"/>
                <w:szCs w:val="24"/>
              </w:rPr>
              <w:t>. augustā  tika ievietots Satiksmes ministrijas tīmekļa vietnē</w:t>
            </w:r>
          </w:p>
          <w:p w:rsidR="00E5323B" w:rsidP="00BC0506" w:rsidRDefault="00400166" w14:paraId="0AEB83CF" w14:textId="77777777">
            <w:pPr>
              <w:shd w:val="clear" w:color="auto" w:fill="FFFFFF" w:themeFill="background1"/>
              <w:jc w:val="both"/>
              <w:rPr>
                <w:rStyle w:val="Hyperlink"/>
                <w:rFonts w:ascii="Times New Roman" w:hAnsi="Times New Roman" w:cs="Times New Roman"/>
                <w:color w:val="auto"/>
                <w:sz w:val="24"/>
                <w:szCs w:val="24"/>
              </w:rPr>
            </w:pPr>
            <w:hyperlink w:history="1" r:id="rId9">
              <w:r w:rsidRPr="005F00B1" w:rsidR="0081059D">
                <w:rPr>
                  <w:rStyle w:val="Hyperlink"/>
                  <w:rFonts w:ascii="Times New Roman" w:hAnsi="Times New Roman" w:cs="Times New Roman"/>
                  <w:sz w:val="24"/>
                  <w:szCs w:val="24"/>
                </w:rPr>
                <w:t>http://www.sam.gov.lv/sm/content/?cat=553</w:t>
              </w:r>
            </w:hyperlink>
            <w:r w:rsidR="0081059D">
              <w:rPr>
                <w:rStyle w:val="Hyperlink"/>
                <w:rFonts w:ascii="Times New Roman" w:hAnsi="Times New Roman" w:cs="Times New Roman"/>
                <w:color w:val="auto"/>
                <w:sz w:val="24"/>
                <w:szCs w:val="24"/>
              </w:rPr>
              <w:t xml:space="preserve"> </w:t>
            </w:r>
          </w:p>
          <w:p w:rsidRPr="0081059D" w:rsidR="0081059D" w:rsidP="0081059D" w:rsidRDefault="0081059D" w14:paraId="53BD2E13" w14:textId="35741F53">
            <w:pPr>
              <w:spacing w:after="120"/>
              <w:jc w:val="both"/>
              <w:rPr>
                <w:rFonts w:ascii="Times New Roman" w:hAnsi="Times New Roman" w:eastAsia="Times New Roman" w:cs="Times New Roman"/>
                <w:iCs/>
                <w:sz w:val="24"/>
                <w:szCs w:val="24"/>
                <w:lang w:eastAsia="lv-LV"/>
              </w:rPr>
            </w:pPr>
            <w:r w:rsidRPr="0081059D">
              <w:rPr>
                <w:rFonts w:ascii="Times New Roman" w:hAnsi="Times New Roman" w:cs="Times New Roman"/>
                <w:bCs/>
                <w:sz w:val="24"/>
                <w:szCs w:val="24"/>
              </w:rPr>
              <w:lastRenderedPageBreak/>
              <w:t xml:space="preserve">Atbilstoši Ministru kabineta 2009.gada 25.augusta noteikumu Nr.970 “Sabiedrības līdzdalības kārtība attīstības plānošanas procesā” </w:t>
            </w:r>
            <w:r w:rsidRPr="0081059D">
              <w:rPr>
                <w:rFonts w:ascii="Times New Roman" w:hAnsi="Times New Roman" w:cs="Times New Roman"/>
                <w:sz w:val="24"/>
                <w:szCs w:val="24"/>
              </w:rPr>
              <w:t>7.4.</w:t>
            </w:r>
            <w:r w:rsidRPr="0081059D">
              <w:rPr>
                <w:rFonts w:ascii="Times New Roman" w:hAnsi="Times New Roman" w:cs="Times New Roman"/>
                <w:sz w:val="24"/>
                <w:szCs w:val="24"/>
                <w:vertAlign w:val="superscript"/>
              </w:rPr>
              <w:t xml:space="preserve">1 </w:t>
            </w:r>
            <w:r w:rsidRPr="0081059D">
              <w:rPr>
                <w:rFonts w:ascii="Times New Roman" w:hAnsi="Times New Roman" w:cs="Times New Roman"/>
                <w:sz w:val="24"/>
                <w:szCs w:val="24"/>
              </w:rPr>
              <w:t xml:space="preserve">apakšpunktam sabiedrībai tika dota iespēja rakstiski sniegt viedokli par noteikumu projektu tā izstrādes stadijā. </w:t>
            </w:r>
          </w:p>
        </w:tc>
      </w:tr>
      <w:tr w:rsidRPr="000B3AF5" w:rsidR="000B3AF5" w:rsidTr="00551275" w14:paraId="0F05635E" w14:textId="77777777">
        <w:tc>
          <w:tcPr>
            <w:tcW w:w="219" w:type="pct"/>
            <w:hideMark/>
          </w:tcPr>
          <w:p w:rsidRPr="000B3AF5" w:rsidR="00655F2C" w:rsidP="00BC0506" w:rsidRDefault="00E5323B" w14:paraId="01C50752"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lastRenderedPageBreak/>
              <w:t>2.</w:t>
            </w:r>
          </w:p>
        </w:tc>
        <w:tc>
          <w:tcPr>
            <w:tcW w:w="1891" w:type="pct"/>
            <w:hideMark/>
          </w:tcPr>
          <w:p w:rsidRPr="000B3AF5" w:rsidR="00E5323B" w:rsidP="00BC0506" w:rsidRDefault="00E5323B" w14:paraId="7EB6766E"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Sabiedrības līdzdalība projekta izstrādē</w:t>
            </w:r>
          </w:p>
        </w:tc>
        <w:tc>
          <w:tcPr>
            <w:tcW w:w="2890" w:type="pct"/>
          </w:tcPr>
          <w:p w:rsidRPr="005300CD" w:rsidR="00A04D9C" w:rsidP="00BC0506" w:rsidRDefault="004631CB" w14:paraId="38EA4928" w14:textId="1C43B1A1">
            <w:pPr>
              <w:shd w:val="clear" w:color="auto" w:fill="FFFFFF" w:themeFill="background1"/>
              <w:jc w:val="both"/>
              <w:rPr>
                <w:rFonts w:ascii="Times New Roman" w:hAnsi="Times New Roman" w:eastAsia="Times New Roman" w:cs="Times New Roman"/>
                <w:iCs/>
                <w:sz w:val="24"/>
                <w:szCs w:val="24"/>
                <w:lang w:eastAsia="lv-LV"/>
              </w:rPr>
            </w:pPr>
            <w:r w:rsidRPr="005300CD">
              <w:rPr>
                <w:rFonts w:ascii="Times New Roman" w:hAnsi="Times New Roman" w:eastAsia="Times New Roman" w:cs="Times New Roman"/>
                <w:sz w:val="24"/>
                <w:szCs w:val="24"/>
                <w:lang w:eastAsia="lv-LV"/>
              </w:rPr>
              <w:t>Iebildumi un priekšlikumi sabiedrības līdzdalības ietvaros netika saņemti.</w:t>
            </w:r>
          </w:p>
        </w:tc>
      </w:tr>
      <w:tr w:rsidRPr="000B3AF5" w:rsidR="000B3AF5" w:rsidTr="00551275" w14:paraId="61EA0FC6" w14:textId="77777777">
        <w:tc>
          <w:tcPr>
            <w:tcW w:w="219" w:type="pct"/>
            <w:hideMark/>
          </w:tcPr>
          <w:p w:rsidRPr="000B3AF5" w:rsidR="00655F2C" w:rsidP="00BC0506" w:rsidRDefault="00E5323B" w14:paraId="5CC1CCD6"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3.</w:t>
            </w:r>
          </w:p>
        </w:tc>
        <w:tc>
          <w:tcPr>
            <w:tcW w:w="1891" w:type="pct"/>
            <w:hideMark/>
          </w:tcPr>
          <w:p w:rsidRPr="000B3AF5" w:rsidR="00E5323B" w:rsidP="00BC0506" w:rsidRDefault="00E5323B" w14:paraId="11DC16B8"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Sabiedrības līdzdalības rezultāti</w:t>
            </w:r>
          </w:p>
        </w:tc>
        <w:tc>
          <w:tcPr>
            <w:tcW w:w="2890" w:type="pct"/>
          </w:tcPr>
          <w:p w:rsidRPr="000B3AF5" w:rsidR="00E5323B" w:rsidP="00BC0506" w:rsidRDefault="00B77546" w14:paraId="436056AD" w14:textId="320AB21C">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cs="Times New Roman"/>
                <w:sz w:val="24"/>
                <w:szCs w:val="24"/>
              </w:rPr>
              <w:t>Iebildumi vai priekšlikumi netika saņemti.</w:t>
            </w:r>
          </w:p>
        </w:tc>
      </w:tr>
      <w:tr w:rsidRPr="000B3AF5" w:rsidR="000B3AF5" w:rsidTr="00551275" w14:paraId="7B4454DD" w14:textId="77777777">
        <w:tc>
          <w:tcPr>
            <w:tcW w:w="219" w:type="pct"/>
            <w:hideMark/>
          </w:tcPr>
          <w:p w:rsidRPr="000B3AF5" w:rsidR="00655F2C" w:rsidP="00BC0506" w:rsidRDefault="00E5323B" w14:paraId="6B6C1277"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4.</w:t>
            </w:r>
          </w:p>
        </w:tc>
        <w:tc>
          <w:tcPr>
            <w:tcW w:w="1891" w:type="pct"/>
            <w:hideMark/>
          </w:tcPr>
          <w:p w:rsidRPr="000B3AF5" w:rsidR="00E5323B" w:rsidP="00BC0506" w:rsidRDefault="00E5323B" w14:paraId="2C0D62E2"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Cita informācija</w:t>
            </w:r>
          </w:p>
        </w:tc>
        <w:tc>
          <w:tcPr>
            <w:tcW w:w="2890" w:type="pct"/>
          </w:tcPr>
          <w:p w:rsidRPr="000B3AF5" w:rsidR="00E5323B" w:rsidP="001F75C4" w:rsidRDefault="00D9740D" w14:paraId="18973120" w14:textId="3ECFEA9B">
            <w:pPr>
              <w:shd w:val="clear" w:color="auto" w:fill="FFFFFF" w:themeFill="background1"/>
              <w:jc w:val="both"/>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Nav</w:t>
            </w:r>
            <w:r w:rsidRPr="000B3AF5" w:rsidR="00437B37">
              <w:rPr>
                <w:rFonts w:ascii="Times New Roman" w:hAnsi="Times New Roman" w:eastAsia="Times New Roman" w:cs="Times New Roman"/>
                <w:iCs/>
                <w:sz w:val="24"/>
                <w:szCs w:val="24"/>
                <w:lang w:eastAsia="lv-LV"/>
              </w:rPr>
              <w:t>.</w:t>
            </w:r>
            <w:r w:rsidRPr="000B3AF5" w:rsidR="003A4872">
              <w:rPr>
                <w:rFonts w:ascii="Times New Roman" w:hAnsi="Times New Roman" w:eastAsia="Times New Roman" w:cs="Times New Roman"/>
                <w:iCs/>
                <w:sz w:val="24"/>
                <w:szCs w:val="24"/>
                <w:lang w:eastAsia="lv-LV"/>
              </w:rPr>
              <w:t xml:space="preserve"> </w:t>
            </w:r>
            <w:r w:rsidRPr="000B3AF5" w:rsidR="008B0E7B">
              <w:rPr>
                <w:rFonts w:ascii="Times New Roman" w:hAnsi="Times New Roman" w:eastAsia="Times New Roman" w:cs="Times New Roman"/>
                <w:iCs/>
                <w:sz w:val="24"/>
                <w:szCs w:val="24"/>
                <w:lang w:eastAsia="lv-LV"/>
              </w:rPr>
              <w:t xml:space="preserve"> </w:t>
            </w:r>
          </w:p>
        </w:tc>
      </w:tr>
    </w:tbl>
    <w:p w:rsidRPr="000B3AF5" w:rsidR="00E5323B" w:rsidP="00BC0506" w:rsidRDefault="00E5323B" w14:paraId="0778A3FD" w14:textId="77777777">
      <w:pPr>
        <w:shd w:val="clear" w:color="auto" w:fill="FFFFFF" w:themeFill="background1"/>
        <w:spacing w:after="0" w:line="240" w:lineRule="auto"/>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4"/>
        <w:gridCol w:w="3280"/>
        <w:gridCol w:w="5237"/>
      </w:tblGrid>
      <w:tr w:rsidRPr="000B3AF5" w:rsidR="000B3AF5" w:rsidTr="00614A48" w14:paraId="0D488FB5" w14:textId="77777777">
        <w:tc>
          <w:tcPr>
            <w:tcW w:w="0" w:type="auto"/>
            <w:gridSpan w:val="3"/>
            <w:hideMark/>
          </w:tcPr>
          <w:p w:rsidRPr="000B3AF5" w:rsidR="00655F2C" w:rsidP="00E100E1" w:rsidRDefault="00E5323B" w14:paraId="3A37E492" w14:textId="77777777">
            <w:pPr>
              <w:shd w:val="clear" w:color="auto" w:fill="FFFFFF" w:themeFill="background1"/>
              <w:jc w:val="center"/>
              <w:rPr>
                <w:rFonts w:ascii="Times New Roman" w:hAnsi="Times New Roman" w:eastAsia="Times New Roman" w:cs="Times New Roman"/>
                <w:b/>
                <w:bCs/>
                <w:iCs/>
                <w:sz w:val="24"/>
                <w:szCs w:val="24"/>
                <w:lang w:eastAsia="lv-LV"/>
              </w:rPr>
            </w:pPr>
            <w:r w:rsidRPr="000B3AF5">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0B3AF5" w:rsidR="000B3AF5" w:rsidTr="00551275" w14:paraId="5796BC72" w14:textId="77777777">
        <w:tc>
          <w:tcPr>
            <w:tcW w:w="300" w:type="pct"/>
            <w:hideMark/>
          </w:tcPr>
          <w:p w:rsidRPr="000B3AF5" w:rsidR="00655F2C" w:rsidP="00BC0506" w:rsidRDefault="00E5323B" w14:paraId="33BDBDFD"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1.</w:t>
            </w:r>
          </w:p>
        </w:tc>
        <w:tc>
          <w:tcPr>
            <w:tcW w:w="1810" w:type="pct"/>
            <w:hideMark/>
          </w:tcPr>
          <w:p w:rsidRPr="000B3AF5" w:rsidR="00E5323B" w:rsidP="00BC0506" w:rsidRDefault="00E5323B" w14:paraId="112E6556" w14:textId="77777777">
            <w:pPr>
              <w:shd w:val="clear" w:color="auto" w:fill="FFFFFF" w:themeFill="background1"/>
              <w:jc w:val="both"/>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Projekta izpildē iesaistītās institūcijas</w:t>
            </w:r>
          </w:p>
        </w:tc>
        <w:tc>
          <w:tcPr>
            <w:tcW w:w="2890" w:type="pct"/>
          </w:tcPr>
          <w:p w:rsidRPr="000B3AF5" w:rsidR="00E5323B" w:rsidP="00BC0506" w:rsidRDefault="007A48B1" w14:paraId="3BF2403A" w14:textId="5E379C87">
            <w:pPr>
              <w:shd w:val="clear" w:color="auto" w:fill="FFFFFF" w:themeFill="background1"/>
              <w:jc w:val="both"/>
              <w:rPr>
                <w:rFonts w:ascii="Times New Roman" w:hAnsi="Times New Roman" w:eastAsia="Times New Roman" w:cs="Times New Roman"/>
                <w:iCs/>
                <w:sz w:val="24"/>
                <w:szCs w:val="24"/>
                <w:lang w:eastAsia="lv-LV"/>
              </w:rPr>
            </w:pPr>
            <w:r w:rsidRPr="000B3AF5">
              <w:rPr>
                <w:rFonts w:ascii="Times New Roman" w:hAnsi="Times New Roman" w:cs="Times New Roman"/>
                <w:sz w:val="24"/>
                <w:szCs w:val="24"/>
              </w:rPr>
              <w:t>V</w:t>
            </w:r>
            <w:r w:rsidR="00400166">
              <w:rPr>
                <w:rFonts w:ascii="Times New Roman" w:hAnsi="Times New Roman" w:cs="Times New Roman"/>
                <w:sz w:val="24"/>
                <w:szCs w:val="24"/>
              </w:rPr>
              <w:t>alsts policija</w:t>
            </w:r>
          </w:p>
        </w:tc>
      </w:tr>
      <w:tr w:rsidRPr="000B3AF5" w:rsidR="000B3AF5" w:rsidTr="00551275" w14:paraId="409E3B3B" w14:textId="77777777">
        <w:tc>
          <w:tcPr>
            <w:tcW w:w="300" w:type="pct"/>
            <w:hideMark/>
          </w:tcPr>
          <w:p w:rsidRPr="000B3AF5" w:rsidR="00655F2C" w:rsidP="00BC0506" w:rsidRDefault="00E5323B" w14:paraId="4CC85747"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2.</w:t>
            </w:r>
          </w:p>
        </w:tc>
        <w:tc>
          <w:tcPr>
            <w:tcW w:w="1810" w:type="pct"/>
            <w:hideMark/>
          </w:tcPr>
          <w:p w:rsidRPr="000B3AF5" w:rsidR="00E5323B" w:rsidP="00BC0506" w:rsidRDefault="00E5323B" w14:paraId="3CC90DEB" w14:textId="77777777">
            <w:pPr>
              <w:shd w:val="clear" w:color="auto" w:fill="FFFFFF" w:themeFill="background1"/>
              <w:jc w:val="both"/>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Projekta izpildes ietekme uz pārvaldes funkcijām un institucionālo struktūru.</w:t>
            </w:r>
            <w:r w:rsidRPr="000B3AF5">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2890" w:type="pct"/>
          </w:tcPr>
          <w:p w:rsidRPr="000B3AF5" w:rsidR="007F78B5" w:rsidP="00BC0506" w:rsidRDefault="007F78B5" w14:paraId="0827C305" w14:textId="77777777">
            <w:pPr>
              <w:shd w:val="clear" w:color="auto" w:fill="FFFFFF" w:themeFill="background1"/>
              <w:jc w:val="both"/>
              <w:rPr>
                <w:rFonts w:ascii="Times New Roman" w:hAnsi="Times New Roman" w:cs="Times New Roman"/>
                <w:sz w:val="24"/>
                <w:szCs w:val="24"/>
              </w:rPr>
            </w:pPr>
            <w:r w:rsidRPr="000B3AF5">
              <w:rPr>
                <w:rFonts w:ascii="Times New Roman" w:hAnsi="Times New Roman" w:cs="Times New Roman"/>
                <w:sz w:val="24"/>
                <w:szCs w:val="24"/>
              </w:rPr>
              <w:t>Jaunu institūciju izveide, esošu institūciju likvidācija vai reorganizācija netiek veikta.</w:t>
            </w:r>
          </w:p>
          <w:p w:rsidRPr="000B3AF5" w:rsidR="00E5323B" w:rsidP="007721C9" w:rsidRDefault="00400166" w14:paraId="0AD24B45" w14:textId="1A70543A">
            <w:pPr>
              <w:shd w:val="clear" w:color="auto" w:fill="FFFFFF" w:themeFill="background1"/>
              <w:jc w:val="both"/>
              <w:rPr>
                <w:rFonts w:ascii="Times New Roman" w:hAnsi="Times New Roman" w:eastAsia="Times New Roman" w:cs="Times New Roman"/>
                <w:iCs/>
                <w:sz w:val="24"/>
                <w:szCs w:val="24"/>
                <w:lang w:eastAsia="lv-LV"/>
              </w:rPr>
            </w:pPr>
            <w:r w:rsidRPr="00400166">
              <w:rPr>
                <w:rFonts w:ascii="Times New Roman" w:hAnsi="Times New Roman" w:cs="Times New Roman"/>
                <w:sz w:val="24"/>
                <w:szCs w:val="24"/>
              </w:rPr>
              <w:t>Normatīvā akta izpilde tiks nodrošināta anotācijas VII. sadaļas 1.punktā minēt</w:t>
            </w:r>
            <w:r>
              <w:rPr>
                <w:rFonts w:ascii="Times New Roman" w:hAnsi="Times New Roman" w:cs="Times New Roman"/>
                <w:sz w:val="24"/>
                <w:szCs w:val="24"/>
              </w:rPr>
              <w:t>ās</w:t>
            </w:r>
            <w:r w:rsidRPr="00400166">
              <w:rPr>
                <w:rFonts w:ascii="Times New Roman" w:hAnsi="Times New Roman" w:cs="Times New Roman"/>
                <w:sz w:val="24"/>
                <w:szCs w:val="24"/>
              </w:rPr>
              <w:t xml:space="preserve"> institūcij</w:t>
            </w:r>
            <w:r>
              <w:rPr>
                <w:rFonts w:ascii="Times New Roman" w:hAnsi="Times New Roman" w:cs="Times New Roman"/>
                <w:sz w:val="24"/>
                <w:szCs w:val="24"/>
              </w:rPr>
              <w:t>as</w:t>
            </w:r>
            <w:r w:rsidRPr="00400166">
              <w:rPr>
                <w:rFonts w:ascii="Times New Roman" w:hAnsi="Times New Roman" w:cs="Times New Roman"/>
                <w:sz w:val="24"/>
                <w:szCs w:val="24"/>
              </w:rPr>
              <w:t xml:space="preserve"> līdzšinējo funkciju ietvaros.</w:t>
            </w:r>
            <w:bookmarkStart w:name="_GoBack" w:id="1"/>
            <w:bookmarkEnd w:id="1"/>
          </w:p>
        </w:tc>
      </w:tr>
      <w:tr w:rsidRPr="000B3AF5" w:rsidR="000B3AF5" w:rsidTr="00551275" w14:paraId="1E0496B4" w14:textId="77777777">
        <w:tc>
          <w:tcPr>
            <w:tcW w:w="300" w:type="pct"/>
            <w:hideMark/>
          </w:tcPr>
          <w:p w:rsidRPr="000B3AF5" w:rsidR="00655F2C" w:rsidP="00BC0506" w:rsidRDefault="00E5323B" w14:paraId="115323DF" w14:textId="77777777">
            <w:pPr>
              <w:shd w:val="clear" w:color="auto" w:fill="FFFFFF" w:themeFill="background1"/>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3.</w:t>
            </w:r>
          </w:p>
        </w:tc>
        <w:tc>
          <w:tcPr>
            <w:tcW w:w="1810" w:type="pct"/>
            <w:hideMark/>
          </w:tcPr>
          <w:p w:rsidRPr="000B3AF5" w:rsidR="00E5323B" w:rsidP="00BC0506" w:rsidRDefault="00E5323B" w14:paraId="3D93E8E5" w14:textId="77777777">
            <w:pPr>
              <w:shd w:val="clear" w:color="auto" w:fill="FFFFFF" w:themeFill="background1"/>
              <w:jc w:val="both"/>
              <w:rPr>
                <w:rFonts w:ascii="Times New Roman" w:hAnsi="Times New Roman" w:eastAsia="Times New Roman" w:cs="Times New Roman"/>
                <w:iCs/>
                <w:sz w:val="24"/>
                <w:szCs w:val="24"/>
                <w:lang w:eastAsia="lv-LV"/>
              </w:rPr>
            </w:pPr>
            <w:r w:rsidRPr="000B3AF5">
              <w:rPr>
                <w:rFonts w:ascii="Times New Roman" w:hAnsi="Times New Roman" w:eastAsia="Times New Roman" w:cs="Times New Roman"/>
                <w:iCs/>
                <w:sz w:val="24"/>
                <w:szCs w:val="24"/>
                <w:lang w:eastAsia="lv-LV"/>
              </w:rPr>
              <w:t>Cita informācija</w:t>
            </w:r>
          </w:p>
        </w:tc>
        <w:tc>
          <w:tcPr>
            <w:tcW w:w="2890" w:type="pct"/>
          </w:tcPr>
          <w:p w:rsidRPr="000B3AF5" w:rsidR="002B10D4" w:rsidP="002B10D4" w:rsidRDefault="007807A0" w14:paraId="22F203DB" w14:textId="692A20CC">
            <w:pPr>
              <w:pStyle w:val="Default"/>
              <w:spacing w:after="16"/>
              <w:jc w:val="both"/>
              <w:rPr>
                <w:color w:val="auto"/>
              </w:rPr>
            </w:pPr>
            <w:r w:rsidRPr="000B3AF5">
              <w:rPr>
                <w:color w:val="auto"/>
              </w:rPr>
              <w:t>Nav.</w:t>
            </w:r>
          </w:p>
          <w:p w:rsidRPr="000B3AF5" w:rsidR="002B10D4" w:rsidP="00BC0506" w:rsidRDefault="002B10D4" w14:paraId="6E5A6C96" w14:textId="1CB1B85F">
            <w:pPr>
              <w:shd w:val="clear" w:color="auto" w:fill="FFFFFF" w:themeFill="background1"/>
              <w:jc w:val="both"/>
              <w:rPr>
                <w:rFonts w:ascii="Times New Roman" w:hAnsi="Times New Roman" w:eastAsia="Times New Roman" w:cs="Times New Roman"/>
                <w:iCs/>
                <w:sz w:val="24"/>
                <w:szCs w:val="24"/>
                <w:lang w:eastAsia="lv-LV"/>
              </w:rPr>
            </w:pPr>
          </w:p>
        </w:tc>
      </w:tr>
    </w:tbl>
    <w:p w:rsidRPr="000B3AF5" w:rsidR="00C25B49" w:rsidP="00BC0506" w:rsidRDefault="00C25B49" w14:paraId="3116338F" w14:textId="77777777">
      <w:pPr>
        <w:shd w:val="clear" w:color="auto" w:fill="FFFFFF" w:themeFill="background1"/>
        <w:spacing w:after="0" w:line="240" w:lineRule="auto"/>
        <w:rPr>
          <w:rFonts w:ascii="Times New Roman" w:hAnsi="Times New Roman" w:cs="Times New Roman"/>
          <w:sz w:val="24"/>
          <w:szCs w:val="24"/>
        </w:rPr>
      </w:pPr>
    </w:p>
    <w:p w:rsidRPr="000B3AF5" w:rsidR="00DD32BE" w:rsidP="00BC0506" w:rsidRDefault="00DD32BE" w14:paraId="1A39443A" w14:textId="77777777">
      <w:pPr>
        <w:pStyle w:val="Heading3"/>
        <w:shd w:val="clear" w:color="auto" w:fill="FFFFFF" w:themeFill="background1"/>
        <w:tabs>
          <w:tab w:val="left" w:pos="6840"/>
        </w:tabs>
        <w:spacing w:before="0" w:after="0"/>
        <w:rPr>
          <w:rFonts w:ascii="Times New Roman" w:hAnsi="Times New Roman"/>
          <w:b w:val="0"/>
          <w:sz w:val="24"/>
          <w:szCs w:val="24"/>
          <w:lang w:val="lv-LV"/>
        </w:rPr>
      </w:pPr>
    </w:p>
    <w:p w:rsidRPr="000B3AF5" w:rsidR="00387782" w:rsidP="00BC0506" w:rsidRDefault="00387782" w14:paraId="076C1680" w14:textId="22BFADC3">
      <w:pPr>
        <w:pStyle w:val="Heading3"/>
        <w:shd w:val="clear" w:color="auto" w:fill="FFFFFF" w:themeFill="background1"/>
        <w:tabs>
          <w:tab w:val="left" w:pos="6840"/>
        </w:tabs>
        <w:spacing w:before="0" w:after="0"/>
        <w:rPr>
          <w:rFonts w:ascii="Times New Roman" w:hAnsi="Times New Roman"/>
          <w:b w:val="0"/>
          <w:sz w:val="24"/>
          <w:szCs w:val="24"/>
          <w:lang w:val="lv-LV"/>
        </w:rPr>
      </w:pPr>
      <w:r w:rsidRPr="000B3AF5">
        <w:rPr>
          <w:rFonts w:ascii="Times New Roman" w:hAnsi="Times New Roman"/>
          <w:b w:val="0"/>
          <w:sz w:val="24"/>
          <w:szCs w:val="24"/>
          <w:lang w:val="lv-LV"/>
        </w:rPr>
        <w:t>Satiksmes ministrs</w:t>
      </w:r>
      <w:r w:rsidRPr="000B3AF5">
        <w:rPr>
          <w:rFonts w:ascii="Times New Roman" w:hAnsi="Times New Roman"/>
          <w:b w:val="0"/>
          <w:sz w:val="24"/>
          <w:szCs w:val="24"/>
          <w:lang w:val="lv-LV"/>
        </w:rPr>
        <w:tab/>
      </w:r>
      <w:r w:rsidRPr="000B3AF5">
        <w:rPr>
          <w:rFonts w:ascii="Times New Roman" w:hAnsi="Times New Roman"/>
          <w:b w:val="0"/>
          <w:sz w:val="24"/>
          <w:szCs w:val="24"/>
          <w:lang w:val="lv-LV"/>
        </w:rPr>
        <w:tab/>
      </w:r>
      <w:r w:rsidRPr="000B3AF5" w:rsidR="00952A1C">
        <w:rPr>
          <w:rFonts w:ascii="Times New Roman" w:hAnsi="Times New Roman"/>
          <w:b w:val="0"/>
          <w:sz w:val="24"/>
          <w:szCs w:val="24"/>
          <w:lang w:val="lv-LV"/>
        </w:rPr>
        <w:tab/>
      </w:r>
      <w:r w:rsidRPr="000B3AF5" w:rsidR="001256F9">
        <w:rPr>
          <w:rFonts w:ascii="Times New Roman" w:hAnsi="Times New Roman"/>
          <w:b w:val="0"/>
          <w:sz w:val="24"/>
          <w:szCs w:val="24"/>
          <w:lang w:val="lv-LV"/>
        </w:rPr>
        <w:t>T</w:t>
      </w:r>
      <w:r w:rsidRPr="000B3AF5">
        <w:rPr>
          <w:rFonts w:ascii="Times New Roman" w:hAnsi="Times New Roman"/>
          <w:b w:val="0"/>
          <w:sz w:val="24"/>
          <w:szCs w:val="24"/>
          <w:lang w:val="lv-LV"/>
        </w:rPr>
        <w:t>.</w:t>
      </w:r>
      <w:r w:rsidRPr="000B3AF5" w:rsidR="002D59E6">
        <w:rPr>
          <w:rFonts w:ascii="Times New Roman" w:hAnsi="Times New Roman"/>
          <w:b w:val="0"/>
          <w:sz w:val="24"/>
          <w:szCs w:val="24"/>
          <w:lang w:val="lv-LV"/>
        </w:rPr>
        <w:t> </w:t>
      </w:r>
      <w:proofErr w:type="spellStart"/>
      <w:r w:rsidRPr="000B3AF5" w:rsidR="001256F9">
        <w:rPr>
          <w:rFonts w:ascii="Times New Roman" w:hAnsi="Times New Roman"/>
          <w:b w:val="0"/>
          <w:sz w:val="24"/>
          <w:szCs w:val="24"/>
          <w:lang w:val="lv-LV"/>
        </w:rPr>
        <w:t>Linkaits</w:t>
      </w:r>
      <w:proofErr w:type="spellEnd"/>
    </w:p>
    <w:p w:rsidRPr="000B3AF5" w:rsidR="00383B96" w:rsidP="00BC0506" w:rsidRDefault="00383B96" w14:paraId="3A4E36BF" w14:textId="49680643">
      <w:pPr>
        <w:pStyle w:val="Header"/>
        <w:shd w:val="clear" w:color="auto" w:fill="FFFFFF" w:themeFill="background1"/>
        <w:tabs>
          <w:tab w:val="clear" w:pos="4153"/>
          <w:tab w:val="center" w:pos="4536"/>
        </w:tabs>
        <w:rPr>
          <w:rFonts w:ascii="Times New Roman" w:hAnsi="Times New Roman" w:cs="Times New Roman"/>
          <w:sz w:val="24"/>
          <w:szCs w:val="24"/>
        </w:rPr>
      </w:pPr>
    </w:p>
    <w:p w:rsidRPr="000B3AF5" w:rsidR="00437B37" w:rsidP="00BC0506" w:rsidRDefault="00437B37" w14:paraId="36C51CE5" w14:textId="77777777">
      <w:pPr>
        <w:pStyle w:val="Header"/>
        <w:shd w:val="clear" w:color="auto" w:fill="FFFFFF" w:themeFill="background1"/>
        <w:tabs>
          <w:tab w:val="clear" w:pos="4153"/>
          <w:tab w:val="center" w:pos="4536"/>
        </w:tabs>
        <w:rPr>
          <w:rFonts w:ascii="Times New Roman" w:hAnsi="Times New Roman" w:cs="Times New Roman"/>
          <w:sz w:val="24"/>
          <w:szCs w:val="24"/>
        </w:rPr>
      </w:pPr>
    </w:p>
    <w:p w:rsidRPr="000B3AF5" w:rsidR="00387782" w:rsidP="00BC0506" w:rsidRDefault="00387782" w14:paraId="6596FDAC" w14:textId="77777777">
      <w:pPr>
        <w:pStyle w:val="Heading3"/>
        <w:shd w:val="clear" w:color="auto" w:fill="FFFFFF" w:themeFill="background1"/>
        <w:tabs>
          <w:tab w:val="left" w:pos="6840"/>
        </w:tabs>
        <w:spacing w:before="0" w:after="0"/>
        <w:jc w:val="both"/>
        <w:rPr>
          <w:rFonts w:ascii="Times New Roman" w:hAnsi="Times New Roman"/>
          <w:b w:val="0"/>
          <w:sz w:val="24"/>
          <w:szCs w:val="24"/>
          <w:lang w:val="lv-LV"/>
        </w:rPr>
      </w:pPr>
      <w:r w:rsidRPr="000B3AF5">
        <w:rPr>
          <w:rFonts w:ascii="Times New Roman" w:hAnsi="Times New Roman"/>
          <w:b w:val="0"/>
          <w:sz w:val="24"/>
          <w:szCs w:val="24"/>
          <w:lang w:val="lv-LV"/>
        </w:rPr>
        <w:t xml:space="preserve">Vīza: </w:t>
      </w:r>
    </w:p>
    <w:p w:rsidR="00A5476F" w:rsidP="00AB13D6" w:rsidRDefault="00952A1C" w14:paraId="59D2AD70" w14:textId="77777777">
      <w:pPr>
        <w:pStyle w:val="Heading3"/>
        <w:shd w:val="clear" w:color="auto" w:fill="FFFFFF" w:themeFill="background1"/>
        <w:tabs>
          <w:tab w:val="left" w:pos="6840"/>
        </w:tabs>
        <w:spacing w:before="0" w:after="0"/>
        <w:jc w:val="both"/>
        <w:rPr>
          <w:rFonts w:ascii="Times New Roman" w:hAnsi="Times New Roman"/>
          <w:b w:val="0"/>
          <w:sz w:val="24"/>
          <w:szCs w:val="24"/>
          <w:lang w:val="lv-LV"/>
        </w:rPr>
      </w:pPr>
      <w:r w:rsidRPr="000B3AF5">
        <w:rPr>
          <w:rFonts w:ascii="Times New Roman" w:hAnsi="Times New Roman"/>
          <w:b w:val="0"/>
          <w:sz w:val="24"/>
          <w:szCs w:val="24"/>
          <w:lang w:val="lv-LV"/>
        </w:rPr>
        <w:t>v</w:t>
      </w:r>
      <w:r w:rsidRPr="000B3AF5" w:rsidR="00387782">
        <w:rPr>
          <w:rFonts w:ascii="Times New Roman" w:hAnsi="Times New Roman"/>
          <w:b w:val="0"/>
          <w:sz w:val="24"/>
          <w:szCs w:val="24"/>
          <w:lang w:val="lv-LV"/>
        </w:rPr>
        <w:t>alsts sekretār</w:t>
      </w:r>
      <w:r w:rsidRPr="000B3AF5" w:rsidR="0000426A">
        <w:rPr>
          <w:rFonts w:ascii="Times New Roman" w:hAnsi="Times New Roman"/>
          <w:b w:val="0"/>
          <w:sz w:val="24"/>
          <w:szCs w:val="24"/>
          <w:lang w:val="lv-LV"/>
        </w:rPr>
        <w:t xml:space="preserve">a </w:t>
      </w:r>
      <w:r w:rsidR="00A5476F">
        <w:rPr>
          <w:rFonts w:ascii="Times New Roman" w:hAnsi="Times New Roman"/>
          <w:b w:val="0"/>
          <w:sz w:val="24"/>
          <w:szCs w:val="24"/>
          <w:lang w:val="lv-LV"/>
        </w:rPr>
        <w:t>vietā-</w:t>
      </w:r>
    </w:p>
    <w:p w:rsidRPr="000B3AF5" w:rsidR="00AD01CD" w:rsidP="00AB13D6" w:rsidRDefault="00A5476F" w14:paraId="3AA18455" w14:textId="0E591A1B">
      <w:pPr>
        <w:pStyle w:val="Heading3"/>
        <w:shd w:val="clear" w:color="auto" w:fill="FFFFFF" w:themeFill="background1"/>
        <w:tabs>
          <w:tab w:val="left" w:pos="6840"/>
        </w:tabs>
        <w:spacing w:before="0" w:after="0"/>
        <w:jc w:val="both"/>
        <w:rPr>
          <w:rFonts w:ascii="Times New Roman" w:hAnsi="Times New Roman"/>
          <w:b w:val="0"/>
          <w:sz w:val="24"/>
          <w:szCs w:val="24"/>
          <w:lang w:val="lv-LV"/>
        </w:rPr>
      </w:pPr>
      <w:r>
        <w:rPr>
          <w:rFonts w:ascii="Times New Roman" w:hAnsi="Times New Roman"/>
          <w:b w:val="0"/>
          <w:sz w:val="24"/>
          <w:szCs w:val="24"/>
          <w:lang w:val="lv-LV"/>
        </w:rPr>
        <w:t>valsts sekretāra vietniece</w:t>
      </w:r>
      <w:r w:rsidRPr="000B3AF5" w:rsidR="00387782">
        <w:rPr>
          <w:rFonts w:ascii="Times New Roman" w:hAnsi="Times New Roman"/>
          <w:b w:val="0"/>
          <w:sz w:val="24"/>
          <w:szCs w:val="24"/>
          <w:lang w:val="lv-LV"/>
        </w:rPr>
        <w:t xml:space="preserve"> </w:t>
      </w:r>
      <w:r w:rsidRPr="000B3AF5" w:rsidR="00387782">
        <w:rPr>
          <w:rFonts w:ascii="Times New Roman" w:hAnsi="Times New Roman"/>
          <w:b w:val="0"/>
          <w:sz w:val="24"/>
          <w:szCs w:val="24"/>
          <w:lang w:val="lv-LV"/>
        </w:rPr>
        <w:tab/>
      </w:r>
      <w:r w:rsidRPr="000B3AF5" w:rsidR="00387782">
        <w:rPr>
          <w:rFonts w:ascii="Times New Roman" w:hAnsi="Times New Roman"/>
          <w:b w:val="0"/>
          <w:sz w:val="24"/>
          <w:szCs w:val="24"/>
          <w:lang w:val="lv-LV"/>
        </w:rPr>
        <w:tab/>
      </w:r>
      <w:r w:rsidRPr="000B3AF5" w:rsidR="00387782">
        <w:rPr>
          <w:rFonts w:ascii="Times New Roman" w:hAnsi="Times New Roman"/>
          <w:b w:val="0"/>
          <w:sz w:val="24"/>
          <w:szCs w:val="24"/>
          <w:lang w:val="lv-LV"/>
        </w:rPr>
        <w:tab/>
      </w:r>
      <w:r w:rsidR="009F699F">
        <w:rPr>
          <w:rFonts w:ascii="Times New Roman" w:hAnsi="Times New Roman"/>
          <w:b w:val="0"/>
          <w:sz w:val="24"/>
          <w:szCs w:val="24"/>
          <w:lang w:val="lv-LV"/>
        </w:rPr>
        <w:t xml:space="preserve"> </w:t>
      </w:r>
      <w:proofErr w:type="spellStart"/>
      <w:r w:rsidR="009F699F">
        <w:rPr>
          <w:rFonts w:ascii="Times New Roman" w:hAnsi="Times New Roman"/>
          <w:b w:val="0"/>
          <w:sz w:val="24"/>
          <w:szCs w:val="24"/>
          <w:lang w:val="lv-LV"/>
        </w:rPr>
        <w:t>L.Austrupe</w:t>
      </w:r>
      <w:proofErr w:type="spellEnd"/>
    </w:p>
    <w:sectPr w:rsidRPr="000B3AF5" w:rsidR="00AD01CD"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1656A" w14:textId="77777777" w:rsidR="008B5D21" w:rsidRDefault="008B5D21" w:rsidP="00894C55">
      <w:pPr>
        <w:spacing w:after="0" w:line="240" w:lineRule="auto"/>
      </w:pPr>
      <w:r>
        <w:separator/>
      </w:r>
    </w:p>
  </w:endnote>
  <w:endnote w:type="continuationSeparator" w:id="0">
    <w:p w14:paraId="6B8984C5" w14:textId="77777777" w:rsidR="008B5D21" w:rsidRDefault="008B5D21" w:rsidP="00894C55">
      <w:pPr>
        <w:spacing w:after="0" w:line="240" w:lineRule="auto"/>
      </w:pPr>
      <w:r>
        <w:continuationSeparator/>
      </w:r>
    </w:p>
  </w:endnote>
  <w:endnote w:type="continuationNotice" w:id="1">
    <w:p w14:paraId="369FBC2A" w14:textId="77777777" w:rsidR="008B5D21" w:rsidRDefault="008B5D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2131" w14:textId="320C4B9C" w:rsidR="00B801DC" w:rsidRPr="00894C55" w:rsidRDefault="00B801DC">
    <w:pPr>
      <w:pStyle w:val="Footer"/>
      <w:rPr>
        <w:rFonts w:ascii="Times New Roman" w:hAnsi="Times New Roman" w:cs="Times New Roman"/>
        <w:sz w:val="20"/>
        <w:szCs w:val="20"/>
      </w:rPr>
    </w:pPr>
    <w:r>
      <w:rPr>
        <w:rFonts w:ascii="Times New Roman" w:hAnsi="Times New Roman" w:cs="Times New Roman"/>
        <w:sz w:val="20"/>
        <w:szCs w:val="20"/>
      </w:rPr>
      <w:t>SM</w:t>
    </w:r>
    <w:r w:rsidR="00755CB7">
      <w:rPr>
        <w:rFonts w:ascii="Times New Roman" w:hAnsi="Times New Roman" w:cs="Times New Roman"/>
        <w:sz w:val="20"/>
        <w:szCs w:val="20"/>
      </w:rPr>
      <w:t>a</w:t>
    </w:r>
    <w:r>
      <w:rPr>
        <w:rFonts w:ascii="Times New Roman" w:hAnsi="Times New Roman" w:cs="Times New Roman"/>
        <w:sz w:val="20"/>
        <w:szCs w:val="20"/>
      </w:rPr>
      <w:t>not_</w:t>
    </w:r>
    <w:r w:rsidR="00303037">
      <w:rPr>
        <w:rFonts w:ascii="Times New Roman" w:hAnsi="Times New Roman" w:cs="Times New Roman"/>
        <w:sz w:val="20"/>
        <w:szCs w:val="20"/>
      </w:rPr>
      <w:t>29</w:t>
    </w:r>
    <w:r w:rsidR="00B9508C">
      <w:rPr>
        <w:rFonts w:ascii="Times New Roman" w:hAnsi="Times New Roman" w:cs="Times New Roman"/>
        <w:sz w:val="20"/>
        <w:szCs w:val="20"/>
      </w:rPr>
      <w:t>0120</w:t>
    </w:r>
    <w:r>
      <w:rPr>
        <w:rFonts w:ascii="Times New Roman" w:hAnsi="Times New Roman" w:cs="Times New Roman"/>
        <w:sz w:val="20"/>
        <w:szCs w:val="20"/>
      </w:rPr>
      <w:t>_GrozAPL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C43B" w14:textId="077EF843" w:rsidR="00B801DC" w:rsidRPr="009A2654" w:rsidRDefault="00B801DC">
    <w:pPr>
      <w:pStyle w:val="Footer"/>
      <w:rPr>
        <w:rFonts w:ascii="Times New Roman" w:hAnsi="Times New Roman" w:cs="Times New Roman"/>
        <w:sz w:val="20"/>
        <w:szCs w:val="20"/>
      </w:rPr>
    </w:pPr>
    <w:r>
      <w:rPr>
        <w:rFonts w:ascii="Times New Roman" w:hAnsi="Times New Roman" w:cs="Times New Roman"/>
        <w:sz w:val="20"/>
        <w:szCs w:val="20"/>
      </w:rPr>
      <w:t>SM</w:t>
    </w:r>
    <w:r w:rsidR="00755CB7">
      <w:rPr>
        <w:rFonts w:ascii="Times New Roman" w:hAnsi="Times New Roman" w:cs="Times New Roman"/>
        <w:sz w:val="20"/>
        <w:szCs w:val="20"/>
      </w:rPr>
      <w:t>a</w:t>
    </w:r>
    <w:r>
      <w:rPr>
        <w:rFonts w:ascii="Times New Roman" w:hAnsi="Times New Roman" w:cs="Times New Roman"/>
        <w:sz w:val="20"/>
        <w:szCs w:val="20"/>
      </w:rPr>
      <w:t>not_</w:t>
    </w:r>
    <w:r w:rsidR="00303037">
      <w:rPr>
        <w:rFonts w:ascii="Times New Roman" w:hAnsi="Times New Roman" w:cs="Times New Roman"/>
        <w:sz w:val="20"/>
        <w:szCs w:val="20"/>
      </w:rPr>
      <w:t>29</w:t>
    </w:r>
    <w:r w:rsidR="00B9508C">
      <w:rPr>
        <w:rFonts w:ascii="Times New Roman" w:hAnsi="Times New Roman" w:cs="Times New Roman"/>
        <w:sz w:val="20"/>
        <w:szCs w:val="20"/>
      </w:rPr>
      <w:t>0120</w:t>
    </w:r>
    <w:r>
      <w:rPr>
        <w:rFonts w:ascii="Times New Roman" w:hAnsi="Times New Roman" w:cs="Times New Roman"/>
        <w:sz w:val="20"/>
        <w:szCs w:val="20"/>
      </w:rPr>
      <w:t>_GrozAPL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20F8F" w14:textId="77777777" w:rsidR="008B5D21" w:rsidRDefault="008B5D21" w:rsidP="00894C55">
      <w:pPr>
        <w:spacing w:after="0" w:line="240" w:lineRule="auto"/>
      </w:pPr>
      <w:r>
        <w:separator/>
      </w:r>
    </w:p>
  </w:footnote>
  <w:footnote w:type="continuationSeparator" w:id="0">
    <w:p w14:paraId="2E030744" w14:textId="77777777" w:rsidR="008B5D21" w:rsidRDefault="008B5D21" w:rsidP="00894C55">
      <w:pPr>
        <w:spacing w:after="0" w:line="240" w:lineRule="auto"/>
      </w:pPr>
      <w:r>
        <w:continuationSeparator/>
      </w:r>
    </w:p>
  </w:footnote>
  <w:footnote w:type="continuationNotice" w:id="1">
    <w:p w14:paraId="6F431C56" w14:textId="77777777" w:rsidR="008B5D21" w:rsidRDefault="008B5D21">
      <w:pPr>
        <w:spacing w:after="0" w:line="240" w:lineRule="auto"/>
      </w:pPr>
    </w:p>
  </w:footnote>
  <w:footnote w:id="2">
    <w:p w14:paraId="11B5AA3B" w14:textId="4B84B243" w:rsidR="00A72B4D" w:rsidRDefault="00A72B4D">
      <w:pPr>
        <w:pStyle w:val="FootnoteText"/>
      </w:pPr>
      <w:r>
        <w:rPr>
          <w:rStyle w:val="FootnoteReference"/>
        </w:rPr>
        <w:footnoteRef/>
      </w:r>
      <w:r>
        <w:t xml:space="preserve"> </w:t>
      </w:r>
      <w:r w:rsidRPr="00A72B4D">
        <w:rPr>
          <w:rFonts w:ascii="Times New Roman" w:hAnsi="Times New Roman" w:cs="Times New Roman"/>
        </w:rPr>
        <w:t>Anotācijas tekstā lietotie vārdi “TV” un “televīzija” ir sinonīmi</w:t>
      </w:r>
      <w:r>
        <w:t xml:space="preserve"> </w:t>
      </w:r>
    </w:p>
  </w:footnote>
  <w:footnote w:id="3">
    <w:p w14:paraId="2BA5D424" w14:textId="5C69E08B" w:rsidR="00B801DC" w:rsidRPr="00B45975" w:rsidRDefault="00B801DC" w:rsidP="00B45975">
      <w:pPr>
        <w:autoSpaceDE w:val="0"/>
        <w:autoSpaceDN w:val="0"/>
        <w:adjustRightInd w:val="0"/>
        <w:spacing w:after="0" w:line="240" w:lineRule="auto"/>
        <w:rPr>
          <w:rFonts w:ascii="Times New Roman" w:hAnsi="Times New Roman" w:cs="Times New Roman"/>
          <w:sz w:val="24"/>
          <w:szCs w:val="24"/>
        </w:rPr>
      </w:pPr>
      <w:r w:rsidRPr="00E46344">
        <w:rPr>
          <w:rStyle w:val="FootnoteReference"/>
          <w:rFonts w:ascii="Times New Roman" w:hAnsi="Times New Roman" w:cs="Times New Roman"/>
        </w:rPr>
        <w:footnoteRef/>
      </w:r>
      <w:r w:rsidRPr="00E46344">
        <w:rPr>
          <w:rFonts w:ascii="Times New Roman" w:hAnsi="Times New Roman" w:cs="Times New Roman"/>
        </w:rPr>
        <w:t xml:space="preserve"> </w:t>
      </w:r>
      <w:r w:rsidRPr="00CC5FC8">
        <w:rPr>
          <w:rFonts w:ascii="Times New Roman" w:hAnsi="Times New Roman" w:cs="Times New Roman"/>
          <w:sz w:val="20"/>
          <w:szCs w:val="20"/>
        </w:rPr>
        <w:t>Arņ</w:t>
      </w:r>
      <w:r w:rsidR="000F56C0">
        <w:rPr>
          <w:rFonts w:ascii="Times New Roman" w:hAnsi="Times New Roman" w:cs="Times New Roman"/>
          <w:sz w:val="20"/>
          <w:szCs w:val="20"/>
        </w:rPr>
        <w:t>a</w:t>
      </w:r>
      <w:r w:rsidRPr="00CC5FC8">
        <w:rPr>
          <w:rFonts w:ascii="Times New Roman" w:hAnsi="Times New Roman" w:cs="Times New Roman"/>
          <w:sz w:val="20"/>
          <w:szCs w:val="20"/>
        </w:rPr>
        <w:t xml:space="preserve"> Sauka pētījums “Nelegālās maksas TV apraides apjoms Latvijā 2015., 2017. un 2018.gadā” , pieejams: </w:t>
      </w:r>
      <w:hyperlink r:id="rId1" w:history="1">
        <w:r w:rsidRPr="00CC5FC8">
          <w:rPr>
            <w:rStyle w:val="Hyperlink"/>
            <w:rFonts w:ascii="Times New Roman" w:hAnsi="Times New Roman" w:cs="Times New Roman"/>
            <w:sz w:val="20"/>
            <w:szCs w:val="20"/>
          </w:rPr>
          <w:t>http://www.parlegalusaturu.lv/media/1TV%20un%20Internets%202015%202017%202018.pdf</w:t>
        </w:r>
      </w:hyperlink>
      <w:r w:rsidRPr="00CC5FC8">
        <w:rPr>
          <w:rFonts w:ascii="Times New Roman" w:hAnsi="Times New Roman" w:cs="Times New Roman"/>
          <w:sz w:val="20"/>
          <w:szCs w:val="20"/>
        </w:rPr>
        <w:t xml:space="preserve"> </w:t>
      </w:r>
    </w:p>
    <w:p w14:paraId="5990C28C" w14:textId="22259697" w:rsidR="00B801DC" w:rsidRDefault="00B801DC" w:rsidP="00E463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B801DC" w:rsidRDefault="00B801DC" w14:paraId="0F22C916"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F7C5C">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1F69"/>
    <w:multiLevelType w:val="hybridMultilevel"/>
    <w:tmpl w:val="899A55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2D387C"/>
    <w:multiLevelType w:val="hybridMultilevel"/>
    <w:tmpl w:val="4FD4DE92"/>
    <w:lvl w:ilvl="0" w:tplc="513E22AA">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3347A5"/>
    <w:multiLevelType w:val="hybridMultilevel"/>
    <w:tmpl w:val="9AB21E38"/>
    <w:lvl w:ilvl="0" w:tplc="AAEEF6E0">
      <w:start w:val="1"/>
      <w:numFmt w:val="decimal"/>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A34A6">
      <w:start w:val="1"/>
      <w:numFmt w:val="lowerLetter"/>
      <w:lvlText w:val="%2"/>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2EC768">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A94D4">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4EA86">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64E38">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E7DA6">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25B26">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43F7A">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210BD5"/>
    <w:multiLevelType w:val="hybridMultilevel"/>
    <w:tmpl w:val="0728EDE6"/>
    <w:lvl w:ilvl="0" w:tplc="0290AF42">
      <w:start w:val="2019"/>
      <w:numFmt w:val="bullet"/>
      <w:lvlText w:val="-"/>
      <w:lvlJc w:val="left"/>
      <w:pPr>
        <w:ind w:left="720" w:hanging="360"/>
      </w:pPr>
      <w:rPr>
        <w:rFonts w:ascii="Times New Roman" w:eastAsiaTheme="minorHAnsi" w:hAnsi="Times New Roman" w:cs="Times New Roman" w:hint="default"/>
        <w:color w:val="000000" w:themeColor="text1"/>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DE67B23"/>
    <w:multiLevelType w:val="hybridMultilevel"/>
    <w:tmpl w:val="4D260A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1873A9"/>
    <w:multiLevelType w:val="hybridMultilevel"/>
    <w:tmpl w:val="56AC9ED4"/>
    <w:lvl w:ilvl="0" w:tplc="0C22CB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7" w15:restartNumberingAfterBreak="0">
    <w:nsid w:val="76A9160C"/>
    <w:multiLevelType w:val="hybridMultilevel"/>
    <w:tmpl w:val="D38E9F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AC8"/>
    <w:rsid w:val="0000272B"/>
    <w:rsid w:val="00002A8E"/>
    <w:rsid w:val="0000426A"/>
    <w:rsid w:val="00015053"/>
    <w:rsid w:val="000231F9"/>
    <w:rsid w:val="00024DE1"/>
    <w:rsid w:val="000250D1"/>
    <w:rsid w:val="0002521A"/>
    <w:rsid w:val="00031FD1"/>
    <w:rsid w:val="00051C8E"/>
    <w:rsid w:val="000618FF"/>
    <w:rsid w:val="00062A3A"/>
    <w:rsid w:val="000651E2"/>
    <w:rsid w:val="0006618F"/>
    <w:rsid w:val="00066B4A"/>
    <w:rsid w:val="00072F21"/>
    <w:rsid w:val="0007361A"/>
    <w:rsid w:val="00073D2D"/>
    <w:rsid w:val="00074C17"/>
    <w:rsid w:val="00081BFA"/>
    <w:rsid w:val="0008320C"/>
    <w:rsid w:val="00093A2F"/>
    <w:rsid w:val="00093CF5"/>
    <w:rsid w:val="000946F9"/>
    <w:rsid w:val="000959DF"/>
    <w:rsid w:val="000A71FF"/>
    <w:rsid w:val="000A753D"/>
    <w:rsid w:val="000B3AF5"/>
    <w:rsid w:val="000B4B1F"/>
    <w:rsid w:val="000C5F3A"/>
    <w:rsid w:val="000D2762"/>
    <w:rsid w:val="000D3D68"/>
    <w:rsid w:val="000E5AA3"/>
    <w:rsid w:val="000F56C0"/>
    <w:rsid w:val="000F59A4"/>
    <w:rsid w:val="000F712F"/>
    <w:rsid w:val="000F76C4"/>
    <w:rsid w:val="00100CCF"/>
    <w:rsid w:val="00102694"/>
    <w:rsid w:val="001054D7"/>
    <w:rsid w:val="00105ADF"/>
    <w:rsid w:val="00111EE2"/>
    <w:rsid w:val="00120071"/>
    <w:rsid w:val="0012086D"/>
    <w:rsid w:val="001256F9"/>
    <w:rsid w:val="00134444"/>
    <w:rsid w:val="001354F7"/>
    <w:rsid w:val="0014282C"/>
    <w:rsid w:val="00142898"/>
    <w:rsid w:val="00170907"/>
    <w:rsid w:val="00173F4F"/>
    <w:rsid w:val="001822E7"/>
    <w:rsid w:val="00183E01"/>
    <w:rsid w:val="00190BFB"/>
    <w:rsid w:val="001916C2"/>
    <w:rsid w:val="001A1CF1"/>
    <w:rsid w:val="001A48EF"/>
    <w:rsid w:val="001A685A"/>
    <w:rsid w:val="001C1DA7"/>
    <w:rsid w:val="001C4128"/>
    <w:rsid w:val="001D01F8"/>
    <w:rsid w:val="001D0523"/>
    <w:rsid w:val="001D41A6"/>
    <w:rsid w:val="001E1253"/>
    <w:rsid w:val="001E508D"/>
    <w:rsid w:val="001F75C4"/>
    <w:rsid w:val="00201E74"/>
    <w:rsid w:val="00202425"/>
    <w:rsid w:val="002101A6"/>
    <w:rsid w:val="00220477"/>
    <w:rsid w:val="00233BFD"/>
    <w:rsid w:val="00240558"/>
    <w:rsid w:val="00240588"/>
    <w:rsid w:val="002428FE"/>
    <w:rsid w:val="00243426"/>
    <w:rsid w:val="00243F49"/>
    <w:rsid w:val="00244D2A"/>
    <w:rsid w:val="00247B93"/>
    <w:rsid w:val="00260CCA"/>
    <w:rsid w:val="002614C7"/>
    <w:rsid w:val="002842C5"/>
    <w:rsid w:val="00287C2E"/>
    <w:rsid w:val="00291427"/>
    <w:rsid w:val="002A1D2C"/>
    <w:rsid w:val="002B10D4"/>
    <w:rsid w:val="002B77B5"/>
    <w:rsid w:val="002C2FCC"/>
    <w:rsid w:val="002C322B"/>
    <w:rsid w:val="002C52FA"/>
    <w:rsid w:val="002D59E6"/>
    <w:rsid w:val="002D5FD8"/>
    <w:rsid w:val="002E1C05"/>
    <w:rsid w:val="002E48EC"/>
    <w:rsid w:val="002F061B"/>
    <w:rsid w:val="00303037"/>
    <w:rsid w:val="00310899"/>
    <w:rsid w:val="003177C6"/>
    <w:rsid w:val="003238C9"/>
    <w:rsid w:val="003328BA"/>
    <w:rsid w:val="003409D0"/>
    <w:rsid w:val="003513A2"/>
    <w:rsid w:val="00353534"/>
    <w:rsid w:val="00354E2A"/>
    <w:rsid w:val="0036203F"/>
    <w:rsid w:val="00371FDF"/>
    <w:rsid w:val="00372DB6"/>
    <w:rsid w:val="003743E8"/>
    <w:rsid w:val="00382477"/>
    <w:rsid w:val="00383B96"/>
    <w:rsid w:val="00387137"/>
    <w:rsid w:val="00387782"/>
    <w:rsid w:val="00393BB9"/>
    <w:rsid w:val="00395B4D"/>
    <w:rsid w:val="00395B90"/>
    <w:rsid w:val="003974DD"/>
    <w:rsid w:val="003975FB"/>
    <w:rsid w:val="003A0C7D"/>
    <w:rsid w:val="003A1808"/>
    <w:rsid w:val="003A2074"/>
    <w:rsid w:val="003A4872"/>
    <w:rsid w:val="003A5A27"/>
    <w:rsid w:val="003B0BF9"/>
    <w:rsid w:val="003B3937"/>
    <w:rsid w:val="003B779C"/>
    <w:rsid w:val="003C0D1F"/>
    <w:rsid w:val="003C5DCF"/>
    <w:rsid w:val="003D756B"/>
    <w:rsid w:val="003E02ED"/>
    <w:rsid w:val="003E0791"/>
    <w:rsid w:val="003E1733"/>
    <w:rsid w:val="003E22B2"/>
    <w:rsid w:val="003E2A52"/>
    <w:rsid w:val="003F28AC"/>
    <w:rsid w:val="00400166"/>
    <w:rsid w:val="00400BD9"/>
    <w:rsid w:val="00407D32"/>
    <w:rsid w:val="004136BA"/>
    <w:rsid w:val="00414E0E"/>
    <w:rsid w:val="00414EF9"/>
    <w:rsid w:val="004177F2"/>
    <w:rsid w:val="00422425"/>
    <w:rsid w:val="004268F9"/>
    <w:rsid w:val="00426A9E"/>
    <w:rsid w:val="00427F37"/>
    <w:rsid w:val="00431660"/>
    <w:rsid w:val="004327AC"/>
    <w:rsid w:val="00432FE2"/>
    <w:rsid w:val="00437B37"/>
    <w:rsid w:val="00440FB4"/>
    <w:rsid w:val="00441350"/>
    <w:rsid w:val="00442382"/>
    <w:rsid w:val="00442924"/>
    <w:rsid w:val="004454FE"/>
    <w:rsid w:val="0044581F"/>
    <w:rsid w:val="00445F6D"/>
    <w:rsid w:val="00447AC3"/>
    <w:rsid w:val="00451609"/>
    <w:rsid w:val="00456E40"/>
    <w:rsid w:val="004601A9"/>
    <w:rsid w:val="004631CB"/>
    <w:rsid w:val="00465577"/>
    <w:rsid w:val="00466E2B"/>
    <w:rsid w:val="004715DF"/>
    <w:rsid w:val="00471F27"/>
    <w:rsid w:val="00475156"/>
    <w:rsid w:val="00480A02"/>
    <w:rsid w:val="00482B38"/>
    <w:rsid w:val="00493141"/>
    <w:rsid w:val="00493C13"/>
    <w:rsid w:val="004A25CB"/>
    <w:rsid w:val="004A3CB0"/>
    <w:rsid w:val="004A405D"/>
    <w:rsid w:val="004A54D4"/>
    <w:rsid w:val="004A735F"/>
    <w:rsid w:val="004C24B7"/>
    <w:rsid w:val="004D1C1F"/>
    <w:rsid w:val="004D33EB"/>
    <w:rsid w:val="004D4D06"/>
    <w:rsid w:val="004D79B6"/>
    <w:rsid w:val="004E4042"/>
    <w:rsid w:val="004F0A00"/>
    <w:rsid w:val="004F15C8"/>
    <w:rsid w:val="004F2924"/>
    <w:rsid w:val="00500952"/>
    <w:rsid w:val="0050178F"/>
    <w:rsid w:val="00501F6C"/>
    <w:rsid w:val="005126D8"/>
    <w:rsid w:val="0052296A"/>
    <w:rsid w:val="005229F9"/>
    <w:rsid w:val="00526F68"/>
    <w:rsid w:val="005300CD"/>
    <w:rsid w:val="005302F9"/>
    <w:rsid w:val="00530CDD"/>
    <w:rsid w:val="005312C3"/>
    <w:rsid w:val="005314B2"/>
    <w:rsid w:val="00532A17"/>
    <w:rsid w:val="00536186"/>
    <w:rsid w:val="00540297"/>
    <w:rsid w:val="005407E4"/>
    <w:rsid w:val="00545B2D"/>
    <w:rsid w:val="005477DF"/>
    <w:rsid w:val="00551275"/>
    <w:rsid w:val="00554A2C"/>
    <w:rsid w:val="00557483"/>
    <w:rsid w:val="005579D3"/>
    <w:rsid w:val="00561947"/>
    <w:rsid w:val="00564EB9"/>
    <w:rsid w:val="00574D49"/>
    <w:rsid w:val="005827D3"/>
    <w:rsid w:val="00595A92"/>
    <w:rsid w:val="005971F1"/>
    <w:rsid w:val="00597CFE"/>
    <w:rsid w:val="005A3406"/>
    <w:rsid w:val="005A350B"/>
    <w:rsid w:val="005A356E"/>
    <w:rsid w:val="005A6B8B"/>
    <w:rsid w:val="005A7200"/>
    <w:rsid w:val="005B07A2"/>
    <w:rsid w:val="005B1BDF"/>
    <w:rsid w:val="005B7E8A"/>
    <w:rsid w:val="005C004C"/>
    <w:rsid w:val="005C36C9"/>
    <w:rsid w:val="005C761E"/>
    <w:rsid w:val="005D00E3"/>
    <w:rsid w:val="005D3091"/>
    <w:rsid w:val="005D772C"/>
    <w:rsid w:val="005E08A9"/>
    <w:rsid w:val="005E1DBD"/>
    <w:rsid w:val="005E2971"/>
    <w:rsid w:val="005E5494"/>
    <w:rsid w:val="005E5685"/>
    <w:rsid w:val="005E59ED"/>
    <w:rsid w:val="005F11EF"/>
    <w:rsid w:val="005F7AD4"/>
    <w:rsid w:val="00614A48"/>
    <w:rsid w:val="00620238"/>
    <w:rsid w:val="00623DA4"/>
    <w:rsid w:val="0062506F"/>
    <w:rsid w:val="00627149"/>
    <w:rsid w:val="00627A71"/>
    <w:rsid w:val="00630441"/>
    <w:rsid w:val="006327CC"/>
    <w:rsid w:val="006478C0"/>
    <w:rsid w:val="00652541"/>
    <w:rsid w:val="00652ADF"/>
    <w:rsid w:val="00655F2C"/>
    <w:rsid w:val="00656755"/>
    <w:rsid w:val="006571DC"/>
    <w:rsid w:val="00664F49"/>
    <w:rsid w:val="00666D32"/>
    <w:rsid w:val="00671955"/>
    <w:rsid w:val="006725B4"/>
    <w:rsid w:val="00690848"/>
    <w:rsid w:val="00692B88"/>
    <w:rsid w:val="00694641"/>
    <w:rsid w:val="00695FEC"/>
    <w:rsid w:val="00697E9D"/>
    <w:rsid w:val="006A204F"/>
    <w:rsid w:val="006A2A14"/>
    <w:rsid w:val="006A750E"/>
    <w:rsid w:val="006B1293"/>
    <w:rsid w:val="006B4180"/>
    <w:rsid w:val="006B4A4F"/>
    <w:rsid w:val="006D3E06"/>
    <w:rsid w:val="006D6182"/>
    <w:rsid w:val="006D6B12"/>
    <w:rsid w:val="006E1081"/>
    <w:rsid w:val="006F34D0"/>
    <w:rsid w:val="006F7C5C"/>
    <w:rsid w:val="00701B4E"/>
    <w:rsid w:val="00706241"/>
    <w:rsid w:val="0071141F"/>
    <w:rsid w:val="00720585"/>
    <w:rsid w:val="007363F6"/>
    <w:rsid w:val="0073646D"/>
    <w:rsid w:val="00737E2D"/>
    <w:rsid w:val="0074054A"/>
    <w:rsid w:val="0074124E"/>
    <w:rsid w:val="00747011"/>
    <w:rsid w:val="0075190B"/>
    <w:rsid w:val="00752014"/>
    <w:rsid w:val="00755CB7"/>
    <w:rsid w:val="007630E4"/>
    <w:rsid w:val="00765411"/>
    <w:rsid w:val="007721C9"/>
    <w:rsid w:val="00773AF6"/>
    <w:rsid w:val="007758AA"/>
    <w:rsid w:val="007807A0"/>
    <w:rsid w:val="007840C9"/>
    <w:rsid w:val="00784B11"/>
    <w:rsid w:val="00791545"/>
    <w:rsid w:val="00795F71"/>
    <w:rsid w:val="007A46B3"/>
    <w:rsid w:val="007A48B1"/>
    <w:rsid w:val="007B5837"/>
    <w:rsid w:val="007C49DE"/>
    <w:rsid w:val="007C4A8D"/>
    <w:rsid w:val="007D1D8C"/>
    <w:rsid w:val="007D2BCE"/>
    <w:rsid w:val="007D7268"/>
    <w:rsid w:val="007D7C5B"/>
    <w:rsid w:val="007E5F7A"/>
    <w:rsid w:val="007E73AB"/>
    <w:rsid w:val="007F5292"/>
    <w:rsid w:val="007F56F6"/>
    <w:rsid w:val="007F78B5"/>
    <w:rsid w:val="008010D6"/>
    <w:rsid w:val="0080658C"/>
    <w:rsid w:val="0081059D"/>
    <w:rsid w:val="008106A3"/>
    <w:rsid w:val="0081133F"/>
    <w:rsid w:val="00811850"/>
    <w:rsid w:val="00812755"/>
    <w:rsid w:val="00816C11"/>
    <w:rsid w:val="00842068"/>
    <w:rsid w:val="0084441C"/>
    <w:rsid w:val="008449B1"/>
    <w:rsid w:val="00845B3F"/>
    <w:rsid w:val="008517C6"/>
    <w:rsid w:val="0085264D"/>
    <w:rsid w:val="00853C0D"/>
    <w:rsid w:val="00856DD7"/>
    <w:rsid w:val="0086035E"/>
    <w:rsid w:val="00862C60"/>
    <w:rsid w:val="008640E0"/>
    <w:rsid w:val="008806AE"/>
    <w:rsid w:val="00880889"/>
    <w:rsid w:val="008816FE"/>
    <w:rsid w:val="008822C0"/>
    <w:rsid w:val="00882A73"/>
    <w:rsid w:val="008872F9"/>
    <w:rsid w:val="00892413"/>
    <w:rsid w:val="00894C55"/>
    <w:rsid w:val="00897593"/>
    <w:rsid w:val="008A05FA"/>
    <w:rsid w:val="008B0E24"/>
    <w:rsid w:val="008B0E7B"/>
    <w:rsid w:val="008B299E"/>
    <w:rsid w:val="008B3B44"/>
    <w:rsid w:val="008B5D21"/>
    <w:rsid w:val="008B71CF"/>
    <w:rsid w:val="008C0C33"/>
    <w:rsid w:val="008C18BF"/>
    <w:rsid w:val="008C19FD"/>
    <w:rsid w:val="008C3661"/>
    <w:rsid w:val="008C38BE"/>
    <w:rsid w:val="008D1F11"/>
    <w:rsid w:val="008D33CD"/>
    <w:rsid w:val="008D76B1"/>
    <w:rsid w:val="008F4E53"/>
    <w:rsid w:val="00905FB2"/>
    <w:rsid w:val="009204D4"/>
    <w:rsid w:val="00927FC9"/>
    <w:rsid w:val="00940D9F"/>
    <w:rsid w:val="009419F8"/>
    <w:rsid w:val="009420B3"/>
    <w:rsid w:val="0094226C"/>
    <w:rsid w:val="00942A67"/>
    <w:rsid w:val="0095029F"/>
    <w:rsid w:val="009523D4"/>
    <w:rsid w:val="00952A1C"/>
    <w:rsid w:val="009542CF"/>
    <w:rsid w:val="0096032D"/>
    <w:rsid w:val="009604C8"/>
    <w:rsid w:val="0096092D"/>
    <w:rsid w:val="009615C9"/>
    <w:rsid w:val="00963E6A"/>
    <w:rsid w:val="00966A19"/>
    <w:rsid w:val="00976EA4"/>
    <w:rsid w:val="00980345"/>
    <w:rsid w:val="00986D9A"/>
    <w:rsid w:val="00986ECB"/>
    <w:rsid w:val="0098755E"/>
    <w:rsid w:val="0099038B"/>
    <w:rsid w:val="00991E55"/>
    <w:rsid w:val="009A20B4"/>
    <w:rsid w:val="009A2654"/>
    <w:rsid w:val="009B485B"/>
    <w:rsid w:val="009C2218"/>
    <w:rsid w:val="009D1A2A"/>
    <w:rsid w:val="009D1C0D"/>
    <w:rsid w:val="009D2202"/>
    <w:rsid w:val="009D3A26"/>
    <w:rsid w:val="009D5BB9"/>
    <w:rsid w:val="009E4DAA"/>
    <w:rsid w:val="009F48BB"/>
    <w:rsid w:val="009F5577"/>
    <w:rsid w:val="009F699F"/>
    <w:rsid w:val="009F6B57"/>
    <w:rsid w:val="00A046DA"/>
    <w:rsid w:val="00A04D9C"/>
    <w:rsid w:val="00A05E9E"/>
    <w:rsid w:val="00A05F35"/>
    <w:rsid w:val="00A0736E"/>
    <w:rsid w:val="00A10FC3"/>
    <w:rsid w:val="00A11B87"/>
    <w:rsid w:val="00A12CF4"/>
    <w:rsid w:val="00A12F12"/>
    <w:rsid w:val="00A21099"/>
    <w:rsid w:val="00A2171C"/>
    <w:rsid w:val="00A3559D"/>
    <w:rsid w:val="00A44066"/>
    <w:rsid w:val="00A5476F"/>
    <w:rsid w:val="00A6073E"/>
    <w:rsid w:val="00A65F57"/>
    <w:rsid w:val="00A674A5"/>
    <w:rsid w:val="00A7078B"/>
    <w:rsid w:val="00A72B4D"/>
    <w:rsid w:val="00A77AAE"/>
    <w:rsid w:val="00A868E8"/>
    <w:rsid w:val="00A86ED5"/>
    <w:rsid w:val="00A87420"/>
    <w:rsid w:val="00A95249"/>
    <w:rsid w:val="00A96E23"/>
    <w:rsid w:val="00AA6345"/>
    <w:rsid w:val="00AA7388"/>
    <w:rsid w:val="00AB13D6"/>
    <w:rsid w:val="00AC3F26"/>
    <w:rsid w:val="00AC7122"/>
    <w:rsid w:val="00AD01CD"/>
    <w:rsid w:val="00AD0E6E"/>
    <w:rsid w:val="00AE3F87"/>
    <w:rsid w:val="00AE5567"/>
    <w:rsid w:val="00AE7B0F"/>
    <w:rsid w:val="00AF1239"/>
    <w:rsid w:val="00AF33B8"/>
    <w:rsid w:val="00B07C61"/>
    <w:rsid w:val="00B110D8"/>
    <w:rsid w:val="00B11905"/>
    <w:rsid w:val="00B13E65"/>
    <w:rsid w:val="00B16480"/>
    <w:rsid w:val="00B213E1"/>
    <w:rsid w:val="00B2165C"/>
    <w:rsid w:val="00B33F9A"/>
    <w:rsid w:val="00B37FEA"/>
    <w:rsid w:val="00B42173"/>
    <w:rsid w:val="00B45975"/>
    <w:rsid w:val="00B53EC9"/>
    <w:rsid w:val="00B543C3"/>
    <w:rsid w:val="00B55B0A"/>
    <w:rsid w:val="00B571FA"/>
    <w:rsid w:val="00B57F45"/>
    <w:rsid w:val="00B614FE"/>
    <w:rsid w:val="00B661D3"/>
    <w:rsid w:val="00B71823"/>
    <w:rsid w:val="00B77546"/>
    <w:rsid w:val="00B80120"/>
    <w:rsid w:val="00B801DC"/>
    <w:rsid w:val="00B9508C"/>
    <w:rsid w:val="00B9508E"/>
    <w:rsid w:val="00B97DD4"/>
    <w:rsid w:val="00BA02C6"/>
    <w:rsid w:val="00BA20AA"/>
    <w:rsid w:val="00BA25FD"/>
    <w:rsid w:val="00BA29C7"/>
    <w:rsid w:val="00BA49BD"/>
    <w:rsid w:val="00BB044A"/>
    <w:rsid w:val="00BB7EF5"/>
    <w:rsid w:val="00BC0506"/>
    <w:rsid w:val="00BC4F63"/>
    <w:rsid w:val="00BC54D0"/>
    <w:rsid w:val="00BC71CC"/>
    <w:rsid w:val="00BD3FCA"/>
    <w:rsid w:val="00BD4078"/>
    <w:rsid w:val="00BD4425"/>
    <w:rsid w:val="00BD6742"/>
    <w:rsid w:val="00BE412D"/>
    <w:rsid w:val="00BE64AF"/>
    <w:rsid w:val="00BE6B83"/>
    <w:rsid w:val="00BF0ED4"/>
    <w:rsid w:val="00BF148A"/>
    <w:rsid w:val="00BF5888"/>
    <w:rsid w:val="00BF6F98"/>
    <w:rsid w:val="00C0186F"/>
    <w:rsid w:val="00C0433F"/>
    <w:rsid w:val="00C04D5B"/>
    <w:rsid w:val="00C17C23"/>
    <w:rsid w:val="00C25B49"/>
    <w:rsid w:val="00C27B1A"/>
    <w:rsid w:val="00C3157C"/>
    <w:rsid w:val="00C34147"/>
    <w:rsid w:val="00C36CED"/>
    <w:rsid w:val="00C43300"/>
    <w:rsid w:val="00C45E83"/>
    <w:rsid w:val="00C47576"/>
    <w:rsid w:val="00C56FB0"/>
    <w:rsid w:val="00C57E46"/>
    <w:rsid w:val="00C73E60"/>
    <w:rsid w:val="00C76CD7"/>
    <w:rsid w:val="00C8115F"/>
    <w:rsid w:val="00C8462E"/>
    <w:rsid w:val="00C8795C"/>
    <w:rsid w:val="00C87B61"/>
    <w:rsid w:val="00C9074C"/>
    <w:rsid w:val="00C92497"/>
    <w:rsid w:val="00C94741"/>
    <w:rsid w:val="00C959AD"/>
    <w:rsid w:val="00C96EEF"/>
    <w:rsid w:val="00C97994"/>
    <w:rsid w:val="00CB2916"/>
    <w:rsid w:val="00CB312E"/>
    <w:rsid w:val="00CC0D2D"/>
    <w:rsid w:val="00CC35EB"/>
    <w:rsid w:val="00CC4DDE"/>
    <w:rsid w:val="00CC5FC8"/>
    <w:rsid w:val="00CD2841"/>
    <w:rsid w:val="00CD43A6"/>
    <w:rsid w:val="00CD65E1"/>
    <w:rsid w:val="00CD7587"/>
    <w:rsid w:val="00CE23EA"/>
    <w:rsid w:val="00CE410F"/>
    <w:rsid w:val="00CE5657"/>
    <w:rsid w:val="00CF3604"/>
    <w:rsid w:val="00CF6FCB"/>
    <w:rsid w:val="00D07071"/>
    <w:rsid w:val="00D074A3"/>
    <w:rsid w:val="00D133F8"/>
    <w:rsid w:val="00D13CD3"/>
    <w:rsid w:val="00D13FFA"/>
    <w:rsid w:val="00D14828"/>
    <w:rsid w:val="00D14A3E"/>
    <w:rsid w:val="00D158F6"/>
    <w:rsid w:val="00D15CD3"/>
    <w:rsid w:val="00D307D2"/>
    <w:rsid w:val="00D33F77"/>
    <w:rsid w:val="00D35B26"/>
    <w:rsid w:val="00D35F02"/>
    <w:rsid w:val="00D370B3"/>
    <w:rsid w:val="00D4365C"/>
    <w:rsid w:val="00D43AFD"/>
    <w:rsid w:val="00D43D8D"/>
    <w:rsid w:val="00D5322F"/>
    <w:rsid w:val="00D60E06"/>
    <w:rsid w:val="00D6680A"/>
    <w:rsid w:val="00D7259B"/>
    <w:rsid w:val="00D801F7"/>
    <w:rsid w:val="00D905B0"/>
    <w:rsid w:val="00D95C75"/>
    <w:rsid w:val="00D9740D"/>
    <w:rsid w:val="00D974EF"/>
    <w:rsid w:val="00DB7DD9"/>
    <w:rsid w:val="00DC4607"/>
    <w:rsid w:val="00DC733E"/>
    <w:rsid w:val="00DC779E"/>
    <w:rsid w:val="00DD32BE"/>
    <w:rsid w:val="00DD5E07"/>
    <w:rsid w:val="00DE333A"/>
    <w:rsid w:val="00E044A1"/>
    <w:rsid w:val="00E06941"/>
    <w:rsid w:val="00E07B4F"/>
    <w:rsid w:val="00E100E1"/>
    <w:rsid w:val="00E10E95"/>
    <w:rsid w:val="00E16747"/>
    <w:rsid w:val="00E1683E"/>
    <w:rsid w:val="00E31994"/>
    <w:rsid w:val="00E31FF6"/>
    <w:rsid w:val="00E33283"/>
    <w:rsid w:val="00E3530B"/>
    <w:rsid w:val="00E35B57"/>
    <w:rsid w:val="00E3716B"/>
    <w:rsid w:val="00E46344"/>
    <w:rsid w:val="00E51EF9"/>
    <w:rsid w:val="00E52A25"/>
    <w:rsid w:val="00E5323B"/>
    <w:rsid w:val="00E53FE4"/>
    <w:rsid w:val="00E55249"/>
    <w:rsid w:val="00E669C5"/>
    <w:rsid w:val="00E673F9"/>
    <w:rsid w:val="00E67B5C"/>
    <w:rsid w:val="00E80137"/>
    <w:rsid w:val="00E80ADF"/>
    <w:rsid w:val="00E87065"/>
    <w:rsid w:val="00E8749E"/>
    <w:rsid w:val="00E90C01"/>
    <w:rsid w:val="00E9536B"/>
    <w:rsid w:val="00E956BB"/>
    <w:rsid w:val="00EA24D3"/>
    <w:rsid w:val="00EA3491"/>
    <w:rsid w:val="00EA486E"/>
    <w:rsid w:val="00EA62F9"/>
    <w:rsid w:val="00EA6D02"/>
    <w:rsid w:val="00EA6ECE"/>
    <w:rsid w:val="00EB4722"/>
    <w:rsid w:val="00EB69DB"/>
    <w:rsid w:val="00EC027A"/>
    <w:rsid w:val="00EC07A8"/>
    <w:rsid w:val="00EC3A27"/>
    <w:rsid w:val="00ED114D"/>
    <w:rsid w:val="00ED334A"/>
    <w:rsid w:val="00EF68F6"/>
    <w:rsid w:val="00F10903"/>
    <w:rsid w:val="00F11EC4"/>
    <w:rsid w:val="00F1201D"/>
    <w:rsid w:val="00F127B0"/>
    <w:rsid w:val="00F20FE3"/>
    <w:rsid w:val="00F27B7A"/>
    <w:rsid w:val="00F31777"/>
    <w:rsid w:val="00F36F5D"/>
    <w:rsid w:val="00F37B06"/>
    <w:rsid w:val="00F43795"/>
    <w:rsid w:val="00F45A6E"/>
    <w:rsid w:val="00F478F6"/>
    <w:rsid w:val="00F503A8"/>
    <w:rsid w:val="00F51740"/>
    <w:rsid w:val="00F51DBE"/>
    <w:rsid w:val="00F53814"/>
    <w:rsid w:val="00F55C90"/>
    <w:rsid w:val="00F57B0C"/>
    <w:rsid w:val="00F57B13"/>
    <w:rsid w:val="00F637DC"/>
    <w:rsid w:val="00F641AD"/>
    <w:rsid w:val="00F645D3"/>
    <w:rsid w:val="00F65383"/>
    <w:rsid w:val="00F70BFD"/>
    <w:rsid w:val="00F71E1B"/>
    <w:rsid w:val="00F740A6"/>
    <w:rsid w:val="00F92C7F"/>
    <w:rsid w:val="00FA281F"/>
    <w:rsid w:val="00FB1075"/>
    <w:rsid w:val="00FB53FE"/>
    <w:rsid w:val="00FB72E8"/>
    <w:rsid w:val="00FC40CE"/>
    <w:rsid w:val="00FC5426"/>
    <w:rsid w:val="00FC5AB7"/>
    <w:rsid w:val="00FD4E38"/>
    <w:rsid w:val="00FD7A18"/>
    <w:rsid w:val="00FE1C94"/>
    <w:rsid w:val="00FE556C"/>
    <w:rsid w:val="00FF1050"/>
    <w:rsid w:val="00FF4C25"/>
    <w:rsid w:val="00F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BE182D"/>
  <w15:docId w15:val="{4750CB0B-0058-4DF6-B0F8-059B10A7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387782"/>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unhideWhenUsed/>
    <w:qFormat/>
    <w:rsid w:val="00D35B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7F78B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aliases w:val="2"/>
    <w:basedOn w:val="Normal"/>
    <w:link w:val="ListParagraphChar"/>
    <w:uiPriority w:val="34"/>
    <w:qFormat/>
    <w:rsid w:val="007F78B5"/>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v213">
    <w:name w:val="tv213"/>
    <w:basedOn w:val="Normal"/>
    <w:rsid w:val="007F78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2 Char"/>
    <w:link w:val="ListParagraph"/>
    <w:uiPriority w:val="34"/>
    <w:locked/>
    <w:rsid w:val="007F78B5"/>
    <w:rPr>
      <w:rFonts w:ascii="Times New Roman" w:eastAsia="Times New Roman" w:hAnsi="Times New Roman" w:cs="Times New Roman"/>
      <w:sz w:val="24"/>
      <w:szCs w:val="24"/>
      <w:lang w:eastAsia="lv-LV"/>
    </w:rPr>
  </w:style>
  <w:style w:type="table" w:styleId="TableGrid">
    <w:name w:val="Table Grid"/>
    <w:basedOn w:val="TableNormal"/>
    <w:uiPriority w:val="59"/>
    <w:rsid w:val="007F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7F78B5"/>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rsid w:val="007F78B5"/>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rsid w:val="007F78B5"/>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9"/>
    <w:rsid w:val="00387782"/>
    <w:rPr>
      <w:rFonts w:ascii="Cambria" w:eastAsia="Times New Roman" w:hAnsi="Cambria" w:cs="Times New Roman"/>
      <w:b/>
      <w:bCs/>
      <w:sz w:val="26"/>
      <w:szCs w:val="26"/>
      <w:lang w:val="en-US"/>
    </w:rPr>
  </w:style>
  <w:style w:type="paragraph" w:styleId="BodyText">
    <w:name w:val="Body Text"/>
    <w:basedOn w:val="Normal"/>
    <w:link w:val="BodyTextChar"/>
    <w:uiPriority w:val="99"/>
    <w:semiHidden/>
    <w:unhideWhenUsed/>
    <w:rsid w:val="009A20B4"/>
    <w:pPr>
      <w:spacing w:after="120"/>
    </w:pPr>
  </w:style>
  <w:style w:type="character" w:customStyle="1" w:styleId="BodyTextChar">
    <w:name w:val="Body Text Char"/>
    <w:basedOn w:val="DefaultParagraphFont"/>
    <w:link w:val="BodyText"/>
    <w:uiPriority w:val="99"/>
    <w:semiHidden/>
    <w:rsid w:val="009A20B4"/>
  </w:style>
  <w:style w:type="character" w:customStyle="1" w:styleId="UnresolvedMention1">
    <w:name w:val="Unresolved Mention1"/>
    <w:basedOn w:val="DefaultParagraphFont"/>
    <w:uiPriority w:val="99"/>
    <w:semiHidden/>
    <w:unhideWhenUsed/>
    <w:rsid w:val="00AD01CD"/>
    <w:rPr>
      <w:color w:val="605E5C"/>
      <w:shd w:val="clear" w:color="auto" w:fill="E1DFDD"/>
    </w:rPr>
  </w:style>
  <w:style w:type="character" w:styleId="CommentReference">
    <w:name w:val="annotation reference"/>
    <w:basedOn w:val="DefaultParagraphFont"/>
    <w:uiPriority w:val="99"/>
    <w:semiHidden/>
    <w:unhideWhenUsed/>
    <w:rsid w:val="00BA29C7"/>
    <w:rPr>
      <w:sz w:val="16"/>
      <w:szCs w:val="16"/>
    </w:rPr>
  </w:style>
  <w:style w:type="paragraph" w:styleId="CommentText">
    <w:name w:val="annotation text"/>
    <w:basedOn w:val="Normal"/>
    <w:link w:val="CommentTextChar"/>
    <w:uiPriority w:val="99"/>
    <w:unhideWhenUsed/>
    <w:rsid w:val="00BA29C7"/>
    <w:pPr>
      <w:spacing w:line="240" w:lineRule="auto"/>
    </w:pPr>
    <w:rPr>
      <w:sz w:val="20"/>
      <w:szCs w:val="20"/>
    </w:rPr>
  </w:style>
  <w:style w:type="character" w:customStyle="1" w:styleId="CommentTextChar">
    <w:name w:val="Comment Text Char"/>
    <w:basedOn w:val="DefaultParagraphFont"/>
    <w:link w:val="CommentText"/>
    <w:uiPriority w:val="99"/>
    <w:rsid w:val="00BA29C7"/>
    <w:rPr>
      <w:sz w:val="20"/>
      <w:szCs w:val="20"/>
    </w:rPr>
  </w:style>
  <w:style w:type="paragraph" w:styleId="CommentSubject">
    <w:name w:val="annotation subject"/>
    <w:basedOn w:val="CommentText"/>
    <w:next w:val="CommentText"/>
    <w:link w:val="CommentSubjectChar"/>
    <w:uiPriority w:val="99"/>
    <w:semiHidden/>
    <w:unhideWhenUsed/>
    <w:rsid w:val="00BA29C7"/>
    <w:rPr>
      <w:b/>
      <w:bCs/>
    </w:rPr>
  </w:style>
  <w:style w:type="character" w:customStyle="1" w:styleId="CommentSubjectChar">
    <w:name w:val="Comment Subject Char"/>
    <w:basedOn w:val="CommentTextChar"/>
    <w:link w:val="CommentSubject"/>
    <w:uiPriority w:val="99"/>
    <w:semiHidden/>
    <w:rsid w:val="00BA29C7"/>
    <w:rPr>
      <w:b/>
      <w:bCs/>
      <w:sz w:val="20"/>
      <w:szCs w:val="20"/>
    </w:rPr>
  </w:style>
  <w:style w:type="paragraph" w:customStyle="1" w:styleId="Default">
    <w:name w:val="Default"/>
    <w:rsid w:val="00F1201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1201D"/>
    <w:rPr>
      <w:b/>
      <w:bCs/>
    </w:rPr>
  </w:style>
  <w:style w:type="paragraph" w:styleId="NormalWeb">
    <w:name w:val="Normal (Web)"/>
    <w:basedOn w:val="Normal"/>
    <w:uiPriority w:val="99"/>
    <w:semiHidden/>
    <w:unhideWhenUsed/>
    <w:rsid w:val="000F76C4"/>
    <w:rPr>
      <w:rFonts w:ascii="Times New Roman" w:hAnsi="Times New Roman" w:cs="Times New Roman"/>
      <w:sz w:val="24"/>
      <w:szCs w:val="24"/>
    </w:rPr>
  </w:style>
  <w:style w:type="table" w:styleId="GridTable1Light-Accent3">
    <w:name w:val="Grid Table 1 Light Accent 3"/>
    <w:basedOn w:val="TableNormal"/>
    <w:uiPriority w:val="46"/>
    <w:rsid w:val="00614A4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t1">
    <w:name w:val="st1"/>
    <w:basedOn w:val="DefaultParagraphFont"/>
    <w:rsid w:val="00A05F35"/>
  </w:style>
  <w:style w:type="paragraph" w:customStyle="1" w:styleId="liknoteik">
    <w:name w:val="lik_noteik"/>
    <w:basedOn w:val="Normal"/>
    <w:rsid w:val="0070624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70624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rsid w:val="00D35B26"/>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2B1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0D4"/>
    <w:rPr>
      <w:sz w:val="20"/>
      <w:szCs w:val="20"/>
    </w:rPr>
  </w:style>
  <w:style w:type="character" w:styleId="FootnoteReference">
    <w:name w:val="footnote reference"/>
    <w:basedOn w:val="DefaultParagraphFont"/>
    <w:uiPriority w:val="99"/>
    <w:semiHidden/>
    <w:unhideWhenUsed/>
    <w:rsid w:val="002B10D4"/>
    <w:rPr>
      <w:vertAlign w:val="superscript"/>
    </w:rPr>
  </w:style>
  <w:style w:type="character" w:customStyle="1" w:styleId="UnresolvedMention2">
    <w:name w:val="Unresolved Mention2"/>
    <w:basedOn w:val="DefaultParagraphFont"/>
    <w:uiPriority w:val="99"/>
    <w:semiHidden/>
    <w:unhideWhenUsed/>
    <w:rsid w:val="00B45975"/>
    <w:rPr>
      <w:color w:val="605E5C"/>
      <w:shd w:val="clear" w:color="auto" w:fill="E1DFDD"/>
    </w:rPr>
  </w:style>
  <w:style w:type="paragraph" w:styleId="Revision">
    <w:name w:val="Revision"/>
    <w:hidden/>
    <w:uiPriority w:val="99"/>
    <w:semiHidden/>
    <w:rsid w:val="00B801DC"/>
    <w:pPr>
      <w:spacing w:after="0" w:line="240" w:lineRule="auto"/>
    </w:pPr>
  </w:style>
  <w:style w:type="character" w:styleId="UnresolvedMention">
    <w:name w:val="Unresolved Mention"/>
    <w:basedOn w:val="DefaultParagraphFont"/>
    <w:uiPriority w:val="99"/>
    <w:semiHidden/>
    <w:unhideWhenUsed/>
    <w:rsid w:val="00810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023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0388591">
      <w:bodyDiv w:val="1"/>
      <w:marLeft w:val="0"/>
      <w:marRight w:val="0"/>
      <w:marTop w:val="0"/>
      <w:marBottom w:val="0"/>
      <w:divBdr>
        <w:top w:val="none" w:sz="0" w:space="0" w:color="auto"/>
        <w:left w:val="none" w:sz="0" w:space="0" w:color="auto"/>
        <w:bottom w:val="none" w:sz="0" w:space="0" w:color="auto"/>
        <w:right w:val="none" w:sz="0" w:space="0" w:color="auto"/>
      </w:divBdr>
    </w:div>
    <w:div w:id="1132597681">
      <w:bodyDiv w:val="1"/>
      <w:marLeft w:val="0"/>
      <w:marRight w:val="0"/>
      <w:marTop w:val="0"/>
      <w:marBottom w:val="0"/>
      <w:divBdr>
        <w:top w:val="none" w:sz="0" w:space="0" w:color="auto"/>
        <w:left w:val="none" w:sz="0" w:space="0" w:color="auto"/>
        <w:bottom w:val="none" w:sz="0" w:space="0" w:color="auto"/>
        <w:right w:val="none" w:sz="0" w:space="0" w:color="auto"/>
      </w:divBdr>
    </w:div>
    <w:div w:id="1135181514">
      <w:bodyDiv w:val="1"/>
      <w:marLeft w:val="0"/>
      <w:marRight w:val="0"/>
      <w:marTop w:val="0"/>
      <w:marBottom w:val="0"/>
      <w:divBdr>
        <w:top w:val="none" w:sz="0" w:space="0" w:color="auto"/>
        <w:left w:val="none" w:sz="0" w:space="0" w:color="auto"/>
        <w:bottom w:val="none" w:sz="0" w:space="0" w:color="auto"/>
        <w:right w:val="none" w:sz="0" w:space="0" w:color="auto"/>
      </w:divBdr>
    </w:div>
    <w:div w:id="122324689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5365236">
      <w:bodyDiv w:val="1"/>
      <w:marLeft w:val="0"/>
      <w:marRight w:val="0"/>
      <w:marTop w:val="0"/>
      <w:marBottom w:val="0"/>
      <w:divBdr>
        <w:top w:val="none" w:sz="0" w:space="0" w:color="auto"/>
        <w:left w:val="none" w:sz="0" w:space="0" w:color="auto"/>
        <w:bottom w:val="none" w:sz="0" w:space="0" w:color="auto"/>
        <w:right w:val="none" w:sz="0" w:space="0" w:color="auto"/>
      </w:divBdr>
    </w:div>
    <w:div w:id="1705204198">
      <w:bodyDiv w:val="1"/>
      <w:marLeft w:val="0"/>
      <w:marRight w:val="0"/>
      <w:marTop w:val="0"/>
      <w:marBottom w:val="0"/>
      <w:divBdr>
        <w:top w:val="none" w:sz="0" w:space="0" w:color="auto"/>
        <w:left w:val="none" w:sz="0" w:space="0" w:color="auto"/>
        <w:bottom w:val="none" w:sz="0" w:space="0" w:color="auto"/>
        <w:right w:val="none" w:sz="0" w:space="0" w:color="auto"/>
      </w:divBdr>
    </w:div>
    <w:div w:id="1829900761">
      <w:bodyDiv w:val="1"/>
      <w:marLeft w:val="0"/>
      <w:marRight w:val="0"/>
      <w:marTop w:val="0"/>
      <w:marBottom w:val="0"/>
      <w:divBdr>
        <w:top w:val="none" w:sz="0" w:space="0" w:color="auto"/>
        <w:left w:val="none" w:sz="0" w:space="0" w:color="auto"/>
        <w:bottom w:val="none" w:sz="0" w:space="0" w:color="auto"/>
        <w:right w:val="none" w:sz="0" w:space="0" w:color="auto"/>
      </w:divBdr>
    </w:div>
    <w:div w:id="1987127083">
      <w:bodyDiv w:val="1"/>
      <w:marLeft w:val="0"/>
      <w:marRight w:val="0"/>
      <w:marTop w:val="0"/>
      <w:marBottom w:val="0"/>
      <w:divBdr>
        <w:top w:val="none" w:sz="0" w:space="0" w:color="auto"/>
        <w:left w:val="none" w:sz="0" w:space="0" w:color="auto"/>
        <w:bottom w:val="none" w:sz="0" w:space="0" w:color="auto"/>
        <w:right w:val="none" w:sz="0" w:space="0" w:color="auto"/>
      </w:divBdr>
    </w:div>
    <w:div w:id="2047093766">
      <w:bodyDiv w:val="1"/>
      <w:marLeft w:val="0"/>
      <w:marRight w:val="0"/>
      <w:marTop w:val="0"/>
      <w:marBottom w:val="0"/>
      <w:divBdr>
        <w:top w:val="none" w:sz="0" w:space="0" w:color="auto"/>
        <w:left w:val="none" w:sz="0" w:space="0" w:color="auto"/>
        <w:bottom w:val="none" w:sz="0" w:space="0" w:color="auto"/>
        <w:right w:val="none" w:sz="0" w:space="0" w:color="auto"/>
      </w:divBdr>
    </w:div>
    <w:div w:id="21080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plpadome.lv/lv/sakums/kabelu-operatori/registr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gov.lv/sm/content/?cat=553"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parlegalusaturu.lv/media/1TV%20un%20Internets%202015%202017%2020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410A2"/>
    <w:rsid w:val="00057C8B"/>
    <w:rsid w:val="00084514"/>
    <w:rsid w:val="001106A8"/>
    <w:rsid w:val="001F1F72"/>
    <w:rsid w:val="002F1E5E"/>
    <w:rsid w:val="00344186"/>
    <w:rsid w:val="003D2F11"/>
    <w:rsid w:val="00472F39"/>
    <w:rsid w:val="004B1334"/>
    <w:rsid w:val="00523A63"/>
    <w:rsid w:val="00533AC1"/>
    <w:rsid w:val="005823DA"/>
    <w:rsid w:val="008519C0"/>
    <w:rsid w:val="008576CA"/>
    <w:rsid w:val="008B623B"/>
    <w:rsid w:val="008D39C9"/>
    <w:rsid w:val="009912A0"/>
    <w:rsid w:val="009B702F"/>
    <w:rsid w:val="009C1B4C"/>
    <w:rsid w:val="00AD4A2F"/>
    <w:rsid w:val="00AD7CF6"/>
    <w:rsid w:val="00AF43F0"/>
    <w:rsid w:val="00B35886"/>
    <w:rsid w:val="00B3767C"/>
    <w:rsid w:val="00C00671"/>
    <w:rsid w:val="00C40C19"/>
    <w:rsid w:val="00CF7887"/>
    <w:rsid w:val="00E20951"/>
    <w:rsid w:val="00E26300"/>
    <w:rsid w:val="00ED5039"/>
    <w:rsid w:val="00F1730D"/>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6865-8AC3-49EC-AD4F-9F9AB0F0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9646</Words>
  <Characters>5499</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Grozojumi Aizsargāta pakalpojuma likumā</vt:lpstr>
      <vt:lpstr>Grozojumi Elektronisko sakaru likumā</vt:lpstr>
    </vt:vector>
  </TitlesOfParts>
  <Company>Satiksmes ministrija</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Grozojumi Aizsargāta pakalpojuma likumā</dc:title>
  <dc:subject>Anotācija</dc:subject>
  <dc:creator>Diāna Kristapsone</dc:creator>
  <dc:description>67028043, diana.kristapsone@sam.gov.lv</dc:description>
  <cp:lastModifiedBy>Diāna Kristapsone</cp:lastModifiedBy>
  <cp:revision>15</cp:revision>
  <cp:lastPrinted>2020-01-27T08:29:00Z</cp:lastPrinted>
  <dcterms:created xsi:type="dcterms:W3CDTF">2020-02-04T14:18:00Z</dcterms:created>
  <dcterms:modified xsi:type="dcterms:W3CDTF">2020-02-24T13:50:00Z</dcterms:modified>
</cp:coreProperties>
</file>