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B5C" w:rsidR="006D19F0" w:rsidP="006D19F0" w:rsidRDefault="006D19F0" w14:paraId="09ACABEF" w14:textId="77777777">
      <w:pPr>
        <w:spacing w:after="0" w:line="240" w:lineRule="auto"/>
        <w:jc w:val="center"/>
        <w:rPr>
          <w:rFonts w:ascii="Times New Roman" w:hAnsi="Times New Roman" w:cs="Times New Roman"/>
          <w:b/>
          <w:sz w:val="24"/>
          <w:szCs w:val="24"/>
        </w:rPr>
      </w:pPr>
      <w:bookmarkStart w:name="_GoBack" w:id="0"/>
      <w:bookmarkEnd w:id="0"/>
      <w:r w:rsidRPr="00F92B5C">
        <w:rPr>
          <w:rFonts w:ascii="Times New Roman" w:hAnsi="Times New Roman" w:cs="Times New Roman"/>
          <w:b/>
          <w:sz w:val="24"/>
          <w:szCs w:val="24"/>
        </w:rPr>
        <w:t>Informatīvais ziņojums</w:t>
      </w:r>
    </w:p>
    <w:p w:rsidRPr="00F92B5C" w:rsidR="006D19F0" w:rsidP="006D19F0" w:rsidRDefault="006D19F0" w14:paraId="404CB8F4" w14:textId="38ADD846">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 xml:space="preserve">"Par atļauju Tieslietu ministrijai </w:t>
      </w:r>
      <w:r w:rsidR="00F5164C">
        <w:rPr>
          <w:rFonts w:ascii="Times New Roman" w:hAnsi="Times New Roman" w:cs="Times New Roman"/>
          <w:b/>
          <w:sz w:val="24"/>
          <w:szCs w:val="24"/>
        </w:rPr>
        <w:t>(</w:t>
      </w:r>
      <w:r w:rsidRPr="00F92B5C" w:rsidR="00E97F23">
        <w:rPr>
          <w:rFonts w:ascii="Times New Roman" w:hAnsi="Times New Roman" w:cs="Times New Roman"/>
          <w:b/>
          <w:sz w:val="24"/>
          <w:szCs w:val="24"/>
        </w:rPr>
        <w:t>Tiesu administrācijai</w:t>
      </w:r>
      <w:r w:rsidR="00185194">
        <w:rPr>
          <w:rFonts w:ascii="Times New Roman" w:hAnsi="Times New Roman" w:cs="Times New Roman"/>
          <w:b/>
          <w:sz w:val="24"/>
          <w:szCs w:val="24"/>
        </w:rPr>
        <w:t xml:space="preserve"> un Valsts tiesu ekspertīžu birojam</w:t>
      </w:r>
      <w:r w:rsidRPr="00F92B5C" w:rsidR="003A4F31">
        <w:rPr>
          <w:rFonts w:ascii="Times New Roman" w:hAnsi="Times New Roman" w:cs="Times New Roman"/>
          <w:b/>
          <w:sz w:val="24"/>
          <w:szCs w:val="24"/>
        </w:rPr>
        <w:t>)</w:t>
      </w:r>
      <w:r w:rsidRPr="00F92B5C">
        <w:rPr>
          <w:rFonts w:ascii="Times New Roman" w:hAnsi="Times New Roman" w:cs="Times New Roman"/>
          <w:b/>
          <w:sz w:val="24"/>
          <w:szCs w:val="24"/>
        </w:rPr>
        <w:t xml:space="preserve"> uzņemties papildu saistības un īstenot projektu</w:t>
      </w:r>
      <w:r w:rsidRPr="00F92B5C" w:rsidR="003A4F31">
        <w:rPr>
          <w:rFonts w:ascii="Times New Roman" w:hAnsi="Times New Roman" w:cs="Times New Roman"/>
          <w:b/>
          <w:sz w:val="24"/>
          <w:szCs w:val="24"/>
        </w:rPr>
        <w:t>s</w:t>
      </w:r>
      <w:r w:rsidRPr="00F92B5C">
        <w:rPr>
          <w:rFonts w:ascii="Times New Roman" w:hAnsi="Times New Roman" w:cs="Times New Roman"/>
          <w:b/>
          <w:sz w:val="24"/>
          <w:szCs w:val="24"/>
        </w:rPr>
        <w:t>, piesaistot finansējumu no ārvalstu finanšu instrument</w:t>
      </w:r>
      <w:r w:rsidRPr="00F92B5C" w:rsidR="006762F9">
        <w:rPr>
          <w:rFonts w:ascii="Times New Roman" w:hAnsi="Times New Roman" w:cs="Times New Roman"/>
          <w:b/>
          <w:sz w:val="24"/>
          <w:szCs w:val="24"/>
        </w:rPr>
        <w:t>iem</w:t>
      </w:r>
      <w:r w:rsidRPr="00F92B5C" w:rsidR="009F6DA5">
        <w:rPr>
          <w:rFonts w:ascii="Times New Roman" w:hAnsi="Times New Roman" w:cs="Times New Roman"/>
          <w:b/>
          <w:sz w:val="24"/>
          <w:szCs w:val="24"/>
        </w:rPr>
        <w:t>"</w:t>
      </w:r>
    </w:p>
    <w:p w:rsidRPr="00F92B5C" w:rsidR="006D19F0" w:rsidP="008032AC" w:rsidRDefault="006D19F0" w14:paraId="5A604D45" w14:textId="4DFBD1DE">
      <w:pPr>
        <w:spacing w:after="0" w:line="240" w:lineRule="auto"/>
        <w:jc w:val="both"/>
        <w:rPr>
          <w:rFonts w:ascii="Times New Roman" w:hAnsi="Times New Roman" w:cs="Times New Roman"/>
          <w:sz w:val="24"/>
          <w:szCs w:val="24"/>
        </w:rPr>
      </w:pPr>
    </w:p>
    <w:p w:rsidRPr="00F92B5C" w:rsidR="00FA2163" w:rsidP="008032AC" w:rsidRDefault="00FA2163" w14:paraId="50AF01E5" w14:textId="77777777">
      <w:pPr>
        <w:spacing w:after="0" w:line="240" w:lineRule="auto"/>
        <w:jc w:val="both"/>
        <w:rPr>
          <w:rFonts w:ascii="Times New Roman" w:hAnsi="Times New Roman" w:cs="Times New Roman"/>
          <w:sz w:val="24"/>
          <w:szCs w:val="24"/>
        </w:rPr>
      </w:pPr>
    </w:p>
    <w:p w:rsidRPr="00F92B5C" w:rsidR="006D19F0" w:rsidP="006D19F0" w:rsidRDefault="006D19F0" w14:paraId="3B8127BC" w14:textId="77777777">
      <w:pPr>
        <w:spacing w:after="0" w:line="240" w:lineRule="auto"/>
        <w:contextualSpacing/>
        <w:jc w:val="center"/>
        <w:rPr>
          <w:rFonts w:ascii="Times New Roman" w:hAnsi="Times New Roman" w:cs="Times New Roman"/>
          <w:b/>
          <w:sz w:val="24"/>
          <w:szCs w:val="28"/>
        </w:rPr>
      </w:pPr>
      <w:r w:rsidRPr="00F92B5C">
        <w:rPr>
          <w:rFonts w:ascii="Times New Roman" w:hAnsi="Times New Roman" w:cs="Times New Roman"/>
          <w:b/>
          <w:sz w:val="24"/>
          <w:szCs w:val="28"/>
        </w:rPr>
        <w:t>1. Pamatojums informatīvā ziņojuma virzībai</w:t>
      </w:r>
    </w:p>
    <w:p w:rsidRPr="00F92B5C" w:rsidR="006D19F0" w:rsidP="008032AC" w:rsidRDefault="006D19F0" w14:paraId="64DE1EB4" w14:textId="77777777">
      <w:pPr>
        <w:spacing w:after="0" w:line="240" w:lineRule="auto"/>
        <w:jc w:val="both"/>
        <w:rPr>
          <w:rFonts w:ascii="Times New Roman" w:hAnsi="Times New Roman" w:cs="Times New Roman"/>
          <w:sz w:val="24"/>
          <w:szCs w:val="24"/>
        </w:rPr>
      </w:pPr>
    </w:p>
    <w:p w:rsidRPr="00F92B5C" w:rsidR="006D19F0" w:rsidP="00FA2163" w:rsidRDefault="006D19F0" w14:paraId="384CBD34" w14:textId="0C933E0B">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rsidRPr="00F92B5C" w:rsidR="006917A8" w:rsidP="006917A8" w:rsidRDefault="006917A8" w14:paraId="3560F47F" w14:textId="4F8C2315">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Jauniem ES politiku instrumentu un pārējās ārvalstu finanšu palīdzības līdzfinansētiem projektiem, kuru īstenošanas kārtību nenosaka neviens normatīvais akts, finanšu līdzekļus piešķir atbilstoši Ministru kabineta 2012. gada 31. jūlija noteikumu Nr. 523 "Noteikumi par budžeta pieprasījumu izstrādāšanas un iesniegšanas pamatprincipiem" 34.3. apakšpunktam, pamatojoties uz Ministru kabineta lēmumu par tiesībām uzņemties jaunas valsts budžeta ilgtermiņa saistības.</w:t>
      </w:r>
    </w:p>
    <w:p w:rsidRPr="00F92B5C" w:rsidR="005F0114" w:rsidP="005F0114" w:rsidRDefault="005F0114" w14:paraId="7A0E62A8" w14:textId="70BC25BC">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Tieslietu ministrija</w:t>
      </w:r>
      <w:r w:rsidR="00534E67">
        <w:rPr>
          <w:rFonts w:ascii="Times New Roman" w:hAnsi="Times New Roman" w:cs="Times New Roman"/>
          <w:sz w:val="24"/>
          <w:szCs w:val="24"/>
        </w:rPr>
        <w:t>s</w:t>
      </w:r>
      <w:r w:rsidRPr="00F92B5C">
        <w:rPr>
          <w:rFonts w:ascii="Times New Roman" w:hAnsi="Times New Roman" w:cs="Times New Roman"/>
          <w:sz w:val="24"/>
          <w:szCs w:val="24"/>
        </w:rPr>
        <w:t xml:space="preserve"> (turpmāk</w:t>
      </w:r>
      <w:r w:rsidR="00F47D28">
        <w:rPr>
          <w:rFonts w:ascii="Times New Roman" w:hAnsi="Times New Roman" w:cs="Times New Roman"/>
          <w:sz w:val="24"/>
          <w:szCs w:val="24"/>
        </w:rPr>
        <w:t> </w:t>
      </w:r>
      <w:r w:rsidRPr="00F92B5C">
        <w:rPr>
          <w:rFonts w:ascii="Times New Roman" w:hAnsi="Times New Roman" w:cs="Times New Roman"/>
          <w:sz w:val="24"/>
          <w:szCs w:val="24"/>
        </w:rPr>
        <w:t>–</w:t>
      </w:r>
      <w:r w:rsidR="00F47D28">
        <w:rPr>
          <w:rFonts w:ascii="Times New Roman" w:hAnsi="Times New Roman" w:cs="Times New Roman"/>
          <w:sz w:val="24"/>
          <w:szCs w:val="24"/>
        </w:rPr>
        <w:t> </w:t>
      </w:r>
      <w:r w:rsidRPr="00F92B5C">
        <w:rPr>
          <w:rFonts w:ascii="Times New Roman" w:hAnsi="Times New Roman" w:cs="Times New Roman"/>
          <w:sz w:val="24"/>
          <w:szCs w:val="24"/>
        </w:rPr>
        <w:t>TM) padotības iestāde</w:t>
      </w:r>
      <w:r w:rsidR="00534E67">
        <w:rPr>
          <w:rFonts w:ascii="Times New Roman" w:hAnsi="Times New Roman" w:cs="Times New Roman"/>
          <w:sz w:val="24"/>
          <w:szCs w:val="24"/>
        </w:rPr>
        <w:t>s</w:t>
      </w:r>
      <w:r w:rsidRPr="00F92B5C">
        <w:rPr>
          <w:rFonts w:ascii="Times New Roman" w:hAnsi="Times New Roman" w:cs="Times New Roman"/>
          <w:sz w:val="24"/>
          <w:szCs w:val="24"/>
        </w:rPr>
        <w:t xml:space="preserve"> Tiesu administrācija (turpmāk</w:t>
      </w:r>
      <w:r w:rsidRPr="00F92B5C" w:rsidR="008C26E7">
        <w:rPr>
          <w:rFonts w:ascii="Times New Roman" w:hAnsi="Times New Roman" w:cs="Times New Roman"/>
          <w:sz w:val="24"/>
          <w:szCs w:val="24"/>
        </w:rPr>
        <w:t> </w:t>
      </w:r>
      <w:r w:rsidRPr="00F92B5C">
        <w:rPr>
          <w:rFonts w:ascii="Times New Roman" w:hAnsi="Times New Roman" w:cs="Times New Roman"/>
          <w:sz w:val="24"/>
          <w:szCs w:val="24"/>
        </w:rPr>
        <w:t>–</w:t>
      </w:r>
      <w:r w:rsidRPr="00F92B5C" w:rsidR="008C26E7">
        <w:rPr>
          <w:rFonts w:ascii="Times New Roman" w:hAnsi="Times New Roman" w:cs="Times New Roman"/>
          <w:sz w:val="24"/>
          <w:szCs w:val="24"/>
        </w:rPr>
        <w:t> </w:t>
      </w:r>
      <w:r w:rsidRPr="00F92B5C">
        <w:rPr>
          <w:rFonts w:ascii="Times New Roman" w:hAnsi="Times New Roman" w:cs="Times New Roman"/>
          <w:sz w:val="24"/>
          <w:szCs w:val="24"/>
        </w:rPr>
        <w:t xml:space="preserve">TA) </w:t>
      </w:r>
      <w:r w:rsidR="00534E67">
        <w:rPr>
          <w:rFonts w:ascii="Times New Roman" w:hAnsi="Times New Roman" w:cs="Times New Roman"/>
          <w:sz w:val="24"/>
          <w:szCs w:val="24"/>
        </w:rPr>
        <w:t>un Valsts tiesu ek</w:t>
      </w:r>
      <w:r w:rsidR="00F5164C">
        <w:rPr>
          <w:rFonts w:ascii="Times New Roman" w:hAnsi="Times New Roman" w:cs="Times New Roman"/>
          <w:sz w:val="24"/>
          <w:szCs w:val="24"/>
        </w:rPr>
        <w:t>s</w:t>
      </w:r>
      <w:r w:rsidR="00534E67">
        <w:rPr>
          <w:rFonts w:ascii="Times New Roman" w:hAnsi="Times New Roman" w:cs="Times New Roman"/>
          <w:sz w:val="24"/>
          <w:szCs w:val="24"/>
        </w:rPr>
        <w:t xml:space="preserve">pertīžu birojs (turpmāk – VTEB) </w:t>
      </w:r>
      <w:r w:rsidRPr="00F92B5C">
        <w:rPr>
          <w:rFonts w:ascii="Times New Roman" w:hAnsi="Times New Roman" w:cs="Times New Roman"/>
          <w:sz w:val="24"/>
          <w:szCs w:val="24"/>
        </w:rPr>
        <w:t>ir izrādījušas iniciatīvu piedalīties ārvalstu finanšu instrumentu finansētos projektu konkursos</w:t>
      </w:r>
      <w:r w:rsidRPr="00F92B5C" w:rsidR="006F0261">
        <w:rPr>
          <w:rFonts w:ascii="Times New Roman" w:hAnsi="Times New Roman" w:cs="Times New Roman"/>
          <w:sz w:val="24"/>
          <w:szCs w:val="24"/>
        </w:rPr>
        <w:t>, iesniedzot projektu iesniegumus un</w:t>
      </w:r>
      <w:r w:rsidR="00F47D28">
        <w:rPr>
          <w:rFonts w:ascii="Times New Roman" w:hAnsi="Times New Roman" w:cs="Times New Roman"/>
          <w:sz w:val="24"/>
          <w:szCs w:val="24"/>
        </w:rPr>
        <w:t xml:space="preserve"> iegūstot tiesības īstenot projektus, piesaistot finansējumu no ārvalstu finanšu instrumentiem.</w:t>
      </w:r>
    </w:p>
    <w:p w:rsidR="0014737F" w:rsidP="00FA2163" w:rsidRDefault="00136E42" w14:paraId="4123450C" w14:textId="7727AC40">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TA</w:t>
      </w:r>
      <w:r w:rsidRPr="00F92B5C" w:rsidR="009334E1">
        <w:rPr>
          <w:rFonts w:ascii="Times New Roman" w:hAnsi="Times New Roman" w:cs="Times New Roman"/>
          <w:sz w:val="24"/>
          <w:szCs w:val="24"/>
        </w:rPr>
        <w:t xml:space="preserve"> </w:t>
      </w:r>
      <w:r w:rsidRPr="00F92B5C" w:rsidR="006D19F0">
        <w:rPr>
          <w:rFonts w:ascii="Times New Roman" w:hAnsi="Times New Roman" w:cs="Times New Roman"/>
          <w:sz w:val="24"/>
          <w:szCs w:val="24"/>
        </w:rPr>
        <w:t>ir</w:t>
      </w:r>
      <w:r w:rsidRPr="00F92B5C">
        <w:rPr>
          <w:rFonts w:ascii="Times New Roman" w:hAnsi="Times New Roman" w:cs="Times New Roman"/>
          <w:sz w:val="24"/>
          <w:szCs w:val="24"/>
        </w:rPr>
        <w:t xml:space="preserve"> ieguv</w:t>
      </w:r>
      <w:r w:rsidRPr="00F92B5C" w:rsidR="006D5BAF">
        <w:rPr>
          <w:rFonts w:ascii="Times New Roman" w:hAnsi="Times New Roman" w:cs="Times New Roman"/>
          <w:sz w:val="24"/>
          <w:szCs w:val="24"/>
        </w:rPr>
        <w:t>usi</w:t>
      </w:r>
      <w:r w:rsidRPr="00F92B5C">
        <w:rPr>
          <w:rFonts w:ascii="Times New Roman" w:hAnsi="Times New Roman" w:cs="Times New Roman"/>
          <w:sz w:val="24"/>
          <w:szCs w:val="24"/>
        </w:rPr>
        <w:t xml:space="preserve"> </w:t>
      </w:r>
      <w:r w:rsidRPr="00F92B5C" w:rsidR="0014737F">
        <w:rPr>
          <w:rFonts w:ascii="Times New Roman" w:hAnsi="Times New Roman" w:cs="Times New Roman"/>
          <w:sz w:val="24"/>
          <w:szCs w:val="24"/>
        </w:rPr>
        <w:t xml:space="preserve">tiesības īstenot </w:t>
      </w:r>
      <w:r w:rsidRPr="00F92B5C" w:rsidR="005D27B4">
        <w:rPr>
          <w:rFonts w:ascii="Times New Roman" w:hAnsi="Times New Roman" w:cs="Times New Roman"/>
          <w:sz w:val="24"/>
          <w:szCs w:val="24"/>
        </w:rPr>
        <w:t xml:space="preserve">projektu </w:t>
      </w:r>
      <w:bookmarkStart w:name="_Hlk32222080" w:id="1"/>
      <w:r w:rsidRPr="000024B4" w:rsidR="00EA00AA">
        <w:rPr>
          <w:rFonts w:ascii="Times New Roman" w:hAnsi="Times New Roman" w:cs="Times New Roman"/>
          <w:sz w:val="24"/>
          <w:szCs w:val="24"/>
        </w:rPr>
        <w:t xml:space="preserve">"Dalībvalstu zemesgrāmatu starpsavienojuma platformas savienojums 2 </w:t>
      </w:r>
      <w:r w:rsidR="00F47D28">
        <w:rPr>
          <w:rFonts w:ascii="Times New Roman" w:hAnsi="Times New Roman" w:cs="Times New Roman"/>
          <w:sz w:val="24"/>
          <w:szCs w:val="24"/>
        </w:rPr>
        <w:t>–</w:t>
      </w:r>
      <w:r w:rsidRPr="000024B4" w:rsidR="00F47D28">
        <w:rPr>
          <w:rFonts w:ascii="Times New Roman" w:hAnsi="Times New Roman" w:cs="Times New Roman"/>
          <w:sz w:val="24"/>
          <w:szCs w:val="24"/>
        </w:rPr>
        <w:t xml:space="preserve"> </w:t>
      </w:r>
      <w:r w:rsidRPr="000024B4" w:rsidR="00EA00AA">
        <w:rPr>
          <w:rFonts w:ascii="Times New Roman" w:hAnsi="Times New Roman" w:cs="Times New Roman"/>
          <w:sz w:val="24"/>
          <w:szCs w:val="24"/>
        </w:rPr>
        <w:t>centrālās zemesgrāmatu savienojuma (LRI) platformas izstrāde papildu dalībvalstīm"</w:t>
      </w:r>
      <w:bookmarkEnd w:id="1"/>
      <w:r w:rsidRPr="000024B4" w:rsidR="00EA00AA">
        <w:rPr>
          <w:rFonts w:ascii="Times New Roman" w:hAnsi="Times New Roman" w:cs="Times New Roman"/>
          <w:sz w:val="24"/>
          <w:szCs w:val="24"/>
        </w:rPr>
        <w:t xml:space="preserve"> (angļu valodā </w:t>
      </w:r>
      <w:r w:rsidR="00F47D28">
        <w:rPr>
          <w:rFonts w:ascii="Times New Roman" w:hAnsi="Times New Roman" w:cs="Times New Roman"/>
          <w:sz w:val="24"/>
          <w:szCs w:val="24"/>
        </w:rPr>
        <w:t>–</w:t>
      </w:r>
      <w:r w:rsidRPr="000024B4" w:rsidR="00F47D28">
        <w:rPr>
          <w:rFonts w:ascii="Times New Roman" w:hAnsi="Times New Roman" w:cs="Times New Roman"/>
          <w:sz w:val="24"/>
          <w:szCs w:val="24"/>
        </w:rPr>
        <w:t xml:space="preserve"> </w:t>
      </w:r>
      <w:r w:rsidRPr="000024B4" w:rsidR="00EA00AA">
        <w:rPr>
          <w:rFonts w:ascii="Times New Roman" w:hAnsi="Times New Roman" w:cs="Times New Roman"/>
          <w:i/>
          <w:iCs/>
          <w:sz w:val="24"/>
          <w:szCs w:val="24"/>
        </w:rPr>
        <w:t xml:space="preserve">LRI </w:t>
      </w:r>
      <w:proofErr w:type="spellStart"/>
      <w:r w:rsidRPr="000024B4" w:rsidR="00EA00AA">
        <w:rPr>
          <w:rFonts w:ascii="Times New Roman" w:hAnsi="Times New Roman" w:cs="Times New Roman"/>
          <w:i/>
          <w:iCs/>
          <w:sz w:val="24"/>
          <w:szCs w:val="24"/>
        </w:rPr>
        <w:t>Member</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State</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Connection</w:t>
      </w:r>
      <w:proofErr w:type="spellEnd"/>
      <w:r w:rsidRPr="000024B4" w:rsidR="00EA00AA">
        <w:rPr>
          <w:rFonts w:ascii="Times New Roman" w:hAnsi="Times New Roman" w:cs="Times New Roman"/>
          <w:i/>
          <w:iCs/>
          <w:sz w:val="24"/>
          <w:szCs w:val="24"/>
        </w:rPr>
        <w:t xml:space="preserve"> 2 – </w:t>
      </w:r>
      <w:proofErr w:type="spellStart"/>
      <w:r w:rsidRPr="000024B4" w:rsidR="00EA00AA">
        <w:rPr>
          <w:rFonts w:ascii="Times New Roman" w:hAnsi="Times New Roman" w:cs="Times New Roman"/>
          <w:i/>
          <w:iCs/>
          <w:sz w:val="24"/>
          <w:szCs w:val="24"/>
        </w:rPr>
        <w:t>Connection</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of</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additional</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Member</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States</w:t>
      </w:r>
      <w:proofErr w:type="spellEnd"/>
      <w:r w:rsidRPr="000024B4" w:rsidR="00EA00AA">
        <w:rPr>
          <w:rFonts w:ascii="Times New Roman" w:hAnsi="Times New Roman" w:cs="Times New Roman"/>
          <w:i/>
          <w:iCs/>
          <w:sz w:val="24"/>
          <w:szCs w:val="24"/>
        </w:rPr>
        <w:t xml:space="preserve"> to </w:t>
      </w:r>
      <w:proofErr w:type="spellStart"/>
      <w:r w:rsidRPr="000024B4" w:rsidR="00EA00AA">
        <w:rPr>
          <w:rFonts w:ascii="Times New Roman" w:hAnsi="Times New Roman" w:cs="Times New Roman"/>
          <w:i/>
          <w:iCs/>
          <w:sz w:val="24"/>
          <w:szCs w:val="24"/>
        </w:rPr>
        <w:t>the</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Land</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Registers</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Interconnection</w:t>
      </w:r>
      <w:proofErr w:type="spellEnd"/>
      <w:r w:rsidRPr="000024B4" w:rsidR="00EA00AA">
        <w:rPr>
          <w:rFonts w:ascii="Times New Roman" w:hAnsi="Times New Roman" w:cs="Times New Roman"/>
          <w:i/>
          <w:iCs/>
          <w:sz w:val="24"/>
          <w:szCs w:val="24"/>
        </w:rPr>
        <w:t xml:space="preserve"> </w:t>
      </w:r>
      <w:proofErr w:type="spellStart"/>
      <w:r w:rsidRPr="000024B4" w:rsidR="00EA00AA">
        <w:rPr>
          <w:rFonts w:ascii="Times New Roman" w:hAnsi="Times New Roman" w:cs="Times New Roman"/>
          <w:i/>
          <w:iCs/>
          <w:sz w:val="24"/>
          <w:szCs w:val="24"/>
        </w:rPr>
        <w:t>Platform</w:t>
      </w:r>
      <w:proofErr w:type="spellEnd"/>
      <w:r w:rsidRPr="000024B4" w:rsidR="00EA00AA">
        <w:rPr>
          <w:rFonts w:ascii="Times New Roman" w:hAnsi="Times New Roman" w:cs="Times New Roman"/>
          <w:sz w:val="24"/>
          <w:szCs w:val="24"/>
        </w:rPr>
        <w:t xml:space="preserve">) </w:t>
      </w:r>
      <w:r w:rsidRPr="00F92B5C" w:rsidR="00A942E8">
        <w:rPr>
          <w:rFonts w:ascii="Times New Roman" w:hAnsi="Times New Roman" w:cs="Times New Roman"/>
          <w:sz w:val="24"/>
          <w:szCs w:val="24"/>
        </w:rPr>
        <w:t>" (turpmāk</w:t>
      </w:r>
      <w:r w:rsidR="00BB3183">
        <w:rPr>
          <w:rFonts w:ascii="Times New Roman" w:hAnsi="Times New Roman" w:cs="Times New Roman"/>
          <w:sz w:val="24"/>
          <w:szCs w:val="24"/>
        </w:rPr>
        <w:t> </w:t>
      </w:r>
      <w:r w:rsidRPr="00F92B5C" w:rsidR="00A942E8">
        <w:rPr>
          <w:rFonts w:ascii="Times New Roman" w:hAnsi="Times New Roman" w:cs="Times New Roman"/>
          <w:sz w:val="24"/>
          <w:szCs w:val="24"/>
        </w:rPr>
        <w:t>–</w:t>
      </w:r>
      <w:r w:rsidR="00F5164C">
        <w:rPr>
          <w:rFonts w:ascii="Times New Roman" w:hAnsi="Times New Roman" w:cs="Times New Roman"/>
          <w:sz w:val="24"/>
          <w:szCs w:val="24"/>
        </w:rPr>
        <w:t> </w:t>
      </w:r>
      <w:r w:rsidR="00EA00AA">
        <w:rPr>
          <w:rFonts w:ascii="Times New Roman" w:hAnsi="Times New Roman" w:cs="Times New Roman"/>
          <w:sz w:val="24"/>
          <w:szCs w:val="24"/>
        </w:rPr>
        <w:t>LRI II</w:t>
      </w:r>
      <w:r w:rsidRPr="00F92B5C" w:rsidR="00A942E8">
        <w:rPr>
          <w:rFonts w:ascii="Times New Roman" w:hAnsi="Times New Roman" w:cs="Times New Roman"/>
          <w:sz w:val="24"/>
          <w:szCs w:val="24"/>
        </w:rPr>
        <w:t xml:space="preserve"> projekts)</w:t>
      </w:r>
      <w:r w:rsidR="00EA00AA">
        <w:rPr>
          <w:rFonts w:ascii="Times New Roman" w:hAnsi="Times New Roman" w:cs="Times New Roman"/>
          <w:sz w:val="24"/>
          <w:szCs w:val="24"/>
        </w:rPr>
        <w:t xml:space="preserve"> partnerinstitūcijas statusā </w:t>
      </w:r>
      <w:r w:rsidRPr="00F92B5C" w:rsidR="005D27B4">
        <w:rPr>
          <w:rFonts w:ascii="Times New Roman" w:hAnsi="Times New Roman" w:cs="Times New Roman"/>
          <w:sz w:val="24"/>
          <w:szCs w:val="24"/>
        </w:rPr>
        <w:t xml:space="preserve">Eiropas Komisijas </w:t>
      </w:r>
      <w:r w:rsidRPr="00F92B5C" w:rsidR="00D80E65">
        <w:rPr>
          <w:rFonts w:ascii="Times New Roman" w:hAnsi="Times New Roman" w:cs="Times New Roman"/>
          <w:sz w:val="24"/>
          <w:szCs w:val="24"/>
        </w:rPr>
        <w:t xml:space="preserve">(turpmāk – EK) </w:t>
      </w:r>
      <w:r w:rsidRPr="00F92B5C" w:rsidR="005D27B4">
        <w:rPr>
          <w:rFonts w:ascii="Times New Roman" w:hAnsi="Times New Roman" w:cs="Times New Roman"/>
          <w:sz w:val="24"/>
          <w:szCs w:val="24"/>
        </w:rPr>
        <w:t xml:space="preserve">Tieslietu direktorāta </w:t>
      </w:r>
      <w:r w:rsidRPr="00F92B5C" w:rsidR="00D80E65">
        <w:rPr>
          <w:rFonts w:ascii="Times New Roman" w:hAnsi="Times New Roman" w:cs="Times New Roman"/>
          <w:sz w:val="24"/>
          <w:szCs w:val="24"/>
        </w:rPr>
        <w:t xml:space="preserve">finanšu </w:t>
      </w:r>
      <w:r w:rsidRPr="00F92B5C" w:rsidR="005D27B4">
        <w:rPr>
          <w:rFonts w:ascii="Times New Roman" w:hAnsi="Times New Roman" w:cs="Times New Roman"/>
          <w:sz w:val="24"/>
          <w:szCs w:val="24"/>
        </w:rPr>
        <w:t>programmas "Tiesiskums 2014–2020"</w:t>
      </w:r>
      <w:r w:rsidRPr="00F92B5C" w:rsidR="00D80E65">
        <w:rPr>
          <w:rStyle w:val="Vresatsauce"/>
          <w:rFonts w:ascii="Times New Roman" w:hAnsi="Times New Roman" w:cs="Times New Roman"/>
          <w:sz w:val="24"/>
          <w:szCs w:val="24"/>
        </w:rPr>
        <w:footnoteReference w:id="1"/>
      </w:r>
      <w:r w:rsidRPr="00F92B5C" w:rsidR="005D27B4">
        <w:rPr>
          <w:rFonts w:ascii="Times New Roman" w:hAnsi="Times New Roman" w:cs="Times New Roman"/>
          <w:sz w:val="24"/>
          <w:szCs w:val="24"/>
        </w:rPr>
        <w:t xml:space="preserve"> (turpmāk – </w:t>
      </w:r>
      <w:bookmarkStart w:name="_Hlk30163270" w:id="2"/>
      <w:r w:rsidRPr="00F92B5C" w:rsidR="005D27B4">
        <w:rPr>
          <w:rFonts w:ascii="Times New Roman" w:hAnsi="Times New Roman" w:cs="Times New Roman"/>
          <w:sz w:val="24"/>
          <w:szCs w:val="24"/>
        </w:rPr>
        <w:t>Programma "Tiesiskums 2014–2020"</w:t>
      </w:r>
      <w:bookmarkEnd w:id="2"/>
      <w:r w:rsidRPr="00F92B5C" w:rsidR="005D27B4">
        <w:rPr>
          <w:rFonts w:ascii="Times New Roman" w:hAnsi="Times New Roman" w:cs="Times New Roman"/>
          <w:sz w:val="24"/>
          <w:szCs w:val="24"/>
        </w:rPr>
        <w:t xml:space="preserve">) </w:t>
      </w:r>
      <w:r w:rsidRPr="00F92B5C" w:rsidR="0014737F">
        <w:rPr>
          <w:rFonts w:ascii="Times New Roman" w:hAnsi="Times New Roman" w:cs="Times New Roman"/>
          <w:sz w:val="24"/>
          <w:szCs w:val="24"/>
        </w:rPr>
        <w:t>atklāt</w:t>
      </w:r>
      <w:r w:rsidRPr="00F92B5C" w:rsidR="005D27B4">
        <w:rPr>
          <w:rFonts w:ascii="Times New Roman" w:hAnsi="Times New Roman" w:cs="Times New Roman"/>
          <w:sz w:val="24"/>
          <w:szCs w:val="24"/>
        </w:rPr>
        <w:t>ā</w:t>
      </w:r>
      <w:r w:rsidRPr="00F92B5C" w:rsidR="0014737F">
        <w:rPr>
          <w:rFonts w:ascii="Times New Roman" w:hAnsi="Times New Roman" w:cs="Times New Roman"/>
          <w:sz w:val="24"/>
          <w:szCs w:val="24"/>
        </w:rPr>
        <w:t xml:space="preserve"> konkurs</w:t>
      </w:r>
      <w:r w:rsidRPr="00F92B5C" w:rsidR="00D80E65">
        <w:rPr>
          <w:rFonts w:ascii="Times New Roman" w:hAnsi="Times New Roman" w:cs="Times New Roman"/>
          <w:sz w:val="24"/>
          <w:szCs w:val="24"/>
        </w:rPr>
        <w:t>ā</w:t>
      </w:r>
      <w:r w:rsidRPr="00F92B5C" w:rsidR="0014737F">
        <w:rPr>
          <w:rFonts w:ascii="Times New Roman" w:hAnsi="Times New Roman" w:cs="Times New Roman"/>
          <w:sz w:val="24"/>
          <w:szCs w:val="24"/>
        </w:rPr>
        <w:t xml:space="preserve"> </w:t>
      </w:r>
      <w:r w:rsidRPr="00F92B5C" w:rsidR="005D27B4">
        <w:rPr>
          <w:rFonts w:ascii="Times New Roman" w:hAnsi="Times New Roman" w:cs="Times New Roman"/>
          <w:sz w:val="24"/>
          <w:szCs w:val="24"/>
        </w:rPr>
        <w:t>Nr.</w:t>
      </w:r>
      <w:r w:rsidRPr="00F92B5C" w:rsidR="003861C7">
        <w:rPr>
          <w:rFonts w:ascii="Times New Roman" w:hAnsi="Times New Roman" w:cs="Times New Roman"/>
          <w:sz w:val="24"/>
          <w:szCs w:val="24"/>
        </w:rPr>
        <w:t> </w:t>
      </w:r>
      <w:r w:rsidRPr="00F92B5C" w:rsidR="005D27B4">
        <w:rPr>
          <w:rFonts w:ascii="Times New Roman" w:hAnsi="Times New Roman" w:cs="Times New Roman"/>
          <w:sz w:val="24"/>
          <w:szCs w:val="24"/>
        </w:rPr>
        <w:t>JUST-JACC-EJU-AG-201</w:t>
      </w:r>
      <w:r w:rsidRPr="00F92B5C" w:rsidR="005F0114">
        <w:rPr>
          <w:rFonts w:ascii="Times New Roman" w:hAnsi="Times New Roman" w:cs="Times New Roman"/>
          <w:sz w:val="24"/>
          <w:szCs w:val="24"/>
        </w:rPr>
        <w:t>9</w:t>
      </w:r>
      <w:r w:rsidRPr="00F92B5C" w:rsidR="005D27B4">
        <w:rPr>
          <w:rStyle w:val="Vresatsauce"/>
          <w:rFonts w:ascii="Times New Roman" w:hAnsi="Times New Roman" w:cs="Times New Roman"/>
          <w:sz w:val="24"/>
          <w:szCs w:val="24"/>
        </w:rPr>
        <w:footnoteReference w:id="2"/>
      </w:r>
      <w:r w:rsidRPr="00F92B5C" w:rsidR="00EC65DF">
        <w:rPr>
          <w:rFonts w:ascii="Times New Roman" w:hAnsi="Times New Roman" w:cs="Times New Roman"/>
          <w:sz w:val="24"/>
          <w:szCs w:val="24"/>
        </w:rPr>
        <w:t xml:space="preserve"> (turpmāk – </w:t>
      </w:r>
      <w:r w:rsidRPr="00F92B5C" w:rsidR="00D24AE2">
        <w:rPr>
          <w:rFonts w:ascii="Times New Roman" w:hAnsi="Times New Roman" w:cs="Times New Roman"/>
          <w:sz w:val="24"/>
          <w:szCs w:val="24"/>
        </w:rPr>
        <w:t>e-Tiesiskuma konkurss)</w:t>
      </w:r>
      <w:r w:rsidRPr="00F92B5C" w:rsidR="005D27B4">
        <w:rPr>
          <w:rFonts w:ascii="Times New Roman" w:hAnsi="Times New Roman" w:cs="Times New Roman"/>
          <w:sz w:val="24"/>
          <w:szCs w:val="24"/>
        </w:rPr>
        <w:t xml:space="preserve"> </w:t>
      </w:r>
      <w:r w:rsidRPr="00F92B5C" w:rsidR="0014737F">
        <w:rPr>
          <w:rFonts w:ascii="Times New Roman" w:hAnsi="Times New Roman" w:cs="Times New Roman"/>
          <w:sz w:val="24"/>
          <w:szCs w:val="24"/>
        </w:rPr>
        <w:t>starptautisku</w:t>
      </w:r>
      <w:r w:rsidRPr="00F92B5C" w:rsidR="0079063A">
        <w:rPr>
          <w:rFonts w:ascii="Times New Roman" w:hAnsi="Times New Roman" w:cs="Times New Roman"/>
          <w:sz w:val="24"/>
          <w:szCs w:val="24"/>
        </w:rPr>
        <w:t xml:space="preserve"> un nacionālu</w:t>
      </w:r>
      <w:r w:rsidRPr="00F92B5C" w:rsidR="0014737F">
        <w:rPr>
          <w:rFonts w:ascii="Times New Roman" w:hAnsi="Times New Roman" w:cs="Times New Roman"/>
          <w:sz w:val="24"/>
          <w:szCs w:val="24"/>
        </w:rPr>
        <w:t xml:space="preserve"> </w:t>
      </w:r>
      <w:r w:rsidRPr="00F92B5C" w:rsidR="008705BE">
        <w:rPr>
          <w:rFonts w:ascii="Times New Roman" w:hAnsi="Times New Roman" w:cs="Times New Roman"/>
          <w:sz w:val="24"/>
          <w:szCs w:val="24"/>
        </w:rPr>
        <w:t xml:space="preserve">e-Tiesiskuma </w:t>
      </w:r>
      <w:r w:rsidRPr="00F92B5C" w:rsidR="0014737F">
        <w:rPr>
          <w:rFonts w:ascii="Times New Roman" w:hAnsi="Times New Roman" w:cs="Times New Roman"/>
          <w:sz w:val="24"/>
          <w:szCs w:val="24"/>
        </w:rPr>
        <w:t>projektu atbalstam</w:t>
      </w:r>
      <w:r w:rsidRPr="00F92B5C" w:rsidR="005D27B4">
        <w:rPr>
          <w:rFonts w:ascii="Times New Roman" w:hAnsi="Times New Roman" w:cs="Times New Roman"/>
          <w:sz w:val="24"/>
          <w:szCs w:val="24"/>
        </w:rPr>
        <w:t>.</w:t>
      </w:r>
      <w:r w:rsidRPr="00F92B5C" w:rsidR="005F0114">
        <w:rPr>
          <w:rFonts w:ascii="Times New Roman" w:hAnsi="Times New Roman" w:cs="Times New Roman"/>
          <w:sz w:val="24"/>
          <w:szCs w:val="24"/>
        </w:rPr>
        <w:t xml:space="preserve"> </w:t>
      </w:r>
      <w:r w:rsidRPr="00F92B5C" w:rsidR="0014737F">
        <w:rPr>
          <w:rFonts w:ascii="Times New Roman" w:hAnsi="Times New Roman" w:cs="Times New Roman"/>
          <w:sz w:val="24"/>
          <w:szCs w:val="24"/>
        </w:rPr>
        <w:t xml:space="preserve">Informatīvā ziņojuma sagatavošanas brīdī ir zināms, ka </w:t>
      </w:r>
      <w:r w:rsidR="00EA00AA">
        <w:rPr>
          <w:rFonts w:ascii="Times New Roman" w:hAnsi="Times New Roman" w:cs="Times New Roman"/>
          <w:sz w:val="24"/>
          <w:szCs w:val="24"/>
        </w:rPr>
        <w:t xml:space="preserve">LRI II </w:t>
      </w:r>
      <w:r w:rsidRPr="00F92B5C" w:rsidR="006F0261">
        <w:rPr>
          <w:rFonts w:ascii="Times New Roman" w:hAnsi="Times New Roman" w:cs="Times New Roman"/>
          <w:sz w:val="24"/>
          <w:szCs w:val="24"/>
        </w:rPr>
        <w:t>p</w:t>
      </w:r>
      <w:r w:rsidRPr="00F92B5C" w:rsidR="0014737F">
        <w:rPr>
          <w:rFonts w:ascii="Times New Roman" w:hAnsi="Times New Roman" w:cs="Times New Roman"/>
          <w:sz w:val="24"/>
          <w:szCs w:val="24"/>
        </w:rPr>
        <w:t>rojekts ir apstiprināts.</w:t>
      </w:r>
    </w:p>
    <w:p w:rsidRPr="00F92B5C" w:rsidR="00534E67" w:rsidP="00FA2163" w:rsidRDefault="00534E67" w14:paraId="13669E30" w14:textId="5005E03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VTEB ir ieguvis tiesības īstenot projektu </w:t>
      </w:r>
      <w:bookmarkStart w:name="_Hlk32222253" w:id="3"/>
      <w:r>
        <w:rPr>
          <w:rFonts w:ascii="Times New Roman" w:hAnsi="Times New Roman" w:cs="Times New Roman"/>
          <w:sz w:val="24"/>
          <w:szCs w:val="24"/>
        </w:rPr>
        <w:t xml:space="preserve">"Nozieguma vietā atstāto pēdu kvalificēšana tiešsaistē" </w:t>
      </w:r>
      <w:bookmarkEnd w:id="3"/>
      <w:r>
        <w:rPr>
          <w:rFonts w:ascii="Times New Roman" w:hAnsi="Times New Roman" w:cs="Times New Roman"/>
          <w:sz w:val="24"/>
          <w:szCs w:val="24"/>
        </w:rPr>
        <w:t xml:space="preserve">(turpmāk – VTEB projekts) kā </w:t>
      </w:r>
      <w:r w:rsidR="00F47D28">
        <w:rPr>
          <w:rFonts w:ascii="Times New Roman" w:hAnsi="Times New Roman" w:cs="Times New Roman"/>
          <w:sz w:val="24"/>
          <w:szCs w:val="24"/>
        </w:rPr>
        <w:t xml:space="preserve">projekta </w:t>
      </w:r>
      <w:r>
        <w:rPr>
          <w:rFonts w:ascii="Times New Roman" w:hAnsi="Times New Roman" w:cs="Times New Roman"/>
          <w:sz w:val="24"/>
          <w:szCs w:val="24"/>
        </w:rPr>
        <w:t xml:space="preserve">partneris. VTEB projekta vadošais partneris ir Itālijas valsts Jauno tehnoloģiju, enerģētikas un ilgtspējīgas attīstības aģentūra. VTEB projekts tika iesniegts </w:t>
      </w:r>
      <w:bookmarkStart w:name="_Hlk32222329" w:id="4"/>
      <w:r>
        <w:rPr>
          <w:rFonts w:ascii="Times New Roman" w:hAnsi="Times New Roman" w:cs="Times New Roman"/>
          <w:sz w:val="24"/>
          <w:szCs w:val="24"/>
        </w:rPr>
        <w:t>EK</w:t>
      </w:r>
      <w:r w:rsidRPr="00DE784A" w:rsidR="00DE784A">
        <w:rPr>
          <w:rFonts w:ascii="Times New Roman" w:hAnsi="Times New Roman" w:cs="Times New Roman"/>
          <w:bCs/>
          <w:sz w:val="24"/>
          <w:szCs w:val="24"/>
        </w:rPr>
        <w:t xml:space="preserve"> </w:t>
      </w:r>
      <w:r w:rsidRPr="001978F9" w:rsidR="00DE784A">
        <w:rPr>
          <w:rFonts w:ascii="Times New Roman" w:hAnsi="Times New Roman" w:cs="Times New Roman"/>
          <w:bCs/>
          <w:sz w:val="24"/>
          <w:szCs w:val="24"/>
        </w:rPr>
        <w:t xml:space="preserve">pamatprogrammas pētniecībai un inovācijai </w:t>
      </w:r>
      <w:r w:rsidR="00DE784A">
        <w:rPr>
          <w:rFonts w:ascii="Times New Roman" w:hAnsi="Times New Roman" w:cs="Times New Roman"/>
          <w:bCs/>
          <w:sz w:val="24"/>
          <w:szCs w:val="24"/>
        </w:rPr>
        <w:t>"</w:t>
      </w:r>
      <w:r w:rsidRPr="00D31E9D" w:rsidR="00DE784A">
        <w:rPr>
          <w:rFonts w:ascii="Times New Roman" w:hAnsi="Times New Roman" w:cs="Times New Roman"/>
          <w:bCs/>
          <w:sz w:val="24"/>
          <w:szCs w:val="24"/>
        </w:rPr>
        <w:t>Apvārsnis 2020"</w:t>
      </w:r>
      <w:r w:rsidR="00DE784A">
        <w:rPr>
          <w:rFonts w:ascii="Times New Roman" w:hAnsi="Times New Roman" w:cs="Times New Roman"/>
          <w:bCs/>
          <w:sz w:val="24"/>
          <w:szCs w:val="24"/>
        </w:rPr>
        <w:t xml:space="preserve"> </w:t>
      </w:r>
      <w:bookmarkEnd w:id="4"/>
      <w:r w:rsidR="00DE784A">
        <w:rPr>
          <w:rFonts w:ascii="Times New Roman" w:hAnsi="Times New Roman" w:cs="Times New Roman"/>
          <w:bCs/>
          <w:sz w:val="24"/>
          <w:szCs w:val="24"/>
        </w:rPr>
        <w:t>("</w:t>
      </w:r>
      <w:proofErr w:type="spellStart"/>
      <w:r w:rsidRPr="001978F9" w:rsidR="00DE784A">
        <w:rPr>
          <w:rFonts w:ascii="Times New Roman" w:hAnsi="Times New Roman" w:cs="Times New Roman"/>
          <w:bCs/>
          <w:i/>
          <w:sz w:val="24"/>
          <w:szCs w:val="24"/>
        </w:rPr>
        <w:t>Horizon</w:t>
      </w:r>
      <w:proofErr w:type="spellEnd"/>
      <w:r w:rsidRPr="001978F9" w:rsidR="00DE784A">
        <w:rPr>
          <w:rFonts w:ascii="Times New Roman" w:hAnsi="Times New Roman" w:cs="Times New Roman"/>
          <w:bCs/>
          <w:i/>
          <w:sz w:val="24"/>
          <w:szCs w:val="24"/>
        </w:rPr>
        <w:t xml:space="preserve"> 2020</w:t>
      </w:r>
      <w:r w:rsidRPr="001978F9" w:rsidR="00DE784A">
        <w:rPr>
          <w:rFonts w:ascii="Times New Roman" w:hAnsi="Times New Roman" w:cs="Times New Roman"/>
          <w:bCs/>
          <w:sz w:val="24"/>
          <w:szCs w:val="24"/>
        </w:rPr>
        <w:t>"</w:t>
      </w:r>
      <w:r w:rsidR="00DE784A">
        <w:rPr>
          <w:rFonts w:ascii="Times New Roman" w:hAnsi="Times New Roman" w:cs="Times New Roman"/>
          <w:bCs/>
          <w:sz w:val="24"/>
          <w:szCs w:val="24"/>
        </w:rPr>
        <w:t xml:space="preserve">) </w:t>
      </w:r>
      <w:r w:rsidR="00DE784A">
        <w:rPr>
          <w:rFonts w:ascii="Times New Roman" w:hAnsi="Times New Roman" w:eastAsia="Times New Roman" w:cs="Times New Roman"/>
          <w:bCs/>
          <w:kern w:val="2"/>
          <w:sz w:val="24"/>
          <w:szCs w:val="24"/>
          <w:lang w:eastAsia="ar-SA"/>
        </w:rPr>
        <w:t xml:space="preserve">(turpmāk – Programma Apvārsnis) </w:t>
      </w:r>
      <w:r>
        <w:rPr>
          <w:rFonts w:ascii="Times New Roman" w:hAnsi="Times New Roman" w:cs="Times New Roman"/>
          <w:sz w:val="24"/>
          <w:szCs w:val="24"/>
        </w:rPr>
        <w:t xml:space="preserve">atklātā projektu konkursā </w:t>
      </w:r>
      <w:r w:rsidR="004F7D5B">
        <w:rPr>
          <w:rFonts w:ascii="Times New Roman" w:hAnsi="Times New Roman" w:cs="Times New Roman"/>
          <w:sz w:val="24"/>
          <w:szCs w:val="24"/>
        </w:rPr>
        <w:t>Nr. </w:t>
      </w:r>
      <w:r>
        <w:rPr>
          <w:rFonts w:ascii="Times New Roman" w:hAnsi="Times New Roman" w:cs="Times New Roman"/>
          <w:sz w:val="24"/>
          <w:szCs w:val="24"/>
        </w:rPr>
        <w:t xml:space="preserve">H2020-SU-SEC-2018-2019-2020 un uz ziņojuma sagatavošanas brīdi ir zināms, ka </w:t>
      </w:r>
      <w:r w:rsidR="000A76F0">
        <w:rPr>
          <w:rFonts w:ascii="Times New Roman" w:hAnsi="Times New Roman" w:cs="Times New Roman"/>
          <w:sz w:val="24"/>
          <w:szCs w:val="24"/>
        </w:rPr>
        <w:t xml:space="preserve">VTEB </w:t>
      </w:r>
      <w:r>
        <w:rPr>
          <w:rFonts w:ascii="Times New Roman" w:hAnsi="Times New Roman" w:cs="Times New Roman"/>
          <w:sz w:val="24"/>
          <w:szCs w:val="24"/>
        </w:rPr>
        <w:t>projekts ir apstiprināts.</w:t>
      </w:r>
    </w:p>
    <w:p w:rsidRPr="00F92B5C" w:rsidR="006D19F0" w:rsidP="00FA2163" w:rsidRDefault="00D80E65" w14:paraId="5D6B7767" w14:textId="2C91053C">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Programmā "Tiesiskums 2014–2020" </w:t>
      </w:r>
      <w:r w:rsidRPr="00F92B5C" w:rsidR="006D19F0">
        <w:rPr>
          <w:rFonts w:ascii="Times New Roman" w:hAnsi="Times New Roman" w:cs="Times New Roman"/>
          <w:sz w:val="24"/>
          <w:szCs w:val="24"/>
        </w:rPr>
        <w:t xml:space="preserve">ir noteikts maksimālais finansējuma apjoms, ko iespējams saņemt kā avansa maksājumu no EK. Līdz ar to </w:t>
      </w:r>
      <w:r w:rsidR="00EA00AA">
        <w:rPr>
          <w:rFonts w:ascii="Times New Roman" w:hAnsi="Times New Roman" w:cs="Times New Roman"/>
          <w:sz w:val="24"/>
          <w:szCs w:val="24"/>
        </w:rPr>
        <w:t>LRI II</w:t>
      </w:r>
      <w:r w:rsidRPr="00F92B5C" w:rsidR="006F0261">
        <w:rPr>
          <w:rFonts w:ascii="Times New Roman" w:hAnsi="Times New Roman" w:cs="Times New Roman"/>
          <w:sz w:val="24"/>
          <w:szCs w:val="24"/>
        </w:rPr>
        <w:t xml:space="preserve"> p</w:t>
      </w:r>
      <w:r w:rsidRPr="00F92B5C" w:rsidR="006D19F0">
        <w:rPr>
          <w:rFonts w:ascii="Times New Roman" w:hAnsi="Times New Roman" w:cs="Times New Roman"/>
          <w:sz w:val="24"/>
          <w:szCs w:val="24"/>
        </w:rPr>
        <w:t>rojekta ieviesējiem</w:t>
      </w:r>
      <w:r w:rsidRPr="00F92B5C" w:rsidR="00EB1FD9">
        <w:rPr>
          <w:rFonts w:ascii="Times New Roman" w:hAnsi="Times New Roman" w:cs="Times New Roman"/>
          <w:sz w:val="24"/>
          <w:szCs w:val="24"/>
        </w:rPr>
        <w:t xml:space="preserve"> </w:t>
      </w:r>
      <w:r w:rsidRPr="00F92B5C" w:rsidR="006D19F0">
        <w:rPr>
          <w:rFonts w:ascii="Times New Roman" w:hAnsi="Times New Roman" w:cs="Times New Roman"/>
          <w:sz w:val="24"/>
          <w:szCs w:val="24"/>
        </w:rPr>
        <w:t xml:space="preserve">jāspēj </w:t>
      </w:r>
      <w:r w:rsidRPr="00F92B5C">
        <w:rPr>
          <w:rFonts w:ascii="Times New Roman" w:hAnsi="Times New Roman" w:cs="Times New Roman"/>
          <w:sz w:val="24"/>
          <w:szCs w:val="24"/>
        </w:rPr>
        <w:t>līdz</w:t>
      </w:r>
      <w:r w:rsidRPr="00F92B5C" w:rsidR="00EB1FD9">
        <w:rPr>
          <w:rFonts w:ascii="Times New Roman" w:hAnsi="Times New Roman" w:cs="Times New Roman"/>
          <w:sz w:val="24"/>
          <w:szCs w:val="24"/>
        </w:rPr>
        <w:t>finansēt</w:t>
      </w:r>
      <w:r w:rsidRPr="00F92B5C" w:rsidR="006D19F0">
        <w:rPr>
          <w:rFonts w:ascii="Times New Roman" w:hAnsi="Times New Roman" w:cs="Times New Roman"/>
          <w:sz w:val="24"/>
          <w:szCs w:val="24"/>
        </w:rPr>
        <w:t xml:space="preserve"> </w:t>
      </w:r>
      <w:r w:rsidRPr="00F92B5C" w:rsidR="00EB1FD9">
        <w:rPr>
          <w:rFonts w:ascii="Times New Roman" w:hAnsi="Times New Roman" w:cs="Times New Roman"/>
          <w:sz w:val="24"/>
          <w:szCs w:val="24"/>
        </w:rPr>
        <w:t xml:space="preserve">ne tikai </w:t>
      </w:r>
      <w:r w:rsidRPr="00F92B5C" w:rsidR="006F0261">
        <w:rPr>
          <w:rFonts w:ascii="Times New Roman" w:hAnsi="Times New Roman" w:cs="Times New Roman"/>
          <w:sz w:val="24"/>
          <w:szCs w:val="24"/>
        </w:rPr>
        <w:t>p</w:t>
      </w:r>
      <w:r w:rsidRPr="00F92B5C" w:rsidR="006D19F0">
        <w:rPr>
          <w:rFonts w:ascii="Times New Roman" w:hAnsi="Times New Roman" w:cs="Times New Roman"/>
          <w:sz w:val="24"/>
          <w:szCs w:val="24"/>
        </w:rPr>
        <w:t>rojekta izdevumus</w:t>
      </w:r>
      <w:r w:rsidRPr="00F92B5C" w:rsidR="00EB1FD9">
        <w:rPr>
          <w:rFonts w:ascii="Times New Roman" w:hAnsi="Times New Roman" w:cs="Times New Roman"/>
          <w:sz w:val="24"/>
          <w:szCs w:val="24"/>
        </w:rPr>
        <w:t xml:space="preserve">, bet arī </w:t>
      </w:r>
      <w:proofErr w:type="spellStart"/>
      <w:r w:rsidRPr="00F92B5C" w:rsidR="00EB1FD9">
        <w:rPr>
          <w:rFonts w:ascii="Times New Roman" w:hAnsi="Times New Roman" w:cs="Times New Roman"/>
          <w:sz w:val="24"/>
          <w:szCs w:val="24"/>
        </w:rPr>
        <w:t>priekšfinansēt</w:t>
      </w:r>
      <w:proofErr w:type="spellEnd"/>
      <w:r w:rsidRPr="00F92B5C" w:rsidR="00EB1FD9">
        <w:rPr>
          <w:rFonts w:ascii="Times New Roman" w:hAnsi="Times New Roman" w:cs="Times New Roman"/>
          <w:sz w:val="24"/>
          <w:szCs w:val="24"/>
        </w:rPr>
        <w:t xml:space="preserve"> daļu no EK finansējuma, kas tiks saņemts no EK kā noslēguma maksājums pēc </w:t>
      </w:r>
      <w:r w:rsidRPr="00F92B5C" w:rsidR="006F0261">
        <w:rPr>
          <w:rFonts w:ascii="Times New Roman" w:hAnsi="Times New Roman" w:cs="Times New Roman"/>
          <w:sz w:val="24"/>
          <w:szCs w:val="24"/>
        </w:rPr>
        <w:t>p</w:t>
      </w:r>
      <w:r w:rsidRPr="00F92B5C" w:rsidR="00EB1FD9">
        <w:rPr>
          <w:rFonts w:ascii="Times New Roman" w:hAnsi="Times New Roman" w:cs="Times New Roman"/>
          <w:sz w:val="24"/>
          <w:szCs w:val="24"/>
        </w:rPr>
        <w:t>rojekta noslēguma atskaites apstiprināšanas, kā arī nodrošināt finansējumu neattiecināmo izmaksu (pievienotās vērtības nodoklis (turpmāk – PVN)) segšanai.</w:t>
      </w:r>
    </w:p>
    <w:p w:rsidRPr="00F92B5C" w:rsidR="00492A70" w:rsidP="006917A8" w:rsidRDefault="006D19F0" w14:paraId="717AA5B9" w14:textId="68B1848B">
      <w:pPr>
        <w:suppressAutoHyphens/>
        <w:spacing w:after="0" w:line="240" w:lineRule="auto"/>
        <w:ind w:firstLine="709"/>
        <w:jc w:val="both"/>
        <w:rPr>
          <w:rFonts w:ascii="Times New Roman" w:hAnsi="Times New Roman" w:cs="Times New Roman"/>
          <w:sz w:val="24"/>
          <w:szCs w:val="24"/>
        </w:rPr>
      </w:pPr>
      <w:r w:rsidRPr="00F92B5C">
        <w:rPr>
          <w:rFonts w:ascii="Times New Roman" w:hAnsi="Times New Roman" w:cs="Times New Roman"/>
          <w:sz w:val="24"/>
          <w:szCs w:val="24"/>
        </w:rPr>
        <w:lastRenderedPageBreak/>
        <w:t xml:space="preserve">Saskaņā ar </w:t>
      </w:r>
      <w:r w:rsidRPr="00F92B5C" w:rsidR="0053017E">
        <w:rPr>
          <w:rFonts w:ascii="Times New Roman" w:hAnsi="Times New Roman" w:cs="Times New Roman"/>
          <w:sz w:val="24"/>
          <w:szCs w:val="24"/>
        </w:rPr>
        <w:t>P</w:t>
      </w:r>
      <w:r w:rsidRPr="00F92B5C" w:rsidR="00F21674">
        <w:rPr>
          <w:rFonts w:ascii="Times New Roman" w:hAnsi="Times New Roman" w:cs="Times New Roman"/>
          <w:sz w:val="24"/>
          <w:szCs w:val="24"/>
        </w:rPr>
        <w:t xml:space="preserve">rogrammas </w:t>
      </w:r>
      <w:r w:rsidRPr="00F92B5C" w:rsidR="00C0589F">
        <w:rPr>
          <w:rFonts w:ascii="Times New Roman" w:hAnsi="Times New Roman" w:cs="Times New Roman"/>
          <w:sz w:val="24"/>
          <w:szCs w:val="24"/>
        </w:rPr>
        <w:t>"</w:t>
      </w:r>
      <w:r w:rsidRPr="00F92B5C" w:rsidR="0053017E">
        <w:rPr>
          <w:rFonts w:ascii="Times New Roman" w:hAnsi="Times New Roman" w:cs="Times New Roman"/>
          <w:sz w:val="24"/>
          <w:szCs w:val="24"/>
        </w:rPr>
        <w:t>Tiesiskums 2014</w:t>
      </w:r>
      <w:r w:rsidRPr="00F92B5C" w:rsidR="00C0589F">
        <w:rPr>
          <w:rFonts w:ascii="Times New Roman" w:hAnsi="Times New Roman" w:cs="Times New Roman"/>
          <w:sz w:val="24"/>
          <w:szCs w:val="24"/>
        </w:rPr>
        <w:t>–</w:t>
      </w:r>
      <w:r w:rsidRPr="00F92B5C" w:rsidR="0053017E">
        <w:rPr>
          <w:rFonts w:ascii="Times New Roman" w:hAnsi="Times New Roman" w:cs="Times New Roman"/>
          <w:sz w:val="24"/>
          <w:szCs w:val="24"/>
        </w:rPr>
        <w:t>2020</w:t>
      </w:r>
      <w:r w:rsidRPr="00F92B5C" w:rsidR="00C0589F">
        <w:rPr>
          <w:rFonts w:ascii="Times New Roman" w:hAnsi="Times New Roman" w:cs="Times New Roman"/>
          <w:sz w:val="24"/>
          <w:szCs w:val="24"/>
        </w:rPr>
        <w:t>"</w:t>
      </w:r>
      <w:r w:rsidRPr="00F92B5C" w:rsidR="00782C56">
        <w:rPr>
          <w:rFonts w:ascii="Times New Roman" w:hAnsi="Times New Roman" w:cs="Times New Roman"/>
          <w:sz w:val="24"/>
          <w:szCs w:val="24"/>
        </w:rPr>
        <w:t xml:space="preserve"> </w:t>
      </w:r>
      <w:r w:rsidRPr="00F92B5C" w:rsidR="00D24AE2">
        <w:rPr>
          <w:rFonts w:ascii="Times New Roman" w:hAnsi="Times New Roman" w:cs="Times New Roman"/>
          <w:sz w:val="24"/>
          <w:szCs w:val="24"/>
        </w:rPr>
        <w:t xml:space="preserve">e-Tiesiskuma konkursa </w:t>
      </w:r>
      <w:r w:rsidRPr="00F92B5C" w:rsidR="0053017E">
        <w:rPr>
          <w:rFonts w:ascii="Times New Roman" w:hAnsi="Times New Roman" w:cs="Times New Roman"/>
          <w:sz w:val="24"/>
          <w:szCs w:val="24"/>
        </w:rPr>
        <w:t xml:space="preserve">nosacījumiem </w:t>
      </w:r>
      <w:r w:rsidRPr="00F92B5C">
        <w:rPr>
          <w:rFonts w:ascii="Times New Roman" w:hAnsi="Times New Roman" w:cs="Times New Roman"/>
          <w:sz w:val="24"/>
          <w:szCs w:val="24"/>
        </w:rPr>
        <w:t xml:space="preserve">piešķirtais EK </w:t>
      </w:r>
      <w:proofErr w:type="spellStart"/>
      <w:r w:rsidRPr="00F92B5C">
        <w:rPr>
          <w:rFonts w:ascii="Times New Roman" w:hAnsi="Times New Roman" w:cs="Times New Roman"/>
          <w:sz w:val="24"/>
          <w:szCs w:val="24"/>
        </w:rPr>
        <w:t>granta</w:t>
      </w:r>
      <w:proofErr w:type="spellEnd"/>
      <w:r w:rsidRPr="00F92B5C">
        <w:rPr>
          <w:rFonts w:ascii="Times New Roman" w:hAnsi="Times New Roman" w:cs="Times New Roman"/>
          <w:sz w:val="24"/>
          <w:szCs w:val="24"/>
        </w:rPr>
        <w:t xml:space="preserve"> finansējums nepārsniedz </w:t>
      </w:r>
      <w:r w:rsidRPr="00F92B5C" w:rsidR="00FA53C3">
        <w:rPr>
          <w:rFonts w:ascii="Times New Roman" w:hAnsi="Times New Roman" w:cs="Times New Roman"/>
          <w:sz w:val="24"/>
          <w:szCs w:val="24"/>
        </w:rPr>
        <w:t>9</w:t>
      </w:r>
      <w:r w:rsidRPr="00F92B5C">
        <w:rPr>
          <w:rFonts w:ascii="Times New Roman" w:hAnsi="Times New Roman" w:cs="Times New Roman"/>
          <w:sz w:val="24"/>
          <w:szCs w:val="24"/>
        </w:rPr>
        <w:t>0</w:t>
      </w:r>
      <w:r w:rsidRPr="00F92B5C" w:rsidR="00FA53C3">
        <w:rPr>
          <w:rFonts w:ascii="Times New Roman" w:hAnsi="Times New Roman" w:cs="Times New Roman"/>
          <w:sz w:val="24"/>
          <w:szCs w:val="24"/>
        </w:rPr>
        <w:t> </w:t>
      </w:r>
      <w:r w:rsidRPr="00F92B5C">
        <w:rPr>
          <w:rFonts w:ascii="Times New Roman" w:hAnsi="Times New Roman" w:cs="Times New Roman"/>
          <w:sz w:val="24"/>
          <w:szCs w:val="24"/>
        </w:rPr>
        <w:t xml:space="preserve">% no kopējām projekta attiecināmajām izmaksām, līdz ar to vismaz </w:t>
      </w:r>
      <w:r w:rsidRPr="00F92B5C" w:rsidR="00FA53C3">
        <w:rPr>
          <w:rFonts w:ascii="Times New Roman" w:hAnsi="Times New Roman" w:cs="Times New Roman"/>
          <w:sz w:val="24"/>
          <w:szCs w:val="24"/>
        </w:rPr>
        <w:t>1</w:t>
      </w:r>
      <w:r w:rsidRPr="00F92B5C">
        <w:rPr>
          <w:rFonts w:ascii="Times New Roman" w:hAnsi="Times New Roman" w:cs="Times New Roman"/>
          <w:sz w:val="24"/>
          <w:szCs w:val="24"/>
        </w:rPr>
        <w:t>0</w:t>
      </w:r>
      <w:r w:rsidRPr="00F92B5C" w:rsidR="00FA53C3">
        <w:rPr>
          <w:rFonts w:ascii="Times New Roman" w:hAnsi="Times New Roman" w:cs="Times New Roman"/>
          <w:sz w:val="24"/>
          <w:szCs w:val="24"/>
        </w:rPr>
        <w:t> </w:t>
      </w:r>
      <w:r w:rsidRPr="00F92B5C">
        <w:rPr>
          <w:rFonts w:ascii="Times New Roman" w:hAnsi="Times New Roman" w:cs="Times New Roman"/>
          <w:sz w:val="24"/>
          <w:szCs w:val="24"/>
        </w:rPr>
        <w:t xml:space="preserve">% no tām </w:t>
      </w:r>
      <w:r w:rsidRPr="00F92B5C" w:rsidR="0079063A">
        <w:rPr>
          <w:rFonts w:ascii="Times New Roman" w:hAnsi="Times New Roman" w:cs="Times New Roman"/>
          <w:sz w:val="24"/>
          <w:szCs w:val="24"/>
        </w:rPr>
        <w:t xml:space="preserve">nepieciešams </w:t>
      </w:r>
      <w:r w:rsidRPr="00F92B5C" w:rsidR="00D80E65">
        <w:rPr>
          <w:rFonts w:ascii="Times New Roman" w:hAnsi="Times New Roman" w:cs="Times New Roman"/>
          <w:sz w:val="24"/>
          <w:szCs w:val="24"/>
        </w:rPr>
        <w:t>līdz</w:t>
      </w:r>
      <w:r w:rsidRPr="00F92B5C" w:rsidR="0079063A">
        <w:rPr>
          <w:rFonts w:ascii="Times New Roman" w:hAnsi="Times New Roman" w:cs="Times New Roman"/>
          <w:sz w:val="24"/>
          <w:szCs w:val="24"/>
        </w:rPr>
        <w:t>finansēt</w:t>
      </w:r>
      <w:r w:rsidRPr="00F92B5C">
        <w:rPr>
          <w:rFonts w:ascii="Times New Roman" w:hAnsi="Times New Roman" w:cs="Times New Roman"/>
          <w:sz w:val="24"/>
          <w:szCs w:val="24"/>
        </w:rPr>
        <w:t xml:space="preserve"> </w:t>
      </w:r>
      <w:r w:rsidRPr="00F92B5C" w:rsidR="00FA53C3">
        <w:rPr>
          <w:rFonts w:ascii="Times New Roman" w:hAnsi="Times New Roman" w:cs="Times New Roman"/>
          <w:sz w:val="24"/>
          <w:szCs w:val="24"/>
        </w:rPr>
        <w:t>p</w:t>
      </w:r>
      <w:r w:rsidRPr="00F92B5C">
        <w:rPr>
          <w:rFonts w:ascii="Times New Roman" w:hAnsi="Times New Roman" w:cs="Times New Roman"/>
          <w:sz w:val="24"/>
          <w:szCs w:val="24"/>
        </w:rPr>
        <w:t>rojekt</w:t>
      </w:r>
      <w:r w:rsidRPr="00F92B5C" w:rsidR="00EB1FD9">
        <w:rPr>
          <w:rFonts w:ascii="Times New Roman" w:hAnsi="Times New Roman" w:cs="Times New Roman"/>
          <w:sz w:val="24"/>
          <w:szCs w:val="24"/>
        </w:rPr>
        <w:t>a</w:t>
      </w:r>
      <w:r w:rsidRPr="00F92B5C">
        <w:rPr>
          <w:rFonts w:ascii="Times New Roman" w:hAnsi="Times New Roman" w:cs="Times New Roman"/>
          <w:sz w:val="24"/>
          <w:szCs w:val="24"/>
        </w:rPr>
        <w:t xml:space="preserve"> pieteikum</w:t>
      </w:r>
      <w:r w:rsidRPr="00F92B5C" w:rsidR="00EB1FD9">
        <w:rPr>
          <w:rFonts w:ascii="Times New Roman" w:hAnsi="Times New Roman" w:cs="Times New Roman"/>
          <w:sz w:val="24"/>
          <w:szCs w:val="24"/>
        </w:rPr>
        <w:t>a</w:t>
      </w:r>
      <w:r w:rsidRPr="00F92B5C">
        <w:rPr>
          <w:rFonts w:ascii="Times New Roman" w:hAnsi="Times New Roman" w:cs="Times New Roman"/>
          <w:sz w:val="24"/>
          <w:szCs w:val="24"/>
        </w:rPr>
        <w:t xml:space="preserve"> iesniedzējam un tas darāms no līdzekļiem, kas vienlaikus nav ES budžeta līdzekļi.</w:t>
      </w:r>
    </w:p>
    <w:p w:rsidRPr="00F92B5C" w:rsidR="00534E67" w:rsidP="00AE2C3A" w:rsidRDefault="00F47D28" w14:paraId="0E5E0D1F" w14:textId="2A5CBC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000024B4">
        <w:rPr>
          <w:rFonts w:ascii="Times New Roman" w:hAnsi="Times New Roman" w:cs="Times New Roman"/>
          <w:sz w:val="24"/>
          <w:szCs w:val="24"/>
        </w:rPr>
        <w:t>s</w:t>
      </w:r>
      <w:r w:rsidRPr="00390049" w:rsidR="000024B4">
        <w:rPr>
          <w:rFonts w:ascii="Times New Roman" w:hAnsi="Times New Roman" w:cs="Times New Roman"/>
          <w:sz w:val="24"/>
          <w:szCs w:val="24"/>
        </w:rPr>
        <w:t>askaņā</w:t>
      </w:r>
      <w:r w:rsidR="000024B4">
        <w:rPr>
          <w:rFonts w:ascii="Times New Roman" w:hAnsi="Times New Roman" w:cs="Times New Roman"/>
          <w:sz w:val="24"/>
          <w:szCs w:val="24"/>
        </w:rPr>
        <w:t xml:space="preserve"> ar</w:t>
      </w:r>
      <w:r w:rsidRPr="00390049" w:rsidR="000024B4">
        <w:rPr>
          <w:rFonts w:ascii="Times New Roman" w:hAnsi="Times New Roman" w:cs="Times New Roman"/>
          <w:sz w:val="24"/>
          <w:szCs w:val="24"/>
        </w:rPr>
        <w:t xml:space="preserve"> </w:t>
      </w:r>
      <w:r w:rsidR="000024B4">
        <w:rPr>
          <w:rFonts w:ascii="Times New Roman" w:hAnsi="Times New Roman" w:cs="Times New Roman"/>
          <w:sz w:val="24"/>
          <w:szCs w:val="24"/>
        </w:rPr>
        <w:t>P</w:t>
      </w:r>
      <w:r w:rsidRPr="00390049" w:rsidR="000024B4">
        <w:rPr>
          <w:rFonts w:ascii="Times New Roman" w:hAnsi="Times New Roman" w:cs="Times New Roman"/>
          <w:bCs/>
          <w:sz w:val="24"/>
          <w:szCs w:val="24"/>
        </w:rPr>
        <w:t>rogrammas</w:t>
      </w:r>
      <w:r w:rsidR="000024B4">
        <w:rPr>
          <w:rFonts w:ascii="Times New Roman" w:hAnsi="Times New Roman" w:cs="Times New Roman"/>
          <w:bCs/>
          <w:sz w:val="24"/>
          <w:szCs w:val="24"/>
        </w:rPr>
        <w:t xml:space="preserve"> Apvārsnis </w:t>
      </w:r>
      <w:r w:rsidRPr="00390049" w:rsidR="000024B4">
        <w:rPr>
          <w:rFonts w:ascii="Times New Roman" w:hAnsi="Times New Roman" w:cs="Times New Roman"/>
          <w:sz w:val="24"/>
          <w:szCs w:val="24"/>
        </w:rPr>
        <w:t xml:space="preserve">nosacījumiem piešķirtais EK </w:t>
      </w:r>
      <w:proofErr w:type="spellStart"/>
      <w:r w:rsidRPr="00390049" w:rsidR="000024B4">
        <w:rPr>
          <w:rFonts w:ascii="Times New Roman" w:hAnsi="Times New Roman" w:cs="Times New Roman"/>
          <w:sz w:val="24"/>
          <w:szCs w:val="24"/>
        </w:rPr>
        <w:t>granta</w:t>
      </w:r>
      <w:proofErr w:type="spellEnd"/>
      <w:r w:rsidRPr="00390049" w:rsidR="000024B4">
        <w:rPr>
          <w:rFonts w:ascii="Times New Roman" w:hAnsi="Times New Roman" w:cs="Times New Roman"/>
          <w:sz w:val="24"/>
          <w:szCs w:val="24"/>
        </w:rPr>
        <w:t xml:space="preserve"> finansējums ir 100 % no kopējām</w:t>
      </w:r>
      <w:r w:rsidR="000024B4">
        <w:rPr>
          <w:rFonts w:ascii="Times New Roman" w:hAnsi="Times New Roman" w:cs="Times New Roman"/>
          <w:sz w:val="24"/>
          <w:szCs w:val="24"/>
        </w:rPr>
        <w:t xml:space="preserve"> VTEB</w:t>
      </w:r>
      <w:r w:rsidRPr="00390049" w:rsidR="000024B4">
        <w:rPr>
          <w:rFonts w:ascii="Times New Roman" w:hAnsi="Times New Roman" w:cs="Times New Roman"/>
          <w:sz w:val="24"/>
          <w:szCs w:val="24"/>
        </w:rPr>
        <w:t xml:space="preserve"> </w:t>
      </w:r>
      <w:r w:rsidR="000024B4">
        <w:rPr>
          <w:rFonts w:ascii="Times New Roman" w:hAnsi="Times New Roman" w:cs="Times New Roman"/>
          <w:sz w:val="24"/>
          <w:szCs w:val="24"/>
        </w:rPr>
        <w:t>p</w:t>
      </w:r>
      <w:r w:rsidRPr="00390049" w:rsidR="000024B4">
        <w:rPr>
          <w:rFonts w:ascii="Times New Roman" w:hAnsi="Times New Roman" w:cs="Times New Roman"/>
          <w:sz w:val="24"/>
          <w:szCs w:val="24"/>
        </w:rPr>
        <w:t xml:space="preserve">rojekta attiecināmajām izmaksām, bet </w:t>
      </w:r>
      <w:r w:rsidR="000024B4">
        <w:rPr>
          <w:rFonts w:ascii="Times New Roman" w:hAnsi="Times New Roman" w:cs="Times New Roman"/>
          <w:sz w:val="24"/>
          <w:szCs w:val="24"/>
        </w:rPr>
        <w:t>VTEB p</w:t>
      </w:r>
      <w:r w:rsidRPr="00390049" w:rsidR="000024B4">
        <w:rPr>
          <w:rFonts w:ascii="Times New Roman" w:hAnsi="Times New Roman" w:cs="Times New Roman"/>
          <w:sz w:val="24"/>
          <w:szCs w:val="24"/>
        </w:rPr>
        <w:t>rojekt</w:t>
      </w:r>
      <w:r w:rsidR="000024B4">
        <w:rPr>
          <w:rFonts w:ascii="Times New Roman" w:hAnsi="Times New Roman" w:cs="Times New Roman"/>
          <w:sz w:val="24"/>
          <w:szCs w:val="24"/>
        </w:rPr>
        <w:t>a</w:t>
      </w:r>
      <w:r w:rsidRPr="00390049" w:rsidR="000024B4">
        <w:rPr>
          <w:rFonts w:ascii="Times New Roman" w:hAnsi="Times New Roman" w:cs="Times New Roman"/>
          <w:sz w:val="24"/>
          <w:szCs w:val="24"/>
        </w:rPr>
        <w:t xml:space="preserve"> īstenošanai nepieciešams nodrošināt priekšfinansējumu. Pēc </w:t>
      </w:r>
      <w:r w:rsidR="000024B4">
        <w:rPr>
          <w:rFonts w:ascii="Times New Roman" w:hAnsi="Times New Roman" w:cs="Times New Roman"/>
          <w:sz w:val="24"/>
          <w:szCs w:val="24"/>
        </w:rPr>
        <w:t>VTEB p</w:t>
      </w:r>
      <w:r w:rsidRPr="00390049" w:rsidR="000024B4">
        <w:rPr>
          <w:rFonts w:ascii="Times New Roman" w:hAnsi="Times New Roman" w:cs="Times New Roman"/>
          <w:sz w:val="24"/>
          <w:szCs w:val="24"/>
        </w:rPr>
        <w:t xml:space="preserve">rojekta noslēguma atskaites apstiprināšanas, TM, </w:t>
      </w:r>
      <w:r w:rsidR="004F7D5B">
        <w:rPr>
          <w:rFonts w:ascii="Times New Roman" w:hAnsi="Times New Roman" w:cs="Times New Roman"/>
          <w:sz w:val="24"/>
          <w:szCs w:val="24"/>
        </w:rPr>
        <w:t>pēc VTEB</w:t>
      </w:r>
      <w:r w:rsidRPr="00390049" w:rsidR="004F7D5B">
        <w:rPr>
          <w:rFonts w:ascii="Times New Roman" w:hAnsi="Times New Roman" w:cs="Times New Roman"/>
          <w:sz w:val="24"/>
          <w:szCs w:val="24"/>
        </w:rPr>
        <w:t xml:space="preserve"> </w:t>
      </w:r>
      <w:r w:rsidR="004F7D5B">
        <w:rPr>
          <w:rFonts w:ascii="Times New Roman" w:hAnsi="Times New Roman" w:cs="Times New Roman"/>
          <w:sz w:val="24"/>
          <w:szCs w:val="24"/>
        </w:rPr>
        <w:t>p</w:t>
      </w:r>
      <w:r w:rsidRPr="00390049" w:rsidR="004F7D5B">
        <w:rPr>
          <w:rFonts w:ascii="Times New Roman" w:hAnsi="Times New Roman" w:cs="Times New Roman"/>
          <w:sz w:val="24"/>
          <w:szCs w:val="24"/>
        </w:rPr>
        <w:t xml:space="preserve">rojekta </w:t>
      </w:r>
      <w:r w:rsidRPr="00390049" w:rsidR="000024B4">
        <w:rPr>
          <w:rFonts w:ascii="Times New Roman" w:hAnsi="Times New Roman" w:cs="Times New Roman"/>
          <w:sz w:val="24"/>
          <w:szCs w:val="24"/>
        </w:rPr>
        <w:t xml:space="preserve">noslēguma maksājumu </w:t>
      </w:r>
      <w:r w:rsidR="004F7D5B">
        <w:rPr>
          <w:rFonts w:ascii="Times New Roman" w:hAnsi="Times New Roman" w:cs="Times New Roman"/>
          <w:sz w:val="24"/>
          <w:szCs w:val="24"/>
        </w:rPr>
        <w:t xml:space="preserve">saņemšanas </w:t>
      </w:r>
      <w:r w:rsidRPr="00390049" w:rsidR="000024B4">
        <w:rPr>
          <w:rFonts w:ascii="Times New Roman" w:hAnsi="Times New Roman" w:cs="Times New Roman"/>
          <w:sz w:val="24"/>
          <w:szCs w:val="24"/>
        </w:rPr>
        <w:t xml:space="preserve">no EK, </w:t>
      </w:r>
      <w:r w:rsidR="004F7D5B">
        <w:rPr>
          <w:rFonts w:ascii="Times New Roman" w:hAnsi="Times New Roman" w:cs="Times New Roman"/>
          <w:sz w:val="24"/>
          <w:szCs w:val="24"/>
        </w:rPr>
        <w:t>atmaksās</w:t>
      </w:r>
      <w:r w:rsidRPr="00390049" w:rsidR="004F7D5B">
        <w:rPr>
          <w:rFonts w:ascii="Times New Roman" w:hAnsi="Times New Roman" w:cs="Times New Roman"/>
          <w:sz w:val="24"/>
          <w:szCs w:val="24"/>
        </w:rPr>
        <w:t xml:space="preserve"> </w:t>
      </w:r>
      <w:r w:rsidRPr="00390049" w:rsidR="000024B4">
        <w:rPr>
          <w:rFonts w:ascii="Times New Roman" w:hAnsi="Times New Roman" w:cs="Times New Roman"/>
          <w:sz w:val="24"/>
          <w:szCs w:val="24"/>
        </w:rPr>
        <w:t>valsts budžetā finanšu līdzekļus priekšfinansējuma</w:t>
      </w:r>
      <w:r w:rsidRPr="00DA1F7D" w:rsidR="000024B4">
        <w:rPr>
          <w:rFonts w:ascii="Times New Roman" w:hAnsi="Times New Roman" w:cs="Times New Roman"/>
          <w:sz w:val="24"/>
          <w:szCs w:val="24"/>
        </w:rPr>
        <w:t xml:space="preserve"> ietvaros saņemtajā apjomā.</w:t>
      </w:r>
    </w:p>
    <w:p w:rsidRPr="00F92B5C" w:rsidR="006D19F0" w:rsidP="00FA2163" w:rsidRDefault="006D19F0" w14:paraId="21B09B2B" w14:textId="3C92470A">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 xml:space="preserve">Ņemot vērā, ka </w:t>
      </w:r>
      <w:r w:rsidRPr="00F92B5C" w:rsidR="00782C56">
        <w:rPr>
          <w:rFonts w:ascii="Times New Roman" w:hAnsi="Times New Roman" w:cs="Times New Roman"/>
          <w:sz w:val="24"/>
          <w:szCs w:val="24"/>
        </w:rPr>
        <w:t>projektu</w:t>
      </w:r>
      <w:r w:rsidRPr="00F92B5C">
        <w:rPr>
          <w:rFonts w:ascii="Times New Roman" w:hAnsi="Times New Roman" w:cs="Times New Roman"/>
          <w:sz w:val="24"/>
          <w:szCs w:val="24"/>
        </w:rPr>
        <w:t xml:space="preserve"> ieviešana un t</w:t>
      </w:r>
      <w:r w:rsidRPr="00F92B5C" w:rsidR="0087609F">
        <w:rPr>
          <w:rFonts w:ascii="Times New Roman" w:hAnsi="Times New Roman" w:cs="Times New Roman"/>
          <w:sz w:val="24"/>
          <w:szCs w:val="24"/>
        </w:rPr>
        <w:t>o</w:t>
      </w:r>
      <w:r w:rsidRPr="00F92B5C">
        <w:rPr>
          <w:rFonts w:ascii="Times New Roman" w:hAnsi="Times New Roman" w:cs="Times New Roman"/>
          <w:sz w:val="24"/>
          <w:szCs w:val="24"/>
        </w:rPr>
        <w:t xml:space="preserve"> īstenošanas rezultāti veicina tieslietu sistēmas attīstību, piesaista papildu finanšu līdzekļus valsts budžetam no ES budžeta</w:t>
      </w:r>
      <w:r w:rsidRPr="00F92B5C" w:rsidR="006917A8">
        <w:rPr>
          <w:rFonts w:ascii="Times New Roman" w:hAnsi="Times New Roman" w:cs="Times New Roman"/>
          <w:sz w:val="24"/>
          <w:szCs w:val="24"/>
        </w:rPr>
        <w:t>, un, lai atbilstoši Ministru kabineta 201</w:t>
      </w:r>
      <w:r w:rsidRPr="00F92B5C" w:rsidR="007B1841">
        <w:rPr>
          <w:rFonts w:ascii="Times New Roman" w:hAnsi="Times New Roman" w:cs="Times New Roman"/>
          <w:sz w:val="24"/>
          <w:szCs w:val="24"/>
        </w:rPr>
        <w:t>8</w:t>
      </w:r>
      <w:r w:rsidRPr="00F92B5C" w:rsidR="006917A8">
        <w:rPr>
          <w:rFonts w:ascii="Times New Roman" w:hAnsi="Times New Roman" w:cs="Times New Roman"/>
          <w:sz w:val="24"/>
          <w:szCs w:val="24"/>
        </w:rPr>
        <w:t>. gada 1</w:t>
      </w:r>
      <w:r w:rsidRPr="00F92B5C" w:rsidR="007B1841">
        <w:rPr>
          <w:rFonts w:ascii="Times New Roman" w:hAnsi="Times New Roman" w:cs="Times New Roman"/>
          <w:sz w:val="24"/>
          <w:szCs w:val="24"/>
        </w:rPr>
        <w:t>7</w:t>
      </w:r>
      <w:r w:rsidRPr="00F92B5C" w:rsidR="006917A8">
        <w:rPr>
          <w:rFonts w:ascii="Times New Roman" w:hAnsi="Times New Roman" w:cs="Times New Roman"/>
          <w:sz w:val="24"/>
          <w:szCs w:val="24"/>
        </w:rPr>
        <w:t>. </w:t>
      </w:r>
      <w:r w:rsidRPr="00F92B5C" w:rsidR="007B1841">
        <w:rPr>
          <w:rFonts w:ascii="Times New Roman" w:hAnsi="Times New Roman" w:cs="Times New Roman"/>
          <w:sz w:val="24"/>
          <w:szCs w:val="24"/>
        </w:rPr>
        <w:t xml:space="preserve">jūlija </w:t>
      </w:r>
      <w:r w:rsidRPr="00F92B5C" w:rsidR="006917A8">
        <w:rPr>
          <w:rFonts w:ascii="Times New Roman" w:hAnsi="Times New Roman" w:cs="Times New Roman"/>
          <w:sz w:val="24"/>
          <w:szCs w:val="24"/>
        </w:rPr>
        <w:t>noteikumos Nr. 4</w:t>
      </w:r>
      <w:r w:rsidRPr="00F92B5C" w:rsidR="007B1841">
        <w:rPr>
          <w:rFonts w:ascii="Times New Roman" w:hAnsi="Times New Roman" w:cs="Times New Roman"/>
          <w:sz w:val="24"/>
          <w:szCs w:val="24"/>
        </w:rPr>
        <w:t>21</w:t>
      </w:r>
      <w:r w:rsidRPr="00F92B5C" w:rsidR="006917A8">
        <w:rPr>
          <w:rFonts w:ascii="Times New Roman" w:hAnsi="Times New Roman" w:cs="Times New Roman"/>
          <w:sz w:val="24"/>
          <w:szCs w:val="24"/>
        </w:rPr>
        <w:t xml:space="preserve"> "</w:t>
      </w:r>
      <w:r w:rsidRPr="00F92B5C" w:rsidR="007B1841">
        <w:rPr>
          <w:rFonts w:ascii="Times New Roman" w:hAnsi="Times New Roman" w:cs="Times New Roman"/>
          <w:sz w:val="24"/>
          <w:szCs w:val="24"/>
        </w:rPr>
        <w:t>Kārtība, kādā veic gadskārtējā valsts budžeta likumā noteiktās apropriācijas izmaiņas</w:t>
      </w:r>
      <w:r w:rsidRPr="00F92B5C" w:rsidR="006917A8">
        <w:rPr>
          <w:rFonts w:ascii="Times New Roman" w:hAnsi="Times New Roman" w:cs="Times New Roman"/>
          <w:sz w:val="24"/>
          <w:szCs w:val="24"/>
        </w:rPr>
        <w:t>"</w:t>
      </w:r>
      <w:r w:rsidRPr="00F92B5C" w:rsidR="005A1BDF">
        <w:rPr>
          <w:rFonts w:ascii="Times New Roman" w:hAnsi="Times New Roman" w:cs="Times New Roman"/>
          <w:sz w:val="24"/>
          <w:szCs w:val="24"/>
        </w:rPr>
        <w:t xml:space="preserve"> </w:t>
      </w:r>
      <w:r w:rsidRPr="00F92B5C" w:rsidR="006917A8">
        <w:rPr>
          <w:rFonts w:ascii="Times New Roman" w:hAnsi="Times New Roman" w:cs="Times New Roman"/>
          <w:sz w:val="24"/>
          <w:szCs w:val="24"/>
        </w:rPr>
        <w:t xml:space="preserve">noteiktajai kārtībai varētu iesniegt pieprasījumu </w:t>
      </w:r>
      <w:r w:rsidR="004F7D5B">
        <w:rPr>
          <w:rFonts w:ascii="Times New Roman" w:hAnsi="Times New Roman" w:cs="Times New Roman"/>
          <w:sz w:val="24"/>
          <w:szCs w:val="24"/>
        </w:rPr>
        <w:t xml:space="preserve">līdzfinansējuma, </w:t>
      </w:r>
      <w:r w:rsidRPr="00F92B5C" w:rsidR="006917A8">
        <w:rPr>
          <w:rFonts w:ascii="Times New Roman" w:hAnsi="Times New Roman" w:cs="Times New Roman"/>
          <w:sz w:val="24"/>
          <w:szCs w:val="24"/>
        </w:rPr>
        <w:t xml:space="preserve">priekšfinansējuma </w:t>
      </w:r>
      <w:r w:rsidR="004F7D5B">
        <w:rPr>
          <w:rFonts w:ascii="Times New Roman" w:hAnsi="Times New Roman" w:cs="Times New Roman"/>
          <w:sz w:val="24"/>
          <w:szCs w:val="24"/>
        </w:rPr>
        <w:t xml:space="preserve">un </w:t>
      </w:r>
      <w:r w:rsidRPr="00F92B5C" w:rsidR="004F7D5B">
        <w:rPr>
          <w:rFonts w:ascii="Times New Roman" w:hAnsi="Times New Roman" w:cs="Times New Roman"/>
          <w:sz w:val="24"/>
          <w:szCs w:val="24"/>
        </w:rPr>
        <w:t xml:space="preserve">finansējumu neattiecināmo izmaksu (PVN) </w:t>
      </w:r>
      <w:r w:rsidRPr="00F92B5C" w:rsidR="006917A8">
        <w:rPr>
          <w:rFonts w:ascii="Times New Roman" w:hAnsi="Times New Roman" w:cs="Times New Roman"/>
          <w:sz w:val="24"/>
          <w:szCs w:val="24"/>
        </w:rPr>
        <w:t>nodrošināšanai no valsts budžeta līdzekļiem,</w:t>
      </w:r>
      <w:r w:rsidRPr="00F92B5C">
        <w:rPr>
          <w:rFonts w:ascii="Times New Roman" w:hAnsi="Times New Roman" w:cs="Times New Roman"/>
          <w:sz w:val="24"/>
          <w:szCs w:val="24"/>
        </w:rPr>
        <w:t xml:space="preserve"> TM ir sagatavojusi informatīvo ziņojumu</w:t>
      </w:r>
      <w:r w:rsidRPr="00F92B5C" w:rsidR="006917A8">
        <w:rPr>
          <w:rFonts w:ascii="Times New Roman" w:hAnsi="Times New Roman" w:cs="Times New Roman"/>
          <w:sz w:val="24"/>
          <w:szCs w:val="24"/>
        </w:rPr>
        <w:t xml:space="preserve">. </w:t>
      </w:r>
      <w:r w:rsidR="00F47D28">
        <w:rPr>
          <w:rFonts w:ascii="Times New Roman" w:hAnsi="Times New Roman" w:cs="Times New Roman"/>
          <w:sz w:val="24"/>
          <w:szCs w:val="24"/>
        </w:rPr>
        <w:t>Pamatojoties u</w:t>
      </w:r>
      <w:r w:rsidRPr="00F92B5C" w:rsidR="006917A8">
        <w:rPr>
          <w:rFonts w:ascii="Times New Roman" w:hAnsi="Times New Roman" w:cs="Times New Roman"/>
          <w:sz w:val="24"/>
          <w:szCs w:val="24"/>
        </w:rPr>
        <w:t>z š</w:t>
      </w:r>
      <w:r w:rsidR="00F47D28">
        <w:rPr>
          <w:rFonts w:ascii="Times New Roman" w:hAnsi="Times New Roman" w:cs="Times New Roman"/>
          <w:sz w:val="24"/>
          <w:szCs w:val="24"/>
        </w:rPr>
        <w:t>o</w:t>
      </w:r>
      <w:r w:rsidRPr="00F92B5C" w:rsidR="006917A8">
        <w:rPr>
          <w:rFonts w:ascii="Times New Roman" w:hAnsi="Times New Roman" w:cs="Times New Roman"/>
          <w:sz w:val="24"/>
          <w:szCs w:val="24"/>
        </w:rPr>
        <w:t xml:space="preserve"> informatīv</w:t>
      </w:r>
      <w:r w:rsidR="00F47D28">
        <w:rPr>
          <w:rFonts w:ascii="Times New Roman" w:hAnsi="Times New Roman" w:cs="Times New Roman"/>
          <w:sz w:val="24"/>
          <w:szCs w:val="24"/>
        </w:rPr>
        <w:t>o</w:t>
      </w:r>
      <w:r w:rsidRPr="00F92B5C" w:rsidR="006917A8">
        <w:rPr>
          <w:rFonts w:ascii="Times New Roman" w:hAnsi="Times New Roman" w:cs="Times New Roman"/>
          <w:sz w:val="24"/>
          <w:szCs w:val="24"/>
        </w:rPr>
        <w:t xml:space="preserve"> ziņojuma</w:t>
      </w:r>
      <w:r w:rsidRPr="00F92B5C">
        <w:rPr>
          <w:rFonts w:ascii="Times New Roman" w:hAnsi="Times New Roman" w:cs="Times New Roman"/>
          <w:sz w:val="24"/>
          <w:szCs w:val="24"/>
        </w:rPr>
        <w:t xml:space="preserve"> Ministru kabinets pieņemtu lēmumu atļaut </w:t>
      </w:r>
      <w:r w:rsidRPr="00F92B5C" w:rsidR="00C421F1">
        <w:rPr>
          <w:rFonts w:ascii="Times New Roman" w:hAnsi="Times New Roman" w:cs="Times New Roman"/>
          <w:sz w:val="24"/>
          <w:szCs w:val="24"/>
        </w:rPr>
        <w:t xml:space="preserve">TM </w:t>
      </w:r>
      <w:r w:rsidRPr="00F92B5C" w:rsidR="00F16513">
        <w:rPr>
          <w:rFonts w:ascii="Times New Roman" w:hAnsi="Times New Roman" w:cs="Times New Roman"/>
          <w:sz w:val="24"/>
          <w:szCs w:val="24"/>
        </w:rPr>
        <w:t xml:space="preserve">un </w:t>
      </w:r>
      <w:r w:rsidRPr="00F92B5C" w:rsidR="008826EA">
        <w:rPr>
          <w:rFonts w:ascii="Times New Roman" w:hAnsi="Times New Roman" w:cs="Times New Roman"/>
          <w:sz w:val="24"/>
          <w:szCs w:val="24"/>
        </w:rPr>
        <w:t>TA</w:t>
      </w:r>
      <w:r w:rsidRPr="00F92B5C">
        <w:rPr>
          <w:rFonts w:ascii="Times New Roman" w:hAnsi="Times New Roman" w:cs="Times New Roman"/>
          <w:sz w:val="24"/>
          <w:szCs w:val="24"/>
        </w:rPr>
        <w:t xml:space="preserve"> uzņemties valsts budžeta ilgtermiņa saistības un īstenot </w:t>
      </w:r>
      <w:r w:rsidRPr="00F92B5C" w:rsidR="00492A70">
        <w:rPr>
          <w:rFonts w:ascii="Times New Roman" w:hAnsi="Times New Roman" w:cs="Times New Roman"/>
          <w:sz w:val="24"/>
          <w:szCs w:val="24"/>
        </w:rPr>
        <w:t>projektus</w:t>
      </w:r>
      <w:r w:rsidRPr="00F92B5C">
        <w:rPr>
          <w:rFonts w:ascii="Times New Roman" w:hAnsi="Times New Roman" w:cs="Times New Roman"/>
          <w:sz w:val="24"/>
          <w:szCs w:val="24"/>
        </w:rPr>
        <w:t>, kas tiek finansēt</w:t>
      </w:r>
      <w:r w:rsidRPr="00F92B5C" w:rsidR="00492A70">
        <w:rPr>
          <w:rFonts w:ascii="Times New Roman" w:hAnsi="Times New Roman" w:cs="Times New Roman"/>
          <w:sz w:val="24"/>
          <w:szCs w:val="24"/>
        </w:rPr>
        <w:t>i</w:t>
      </w:r>
      <w:r w:rsidRPr="00F92B5C">
        <w:rPr>
          <w:rFonts w:ascii="Times New Roman" w:hAnsi="Times New Roman" w:cs="Times New Roman"/>
          <w:sz w:val="24"/>
          <w:szCs w:val="24"/>
        </w:rPr>
        <w:t xml:space="preserve"> no ārvalstu finanšu instrument</w:t>
      </w:r>
      <w:r w:rsidRPr="00F92B5C" w:rsidR="00492A70">
        <w:rPr>
          <w:rFonts w:ascii="Times New Roman" w:hAnsi="Times New Roman" w:cs="Times New Roman"/>
          <w:sz w:val="24"/>
          <w:szCs w:val="24"/>
        </w:rPr>
        <w:t>iem</w:t>
      </w:r>
      <w:r w:rsidRPr="00F92B5C">
        <w:rPr>
          <w:rFonts w:ascii="Times New Roman" w:hAnsi="Times New Roman" w:cs="Times New Roman"/>
          <w:sz w:val="24"/>
          <w:szCs w:val="24"/>
        </w:rPr>
        <w:t xml:space="preserve">. TM </w:t>
      </w:r>
      <w:r w:rsidRPr="00F92B5C" w:rsidR="00492A70">
        <w:rPr>
          <w:rFonts w:ascii="Times New Roman" w:hAnsi="Times New Roman" w:cs="Times New Roman"/>
          <w:sz w:val="24"/>
          <w:szCs w:val="24"/>
        </w:rPr>
        <w:t xml:space="preserve">apņemas </w:t>
      </w:r>
      <w:r w:rsidRPr="00F92B5C">
        <w:rPr>
          <w:rFonts w:ascii="Times New Roman" w:hAnsi="Times New Roman" w:cs="Times New Roman"/>
          <w:sz w:val="24"/>
          <w:szCs w:val="24"/>
        </w:rPr>
        <w:t>nodrošinā</w:t>
      </w:r>
      <w:r w:rsidRPr="00F92B5C" w:rsidR="00492A70">
        <w:rPr>
          <w:rFonts w:ascii="Times New Roman" w:hAnsi="Times New Roman" w:cs="Times New Roman"/>
          <w:sz w:val="24"/>
          <w:szCs w:val="24"/>
        </w:rPr>
        <w:t>t</w:t>
      </w:r>
      <w:r w:rsidRPr="00F92B5C">
        <w:rPr>
          <w:rFonts w:ascii="Times New Roman" w:hAnsi="Times New Roman" w:cs="Times New Roman"/>
          <w:sz w:val="24"/>
          <w:szCs w:val="24"/>
        </w:rPr>
        <w:t xml:space="preserve">, ka </w:t>
      </w:r>
      <w:r w:rsidRPr="00F92B5C" w:rsidR="00492A70">
        <w:rPr>
          <w:rFonts w:ascii="Times New Roman" w:hAnsi="Times New Roman" w:cs="Times New Roman"/>
          <w:sz w:val="24"/>
          <w:szCs w:val="24"/>
        </w:rPr>
        <w:t>projektu</w:t>
      </w:r>
      <w:r w:rsidRPr="00F92B5C">
        <w:rPr>
          <w:rFonts w:ascii="Times New Roman" w:hAnsi="Times New Roman" w:cs="Times New Roman"/>
          <w:sz w:val="24"/>
          <w:szCs w:val="24"/>
        </w:rPr>
        <w:t>, kur</w:t>
      </w:r>
      <w:r w:rsidRPr="00F92B5C" w:rsidR="00492A70">
        <w:rPr>
          <w:rFonts w:ascii="Times New Roman" w:hAnsi="Times New Roman" w:cs="Times New Roman"/>
          <w:sz w:val="24"/>
          <w:szCs w:val="24"/>
        </w:rPr>
        <w:t>u</w:t>
      </w:r>
      <w:r w:rsidRPr="00F92B5C">
        <w:rPr>
          <w:rFonts w:ascii="Times New Roman" w:hAnsi="Times New Roman" w:cs="Times New Roman"/>
          <w:sz w:val="24"/>
          <w:szCs w:val="24"/>
        </w:rPr>
        <w:t xml:space="preserve"> finansējums tiks piesaistīts no ārvalstu finanšu instrument</w:t>
      </w:r>
      <w:r w:rsidRPr="00F92B5C" w:rsidR="00492A70">
        <w:rPr>
          <w:rFonts w:ascii="Times New Roman" w:hAnsi="Times New Roman" w:cs="Times New Roman"/>
          <w:sz w:val="24"/>
          <w:szCs w:val="24"/>
        </w:rPr>
        <w:t>iem</w:t>
      </w:r>
      <w:r w:rsidRPr="00F92B5C">
        <w:rPr>
          <w:rFonts w:ascii="Times New Roman" w:hAnsi="Times New Roman" w:cs="Times New Roman"/>
          <w:sz w:val="24"/>
          <w:szCs w:val="24"/>
        </w:rPr>
        <w:t>, saturs nedublēsies ar projektiem, kas t</w:t>
      </w:r>
      <w:r w:rsidRPr="00F92B5C" w:rsidR="008F054D">
        <w:rPr>
          <w:rFonts w:ascii="Times New Roman" w:hAnsi="Times New Roman" w:cs="Times New Roman"/>
          <w:sz w:val="24"/>
          <w:szCs w:val="24"/>
        </w:rPr>
        <w:t>iek</w:t>
      </w:r>
      <w:r w:rsidRPr="00F92B5C">
        <w:rPr>
          <w:rFonts w:ascii="Times New Roman" w:hAnsi="Times New Roman" w:cs="Times New Roman"/>
          <w:sz w:val="24"/>
          <w:szCs w:val="24"/>
        </w:rPr>
        <w:t xml:space="preserve"> īstenoti TM pārziņā esošo ES struktūrfondu un Kohēzijas fonda 2014.–2020. gada plānošanas perioda darbības programmas "Izaugsme un nodarbinātība" specifisko atbalsta mērķu un Norvēģijas finanšu instrumenta ietvaros.</w:t>
      </w:r>
    </w:p>
    <w:p w:rsidRPr="00F92B5C" w:rsidR="00F92F8B" w:rsidP="00F92F8B" w:rsidRDefault="00F92F8B" w14:paraId="56F285B1" w14:textId="2E491405">
      <w:pPr>
        <w:spacing w:after="0" w:line="240" w:lineRule="auto"/>
        <w:rPr>
          <w:rFonts w:ascii="Times New Roman" w:hAnsi="Times New Roman" w:cs="Times New Roman"/>
          <w:b/>
          <w:sz w:val="24"/>
          <w:szCs w:val="24"/>
        </w:rPr>
      </w:pPr>
    </w:p>
    <w:p w:rsidRPr="00F92B5C" w:rsidR="007F104F" w:rsidP="000024B4" w:rsidRDefault="007F104F" w14:paraId="3AAA9AE4" w14:textId="6A57B854">
      <w:pPr>
        <w:spacing w:after="0" w:line="240" w:lineRule="auto"/>
        <w:jc w:val="both"/>
        <w:rPr>
          <w:rFonts w:ascii="Times New Roman" w:hAnsi="Times New Roman" w:cs="Times New Roman"/>
          <w:sz w:val="24"/>
          <w:szCs w:val="24"/>
        </w:rPr>
      </w:pPr>
    </w:p>
    <w:p w:rsidR="00DE784A" w:rsidP="009B2F5A" w:rsidRDefault="009B2F5A" w14:paraId="36D28ECC" w14:textId="4F371701">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2</w:t>
      </w:r>
      <w:r w:rsidRPr="00AE2C3A" w:rsidR="005D3CEF">
        <w:rPr>
          <w:rFonts w:ascii="Times New Roman" w:hAnsi="Times New Roman" w:cs="Times New Roman"/>
          <w:b/>
          <w:bCs/>
          <w:sz w:val="24"/>
          <w:szCs w:val="20"/>
        </w:rPr>
        <w:t>. Informācija par programmu Apvārsnis 2020</w:t>
      </w:r>
    </w:p>
    <w:p w:rsidRPr="00AE2C3A" w:rsidR="009B2F5A" w:rsidP="00AE2C3A" w:rsidRDefault="009B2F5A" w14:paraId="28DFF164" w14:textId="77777777">
      <w:pPr>
        <w:spacing w:after="0" w:line="240" w:lineRule="auto"/>
        <w:jc w:val="center"/>
        <w:rPr>
          <w:rFonts w:ascii="Times New Roman" w:hAnsi="Times New Roman" w:cs="Times New Roman"/>
          <w:b/>
          <w:bCs/>
          <w:sz w:val="24"/>
          <w:szCs w:val="20"/>
        </w:rPr>
      </w:pPr>
    </w:p>
    <w:p w:rsidR="00DE784A" w:rsidP="00DE784A" w:rsidRDefault="00DE784A" w14:paraId="775175E1" w14:textId="089596FB">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bCs/>
          <w:kern w:val="2"/>
          <w:sz w:val="24"/>
          <w:szCs w:val="24"/>
          <w:lang w:eastAsia="ar-SA"/>
        </w:rPr>
        <w:t>Programma</w:t>
      </w:r>
      <w:r w:rsidR="00927BA7">
        <w:rPr>
          <w:rFonts w:ascii="Times New Roman" w:hAnsi="Times New Roman" w:eastAsia="Times New Roman" w:cs="Times New Roman"/>
          <w:bCs/>
          <w:kern w:val="2"/>
          <w:sz w:val="24"/>
          <w:szCs w:val="24"/>
          <w:lang w:eastAsia="ar-SA"/>
        </w:rPr>
        <w:t xml:space="preserve"> Apvārsnis</w:t>
      </w:r>
      <w:r w:rsidRPr="00880A61">
        <w:rPr>
          <w:rFonts w:ascii="Times New Roman" w:hAnsi="Times New Roman" w:eastAsia="Times New Roman" w:cs="Times New Roman"/>
          <w:bCs/>
          <w:kern w:val="2"/>
          <w:sz w:val="24"/>
          <w:szCs w:val="24"/>
          <w:lang w:eastAsia="ar-SA"/>
        </w:rPr>
        <w:t xml:space="preserve"> </w:t>
      </w:r>
      <w:r w:rsidRPr="00880A61">
        <w:rPr>
          <w:rFonts w:ascii="Times New Roman" w:hAnsi="Times New Roman" w:eastAsia="Times New Roman" w:cs="Times New Roman"/>
          <w:kern w:val="2"/>
          <w:sz w:val="24"/>
          <w:szCs w:val="24"/>
          <w:lang w:eastAsia="ar-SA"/>
        </w:rPr>
        <w:t xml:space="preserve">ir lielākā </w:t>
      </w:r>
      <w:r>
        <w:rPr>
          <w:rFonts w:ascii="Times New Roman" w:hAnsi="Times New Roman" w:eastAsia="Times New Roman" w:cs="Times New Roman"/>
          <w:kern w:val="2"/>
          <w:sz w:val="24"/>
          <w:szCs w:val="24"/>
          <w:lang w:eastAsia="ar-SA"/>
        </w:rPr>
        <w:t>ES</w:t>
      </w:r>
      <w:r w:rsidRPr="00880A61">
        <w:rPr>
          <w:rFonts w:ascii="Times New Roman" w:hAnsi="Times New Roman" w:eastAsia="Times New Roman" w:cs="Times New Roman"/>
          <w:kern w:val="2"/>
          <w:sz w:val="24"/>
          <w:szCs w:val="24"/>
          <w:lang w:eastAsia="ar-SA"/>
        </w:rPr>
        <w:t xml:space="preserve"> pētniecības un inovāciju programma ar pieejamo finansējumu aptuveni 80 miljardu</w:t>
      </w:r>
      <w:r>
        <w:rPr>
          <w:rFonts w:ascii="Times New Roman" w:hAnsi="Times New Roman" w:eastAsia="Times New Roman" w:cs="Times New Roman"/>
          <w:kern w:val="2"/>
          <w:sz w:val="24"/>
          <w:szCs w:val="24"/>
          <w:lang w:eastAsia="ar-SA"/>
        </w:rPr>
        <w:t xml:space="preserve"> EUR</w:t>
      </w:r>
      <w:r w:rsidRPr="00880A61">
        <w:rPr>
          <w:rFonts w:ascii="Times New Roman" w:hAnsi="Times New Roman" w:eastAsia="Times New Roman" w:cs="Times New Roman"/>
          <w:kern w:val="2"/>
          <w:sz w:val="24"/>
          <w:szCs w:val="24"/>
          <w:lang w:eastAsia="ar-SA"/>
        </w:rPr>
        <w:t xml:space="preserve"> apjomā, kas atvēlēta laika posmam </w:t>
      </w:r>
      <w:r>
        <w:rPr>
          <w:rFonts w:ascii="Times New Roman" w:hAnsi="Times New Roman" w:eastAsia="Times New Roman" w:cs="Times New Roman"/>
          <w:kern w:val="2"/>
          <w:sz w:val="24"/>
          <w:szCs w:val="24"/>
          <w:lang w:eastAsia="ar-SA"/>
        </w:rPr>
        <w:t xml:space="preserve">no 2014. līdz </w:t>
      </w:r>
      <w:r w:rsidRPr="00880A61">
        <w:rPr>
          <w:rFonts w:ascii="Times New Roman" w:hAnsi="Times New Roman" w:eastAsia="Times New Roman" w:cs="Times New Roman"/>
          <w:kern w:val="2"/>
          <w:sz w:val="24"/>
          <w:szCs w:val="24"/>
          <w:lang w:eastAsia="ar-SA"/>
        </w:rPr>
        <w:t>2020</w:t>
      </w:r>
      <w:r>
        <w:rPr>
          <w:rFonts w:ascii="Times New Roman" w:hAnsi="Times New Roman" w:eastAsia="Times New Roman" w:cs="Times New Roman"/>
          <w:kern w:val="2"/>
          <w:sz w:val="24"/>
          <w:szCs w:val="24"/>
          <w:lang w:eastAsia="ar-SA"/>
        </w:rPr>
        <w:t xml:space="preserve">. gadam. </w:t>
      </w:r>
      <w:r w:rsidRPr="00880A61">
        <w:rPr>
          <w:rFonts w:ascii="Times New Roman" w:hAnsi="Times New Roman" w:eastAsia="Times New Roman" w:cs="Times New Roman"/>
          <w:kern w:val="2"/>
          <w:sz w:val="24"/>
          <w:szCs w:val="24"/>
          <w:lang w:eastAsia="ar-SA"/>
        </w:rPr>
        <w:t xml:space="preserve">Papildus piesaistot arī privātas investīcijas, šī </w:t>
      </w:r>
      <w:r w:rsidR="00587571">
        <w:rPr>
          <w:rFonts w:ascii="Times New Roman" w:hAnsi="Times New Roman" w:eastAsia="Times New Roman" w:cs="Times New Roman"/>
          <w:kern w:val="2"/>
          <w:sz w:val="24"/>
          <w:szCs w:val="24"/>
          <w:lang w:eastAsia="ar-SA"/>
        </w:rPr>
        <w:t>p</w:t>
      </w:r>
      <w:r w:rsidRPr="00880A61">
        <w:rPr>
          <w:rFonts w:ascii="Times New Roman" w:hAnsi="Times New Roman" w:eastAsia="Times New Roman" w:cs="Times New Roman"/>
          <w:kern w:val="2"/>
          <w:sz w:val="24"/>
          <w:szCs w:val="24"/>
          <w:lang w:eastAsia="ar-SA"/>
        </w:rPr>
        <w:t>rogramma nodrošina atklājumus, inovācijas un pasaules nozīmes tehnoloģiskos izrāvienus, pārnesot idejas no pētnieciskām laboratorijām uz ražošanas uzņēmumiem.</w:t>
      </w:r>
      <w:r>
        <w:rPr>
          <w:rFonts w:ascii="Times New Roman" w:hAnsi="Times New Roman" w:eastAsia="Times New Roman" w:cs="Times New Roman"/>
          <w:kern w:val="2"/>
          <w:sz w:val="24"/>
          <w:szCs w:val="24"/>
          <w:lang w:eastAsia="ar-SA"/>
        </w:rPr>
        <w:t xml:space="preserve"> Programma</w:t>
      </w:r>
      <w:r w:rsidR="00587571">
        <w:rPr>
          <w:rFonts w:ascii="Times New Roman" w:hAnsi="Times New Roman" w:eastAsia="Times New Roman" w:cs="Times New Roman"/>
          <w:kern w:val="2"/>
          <w:sz w:val="24"/>
          <w:szCs w:val="24"/>
          <w:lang w:eastAsia="ar-SA"/>
        </w:rPr>
        <w:t xml:space="preserve"> Apvārsnis</w:t>
      </w:r>
      <w:r>
        <w:rPr>
          <w:rFonts w:ascii="Times New Roman" w:hAnsi="Times New Roman" w:eastAsia="Times New Roman" w:cs="Times New Roman"/>
          <w:kern w:val="2"/>
          <w:sz w:val="24"/>
          <w:szCs w:val="24"/>
          <w:lang w:eastAsia="ar-SA"/>
        </w:rPr>
        <w:t xml:space="preserve"> izveidota ar </w:t>
      </w:r>
      <w:r w:rsidRPr="00C65830">
        <w:rPr>
          <w:rFonts w:ascii="Times New Roman" w:hAnsi="Times New Roman" w:eastAsia="Times New Roman" w:cs="Times New Roman"/>
          <w:kern w:val="2"/>
          <w:sz w:val="24"/>
          <w:szCs w:val="24"/>
          <w:lang w:eastAsia="ar-SA"/>
        </w:rPr>
        <w:t>Eiropas Parlamenta un Padomes</w:t>
      </w:r>
      <w:r>
        <w:rPr>
          <w:rFonts w:ascii="Times New Roman" w:hAnsi="Times New Roman" w:eastAsia="Times New Roman" w:cs="Times New Roman"/>
          <w:kern w:val="2"/>
          <w:sz w:val="24"/>
          <w:szCs w:val="24"/>
          <w:lang w:eastAsia="ar-SA"/>
        </w:rPr>
        <w:t xml:space="preserve"> </w:t>
      </w:r>
      <w:r w:rsidRPr="00C65830">
        <w:rPr>
          <w:rFonts w:ascii="Times New Roman" w:hAnsi="Times New Roman" w:eastAsia="Times New Roman" w:cs="Times New Roman"/>
          <w:kern w:val="2"/>
          <w:sz w:val="24"/>
          <w:szCs w:val="24"/>
          <w:lang w:eastAsia="ar-SA"/>
        </w:rPr>
        <w:t>2013</w:t>
      </w:r>
      <w:r>
        <w:rPr>
          <w:rFonts w:ascii="Times New Roman" w:hAnsi="Times New Roman" w:eastAsia="Times New Roman" w:cs="Times New Roman"/>
          <w:kern w:val="2"/>
          <w:sz w:val="24"/>
          <w:szCs w:val="24"/>
          <w:lang w:eastAsia="ar-SA"/>
        </w:rPr>
        <w:t>. </w:t>
      </w:r>
      <w:r w:rsidRPr="00C65830">
        <w:rPr>
          <w:rFonts w:ascii="Times New Roman" w:hAnsi="Times New Roman" w:eastAsia="Times New Roman" w:cs="Times New Roman"/>
          <w:kern w:val="2"/>
          <w:sz w:val="24"/>
          <w:szCs w:val="24"/>
          <w:lang w:eastAsia="ar-SA"/>
        </w:rPr>
        <w:t>gada 11.</w:t>
      </w:r>
      <w:r>
        <w:rPr>
          <w:rFonts w:ascii="Times New Roman" w:hAnsi="Times New Roman" w:eastAsia="Times New Roman" w:cs="Times New Roman"/>
          <w:kern w:val="2"/>
          <w:sz w:val="24"/>
          <w:szCs w:val="24"/>
          <w:lang w:eastAsia="ar-SA"/>
        </w:rPr>
        <w:t> </w:t>
      </w:r>
      <w:r w:rsidRPr="00C65830">
        <w:rPr>
          <w:rFonts w:ascii="Times New Roman" w:hAnsi="Times New Roman" w:eastAsia="Times New Roman" w:cs="Times New Roman"/>
          <w:kern w:val="2"/>
          <w:sz w:val="24"/>
          <w:szCs w:val="24"/>
          <w:lang w:eastAsia="ar-SA"/>
        </w:rPr>
        <w:t>decembr</w:t>
      </w:r>
      <w:r>
        <w:rPr>
          <w:rFonts w:ascii="Times New Roman" w:hAnsi="Times New Roman" w:eastAsia="Times New Roman" w:cs="Times New Roman"/>
          <w:kern w:val="2"/>
          <w:sz w:val="24"/>
          <w:szCs w:val="24"/>
          <w:lang w:eastAsia="ar-SA"/>
        </w:rPr>
        <w:t>a</w:t>
      </w:r>
      <w:r w:rsidRPr="00C65830">
        <w:rPr>
          <w:rFonts w:ascii="Times New Roman" w:hAnsi="Times New Roman" w:eastAsia="Times New Roman" w:cs="Times New Roman"/>
          <w:kern w:val="2"/>
          <w:sz w:val="24"/>
          <w:szCs w:val="24"/>
          <w:lang w:eastAsia="ar-SA"/>
        </w:rPr>
        <w:t xml:space="preserve"> Regul</w:t>
      </w:r>
      <w:r>
        <w:rPr>
          <w:rFonts w:ascii="Times New Roman" w:hAnsi="Times New Roman" w:eastAsia="Times New Roman" w:cs="Times New Roman"/>
          <w:kern w:val="2"/>
          <w:sz w:val="24"/>
          <w:szCs w:val="24"/>
          <w:lang w:eastAsia="ar-SA"/>
        </w:rPr>
        <w:t>u</w:t>
      </w:r>
      <w:r w:rsidRPr="00C65830">
        <w:rPr>
          <w:rFonts w:ascii="Times New Roman" w:hAnsi="Times New Roman" w:eastAsia="Times New Roman" w:cs="Times New Roman"/>
          <w:kern w:val="2"/>
          <w:sz w:val="24"/>
          <w:szCs w:val="24"/>
          <w:lang w:eastAsia="ar-SA"/>
        </w:rPr>
        <w:t xml:space="preserve"> (ES) Nr.</w:t>
      </w:r>
      <w:r>
        <w:rPr>
          <w:rFonts w:ascii="Times New Roman" w:hAnsi="Times New Roman" w:eastAsia="Times New Roman" w:cs="Times New Roman"/>
          <w:kern w:val="2"/>
          <w:sz w:val="24"/>
          <w:szCs w:val="24"/>
          <w:lang w:eastAsia="ar-SA"/>
        </w:rPr>
        <w:t> </w:t>
      </w:r>
      <w:r w:rsidRPr="00C65830">
        <w:rPr>
          <w:rFonts w:ascii="Times New Roman" w:hAnsi="Times New Roman" w:eastAsia="Times New Roman" w:cs="Times New Roman"/>
          <w:kern w:val="2"/>
          <w:sz w:val="24"/>
          <w:szCs w:val="24"/>
          <w:lang w:eastAsia="ar-SA"/>
        </w:rPr>
        <w:t>1291/2013, ar ko izveido Pētniecības un inovācijas pamatprogrammu "Apvārsnis 2020" (2014.–2020. gads) un atceļ Lēmumu Nr.</w:t>
      </w:r>
      <w:r>
        <w:rPr>
          <w:rFonts w:ascii="Times New Roman" w:hAnsi="Times New Roman" w:eastAsia="Times New Roman" w:cs="Times New Roman"/>
          <w:kern w:val="2"/>
          <w:sz w:val="24"/>
          <w:szCs w:val="24"/>
          <w:lang w:eastAsia="ar-SA"/>
        </w:rPr>
        <w:t> </w:t>
      </w:r>
      <w:r w:rsidRPr="00C65830">
        <w:rPr>
          <w:rFonts w:ascii="Times New Roman" w:hAnsi="Times New Roman" w:eastAsia="Times New Roman" w:cs="Times New Roman"/>
          <w:kern w:val="2"/>
          <w:sz w:val="24"/>
          <w:szCs w:val="24"/>
          <w:lang w:eastAsia="ar-SA"/>
        </w:rPr>
        <w:t>1982/2006/EK</w:t>
      </w:r>
      <w:r>
        <w:rPr>
          <w:rStyle w:val="Vresatsauce"/>
          <w:rFonts w:ascii="Times New Roman" w:hAnsi="Times New Roman" w:eastAsia="Times New Roman" w:cs="Times New Roman"/>
          <w:kern w:val="2"/>
          <w:sz w:val="24"/>
          <w:szCs w:val="24"/>
          <w:lang w:eastAsia="ar-SA"/>
        </w:rPr>
        <w:footnoteReference w:id="3"/>
      </w:r>
      <w:r>
        <w:rPr>
          <w:rFonts w:ascii="Times New Roman" w:hAnsi="Times New Roman" w:eastAsia="Times New Roman" w:cs="Times New Roman"/>
          <w:kern w:val="2"/>
          <w:sz w:val="24"/>
          <w:szCs w:val="24"/>
          <w:lang w:eastAsia="ar-SA"/>
        </w:rPr>
        <w:t>.</w:t>
      </w:r>
    </w:p>
    <w:p w:rsidR="00DE784A" w:rsidP="00DE784A" w:rsidRDefault="00DE784A" w14:paraId="0B24211E" w14:textId="28AD8755">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Programmas</w:t>
      </w:r>
      <w:r w:rsidR="00927BA7">
        <w:rPr>
          <w:rFonts w:ascii="Times New Roman" w:hAnsi="Times New Roman" w:eastAsia="Times New Roman" w:cs="Times New Roman"/>
          <w:kern w:val="2"/>
          <w:sz w:val="24"/>
          <w:szCs w:val="24"/>
          <w:lang w:eastAsia="ar-SA"/>
        </w:rPr>
        <w:t xml:space="preserve"> Apvārsnis</w:t>
      </w:r>
      <w:r w:rsidRPr="008A7A91">
        <w:rPr>
          <w:rFonts w:ascii="Times New Roman" w:hAnsi="Times New Roman" w:eastAsia="Times New Roman" w:cs="Times New Roman"/>
          <w:kern w:val="2"/>
          <w:sz w:val="24"/>
          <w:szCs w:val="24"/>
          <w:lang w:eastAsia="ar-SA"/>
        </w:rPr>
        <w:t xml:space="preserve"> </w:t>
      </w:r>
      <w:r w:rsidRPr="00F8558E">
        <w:rPr>
          <w:rFonts w:ascii="Times New Roman" w:hAnsi="Times New Roman" w:eastAsia="Times New Roman" w:cs="Times New Roman"/>
          <w:b/>
          <w:kern w:val="2"/>
          <w:sz w:val="24"/>
          <w:szCs w:val="24"/>
          <w:lang w:eastAsia="ar-SA"/>
        </w:rPr>
        <w:t>vis</w:t>
      </w:r>
      <w:r w:rsidRPr="009527EB">
        <w:rPr>
          <w:rFonts w:ascii="Times New Roman" w:hAnsi="Times New Roman" w:eastAsia="Times New Roman" w:cs="Times New Roman"/>
          <w:b/>
          <w:kern w:val="2"/>
          <w:sz w:val="24"/>
          <w:szCs w:val="24"/>
          <w:lang w:eastAsia="ar-SA"/>
        </w:rPr>
        <w:t xml:space="preserve">pārīgais mērķis </w:t>
      </w:r>
      <w:r w:rsidRPr="008A7A91">
        <w:rPr>
          <w:rFonts w:ascii="Times New Roman" w:hAnsi="Times New Roman" w:eastAsia="Times New Roman" w:cs="Times New Roman"/>
          <w:kern w:val="2"/>
          <w:sz w:val="24"/>
          <w:szCs w:val="24"/>
          <w:lang w:eastAsia="ar-SA"/>
        </w:rPr>
        <w:t xml:space="preserve">ir veicināt uz zināšanām un inovāciju balstītas sabiedrības un ekonomikas veidošanu </w:t>
      </w:r>
      <w:r>
        <w:rPr>
          <w:rFonts w:ascii="Times New Roman" w:hAnsi="Times New Roman" w:eastAsia="Times New Roman" w:cs="Times New Roman"/>
          <w:kern w:val="2"/>
          <w:sz w:val="24"/>
          <w:szCs w:val="24"/>
          <w:lang w:eastAsia="ar-SA"/>
        </w:rPr>
        <w:t>ES</w:t>
      </w:r>
      <w:r w:rsidRPr="008A7A91">
        <w:rPr>
          <w:rFonts w:ascii="Times New Roman" w:hAnsi="Times New Roman" w:eastAsia="Times New Roman" w:cs="Times New Roman"/>
          <w:kern w:val="2"/>
          <w:sz w:val="24"/>
          <w:szCs w:val="24"/>
          <w:lang w:eastAsia="ar-SA"/>
        </w:rPr>
        <w:t>, piesaistot papildu finansējumu pētniecībai, attīstībai un inovācijai un</w:t>
      </w:r>
      <w:r w:rsidR="006B20F8">
        <w:rPr>
          <w:rFonts w:ascii="Times New Roman" w:hAnsi="Times New Roman" w:eastAsia="Times New Roman" w:cs="Times New Roman"/>
          <w:kern w:val="2"/>
          <w:sz w:val="24"/>
          <w:szCs w:val="24"/>
          <w:lang w:eastAsia="ar-SA"/>
        </w:rPr>
        <w:t>,</w:t>
      </w:r>
      <w:r w:rsidRPr="008A7A91">
        <w:rPr>
          <w:rFonts w:ascii="Times New Roman" w:hAnsi="Times New Roman" w:eastAsia="Times New Roman" w:cs="Times New Roman"/>
          <w:kern w:val="2"/>
          <w:sz w:val="24"/>
          <w:szCs w:val="24"/>
          <w:lang w:eastAsia="ar-SA"/>
        </w:rPr>
        <w:t xml:space="preserve"> sekmējot pētniecības un attīstības mērķu sasniegšanu, tostarp attiecībā uz mērķi līdz 2020.</w:t>
      </w:r>
      <w:r>
        <w:rPr>
          <w:rFonts w:ascii="Times New Roman" w:hAnsi="Times New Roman" w:eastAsia="Times New Roman" w:cs="Times New Roman"/>
          <w:kern w:val="2"/>
          <w:sz w:val="24"/>
          <w:szCs w:val="24"/>
          <w:lang w:eastAsia="ar-SA"/>
        </w:rPr>
        <w:t> </w:t>
      </w:r>
      <w:r w:rsidRPr="008A7A91">
        <w:rPr>
          <w:rFonts w:ascii="Times New Roman" w:hAnsi="Times New Roman" w:eastAsia="Times New Roman" w:cs="Times New Roman"/>
          <w:kern w:val="2"/>
          <w:sz w:val="24"/>
          <w:szCs w:val="24"/>
          <w:lang w:eastAsia="ar-SA"/>
        </w:rPr>
        <w:t xml:space="preserve">gadam finansējumu pētniecībai un attīstībai visā </w:t>
      </w:r>
      <w:r>
        <w:rPr>
          <w:rFonts w:ascii="Times New Roman" w:hAnsi="Times New Roman" w:eastAsia="Times New Roman" w:cs="Times New Roman"/>
          <w:kern w:val="2"/>
          <w:sz w:val="24"/>
          <w:szCs w:val="24"/>
          <w:lang w:eastAsia="ar-SA"/>
        </w:rPr>
        <w:t>ES</w:t>
      </w:r>
      <w:r w:rsidR="006B20F8">
        <w:rPr>
          <w:rFonts w:ascii="Times New Roman" w:hAnsi="Times New Roman" w:eastAsia="Times New Roman" w:cs="Times New Roman"/>
          <w:kern w:val="2"/>
          <w:sz w:val="24"/>
          <w:szCs w:val="24"/>
          <w:lang w:eastAsia="ar-SA"/>
        </w:rPr>
        <w:t>,</w:t>
      </w:r>
      <w:r w:rsidRPr="008A7A91">
        <w:rPr>
          <w:rFonts w:ascii="Times New Roman" w:hAnsi="Times New Roman" w:eastAsia="Times New Roman" w:cs="Times New Roman"/>
          <w:kern w:val="2"/>
          <w:sz w:val="24"/>
          <w:szCs w:val="24"/>
          <w:lang w:eastAsia="ar-SA"/>
        </w:rPr>
        <w:t xml:space="preserve"> palielināt līdz 3 % no </w:t>
      </w:r>
      <w:r>
        <w:rPr>
          <w:rFonts w:ascii="Times New Roman" w:hAnsi="Times New Roman" w:eastAsia="Times New Roman" w:cs="Times New Roman"/>
          <w:kern w:val="2"/>
          <w:sz w:val="24"/>
          <w:szCs w:val="24"/>
          <w:lang w:eastAsia="ar-SA"/>
        </w:rPr>
        <w:t>iekšzemes kopprodukta (</w:t>
      </w:r>
      <w:r w:rsidRPr="008A7A91">
        <w:rPr>
          <w:rFonts w:ascii="Times New Roman" w:hAnsi="Times New Roman" w:eastAsia="Times New Roman" w:cs="Times New Roman"/>
          <w:kern w:val="2"/>
          <w:sz w:val="24"/>
          <w:szCs w:val="24"/>
          <w:lang w:eastAsia="ar-SA"/>
        </w:rPr>
        <w:t>IKP.</w:t>
      </w:r>
      <w:r>
        <w:rPr>
          <w:rFonts w:ascii="Times New Roman" w:hAnsi="Times New Roman" w:eastAsia="Times New Roman" w:cs="Times New Roman"/>
          <w:kern w:val="2"/>
          <w:sz w:val="24"/>
          <w:szCs w:val="24"/>
          <w:lang w:eastAsia="ar-SA"/>
        </w:rPr>
        <w:t>)</w:t>
      </w:r>
      <w:r w:rsidRPr="008A7A91">
        <w:rPr>
          <w:rFonts w:ascii="Times New Roman" w:hAnsi="Times New Roman" w:eastAsia="Times New Roman" w:cs="Times New Roman"/>
          <w:kern w:val="2"/>
          <w:sz w:val="24"/>
          <w:szCs w:val="24"/>
          <w:lang w:eastAsia="ar-SA"/>
        </w:rPr>
        <w:t xml:space="preserve"> Tādējādi </w:t>
      </w:r>
      <w:r>
        <w:rPr>
          <w:rFonts w:ascii="Times New Roman" w:hAnsi="Times New Roman" w:eastAsia="Times New Roman" w:cs="Times New Roman"/>
          <w:kern w:val="2"/>
          <w:sz w:val="24"/>
          <w:szCs w:val="24"/>
          <w:lang w:eastAsia="ar-SA"/>
        </w:rPr>
        <w:t>P</w:t>
      </w:r>
      <w:r w:rsidRPr="008A7A91">
        <w:rPr>
          <w:rFonts w:ascii="Times New Roman" w:hAnsi="Times New Roman" w:eastAsia="Times New Roman" w:cs="Times New Roman"/>
          <w:kern w:val="2"/>
          <w:sz w:val="24"/>
          <w:szCs w:val="24"/>
          <w:lang w:eastAsia="ar-SA"/>
        </w:rPr>
        <w:t xml:space="preserve">rogramma </w:t>
      </w:r>
      <w:r w:rsidR="00587571">
        <w:rPr>
          <w:rFonts w:ascii="Times New Roman" w:hAnsi="Times New Roman" w:eastAsia="Times New Roman" w:cs="Times New Roman"/>
          <w:kern w:val="2"/>
          <w:sz w:val="24"/>
          <w:szCs w:val="24"/>
          <w:lang w:eastAsia="ar-SA"/>
        </w:rPr>
        <w:t xml:space="preserve">Apvārsnis </w:t>
      </w:r>
      <w:r w:rsidRPr="008A7A91">
        <w:rPr>
          <w:rFonts w:ascii="Times New Roman" w:hAnsi="Times New Roman" w:eastAsia="Times New Roman" w:cs="Times New Roman"/>
          <w:kern w:val="2"/>
          <w:sz w:val="24"/>
          <w:szCs w:val="24"/>
          <w:lang w:eastAsia="ar-SA"/>
        </w:rPr>
        <w:t>atbalsta stratēģijas "Eiropa 2020" un citu Savienības politikas virzienu īstenošanu, kā arī Eiropas Pētniecības telpas (EPT) izveidi un darbību.</w:t>
      </w:r>
    </w:p>
    <w:p w:rsidRPr="00EE157E" w:rsidR="00DE784A" w:rsidP="00DE784A" w:rsidRDefault="00DE784A" w14:paraId="0417306D"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 xml:space="preserve">Programmas ietvaros tiek atbalstītas </w:t>
      </w:r>
      <w:r w:rsidRPr="00F13AF9">
        <w:rPr>
          <w:rFonts w:ascii="Times New Roman" w:hAnsi="Times New Roman" w:eastAsia="Times New Roman" w:cs="Times New Roman"/>
          <w:b/>
          <w:kern w:val="2"/>
          <w:sz w:val="24"/>
          <w:szCs w:val="24"/>
          <w:lang w:eastAsia="ar-SA"/>
        </w:rPr>
        <w:t xml:space="preserve">šādas </w:t>
      </w:r>
      <w:r>
        <w:rPr>
          <w:rFonts w:ascii="Times New Roman" w:hAnsi="Times New Roman" w:eastAsia="Times New Roman" w:cs="Times New Roman"/>
          <w:b/>
          <w:kern w:val="2"/>
          <w:sz w:val="24"/>
          <w:szCs w:val="24"/>
          <w:lang w:eastAsia="ar-SA"/>
        </w:rPr>
        <w:t>prioritātes</w:t>
      </w:r>
      <w:r>
        <w:rPr>
          <w:rFonts w:ascii="Times New Roman" w:hAnsi="Times New Roman" w:eastAsia="Times New Roman" w:cs="Times New Roman"/>
          <w:kern w:val="2"/>
          <w:sz w:val="24"/>
          <w:szCs w:val="24"/>
          <w:lang w:eastAsia="ar-SA"/>
        </w:rPr>
        <w:t xml:space="preserve">: </w:t>
      </w:r>
    </w:p>
    <w:p w:rsidRPr="00EE157E" w:rsidR="00DE784A" w:rsidP="00DE784A" w:rsidRDefault="00DE784A" w14:paraId="08A985BD"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1. </w:t>
      </w:r>
      <w:r w:rsidRPr="00EE157E">
        <w:rPr>
          <w:rFonts w:ascii="Times New Roman" w:hAnsi="Times New Roman" w:eastAsia="Times New Roman" w:cs="Times New Roman"/>
          <w:kern w:val="2"/>
          <w:sz w:val="24"/>
          <w:szCs w:val="24"/>
          <w:lang w:eastAsia="ar-SA"/>
        </w:rPr>
        <w:t>zinātnes izcilība;</w:t>
      </w:r>
      <w:r>
        <w:rPr>
          <w:rFonts w:ascii="Times New Roman" w:hAnsi="Times New Roman" w:eastAsia="Times New Roman" w:cs="Times New Roman"/>
          <w:kern w:val="2"/>
          <w:sz w:val="24"/>
          <w:szCs w:val="24"/>
          <w:lang w:eastAsia="ar-SA"/>
        </w:rPr>
        <w:t xml:space="preserve"> </w:t>
      </w:r>
    </w:p>
    <w:p w:rsidRPr="00EE157E" w:rsidR="00DE784A" w:rsidP="00DE784A" w:rsidRDefault="00DE784A" w14:paraId="6A7C69B7"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2. </w:t>
      </w:r>
      <w:r w:rsidRPr="00EE157E">
        <w:rPr>
          <w:rFonts w:ascii="Times New Roman" w:hAnsi="Times New Roman" w:eastAsia="Times New Roman" w:cs="Times New Roman"/>
          <w:kern w:val="2"/>
          <w:sz w:val="24"/>
          <w:szCs w:val="24"/>
          <w:lang w:eastAsia="ar-SA"/>
        </w:rPr>
        <w:t>vadošā loma rūpniecībā;</w:t>
      </w:r>
    </w:p>
    <w:p w:rsidR="00DE784A" w:rsidP="00DE784A" w:rsidRDefault="00DE784A" w14:paraId="41F08B50"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3. </w:t>
      </w:r>
      <w:r w:rsidRPr="00EE157E">
        <w:rPr>
          <w:rFonts w:ascii="Times New Roman" w:hAnsi="Times New Roman" w:eastAsia="Times New Roman" w:cs="Times New Roman"/>
          <w:kern w:val="2"/>
          <w:sz w:val="24"/>
          <w:szCs w:val="24"/>
          <w:lang w:eastAsia="ar-SA"/>
        </w:rPr>
        <w:t>sabiedrības problēmu risināšana.</w:t>
      </w:r>
    </w:p>
    <w:p w:rsidR="00DE784A" w:rsidP="00DE784A" w:rsidRDefault="00DE784A" w14:paraId="441D633D" w14:textId="77777777">
      <w:pPr>
        <w:spacing w:after="0" w:line="240" w:lineRule="auto"/>
        <w:ind w:firstLine="720"/>
        <w:jc w:val="both"/>
        <w:rPr>
          <w:rFonts w:ascii="Times New Roman" w:hAnsi="Times New Roman" w:eastAsia="Times New Roman" w:cs="Times New Roman"/>
          <w:kern w:val="2"/>
          <w:sz w:val="24"/>
          <w:szCs w:val="24"/>
          <w:lang w:eastAsia="ar-SA"/>
        </w:rPr>
      </w:pPr>
    </w:p>
    <w:p w:rsidRPr="00211AA3" w:rsidR="00DE784A" w:rsidP="00DE784A" w:rsidRDefault="00DE784A" w14:paraId="3674F992" w14:textId="1A9F2F5E">
      <w:pPr>
        <w:spacing w:after="0" w:line="240" w:lineRule="auto"/>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P</w:t>
      </w:r>
      <w:r w:rsidRPr="00211AA3">
        <w:rPr>
          <w:rFonts w:ascii="Times New Roman" w:hAnsi="Times New Roman" w:eastAsia="Times New Roman" w:cs="Times New Roman"/>
          <w:kern w:val="2"/>
          <w:sz w:val="24"/>
          <w:szCs w:val="24"/>
          <w:lang w:eastAsia="ar-SA"/>
        </w:rPr>
        <w:t>rogrammā</w:t>
      </w:r>
      <w:r w:rsidR="00927BA7">
        <w:rPr>
          <w:rFonts w:ascii="Times New Roman" w:hAnsi="Times New Roman" w:eastAsia="Times New Roman" w:cs="Times New Roman"/>
          <w:kern w:val="2"/>
          <w:sz w:val="24"/>
          <w:szCs w:val="24"/>
          <w:lang w:eastAsia="ar-SA"/>
        </w:rPr>
        <w:t xml:space="preserve"> Apvārsnis</w:t>
      </w:r>
      <w:r w:rsidRPr="00211AA3">
        <w:rPr>
          <w:rFonts w:ascii="Times New Roman" w:hAnsi="Times New Roman" w:eastAsia="Times New Roman" w:cs="Times New Roman"/>
          <w:kern w:val="2"/>
          <w:sz w:val="24"/>
          <w:szCs w:val="24"/>
          <w:lang w:eastAsia="ar-SA"/>
        </w:rPr>
        <w:t xml:space="preserve"> var iesaistīties:</w:t>
      </w:r>
    </w:p>
    <w:p w:rsidRPr="00211AA3" w:rsidR="00DE784A" w:rsidP="00B442C2" w:rsidRDefault="00DE784A" w14:paraId="40972AC9"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lastRenderedPageBreak/>
        <w:t>1. </w:t>
      </w:r>
      <w:r w:rsidRPr="00211AA3">
        <w:rPr>
          <w:rFonts w:ascii="Times New Roman" w:hAnsi="Times New Roman" w:eastAsia="Times New Roman" w:cs="Times New Roman"/>
          <w:kern w:val="2"/>
          <w:sz w:val="24"/>
          <w:szCs w:val="24"/>
          <w:lang w:eastAsia="ar-SA"/>
        </w:rPr>
        <w:t xml:space="preserve">valstis, kas pievienojas ES, kandidātvalstis un iespējamās kandidātvalstis saskaņā ar vispārīgiem principiem un vispārīgiem noteikumiem un nosacījumiem, ko piemēro šādu valstu dalībai </w:t>
      </w:r>
      <w:r>
        <w:rPr>
          <w:rFonts w:ascii="Times New Roman" w:hAnsi="Times New Roman" w:eastAsia="Times New Roman" w:cs="Times New Roman"/>
          <w:kern w:val="2"/>
          <w:sz w:val="24"/>
          <w:szCs w:val="24"/>
          <w:lang w:eastAsia="ar-SA"/>
        </w:rPr>
        <w:t>ES</w:t>
      </w:r>
      <w:r w:rsidRPr="00211AA3">
        <w:rPr>
          <w:rFonts w:ascii="Times New Roman" w:hAnsi="Times New Roman" w:eastAsia="Times New Roman" w:cs="Times New Roman"/>
          <w:kern w:val="2"/>
          <w:sz w:val="24"/>
          <w:szCs w:val="24"/>
          <w:lang w:eastAsia="ar-SA"/>
        </w:rPr>
        <w:t xml:space="preserve"> programmās un kas paredzēti attiecīgajos pamatnolīgumos un Asociācijas padomju lēmumos vai tamlīdzīgos nolīgumos;</w:t>
      </w:r>
    </w:p>
    <w:p w:rsidRPr="00211AA3" w:rsidR="00DE784A" w:rsidP="00B442C2" w:rsidRDefault="00DE784A" w14:paraId="02512535"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2. </w:t>
      </w:r>
      <w:r w:rsidRPr="00211AA3">
        <w:rPr>
          <w:rFonts w:ascii="Times New Roman" w:hAnsi="Times New Roman" w:eastAsia="Times New Roman" w:cs="Times New Roman"/>
          <w:kern w:val="2"/>
          <w:sz w:val="24"/>
          <w:szCs w:val="24"/>
          <w:lang w:eastAsia="ar-SA"/>
        </w:rPr>
        <w:t>tās Eiropas Brīvās tirdzniecības asociācijas (EBTA) locekles vai valstis vai teritorijas, kuras uzskaitītas Eiropas Parlamenta un Padomes Regul</w:t>
      </w:r>
      <w:r>
        <w:rPr>
          <w:rFonts w:ascii="Times New Roman" w:hAnsi="Times New Roman" w:eastAsia="Times New Roman" w:cs="Times New Roman"/>
          <w:kern w:val="2"/>
          <w:sz w:val="24"/>
          <w:szCs w:val="24"/>
          <w:lang w:eastAsia="ar-SA"/>
        </w:rPr>
        <w:t>as</w:t>
      </w:r>
      <w:r w:rsidRPr="00211AA3">
        <w:rPr>
          <w:rFonts w:ascii="Times New Roman" w:hAnsi="Times New Roman" w:eastAsia="Times New Roman" w:cs="Times New Roman"/>
          <w:kern w:val="2"/>
          <w:sz w:val="24"/>
          <w:szCs w:val="24"/>
          <w:lang w:eastAsia="ar-SA"/>
        </w:rPr>
        <w:t xml:space="preserve"> (ES) Nr.</w:t>
      </w:r>
      <w:r>
        <w:rPr>
          <w:rFonts w:ascii="Times New Roman" w:hAnsi="Times New Roman" w:eastAsia="Times New Roman" w:cs="Times New Roman"/>
          <w:kern w:val="2"/>
          <w:sz w:val="24"/>
          <w:szCs w:val="24"/>
          <w:lang w:eastAsia="ar-SA"/>
        </w:rPr>
        <w:t> </w:t>
      </w:r>
      <w:r w:rsidRPr="00211AA3">
        <w:rPr>
          <w:rFonts w:ascii="Times New Roman" w:hAnsi="Times New Roman" w:eastAsia="Times New Roman" w:cs="Times New Roman"/>
          <w:kern w:val="2"/>
          <w:sz w:val="24"/>
          <w:szCs w:val="24"/>
          <w:lang w:eastAsia="ar-SA"/>
        </w:rPr>
        <w:t>1303/2013 (19)</w:t>
      </w:r>
      <w:r>
        <w:rPr>
          <w:rFonts w:ascii="Times New Roman" w:hAnsi="Times New Roman" w:eastAsia="Times New Roman" w:cs="Times New Roman"/>
          <w:kern w:val="2"/>
          <w:sz w:val="24"/>
          <w:szCs w:val="24"/>
          <w:lang w:eastAsia="ar-SA"/>
        </w:rPr>
        <w:t xml:space="preserve"> </w:t>
      </w:r>
      <w:r w:rsidRPr="00E44237">
        <w:rPr>
          <w:rFonts w:ascii="Times New Roman" w:hAnsi="Times New Roman" w:eastAsia="Times New Roman" w:cs="Times New Roman"/>
          <w:kern w:val="2"/>
          <w:sz w:val="24"/>
          <w:szCs w:val="24"/>
          <w:lang w:eastAsia="ar-SA"/>
        </w:rPr>
        <w:t>pielikumā</w:t>
      </w:r>
      <w:r w:rsidRPr="00211AA3">
        <w:rPr>
          <w:rFonts w:ascii="Times New Roman" w:hAnsi="Times New Roman" w:eastAsia="Times New Roman" w:cs="Times New Roman"/>
          <w:kern w:val="2"/>
          <w:sz w:val="24"/>
          <w:szCs w:val="24"/>
          <w:lang w:eastAsia="ar-SA"/>
        </w:rPr>
        <w:t>, un kuras atbilst šādiem kritērijiem:</w:t>
      </w:r>
      <w:r>
        <w:rPr>
          <w:rFonts w:ascii="Times New Roman" w:hAnsi="Times New Roman" w:eastAsia="Times New Roman" w:cs="Times New Roman"/>
          <w:kern w:val="2"/>
          <w:sz w:val="24"/>
          <w:szCs w:val="24"/>
          <w:lang w:eastAsia="ar-SA"/>
        </w:rPr>
        <w:t xml:space="preserve"> </w:t>
      </w:r>
    </w:p>
    <w:p w:rsidRPr="00211AA3" w:rsidR="00DE784A" w:rsidP="00DE784A" w:rsidRDefault="00DE784A" w14:paraId="7E0D20F7"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2.1. </w:t>
      </w:r>
      <w:r w:rsidRPr="00211AA3">
        <w:rPr>
          <w:rFonts w:ascii="Times New Roman" w:hAnsi="Times New Roman" w:eastAsia="Times New Roman" w:cs="Times New Roman"/>
          <w:kern w:val="2"/>
          <w:sz w:val="24"/>
          <w:szCs w:val="24"/>
          <w:lang w:eastAsia="ar-SA"/>
        </w:rPr>
        <w:t>attīstītas spējas zinātnē, tehnoloģijās un inovācijā;</w:t>
      </w:r>
      <w:r>
        <w:rPr>
          <w:rFonts w:ascii="Times New Roman" w:hAnsi="Times New Roman" w:eastAsia="Times New Roman" w:cs="Times New Roman"/>
          <w:kern w:val="2"/>
          <w:sz w:val="24"/>
          <w:szCs w:val="24"/>
          <w:lang w:eastAsia="ar-SA"/>
        </w:rPr>
        <w:t xml:space="preserve"> </w:t>
      </w:r>
    </w:p>
    <w:p w:rsidRPr="00211AA3" w:rsidR="00DE784A" w:rsidP="00DE784A" w:rsidRDefault="00DE784A" w14:paraId="58B6A535"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2.2. </w:t>
      </w:r>
      <w:r w:rsidRPr="00211AA3">
        <w:rPr>
          <w:rFonts w:ascii="Times New Roman" w:hAnsi="Times New Roman" w:eastAsia="Times New Roman" w:cs="Times New Roman"/>
          <w:kern w:val="2"/>
          <w:sz w:val="24"/>
          <w:szCs w:val="24"/>
          <w:lang w:eastAsia="ar-SA"/>
        </w:rPr>
        <w:t xml:space="preserve">veiksmīga pieredze dalībā </w:t>
      </w:r>
      <w:r>
        <w:rPr>
          <w:rFonts w:ascii="Times New Roman" w:hAnsi="Times New Roman" w:eastAsia="Times New Roman" w:cs="Times New Roman"/>
          <w:kern w:val="2"/>
          <w:sz w:val="24"/>
          <w:szCs w:val="24"/>
          <w:lang w:eastAsia="ar-SA"/>
        </w:rPr>
        <w:t>ES</w:t>
      </w:r>
      <w:r w:rsidRPr="00211AA3">
        <w:rPr>
          <w:rFonts w:ascii="Times New Roman" w:hAnsi="Times New Roman" w:eastAsia="Times New Roman" w:cs="Times New Roman"/>
          <w:kern w:val="2"/>
          <w:sz w:val="24"/>
          <w:szCs w:val="24"/>
          <w:lang w:eastAsia="ar-SA"/>
        </w:rPr>
        <w:t xml:space="preserve"> pētniecības un inovācijas programmās;</w:t>
      </w:r>
      <w:r>
        <w:rPr>
          <w:rFonts w:ascii="Times New Roman" w:hAnsi="Times New Roman" w:eastAsia="Times New Roman" w:cs="Times New Roman"/>
          <w:kern w:val="2"/>
          <w:sz w:val="24"/>
          <w:szCs w:val="24"/>
          <w:lang w:eastAsia="ar-SA"/>
        </w:rPr>
        <w:t xml:space="preserve"> </w:t>
      </w:r>
    </w:p>
    <w:p w:rsidRPr="00211AA3" w:rsidR="00DE784A" w:rsidP="00B442C2" w:rsidRDefault="00DE784A" w14:paraId="71ECCE5F" w14:textId="77777777">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2.3. </w:t>
      </w:r>
      <w:r w:rsidRPr="00211AA3">
        <w:rPr>
          <w:rFonts w:ascii="Times New Roman" w:hAnsi="Times New Roman" w:eastAsia="Times New Roman" w:cs="Times New Roman"/>
          <w:kern w:val="2"/>
          <w:sz w:val="24"/>
          <w:szCs w:val="24"/>
          <w:lang w:eastAsia="ar-SA"/>
        </w:rPr>
        <w:t>ir nodrošināta taisnīga un vienlīdzīga rīcība saistībā ar intelektuālā īpašuma tiesībām</w:t>
      </w:r>
      <w:r>
        <w:rPr>
          <w:rFonts w:ascii="Times New Roman" w:hAnsi="Times New Roman" w:eastAsia="Times New Roman" w:cs="Times New Roman"/>
          <w:kern w:val="2"/>
          <w:sz w:val="24"/>
          <w:szCs w:val="24"/>
          <w:lang w:eastAsia="ar-SA"/>
        </w:rPr>
        <w:t xml:space="preserve">; </w:t>
      </w:r>
    </w:p>
    <w:p w:rsidR="00DE784A" w:rsidP="00B442C2" w:rsidRDefault="00DE784A" w14:paraId="24B616D6" w14:textId="52BC18EF">
      <w:pPr>
        <w:spacing w:after="0" w:line="240" w:lineRule="auto"/>
        <w:ind w:firstLine="720"/>
        <w:jc w:val="both"/>
        <w:rPr>
          <w:rFonts w:ascii="Times New Roman" w:hAnsi="Times New Roman" w:eastAsia="Times New Roman" w:cs="Times New Roman"/>
          <w:kern w:val="2"/>
          <w:sz w:val="24"/>
          <w:szCs w:val="24"/>
          <w:lang w:eastAsia="ar-SA"/>
        </w:rPr>
      </w:pPr>
      <w:r>
        <w:rPr>
          <w:rFonts w:ascii="Times New Roman" w:hAnsi="Times New Roman" w:eastAsia="Times New Roman" w:cs="Times New Roman"/>
          <w:kern w:val="2"/>
          <w:sz w:val="24"/>
          <w:szCs w:val="24"/>
          <w:lang w:eastAsia="ar-SA"/>
        </w:rPr>
        <w:t>3. </w:t>
      </w:r>
      <w:r w:rsidR="006B20F8">
        <w:rPr>
          <w:rFonts w:ascii="Times New Roman" w:hAnsi="Times New Roman" w:eastAsia="Times New Roman" w:cs="Times New Roman"/>
          <w:kern w:val="2"/>
          <w:sz w:val="24"/>
          <w:szCs w:val="24"/>
          <w:lang w:eastAsia="ar-SA"/>
        </w:rPr>
        <w:t>s</w:t>
      </w:r>
      <w:r w:rsidRPr="00211AA3">
        <w:rPr>
          <w:rFonts w:ascii="Times New Roman" w:hAnsi="Times New Roman" w:eastAsia="Times New Roman" w:cs="Times New Roman"/>
          <w:kern w:val="2"/>
          <w:sz w:val="24"/>
          <w:szCs w:val="24"/>
          <w:lang w:eastAsia="ar-SA"/>
        </w:rPr>
        <w:t>eptītās pamatprogrammas asociētās valstis vai teritorijas.</w:t>
      </w:r>
    </w:p>
    <w:p w:rsidR="009B2F5A" w:rsidP="00DE784A" w:rsidRDefault="009B2F5A" w14:paraId="4055E3DE" w14:textId="3A139257">
      <w:pPr>
        <w:spacing w:after="0" w:line="240" w:lineRule="auto"/>
        <w:ind w:firstLine="720"/>
        <w:jc w:val="both"/>
        <w:rPr>
          <w:rFonts w:ascii="Times New Roman" w:hAnsi="Times New Roman" w:eastAsia="Times New Roman" w:cs="Times New Roman"/>
          <w:kern w:val="2"/>
          <w:sz w:val="24"/>
          <w:szCs w:val="24"/>
          <w:lang w:eastAsia="ar-SA"/>
        </w:rPr>
      </w:pPr>
    </w:p>
    <w:p w:rsidRPr="00C50AE7" w:rsidR="009B2F5A" w:rsidP="00B442C2" w:rsidRDefault="009B2F5A" w14:paraId="1BE1F384" w14:textId="77777777">
      <w:pPr>
        <w:spacing w:after="0" w:line="240" w:lineRule="auto"/>
        <w:ind w:firstLine="720"/>
        <w:jc w:val="both"/>
        <w:rPr>
          <w:rFonts w:ascii="Times New Roman" w:hAnsi="Times New Roman" w:eastAsia="Times New Roman" w:cs="Times New Roman"/>
          <w:b/>
          <w:kern w:val="2"/>
          <w:sz w:val="24"/>
          <w:szCs w:val="24"/>
          <w:lang w:eastAsia="ar-SA"/>
        </w:rPr>
      </w:pPr>
    </w:p>
    <w:p w:rsidRPr="00213050" w:rsidR="009B2F5A" w:rsidP="009B2F5A" w:rsidRDefault="009B2F5A" w14:paraId="14795708" w14:textId="77777777">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 xml:space="preserve">3. Informācija par </w:t>
      </w:r>
      <w:r w:rsidRPr="00BB3183">
        <w:rPr>
          <w:rFonts w:ascii="Times New Roman" w:hAnsi="Times New Roman" w:cs="Times New Roman"/>
          <w:b/>
          <w:sz w:val="24"/>
          <w:szCs w:val="24"/>
        </w:rPr>
        <w:t>Programmu "Tiesiskums 2014–2020</w:t>
      </w:r>
      <w:r w:rsidRPr="00B51189">
        <w:rPr>
          <w:rFonts w:ascii="Times New Roman" w:hAnsi="Times New Roman" w:cs="Times New Roman"/>
          <w:b/>
          <w:sz w:val="24"/>
          <w:szCs w:val="24"/>
        </w:rPr>
        <w:t>"</w:t>
      </w:r>
    </w:p>
    <w:p w:rsidRPr="00F92B5C" w:rsidR="009B2F5A" w:rsidP="009B2F5A" w:rsidRDefault="009B2F5A" w14:paraId="0E0C7D6A" w14:textId="77777777">
      <w:pPr>
        <w:spacing w:after="0" w:line="240" w:lineRule="auto"/>
        <w:jc w:val="both"/>
        <w:rPr>
          <w:rFonts w:ascii="Times New Roman" w:hAnsi="Times New Roman" w:cs="Times New Roman"/>
          <w:sz w:val="24"/>
          <w:szCs w:val="24"/>
        </w:rPr>
      </w:pPr>
    </w:p>
    <w:p w:rsidRPr="00F92B5C" w:rsidR="009B2F5A" w:rsidP="009B2F5A" w:rsidRDefault="009B2F5A" w14:paraId="10340522"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Programma "Tiesiskums 2014–2020" izveidota 2013. gada 17. decembrī ar Eiropas Parlamenta un Padomes 2013. gada 17. decembra regulu (ES) Nr. 1382/2013, ar ko izveido programmu "Tiesiskums 2014–2020" laikposmam no 2014. gada līdz 2020. gadam. Programma "Tiesiskums 2014–2020" ir turpinājums EK 2007.–2013. gada plānošanas perioda programmām</w:t>
      </w:r>
      <w:r>
        <w:rPr>
          <w:rFonts w:ascii="Times New Roman" w:hAnsi="Times New Roman" w:cs="Times New Roman"/>
          <w:sz w:val="24"/>
          <w:szCs w:val="24"/>
        </w:rPr>
        <w:t>:</w:t>
      </w:r>
      <w:r w:rsidRPr="00B51189">
        <w:rPr>
          <w:rFonts w:ascii="Times New Roman" w:hAnsi="Times New Roman" w:cs="Times New Roman"/>
          <w:sz w:val="24"/>
          <w:szCs w:val="24"/>
        </w:rPr>
        <w:t xml:space="preserve"> "Civiltiesības", "Krimināltiesības" un "Narkomānijas novēršana un informēšana par narkomāniju". </w:t>
      </w:r>
      <w:r w:rsidRPr="00F92B5C">
        <w:rPr>
          <w:rFonts w:ascii="Times New Roman" w:hAnsi="Times New Roman" w:cs="Times New Roman"/>
          <w:sz w:val="24"/>
          <w:szCs w:val="24"/>
        </w:rPr>
        <w:t>Programmas "Tiesiskums 2014–2020" mērķis ir radīt vienotu tiesiskuma telpu (nacionālo, ES un starptautisko tiesību normu harmonizēšana) ES, lai veicinātu tiesībaizsardzības iestāžu pieejamību un pārrobežu lietu risināšanu tiesās.</w:t>
      </w:r>
    </w:p>
    <w:p w:rsidRPr="00F92B5C" w:rsidR="009B2F5A" w:rsidP="009B2F5A" w:rsidRDefault="009B2F5A" w14:paraId="36B5909D"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Programmas "Tiesiskums 2014–2020" ietvaros tiek atbalstīta projektu izstrāde šādās jomās:</w:t>
      </w:r>
    </w:p>
    <w:p w:rsidRPr="00F92B5C" w:rsidR="009B2F5A" w:rsidP="009B2F5A" w:rsidRDefault="009B2F5A" w14:paraId="6E79B7C4"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tiesiskā sadarbība civillietās un  krimināllietās;</w:t>
      </w:r>
    </w:p>
    <w:p w:rsidRPr="00F92B5C" w:rsidR="009B2F5A" w:rsidP="009B2F5A" w:rsidRDefault="009B2F5A" w14:paraId="4E8BC726"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tiesnešu un tiesu darbinieku apmācības, tai skaitā valodas un juridiskā terminoloģija, lai ES ietvaros veidotu vienotu tiesu darbības kultūru;</w:t>
      </w:r>
    </w:p>
    <w:p w:rsidRPr="00F92B5C" w:rsidR="009B2F5A" w:rsidP="009B2F5A" w:rsidRDefault="009B2F5A" w14:paraId="6363DAD6" w14:textId="77777777">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tiesu pieejamības veicināšana un noziegumos cietušo un par noziegumu izdarīšanā apsūdzēto personu tiesību aizstāvēšana tiesas procesa gaitā;</w:t>
      </w:r>
    </w:p>
    <w:p w:rsidRPr="00450A5E" w:rsidR="009B2F5A" w:rsidP="00450A5E" w:rsidRDefault="009B2F5A" w14:paraId="12320F4E" w14:textId="5FFC46A6">
      <w:pPr>
        <w:pStyle w:val="Sarakstarindkopa"/>
        <w:numPr>
          <w:ilvl w:val="0"/>
          <w:numId w:val="12"/>
        </w:numPr>
        <w:spacing w:after="0" w:line="240" w:lineRule="auto"/>
        <w:ind w:left="1066" w:hanging="357"/>
        <w:jc w:val="both"/>
        <w:rPr>
          <w:rFonts w:ascii="Times New Roman" w:hAnsi="Times New Roman" w:cs="Times New Roman"/>
          <w:sz w:val="24"/>
          <w:szCs w:val="24"/>
        </w:rPr>
      </w:pPr>
      <w:r w:rsidRPr="00F92B5C">
        <w:rPr>
          <w:rFonts w:ascii="Times New Roman" w:hAnsi="Times New Roman" w:cs="Times New Roman"/>
          <w:sz w:val="24"/>
          <w:szCs w:val="24"/>
        </w:rPr>
        <w:t xml:space="preserve">narkotiku izplatīšanas apkarošana (pārrobežu tiesiskā sadarbība un noziegumu </w:t>
      </w:r>
      <w:proofErr w:type="spellStart"/>
      <w:r w:rsidRPr="00F92B5C">
        <w:rPr>
          <w:rFonts w:ascii="Times New Roman" w:hAnsi="Times New Roman" w:cs="Times New Roman"/>
          <w:sz w:val="24"/>
          <w:szCs w:val="24"/>
        </w:rPr>
        <w:t>prevencija</w:t>
      </w:r>
      <w:proofErr w:type="spellEnd"/>
      <w:r w:rsidRPr="00F92B5C">
        <w:rPr>
          <w:rFonts w:ascii="Times New Roman" w:hAnsi="Times New Roman" w:cs="Times New Roman"/>
          <w:sz w:val="24"/>
          <w:szCs w:val="24"/>
        </w:rPr>
        <w:t>).</w:t>
      </w:r>
    </w:p>
    <w:p w:rsidRPr="00F92B5C" w:rsidR="009B2F5A" w:rsidP="009B2F5A" w:rsidRDefault="009B2F5A" w14:paraId="2581E02E"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t>Programmas "Tiesiskums 2014–2020" ietvaros izstrādātajiem projektiem jādod ieguldījums attiecīgās problēmas risināšanai ne tikai reģionālajā vai vietējā līmenī, bet visas Eiropas līmenī (</w:t>
      </w:r>
      <w:proofErr w:type="spellStart"/>
      <w:r w:rsidRPr="00F92B5C">
        <w:rPr>
          <w:rFonts w:ascii="Times New Roman" w:hAnsi="Times New Roman" w:cs="Times New Roman"/>
          <w:i/>
          <w:sz w:val="24"/>
          <w:szCs w:val="24"/>
        </w:rPr>
        <w:t>European</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added</w:t>
      </w:r>
      <w:proofErr w:type="spellEnd"/>
      <w:r w:rsidRPr="00F92B5C">
        <w:rPr>
          <w:rFonts w:ascii="Times New Roman" w:hAnsi="Times New Roman" w:cs="Times New Roman"/>
          <w:i/>
          <w:sz w:val="24"/>
          <w:szCs w:val="24"/>
        </w:rPr>
        <w:t xml:space="preserve"> </w:t>
      </w:r>
      <w:proofErr w:type="spellStart"/>
      <w:r w:rsidRPr="00F92B5C">
        <w:rPr>
          <w:rFonts w:ascii="Times New Roman" w:hAnsi="Times New Roman" w:cs="Times New Roman"/>
          <w:i/>
          <w:sz w:val="24"/>
          <w:szCs w:val="24"/>
        </w:rPr>
        <w:t>value</w:t>
      </w:r>
      <w:proofErr w:type="spellEnd"/>
      <w:r w:rsidRPr="00F92B5C">
        <w:rPr>
          <w:rFonts w:ascii="Times New Roman" w:hAnsi="Times New Roman" w:cs="Times New Roman"/>
          <w:sz w:val="24"/>
          <w:szCs w:val="24"/>
        </w:rPr>
        <w:t>).</w:t>
      </w:r>
    </w:p>
    <w:p w:rsidRPr="00F92B5C" w:rsidR="009B2F5A" w:rsidP="009B2F5A" w:rsidRDefault="009B2F5A" w14:paraId="02820B13" w14:textId="77777777">
      <w:pPr>
        <w:suppressAutoHyphens/>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t>EK Programmas "</w:t>
      </w:r>
      <w:r w:rsidRPr="00F92B5C">
        <w:rPr>
          <w:rFonts w:ascii="Times New Roman" w:hAnsi="Times New Roman" w:cs="Times New Roman"/>
          <w:sz w:val="24"/>
          <w:szCs w:val="24"/>
        </w:rPr>
        <w:t>Tiesiskums 2014–2020</w:t>
      </w:r>
      <w:r w:rsidRPr="00F92B5C">
        <w:rPr>
          <w:rFonts w:ascii="Times New Roman" w:hAnsi="Times New Roman" w:eastAsia="Times New Roman" w:cs="Times New Roman"/>
          <w:kern w:val="2"/>
          <w:sz w:val="24"/>
          <w:szCs w:val="24"/>
          <w:lang w:eastAsia="ar-SA"/>
        </w:rPr>
        <w:t>" ietvaros plāno piešķirt finansējumu 378 miljonu EUR apmērā, savukārt 2019. gada darba programmā</w:t>
      </w:r>
      <w:r w:rsidRPr="00F92B5C">
        <w:rPr>
          <w:rStyle w:val="Vresatsauce"/>
          <w:rFonts w:ascii="Times New Roman" w:hAnsi="Times New Roman" w:eastAsia="Times New Roman" w:cs="Times New Roman"/>
          <w:kern w:val="2"/>
          <w:sz w:val="24"/>
          <w:szCs w:val="24"/>
          <w:lang w:eastAsia="ar-SA"/>
        </w:rPr>
        <w:footnoteReference w:id="4"/>
      </w:r>
      <w:r w:rsidRPr="00F92B5C">
        <w:rPr>
          <w:rFonts w:ascii="Times New Roman" w:hAnsi="Times New Roman" w:eastAsia="Times New Roman" w:cs="Times New Roman"/>
          <w:kern w:val="2"/>
          <w:sz w:val="24"/>
          <w:szCs w:val="24"/>
          <w:lang w:eastAsia="ar-SA"/>
        </w:rPr>
        <w:t xml:space="preserve"> paredzēts kopējais finansējums </w:t>
      </w:r>
      <w:r w:rsidRPr="00BB3183">
        <w:rPr>
          <w:rFonts w:ascii="Times New Roman" w:hAnsi="Times New Roman" w:eastAsia="Times New Roman" w:cs="Times New Roman"/>
          <w:kern w:val="2"/>
          <w:sz w:val="24"/>
          <w:szCs w:val="24"/>
          <w:lang w:eastAsia="ar-SA"/>
        </w:rPr>
        <w:t>44 miljonu EUR</w:t>
      </w:r>
      <w:r w:rsidRPr="00BB3183">
        <w:t xml:space="preserve"> </w:t>
      </w:r>
      <w:r w:rsidRPr="00BB3183">
        <w:rPr>
          <w:rFonts w:ascii="Times New Roman" w:hAnsi="Times New Roman" w:cs="Times New Roman"/>
          <w:sz w:val="24"/>
        </w:rPr>
        <w:t>apmērā</w:t>
      </w:r>
      <w:r w:rsidRPr="00B51189">
        <w:rPr>
          <w:rFonts w:ascii="Times New Roman" w:hAnsi="Times New Roman" w:eastAsia="Times New Roman" w:cs="Times New Roman"/>
          <w:kern w:val="2"/>
          <w:sz w:val="24"/>
          <w:szCs w:val="24"/>
          <w:lang w:eastAsia="ar-SA"/>
        </w:rPr>
        <w:t>.</w:t>
      </w:r>
      <w:r w:rsidRPr="00213050">
        <w:rPr>
          <w:rFonts w:ascii="Times New Roman" w:hAnsi="Times New Roman" w:eastAsia="Times New Roman" w:cs="Times New Roman"/>
          <w:kern w:val="2"/>
          <w:sz w:val="24"/>
          <w:szCs w:val="24"/>
          <w:lang w:eastAsia="ar-SA"/>
        </w:rPr>
        <w:t xml:space="preserve"> </w:t>
      </w:r>
    </w:p>
    <w:p w:rsidRPr="00F92B5C" w:rsidR="009B2F5A" w:rsidP="009B2F5A" w:rsidRDefault="009B2F5A" w14:paraId="51EF7A85" w14:textId="77777777">
      <w:pPr>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t>Programmas "</w:t>
      </w:r>
      <w:r w:rsidRPr="00F92B5C">
        <w:rPr>
          <w:rFonts w:ascii="Times New Roman" w:hAnsi="Times New Roman" w:cs="Times New Roman"/>
          <w:sz w:val="24"/>
          <w:szCs w:val="24"/>
        </w:rPr>
        <w:t>Tiesiskums 2014–2020</w:t>
      </w:r>
      <w:r w:rsidRPr="00F92B5C">
        <w:rPr>
          <w:rFonts w:ascii="Times New Roman" w:hAnsi="Times New Roman" w:eastAsia="Times New Roman" w:cs="Times New Roman"/>
          <w:kern w:val="2"/>
          <w:sz w:val="24"/>
          <w:szCs w:val="24"/>
          <w:lang w:eastAsia="ar-SA"/>
        </w:rPr>
        <w:t>" 2019. gada darba programma atbalsta projektus, kas veido un atbalsta tiesisko sadarbību civillietās un krimināllietās, projektus, kas nodrošinās tiesiskās apmācības, tostarp par juridisko terminoloģiju, projektus, kas veicinās efektīvu piekļuvi tiesām un veicinās noziegumos cietušo tiesības, vienlaikus ievērojot tiesības uz aizstāvību un projektus, kas atbalsta iniciatīvas narkotiku apkarošanas politikas jomā attiecībā uz tiesu iestāžu sadarbību un noziedzības novēršanas aspektiem, kas ir cieši saistīti ar programmas vispārējo mērķi</w:t>
      </w:r>
    </w:p>
    <w:p w:rsidRPr="00F92B5C" w:rsidR="009B2F5A" w:rsidP="009B2F5A" w:rsidRDefault="009B2F5A" w14:paraId="6B3C1702" w14:textId="77777777">
      <w:pPr>
        <w:spacing w:after="0" w:line="240" w:lineRule="auto"/>
        <w:ind w:firstLine="720"/>
        <w:jc w:val="both"/>
        <w:rPr>
          <w:rFonts w:ascii="Times New Roman" w:hAnsi="Times New Roman" w:eastAsia="Times New Roman" w:cs="Times New Roman"/>
          <w:kern w:val="2"/>
          <w:sz w:val="24"/>
          <w:szCs w:val="24"/>
          <w:lang w:eastAsia="ar-SA"/>
        </w:rPr>
      </w:pPr>
      <w:r w:rsidRPr="00F92B5C">
        <w:rPr>
          <w:rFonts w:ascii="Times New Roman" w:hAnsi="Times New Roman" w:eastAsia="Times New Roman" w:cs="Times New Roman"/>
          <w:kern w:val="2"/>
          <w:sz w:val="24"/>
          <w:szCs w:val="24"/>
          <w:lang w:eastAsia="ar-SA"/>
        </w:rPr>
        <w:t>Programmas "</w:t>
      </w:r>
      <w:r w:rsidRPr="00F92B5C">
        <w:rPr>
          <w:rFonts w:ascii="Times New Roman" w:hAnsi="Times New Roman" w:cs="Times New Roman"/>
          <w:sz w:val="24"/>
          <w:szCs w:val="24"/>
        </w:rPr>
        <w:t>Tiesiskums 2014–2020</w:t>
      </w:r>
      <w:r w:rsidRPr="00F92B5C">
        <w:rPr>
          <w:rFonts w:ascii="Times New Roman" w:hAnsi="Times New Roman" w:eastAsia="Times New Roman" w:cs="Times New Roman"/>
          <w:kern w:val="2"/>
          <w:sz w:val="24"/>
          <w:szCs w:val="24"/>
          <w:lang w:eastAsia="ar-SA"/>
        </w:rPr>
        <w:t>" 2019. gada darba programma cieši atspoguļo prioritātes, kas noteiktas EK darba programmā 2019. gadam, un dos ieguldījumu EK prioritātē "Tiesiskuma un pamattiesību joma, kuras pamatā ir savstarpēja uzticēšanās".</w:t>
      </w:r>
    </w:p>
    <w:p w:rsidRPr="00AE1A59" w:rsidR="009B2F5A" w:rsidP="009B2F5A" w:rsidRDefault="009B2F5A" w14:paraId="7B4B9EA2" w14:textId="77777777">
      <w:pPr>
        <w:spacing w:after="0" w:line="240" w:lineRule="auto"/>
        <w:ind w:firstLine="720"/>
        <w:jc w:val="both"/>
        <w:rPr>
          <w:rFonts w:ascii="Times New Roman" w:hAnsi="Times New Roman" w:cs="Times New Roman"/>
          <w:sz w:val="24"/>
          <w:szCs w:val="24"/>
        </w:rPr>
      </w:pPr>
      <w:r w:rsidRPr="00F92B5C">
        <w:rPr>
          <w:rFonts w:ascii="Times New Roman" w:hAnsi="Times New Roman" w:cs="Times New Roman"/>
          <w:sz w:val="24"/>
          <w:szCs w:val="24"/>
        </w:rPr>
        <w:lastRenderedPageBreak/>
        <w:t>Savukārt e-Tiesiskuma konkursa finansējums ir 2,2 miljoni EUR. Konkursa mērķis ir atbalstīt tādu Eiropas mēroga elektronisku risinājumu un pakalpojumu izstrādi tiesiskuma jomā, kuriem ir potenciāls radīt taustāmu pievienoto vērtību</w:t>
      </w:r>
      <w:r w:rsidRPr="00AE1A59">
        <w:rPr>
          <w:rFonts w:ascii="Times New Roman" w:hAnsi="Times New Roman" w:cs="Times New Roman"/>
          <w:sz w:val="24"/>
          <w:szCs w:val="24"/>
        </w:rPr>
        <w:t>.</w:t>
      </w:r>
    </w:p>
    <w:p w:rsidR="00C952F4" w:rsidP="008032AC" w:rsidRDefault="00C952F4" w14:paraId="46B30739" w14:textId="61291247">
      <w:pPr>
        <w:spacing w:after="0" w:line="240" w:lineRule="auto"/>
        <w:jc w:val="both"/>
        <w:rPr>
          <w:rFonts w:ascii="Times New Roman" w:hAnsi="Times New Roman" w:cs="Times New Roman"/>
          <w:sz w:val="24"/>
          <w:szCs w:val="20"/>
        </w:rPr>
      </w:pPr>
    </w:p>
    <w:p w:rsidR="00B442C2" w:rsidP="008032AC" w:rsidRDefault="00B442C2" w14:paraId="7FAF07C7" w14:textId="77777777">
      <w:pPr>
        <w:spacing w:after="0" w:line="240" w:lineRule="auto"/>
        <w:jc w:val="both"/>
        <w:rPr>
          <w:rFonts w:ascii="Times New Roman" w:hAnsi="Times New Roman" w:cs="Times New Roman"/>
          <w:sz w:val="24"/>
          <w:szCs w:val="20"/>
        </w:rPr>
      </w:pPr>
    </w:p>
    <w:p w:rsidRPr="008E7E0C" w:rsidR="00C952F4" w:rsidP="00322E75" w:rsidRDefault="005D3CEF" w14:paraId="077A7406" w14:textId="5DCC4CC9">
      <w:pPr>
        <w:spacing w:after="0" w:line="240" w:lineRule="auto"/>
        <w:jc w:val="center"/>
        <w:rPr>
          <w:rFonts w:ascii="Times New Roman" w:hAnsi="Times New Roman" w:cs="Times New Roman"/>
          <w:b/>
          <w:bCs/>
          <w:sz w:val="24"/>
          <w:szCs w:val="20"/>
        </w:rPr>
      </w:pPr>
      <w:r>
        <w:rPr>
          <w:rFonts w:ascii="Times New Roman" w:hAnsi="Times New Roman" w:cs="Times New Roman"/>
          <w:b/>
          <w:bCs/>
          <w:sz w:val="24"/>
          <w:szCs w:val="20"/>
        </w:rPr>
        <w:t xml:space="preserve">4. </w:t>
      </w:r>
      <w:r w:rsidRPr="008E7E0C" w:rsidR="00EA00AA">
        <w:rPr>
          <w:rFonts w:ascii="Times New Roman" w:hAnsi="Times New Roman" w:cs="Times New Roman"/>
          <w:b/>
          <w:bCs/>
          <w:sz w:val="24"/>
          <w:szCs w:val="20"/>
        </w:rPr>
        <w:t>Informācija par LR II projektu</w:t>
      </w:r>
    </w:p>
    <w:p w:rsidRPr="008E7E0C" w:rsidR="00C952F4" w:rsidP="008032AC" w:rsidRDefault="00C952F4" w14:paraId="490B2B61" w14:textId="77777777">
      <w:pPr>
        <w:spacing w:after="0" w:line="240" w:lineRule="auto"/>
        <w:jc w:val="both"/>
        <w:rPr>
          <w:rFonts w:ascii="Times New Roman" w:hAnsi="Times New Roman" w:cs="Times New Roman"/>
          <w:sz w:val="24"/>
          <w:szCs w:val="20"/>
        </w:rPr>
      </w:pPr>
    </w:p>
    <w:p w:rsidRPr="008E7E0C" w:rsidR="00A069DF" w:rsidP="00FB54CB" w:rsidRDefault="00EA00AA" w14:paraId="38DACFAB" w14:textId="4C04709D">
      <w:pPr>
        <w:pStyle w:val="mt-translation"/>
        <w:spacing w:after="0" w:afterAutospacing="0"/>
        <w:ind w:right="-1" w:firstLine="709"/>
        <w:jc w:val="both"/>
      </w:pPr>
      <w:r w:rsidRPr="008E7E0C">
        <w:t>LR</w:t>
      </w:r>
      <w:r w:rsidR="009C688F">
        <w:t>I</w:t>
      </w:r>
      <w:r w:rsidRPr="008E7E0C">
        <w:t xml:space="preserve"> II projekts </w:t>
      </w:r>
      <w:r w:rsidRPr="008E7E0C" w:rsidR="00E532A6">
        <w:t>ir iesniegts un saņēmis EK atbalstu.</w:t>
      </w:r>
      <w:r w:rsidR="002E0B11">
        <w:t xml:space="preserve"> Projekta īstenošana plānota 15 mēnešus,</w:t>
      </w:r>
      <w:r w:rsidRPr="008E7E0C" w:rsidR="00E532A6">
        <w:t xml:space="preserve"> </w:t>
      </w:r>
      <w:r w:rsidR="002E0B11">
        <w:t>uzsākot tā īstenošanu no 2020.</w:t>
      </w:r>
      <w:r w:rsidR="00077248">
        <w:t> </w:t>
      </w:r>
      <w:r w:rsidR="002E0B11">
        <w:t>gada 1.</w:t>
      </w:r>
      <w:r w:rsidR="00077248">
        <w:t> </w:t>
      </w:r>
      <w:r w:rsidR="002E0B11">
        <w:t xml:space="preserve">marta. </w:t>
      </w:r>
      <w:r w:rsidRPr="008E7E0C" w:rsidR="00E532A6">
        <w:t>Šobrīd noris līguma e-parakstīšana</w:t>
      </w:r>
      <w:r w:rsidR="002E0B11">
        <w:t>, līguma e-parakstīšana plānota līdz 2020.</w:t>
      </w:r>
      <w:r w:rsidR="00077248">
        <w:t> </w:t>
      </w:r>
      <w:r w:rsidR="002E0B11">
        <w:t xml:space="preserve">gada </w:t>
      </w:r>
      <w:r w:rsidR="00AE3F0F">
        <w:t>februārī</w:t>
      </w:r>
      <w:r w:rsidR="002E0B11">
        <w:t xml:space="preserve">. </w:t>
      </w:r>
      <w:r w:rsidRPr="008E7E0C" w:rsidR="00E532A6">
        <w:t xml:space="preserve"> Projekta </w:t>
      </w:r>
      <w:r w:rsidR="00587571">
        <w:t>LR</w:t>
      </w:r>
      <w:r w:rsidR="009C688F">
        <w:t>I</w:t>
      </w:r>
      <w:r w:rsidR="00587571">
        <w:t xml:space="preserve"> II </w:t>
      </w:r>
      <w:r w:rsidRPr="008E7E0C" w:rsidR="00E532A6">
        <w:t xml:space="preserve">vadošais partneris ir </w:t>
      </w:r>
      <w:r w:rsidRPr="00AE2C3A">
        <w:t>Austrijas Federālā Konstitucionālo lietu, reformu, noteikumu atcelšanas un tieslietu ministrija</w:t>
      </w:r>
      <w:r w:rsidRPr="008E7E0C" w:rsidR="00A069DF">
        <w:t xml:space="preserve"> </w:t>
      </w:r>
      <w:r w:rsidRPr="008E7E0C" w:rsidR="00E532A6">
        <w:t xml:space="preserve">(angļu valodā </w:t>
      </w:r>
      <w:r w:rsidR="00927BA7">
        <w:t>–</w:t>
      </w:r>
      <w:r w:rsidRPr="008E7E0C" w:rsidR="00E532A6">
        <w:t xml:space="preserve"> </w:t>
      </w:r>
      <w:proofErr w:type="spellStart"/>
      <w:r w:rsidRPr="008E7E0C" w:rsidR="00E532A6">
        <w:rPr>
          <w:i/>
          <w:iCs/>
        </w:rPr>
        <w:t>Austrian</w:t>
      </w:r>
      <w:proofErr w:type="spellEnd"/>
      <w:r w:rsidRPr="008E7E0C" w:rsidR="00E532A6">
        <w:rPr>
          <w:i/>
          <w:iCs/>
        </w:rPr>
        <w:t xml:space="preserve"> </w:t>
      </w:r>
      <w:proofErr w:type="spellStart"/>
      <w:r w:rsidRPr="008E7E0C" w:rsidR="00E532A6">
        <w:rPr>
          <w:i/>
          <w:iCs/>
        </w:rPr>
        <w:t>Federal</w:t>
      </w:r>
      <w:proofErr w:type="spellEnd"/>
      <w:r w:rsidRPr="008E7E0C" w:rsidR="00E532A6">
        <w:rPr>
          <w:i/>
          <w:iCs/>
        </w:rPr>
        <w:t xml:space="preserve"> </w:t>
      </w:r>
      <w:proofErr w:type="spellStart"/>
      <w:r w:rsidRPr="008E7E0C" w:rsidR="00E532A6">
        <w:rPr>
          <w:i/>
          <w:iCs/>
        </w:rPr>
        <w:t>Ministry</w:t>
      </w:r>
      <w:proofErr w:type="spellEnd"/>
      <w:r w:rsidRPr="008E7E0C" w:rsidR="00E532A6">
        <w:rPr>
          <w:i/>
          <w:iCs/>
        </w:rPr>
        <w:t xml:space="preserve"> </w:t>
      </w:r>
      <w:proofErr w:type="spellStart"/>
      <w:r w:rsidRPr="008E7E0C" w:rsidR="00E532A6">
        <w:rPr>
          <w:i/>
          <w:iCs/>
        </w:rPr>
        <w:t>of</w:t>
      </w:r>
      <w:proofErr w:type="spellEnd"/>
      <w:r w:rsidRPr="008E7E0C" w:rsidR="00E532A6">
        <w:rPr>
          <w:i/>
          <w:iCs/>
        </w:rPr>
        <w:t xml:space="preserve"> </w:t>
      </w:r>
      <w:proofErr w:type="spellStart"/>
      <w:r w:rsidRPr="008E7E0C" w:rsidR="00E532A6">
        <w:rPr>
          <w:i/>
          <w:iCs/>
        </w:rPr>
        <w:t>Constitutional</w:t>
      </w:r>
      <w:proofErr w:type="spellEnd"/>
      <w:r w:rsidRPr="008E7E0C" w:rsidR="00E532A6">
        <w:rPr>
          <w:i/>
          <w:iCs/>
        </w:rPr>
        <w:t xml:space="preserve"> </w:t>
      </w:r>
      <w:proofErr w:type="spellStart"/>
      <w:r w:rsidRPr="008E7E0C" w:rsidR="00E532A6">
        <w:rPr>
          <w:i/>
          <w:iCs/>
        </w:rPr>
        <w:t>Affairs</w:t>
      </w:r>
      <w:proofErr w:type="spellEnd"/>
      <w:r w:rsidRPr="008E7E0C" w:rsidR="00E532A6">
        <w:rPr>
          <w:i/>
          <w:iCs/>
        </w:rPr>
        <w:t xml:space="preserve">, </w:t>
      </w:r>
      <w:proofErr w:type="spellStart"/>
      <w:r w:rsidRPr="008E7E0C" w:rsidR="00E532A6">
        <w:rPr>
          <w:i/>
          <w:iCs/>
        </w:rPr>
        <w:t>Reforms</w:t>
      </w:r>
      <w:proofErr w:type="spellEnd"/>
      <w:r w:rsidRPr="008E7E0C" w:rsidR="00E532A6">
        <w:rPr>
          <w:i/>
          <w:iCs/>
        </w:rPr>
        <w:t xml:space="preserve">, </w:t>
      </w:r>
      <w:proofErr w:type="spellStart"/>
      <w:r w:rsidRPr="008E7E0C" w:rsidR="00E532A6">
        <w:rPr>
          <w:i/>
          <w:iCs/>
        </w:rPr>
        <w:t>Deregulation</w:t>
      </w:r>
      <w:proofErr w:type="spellEnd"/>
      <w:r w:rsidRPr="008E7E0C" w:rsidR="00E532A6">
        <w:rPr>
          <w:i/>
          <w:iCs/>
        </w:rPr>
        <w:t xml:space="preserve"> </w:t>
      </w:r>
      <w:proofErr w:type="spellStart"/>
      <w:r w:rsidRPr="008E7E0C" w:rsidR="00E532A6">
        <w:rPr>
          <w:i/>
          <w:iCs/>
        </w:rPr>
        <w:t>and</w:t>
      </w:r>
      <w:proofErr w:type="spellEnd"/>
      <w:r w:rsidRPr="008E7E0C" w:rsidR="00E532A6">
        <w:rPr>
          <w:i/>
          <w:iCs/>
        </w:rPr>
        <w:t xml:space="preserve"> </w:t>
      </w:r>
      <w:proofErr w:type="spellStart"/>
      <w:r w:rsidRPr="008E7E0C" w:rsidR="00E532A6">
        <w:rPr>
          <w:i/>
          <w:iCs/>
        </w:rPr>
        <w:t>Justice</w:t>
      </w:r>
      <w:proofErr w:type="spellEnd"/>
      <w:r w:rsidRPr="008E7E0C" w:rsidR="00E532A6">
        <w:t>)</w:t>
      </w:r>
      <w:r w:rsidRPr="008E7E0C" w:rsidR="007613E8">
        <w:t>. Projekta</w:t>
      </w:r>
      <w:r w:rsidR="00587571">
        <w:t xml:space="preserve"> LR II</w:t>
      </w:r>
      <w:r w:rsidRPr="008E7E0C" w:rsidR="007613E8">
        <w:t xml:space="preserve"> partneri ir Tiesu administrācija (Latvija), Reģistru un informācijas sistēmu centrs (Igaunija), Spānijas nekustamo īpašumu reģistrs, Ungārijas </w:t>
      </w:r>
      <w:r w:rsidRPr="008E7E0C" w:rsidR="00457D47">
        <w:t>valdība</w:t>
      </w:r>
      <w:r w:rsidRPr="008E7E0C" w:rsidR="00A069DF">
        <w:t xml:space="preserve"> (Premjerministra birojs)</w:t>
      </w:r>
      <w:r w:rsidR="004D0183">
        <w:t xml:space="preserve"> un</w:t>
      </w:r>
      <w:r w:rsidRPr="008E7E0C" w:rsidR="00457D47">
        <w:t xml:space="preserve"> Portugāles reģistru un notāru institūts.</w:t>
      </w:r>
    </w:p>
    <w:p w:rsidRPr="008E7E0C" w:rsidR="00A069DF" w:rsidP="00156F64" w:rsidRDefault="00587571" w14:paraId="576801FF" w14:textId="6E55EFD7">
      <w:pPr>
        <w:pStyle w:val="mt-translation"/>
        <w:spacing w:after="0" w:afterAutospacing="0"/>
        <w:ind w:firstLine="709"/>
        <w:jc w:val="both"/>
      </w:pPr>
      <w:r>
        <w:t>EK</w:t>
      </w:r>
      <w:r w:rsidRPr="008E7E0C" w:rsidR="00457D47">
        <w:t xml:space="preserve"> ir izstrādājusi zemes reģistru starpsavienojumu platformu </w:t>
      </w:r>
      <w:r w:rsidRPr="008E7E0C" w:rsidR="008A4DCF">
        <w:t>p</w:t>
      </w:r>
      <w:r w:rsidRPr="008E7E0C" w:rsidR="00457D47">
        <w:t>ortāl</w:t>
      </w:r>
      <w:r w:rsidRPr="008E7E0C" w:rsidR="008A4DCF">
        <w:t>ā</w:t>
      </w:r>
      <w:r w:rsidRPr="008E7E0C" w:rsidR="00457D47">
        <w:t xml:space="preserve"> </w:t>
      </w:r>
      <w:hyperlink w:history="1" r:id="rId11">
        <w:r w:rsidRPr="008E7E0C" w:rsidR="008A4DCF">
          <w:rPr>
            <w:rStyle w:val="Hipersaite"/>
          </w:rPr>
          <w:t>https://e-justice.europa.eu</w:t>
        </w:r>
      </w:hyperlink>
      <w:r w:rsidRPr="008E7E0C" w:rsidR="00457D47">
        <w:t>,</w:t>
      </w:r>
      <w:r w:rsidRPr="008E7E0C" w:rsidR="008A4DCF">
        <w:t xml:space="preserve"> </w:t>
      </w:r>
      <w:r w:rsidRPr="008E7E0C" w:rsidR="00457D47">
        <w:t xml:space="preserve">lai nodrošinātu </w:t>
      </w:r>
      <w:r w:rsidRPr="008E7E0C" w:rsidR="008A4DCF">
        <w:t xml:space="preserve">centralizētu </w:t>
      </w:r>
      <w:r w:rsidRPr="008E7E0C" w:rsidR="00457D47">
        <w:t>piekļuvi ES dalībvalst</w:t>
      </w:r>
      <w:r w:rsidRPr="008E7E0C" w:rsidR="008A4DCF">
        <w:t>u</w:t>
      </w:r>
      <w:r w:rsidRPr="008E7E0C" w:rsidR="00457D47">
        <w:t xml:space="preserve"> informācijai, kas saistīta ar </w:t>
      </w:r>
      <w:r w:rsidRPr="008E7E0C" w:rsidR="00A069DF">
        <w:t xml:space="preserve">nekustamo </w:t>
      </w:r>
      <w:r w:rsidRPr="008E7E0C" w:rsidR="00457D47">
        <w:t xml:space="preserve">īpašumu. </w:t>
      </w:r>
      <w:r w:rsidRPr="008E7E0C" w:rsidR="008A4DCF">
        <w:t>Projekta</w:t>
      </w:r>
      <w:r>
        <w:t xml:space="preserve"> LR</w:t>
      </w:r>
      <w:r w:rsidR="009C688F">
        <w:t>I</w:t>
      </w:r>
      <w:r>
        <w:t xml:space="preserve"> II</w:t>
      </w:r>
      <w:r w:rsidRPr="008E7E0C" w:rsidR="008A4DCF">
        <w:t xml:space="preserve"> ietvaros tiks</w:t>
      </w:r>
      <w:r w:rsidRPr="008E7E0C" w:rsidR="00457D47">
        <w:t xml:space="preserve"> izveidot</w:t>
      </w:r>
      <w:r w:rsidRPr="008E7E0C" w:rsidR="008A4DCF">
        <w:t>s</w:t>
      </w:r>
      <w:r w:rsidRPr="008E7E0C" w:rsidR="00457D47">
        <w:t xml:space="preserve"> standartizēt</w:t>
      </w:r>
      <w:r w:rsidRPr="008E7E0C" w:rsidR="00B622B8">
        <w:t>s</w:t>
      </w:r>
      <w:r w:rsidRPr="008E7E0C" w:rsidR="00457D47">
        <w:t xml:space="preserve"> savienojums starp dažādām </w:t>
      </w:r>
      <w:r>
        <w:t>ES</w:t>
      </w:r>
      <w:r w:rsidRPr="008E7E0C" w:rsidR="00B622B8">
        <w:t xml:space="preserve"> </w:t>
      </w:r>
      <w:r w:rsidRPr="008E7E0C" w:rsidR="00457D47">
        <w:t>zemesgrāmatu informācijas sistēmām.</w:t>
      </w:r>
    </w:p>
    <w:p w:rsidRPr="008E7E0C" w:rsidR="008A4DCF" w:rsidP="00156F64" w:rsidRDefault="00B622B8" w14:paraId="43AD11EC" w14:textId="4848B221">
      <w:pPr>
        <w:pStyle w:val="mt-translation"/>
        <w:spacing w:after="0" w:afterAutospacing="0"/>
        <w:ind w:firstLine="709"/>
        <w:jc w:val="both"/>
      </w:pPr>
      <w:r w:rsidRPr="008E7E0C">
        <w:rPr>
          <w:b/>
          <w:bCs/>
        </w:rPr>
        <w:t>Pirmais solis</w:t>
      </w:r>
      <w:r w:rsidR="004D0183">
        <w:rPr>
          <w:b/>
          <w:bCs/>
        </w:rPr>
        <w:t>,</w:t>
      </w:r>
      <w:r w:rsidRPr="008E7E0C" w:rsidR="008A4DCF">
        <w:t xml:space="preserve"> </w:t>
      </w:r>
      <w:r w:rsidRPr="008E7E0C">
        <w:t>uzsākot projektu</w:t>
      </w:r>
      <w:r w:rsidR="004D0183">
        <w:t>,</w:t>
      </w:r>
      <w:r w:rsidRPr="008E7E0C">
        <w:t xml:space="preserve"> būs</w:t>
      </w:r>
      <w:r w:rsidRPr="008E7E0C" w:rsidR="008A4DCF">
        <w:t xml:space="preserve"> sākotnēj</w:t>
      </w:r>
      <w:r w:rsidRPr="008E7E0C">
        <w:t>ās</w:t>
      </w:r>
      <w:r w:rsidRPr="008E7E0C" w:rsidR="008A4DCF">
        <w:t xml:space="preserve"> analīzes posm</w:t>
      </w:r>
      <w:r w:rsidRPr="008E7E0C">
        <w:t>s</w:t>
      </w:r>
      <w:r w:rsidRPr="008E7E0C" w:rsidR="008A4DCF">
        <w:t xml:space="preserve">, kurā </w:t>
      </w:r>
      <w:r w:rsidRPr="008E7E0C">
        <w:t xml:space="preserve">tiks </w:t>
      </w:r>
      <w:r w:rsidRPr="008E7E0C" w:rsidR="008A4DCF">
        <w:t>iegūt</w:t>
      </w:r>
      <w:r w:rsidRPr="008E7E0C">
        <w:t>s</w:t>
      </w:r>
      <w:r w:rsidRPr="008E7E0C" w:rsidR="008A4DCF">
        <w:t xml:space="preserve"> pārskat</w:t>
      </w:r>
      <w:r w:rsidRPr="008E7E0C">
        <w:t>s</w:t>
      </w:r>
      <w:r w:rsidRPr="008E7E0C" w:rsidR="008A4DCF">
        <w:t xml:space="preserve"> par projekta partneru </w:t>
      </w:r>
      <w:r w:rsidRPr="008E7E0C" w:rsidR="002D5151">
        <w:t xml:space="preserve">– Latvijas, Portugāles, Spānijas un Ungārijas </w:t>
      </w:r>
      <w:r w:rsidRPr="008E7E0C" w:rsidR="008A4DCF">
        <w:t>zemesgrāma</w:t>
      </w:r>
      <w:r w:rsidRPr="008E7E0C" w:rsidR="002D5151">
        <w:t>tu sistēmām</w:t>
      </w:r>
      <w:r w:rsidRPr="008E7E0C" w:rsidR="008A4DCF">
        <w:t xml:space="preserve">, </w:t>
      </w:r>
      <w:r w:rsidRPr="008E7E0C">
        <w:t>kā arī</w:t>
      </w:r>
      <w:r w:rsidRPr="008E7E0C" w:rsidR="008A4DCF">
        <w:t xml:space="preserve"> novērtēt</w:t>
      </w:r>
      <w:r w:rsidRPr="008E7E0C">
        <w:t>a</w:t>
      </w:r>
      <w:r w:rsidRPr="008E7E0C" w:rsidR="008A4DCF">
        <w:t xml:space="preserve"> gatavīb</w:t>
      </w:r>
      <w:r w:rsidRPr="008E7E0C">
        <w:t>a</w:t>
      </w:r>
      <w:r w:rsidRPr="008E7E0C" w:rsidR="008A4DCF">
        <w:t xml:space="preserve"> nodrošināt dat</w:t>
      </w:r>
      <w:r w:rsidRPr="008E7E0C">
        <w:t>u</w:t>
      </w:r>
      <w:r w:rsidRPr="008E7E0C" w:rsidR="008A4DCF">
        <w:t>, kas nepieciešami savienošanai</w:t>
      </w:r>
      <w:r w:rsidRPr="008E7E0C">
        <w:t>, funkcionalitāti</w:t>
      </w:r>
      <w:r w:rsidRPr="008E7E0C" w:rsidR="008A4DCF">
        <w:t xml:space="preserve">. </w:t>
      </w:r>
      <w:r w:rsidRPr="008E7E0C">
        <w:t>Tiks izsvērta</w:t>
      </w:r>
      <w:r w:rsidRPr="008E7E0C" w:rsidR="008A4DCF">
        <w:t xml:space="preserve"> </w:t>
      </w:r>
      <w:r w:rsidRPr="008E7E0C">
        <w:t xml:space="preserve">valstu </w:t>
      </w:r>
      <w:r w:rsidRPr="008E7E0C" w:rsidR="008A4DCF">
        <w:t>organizatoriskā gatavība, datu kvalitāte, juridiskie aspekti un tehnoloģiskā sagatavotība</w:t>
      </w:r>
      <w:r w:rsidRPr="008E7E0C">
        <w:t>.</w:t>
      </w:r>
    </w:p>
    <w:p w:rsidRPr="008E7E0C" w:rsidR="008A4DCF" w:rsidP="00A069DF" w:rsidRDefault="008A4DCF" w14:paraId="0A465350" w14:textId="0E812F12">
      <w:pPr>
        <w:spacing w:after="0" w:line="240" w:lineRule="auto"/>
        <w:ind w:firstLine="720"/>
        <w:jc w:val="both"/>
        <w:rPr>
          <w:rFonts w:ascii="Times New Roman" w:hAnsi="Times New Roman" w:cs="Times New Roman"/>
          <w:sz w:val="24"/>
          <w:szCs w:val="24"/>
        </w:rPr>
      </w:pPr>
      <w:r w:rsidRPr="008E7E0C">
        <w:rPr>
          <w:rFonts w:ascii="Times New Roman" w:hAnsi="Times New Roman" w:cs="Times New Roman"/>
          <w:b/>
          <w:bCs/>
          <w:sz w:val="24"/>
          <w:szCs w:val="24"/>
        </w:rPr>
        <w:t xml:space="preserve">Nākamais </w:t>
      </w:r>
      <w:r w:rsidR="009B2F5A">
        <w:rPr>
          <w:rFonts w:ascii="Times New Roman" w:hAnsi="Times New Roman" w:cs="Times New Roman"/>
          <w:b/>
          <w:bCs/>
          <w:sz w:val="24"/>
          <w:szCs w:val="24"/>
        </w:rPr>
        <w:t xml:space="preserve">LRI II </w:t>
      </w:r>
      <w:r w:rsidRPr="008E7E0C">
        <w:rPr>
          <w:rFonts w:ascii="Times New Roman" w:hAnsi="Times New Roman" w:cs="Times New Roman"/>
          <w:b/>
          <w:bCs/>
          <w:sz w:val="24"/>
          <w:szCs w:val="24"/>
        </w:rPr>
        <w:t>projekta posms</w:t>
      </w:r>
      <w:r w:rsidRPr="008E7E0C">
        <w:rPr>
          <w:rFonts w:ascii="Times New Roman" w:hAnsi="Times New Roman" w:cs="Times New Roman"/>
          <w:sz w:val="24"/>
          <w:szCs w:val="24"/>
        </w:rPr>
        <w:t xml:space="preserve"> koncentrēsies uz starpsavienojuma tehnoloģiskajiem aspektiem partnervalstīs. </w:t>
      </w:r>
      <w:r w:rsidRPr="008E7E0C" w:rsidR="00B622B8">
        <w:rPr>
          <w:rFonts w:ascii="Times New Roman" w:hAnsi="Times New Roman" w:cs="Times New Roman"/>
          <w:sz w:val="24"/>
          <w:szCs w:val="24"/>
        </w:rPr>
        <w:t>I</w:t>
      </w:r>
      <w:r w:rsidRPr="008E7E0C">
        <w:rPr>
          <w:rFonts w:ascii="Times New Roman" w:hAnsi="Times New Roman" w:cs="Times New Roman"/>
          <w:sz w:val="24"/>
          <w:szCs w:val="24"/>
        </w:rPr>
        <w:t>zmantojot</w:t>
      </w:r>
      <w:r w:rsidRPr="008E7E0C" w:rsidR="00B622B8">
        <w:rPr>
          <w:rFonts w:ascii="Times New Roman" w:hAnsi="Times New Roman" w:cs="Times New Roman"/>
          <w:sz w:val="24"/>
          <w:szCs w:val="24"/>
        </w:rPr>
        <w:t xml:space="preserve"> </w:t>
      </w:r>
      <w:r w:rsidRPr="008E7E0C">
        <w:rPr>
          <w:rFonts w:ascii="Times New Roman" w:hAnsi="Times New Roman" w:cs="Times New Roman"/>
          <w:sz w:val="24"/>
          <w:szCs w:val="24"/>
        </w:rPr>
        <w:t>iepriekšējā projekt</w:t>
      </w:r>
      <w:r w:rsidRPr="008E7E0C" w:rsidR="00B622B8">
        <w:rPr>
          <w:rFonts w:ascii="Times New Roman" w:hAnsi="Times New Roman" w:cs="Times New Roman"/>
          <w:sz w:val="24"/>
          <w:szCs w:val="24"/>
        </w:rPr>
        <w:t>a</w:t>
      </w:r>
      <w:r w:rsidRPr="008E7E0C">
        <w:rPr>
          <w:rFonts w:ascii="Times New Roman" w:hAnsi="Times New Roman" w:cs="Times New Roman"/>
          <w:sz w:val="24"/>
          <w:szCs w:val="24"/>
        </w:rPr>
        <w:t xml:space="preserve"> </w:t>
      </w:r>
      <w:r w:rsidR="009B2F5A">
        <w:rPr>
          <w:rFonts w:ascii="Times New Roman" w:hAnsi="Times New Roman" w:cs="Times New Roman"/>
          <w:sz w:val="24"/>
          <w:szCs w:val="24"/>
        </w:rPr>
        <w:t>"</w:t>
      </w:r>
      <w:r w:rsidRPr="008E7E0C">
        <w:rPr>
          <w:rFonts w:ascii="Times New Roman" w:hAnsi="Times New Roman" w:cs="Times New Roman"/>
          <w:i/>
          <w:iCs/>
          <w:sz w:val="24"/>
          <w:szCs w:val="24"/>
        </w:rPr>
        <w:t xml:space="preserve">LRI MS </w:t>
      </w:r>
      <w:proofErr w:type="spellStart"/>
      <w:r w:rsidRPr="008E7E0C">
        <w:rPr>
          <w:rFonts w:ascii="Times New Roman" w:hAnsi="Times New Roman" w:cs="Times New Roman"/>
          <w:i/>
          <w:iCs/>
          <w:sz w:val="24"/>
          <w:szCs w:val="24"/>
        </w:rPr>
        <w:t>Connection</w:t>
      </w:r>
      <w:proofErr w:type="spellEnd"/>
      <w:r w:rsidR="009B2F5A">
        <w:rPr>
          <w:rFonts w:ascii="Times New Roman" w:hAnsi="Times New Roman" w:cs="Times New Roman"/>
          <w:i/>
          <w:iCs/>
          <w:sz w:val="24"/>
          <w:szCs w:val="24"/>
        </w:rPr>
        <w:t>"</w:t>
      </w:r>
      <w:r w:rsidRPr="008E7E0C">
        <w:rPr>
          <w:rFonts w:ascii="Times New Roman" w:hAnsi="Times New Roman" w:cs="Times New Roman"/>
          <w:sz w:val="24"/>
          <w:szCs w:val="24"/>
        </w:rPr>
        <w:t xml:space="preserve"> </w:t>
      </w:r>
      <w:r w:rsidRPr="008E7E0C" w:rsidR="00B622B8">
        <w:rPr>
          <w:rFonts w:ascii="Times New Roman" w:hAnsi="Times New Roman" w:cs="Times New Roman"/>
          <w:sz w:val="24"/>
          <w:szCs w:val="24"/>
        </w:rPr>
        <w:t>rezultātus, tiks izstrādāti jauno projekta dalībnieku v</w:t>
      </w:r>
      <w:r w:rsidRPr="008E7E0C">
        <w:rPr>
          <w:rFonts w:ascii="Times New Roman" w:hAnsi="Times New Roman" w:cs="Times New Roman"/>
          <w:sz w:val="24"/>
          <w:szCs w:val="24"/>
        </w:rPr>
        <w:t>alst</w:t>
      </w:r>
      <w:r w:rsidRPr="008E7E0C" w:rsidR="00B622B8">
        <w:rPr>
          <w:rFonts w:ascii="Times New Roman" w:hAnsi="Times New Roman" w:cs="Times New Roman"/>
          <w:sz w:val="24"/>
          <w:szCs w:val="24"/>
        </w:rPr>
        <w:t>u</w:t>
      </w:r>
      <w:r w:rsidRPr="008E7E0C">
        <w:rPr>
          <w:rFonts w:ascii="Times New Roman" w:hAnsi="Times New Roman" w:cs="Times New Roman"/>
          <w:sz w:val="24"/>
          <w:szCs w:val="24"/>
        </w:rPr>
        <w:t xml:space="preserve"> nacionālo komponentu struktūr</w:t>
      </w:r>
      <w:r w:rsidRPr="008E7E0C" w:rsidR="00B622B8">
        <w:rPr>
          <w:rFonts w:ascii="Times New Roman" w:hAnsi="Times New Roman" w:cs="Times New Roman"/>
          <w:sz w:val="24"/>
          <w:szCs w:val="24"/>
        </w:rPr>
        <w:t>a</w:t>
      </w:r>
      <w:r w:rsidRPr="008E7E0C">
        <w:rPr>
          <w:rFonts w:ascii="Times New Roman" w:hAnsi="Times New Roman" w:cs="Times New Roman"/>
          <w:sz w:val="24"/>
          <w:szCs w:val="24"/>
        </w:rPr>
        <w:t xml:space="preserve"> un datu apmaiņas moduļi. </w:t>
      </w:r>
    </w:p>
    <w:p w:rsidRPr="008E7E0C" w:rsidR="008A4DCF" w:rsidP="002D5151" w:rsidRDefault="008A4DCF" w14:paraId="7BAFEDBC" w14:textId="3F855CC8">
      <w:pPr>
        <w:spacing w:after="0" w:line="240" w:lineRule="auto"/>
        <w:ind w:firstLine="720"/>
        <w:jc w:val="both"/>
        <w:rPr>
          <w:rFonts w:ascii="Times New Roman" w:hAnsi="Times New Roman" w:cs="Times New Roman"/>
          <w:sz w:val="24"/>
          <w:szCs w:val="24"/>
        </w:rPr>
      </w:pPr>
      <w:r w:rsidRPr="008E7E0C">
        <w:rPr>
          <w:rFonts w:ascii="Times New Roman" w:hAnsi="Times New Roman" w:cs="Times New Roman"/>
          <w:sz w:val="24"/>
          <w:szCs w:val="24"/>
        </w:rPr>
        <w:t>Projekts</w:t>
      </w:r>
      <w:r w:rsidR="00587571">
        <w:rPr>
          <w:rFonts w:ascii="Times New Roman" w:hAnsi="Times New Roman" w:cs="Times New Roman"/>
          <w:sz w:val="24"/>
          <w:szCs w:val="24"/>
        </w:rPr>
        <w:t xml:space="preserve"> LRI II</w:t>
      </w:r>
      <w:r w:rsidRPr="008E7E0C">
        <w:rPr>
          <w:rFonts w:ascii="Times New Roman" w:hAnsi="Times New Roman" w:cs="Times New Roman"/>
          <w:sz w:val="24"/>
          <w:szCs w:val="24"/>
        </w:rPr>
        <w:t xml:space="preserve"> nodrošin</w:t>
      </w:r>
      <w:r w:rsidRPr="008E7E0C" w:rsidR="00B622B8">
        <w:rPr>
          <w:rFonts w:ascii="Times New Roman" w:hAnsi="Times New Roman" w:cs="Times New Roman"/>
          <w:sz w:val="24"/>
          <w:szCs w:val="24"/>
        </w:rPr>
        <w:t>ās</w:t>
      </w:r>
      <w:r w:rsidRPr="008E7E0C">
        <w:rPr>
          <w:rFonts w:ascii="Times New Roman" w:hAnsi="Times New Roman" w:cs="Times New Roman"/>
          <w:sz w:val="24"/>
          <w:szCs w:val="24"/>
        </w:rPr>
        <w:t xml:space="preserve"> visus rezultātus elektroniskā formā angļu valodā.</w:t>
      </w:r>
    </w:p>
    <w:p w:rsidRPr="008E7E0C" w:rsidR="00EB345E" w:rsidP="00014A2E" w:rsidRDefault="00161A98" w14:paraId="50697F77" w14:textId="4EC3240E">
      <w:pPr>
        <w:spacing w:after="0" w:line="240" w:lineRule="auto"/>
        <w:jc w:val="both"/>
        <w:rPr>
          <w:rFonts w:ascii="Times New Roman" w:hAnsi="Times New Roman" w:cs="Times New Roman"/>
          <w:sz w:val="24"/>
          <w:szCs w:val="24"/>
        </w:rPr>
      </w:pPr>
      <w:r w:rsidRPr="008E7E0C">
        <w:rPr>
          <w:rFonts w:ascii="Times New Roman" w:hAnsi="Times New Roman" w:cs="Times New Roman"/>
          <w:sz w:val="24"/>
          <w:szCs w:val="24"/>
        </w:rPr>
        <w:tab/>
        <w:t xml:space="preserve">Palielinoties Eiropas </w:t>
      </w:r>
      <w:r w:rsidR="002E0B11">
        <w:rPr>
          <w:rFonts w:ascii="Times New Roman" w:hAnsi="Times New Roman" w:cs="Times New Roman"/>
          <w:sz w:val="24"/>
          <w:szCs w:val="24"/>
        </w:rPr>
        <w:t xml:space="preserve">Savienības </w:t>
      </w:r>
      <w:r w:rsidRPr="008E7E0C">
        <w:rPr>
          <w:rFonts w:ascii="Times New Roman" w:hAnsi="Times New Roman" w:cs="Times New Roman"/>
          <w:sz w:val="24"/>
          <w:szCs w:val="24"/>
        </w:rPr>
        <w:t xml:space="preserve">pilsoņu mobilitātei, palielinās pārrobežu finanšu </w:t>
      </w:r>
      <w:r w:rsidRPr="008E7E0C" w:rsidR="00BF776F">
        <w:rPr>
          <w:rFonts w:ascii="Times New Roman" w:hAnsi="Times New Roman" w:cs="Times New Roman"/>
          <w:sz w:val="24"/>
          <w:szCs w:val="24"/>
        </w:rPr>
        <w:t>darījumu</w:t>
      </w:r>
      <w:r w:rsidRPr="008E7E0C">
        <w:rPr>
          <w:rFonts w:ascii="Times New Roman" w:hAnsi="Times New Roman" w:cs="Times New Roman"/>
          <w:sz w:val="24"/>
          <w:szCs w:val="24"/>
        </w:rPr>
        <w:t xml:space="preserve"> skaits,</w:t>
      </w:r>
      <w:r w:rsidRPr="008E7E0C" w:rsidR="00BF776F">
        <w:rPr>
          <w:rFonts w:ascii="Times New Roman" w:hAnsi="Times New Roman" w:cs="Times New Roman"/>
          <w:sz w:val="24"/>
          <w:szCs w:val="24"/>
        </w:rPr>
        <w:t xml:space="preserve"> tādejādi</w:t>
      </w:r>
      <w:r w:rsidRPr="008E7E0C">
        <w:rPr>
          <w:rFonts w:ascii="Times New Roman" w:hAnsi="Times New Roman" w:cs="Times New Roman"/>
          <w:sz w:val="24"/>
          <w:szCs w:val="24"/>
        </w:rPr>
        <w:t xml:space="preserve"> pieaug </w:t>
      </w:r>
      <w:r w:rsidRPr="008E7E0C" w:rsidR="002D5151">
        <w:rPr>
          <w:rFonts w:ascii="Times New Roman" w:hAnsi="Times New Roman" w:cs="Times New Roman"/>
          <w:sz w:val="24"/>
          <w:szCs w:val="24"/>
        </w:rPr>
        <w:t xml:space="preserve">gan </w:t>
      </w:r>
      <w:r w:rsidRPr="008E7E0C">
        <w:rPr>
          <w:rFonts w:ascii="Times New Roman" w:hAnsi="Times New Roman" w:cs="Times New Roman"/>
          <w:sz w:val="24"/>
          <w:szCs w:val="24"/>
        </w:rPr>
        <w:t xml:space="preserve">Eiropas </w:t>
      </w:r>
      <w:r w:rsidR="002E0B11">
        <w:rPr>
          <w:rFonts w:ascii="Times New Roman" w:hAnsi="Times New Roman" w:cs="Times New Roman"/>
          <w:sz w:val="24"/>
          <w:szCs w:val="24"/>
        </w:rPr>
        <w:t xml:space="preserve">Savienības </w:t>
      </w:r>
      <w:r w:rsidRPr="008E7E0C">
        <w:rPr>
          <w:rFonts w:ascii="Times New Roman" w:hAnsi="Times New Roman" w:cs="Times New Roman"/>
          <w:sz w:val="24"/>
          <w:szCs w:val="24"/>
        </w:rPr>
        <w:t>pilsoņu nekustamā īpašuma iegāde citās dalībvalstīs</w:t>
      </w:r>
      <w:r w:rsidRPr="008E7E0C" w:rsidR="002D5151">
        <w:rPr>
          <w:rFonts w:ascii="Times New Roman" w:hAnsi="Times New Roman" w:cs="Times New Roman"/>
          <w:sz w:val="24"/>
          <w:szCs w:val="24"/>
        </w:rPr>
        <w:t xml:space="preserve">, gan </w:t>
      </w:r>
      <w:r w:rsidRPr="008E7E0C">
        <w:rPr>
          <w:rFonts w:ascii="Times New Roman" w:hAnsi="Times New Roman" w:cs="Times New Roman"/>
          <w:sz w:val="24"/>
          <w:szCs w:val="24"/>
        </w:rPr>
        <w:t>pārrobežu civilprocesu un kriminālprocesu skait</w:t>
      </w:r>
      <w:r w:rsidRPr="008E7E0C" w:rsidR="002D5151">
        <w:rPr>
          <w:rFonts w:ascii="Times New Roman" w:hAnsi="Times New Roman" w:cs="Times New Roman"/>
          <w:sz w:val="24"/>
          <w:szCs w:val="24"/>
        </w:rPr>
        <w:t>s</w:t>
      </w:r>
      <w:r w:rsidRPr="008E7E0C">
        <w:rPr>
          <w:rFonts w:ascii="Times New Roman" w:hAnsi="Times New Roman" w:cs="Times New Roman"/>
          <w:sz w:val="24"/>
          <w:szCs w:val="24"/>
        </w:rPr>
        <w:t xml:space="preserve">. Eiropas Parlaments un Eiropas Savienības Padome </w:t>
      </w:r>
      <w:r w:rsidRPr="008E7E0C" w:rsidR="00BF776F">
        <w:rPr>
          <w:rFonts w:ascii="Times New Roman" w:hAnsi="Times New Roman" w:cs="Times New Roman"/>
          <w:sz w:val="24"/>
          <w:szCs w:val="24"/>
        </w:rPr>
        <w:t>ir izstrādājusi</w:t>
      </w:r>
      <w:r w:rsidRPr="008E7E0C">
        <w:rPr>
          <w:rFonts w:ascii="Times New Roman" w:hAnsi="Times New Roman" w:cs="Times New Roman"/>
          <w:sz w:val="24"/>
          <w:szCs w:val="24"/>
        </w:rPr>
        <w:t xml:space="preserve"> virkni instrumentu, lai izveidotu un sargāt</w:t>
      </w:r>
      <w:r w:rsidRPr="008E7E0C" w:rsidR="00BF776F">
        <w:rPr>
          <w:rFonts w:ascii="Times New Roman" w:hAnsi="Times New Roman" w:cs="Times New Roman"/>
          <w:sz w:val="24"/>
          <w:szCs w:val="24"/>
        </w:rPr>
        <w:t>u</w:t>
      </w:r>
      <w:r w:rsidRPr="008E7E0C">
        <w:rPr>
          <w:rFonts w:ascii="Times New Roman" w:hAnsi="Times New Roman" w:cs="Times New Roman"/>
          <w:sz w:val="24"/>
          <w:szCs w:val="24"/>
        </w:rPr>
        <w:t xml:space="preserve"> brīvības, drošības un tiesiskuma telpu, kas ietekmē pārrobežu tiesvedību</w:t>
      </w:r>
      <w:r w:rsidRPr="008E7E0C" w:rsidR="00BF776F">
        <w:rPr>
          <w:rFonts w:ascii="Times New Roman" w:hAnsi="Times New Roman" w:cs="Times New Roman"/>
          <w:sz w:val="24"/>
          <w:szCs w:val="24"/>
        </w:rPr>
        <w:t>. P</w:t>
      </w:r>
      <w:r w:rsidRPr="008E7E0C">
        <w:rPr>
          <w:rFonts w:ascii="Times New Roman" w:hAnsi="Times New Roman" w:cs="Times New Roman"/>
          <w:sz w:val="24"/>
          <w:szCs w:val="24"/>
        </w:rPr>
        <w:t>iemēram</w:t>
      </w:r>
      <w:r w:rsidRPr="008E7E0C" w:rsidR="00BF776F">
        <w:rPr>
          <w:rFonts w:ascii="Times New Roman" w:hAnsi="Times New Roman" w:cs="Times New Roman"/>
          <w:sz w:val="24"/>
          <w:szCs w:val="24"/>
        </w:rPr>
        <w:t xml:space="preserve">, </w:t>
      </w:r>
      <w:r w:rsidRPr="008E7E0C" w:rsidR="00BF776F">
        <w:rPr>
          <w:rFonts w:ascii="Times New Roman" w:hAnsi="Times New Roman" w:cs="Times New Roman"/>
          <w:i/>
          <w:iCs/>
          <w:sz w:val="24"/>
          <w:szCs w:val="24"/>
        </w:rPr>
        <w:t>EIROPAS PARLAMENTA UN PADOMES REGULA (ES) Nr. 650/2012 (2012. gada 4. jūlijs)</w:t>
      </w:r>
      <w:r w:rsidRPr="008E7E0C" w:rsidR="00BF776F">
        <w:rPr>
          <w:rStyle w:val="Vresatsauce"/>
          <w:rFonts w:ascii="Times New Roman" w:hAnsi="Times New Roman" w:cs="Times New Roman"/>
          <w:i/>
          <w:iCs/>
          <w:sz w:val="24"/>
          <w:szCs w:val="24"/>
        </w:rPr>
        <w:footnoteReference w:id="5"/>
      </w:r>
      <w:r w:rsidRPr="008E7E0C" w:rsidR="00BF776F">
        <w:rPr>
          <w:rFonts w:ascii="Times New Roman" w:hAnsi="Times New Roman" w:cs="Times New Roman"/>
          <w:i/>
          <w:iCs/>
          <w:sz w:val="24"/>
          <w:szCs w:val="24"/>
        </w:rPr>
        <w:t xml:space="preserve"> par jurisdikciju, piemērojamiem tiesību aktiem, nolēmumu atzīšanu un izpildi un publisku aktu akceptēšanu un izpildi mantošanas lietās un par Eiropas mantošanas apliecības izveidi</w:t>
      </w:r>
      <w:r w:rsidRPr="008E7E0C" w:rsidR="00BF776F">
        <w:rPr>
          <w:rFonts w:ascii="Times New Roman" w:hAnsi="Times New Roman" w:cs="Times New Roman"/>
          <w:sz w:val="24"/>
          <w:szCs w:val="24"/>
        </w:rPr>
        <w:t xml:space="preserve"> </w:t>
      </w:r>
      <w:r w:rsidRPr="008E7E0C">
        <w:rPr>
          <w:rFonts w:ascii="Times New Roman" w:hAnsi="Times New Roman" w:cs="Times New Roman"/>
          <w:sz w:val="24"/>
          <w:szCs w:val="24"/>
        </w:rPr>
        <w:t>ļauj viegli veikt pārrobežu mantošanas procesu. Bieži zeme</w:t>
      </w:r>
      <w:r w:rsidRPr="008E7E0C" w:rsidR="00BF776F">
        <w:rPr>
          <w:rFonts w:ascii="Times New Roman" w:hAnsi="Times New Roman" w:cs="Times New Roman"/>
          <w:sz w:val="24"/>
          <w:szCs w:val="24"/>
        </w:rPr>
        <w:t>s</w:t>
      </w:r>
      <w:r w:rsidRPr="008E7E0C">
        <w:rPr>
          <w:rFonts w:ascii="Times New Roman" w:hAnsi="Times New Roman" w:cs="Times New Roman"/>
          <w:sz w:val="24"/>
          <w:szCs w:val="24"/>
        </w:rPr>
        <w:t xml:space="preserve"> reģistra informācija ir </w:t>
      </w:r>
      <w:r w:rsidRPr="008E7E0C" w:rsidR="00BF776F">
        <w:rPr>
          <w:rFonts w:ascii="Times New Roman" w:hAnsi="Times New Roman" w:cs="Times New Roman"/>
          <w:sz w:val="24"/>
          <w:szCs w:val="24"/>
        </w:rPr>
        <w:t>iegūstama</w:t>
      </w:r>
      <w:r w:rsidRPr="008E7E0C">
        <w:rPr>
          <w:rFonts w:ascii="Times New Roman" w:hAnsi="Times New Roman" w:cs="Times New Roman"/>
          <w:sz w:val="24"/>
          <w:szCs w:val="24"/>
        </w:rPr>
        <w:t xml:space="preserve"> lēnā un izmaksu ziņā neefektīvā procedūrā. Tiesneši</w:t>
      </w:r>
      <w:r w:rsidRPr="008E7E0C" w:rsidR="00BF776F">
        <w:rPr>
          <w:rFonts w:ascii="Times New Roman" w:hAnsi="Times New Roman" w:cs="Times New Roman"/>
          <w:sz w:val="24"/>
          <w:szCs w:val="24"/>
        </w:rPr>
        <w:t>em</w:t>
      </w:r>
      <w:r w:rsidRPr="008E7E0C">
        <w:rPr>
          <w:rFonts w:ascii="Times New Roman" w:hAnsi="Times New Roman" w:cs="Times New Roman"/>
          <w:sz w:val="24"/>
          <w:szCs w:val="24"/>
        </w:rPr>
        <w:t xml:space="preserve"> un tiesas </w:t>
      </w:r>
      <w:r w:rsidRPr="008E7E0C" w:rsidR="00BF776F">
        <w:rPr>
          <w:rFonts w:ascii="Times New Roman" w:hAnsi="Times New Roman" w:cs="Times New Roman"/>
          <w:sz w:val="24"/>
          <w:szCs w:val="24"/>
        </w:rPr>
        <w:t>darbiniekiem</w:t>
      </w:r>
      <w:r w:rsidRPr="008E7E0C">
        <w:rPr>
          <w:rFonts w:ascii="Times New Roman" w:hAnsi="Times New Roman" w:cs="Times New Roman"/>
          <w:sz w:val="24"/>
          <w:szCs w:val="24"/>
        </w:rPr>
        <w:t xml:space="preserve"> vai notāri</w:t>
      </w:r>
      <w:r w:rsidRPr="008E7E0C" w:rsidR="00BF776F">
        <w:rPr>
          <w:rFonts w:ascii="Times New Roman" w:hAnsi="Times New Roman" w:cs="Times New Roman"/>
          <w:sz w:val="24"/>
          <w:szCs w:val="24"/>
        </w:rPr>
        <w:t>em,</w:t>
      </w:r>
      <w:r w:rsidRPr="008E7E0C">
        <w:rPr>
          <w:rFonts w:ascii="Times New Roman" w:hAnsi="Times New Roman" w:cs="Times New Roman"/>
          <w:sz w:val="24"/>
          <w:szCs w:val="24"/>
        </w:rPr>
        <w:t xml:space="preserve"> strādājot pie pārrobežu mantošanas liet</w:t>
      </w:r>
      <w:r w:rsidRPr="008E7E0C" w:rsidR="00BF776F">
        <w:rPr>
          <w:rFonts w:ascii="Times New Roman" w:hAnsi="Times New Roman" w:cs="Times New Roman"/>
          <w:sz w:val="24"/>
          <w:szCs w:val="24"/>
        </w:rPr>
        <w:t>ām</w:t>
      </w:r>
      <w:r w:rsidRPr="008E7E0C">
        <w:rPr>
          <w:rFonts w:ascii="Times New Roman" w:hAnsi="Times New Roman" w:cs="Times New Roman"/>
          <w:sz w:val="24"/>
          <w:szCs w:val="24"/>
        </w:rPr>
        <w:t>, jāspēj veikt meklēšanu pēc personas vārda u</w:t>
      </w:r>
      <w:r w:rsidR="00587571">
        <w:rPr>
          <w:rFonts w:ascii="Times New Roman" w:hAnsi="Times New Roman" w:cs="Times New Roman"/>
          <w:sz w:val="24"/>
          <w:szCs w:val="24"/>
        </w:rPr>
        <w:t>n</w:t>
      </w:r>
      <w:r w:rsidRPr="008E7E0C">
        <w:rPr>
          <w:rFonts w:ascii="Times New Roman" w:hAnsi="Times New Roman" w:cs="Times New Roman"/>
          <w:sz w:val="24"/>
          <w:szCs w:val="24"/>
        </w:rPr>
        <w:t xml:space="preserve"> identificēt mirušās personas īpašumu citas dalībvalsts zemesgrāmatā. </w:t>
      </w:r>
      <w:r w:rsidRPr="008E7E0C" w:rsidR="00014A2E">
        <w:rPr>
          <w:rFonts w:ascii="Times New Roman" w:hAnsi="Times New Roman" w:cs="Times New Roman"/>
          <w:i/>
          <w:iCs/>
          <w:sz w:val="24"/>
          <w:szCs w:val="24"/>
        </w:rPr>
        <w:t>EIROPAS PARLAMENTA UN PADOMES REGULA (ES) 2018/1805 (2018. gada 14. novembris) par iesaldēšanas rīkojumu un konfiskācijas rīkojumu savstarpējo atzīšanu</w:t>
      </w:r>
      <w:r w:rsidRPr="008E7E0C" w:rsidR="00014A2E">
        <w:rPr>
          <w:rStyle w:val="Vresatsauce"/>
          <w:rFonts w:ascii="Times New Roman" w:hAnsi="Times New Roman" w:cs="Times New Roman"/>
          <w:sz w:val="24"/>
          <w:szCs w:val="24"/>
        </w:rPr>
        <w:footnoteReference w:id="6"/>
      </w:r>
      <w:r w:rsidR="004D0183">
        <w:rPr>
          <w:rFonts w:ascii="Times New Roman" w:hAnsi="Times New Roman" w:cs="Times New Roman"/>
          <w:sz w:val="24"/>
          <w:szCs w:val="24"/>
        </w:rPr>
        <w:t xml:space="preserve"> </w:t>
      </w:r>
      <w:r w:rsidRPr="008E7E0C">
        <w:rPr>
          <w:rFonts w:ascii="Times New Roman" w:hAnsi="Times New Roman" w:cs="Times New Roman"/>
          <w:sz w:val="24"/>
          <w:szCs w:val="24"/>
        </w:rPr>
        <w:t>ļauj noziedzniekiem vieglāk atņemt viņ</w:t>
      </w:r>
      <w:r w:rsidRPr="008E7E0C" w:rsidR="00014A2E">
        <w:rPr>
          <w:rFonts w:ascii="Times New Roman" w:hAnsi="Times New Roman" w:cs="Times New Roman"/>
          <w:sz w:val="24"/>
          <w:szCs w:val="24"/>
        </w:rPr>
        <w:t>u</w:t>
      </w:r>
      <w:r w:rsidRPr="008E7E0C">
        <w:rPr>
          <w:rFonts w:ascii="Times New Roman" w:hAnsi="Times New Roman" w:cs="Times New Roman"/>
          <w:sz w:val="24"/>
          <w:szCs w:val="24"/>
        </w:rPr>
        <w:t xml:space="preserve"> nelikumīg</w:t>
      </w:r>
      <w:r w:rsidRPr="008E7E0C" w:rsidR="00014A2E">
        <w:rPr>
          <w:rFonts w:ascii="Times New Roman" w:hAnsi="Times New Roman" w:cs="Times New Roman"/>
          <w:sz w:val="24"/>
          <w:szCs w:val="24"/>
        </w:rPr>
        <w:t>ajā</w:t>
      </w:r>
      <w:r w:rsidRPr="008E7E0C">
        <w:rPr>
          <w:rFonts w:ascii="Times New Roman" w:hAnsi="Times New Roman" w:cs="Times New Roman"/>
          <w:sz w:val="24"/>
          <w:szCs w:val="24"/>
        </w:rPr>
        <w:t xml:space="preserve"> rīcīb</w:t>
      </w:r>
      <w:r w:rsidRPr="008E7E0C" w:rsidR="00014A2E">
        <w:rPr>
          <w:rFonts w:ascii="Times New Roman" w:hAnsi="Times New Roman" w:cs="Times New Roman"/>
          <w:sz w:val="24"/>
          <w:szCs w:val="24"/>
        </w:rPr>
        <w:t>ā</w:t>
      </w:r>
      <w:r w:rsidRPr="008E7E0C">
        <w:rPr>
          <w:rFonts w:ascii="Times New Roman" w:hAnsi="Times New Roman" w:cs="Times New Roman"/>
          <w:sz w:val="24"/>
          <w:szCs w:val="24"/>
        </w:rPr>
        <w:t xml:space="preserve"> iegūt</w:t>
      </w:r>
      <w:r w:rsidRPr="008E7E0C" w:rsidR="00014A2E">
        <w:rPr>
          <w:rFonts w:ascii="Times New Roman" w:hAnsi="Times New Roman" w:cs="Times New Roman"/>
          <w:sz w:val="24"/>
          <w:szCs w:val="24"/>
        </w:rPr>
        <w:t>os</w:t>
      </w:r>
      <w:r w:rsidRPr="008E7E0C">
        <w:rPr>
          <w:rFonts w:ascii="Times New Roman" w:hAnsi="Times New Roman" w:cs="Times New Roman"/>
          <w:sz w:val="24"/>
          <w:szCs w:val="24"/>
        </w:rPr>
        <w:t xml:space="preserve"> aktīv</w:t>
      </w:r>
      <w:r w:rsidRPr="008E7E0C" w:rsidR="00014A2E">
        <w:rPr>
          <w:rFonts w:ascii="Times New Roman" w:hAnsi="Times New Roman" w:cs="Times New Roman"/>
          <w:sz w:val="24"/>
          <w:szCs w:val="24"/>
        </w:rPr>
        <w:t>us</w:t>
      </w:r>
      <w:r w:rsidRPr="008E7E0C">
        <w:rPr>
          <w:rFonts w:ascii="Times New Roman" w:hAnsi="Times New Roman" w:cs="Times New Roman"/>
          <w:sz w:val="24"/>
          <w:szCs w:val="24"/>
        </w:rPr>
        <w:t>. Lai iegūtu informāciju par noziedznieku iegādāto īpašumu, projekts ļau</w:t>
      </w:r>
      <w:r w:rsidRPr="008E7E0C" w:rsidR="00014A2E">
        <w:rPr>
          <w:rFonts w:ascii="Times New Roman" w:hAnsi="Times New Roman" w:cs="Times New Roman"/>
          <w:sz w:val="24"/>
          <w:szCs w:val="24"/>
        </w:rPr>
        <w:t>s</w:t>
      </w:r>
      <w:r w:rsidRPr="008E7E0C">
        <w:rPr>
          <w:rFonts w:ascii="Times New Roman" w:hAnsi="Times New Roman" w:cs="Times New Roman"/>
          <w:sz w:val="24"/>
          <w:szCs w:val="24"/>
        </w:rPr>
        <w:t xml:space="preserve"> prokuroriem viegli un ātri veikt meklēšanu </w:t>
      </w:r>
      <w:r w:rsidR="00587571">
        <w:rPr>
          <w:rFonts w:ascii="Times New Roman" w:hAnsi="Times New Roman" w:cs="Times New Roman"/>
          <w:sz w:val="24"/>
          <w:szCs w:val="24"/>
        </w:rPr>
        <w:t>ES</w:t>
      </w:r>
      <w:r w:rsidRPr="008E7E0C">
        <w:rPr>
          <w:rFonts w:ascii="Times New Roman" w:hAnsi="Times New Roman" w:cs="Times New Roman"/>
          <w:sz w:val="24"/>
          <w:szCs w:val="24"/>
        </w:rPr>
        <w:t xml:space="preserve"> zemes reģistros</w:t>
      </w:r>
      <w:r w:rsidRPr="008E7E0C" w:rsidR="00014A2E">
        <w:rPr>
          <w:rFonts w:ascii="Times New Roman" w:hAnsi="Times New Roman" w:cs="Times New Roman"/>
          <w:sz w:val="24"/>
          <w:szCs w:val="24"/>
        </w:rPr>
        <w:t>, neap</w:t>
      </w:r>
      <w:r w:rsidRPr="008E7E0C">
        <w:rPr>
          <w:rFonts w:ascii="Times New Roman" w:hAnsi="Times New Roman" w:cs="Times New Roman"/>
          <w:sz w:val="24"/>
          <w:szCs w:val="24"/>
        </w:rPr>
        <w:t>grūtinot ar konsultācijām kolēģ</w:t>
      </w:r>
      <w:r w:rsidRPr="008E7E0C" w:rsidR="00014A2E">
        <w:rPr>
          <w:rFonts w:ascii="Times New Roman" w:hAnsi="Times New Roman" w:cs="Times New Roman"/>
          <w:sz w:val="24"/>
          <w:szCs w:val="24"/>
        </w:rPr>
        <w:t>us</w:t>
      </w:r>
      <w:r w:rsidRPr="008E7E0C">
        <w:rPr>
          <w:rFonts w:ascii="Times New Roman" w:hAnsi="Times New Roman" w:cs="Times New Roman"/>
          <w:sz w:val="24"/>
          <w:szCs w:val="24"/>
        </w:rPr>
        <w:t xml:space="preserve"> dalībvalstīs. </w:t>
      </w:r>
    </w:p>
    <w:p w:rsidRPr="008E7E0C" w:rsidR="00161A98" w:rsidP="00E920A2" w:rsidRDefault="00161A98" w14:paraId="01DC9A04" w14:textId="3BEB6409">
      <w:pPr>
        <w:spacing w:after="0" w:line="240" w:lineRule="auto"/>
        <w:ind w:firstLine="709"/>
        <w:jc w:val="both"/>
        <w:rPr>
          <w:rFonts w:ascii="Times New Roman" w:hAnsi="Times New Roman" w:cs="Times New Roman"/>
          <w:sz w:val="24"/>
          <w:szCs w:val="24"/>
        </w:rPr>
      </w:pPr>
      <w:r w:rsidRPr="008E7E0C">
        <w:rPr>
          <w:rFonts w:ascii="Times New Roman" w:hAnsi="Times New Roman" w:cs="Times New Roman"/>
          <w:sz w:val="24"/>
          <w:szCs w:val="24"/>
        </w:rPr>
        <w:t>Turklāt kapitāla brīva aprite ES kā viens no vienotā tirgus galvenajiem elementiem ietver:</w:t>
      </w:r>
    </w:p>
    <w:p w:rsidRPr="008E7E0C" w:rsidR="00161A98" w:rsidP="00322E75" w:rsidRDefault="00161A98" w14:paraId="7B2CA125" w14:textId="336F07D6">
      <w:pPr>
        <w:pStyle w:val="Sarakstarindkopa"/>
        <w:numPr>
          <w:ilvl w:val="0"/>
          <w:numId w:val="16"/>
        </w:numPr>
        <w:spacing w:after="0" w:line="240" w:lineRule="auto"/>
        <w:jc w:val="both"/>
        <w:rPr>
          <w:rFonts w:ascii="Times New Roman" w:hAnsi="Times New Roman" w:cs="Times New Roman"/>
          <w:sz w:val="24"/>
          <w:szCs w:val="24"/>
        </w:rPr>
      </w:pPr>
      <w:r w:rsidRPr="008E7E0C">
        <w:rPr>
          <w:rFonts w:ascii="Times New Roman" w:hAnsi="Times New Roman" w:cs="Times New Roman"/>
          <w:sz w:val="24"/>
          <w:szCs w:val="24"/>
        </w:rPr>
        <w:lastRenderedPageBreak/>
        <w:t>spēj</w:t>
      </w:r>
      <w:r w:rsidRPr="008E7E0C" w:rsidR="00EB345E">
        <w:rPr>
          <w:rFonts w:ascii="Times New Roman" w:hAnsi="Times New Roman" w:cs="Times New Roman"/>
          <w:sz w:val="24"/>
          <w:szCs w:val="24"/>
        </w:rPr>
        <w:t>u</w:t>
      </w:r>
      <w:r w:rsidRPr="008E7E0C">
        <w:rPr>
          <w:rFonts w:ascii="Times New Roman" w:hAnsi="Times New Roman" w:cs="Times New Roman"/>
          <w:sz w:val="24"/>
          <w:szCs w:val="24"/>
        </w:rPr>
        <w:t xml:space="preserve"> veikt nekustamā īpašuma pirkšanu citā valstī, ko atvieglo</w:t>
      </w:r>
      <w:r w:rsidRPr="008E7E0C" w:rsidR="00EB345E">
        <w:rPr>
          <w:rFonts w:ascii="Times New Roman" w:hAnsi="Times New Roman" w:cs="Times New Roman"/>
          <w:sz w:val="24"/>
          <w:szCs w:val="24"/>
        </w:rPr>
        <w:t>s aktuāli</w:t>
      </w:r>
      <w:r w:rsidRPr="008E7E0C">
        <w:rPr>
          <w:rFonts w:ascii="Times New Roman" w:hAnsi="Times New Roman" w:cs="Times New Roman"/>
          <w:sz w:val="24"/>
          <w:szCs w:val="24"/>
        </w:rPr>
        <w:t xml:space="preserve"> un</w:t>
      </w:r>
      <w:r w:rsidRPr="008E7E0C" w:rsidR="00014A2E">
        <w:rPr>
          <w:rFonts w:ascii="Times New Roman" w:hAnsi="Times New Roman" w:cs="Times New Roman"/>
          <w:sz w:val="24"/>
          <w:szCs w:val="24"/>
        </w:rPr>
        <w:t xml:space="preserve"> </w:t>
      </w:r>
      <w:r w:rsidRPr="008E7E0C">
        <w:rPr>
          <w:rFonts w:ascii="Times New Roman" w:hAnsi="Times New Roman" w:cs="Times New Roman"/>
          <w:sz w:val="24"/>
          <w:szCs w:val="24"/>
        </w:rPr>
        <w:t>ticami zemesgrāmatas dati</w:t>
      </w:r>
      <w:r w:rsidRPr="008E7E0C" w:rsidR="008E7E0C">
        <w:rPr>
          <w:rFonts w:ascii="Times New Roman" w:hAnsi="Times New Roman" w:cs="Times New Roman"/>
          <w:sz w:val="24"/>
          <w:szCs w:val="24"/>
        </w:rPr>
        <w:t>;</w:t>
      </w:r>
    </w:p>
    <w:p w:rsidRPr="008E7E0C" w:rsidR="00161A98" w:rsidP="00322E75" w:rsidRDefault="00587571" w14:paraId="3F6CA422" w14:textId="084DDD05">
      <w:pPr>
        <w:pStyle w:val="Sarakstarindkopa"/>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EK</w:t>
      </w:r>
      <w:r w:rsidRPr="008E7E0C" w:rsidR="00161A98">
        <w:rPr>
          <w:rFonts w:ascii="Times New Roman" w:hAnsi="Times New Roman" w:cs="Times New Roman"/>
          <w:sz w:val="24"/>
          <w:szCs w:val="24"/>
        </w:rPr>
        <w:t xml:space="preserve"> ierosinātais zemesgrāmatu starpsavienojuma (LRI) projekts ir Eiropas </w:t>
      </w:r>
      <w:r w:rsidR="002E0B11">
        <w:rPr>
          <w:rFonts w:ascii="Times New Roman" w:hAnsi="Times New Roman" w:cs="Times New Roman"/>
          <w:sz w:val="24"/>
          <w:szCs w:val="24"/>
        </w:rPr>
        <w:t xml:space="preserve">Savienības </w:t>
      </w:r>
      <w:r w:rsidRPr="008E7E0C" w:rsidR="00161A98">
        <w:rPr>
          <w:rFonts w:ascii="Times New Roman" w:hAnsi="Times New Roman" w:cs="Times New Roman"/>
          <w:sz w:val="24"/>
          <w:szCs w:val="24"/>
        </w:rPr>
        <w:t>iniciatīva</w:t>
      </w:r>
      <w:r w:rsidRPr="008E7E0C" w:rsidR="008E7E0C">
        <w:rPr>
          <w:rFonts w:ascii="Times New Roman" w:hAnsi="Times New Roman" w:cs="Times New Roman"/>
          <w:sz w:val="24"/>
          <w:szCs w:val="24"/>
        </w:rPr>
        <w:t>;</w:t>
      </w:r>
    </w:p>
    <w:p w:rsidRPr="008E7E0C" w:rsidR="00161A98" w:rsidP="00322E75" w:rsidRDefault="00161A98" w14:paraId="45E17269" w14:textId="3A139E93">
      <w:pPr>
        <w:pStyle w:val="Sarakstarindkopa"/>
        <w:numPr>
          <w:ilvl w:val="0"/>
          <w:numId w:val="16"/>
        </w:numPr>
        <w:spacing w:after="0" w:line="240" w:lineRule="auto"/>
        <w:jc w:val="both"/>
        <w:rPr>
          <w:rFonts w:ascii="Times New Roman" w:hAnsi="Times New Roman" w:cs="Times New Roman"/>
          <w:sz w:val="24"/>
          <w:szCs w:val="24"/>
        </w:rPr>
      </w:pPr>
      <w:r w:rsidRPr="008E7E0C">
        <w:rPr>
          <w:rFonts w:ascii="Times New Roman" w:hAnsi="Times New Roman" w:cs="Times New Roman"/>
          <w:sz w:val="24"/>
          <w:szCs w:val="24"/>
        </w:rPr>
        <w:t>mazinās jautājumus par zemes reģistrācijas sistēmu neatbilstību, sarežģītību un daudzveidību starp dalībvalstīm</w:t>
      </w:r>
      <w:r w:rsidRPr="008E7E0C" w:rsidR="008E7E0C">
        <w:rPr>
          <w:rFonts w:ascii="Times New Roman" w:hAnsi="Times New Roman" w:cs="Times New Roman"/>
          <w:sz w:val="24"/>
          <w:szCs w:val="24"/>
        </w:rPr>
        <w:t>;</w:t>
      </w:r>
    </w:p>
    <w:p w:rsidRPr="008E7E0C" w:rsidR="00161A98" w:rsidP="00322E75" w:rsidRDefault="00161A98" w14:paraId="0EEAE337" w14:textId="193934CE">
      <w:pPr>
        <w:pStyle w:val="Sarakstarindkopa"/>
        <w:numPr>
          <w:ilvl w:val="0"/>
          <w:numId w:val="16"/>
        </w:numPr>
        <w:spacing w:after="0" w:line="240" w:lineRule="auto"/>
        <w:jc w:val="both"/>
        <w:rPr>
          <w:rFonts w:ascii="Times New Roman" w:hAnsi="Times New Roman" w:cs="Times New Roman"/>
          <w:sz w:val="24"/>
          <w:szCs w:val="24"/>
        </w:rPr>
      </w:pPr>
      <w:r w:rsidRPr="008E7E0C">
        <w:rPr>
          <w:rFonts w:ascii="Times New Roman" w:hAnsi="Times New Roman" w:cs="Times New Roman"/>
          <w:sz w:val="24"/>
          <w:szCs w:val="24"/>
        </w:rPr>
        <w:t xml:space="preserve">Eiropas </w:t>
      </w:r>
      <w:r w:rsidR="002E0B11">
        <w:rPr>
          <w:rFonts w:ascii="Times New Roman" w:hAnsi="Times New Roman" w:cs="Times New Roman"/>
          <w:sz w:val="24"/>
          <w:szCs w:val="24"/>
        </w:rPr>
        <w:t xml:space="preserve"> Savienības </w:t>
      </w:r>
      <w:r w:rsidRPr="008E7E0C">
        <w:rPr>
          <w:rFonts w:ascii="Times New Roman" w:hAnsi="Times New Roman" w:cs="Times New Roman"/>
          <w:sz w:val="24"/>
          <w:szCs w:val="24"/>
        </w:rPr>
        <w:t>pilsoņiem un juridiskajiem speciālistiem jāspēj veikt meklēšan</w:t>
      </w:r>
      <w:r w:rsidR="00360895">
        <w:rPr>
          <w:rFonts w:ascii="Times New Roman" w:hAnsi="Times New Roman" w:cs="Times New Roman"/>
          <w:sz w:val="24"/>
          <w:szCs w:val="24"/>
        </w:rPr>
        <w:t>a</w:t>
      </w:r>
      <w:r w:rsidRPr="008E7E0C">
        <w:rPr>
          <w:rFonts w:ascii="Times New Roman" w:hAnsi="Times New Roman" w:cs="Times New Roman"/>
          <w:sz w:val="24"/>
          <w:szCs w:val="24"/>
        </w:rPr>
        <w:t xml:space="preserve"> un iegūt īpašumu un ar to saistīto īpašumu</w:t>
      </w:r>
      <w:r w:rsidRPr="008E7E0C" w:rsidR="00EB345E">
        <w:rPr>
          <w:rFonts w:ascii="Times New Roman" w:hAnsi="Times New Roman" w:cs="Times New Roman"/>
          <w:sz w:val="24"/>
          <w:szCs w:val="24"/>
        </w:rPr>
        <w:t xml:space="preserve"> </w:t>
      </w:r>
      <w:r w:rsidRPr="008E7E0C">
        <w:rPr>
          <w:rFonts w:ascii="Times New Roman" w:hAnsi="Times New Roman" w:cs="Times New Roman"/>
          <w:sz w:val="24"/>
          <w:szCs w:val="24"/>
        </w:rPr>
        <w:t>informāciju, izmantojot vienu daudzvalodu saskarni.</w:t>
      </w:r>
    </w:p>
    <w:p w:rsidRPr="008E7E0C" w:rsidR="00EB345E" w:rsidP="00EB345E" w:rsidRDefault="00EB345E" w14:paraId="4A8E1062" w14:textId="77777777">
      <w:pPr>
        <w:spacing w:after="0" w:line="240" w:lineRule="auto"/>
        <w:ind w:firstLine="720"/>
        <w:jc w:val="both"/>
        <w:rPr>
          <w:rFonts w:ascii="Times New Roman" w:hAnsi="Times New Roman" w:cs="Times New Roman"/>
          <w:sz w:val="24"/>
          <w:szCs w:val="24"/>
        </w:rPr>
      </w:pPr>
    </w:p>
    <w:p w:rsidRPr="008E7E0C" w:rsidR="00161A98" w:rsidP="00EB345E" w:rsidRDefault="00EB345E" w14:paraId="3541F80C" w14:textId="38FBC629">
      <w:pPr>
        <w:spacing w:after="0" w:line="240" w:lineRule="auto"/>
        <w:ind w:firstLine="720"/>
        <w:jc w:val="both"/>
        <w:rPr>
          <w:rFonts w:ascii="Times New Roman" w:hAnsi="Times New Roman" w:cs="Times New Roman"/>
          <w:sz w:val="24"/>
          <w:szCs w:val="24"/>
        </w:rPr>
      </w:pPr>
      <w:r w:rsidRPr="008E7E0C">
        <w:rPr>
          <w:rFonts w:ascii="Times New Roman" w:hAnsi="Times New Roman" w:cs="Times New Roman"/>
          <w:sz w:val="24"/>
          <w:szCs w:val="24"/>
        </w:rPr>
        <w:t xml:space="preserve">Šobrīd ar </w:t>
      </w:r>
      <w:r w:rsidRPr="00156F64" w:rsidR="00394109">
        <w:rPr>
          <w:rFonts w:ascii="Times New Roman" w:hAnsi="Times New Roman" w:cs="Times New Roman"/>
          <w:sz w:val="24"/>
          <w:szCs w:val="24"/>
        </w:rPr>
        <w:t xml:space="preserve">starpsavienojumu platformu portālā </w:t>
      </w:r>
      <w:hyperlink w:history="1" r:id="rId12">
        <w:r w:rsidRPr="00156F64" w:rsidR="00394109">
          <w:rPr>
            <w:rStyle w:val="Hipersaite"/>
            <w:rFonts w:ascii="Times New Roman" w:hAnsi="Times New Roman" w:cs="Times New Roman"/>
            <w:sz w:val="24"/>
            <w:szCs w:val="24"/>
          </w:rPr>
          <w:t>https://e-justice.europa.eu</w:t>
        </w:r>
      </w:hyperlink>
      <w:r w:rsidR="00394109">
        <w:rPr>
          <w:rStyle w:val="Hipersaite"/>
        </w:rPr>
        <w:t xml:space="preserve"> </w:t>
      </w:r>
      <w:r w:rsidRPr="008E7E0C" w:rsidR="00161A98">
        <w:rPr>
          <w:rFonts w:ascii="Times New Roman" w:hAnsi="Times New Roman" w:cs="Times New Roman"/>
          <w:sz w:val="24"/>
          <w:szCs w:val="24"/>
        </w:rPr>
        <w:t xml:space="preserve">ir savienota tikai Austrija un Igaunija. </w:t>
      </w:r>
      <w:r w:rsidRPr="008E7E0C">
        <w:rPr>
          <w:rFonts w:ascii="Times New Roman" w:hAnsi="Times New Roman" w:cs="Times New Roman"/>
          <w:sz w:val="24"/>
          <w:szCs w:val="24"/>
        </w:rPr>
        <w:t>Šajā projektā saskarni papildinās jaunie projekt</w:t>
      </w:r>
      <w:r w:rsidR="00360895">
        <w:rPr>
          <w:rFonts w:ascii="Times New Roman" w:hAnsi="Times New Roman" w:cs="Times New Roman"/>
          <w:sz w:val="24"/>
          <w:szCs w:val="24"/>
        </w:rPr>
        <w:t>a</w:t>
      </w:r>
      <w:r w:rsidRPr="008E7E0C">
        <w:rPr>
          <w:rFonts w:ascii="Times New Roman" w:hAnsi="Times New Roman" w:cs="Times New Roman"/>
          <w:sz w:val="24"/>
          <w:szCs w:val="24"/>
        </w:rPr>
        <w:t xml:space="preserve"> partneri.</w:t>
      </w:r>
    </w:p>
    <w:p w:rsidRPr="005C5B9A" w:rsidR="00EB345E" w:rsidP="00EB345E" w:rsidRDefault="00EB345E" w14:paraId="7738F42C" w14:textId="5EFC4062">
      <w:pPr>
        <w:spacing w:after="0" w:line="240" w:lineRule="auto"/>
        <w:ind w:firstLine="720"/>
        <w:jc w:val="both"/>
        <w:rPr>
          <w:rFonts w:ascii="Times New Roman" w:hAnsi="Times New Roman" w:cs="Times New Roman"/>
          <w:sz w:val="24"/>
          <w:szCs w:val="24"/>
          <w:highlight w:val="yellow"/>
        </w:rPr>
      </w:pPr>
    </w:p>
    <w:p w:rsidRPr="00696564" w:rsidR="009B2F5A" w:rsidP="009B2F5A" w:rsidRDefault="009B2F5A" w14:paraId="1BB2DB8B" w14:textId="71DEF38E">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Kopējais TA attiecināmais LR</w:t>
      </w:r>
      <w:r w:rsidR="009C688F">
        <w:rPr>
          <w:rFonts w:ascii="Times New Roman" w:hAnsi="Times New Roman" w:cs="Times New Roman"/>
          <w:sz w:val="24"/>
          <w:szCs w:val="24"/>
        </w:rPr>
        <w:t>I</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II projekta budžets ir 144</w:t>
      </w:r>
      <w:r w:rsidRPr="00696564" w:rsidR="009B2A1C">
        <w:rPr>
          <w:rFonts w:ascii="Times New Roman" w:hAnsi="Times New Roman" w:cs="Times New Roman"/>
          <w:sz w:val="24"/>
          <w:szCs w:val="24"/>
        </w:rPr>
        <w:t> </w:t>
      </w:r>
      <w:r w:rsidRPr="00696564">
        <w:rPr>
          <w:rFonts w:ascii="Times New Roman" w:hAnsi="Times New Roman" w:cs="Times New Roman"/>
          <w:sz w:val="24"/>
          <w:szCs w:val="24"/>
        </w:rPr>
        <w:t>859</w:t>
      </w:r>
      <w:r w:rsidRPr="00696564">
        <w:rPr>
          <w:rFonts w:ascii="Times New Roman" w:hAnsi="Times New Roman" w:cs="Times New Roman"/>
          <w:bCs/>
          <w:sz w:val="24"/>
          <w:szCs w:val="24"/>
        </w:rPr>
        <w:t> </w:t>
      </w:r>
      <w:r w:rsidRPr="00696564">
        <w:rPr>
          <w:rFonts w:ascii="Times New Roman" w:hAnsi="Times New Roman" w:cs="Times New Roman"/>
          <w:sz w:val="24"/>
          <w:szCs w:val="24"/>
        </w:rPr>
        <w:t>EUR, no tā ES finansējums veido 90 % jeb 130</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373 EUR, bet nepieciešamais nacionālais līdzfinansējums ir 10 % jeb 14</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 xml:space="preserve">486 EUR. </w:t>
      </w:r>
    </w:p>
    <w:p w:rsidRPr="00696564" w:rsidR="009B2F5A" w:rsidP="009B2F5A" w:rsidRDefault="009B2F5A" w14:paraId="379D146D" w14:textId="12D9FFB9">
      <w:pPr>
        <w:spacing w:after="0" w:line="240" w:lineRule="auto"/>
        <w:ind w:firstLine="720"/>
        <w:jc w:val="both"/>
        <w:rPr>
          <w:rFonts w:ascii="Times New Roman" w:hAnsi="Times New Roman" w:eastAsia="Times New Roman" w:cs="Times New Roman"/>
          <w:sz w:val="24"/>
          <w:szCs w:val="24"/>
          <w:lang w:eastAsia="lv-LV"/>
        </w:rPr>
      </w:pPr>
      <w:r w:rsidRPr="00696564">
        <w:rPr>
          <w:rFonts w:ascii="Times New Roman" w:hAnsi="Times New Roman" w:eastAsia="Times New Roman" w:cs="Times New Roman"/>
          <w:sz w:val="24"/>
          <w:szCs w:val="24"/>
          <w:lang w:eastAsia="lv-LV"/>
        </w:rPr>
        <w:t>Saskaņā ar LR</w:t>
      </w:r>
      <w:r w:rsidR="009C688F">
        <w:rPr>
          <w:rFonts w:ascii="Times New Roman" w:hAnsi="Times New Roman" w:eastAsia="Times New Roman" w:cs="Times New Roman"/>
          <w:sz w:val="24"/>
          <w:szCs w:val="24"/>
          <w:lang w:eastAsia="lv-LV"/>
        </w:rPr>
        <w:t>I</w:t>
      </w:r>
      <w:r w:rsidRPr="00696564" w:rsidR="00360895">
        <w:rPr>
          <w:rFonts w:ascii="Times New Roman" w:hAnsi="Times New Roman" w:eastAsia="Times New Roman" w:cs="Times New Roman"/>
          <w:sz w:val="24"/>
          <w:szCs w:val="24"/>
          <w:lang w:eastAsia="lv-LV"/>
        </w:rPr>
        <w:t> </w:t>
      </w:r>
      <w:r w:rsidRPr="00696564">
        <w:rPr>
          <w:rFonts w:ascii="Times New Roman" w:hAnsi="Times New Roman" w:eastAsia="Times New Roman" w:cs="Times New Roman"/>
          <w:sz w:val="24"/>
          <w:szCs w:val="24"/>
          <w:lang w:eastAsia="lv-LV"/>
        </w:rPr>
        <w:t xml:space="preserve">II projekta nosacījumiem EK mēneša laikā pēc projekta līguma parakstīšanas pārskaitīs </w:t>
      </w:r>
      <w:r w:rsidRPr="00772321" w:rsidR="00772321">
        <w:rPr>
          <w:rFonts w:ascii="Times New Roman" w:hAnsi="Times New Roman" w:eastAsia="Times New Roman" w:cs="Times New Roman"/>
          <w:sz w:val="24"/>
          <w:szCs w:val="24"/>
          <w:lang w:eastAsia="lv-LV"/>
        </w:rPr>
        <w:t xml:space="preserve">vadošajam partnerim </w:t>
      </w:r>
      <w:r w:rsidR="00772321">
        <w:rPr>
          <w:rFonts w:ascii="Times New Roman" w:hAnsi="Times New Roman" w:eastAsia="Times New Roman" w:cs="Times New Roman"/>
          <w:sz w:val="24"/>
          <w:szCs w:val="24"/>
          <w:lang w:eastAsia="lv-LV"/>
        </w:rPr>
        <w:t>avansa maksājumu, savukārt</w:t>
      </w:r>
      <w:r w:rsidRPr="00772321" w:rsidR="00772321">
        <w:rPr>
          <w:rFonts w:ascii="Times New Roman" w:hAnsi="Times New Roman" w:eastAsia="Times New Roman" w:cs="Times New Roman"/>
          <w:sz w:val="24"/>
          <w:szCs w:val="24"/>
          <w:lang w:eastAsia="lv-LV"/>
        </w:rPr>
        <w:t xml:space="preserve"> vadoša</w:t>
      </w:r>
      <w:r w:rsidR="00772321">
        <w:rPr>
          <w:rFonts w:ascii="Times New Roman" w:hAnsi="Times New Roman" w:eastAsia="Times New Roman" w:cs="Times New Roman"/>
          <w:sz w:val="24"/>
          <w:szCs w:val="24"/>
          <w:lang w:eastAsia="lv-LV"/>
        </w:rPr>
        <w:t>is</w:t>
      </w:r>
      <w:r w:rsidRPr="00772321" w:rsidR="00772321">
        <w:rPr>
          <w:rFonts w:ascii="Times New Roman" w:hAnsi="Times New Roman" w:eastAsia="Times New Roman" w:cs="Times New Roman"/>
          <w:sz w:val="24"/>
          <w:szCs w:val="24"/>
          <w:lang w:eastAsia="lv-LV"/>
        </w:rPr>
        <w:t xml:space="preserve"> partneri</w:t>
      </w:r>
      <w:r w:rsidR="00772321">
        <w:rPr>
          <w:rFonts w:ascii="Times New Roman" w:hAnsi="Times New Roman" w:eastAsia="Times New Roman" w:cs="Times New Roman"/>
          <w:sz w:val="24"/>
          <w:szCs w:val="24"/>
          <w:lang w:eastAsia="lv-LV"/>
        </w:rPr>
        <w:t xml:space="preserve">s pārskaitīs </w:t>
      </w:r>
      <w:r w:rsidRPr="00696564">
        <w:rPr>
          <w:rFonts w:ascii="Times New Roman" w:hAnsi="Times New Roman" w:eastAsia="Times New Roman" w:cs="Times New Roman"/>
          <w:sz w:val="24"/>
          <w:szCs w:val="24"/>
          <w:lang w:eastAsia="lv-LV"/>
        </w:rPr>
        <w:t>TA priekšfinansējumu 65 % apmērā jeb 84</w:t>
      </w:r>
      <w:r w:rsidRPr="00696564" w:rsidR="00360895">
        <w:rPr>
          <w:rFonts w:ascii="Times New Roman" w:hAnsi="Times New Roman" w:eastAsia="Times New Roman" w:cs="Times New Roman"/>
          <w:sz w:val="24"/>
          <w:szCs w:val="24"/>
          <w:lang w:eastAsia="lv-LV"/>
        </w:rPr>
        <w:t> </w:t>
      </w:r>
      <w:r w:rsidRPr="00696564">
        <w:rPr>
          <w:rFonts w:ascii="Times New Roman" w:hAnsi="Times New Roman" w:eastAsia="Times New Roman" w:cs="Times New Roman"/>
          <w:sz w:val="24"/>
          <w:szCs w:val="24"/>
          <w:lang w:eastAsia="lv-LV"/>
        </w:rPr>
        <w:t>742 EUR no ES finansējuma, savukārt 35 % jeb 45</w:t>
      </w:r>
      <w:r w:rsidRPr="00696564" w:rsidR="00360895">
        <w:rPr>
          <w:rFonts w:ascii="Times New Roman" w:hAnsi="Times New Roman" w:eastAsia="Times New Roman" w:cs="Times New Roman"/>
          <w:sz w:val="24"/>
          <w:szCs w:val="24"/>
          <w:lang w:eastAsia="lv-LV"/>
        </w:rPr>
        <w:t> </w:t>
      </w:r>
      <w:r w:rsidRPr="00696564">
        <w:rPr>
          <w:rFonts w:ascii="Times New Roman" w:hAnsi="Times New Roman" w:eastAsia="Times New Roman" w:cs="Times New Roman"/>
          <w:sz w:val="24"/>
          <w:szCs w:val="24"/>
          <w:lang w:eastAsia="lv-LV"/>
        </w:rPr>
        <w:t>631 EUR tiks pārskaitīti pēc projekta gala atskaites apstiprināšanas.</w:t>
      </w:r>
    </w:p>
    <w:p w:rsidRPr="00696564" w:rsidR="009B2F5A" w:rsidP="009B2F5A" w:rsidRDefault="009B2F5A" w14:paraId="20256487" w14:textId="57136160">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 xml:space="preserve">Saskaņā ar EK finansēto projektu īstenošanas nosacījumiem, PVN ir neattiecināmās izmaksas. Līdz ar to </w:t>
      </w:r>
      <w:r w:rsidRPr="00696564" w:rsidR="00940752">
        <w:rPr>
          <w:rFonts w:ascii="Times New Roman" w:hAnsi="Times New Roman" w:cs="Times New Roman"/>
          <w:sz w:val="24"/>
          <w:szCs w:val="24"/>
        </w:rPr>
        <w:t>LR</w:t>
      </w:r>
      <w:r w:rsidR="009C688F">
        <w:rPr>
          <w:rFonts w:ascii="Times New Roman" w:hAnsi="Times New Roman" w:cs="Times New Roman"/>
          <w:sz w:val="24"/>
          <w:szCs w:val="24"/>
        </w:rPr>
        <w:t>I</w:t>
      </w:r>
      <w:r w:rsidRPr="00696564" w:rsidR="00940752">
        <w:rPr>
          <w:rFonts w:ascii="Times New Roman" w:hAnsi="Times New Roman" w:cs="Times New Roman"/>
          <w:sz w:val="24"/>
          <w:szCs w:val="24"/>
        </w:rPr>
        <w:t xml:space="preserve"> II </w:t>
      </w:r>
      <w:r w:rsidRPr="00696564">
        <w:rPr>
          <w:rFonts w:ascii="Times New Roman" w:hAnsi="Times New Roman" w:cs="Times New Roman"/>
          <w:sz w:val="24"/>
          <w:szCs w:val="24"/>
        </w:rPr>
        <w:t>projekta īstenošanas laikā pasākumiem, kuriem saskaņā ar Latvijas normatīvo regulējumu ir jāpiemēro PVN likme, papildus ir nepieciešams finansējums neattiecināmo izmaksu (PVN) segšanai 17</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 xml:space="preserve">951 EUR apmērā. </w:t>
      </w:r>
    </w:p>
    <w:p w:rsidRPr="00696564" w:rsidR="009B2F5A" w:rsidP="009B2F5A" w:rsidRDefault="009B2F5A" w14:paraId="558E5B18" w14:textId="3268F399">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Līdz ar to kopējais plānotais TA budžets, t.sk. neattiecināmo izmaksu segšanai, LR</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II projekta ietvaros ir 162 810</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EUR.</w:t>
      </w:r>
    </w:p>
    <w:p w:rsidRPr="00696564" w:rsidR="009B2F5A" w:rsidP="00450A5E" w:rsidRDefault="009B2F5A" w14:paraId="51498F92" w14:textId="1D8B8F85">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TA izdevumus veido 43</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800 EUR personāla izmaksas, 15</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582 EUR komandējumu izdevumi (ceļš, viesnīca, dienas nauda), 70</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000 EUR pakalpojuma līgumu izmaksas (Valsts vienotās datorizētās zemesgrāmatas sistēmas pilnveide), neparedzētie izdevumi 9</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477</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EUR, citas izmaksas 6</w:t>
      </w:r>
      <w:r w:rsidRPr="00696564" w:rsidR="00360895">
        <w:rPr>
          <w:rFonts w:ascii="Times New Roman" w:hAnsi="Times New Roman" w:cs="Times New Roman"/>
          <w:sz w:val="24"/>
          <w:szCs w:val="24"/>
        </w:rPr>
        <w:t> </w:t>
      </w:r>
      <w:r w:rsidRPr="00696564">
        <w:rPr>
          <w:rFonts w:ascii="Times New Roman" w:hAnsi="Times New Roman" w:cs="Times New Roman"/>
          <w:sz w:val="24"/>
          <w:szCs w:val="24"/>
        </w:rPr>
        <w:t xml:space="preserve">000 EUR, tajā skaitā, darba grupas semināra organizēšanai Rīgā nepieciešamās izmaksas, kā arī publicitātes nodrošināšanas izmaksas </w:t>
      </w:r>
      <w:r w:rsidRPr="00696564" w:rsidR="00360895">
        <w:rPr>
          <w:rFonts w:ascii="Times New Roman" w:hAnsi="Times New Roman" w:cs="Times New Roman"/>
          <w:sz w:val="24"/>
          <w:szCs w:val="24"/>
        </w:rPr>
        <w:t>un izmaksas</w:t>
      </w:r>
      <w:r w:rsidRPr="00696564">
        <w:rPr>
          <w:rFonts w:ascii="Times New Roman" w:hAnsi="Times New Roman" w:cs="Times New Roman"/>
          <w:sz w:val="24"/>
          <w:szCs w:val="24"/>
        </w:rPr>
        <w:t xml:space="preserve"> 17 951 EUR </w:t>
      </w:r>
      <w:r w:rsidRPr="00696564" w:rsidR="00360895">
        <w:rPr>
          <w:rFonts w:ascii="Times New Roman" w:hAnsi="Times New Roman" w:cs="Times New Roman"/>
          <w:sz w:val="24"/>
          <w:szCs w:val="24"/>
        </w:rPr>
        <w:t xml:space="preserve">apmērā </w:t>
      </w:r>
      <w:r w:rsidRPr="00696564">
        <w:rPr>
          <w:rFonts w:ascii="Times New Roman" w:hAnsi="Times New Roman" w:cs="Times New Roman"/>
          <w:sz w:val="24"/>
          <w:szCs w:val="24"/>
        </w:rPr>
        <w:t>neattiecināmo izmaksu (PVN) segšanai par preču un pakalpojumu iegādi LR</w:t>
      </w:r>
      <w:r w:rsidR="009C688F">
        <w:rPr>
          <w:rFonts w:ascii="Times New Roman" w:hAnsi="Times New Roman" w:cs="Times New Roman"/>
          <w:sz w:val="24"/>
          <w:szCs w:val="24"/>
        </w:rPr>
        <w:t>I</w:t>
      </w:r>
      <w:r w:rsidRPr="00696564">
        <w:rPr>
          <w:rFonts w:ascii="Times New Roman" w:hAnsi="Times New Roman" w:cs="Times New Roman"/>
          <w:sz w:val="24"/>
          <w:szCs w:val="24"/>
        </w:rPr>
        <w:t xml:space="preserve"> II projekta rezultātu ieviešanai.</w:t>
      </w:r>
    </w:p>
    <w:p w:rsidRPr="00696564" w:rsidR="009B2F5A" w:rsidP="00450A5E" w:rsidRDefault="009B2F5A" w14:paraId="0E15A471" w14:textId="77777777">
      <w:pPr>
        <w:spacing w:after="0" w:line="240" w:lineRule="auto"/>
        <w:ind w:firstLine="720"/>
        <w:jc w:val="both"/>
        <w:rPr>
          <w:rFonts w:ascii="Times New Roman" w:hAnsi="Times New Roman" w:eastAsia="Times New Roman" w:cs="Times New Roman"/>
          <w:sz w:val="24"/>
          <w:szCs w:val="24"/>
          <w:lang w:eastAsia="lv-LV"/>
        </w:rPr>
      </w:pPr>
      <w:r w:rsidRPr="00696564">
        <w:rPr>
          <w:rFonts w:ascii="Times New Roman" w:hAnsi="Times New Roman" w:eastAsia="Times New Roman" w:cs="Times New Roman"/>
          <w:sz w:val="24"/>
          <w:szCs w:val="24"/>
          <w:lang w:eastAsia="lv-LV"/>
        </w:rPr>
        <w:t>TA nepieciešamais finansējums (EUR) pa finansējuma veidiem un sadalījumā pa gadiem:</w:t>
      </w:r>
    </w:p>
    <w:tbl>
      <w:tblPr>
        <w:tblW w:w="8964" w:type="dxa"/>
        <w:tblInd w:w="108" w:type="dxa"/>
        <w:tblLayout w:type="fixed"/>
        <w:tblCellMar>
          <w:left w:w="0" w:type="dxa"/>
          <w:right w:w="57" w:type="dxa"/>
        </w:tblCellMar>
        <w:tblLook w:val="04A0" w:firstRow="1" w:lastRow="0" w:firstColumn="1" w:lastColumn="0" w:noHBand="0" w:noVBand="1"/>
      </w:tblPr>
      <w:tblGrid>
        <w:gridCol w:w="5137"/>
        <w:gridCol w:w="992"/>
        <w:gridCol w:w="851"/>
        <w:gridCol w:w="850"/>
        <w:gridCol w:w="1134"/>
      </w:tblGrid>
      <w:tr w:rsidRPr="00696564" w:rsidR="00AE3F0F" w:rsidTr="005C318F" w14:paraId="40C99AEC" w14:textId="77777777">
        <w:trPr>
          <w:trHeight w:val="333"/>
        </w:trPr>
        <w:tc>
          <w:tcPr>
            <w:tcW w:w="5137" w:type="dxa"/>
            <w:tcBorders>
              <w:top w:val="nil"/>
              <w:left w:val="nil"/>
              <w:bottom w:val="single" w:color="auto" w:sz="4" w:space="0"/>
              <w:right w:val="single" w:color="auto" w:sz="8" w:space="0"/>
            </w:tcBorders>
            <w:tcMar>
              <w:top w:w="0" w:type="dxa"/>
              <w:left w:w="108" w:type="dxa"/>
              <w:bottom w:w="0" w:type="dxa"/>
              <w:right w:w="108" w:type="dxa"/>
            </w:tcMar>
            <w:hideMark/>
          </w:tcPr>
          <w:p w:rsidRPr="00696564" w:rsidR="00AE3F0F" w:rsidP="00BA21B0" w:rsidRDefault="00AE3F0F" w14:paraId="6F5232B4" w14:textId="77777777">
            <w:pPr>
              <w:spacing w:before="100" w:beforeAutospacing="1" w:after="0" w:line="240" w:lineRule="auto"/>
              <w:jc w:val="both"/>
              <w:rPr>
                <w:rFonts w:ascii="Times New Roman" w:hAnsi="Times New Roman" w:cs="Times New Roman"/>
                <w:b/>
                <w:sz w:val="24"/>
                <w:szCs w:val="24"/>
              </w:rPr>
            </w:pPr>
            <w:r w:rsidRPr="00696564">
              <w:rPr>
                <w:rFonts w:ascii="Times New Roman" w:hAnsi="Times New Roman" w:cs="Times New Roman"/>
                <w:b/>
                <w:sz w:val="24"/>
                <w:szCs w:val="24"/>
              </w:rPr>
              <w:t> </w:t>
            </w:r>
          </w:p>
        </w:tc>
        <w:tc>
          <w:tcPr>
            <w:tcW w:w="992" w:type="dxa"/>
            <w:tcBorders>
              <w:top w:val="single" w:color="auto" w:sz="8" w:space="0"/>
              <w:left w:val="nil"/>
              <w:bottom w:val="single" w:color="auto" w:sz="4" w:space="0"/>
              <w:right w:val="single" w:color="auto" w:sz="4" w:space="0"/>
            </w:tcBorders>
            <w:tcMar>
              <w:top w:w="0" w:type="dxa"/>
              <w:left w:w="108" w:type="dxa"/>
              <w:bottom w:w="0" w:type="dxa"/>
              <w:right w:w="108" w:type="dxa"/>
            </w:tcMar>
            <w:hideMark/>
          </w:tcPr>
          <w:p w:rsidRPr="00696564" w:rsidR="00AE3F0F" w:rsidP="00BA21B0" w:rsidRDefault="00AE3F0F" w14:paraId="4954EF85" w14:textId="77777777">
            <w:pPr>
              <w:spacing w:before="100" w:beforeAutospacing="1" w:after="0" w:line="240" w:lineRule="auto"/>
              <w:jc w:val="center"/>
              <w:rPr>
                <w:rFonts w:ascii="Times New Roman" w:hAnsi="Times New Roman" w:cs="Times New Roman"/>
                <w:b/>
                <w:sz w:val="24"/>
                <w:szCs w:val="24"/>
              </w:rPr>
            </w:pPr>
            <w:r w:rsidRPr="00696564">
              <w:rPr>
                <w:rFonts w:ascii="Times New Roman" w:hAnsi="Times New Roman" w:cs="Times New Roman"/>
                <w:b/>
                <w:bCs/>
                <w:sz w:val="24"/>
                <w:szCs w:val="24"/>
              </w:rPr>
              <w:t>2020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696564" w:rsidR="00AE3F0F" w:rsidP="00BA21B0" w:rsidRDefault="00AE3F0F" w14:paraId="5A75A9C4" w14:textId="77777777">
            <w:pPr>
              <w:spacing w:before="100" w:beforeAutospacing="1" w:after="0" w:line="240" w:lineRule="auto"/>
              <w:jc w:val="center"/>
              <w:rPr>
                <w:rFonts w:ascii="Times New Roman" w:hAnsi="Times New Roman" w:cs="Times New Roman"/>
                <w:b/>
                <w:bCs/>
                <w:sz w:val="24"/>
                <w:szCs w:val="24"/>
              </w:rPr>
            </w:pPr>
            <w:r w:rsidRPr="00696564">
              <w:rPr>
                <w:rFonts w:ascii="Times New Roman" w:hAnsi="Times New Roman" w:cs="Times New Roman"/>
                <w:b/>
                <w:bCs/>
                <w:sz w:val="24"/>
                <w:szCs w:val="24"/>
              </w:rPr>
              <w:t>2021</w:t>
            </w:r>
          </w:p>
        </w:tc>
        <w:tc>
          <w:tcPr>
            <w:tcW w:w="850" w:type="dxa"/>
            <w:tcBorders>
              <w:top w:val="single" w:color="auto" w:sz="8" w:space="0"/>
              <w:left w:val="single" w:color="auto" w:sz="4" w:space="0"/>
              <w:bottom w:val="single" w:color="auto" w:sz="4" w:space="0"/>
              <w:right w:val="single" w:color="auto" w:sz="4" w:space="0"/>
            </w:tcBorders>
          </w:tcPr>
          <w:p w:rsidRPr="00696564" w:rsidR="00AE3F0F" w:rsidP="00BA21B0" w:rsidRDefault="00AE3F0F" w14:paraId="6EFEA5FB" w14:textId="77777777">
            <w:pPr>
              <w:spacing w:before="100" w:beforeAutospacing="1" w:after="0" w:line="240" w:lineRule="auto"/>
              <w:jc w:val="center"/>
              <w:rPr>
                <w:rFonts w:ascii="Times New Roman" w:hAnsi="Times New Roman" w:cs="Times New Roman"/>
                <w:b/>
                <w:bCs/>
                <w:sz w:val="24"/>
                <w:szCs w:val="24"/>
              </w:rPr>
            </w:pPr>
            <w:r w:rsidRPr="00696564">
              <w:rPr>
                <w:rFonts w:ascii="Times New Roman" w:hAnsi="Times New Roman" w:cs="Times New Roman"/>
                <w:b/>
                <w:bCs/>
                <w:sz w:val="24"/>
                <w:szCs w:val="24"/>
              </w:rPr>
              <w:t>2022</w:t>
            </w:r>
          </w:p>
        </w:tc>
        <w:tc>
          <w:tcPr>
            <w:tcW w:w="1134"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hideMark/>
          </w:tcPr>
          <w:p w:rsidRPr="00696564" w:rsidR="00AE3F0F" w:rsidP="00BA21B0" w:rsidRDefault="00AE3F0F" w14:paraId="3A328FF6" w14:textId="77777777">
            <w:pPr>
              <w:spacing w:before="100" w:beforeAutospacing="1" w:after="0" w:line="240" w:lineRule="auto"/>
              <w:jc w:val="center"/>
              <w:rPr>
                <w:rFonts w:ascii="Times New Roman" w:hAnsi="Times New Roman" w:cs="Times New Roman"/>
                <w:b/>
                <w:sz w:val="24"/>
                <w:szCs w:val="24"/>
              </w:rPr>
            </w:pPr>
            <w:r w:rsidRPr="00696564">
              <w:rPr>
                <w:rFonts w:ascii="Times New Roman" w:hAnsi="Times New Roman" w:cs="Times New Roman"/>
                <w:b/>
                <w:bCs/>
                <w:sz w:val="24"/>
                <w:szCs w:val="24"/>
              </w:rPr>
              <w:t>KOPĀ</w:t>
            </w:r>
          </w:p>
        </w:tc>
      </w:tr>
      <w:tr w:rsidRPr="00696564" w:rsidR="00AE3F0F" w:rsidTr="005C318F" w14:paraId="2D03B271" w14:textId="77777777">
        <w:trPr>
          <w:trHeight w:val="333"/>
        </w:trPr>
        <w:tc>
          <w:tcPr>
            <w:tcW w:w="51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696564" w:rsidR="00AE3F0F" w:rsidP="00BA21B0" w:rsidRDefault="00AE3F0F" w14:paraId="11491F50" w14:textId="77777777">
            <w:pPr>
              <w:spacing w:before="100" w:beforeAutospacing="1" w:after="0" w:line="240" w:lineRule="auto"/>
              <w:jc w:val="right"/>
              <w:rPr>
                <w:rFonts w:ascii="Times New Roman" w:hAnsi="Times New Roman" w:cs="Times New Roman"/>
                <w:b/>
                <w:sz w:val="24"/>
                <w:szCs w:val="24"/>
              </w:rPr>
            </w:pPr>
            <w:r w:rsidRPr="00696564">
              <w:rPr>
                <w:rFonts w:ascii="Times New Roman" w:hAnsi="Times New Roman" w:cs="Times New Roman"/>
                <w:b/>
                <w:bCs/>
                <w:sz w:val="24"/>
                <w:szCs w:val="24"/>
              </w:rPr>
              <w:t>Avansa/noslēguma maksājums</w:t>
            </w:r>
          </w:p>
        </w:tc>
        <w:tc>
          <w:tcPr>
            <w:tcW w:w="99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rsidRPr="00696564" w:rsidR="00AE3F0F" w:rsidP="00BA21B0" w:rsidRDefault="00AE3F0F" w14:paraId="4BF60D45"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84 742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696564" w:rsidR="00AE3F0F" w:rsidP="00BA21B0" w:rsidRDefault="00AE3F0F" w14:paraId="3967F7B1" w14:textId="77777777">
            <w:pPr>
              <w:spacing w:before="100" w:beforeAutospacing="1" w:after="0" w:line="240" w:lineRule="auto"/>
              <w:jc w:val="right"/>
              <w:rPr>
                <w:rFonts w:ascii="Times New Roman" w:hAnsi="Times New Roman" w:cs="Times New Roman"/>
                <w:bCs/>
                <w:sz w:val="24"/>
                <w:szCs w:val="24"/>
              </w:rPr>
            </w:pPr>
            <w:r w:rsidRPr="00696564">
              <w:rPr>
                <w:rFonts w:ascii="Times New Roman" w:hAnsi="Times New Roman" w:cs="Times New Roman"/>
                <w:bCs/>
                <w:sz w:val="24"/>
                <w:szCs w:val="24"/>
              </w:rPr>
              <w:t>0</w:t>
            </w:r>
          </w:p>
        </w:tc>
        <w:tc>
          <w:tcPr>
            <w:tcW w:w="850" w:type="dxa"/>
            <w:tcBorders>
              <w:top w:val="single" w:color="auto" w:sz="4" w:space="0"/>
              <w:left w:val="single" w:color="auto" w:sz="4" w:space="0"/>
              <w:bottom w:val="single" w:color="auto" w:sz="4" w:space="0"/>
              <w:right w:val="single" w:color="auto" w:sz="4" w:space="0"/>
            </w:tcBorders>
            <w:vAlign w:val="center"/>
          </w:tcPr>
          <w:p w:rsidRPr="00696564" w:rsidR="00AE3F0F" w:rsidP="00BA21B0" w:rsidRDefault="00AE3F0F" w14:paraId="64962328" w14:textId="77777777">
            <w:pPr>
              <w:spacing w:before="100" w:beforeAutospacing="1" w:after="0" w:line="240" w:lineRule="auto"/>
              <w:jc w:val="right"/>
              <w:rPr>
                <w:rFonts w:ascii="Times New Roman" w:hAnsi="Times New Roman" w:cs="Times New Roman"/>
                <w:bCs/>
                <w:sz w:val="24"/>
                <w:szCs w:val="24"/>
              </w:rPr>
            </w:pPr>
            <w:r w:rsidRPr="00696564">
              <w:rPr>
                <w:rFonts w:ascii="Times New Roman" w:hAnsi="Times New Roman" w:cs="Times New Roman"/>
                <w:bCs/>
                <w:sz w:val="24"/>
                <w:szCs w:val="24"/>
              </w:rPr>
              <w:t>45 631</w:t>
            </w:r>
          </w:p>
        </w:tc>
        <w:tc>
          <w:tcPr>
            <w:tcW w:w="1134" w:type="dxa"/>
            <w:tcBorders>
              <w:top w:val="single" w:color="auto" w:sz="4" w:space="0"/>
              <w:left w:val="single" w:color="auto" w:sz="4" w:space="0"/>
              <w:bottom w:val="single" w:color="auto" w:sz="4" w:space="0"/>
              <w:right w:val="single" w:color="auto" w:sz="4" w:space="0"/>
            </w:tcBorders>
            <w:shd w:val="clear" w:color="auto" w:fill="F2F2F2"/>
            <w:tcMar>
              <w:top w:w="0" w:type="dxa"/>
              <w:left w:w="108" w:type="dxa"/>
              <w:bottom w:w="0" w:type="dxa"/>
              <w:right w:w="108" w:type="dxa"/>
            </w:tcMar>
            <w:vAlign w:val="center"/>
          </w:tcPr>
          <w:p w:rsidRPr="00696564" w:rsidR="00AE3F0F" w:rsidP="00BA21B0" w:rsidRDefault="00AE3F0F" w14:paraId="6ECF97E9" w14:textId="77777777">
            <w:pPr>
              <w:spacing w:before="100" w:beforeAutospacing="1" w:after="0" w:line="240" w:lineRule="auto"/>
              <w:jc w:val="right"/>
              <w:rPr>
                <w:rFonts w:ascii="Times New Roman" w:hAnsi="Times New Roman" w:cs="Times New Roman"/>
                <w:b/>
                <w:bCs/>
                <w:sz w:val="24"/>
                <w:szCs w:val="24"/>
              </w:rPr>
            </w:pPr>
            <w:r w:rsidRPr="00696564">
              <w:rPr>
                <w:rFonts w:ascii="Times New Roman" w:hAnsi="Times New Roman" w:cs="Times New Roman"/>
                <w:b/>
                <w:bCs/>
                <w:sz w:val="24"/>
                <w:szCs w:val="24"/>
              </w:rPr>
              <w:t>130 373</w:t>
            </w:r>
          </w:p>
        </w:tc>
      </w:tr>
      <w:tr w:rsidRPr="00696564" w:rsidR="00AE3F0F" w:rsidTr="005C318F" w14:paraId="66759A5F" w14:textId="77777777">
        <w:trPr>
          <w:trHeight w:val="232"/>
        </w:trPr>
        <w:tc>
          <w:tcPr>
            <w:tcW w:w="5137"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696564" w:rsidR="00AE3F0F" w:rsidP="00BA21B0" w:rsidRDefault="00AE3F0F" w14:paraId="01E16901" w14:textId="77777777">
            <w:pPr>
              <w:spacing w:before="100" w:beforeAutospacing="1" w:after="0" w:line="240" w:lineRule="auto"/>
              <w:jc w:val="right"/>
              <w:rPr>
                <w:rFonts w:ascii="Times New Roman" w:hAnsi="Times New Roman" w:cs="Times New Roman"/>
                <w:b/>
                <w:sz w:val="24"/>
                <w:szCs w:val="24"/>
              </w:rPr>
            </w:pPr>
            <w:r w:rsidRPr="00696564">
              <w:rPr>
                <w:rFonts w:ascii="Times New Roman" w:hAnsi="Times New Roman" w:cs="Times New Roman"/>
                <w:b/>
                <w:bCs/>
                <w:sz w:val="24"/>
                <w:szCs w:val="24"/>
              </w:rPr>
              <w:t>Attiecināmie izdevumi (EK līdzfinansējums) TA budžeta daļai</w:t>
            </w:r>
          </w:p>
        </w:tc>
        <w:tc>
          <w:tcPr>
            <w:tcW w:w="992" w:type="dxa"/>
            <w:tcBorders>
              <w:top w:val="single" w:color="auto" w:sz="4" w:space="0"/>
              <w:left w:val="nil"/>
              <w:bottom w:val="single" w:color="auto" w:sz="8" w:space="0"/>
              <w:right w:val="single" w:color="auto" w:sz="4" w:space="0"/>
            </w:tcBorders>
            <w:tcMar>
              <w:top w:w="0" w:type="dxa"/>
              <w:left w:w="108" w:type="dxa"/>
              <w:bottom w:w="0" w:type="dxa"/>
              <w:right w:w="108" w:type="dxa"/>
            </w:tcMar>
            <w:vAlign w:val="center"/>
          </w:tcPr>
          <w:p w:rsidRPr="00696564" w:rsidR="00AE3F0F" w:rsidP="00BA21B0" w:rsidRDefault="00AE3F0F" w14:paraId="11777C54"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41 883</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696564" w:rsidR="00AE3F0F" w:rsidP="00BA21B0" w:rsidRDefault="00AE3F0F" w14:paraId="2FE9564B" w14:textId="77777777">
            <w:pPr>
              <w:spacing w:before="100" w:beforeAutospacing="1" w:after="0" w:line="240" w:lineRule="auto"/>
              <w:jc w:val="right"/>
              <w:rPr>
                <w:rFonts w:ascii="Times New Roman" w:hAnsi="Times New Roman" w:cs="Times New Roman"/>
                <w:bCs/>
                <w:sz w:val="24"/>
                <w:szCs w:val="24"/>
              </w:rPr>
            </w:pPr>
            <w:r w:rsidRPr="00696564">
              <w:rPr>
                <w:rFonts w:ascii="Times New Roman" w:hAnsi="Times New Roman" w:cs="Times New Roman"/>
                <w:bCs/>
                <w:sz w:val="24"/>
                <w:szCs w:val="24"/>
              </w:rPr>
              <w:t>88 490</w:t>
            </w:r>
          </w:p>
        </w:tc>
        <w:tc>
          <w:tcPr>
            <w:tcW w:w="850" w:type="dxa"/>
            <w:tcBorders>
              <w:top w:val="single" w:color="auto" w:sz="4" w:space="0"/>
              <w:left w:val="single" w:color="auto" w:sz="4" w:space="0"/>
              <w:bottom w:val="single" w:color="auto" w:sz="8" w:space="0"/>
              <w:right w:val="single" w:color="auto" w:sz="4" w:space="0"/>
            </w:tcBorders>
            <w:shd w:val="clear" w:color="auto" w:fill="auto"/>
            <w:vAlign w:val="center"/>
          </w:tcPr>
          <w:p w:rsidRPr="00696564" w:rsidR="00AE3F0F" w:rsidP="00BA21B0" w:rsidRDefault="00AE3F0F" w14:paraId="25A0426E"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0</w:t>
            </w:r>
          </w:p>
        </w:tc>
        <w:tc>
          <w:tcPr>
            <w:tcW w:w="1134" w:type="dxa"/>
            <w:tcBorders>
              <w:top w:val="single" w:color="auto" w:sz="4"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696564" w:rsidR="00AE3F0F" w:rsidP="00BA21B0" w:rsidRDefault="00AE3F0F" w14:paraId="10213EDF" w14:textId="77777777">
            <w:pPr>
              <w:spacing w:before="100" w:beforeAutospacing="1" w:after="0" w:line="240" w:lineRule="auto"/>
              <w:jc w:val="right"/>
              <w:rPr>
                <w:rFonts w:ascii="Times New Roman" w:hAnsi="Times New Roman" w:cs="Times New Roman"/>
                <w:b/>
                <w:sz w:val="24"/>
                <w:szCs w:val="24"/>
              </w:rPr>
            </w:pPr>
            <w:r w:rsidRPr="00696564">
              <w:rPr>
                <w:rFonts w:ascii="Times New Roman" w:hAnsi="Times New Roman" w:cs="Times New Roman"/>
                <w:b/>
                <w:sz w:val="24"/>
                <w:szCs w:val="24"/>
              </w:rPr>
              <w:t>130 373</w:t>
            </w:r>
          </w:p>
        </w:tc>
      </w:tr>
      <w:tr w:rsidRPr="00573DCB" w:rsidR="00AE3F0F" w:rsidTr="005C318F" w14:paraId="3D950E31" w14:textId="77777777">
        <w:trPr>
          <w:trHeight w:val="445"/>
        </w:trPr>
        <w:tc>
          <w:tcPr>
            <w:tcW w:w="51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696564" w:rsidR="00AE3F0F" w:rsidP="00BA21B0" w:rsidRDefault="00AE3F0F" w14:paraId="48B0128A" w14:textId="77777777">
            <w:pPr>
              <w:spacing w:before="100" w:beforeAutospacing="1" w:after="0" w:line="240" w:lineRule="auto"/>
              <w:jc w:val="right"/>
              <w:rPr>
                <w:rFonts w:ascii="Times New Roman" w:hAnsi="Times New Roman" w:cs="Times New Roman"/>
                <w:b/>
                <w:sz w:val="24"/>
                <w:szCs w:val="24"/>
              </w:rPr>
            </w:pPr>
            <w:r w:rsidRPr="00696564">
              <w:rPr>
                <w:rFonts w:ascii="Times New Roman" w:hAnsi="Times New Roman" w:cs="Times New Roman"/>
                <w:b/>
                <w:bCs/>
                <w:sz w:val="24"/>
                <w:szCs w:val="24"/>
              </w:rPr>
              <w:t>Attiecināmie izdevumi (nacionālais līdzfinansējums)</w:t>
            </w:r>
          </w:p>
        </w:tc>
        <w:tc>
          <w:tcPr>
            <w:tcW w:w="992" w:type="dxa"/>
            <w:tcBorders>
              <w:top w:val="nil"/>
              <w:left w:val="nil"/>
              <w:bottom w:val="single" w:color="auto" w:sz="8" w:space="0"/>
              <w:right w:val="single" w:color="auto" w:sz="4" w:space="0"/>
            </w:tcBorders>
            <w:tcMar>
              <w:top w:w="0" w:type="dxa"/>
              <w:left w:w="108" w:type="dxa"/>
              <w:bottom w:w="0" w:type="dxa"/>
              <w:right w:w="108" w:type="dxa"/>
            </w:tcMar>
            <w:vAlign w:val="center"/>
          </w:tcPr>
          <w:p w:rsidRPr="00696564" w:rsidR="00AE3F0F" w:rsidP="00BA21B0" w:rsidRDefault="00AE3F0F" w14:paraId="70C3CEAA"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4 654</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696564" w:rsidR="00AE3F0F" w:rsidP="00BA21B0" w:rsidRDefault="00AE3F0F" w14:paraId="22DC50F0"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9 832</w:t>
            </w:r>
          </w:p>
        </w:tc>
        <w:tc>
          <w:tcPr>
            <w:tcW w:w="850" w:type="dxa"/>
            <w:tcBorders>
              <w:top w:val="nil"/>
              <w:left w:val="single" w:color="auto" w:sz="4" w:space="0"/>
              <w:bottom w:val="single" w:color="auto" w:sz="8" w:space="0"/>
              <w:right w:val="single" w:color="auto" w:sz="4" w:space="0"/>
            </w:tcBorders>
            <w:vAlign w:val="center"/>
          </w:tcPr>
          <w:p w:rsidRPr="00696564" w:rsidR="00AE3F0F" w:rsidP="00BA21B0" w:rsidRDefault="00AE3F0F" w14:paraId="7919C05B" w14:textId="77777777">
            <w:pPr>
              <w:spacing w:before="100" w:beforeAutospacing="1" w:after="0" w:line="240" w:lineRule="auto"/>
              <w:jc w:val="right"/>
              <w:rPr>
                <w:rFonts w:ascii="Times New Roman" w:hAnsi="Times New Roman" w:cs="Times New Roman"/>
                <w:sz w:val="24"/>
                <w:szCs w:val="24"/>
              </w:rPr>
            </w:pPr>
            <w:r w:rsidRPr="00696564">
              <w:rPr>
                <w:rFonts w:ascii="Times New Roman" w:hAnsi="Times New Roman" w:cs="Times New Roman"/>
                <w:sz w:val="24"/>
                <w:szCs w:val="24"/>
              </w:rPr>
              <w:t>0</w:t>
            </w:r>
          </w:p>
        </w:tc>
        <w:tc>
          <w:tcPr>
            <w:tcW w:w="1134"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BA21B0" w:rsidR="00AE3F0F" w:rsidP="00BA21B0" w:rsidRDefault="00AE3F0F" w14:paraId="6BF55399" w14:textId="77777777">
            <w:pPr>
              <w:spacing w:before="100" w:beforeAutospacing="1" w:after="0" w:line="240" w:lineRule="auto"/>
              <w:jc w:val="right"/>
              <w:rPr>
                <w:rFonts w:ascii="Times New Roman" w:hAnsi="Times New Roman" w:cs="Times New Roman"/>
                <w:b/>
                <w:sz w:val="24"/>
                <w:szCs w:val="24"/>
              </w:rPr>
            </w:pPr>
            <w:r w:rsidRPr="00696564">
              <w:rPr>
                <w:rFonts w:ascii="Times New Roman" w:hAnsi="Times New Roman" w:cs="Times New Roman"/>
                <w:b/>
                <w:sz w:val="24"/>
                <w:szCs w:val="24"/>
              </w:rPr>
              <w:t>14 486</w:t>
            </w:r>
          </w:p>
        </w:tc>
      </w:tr>
      <w:tr w:rsidRPr="00573DCB" w:rsidR="00AE3F0F" w:rsidTr="005C318F" w14:paraId="2BC917B0" w14:textId="77777777">
        <w:trPr>
          <w:trHeight w:val="644"/>
        </w:trPr>
        <w:tc>
          <w:tcPr>
            <w:tcW w:w="513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A21B0" w:rsidR="00AE3F0F" w:rsidP="00BA21B0" w:rsidRDefault="00AE3F0F" w14:paraId="1A4E4026" w14:textId="77777777">
            <w:pPr>
              <w:spacing w:before="100" w:beforeAutospacing="1" w:after="0" w:line="240" w:lineRule="auto"/>
              <w:jc w:val="right"/>
              <w:rPr>
                <w:rFonts w:ascii="Times New Roman" w:hAnsi="Times New Roman" w:cs="Times New Roman"/>
                <w:b/>
                <w:sz w:val="24"/>
                <w:szCs w:val="24"/>
              </w:rPr>
            </w:pPr>
            <w:r w:rsidRPr="00BA21B0">
              <w:rPr>
                <w:rFonts w:ascii="Times New Roman" w:hAnsi="Times New Roman" w:cs="Times New Roman"/>
                <w:b/>
                <w:bCs/>
                <w:sz w:val="24"/>
                <w:szCs w:val="24"/>
              </w:rPr>
              <w:t>Attiecināmie izdevumi – priekšfinansējums (nacionālais finansējums)</w:t>
            </w:r>
          </w:p>
        </w:tc>
        <w:tc>
          <w:tcPr>
            <w:tcW w:w="992" w:type="dxa"/>
            <w:tcBorders>
              <w:top w:val="nil"/>
              <w:left w:val="nil"/>
              <w:bottom w:val="single" w:color="auto" w:sz="8" w:space="0"/>
              <w:right w:val="single" w:color="auto" w:sz="4" w:space="0"/>
            </w:tcBorders>
            <w:tcMar>
              <w:top w:w="0" w:type="dxa"/>
              <w:left w:w="108" w:type="dxa"/>
              <w:bottom w:w="0" w:type="dxa"/>
              <w:right w:w="108" w:type="dxa"/>
            </w:tcMar>
            <w:vAlign w:val="center"/>
          </w:tcPr>
          <w:p w:rsidRPr="00BA21B0" w:rsidR="00AE3F0F" w:rsidP="00BA21B0" w:rsidRDefault="00AE3F0F" w14:paraId="5C098392"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0</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BA21B0" w:rsidR="00AE3F0F" w:rsidP="00BA21B0" w:rsidRDefault="00AE3F0F" w14:paraId="74096D86" w14:textId="77777777">
            <w:pPr>
              <w:jc w:val="right"/>
              <w:rPr>
                <w:rFonts w:ascii="Times New Roman" w:hAnsi="Times New Roman" w:cs="Times New Roman"/>
                <w:sz w:val="24"/>
                <w:szCs w:val="24"/>
              </w:rPr>
            </w:pPr>
            <w:r w:rsidRPr="00BA21B0">
              <w:rPr>
                <w:rFonts w:ascii="Times New Roman" w:hAnsi="Times New Roman" w:cs="Times New Roman"/>
                <w:sz w:val="24"/>
                <w:szCs w:val="24"/>
              </w:rPr>
              <w:t>45 631</w:t>
            </w:r>
          </w:p>
        </w:tc>
        <w:tc>
          <w:tcPr>
            <w:tcW w:w="850" w:type="dxa"/>
            <w:tcBorders>
              <w:top w:val="nil"/>
              <w:left w:val="single" w:color="auto" w:sz="4" w:space="0"/>
              <w:bottom w:val="single" w:color="auto" w:sz="8" w:space="0"/>
              <w:right w:val="single" w:color="auto" w:sz="4" w:space="0"/>
            </w:tcBorders>
            <w:vAlign w:val="center"/>
          </w:tcPr>
          <w:p w:rsidRPr="00BA21B0" w:rsidR="00AE3F0F" w:rsidP="00BA21B0" w:rsidRDefault="00AE3F0F" w14:paraId="28BBA6B1"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0</w:t>
            </w:r>
          </w:p>
        </w:tc>
        <w:tc>
          <w:tcPr>
            <w:tcW w:w="1134" w:type="dxa"/>
            <w:tcBorders>
              <w:top w:val="nil"/>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BA21B0" w:rsidR="00AE3F0F" w:rsidP="00BA21B0" w:rsidRDefault="00AE3F0F" w14:paraId="41F69544" w14:textId="77777777">
            <w:pPr>
              <w:spacing w:before="100" w:beforeAutospacing="1" w:after="0" w:line="240" w:lineRule="auto"/>
              <w:jc w:val="right"/>
              <w:rPr>
                <w:rFonts w:ascii="Times New Roman" w:hAnsi="Times New Roman" w:cs="Times New Roman"/>
                <w:b/>
                <w:sz w:val="24"/>
                <w:szCs w:val="24"/>
              </w:rPr>
            </w:pPr>
            <w:r w:rsidRPr="00BA21B0">
              <w:rPr>
                <w:rFonts w:ascii="Times New Roman" w:hAnsi="Times New Roman" w:cs="Times New Roman"/>
                <w:b/>
                <w:sz w:val="24"/>
                <w:szCs w:val="24"/>
              </w:rPr>
              <w:t>45 631</w:t>
            </w:r>
          </w:p>
        </w:tc>
      </w:tr>
      <w:tr w:rsidRPr="00573DCB" w:rsidR="00AE3F0F" w:rsidTr="005C318F" w14:paraId="5B26A42F" w14:textId="77777777">
        <w:trPr>
          <w:trHeight w:val="433"/>
        </w:trPr>
        <w:tc>
          <w:tcPr>
            <w:tcW w:w="513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A21B0" w:rsidR="00AE3F0F" w:rsidP="00BA21B0" w:rsidRDefault="00AE3F0F" w14:paraId="5C9E8770" w14:textId="77777777">
            <w:pPr>
              <w:spacing w:before="100" w:beforeAutospacing="1" w:after="0" w:line="240" w:lineRule="auto"/>
              <w:jc w:val="right"/>
              <w:rPr>
                <w:rFonts w:ascii="Times New Roman" w:hAnsi="Times New Roman" w:cs="Times New Roman"/>
                <w:b/>
                <w:sz w:val="24"/>
                <w:szCs w:val="24"/>
              </w:rPr>
            </w:pPr>
            <w:r w:rsidRPr="00BA21B0">
              <w:rPr>
                <w:rFonts w:ascii="Times New Roman" w:hAnsi="Times New Roman" w:cs="Times New Roman"/>
                <w:b/>
                <w:bCs/>
                <w:sz w:val="24"/>
                <w:szCs w:val="24"/>
              </w:rPr>
              <w:t>Neattiecināmie izdevumi (nacionālais finansējums)</w:t>
            </w:r>
          </w:p>
        </w:tc>
        <w:tc>
          <w:tcPr>
            <w:tcW w:w="992"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rsidRPr="00BA21B0" w:rsidR="00AE3F0F" w:rsidP="00BA21B0" w:rsidRDefault="00AE3F0F" w14:paraId="58B1A795"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77</w:t>
            </w:r>
            <w:r>
              <w:rPr>
                <w:rFonts w:ascii="Times New Roman" w:hAnsi="Times New Roman" w:cs="Times New Roman"/>
                <w:sz w:val="24"/>
                <w:szCs w:val="24"/>
              </w:rPr>
              <w:t>6</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BA21B0" w:rsidR="00AE3F0F" w:rsidP="00BA21B0" w:rsidRDefault="00AE3F0F" w14:paraId="3276D765"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17 175</w:t>
            </w:r>
          </w:p>
        </w:tc>
        <w:tc>
          <w:tcPr>
            <w:tcW w:w="850" w:type="dxa"/>
            <w:tcBorders>
              <w:top w:val="single" w:color="auto" w:sz="8" w:space="0"/>
              <w:left w:val="single" w:color="auto" w:sz="4" w:space="0"/>
              <w:bottom w:val="single" w:color="auto" w:sz="8" w:space="0"/>
              <w:right w:val="single" w:color="auto" w:sz="4" w:space="0"/>
            </w:tcBorders>
            <w:vAlign w:val="center"/>
          </w:tcPr>
          <w:p w:rsidRPr="00BA21B0" w:rsidR="00AE3F0F" w:rsidP="00BA21B0" w:rsidRDefault="00AE3F0F" w14:paraId="1432167C"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0</w:t>
            </w:r>
          </w:p>
        </w:tc>
        <w:tc>
          <w:tcPr>
            <w:tcW w:w="1134" w:type="dxa"/>
            <w:tcBorders>
              <w:top w:val="single" w:color="auto" w:sz="8" w:space="0"/>
              <w:left w:val="single" w:color="auto" w:sz="4" w:space="0"/>
              <w:bottom w:val="single" w:color="auto" w:sz="8" w:space="0"/>
              <w:right w:val="single" w:color="auto" w:sz="8" w:space="0"/>
            </w:tcBorders>
            <w:shd w:val="clear" w:color="auto" w:fill="F2F2F2"/>
            <w:tcMar>
              <w:top w:w="0" w:type="dxa"/>
              <w:left w:w="108" w:type="dxa"/>
              <w:bottom w:w="0" w:type="dxa"/>
              <w:right w:w="108" w:type="dxa"/>
            </w:tcMar>
            <w:vAlign w:val="center"/>
          </w:tcPr>
          <w:p w:rsidRPr="00BA21B0" w:rsidR="00AE3F0F" w:rsidP="00BA21B0" w:rsidRDefault="00AE3F0F" w14:paraId="60954FE3" w14:textId="77777777">
            <w:pPr>
              <w:spacing w:before="100" w:beforeAutospacing="1" w:after="0" w:line="240" w:lineRule="auto"/>
              <w:jc w:val="right"/>
              <w:rPr>
                <w:rFonts w:ascii="Times New Roman" w:hAnsi="Times New Roman" w:cs="Times New Roman"/>
                <w:b/>
                <w:sz w:val="24"/>
                <w:szCs w:val="24"/>
              </w:rPr>
            </w:pPr>
            <w:r w:rsidRPr="00BA21B0">
              <w:rPr>
                <w:rFonts w:ascii="Times New Roman" w:hAnsi="Times New Roman" w:cs="Times New Roman"/>
                <w:b/>
                <w:sz w:val="24"/>
                <w:szCs w:val="24"/>
              </w:rPr>
              <w:t>17 95</w:t>
            </w:r>
            <w:r>
              <w:rPr>
                <w:rFonts w:ascii="Times New Roman" w:hAnsi="Times New Roman" w:cs="Times New Roman"/>
                <w:b/>
                <w:sz w:val="24"/>
                <w:szCs w:val="24"/>
              </w:rPr>
              <w:t>1</w:t>
            </w:r>
          </w:p>
        </w:tc>
      </w:tr>
      <w:tr w:rsidRPr="00573DCB" w:rsidR="00AE3F0F" w:rsidTr="005C318F" w14:paraId="4A003ACC" w14:textId="77777777">
        <w:trPr>
          <w:trHeight w:val="433"/>
        </w:trPr>
        <w:tc>
          <w:tcPr>
            <w:tcW w:w="5137"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BA21B0" w:rsidR="00AE3F0F" w:rsidP="00BA21B0" w:rsidRDefault="00AE3F0F" w14:paraId="74758E6A" w14:textId="77777777">
            <w:pPr>
              <w:spacing w:before="100" w:beforeAutospacing="1" w:after="0" w:line="240" w:lineRule="auto"/>
              <w:jc w:val="right"/>
              <w:rPr>
                <w:rFonts w:ascii="Times New Roman" w:hAnsi="Times New Roman" w:cs="Times New Roman"/>
                <w:b/>
                <w:bCs/>
                <w:sz w:val="24"/>
                <w:szCs w:val="24"/>
              </w:rPr>
            </w:pPr>
            <w:r w:rsidRPr="00BA21B0">
              <w:rPr>
                <w:rFonts w:ascii="Times New Roman" w:hAnsi="Times New Roman" w:cs="Times New Roman"/>
                <w:b/>
                <w:bCs/>
                <w:sz w:val="24"/>
                <w:szCs w:val="24"/>
              </w:rPr>
              <w:t>Priekšfinansējuma (</w:t>
            </w:r>
            <w:r w:rsidRPr="00BA21B0">
              <w:rPr>
                <w:rFonts w:ascii="Times New Roman" w:hAnsi="Times New Roman" w:eastAsia="Times New Roman" w:cs="Times New Roman"/>
                <w:b/>
                <w:bCs/>
                <w:lang w:eastAsia="lv-LV"/>
              </w:rPr>
              <w:t>nacionālais finansējums</w:t>
            </w:r>
            <w:r w:rsidRPr="00BA21B0">
              <w:rPr>
                <w:rFonts w:ascii="Times New Roman" w:hAnsi="Times New Roman" w:cs="Times New Roman"/>
                <w:b/>
                <w:bCs/>
                <w:sz w:val="24"/>
                <w:szCs w:val="24"/>
              </w:rPr>
              <w:t>) atmaksa valsts budžetā</w:t>
            </w:r>
          </w:p>
        </w:tc>
        <w:tc>
          <w:tcPr>
            <w:tcW w:w="992" w:type="dxa"/>
            <w:tcBorders>
              <w:top w:val="single" w:color="auto" w:sz="8" w:space="0"/>
              <w:left w:val="nil"/>
              <w:bottom w:val="single" w:color="auto" w:sz="4" w:space="0"/>
              <w:right w:val="single" w:color="auto" w:sz="4" w:space="0"/>
            </w:tcBorders>
            <w:tcMar>
              <w:top w:w="0" w:type="dxa"/>
              <w:left w:w="108" w:type="dxa"/>
              <w:bottom w:w="0" w:type="dxa"/>
              <w:right w:w="108" w:type="dxa"/>
            </w:tcMar>
            <w:vAlign w:val="center"/>
          </w:tcPr>
          <w:p w:rsidRPr="00BA21B0" w:rsidR="00AE3F0F" w:rsidP="00BA21B0" w:rsidRDefault="00AE3F0F" w14:paraId="69DBF54B" w14:textId="77777777">
            <w:pPr>
              <w:spacing w:before="100" w:beforeAutospacing="1" w:after="0" w:line="240" w:lineRule="auto"/>
              <w:jc w:val="right"/>
              <w:rPr>
                <w:rFonts w:ascii="Times New Roman" w:hAnsi="Times New Roman" w:cs="Times New Roman"/>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rsidRPr="00BA21B0" w:rsidR="00AE3F0F" w:rsidP="00BA21B0" w:rsidRDefault="00AE3F0F" w14:paraId="365E323C" w14:textId="77777777">
            <w:pPr>
              <w:spacing w:before="100" w:beforeAutospacing="1" w:after="0" w:line="240" w:lineRule="auto"/>
              <w:jc w:val="right"/>
              <w:rPr>
                <w:rFonts w:ascii="Times New Roman" w:hAnsi="Times New Roman" w:cs="Times New Roman"/>
                <w:sz w:val="24"/>
                <w:szCs w:val="24"/>
              </w:rPr>
            </w:pPr>
          </w:p>
        </w:tc>
        <w:tc>
          <w:tcPr>
            <w:tcW w:w="850" w:type="dxa"/>
            <w:tcBorders>
              <w:top w:val="single" w:color="auto" w:sz="8" w:space="0"/>
              <w:left w:val="single" w:color="auto" w:sz="4" w:space="0"/>
              <w:bottom w:val="single" w:color="auto" w:sz="4" w:space="0"/>
              <w:right w:val="single" w:color="auto" w:sz="4" w:space="0"/>
            </w:tcBorders>
            <w:vAlign w:val="center"/>
          </w:tcPr>
          <w:p w:rsidRPr="00BA21B0" w:rsidR="00AE3F0F" w:rsidP="00BA21B0" w:rsidRDefault="00AE3F0F" w14:paraId="56BA0887" w14:textId="77777777">
            <w:pPr>
              <w:spacing w:before="100" w:beforeAutospacing="1" w:after="0" w:line="240" w:lineRule="auto"/>
              <w:jc w:val="right"/>
              <w:rPr>
                <w:rFonts w:ascii="Times New Roman" w:hAnsi="Times New Roman" w:cs="Times New Roman"/>
                <w:sz w:val="24"/>
                <w:szCs w:val="24"/>
              </w:rPr>
            </w:pPr>
            <w:r w:rsidRPr="00BA21B0">
              <w:rPr>
                <w:rFonts w:ascii="Times New Roman" w:hAnsi="Times New Roman" w:cs="Times New Roman"/>
                <w:sz w:val="24"/>
                <w:szCs w:val="24"/>
              </w:rPr>
              <w:t>45 631</w:t>
            </w:r>
          </w:p>
        </w:tc>
        <w:tc>
          <w:tcPr>
            <w:tcW w:w="1134" w:type="dxa"/>
            <w:tcBorders>
              <w:top w:val="single" w:color="auto" w:sz="8" w:space="0"/>
              <w:left w:val="single" w:color="auto" w:sz="4" w:space="0"/>
              <w:bottom w:val="single" w:color="auto" w:sz="4" w:space="0"/>
              <w:right w:val="single" w:color="auto" w:sz="8" w:space="0"/>
            </w:tcBorders>
            <w:shd w:val="clear" w:color="auto" w:fill="F2F2F2"/>
            <w:tcMar>
              <w:top w:w="0" w:type="dxa"/>
              <w:left w:w="108" w:type="dxa"/>
              <w:bottom w:w="0" w:type="dxa"/>
              <w:right w:w="108" w:type="dxa"/>
            </w:tcMar>
            <w:vAlign w:val="center"/>
          </w:tcPr>
          <w:p w:rsidRPr="00BA21B0" w:rsidR="00AE3F0F" w:rsidP="00BA21B0" w:rsidRDefault="00AE3F0F" w14:paraId="39E60FFD" w14:textId="77777777">
            <w:pPr>
              <w:spacing w:before="100" w:beforeAutospacing="1" w:after="0" w:line="240" w:lineRule="auto"/>
              <w:jc w:val="right"/>
              <w:rPr>
                <w:rFonts w:ascii="Times New Roman" w:hAnsi="Times New Roman" w:cs="Times New Roman"/>
                <w:b/>
                <w:sz w:val="24"/>
                <w:szCs w:val="24"/>
              </w:rPr>
            </w:pPr>
            <w:r w:rsidRPr="00BA21B0">
              <w:rPr>
                <w:rFonts w:ascii="Times New Roman" w:hAnsi="Times New Roman" w:cs="Times New Roman"/>
                <w:b/>
                <w:sz w:val="24"/>
                <w:szCs w:val="24"/>
              </w:rPr>
              <w:t>45 631</w:t>
            </w:r>
          </w:p>
        </w:tc>
      </w:tr>
    </w:tbl>
    <w:p w:rsidRPr="00BA21B0" w:rsidR="009B2F5A" w:rsidP="009B2F5A" w:rsidRDefault="009B2F5A" w14:paraId="05DC6E71" w14:textId="17B1A73C">
      <w:pPr>
        <w:spacing w:before="100" w:beforeAutospacing="1" w:after="0" w:line="240" w:lineRule="auto"/>
        <w:ind w:firstLine="720"/>
        <w:jc w:val="both"/>
        <w:rPr>
          <w:rFonts w:ascii="Times New Roman" w:hAnsi="Times New Roman" w:cs="Times New Roman"/>
          <w:sz w:val="24"/>
          <w:szCs w:val="24"/>
        </w:rPr>
      </w:pPr>
      <w:r w:rsidRPr="00BA21B0">
        <w:rPr>
          <w:rFonts w:ascii="Times New Roman" w:hAnsi="Times New Roman" w:cs="Times New Roman"/>
          <w:sz w:val="24"/>
          <w:szCs w:val="24"/>
        </w:rPr>
        <w:t>LRI II projekta tabulā norādītās summas sadalījumā pa gadiem ir indikatīvas un var mainīties pēc līguma noslēgšanas.</w:t>
      </w:r>
    </w:p>
    <w:p w:rsidRPr="00F92B5C" w:rsidR="009B2F5A" w:rsidP="009B2F5A" w:rsidRDefault="009B2F5A" w14:paraId="74859FB7" w14:textId="156972C1">
      <w:pPr>
        <w:pStyle w:val="Sarakstarindkopa"/>
        <w:suppressAutoHyphens/>
        <w:spacing w:after="0" w:line="240" w:lineRule="auto"/>
        <w:ind w:left="0" w:firstLine="720"/>
        <w:contextualSpacing w:val="0"/>
        <w:jc w:val="both"/>
      </w:pPr>
      <w:r w:rsidRPr="00BA21B0">
        <w:rPr>
          <w:rFonts w:ascii="Times New Roman" w:hAnsi="Times New Roman" w:cs="Times New Roman"/>
          <w:sz w:val="24"/>
          <w:szCs w:val="24"/>
        </w:rPr>
        <w:lastRenderedPageBreak/>
        <w:t xml:space="preserve">LRI II projekta īstenošanai nepieciešamais valsts budžeta līdzfinansējums, priekšfinansējums un neattiecināmās izmaksas (PVN) tiks pārdalīti no 74. resora "Gadskārtējā valsts budžeta izpildes procesā pārdalāmais finansējums" programmas 80.00.00 "Nesadalītais finansējums Eiropas Savienības politiku instrumentu un pārējās ārvalstu finanšu palīdzības projektu un pasākumu īstenošanai". Pēc projekta īstenošanas un attiecināmo izmaksu apstiprināšanas EK veiks noslēguma maksājumu projekta vadošajam partnerim, kas, savukārt, pārskaitīs </w:t>
      </w:r>
      <w:r w:rsidRPr="00BA21B0" w:rsidR="00E920A2">
        <w:rPr>
          <w:rFonts w:ascii="Times New Roman" w:hAnsi="Times New Roman" w:cs="Times New Roman"/>
          <w:sz w:val="24"/>
          <w:szCs w:val="24"/>
        </w:rPr>
        <w:t xml:space="preserve">TA </w:t>
      </w:r>
      <w:r w:rsidRPr="00BA21B0">
        <w:rPr>
          <w:rFonts w:ascii="Times New Roman" w:hAnsi="Times New Roman" w:cs="Times New Roman"/>
          <w:sz w:val="24"/>
          <w:szCs w:val="24"/>
        </w:rPr>
        <w:t>atlikušā maksājuma daļu 45</w:t>
      </w:r>
      <w:r w:rsidR="009B2A1C">
        <w:rPr>
          <w:rFonts w:ascii="Times New Roman" w:hAnsi="Times New Roman" w:cs="Times New Roman"/>
          <w:sz w:val="24"/>
          <w:szCs w:val="24"/>
        </w:rPr>
        <w:t> </w:t>
      </w:r>
      <w:r w:rsidRPr="00BA21B0">
        <w:rPr>
          <w:rFonts w:ascii="Times New Roman" w:hAnsi="Times New Roman" w:cs="Times New Roman"/>
          <w:sz w:val="24"/>
          <w:szCs w:val="24"/>
        </w:rPr>
        <w:t>631 EUR apmērā, kas tiks atmaksāta valsts budžetā, tādējādi nodrošinot līdzekļu ieskaitīšanu valsts pamatbudžeta ieņēmumos.</w:t>
      </w:r>
    </w:p>
    <w:p w:rsidR="00322E75" w:rsidP="00322E75" w:rsidRDefault="00322E75" w14:paraId="586ADCDE" w14:textId="01AA9B62">
      <w:pPr>
        <w:spacing w:after="0" w:line="240" w:lineRule="auto"/>
        <w:jc w:val="both"/>
        <w:rPr>
          <w:rFonts w:ascii="Times New Roman" w:hAnsi="Times New Roman" w:cs="Times New Roman"/>
          <w:sz w:val="24"/>
          <w:szCs w:val="24"/>
        </w:rPr>
      </w:pPr>
    </w:p>
    <w:p w:rsidR="005D3CEF" w:rsidP="00322E75" w:rsidRDefault="005D3CEF" w14:paraId="0917A259" w14:textId="6ABBD619">
      <w:pPr>
        <w:spacing w:after="0" w:line="240" w:lineRule="auto"/>
        <w:jc w:val="both"/>
        <w:rPr>
          <w:rFonts w:ascii="Times New Roman" w:hAnsi="Times New Roman" w:cs="Times New Roman"/>
          <w:sz w:val="24"/>
          <w:szCs w:val="24"/>
        </w:rPr>
      </w:pPr>
    </w:p>
    <w:p w:rsidR="005D3CEF" w:rsidP="005D3CEF" w:rsidRDefault="005D3CEF" w14:paraId="43115C88" w14:textId="2CD44939">
      <w:pPr>
        <w:spacing w:after="0" w:line="240" w:lineRule="auto"/>
        <w:jc w:val="center"/>
        <w:rPr>
          <w:rFonts w:ascii="Times New Roman" w:hAnsi="Times New Roman" w:cs="Times New Roman"/>
          <w:b/>
          <w:bCs/>
          <w:sz w:val="24"/>
          <w:szCs w:val="24"/>
        </w:rPr>
      </w:pPr>
      <w:r w:rsidRPr="00AE2C3A">
        <w:rPr>
          <w:rFonts w:ascii="Times New Roman" w:hAnsi="Times New Roman" w:cs="Times New Roman"/>
          <w:b/>
          <w:bCs/>
          <w:sz w:val="24"/>
          <w:szCs w:val="24"/>
        </w:rPr>
        <w:t>5. Informācija par VTEB projektu</w:t>
      </w:r>
    </w:p>
    <w:p w:rsidR="005D3CEF" w:rsidP="005D3CEF" w:rsidRDefault="005D3CEF" w14:paraId="6709CDE5" w14:textId="7E2CC140">
      <w:pPr>
        <w:spacing w:after="0" w:line="240" w:lineRule="auto"/>
        <w:jc w:val="center"/>
        <w:rPr>
          <w:rFonts w:ascii="Times New Roman" w:hAnsi="Times New Roman" w:cs="Times New Roman"/>
          <w:b/>
          <w:bCs/>
          <w:sz w:val="24"/>
          <w:szCs w:val="24"/>
        </w:rPr>
      </w:pPr>
    </w:p>
    <w:p w:rsidR="005D3CEF" w:rsidP="005D3CEF" w:rsidRDefault="005D3CEF" w14:paraId="35A3F837" w14:textId="6D2C7F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VTEB projekts iesniegts </w:t>
      </w:r>
      <w:r w:rsidR="00940752">
        <w:rPr>
          <w:rFonts w:ascii="Times New Roman" w:hAnsi="Times New Roman" w:cs="Times New Roman"/>
          <w:sz w:val="24"/>
          <w:szCs w:val="24"/>
        </w:rPr>
        <w:t xml:space="preserve">Programmas </w:t>
      </w:r>
      <w:r>
        <w:rPr>
          <w:rFonts w:ascii="Times New Roman" w:hAnsi="Times New Roman" w:cs="Times New Roman"/>
          <w:sz w:val="24"/>
          <w:szCs w:val="24"/>
        </w:rPr>
        <w:t xml:space="preserve">Apvārsnis atklātā projektu konkursa </w:t>
      </w:r>
      <w:r w:rsidR="00E920A2">
        <w:rPr>
          <w:rFonts w:ascii="Times New Roman" w:hAnsi="Times New Roman" w:cs="Times New Roman"/>
          <w:sz w:val="24"/>
          <w:szCs w:val="24"/>
        </w:rPr>
        <w:t>Nr. </w:t>
      </w:r>
      <w:r>
        <w:rPr>
          <w:rFonts w:ascii="Times New Roman" w:hAnsi="Times New Roman" w:cs="Times New Roman"/>
          <w:sz w:val="24"/>
          <w:szCs w:val="24"/>
        </w:rPr>
        <w:t>H2020-SU-SEC-2018-2019-2020 ietvaros. VTEB projektā piedalās kā partneris. VTEB projekta vadošais partneris ir Itālijas Valsts jauno tehnoloģiju, enerģētikas un ilgtspējīgas attīstības aģentūra. Uz informatīvā ziņojuma sagatavošanas laiku ir zināms, ka VTEB projekts ir apstiprināts.</w:t>
      </w:r>
    </w:p>
    <w:p w:rsidR="005D3CEF" w:rsidP="005D3CEF" w:rsidRDefault="005D3CEF" w14:paraId="6E762FD1" w14:textId="36EEEB0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projekta īstenošanas termiņš ir 48 mēneši periodā no 2020. gada 1. maija līdz 2024. gada 30. aprīlim.</w:t>
      </w:r>
    </w:p>
    <w:p w:rsidR="005D3CEF" w:rsidP="005D3CEF" w:rsidRDefault="005D3CEF" w14:paraId="47155CF6" w14:textId="702B462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Kopējais projekta budžets ir 6 995 876 EUR, no tā VTEB paredzētais finansējums ir </w:t>
      </w:r>
      <w:r>
        <w:rPr>
          <w:rFonts w:ascii="Times New Roman" w:hAnsi="Times New Roman" w:eastAsia="Times New Roman" w:cs="Times New Roman"/>
          <w:sz w:val="24"/>
          <w:szCs w:val="24"/>
          <w:lang w:eastAsia="lv-LV"/>
        </w:rPr>
        <w:t>74</w:t>
      </w:r>
      <w:r w:rsidR="00A51CF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800</w:t>
      </w:r>
      <w:r>
        <w:rPr>
          <w:rFonts w:ascii="Times New Roman" w:hAnsi="Times New Roman" w:cs="Times New Roman"/>
          <w:sz w:val="24"/>
          <w:szCs w:val="24"/>
        </w:rPr>
        <w:t xml:space="preserve"> EUR. </w:t>
      </w:r>
      <w:r w:rsidR="00A51CF9">
        <w:rPr>
          <w:rFonts w:ascii="Times New Roman" w:hAnsi="Times New Roman" w:cs="Times New Roman"/>
          <w:sz w:val="24"/>
          <w:szCs w:val="24"/>
        </w:rPr>
        <w:t>Kopējais</w:t>
      </w:r>
      <w:r>
        <w:rPr>
          <w:rFonts w:ascii="Times New Roman" w:hAnsi="Times New Roman" w:cs="Times New Roman"/>
          <w:sz w:val="24"/>
          <w:szCs w:val="24"/>
        </w:rPr>
        <w:t xml:space="preserve"> ES līdzfinansējums veido 100 % jeb </w:t>
      </w:r>
      <w:r>
        <w:rPr>
          <w:rFonts w:ascii="Times New Roman" w:hAnsi="Times New Roman" w:eastAsia="Times New Roman" w:cs="Times New Roman"/>
          <w:sz w:val="24"/>
          <w:szCs w:val="24"/>
          <w:lang w:eastAsia="lv-LV"/>
        </w:rPr>
        <w:t>74</w:t>
      </w:r>
      <w:r w:rsidR="00A51CF9">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800</w:t>
      </w:r>
      <w:r>
        <w:rPr>
          <w:rFonts w:ascii="Times New Roman" w:hAnsi="Times New Roman" w:cs="Times New Roman"/>
          <w:sz w:val="24"/>
          <w:szCs w:val="24"/>
        </w:rPr>
        <w:t xml:space="preserve"> EUR, nacionālais līdzfinansējums nav nepieciešams. </w:t>
      </w:r>
    </w:p>
    <w:p w:rsidR="005D3CEF" w:rsidP="005D3CEF" w:rsidRDefault="00AE2C3A" w14:paraId="199C22E9" w14:textId="75F07E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p</w:t>
      </w:r>
      <w:r w:rsidR="005D3CEF">
        <w:rPr>
          <w:rFonts w:ascii="Times New Roman" w:hAnsi="Times New Roman" w:cs="Times New Roman"/>
          <w:sz w:val="24"/>
          <w:szCs w:val="24"/>
        </w:rPr>
        <w:t xml:space="preserve">rojekta </w:t>
      </w:r>
      <w:r w:rsidR="005D3CEF">
        <w:rPr>
          <w:rFonts w:ascii="Times New Roman" w:hAnsi="Times New Roman" w:cs="Times New Roman"/>
          <w:b/>
          <w:sz w:val="24"/>
          <w:szCs w:val="24"/>
        </w:rPr>
        <w:t>mērķis</w:t>
      </w:r>
      <w:r w:rsidR="005D3CEF">
        <w:rPr>
          <w:rFonts w:ascii="Times New Roman" w:hAnsi="Times New Roman" w:cs="Times New Roman"/>
          <w:sz w:val="24"/>
          <w:szCs w:val="24"/>
        </w:rPr>
        <w:t xml:space="preserve"> ir tiešsaistes </w:t>
      </w:r>
      <w:proofErr w:type="spellStart"/>
      <w:r w:rsidR="005D3CEF">
        <w:rPr>
          <w:rFonts w:ascii="Times New Roman" w:hAnsi="Times New Roman" w:cs="Times New Roman"/>
          <w:sz w:val="24"/>
          <w:szCs w:val="24"/>
        </w:rPr>
        <w:t>bezkontakta</w:t>
      </w:r>
      <w:proofErr w:type="spellEnd"/>
      <w:r w:rsidR="005D3CEF">
        <w:rPr>
          <w:rFonts w:ascii="Times New Roman" w:hAnsi="Times New Roman" w:cs="Times New Roman"/>
          <w:sz w:val="24"/>
          <w:szCs w:val="24"/>
        </w:rPr>
        <w:t xml:space="preserve"> sensoru izstrāde nozieguma vietā atstāto pēdu atklāšanai, vizualizēšanai, identificēšanai un interpretēšanai, samazinot laboratorijas izpētei nepieciešamo laiku un nodrošinot ātru informācijas apmaiņu starp tiesībsargājošajām iestādēm. Tehniskais risinājums būs izmantojams ne tikai nozieguma vietas izpētē, bet arī vietās, kuras skārušas katastrofas vai terora akti.</w:t>
      </w:r>
    </w:p>
    <w:p w:rsidR="005D3CEF" w:rsidP="005D3CEF" w:rsidRDefault="00AE2C3A" w14:paraId="15F3FA72" w14:textId="2630A1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p</w:t>
      </w:r>
      <w:r w:rsidR="005D3CEF">
        <w:rPr>
          <w:rFonts w:ascii="Times New Roman" w:hAnsi="Times New Roman" w:cs="Times New Roman"/>
          <w:sz w:val="24"/>
          <w:szCs w:val="24"/>
        </w:rPr>
        <w:t xml:space="preserve">rojekta </w:t>
      </w:r>
      <w:r w:rsidR="005D3CEF">
        <w:rPr>
          <w:rFonts w:ascii="Times New Roman" w:hAnsi="Times New Roman" w:cs="Times New Roman"/>
          <w:b/>
          <w:sz w:val="24"/>
          <w:szCs w:val="24"/>
        </w:rPr>
        <w:t>apakšmērķi</w:t>
      </w:r>
      <w:r w:rsidR="005D3CEF">
        <w:rPr>
          <w:rFonts w:ascii="Times New Roman" w:hAnsi="Times New Roman" w:cs="Times New Roman"/>
          <w:sz w:val="24"/>
          <w:szCs w:val="24"/>
        </w:rPr>
        <w:t xml:space="preserve">: </w:t>
      </w:r>
    </w:p>
    <w:p w:rsidR="005D3CEF" w:rsidP="005D3CEF" w:rsidRDefault="005D3CEF" w14:paraId="4BDBAAED" w14:textId="77777777">
      <w:pPr>
        <w:pStyle w:val="Sarakstarindkop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izstrādāt un demonstrēt darbībā </w:t>
      </w:r>
      <w:proofErr w:type="spellStart"/>
      <w:r>
        <w:rPr>
          <w:rFonts w:ascii="Times New Roman" w:hAnsi="Times New Roman" w:cs="Times New Roman"/>
          <w:sz w:val="24"/>
          <w:szCs w:val="24"/>
        </w:rPr>
        <w:t>bezkontakta</w:t>
      </w:r>
      <w:proofErr w:type="spellEnd"/>
      <w:r>
        <w:rPr>
          <w:rFonts w:ascii="Times New Roman" w:hAnsi="Times New Roman" w:cs="Times New Roman"/>
          <w:sz w:val="24"/>
          <w:szCs w:val="24"/>
        </w:rPr>
        <w:t xml:space="preserve">, nedestruktīvus, automatizētus sensorus, kas ļauj nozieguma vietā ātri un uzticami identificēt, atlasīt un marķēt atstātās pēdas; </w:t>
      </w:r>
    </w:p>
    <w:p w:rsidR="005D3CEF" w:rsidP="005D3CEF" w:rsidRDefault="005D3CEF" w14:paraId="453912D3" w14:textId="77777777">
      <w:pPr>
        <w:pStyle w:val="Sarakstarindkopa"/>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apstrādāt un tiešsaistē nosūtīt nozieguma vietas datus ievadei 3 dimensiju paplašinātās realitātes nozieguma vietas izmeklēšanas sistēmā, lai izveidotu nozieguma vietas 3 dimensiju modeli ar atzīmētām pozīcijām un identificēto pēdu marķējumiem; izveidotais nozieguma vietas 3d modelis, izmantojot paplašinātās realitātes paņēmienus, izmeklētājiem nodrošinās reālistisku vizuālo vidi, ļaujot pārbaudīt hipotēzes, kā arī veikt augsti detalizētu izpēti.</w:t>
      </w:r>
    </w:p>
    <w:p w:rsidR="005D3CEF" w:rsidP="005D3CEF" w:rsidRDefault="005D3CEF" w14:paraId="3994027E" w14:textId="7777777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VTEB aktivitātes projektā:</w:t>
      </w:r>
    </w:p>
    <w:p w:rsidR="005D3CEF" w:rsidP="005D3CEF" w:rsidRDefault="005D3CEF" w14:paraId="7E306D71" w14:textId="77777777">
      <w:pPr>
        <w:pStyle w:val="Sarakstarindko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vienas projekta sanāksmes organizēšana Rīgā;</w:t>
      </w:r>
    </w:p>
    <w:p w:rsidR="005D3CEF" w:rsidP="005D3CEF" w:rsidRDefault="005D3CEF" w14:paraId="22E387CE" w14:textId="77777777">
      <w:pPr>
        <w:pStyle w:val="Sarakstarindko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dalība prasību izstrādē tiešsaistes </w:t>
      </w:r>
      <w:proofErr w:type="spellStart"/>
      <w:r>
        <w:rPr>
          <w:rFonts w:ascii="Times New Roman" w:hAnsi="Times New Roman" w:cs="Times New Roman"/>
          <w:sz w:val="24"/>
          <w:szCs w:val="24"/>
        </w:rPr>
        <w:t>bezkontakta</w:t>
      </w:r>
      <w:proofErr w:type="spellEnd"/>
      <w:r>
        <w:rPr>
          <w:rFonts w:ascii="Times New Roman" w:hAnsi="Times New Roman" w:cs="Times New Roman"/>
          <w:sz w:val="24"/>
          <w:szCs w:val="24"/>
        </w:rPr>
        <w:t xml:space="preserve"> sensoriem nozieguma vietā atstāto pēdu atklāšanai un izpētei;</w:t>
      </w:r>
    </w:p>
    <w:p w:rsidR="005D3CEF" w:rsidP="005D3CEF" w:rsidRDefault="005D3CEF" w14:paraId="0DDDB824" w14:textId="77777777">
      <w:pPr>
        <w:pStyle w:val="Sarakstarindkopa"/>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projekta gala rezultāta testēšana un darbības pārbaude praksē.</w:t>
      </w:r>
    </w:p>
    <w:p w:rsidR="005D3CEF" w:rsidP="005D3CEF" w:rsidRDefault="005D3CEF" w14:paraId="0DEDE970"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VTEB projekts ir nozīmīgs, jo VTEB ekspertiem būs iespēja piedalīties un sniegt savu ieguldījumu inovatīva tiesu ekspertīzes tehnoloģiskā risinājuma izstrādē, kā arī pārbaudīt tā pielietojumu praktiskajā darbā.</w:t>
      </w:r>
    </w:p>
    <w:p w:rsidR="005D3CEF" w:rsidP="005D3CEF" w:rsidRDefault="005D3CEF" w14:paraId="7B21358A" w14:textId="24F88BDE">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Moderno tehnoloģiju un mākslīgā intelekta risinājumu pielietojums nozieguma vietas izpētē un tiesu ekspertīzē ir neizbēgama realitāte, ar ko saskaras arī Latvijas tiesībsargājošās iestādes. </w:t>
      </w:r>
      <w:r w:rsidR="00A51CF9">
        <w:rPr>
          <w:rFonts w:ascii="Times New Roman" w:hAnsi="Times New Roman" w:cs="Times New Roman"/>
          <w:bCs/>
          <w:sz w:val="24"/>
          <w:szCs w:val="24"/>
        </w:rPr>
        <w:t>VTEB p</w:t>
      </w:r>
      <w:r>
        <w:rPr>
          <w:rFonts w:ascii="Times New Roman" w:hAnsi="Times New Roman" w:cs="Times New Roman"/>
          <w:bCs/>
          <w:sz w:val="24"/>
          <w:szCs w:val="24"/>
        </w:rPr>
        <w:t xml:space="preserve">rojektā piedāvātais tehnoloģiskais risinājums ļauj ātri iegūt, apstrādāt un pārraidīt lielu datu apjomu, kas ir sevišķi nozīmīgi gadījumos, kad operatīvo darbību veikšanā (t.i. noziedznieka aizturēšanā) nav pieļaujama kavēšanās. Šis projekts no citiem atšķiras ar to, </w:t>
      </w:r>
      <w:r>
        <w:rPr>
          <w:rFonts w:ascii="Times New Roman" w:hAnsi="Times New Roman" w:cs="Times New Roman"/>
          <w:bCs/>
          <w:sz w:val="24"/>
          <w:szCs w:val="24"/>
        </w:rPr>
        <w:lastRenderedPageBreak/>
        <w:t xml:space="preserve">ka tā rezultātā tiks izstrādāts pielietojams tehnoloģiskais risinājums (ne tikai koncepcija). Šāda risinājuma izstrāde ir ļoti dārga un iespējama tikai vairāku valstu sadarbībā. </w:t>
      </w:r>
    </w:p>
    <w:p w:rsidRPr="00696564" w:rsidR="005D3CEF" w:rsidP="005D3CEF" w:rsidRDefault="005D3CEF" w14:paraId="440FF6C1" w14:textId="77777777">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VTEB ieguvums </w:t>
      </w:r>
      <w:r>
        <w:rPr>
          <w:rFonts w:ascii="Times New Roman" w:hAnsi="Times New Roman" w:cs="Times New Roman"/>
          <w:sz w:val="24"/>
          <w:szCs w:val="24"/>
        </w:rPr>
        <w:t xml:space="preserve">–  </w:t>
      </w:r>
      <w:r>
        <w:rPr>
          <w:rFonts w:ascii="Times New Roman" w:hAnsi="Times New Roman" w:cs="Times New Roman"/>
          <w:bCs/>
          <w:sz w:val="24"/>
          <w:szCs w:val="24"/>
        </w:rPr>
        <w:t xml:space="preserve">VTEB un Latvijas ieguvums no projekta būs iespēja pārbaudīt un praksē pielietot modernu tehnoloģisko rīku, kas var paplašināt nozieguma vietas izpētes iespējas, </w:t>
      </w:r>
      <w:r w:rsidRPr="00696564">
        <w:rPr>
          <w:rFonts w:ascii="Times New Roman" w:hAnsi="Times New Roman" w:cs="Times New Roman"/>
          <w:bCs/>
          <w:sz w:val="24"/>
          <w:szCs w:val="24"/>
        </w:rPr>
        <w:t>būtiski paātrinot izmeklēšanu.</w:t>
      </w:r>
    </w:p>
    <w:p w:rsidRPr="00696564" w:rsidR="005D3CEF" w:rsidP="005D3CEF" w:rsidRDefault="005D3CEF" w14:paraId="337A1B43" w14:textId="472EFBBE">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VTEB kopējie plānotie attiecināmie izdevumi ir 74</w:t>
      </w:r>
      <w:r w:rsidRPr="00696564" w:rsidR="00A51CF9">
        <w:rPr>
          <w:rFonts w:ascii="Times New Roman" w:hAnsi="Times New Roman" w:cs="Times New Roman"/>
          <w:sz w:val="24"/>
          <w:szCs w:val="24"/>
        </w:rPr>
        <w:t> </w:t>
      </w:r>
      <w:r w:rsidRPr="00696564">
        <w:rPr>
          <w:rFonts w:ascii="Times New Roman" w:hAnsi="Times New Roman" w:cs="Times New Roman"/>
          <w:sz w:val="24"/>
          <w:szCs w:val="24"/>
        </w:rPr>
        <w:t xml:space="preserve">800 EUR – </w:t>
      </w:r>
      <w:r w:rsidRPr="00696564" w:rsidR="00A51CF9">
        <w:rPr>
          <w:rFonts w:ascii="Times New Roman" w:hAnsi="Times New Roman" w:cs="Times New Roman"/>
          <w:sz w:val="24"/>
          <w:szCs w:val="24"/>
        </w:rPr>
        <w:t xml:space="preserve">Programmas </w:t>
      </w:r>
      <w:r w:rsidRPr="00696564">
        <w:rPr>
          <w:rFonts w:ascii="Times New Roman" w:hAnsi="Times New Roman" w:cs="Times New Roman"/>
          <w:sz w:val="24"/>
          <w:szCs w:val="24"/>
        </w:rPr>
        <w:t xml:space="preserve">Apvārsnis finansējums 100 % apmērā jeb 74 800 EUR. Saskaņā ar </w:t>
      </w:r>
      <w:r w:rsidRPr="00696564" w:rsidR="00A51CF9">
        <w:rPr>
          <w:rFonts w:ascii="Times New Roman" w:hAnsi="Times New Roman" w:cs="Times New Roman"/>
          <w:sz w:val="24"/>
          <w:szCs w:val="24"/>
        </w:rPr>
        <w:t xml:space="preserve">Programmas </w:t>
      </w:r>
      <w:r w:rsidRPr="00696564">
        <w:rPr>
          <w:rFonts w:ascii="Times New Roman" w:hAnsi="Times New Roman" w:cs="Times New Roman"/>
          <w:sz w:val="24"/>
          <w:szCs w:val="24"/>
        </w:rPr>
        <w:t xml:space="preserve">Apvārsnis konkursa nosacījumiem avansa maksājums būs 53 % apmērā no </w:t>
      </w:r>
      <w:r w:rsidRPr="00696564" w:rsidR="00A51CF9">
        <w:rPr>
          <w:rFonts w:ascii="Times New Roman" w:hAnsi="Times New Roman" w:cs="Times New Roman"/>
          <w:sz w:val="24"/>
          <w:szCs w:val="24"/>
        </w:rPr>
        <w:t xml:space="preserve">Programmas </w:t>
      </w:r>
      <w:r w:rsidRPr="00696564">
        <w:rPr>
          <w:rFonts w:ascii="Times New Roman" w:hAnsi="Times New Roman" w:cs="Times New Roman"/>
          <w:sz w:val="24"/>
          <w:szCs w:val="24"/>
        </w:rPr>
        <w:t>Apvārsnis</w:t>
      </w:r>
      <w:r w:rsidRPr="00696564" w:rsidR="00A51CF9">
        <w:rPr>
          <w:rFonts w:ascii="Times New Roman" w:hAnsi="Times New Roman" w:cs="Times New Roman"/>
          <w:sz w:val="24"/>
          <w:szCs w:val="24"/>
        </w:rPr>
        <w:t xml:space="preserve"> </w:t>
      </w:r>
      <w:r w:rsidRPr="00696564">
        <w:rPr>
          <w:rFonts w:ascii="Times New Roman" w:hAnsi="Times New Roman" w:cs="Times New Roman"/>
          <w:sz w:val="24"/>
          <w:szCs w:val="24"/>
        </w:rPr>
        <w:t>finansējuma daļas jeb 39</w:t>
      </w:r>
      <w:r w:rsidRPr="00696564" w:rsidR="00A51CF9">
        <w:rPr>
          <w:rFonts w:ascii="Times New Roman" w:hAnsi="Times New Roman" w:cs="Times New Roman"/>
          <w:sz w:val="24"/>
          <w:szCs w:val="24"/>
        </w:rPr>
        <w:t> </w:t>
      </w:r>
      <w:r w:rsidRPr="00696564">
        <w:rPr>
          <w:rFonts w:ascii="Times New Roman" w:hAnsi="Times New Roman" w:cs="Times New Roman"/>
          <w:sz w:val="24"/>
          <w:szCs w:val="24"/>
        </w:rPr>
        <w:t xml:space="preserve">644 EUR, savukārt noslēguma maksājums būs 47 % apmērā no </w:t>
      </w:r>
      <w:r w:rsidRPr="00696564" w:rsidR="00A51CF9">
        <w:rPr>
          <w:rFonts w:ascii="Times New Roman" w:hAnsi="Times New Roman" w:cs="Times New Roman"/>
          <w:sz w:val="24"/>
          <w:szCs w:val="24"/>
        </w:rPr>
        <w:t xml:space="preserve">Programmas </w:t>
      </w:r>
      <w:r w:rsidRPr="00696564">
        <w:rPr>
          <w:rFonts w:ascii="Times New Roman" w:hAnsi="Times New Roman" w:cs="Times New Roman"/>
          <w:sz w:val="24"/>
          <w:szCs w:val="24"/>
        </w:rPr>
        <w:t>Apvārsnis finansējuma daļas jeb 35</w:t>
      </w:r>
      <w:r w:rsidRPr="00696564" w:rsidR="00A51CF9">
        <w:rPr>
          <w:rFonts w:ascii="Times New Roman" w:hAnsi="Times New Roman" w:cs="Times New Roman"/>
          <w:sz w:val="24"/>
          <w:szCs w:val="24"/>
        </w:rPr>
        <w:t> </w:t>
      </w:r>
      <w:r w:rsidRPr="00696564">
        <w:rPr>
          <w:rFonts w:ascii="Times New Roman" w:hAnsi="Times New Roman" w:cs="Times New Roman"/>
          <w:sz w:val="24"/>
          <w:szCs w:val="24"/>
        </w:rPr>
        <w:t>156  EUR.</w:t>
      </w:r>
    </w:p>
    <w:p w:rsidR="005D3CEF" w:rsidP="005D3CEF" w:rsidRDefault="005D3CEF" w14:paraId="6E74A850" w14:textId="37FCB23B">
      <w:pPr>
        <w:spacing w:after="0" w:line="240" w:lineRule="auto"/>
        <w:ind w:firstLine="720"/>
        <w:jc w:val="both"/>
        <w:rPr>
          <w:rFonts w:ascii="Times New Roman" w:hAnsi="Times New Roman" w:cs="Times New Roman"/>
          <w:sz w:val="24"/>
          <w:szCs w:val="24"/>
        </w:rPr>
      </w:pPr>
      <w:r w:rsidRPr="00696564">
        <w:rPr>
          <w:rFonts w:ascii="Times New Roman" w:hAnsi="Times New Roman" w:cs="Times New Roman"/>
          <w:sz w:val="24"/>
          <w:szCs w:val="24"/>
        </w:rPr>
        <w:t>Papildus VTEB projektā ir plānoti neattiecināmie izdevumi PVN segšanai</w:t>
      </w:r>
      <w:r>
        <w:rPr>
          <w:rFonts w:ascii="Times New Roman" w:hAnsi="Times New Roman" w:cs="Times New Roman"/>
          <w:sz w:val="24"/>
          <w:szCs w:val="24"/>
        </w:rPr>
        <w:t xml:space="preserve"> 4</w:t>
      </w:r>
      <w:r w:rsidR="00A51CF9">
        <w:rPr>
          <w:rFonts w:ascii="Times New Roman" w:hAnsi="Times New Roman" w:cs="Times New Roman"/>
          <w:sz w:val="24"/>
          <w:szCs w:val="24"/>
        </w:rPr>
        <w:t> </w:t>
      </w:r>
      <w:r>
        <w:rPr>
          <w:rFonts w:ascii="Times New Roman" w:hAnsi="Times New Roman" w:cs="Times New Roman"/>
          <w:sz w:val="24"/>
          <w:szCs w:val="24"/>
        </w:rPr>
        <w:t>028 EUR apmērā (precēm un pakalpojumiem). Līdz ar to kopējais nepieciešamais valsts budžeta finansējuma apmērs (ieskaitot priekšfinansējumu un finansējumu neattiecināmo izdevumu (PVN) segšanai) projekta izdevumu segšanai ir 39</w:t>
      </w:r>
      <w:r w:rsidR="00A51CF9">
        <w:rPr>
          <w:rFonts w:ascii="Times New Roman" w:hAnsi="Times New Roman" w:cs="Times New Roman"/>
          <w:sz w:val="24"/>
          <w:szCs w:val="24"/>
        </w:rPr>
        <w:t> </w:t>
      </w:r>
      <w:r>
        <w:rPr>
          <w:rFonts w:ascii="Times New Roman" w:hAnsi="Times New Roman" w:cs="Times New Roman"/>
          <w:sz w:val="24"/>
          <w:szCs w:val="24"/>
        </w:rPr>
        <w:t>184 EUR.</w:t>
      </w:r>
    </w:p>
    <w:p w:rsidR="005D3CEF" w:rsidP="005D3CEF" w:rsidRDefault="005D3CEF" w14:paraId="0C69F023" w14:textId="4472B5CC">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Līdz ar to kopējais plānotais VTEB budžets, tai skaitā, neattiecināmo izmaksu segšanai, VTEB projekta ietvaros ir </w:t>
      </w:r>
      <w:r w:rsidR="007356DE">
        <w:rPr>
          <w:rFonts w:ascii="Times New Roman" w:hAnsi="Times New Roman" w:cs="Times New Roman"/>
          <w:color w:val="000000" w:themeColor="text1"/>
          <w:sz w:val="24"/>
          <w:szCs w:val="24"/>
        </w:rPr>
        <w:t>78 828</w:t>
      </w:r>
      <w:r>
        <w:rPr>
          <w:rFonts w:ascii="Times New Roman" w:hAnsi="Times New Roman" w:cs="Times New Roman"/>
          <w:color w:val="000000" w:themeColor="text1"/>
          <w:sz w:val="24"/>
          <w:szCs w:val="24"/>
        </w:rPr>
        <w:t> EUR, t.sk.</w:t>
      </w:r>
      <w:r w:rsidR="007356DE">
        <w:rPr>
          <w:rFonts w:ascii="Times New Roman" w:hAnsi="Times New Roman" w:cs="Times New Roman"/>
          <w:color w:val="000000" w:themeColor="text1"/>
          <w:sz w:val="24"/>
          <w:szCs w:val="24"/>
        </w:rPr>
        <w:t>:</w:t>
      </w:r>
    </w:p>
    <w:p w:rsidR="005D3CEF" w:rsidP="005D3CEF" w:rsidRDefault="005D3CEF" w14:paraId="23241DF8" w14:textId="79882706">
      <w:pPr>
        <w:pStyle w:val="Sarakstarindkopa"/>
        <w:numPr>
          <w:ilvl w:val="0"/>
          <w:numId w:val="1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A51CF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000 EUR atalgojums;</w:t>
      </w:r>
    </w:p>
    <w:p w:rsidR="005D3CEF" w:rsidP="005D3CEF" w:rsidRDefault="005D3CEF" w14:paraId="3B9E86A4" w14:textId="0A1A41A0">
      <w:pPr>
        <w:pStyle w:val="Sarakstarindkopa"/>
        <w:numPr>
          <w:ilvl w:val="0"/>
          <w:numId w:val="1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A51CF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316 EUR preces un pakalpojumi (projekta sanāksmes organizēšanai Rīgā);</w:t>
      </w:r>
    </w:p>
    <w:p w:rsidR="005D3CEF" w:rsidP="005D3CEF" w:rsidRDefault="005D3CEF" w14:paraId="4BA0095C" w14:textId="2C543FD0">
      <w:pPr>
        <w:pStyle w:val="Sarakstarindkopa"/>
        <w:numPr>
          <w:ilvl w:val="0"/>
          <w:numId w:val="1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A51CF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524 EUR komandējuma izdevumi (ceļš, viesnīca, dienas nauda);</w:t>
      </w:r>
    </w:p>
    <w:p w:rsidR="005D3CEF" w:rsidP="005D3CEF" w:rsidRDefault="005D3CEF" w14:paraId="5593E8B6" w14:textId="77777777">
      <w:pPr>
        <w:pStyle w:val="Sarakstarindkopa"/>
        <w:numPr>
          <w:ilvl w:val="0"/>
          <w:numId w:val="1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14 960 EUR netiešās izmaksas;</w:t>
      </w:r>
    </w:p>
    <w:p w:rsidR="005D3CEF" w:rsidP="005D3CEF" w:rsidRDefault="005D3CEF" w14:paraId="2653633D" w14:textId="3720DA3E">
      <w:pPr>
        <w:pStyle w:val="Sarakstarindkopa"/>
        <w:numPr>
          <w:ilvl w:val="0"/>
          <w:numId w:val="19"/>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51CF9">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028 EUR neattiecināmo izmaksu (PVN) segšanai par preču un pakalpojumu iegādi projekta rezultātu ieviešanai.</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005D3CEF" w:rsidTr="007356DE" w14:paraId="48CAC078" w14:textId="77777777">
        <w:trPr>
          <w:trHeight w:val="381"/>
        </w:trPr>
        <w:tc>
          <w:tcPr>
            <w:tcW w:w="5954" w:type="dxa"/>
            <w:tcBorders>
              <w:top w:val="nil"/>
              <w:left w:val="nil"/>
              <w:bottom w:val="single" w:color="auto" w:sz="8" w:space="0"/>
              <w:right w:val="single" w:color="auto" w:sz="8" w:space="0"/>
            </w:tcBorders>
            <w:tcMar>
              <w:top w:w="0" w:type="dxa"/>
              <w:left w:w="108" w:type="dxa"/>
              <w:bottom w:w="0" w:type="dxa"/>
              <w:right w:w="108" w:type="dxa"/>
            </w:tcMar>
            <w:hideMark/>
          </w:tcPr>
          <w:p w:rsidR="005D3CEF" w:rsidRDefault="005D3CEF" w14:paraId="3687FE20" w14:textId="4450EFB1">
            <w:pPr>
              <w:rPr>
                <w:rFonts w:ascii="Times New Roman" w:hAnsi="Times New Roman" w:cs="Times New Roman"/>
                <w:sz w:val="24"/>
                <w:szCs w:val="24"/>
              </w:rPr>
            </w:pPr>
          </w:p>
        </w:tc>
        <w:tc>
          <w:tcPr>
            <w:tcW w:w="311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005D3CEF" w:rsidRDefault="005D3CEF" w14:paraId="1A2CEE9D" w14:textId="77777777">
            <w:pPr>
              <w:spacing w:before="100" w:beforeAutospacing="1" w:after="100" w:afterAutospacing="1"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Kopējais finansējums, EUR</w:t>
            </w:r>
          </w:p>
        </w:tc>
      </w:tr>
      <w:tr w:rsidR="005D3CEF" w:rsidTr="005D3CEF" w14:paraId="7A80C158"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D3CEF" w:rsidRDefault="005D3CEF" w14:paraId="2546A7B8"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EK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005D3CEF" w:rsidRDefault="005D3CEF" w14:paraId="229CF571" w14:textId="77777777">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74 800</w:t>
            </w:r>
          </w:p>
        </w:tc>
      </w:tr>
      <w:tr w:rsidR="005D3CEF" w:rsidTr="005D3CEF" w14:paraId="775B95EF"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D3CEF" w:rsidRDefault="005D3CEF" w14:paraId="3886503E"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Nacionālais līdzfinansējums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005D3CEF" w:rsidRDefault="005D3CEF" w14:paraId="13C13D5B" w14:textId="77777777">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0</w:t>
            </w:r>
          </w:p>
        </w:tc>
      </w:tr>
      <w:tr w:rsidR="005D3CEF" w:rsidTr="005D3CEF" w14:paraId="0AA94DC7"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D3CEF" w:rsidRDefault="005D3CEF" w14:paraId="0F93F5C7"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Priekšfinansējums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005D3CEF" w:rsidRDefault="005D3CEF" w14:paraId="3A4881D3" w14:textId="77777777">
            <w:pPr>
              <w:spacing w:before="100" w:beforeAutospacing="1" w:after="100" w:afterAutospacing="1" w:line="240" w:lineRule="auto"/>
              <w:jc w:val="right"/>
              <w:rPr>
                <w:rFonts w:ascii="Times New Roman" w:hAnsi="Times New Roman" w:eastAsia="Times New Roman" w:cs="Times New Roman"/>
                <w:b/>
                <w:bCs/>
                <w:sz w:val="24"/>
                <w:szCs w:val="24"/>
                <w:lang w:eastAsia="lv-LV"/>
              </w:rPr>
            </w:pPr>
            <w:bookmarkStart w:name="_Hlk30759688" w:id="5"/>
            <w:r>
              <w:rPr>
                <w:rFonts w:ascii="Times New Roman" w:hAnsi="Times New Roman" w:eastAsia="Times New Roman" w:cs="Times New Roman"/>
                <w:b/>
                <w:bCs/>
                <w:sz w:val="24"/>
                <w:szCs w:val="24"/>
                <w:lang w:eastAsia="lv-LV"/>
              </w:rPr>
              <w:t>35 156</w:t>
            </w:r>
            <w:bookmarkEnd w:id="5"/>
          </w:p>
        </w:tc>
      </w:tr>
      <w:tr w:rsidR="005D3CEF" w:rsidTr="005D3CEF" w14:paraId="616C122D" w14:textId="77777777">
        <w:tc>
          <w:tcPr>
            <w:tcW w:w="5954"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5D3CEF" w:rsidRDefault="005D3CEF" w14:paraId="1C1981C5" w14:textId="77777777">
            <w:pPr>
              <w:spacing w:before="100" w:beforeAutospacing="1" w:after="100" w:afterAutospacing="1"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Finansējums neattiecināmo izdevumu segšanai (nacionālais finansējums)</w:t>
            </w:r>
          </w:p>
        </w:tc>
        <w:tc>
          <w:tcPr>
            <w:tcW w:w="3118" w:type="dxa"/>
            <w:tcBorders>
              <w:top w:val="nil"/>
              <w:left w:val="nil"/>
              <w:bottom w:val="single" w:color="auto" w:sz="8" w:space="0"/>
              <w:right w:val="single" w:color="auto" w:sz="8" w:space="0"/>
            </w:tcBorders>
            <w:tcMar>
              <w:top w:w="0" w:type="dxa"/>
              <w:left w:w="108" w:type="dxa"/>
              <w:bottom w:w="0" w:type="dxa"/>
              <w:right w:w="108" w:type="dxa"/>
            </w:tcMar>
            <w:hideMark/>
          </w:tcPr>
          <w:p w:rsidR="005D3CEF" w:rsidRDefault="005D3CEF" w14:paraId="19941811" w14:textId="77777777">
            <w:pPr>
              <w:spacing w:before="100" w:beforeAutospacing="1" w:after="100" w:afterAutospacing="1" w:line="240" w:lineRule="auto"/>
              <w:jc w:val="right"/>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4 028</w:t>
            </w:r>
          </w:p>
        </w:tc>
      </w:tr>
      <w:tr w:rsidR="005D3CEF" w:rsidTr="005D3CEF" w14:paraId="18EF71A5" w14:textId="77777777">
        <w:tc>
          <w:tcPr>
            <w:tcW w:w="5954" w:type="dxa"/>
            <w:tcBorders>
              <w:top w:val="nil"/>
              <w:left w:val="single" w:color="auto" w:sz="8" w:space="0"/>
              <w:bottom w:val="single" w:color="auto" w:sz="8" w:space="0"/>
              <w:right w:val="single" w:color="auto" w:sz="8" w:space="0"/>
            </w:tcBorders>
            <w:shd w:val="clear" w:color="auto" w:fill="F2F2F2"/>
            <w:tcMar>
              <w:top w:w="0" w:type="dxa"/>
              <w:left w:w="108" w:type="dxa"/>
              <w:bottom w:w="0" w:type="dxa"/>
              <w:right w:w="108" w:type="dxa"/>
            </w:tcMar>
            <w:hideMark/>
          </w:tcPr>
          <w:p w:rsidR="005D3CEF" w:rsidP="00AE2C3A" w:rsidRDefault="005D3CEF" w14:paraId="0A022590" w14:textId="77777777">
            <w:pPr>
              <w:spacing w:after="0" w:line="240" w:lineRule="auto"/>
              <w:jc w:val="right"/>
              <w:rPr>
                <w:rFonts w:ascii="Times New Roman" w:hAnsi="Times New Roman" w:eastAsia="Times New Roman" w:cs="Times New Roman"/>
                <w:sz w:val="24"/>
                <w:szCs w:val="24"/>
                <w:lang w:eastAsia="lv-LV"/>
              </w:rPr>
            </w:pPr>
            <w:r>
              <w:rPr>
                <w:rFonts w:ascii="Times New Roman" w:hAnsi="Times New Roman" w:eastAsia="Times New Roman" w:cs="Times New Roman"/>
                <w:b/>
                <w:bCs/>
                <w:sz w:val="24"/>
                <w:szCs w:val="24"/>
                <w:lang w:eastAsia="lv-LV"/>
              </w:rPr>
              <w:t>KOPĀ</w:t>
            </w:r>
          </w:p>
        </w:tc>
        <w:tc>
          <w:tcPr>
            <w:tcW w:w="3118" w:type="dxa"/>
            <w:tcBorders>
              <w:top w:val="nil"/>
              <w:left w:val="nil"/>
              <w:bottom w:val="single" w:color="auto" w:sz="8" w:space="0"/>
              <w:right w:val="single" w:color="auto" w:sz="8" w:space="0"/>
            </w:tcBorders>
            <w:shd w:val="clear" w:color="auto" w:fill="F2F2F2"/>
            <w:tcMar>
              <w:top w:w="0" w:type="dxa"/>
              <w:left w:w="108" w:type="dxa"/>
              <w:bottom w:w="0" w:type="dxa"/>
              <w:right w:w="108" w:type="dxa"/>
            </w:tcMar>
            <w:hideMark/>
          </w:tcPr>
          <w:p w:rsidR="005D3CEF" w:rsidP="00AE2C3A" w:rsidRDefault="005D3CEF" w14:paraId="0F67B74B" w14:textId="77777777">
            <w:pPr>
              <w:spacing w:after="0" w:line="240" w:lineRule="auto"/>
              <w:jc w:val="right"/>
              <w:rPr>
                <w:rFonts w:ascii="Times New Roman" w:hAnsi="Times New Roman" w:eastAsia="Times New Roman" w:cs="Times New Roman"/>
                <w:b/>
                <w:sz w:val="24"/>
                <w:szCs w:val="24"/>
                <w:lang w:eastAsia="lv-LV"/>
              </w:rPr>
            </w:pPr>
            <w:r>
              <w:rPr>
                <w:rFonts w:ascii="Times New Roman" w:hAnsi="Times New Roman" w:eastAsia="Times New Roman" w:cs="Times New Roman"/>
                <w:b/>
                <w:sz w:val="24"/>
                <w:szCs w:val="24"/>
                <w:lang w:eastAsia="lv-LV"/>
              </w:rPr>
              <w:t>113 984</w:t>
            </w:r>
          </w:p>
        </w:tc>
      </w:tr>
    </w:tbl>
    <w:p w:rsidR="005D3CEF" w:rsidP="00AE2C3A" w:rsidRDefault="005D3CEF" w14:paraId="34E77FAA" w14:textId="77777777">
      <w:pPr>
        <w:spacing w:after="0" w:line="240" w:lineRule="auto"/>
        <w:jc w:val="both"/>
        <w:rPr>
          <w:rFonts w:ascii="Times New Roman" w:hAnsi="Times New Roman" w:eastAsia="Times New Roman" w:cs="Times New Roman"/>
          <w:sz w:val="24"/>
          <w:szCs w:val="24"/>
          <w:lang w:eastAsia="lv-LV"/>
        </w:rPr>
      </w:pPr>
    </w:p>
    <w:p w:rsidR="005D3CEF" w:rsidP="00AE2C3A" w:rsidRDefault="005D3CEF" w14:paraId="3019637E" w14:textId="77777777">
      <w:pPr>
        <w:spacing w:after="0" w:line="240" w:lineRule="auto"/>
        <w:ind w:firstLine="720"/>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VTEB </w:t>
      </w:r>
      <w:bookmarkStart w:name="_Hlk11308000" w:id="6"/>
      <w:r>
        <w:rPr>
          <w:rFonts w:ascii="Times New Roman" w:hAnsi="Times New Roman" w:eastAsia="Times New Roman" w:cs="Times New Roman"/>
          <w:sz w:val="24"/>
          <w:szCs w:val="24"/>
          <w:lang w:eastAsia="lv-LV"/>
        </w:rPr>
        <w:t>projektam nepieciešamais finansējums (EUR) pa finansējuma veidiem un sadalījumā pa gadiem:</w:t>
      </w:r>
    </w:p>
    <w:tbl>
      <w:tblPr>
        <w:tblW w:w="9105" w:type="dxa"/>
        <w:tblInd w:w="108" w:type="dxa"/>
        <w:tblLayout w:type="fixed"/>
        <w:tblCellMar>
          <w:left w:w="0" w:type="dxa"/>
          <w:right w:w="0" w:type="dxa"/>
        </w:tblCellMar>
        <w:tblLook w:val="04A0" w:firstRow="1" w:lastRow="0" w:firstColumn="1" w:lastColumn="0" w:noHBand="0" w:noVBand="1"/>
      </w:tblPr>
      <w:tblGrid>
        <w:gridCol w:w="3293"/>
        <w:gridCol w:w="993"/>
        <w:gridCol w:w="850"/>
        <w:gridCol w:w="851"/>
        <w:gridCol w:w="850"/>
        <w:gridCol w:w="1135"/>
        <w:gridCol w:w="1133"/>
      </w:tblGrid>
      <w:tr w:rsidR="005D3CEF" w:rsidTr="005C318F" w14:paraId="03B8FB31" w14:textId="77777777">
        <w:trPr>
          <w:trHeight w:val="427"/>
        </w:trPr>
        <w:tc>
          <w:tcPr>
            <w:tcW w:w="3293" w:type="dxa"/>
            <w:tcBorders>
              <w:top w:val="nil"/>
              <w:left w:val="nil"/>
              <w:bottom w:val="single" w:color="auto" w:sz="8" w:space="0"/>
              <w:right w:val="single" w:color="auto" w:sz="8" w:space="0"/>
            </w:tcBorders>
            <w:tcMar>
              <w:top w:w="0" w:type="dxa"/>
              <w:left w:w="108" w:type="dxa"/>
              <w:bottom w:w="0" w:type="dxa"/>
              <w:right w:w="108" w:type="dxa"/>
            </w:tcMar>
            <w:hideMark/>
          </w:tcPr>
          <w:bookmarkEnd w:id="6"/>
          <w:p w:rsidR="005D3CEF" w:rsidRDefault="005D3CEF" w14:paraId="076525E3" w14:textId="77777777">
            <w:p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 </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7356DE" w:rsidR="005D3CEF" w:rsidP="007356DE" w:rsidRDefault="005D3CEF" w14:paraId="4E6B30E2" w14:textId="77777777">
            <w:pPr>
              <w:spacing w:before="100" w:beforeAutospacing="1" w:after="0" w:line="240" w:lineRule="auto"/>
              <w:jc w:val="center"/>
              <w:rPr>
                <w:rFonts w:ascii="Times New Roman" w:hAnsi="Times New Roman" w:cs="Times New Roman"/>
                <w:b/>
              </w:rPr>
            </w:pPr>
            <w:r w:rsidRPr="007356DE">
              <w:rPr>
                <w:rFonts w:ascii="Times New Roman" w:hAnsi="Times New Roman" w:cs="Times New Roman"/>
                <w:b/>
                <w:bCs/>
              </w:rPr>
              <w:t>2020</w:t>
            </w:r>
          </w:p>
        </w:tc>
        <w:tc>
          <w:tcPr>
            <w:tcW w:w="85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hideMark/>
          </w:tcPr>
          <w:p w:rsidRPr="007356DE" w:rsidR="005D3CEF" w:rsidP="007356DE" w:rsidRDefault="005D3CEF" w14:paraId="013F2985" w14:textId="77777777">
            <w:pPr>
              <w:spacing w:before="100" w:beforeAutospacing="1" w:after="0" w:line="240" w:lineRule="auto"/>
              <w:jc w:val="center"/>
              <w:rPr>
                <w:rFonts w:ascii="Times New Roman" w:hAnsi="Times New Roman" w:cs="Times New Roman"/>
                <w:b/>
              </w:rPr>
            </w:pPr>
            <w:r w:rsidRPr="007356DE">
              <w:rPr>
                <w:rFonts w:ascii="Times New Roman" w:hAnsi="Times New Roman" w:cs="Times New Roman"/>
                <w:b/>
                <w:bCs/>
              </w:rPr>
              <w:t>2021</w:t>
            </w:r>
          </w:p>
        </w:tc>
        <w:tc>
          <w:tcPr>
            <w:tcW w:w="851" w:type="dxa"/>
            <w:tcBorders>
              <w:top w:val="single" w:color="auto" w:sz="4" w:space="0"/>
              <w:left w:val="single" w:color="auto" w:sz="4" w:space="0"/>
              <w:bottom w:val="single" w:color="auto" w:sz="4" w:space="0"/>
              <w:right w:val="single" w:color="auto" w:sz="4" w:space="0"/>
            </w:tcBorders>
            <w:shd w:val="clear" w:color="auto" w:fill="F2F2F2"/>
            <w:vAlign w:val="center"/>
            <w:hideMark/>
          </w:tcPr>
          <w:p w:rsidRPr="007356DE" w:rsidR="005D3CEF" w:rsidP="007356DE" w:rsidRDefault="005D3CEF" w14:paraId="6F287781" w14:textId="77777777">
            <w:pPr>
              <w:spacing w:before="100" w:beforeAutospacing="1" w:after="0" w:line="240" w:lineRule="auto"/>
              <w:jc w:val="center"/>
              <w:rPr>
                <w:rFonts w:ascii="Times New Roman" w:hAnsi="Times New Roman" w:cs="Times New Roman"/>
                <w:b/>
                <w:bCs/>
              </w:rPr>
            </w:pPr>
            <w:r w:rsidRPr="007356DE">
              <w:rPr>
                <w:rFonts w:ascii="Times New Roman" w:hAnsi="Times New Roman" w:cs="Times New Roman"/>
                <w:b/>
                <w:bCs/>
              </w:rPr>
              <w:t>2022</w:t>
            </w:r>
          </w:p>
        </w:tc>
        <w:tc>
          <w:tcPr>
            <w:tcW w:w="850" w:type="dxa"/>
            <w:tcBorders>
              <w:top w:val="single" w:color="auto" w:sz="8" w:space="0"/>
              <w:left w:val="single" w:color="auto" w:sz="4" w:space="0"/>
              <w:bottom w:val="single" w:color="auto" w:sz="8" w:space="0"/>
              <w:right w:val="single" w:color="auto" w:sz="4" w:space="0"/>
            </w:tcBorders>
            <w:shd w:val="clear" w:color="auto" w:fill="F2F2F2"/>
            <w:vAlign w:val="center"/>
            <w:hideMark/>
          </w:tcPr>
          <w:p w:rsidRPr="007356DE" w:rsidR="005D3CEF" w:rsidP="007356DE" w:rsidRDefault="005D3CEF" w14:paraId="7E7D85CC" w14:textId="77777777">
            <w:pPr>
              <w:spacing w:before="100" w:beforeAutospacing="1" w:after="0" w:line="240" w:lineRule="auto"/>
              <w:jc w:val="center"/>
              <w:rPr>
                <w:rFonts w:ascii="Times New Roman" w:hAnsi="Times New Roman" w:cs="Times New Roman"/>
                <w:b/>
                <w:bCs/>
              </w:rPr>
            </w:pPr>
            <w:r w:rsidRPr="007356DE">
              <w:rPr>
                <w:rFonts w:ascii="Times New Roman" w:hAnsi="Times New Roman" w:cs="Times New Roman"/>
                <w:b/>
                <w:bCs/>
              </w:rPr>
              <w:t>2023</w:t>
            </w:r>
          </w:p>
        </w:tc>
        <w:tc>
          <w:tcPr>
            <w:tcW w:w="1135" w:type="dxa"/>
            <w:tcBorders>
              <w:top w:val="single" w:color="auto" w:sz="8" w:space="0"/>
              <w:left w:val="single" w:color="auto" w:sz="4" w:space="0"/>
              <w:bottom w:val="single" w:color="auto" w:sz="8" w:space="0"/>
              <w:right w:val="single" w:color="auto" w:sz="4" w:space="0"/>
            </w:tcBorders>
            <w:shd w:val="clear" w:color="auto" w:fill="F2F2F2"/>
            <w:vAlign w:val="center"/>
            <w:hideMark/>
          </w:tcPr>
          <w:p w:rsidRPr="007356DE" w:rsidR="005D3CEF" w:rsidP="007356DE" w:rsidRDefault="005D3CEF" w14:paraId="3082EB1B" w14:textId="77777777">
            <w:pPr>
              <w:spacing w:before="100" w:beforeAutospacing="1" w:after="0" w:line="240" w:lineRule="auto"/>
              <w:jc w:val="center"/>
              <w:rPr>
                <w:rFonts w:ascii="Times New Roman" w:hAnsi="Times New Roman" w:cs="Times New Roman"/>
                <w:b/>
                <w:bCs/>
              </w:rPr>
            </w:pPr>
            <w:r w:rsidRPr="007356DE">
              <w:rPr>
                <w:rFonts w:ascii="Times New Roman" w:hAnsi="Times New Roman" w:cs="Times New Roman"/>
                <w:b/>
                <w:bCs/>
              </w:rPr>
              <w:t>2024</w:t>
            </w:r>
          </w:p>
        </w:tc>
        <w:tc>
          <w:tcPr>
            <w:tcW w:w="1133" w:type="dxa"/>
            <w:tcBorders>
              <w:top w:val="single" w:color="auto" w:sz="8" w:space="0"/>
              <w:left w:val="nil"/>
              <w:bottom w:val="single" w:color="auto" w:sz="8" w:space="0"/>
              <w:right w:val="single" w:color="auto" w:sz="8" w:space="0"/>
            </w:tcBorders>
            <w:shd w:val="clear" w:color="auto" w:fill="F2F2F2"/>
            <w:tcMar>
              <w:top w:w="0" w:type="dxa"/>
              <w:left w:w="108" w:type="dxa"/>
              <w:bottom w:w="0" w:type="dxa"/>
              <w:right w:w="108" w:type="dxa"/>
            </w:tcMar>
            <w:vAlign w:val="center"/>
            <w:hideMark/>
          </w:tcPr>
          <w:p w:rsidRPr="007356DE" w:rsidR="005D3CEF" w:rsidP="007356DE" w:rsidRDefault="005D3CEF" w14:paraId="2982385C" w14:textId="77777777">
            <w:pPr>
              <w:spacing w:before="100" w:beforeAutospacing="1" w:after="0" w:line="240" w:lineRule="auto"/>
              <w:jc w:val="center"/>
              <w:rPr>
                <w:rFonts w:ascii="Times New Roman" w:hAnsi="Times New Roman" w:cs="Times New Roman"/>
                <w:b/>
              </w:rPr>
            </w:pPr>
            <w:r w:rsidRPr="007356DE">
              <w:rPr>
                <w:rFonts w:ascii="Times New Roman" w:hAnsi="Times New Roman" w:cs="Times New Roman"/>
                <w:b/>
                <w:bCs/>
              </w:rPr>
              <w:t>KOPĀ</w:t>
            </w:r>
          </w:p>
        </w:tc>
      </w:tr>
      <w:tr w:rsidR="005D3CEF" w:rsidTr="005C318F" w14:paraId="384F6BC4" w14:textId="77777777">
        <w:tc>
          <w:tcPr>
            <w:tcW w:w="329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56DE" w:rsidR="005D3CEF" w:rsidRDefault="005D3CEF" w14:paraId="6A892B24" w14:textId="77777777">
            <w:pPr>
              <w:spacing w:before="100" w:beforeAutospacing="1" w:after="0" w:line="240" w:lineRule="auto"/>
              <w:jc w:val="both"/>
              <w:rPr>
                <w:rFonts w:ascii="Times New Roman" w:hAnsi="Times New Roman" w:cs="Times New Roman"/>
                <w:b/>
                <w:bCs/>
              </w:rPr>
            </w:pPr>
            <w:r w:rsidRPr="007356DE">
              <w:rPr>
                <w:rFonts w:ascii="Times New Roman" w:hAnsi="Times New Roman" w:cs="Times New Roman"/>
                <w:b/>
                <w:bCs/>
              </w:rPr>
              <w:t>Avansa/noslēguma maksājums</w:t>
            </w:r>
          </w:p>
        </w:tc>
        <w:tc>
          <w:tcPr>
            <w:tcW w:w="993" w:type="dxa"/>
            <w:tcBorders>
              <w:top w:val="nil"/>
              <w:left w:val="nil"/>
              <w:bottom w:val="single" w:color="auto" w:sz="8" w:space="0"/>
              <w:right w:val="single" w:color="auto" w:sz="8" w:space="0"/>
            </w:tcBorders>
            <w:tcMar>
              <w:top w:w="0" w:type="dxa"/>
              <w:left w:w="108" w:type="dxa"/>
              <w:bottom w:w="0" w:type="dxa"/>
              <w:right w:w="57" w:type="dxa"/>
            </w:tcMar>
            <w:vAlign w:val="center"/>
            <w:hideMark/>
          </w:tcPr>
          <w:p w:rsidRPr="007356DE" w:rsidR="005D3CEF" w:rsidP="007356DE" w:rsidRDefault="005D3CEF" w14:paraId="2B48E197"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39 644</w:t>
            </w:r>
          </w:p>
        </w:tc>
        <w:tc>
          <w:tcPr>
            <w:tcW w:w="850" w:type="dxa"/>
            <w:tcBorders>
              <w:top w:val="nil"/>
              <w:left w:val="nil"/>
              <w:bottom w:val="single" w:color="auto" w:sz="8" w:space="0"/>
              <w:right w:val="single" w:color="auto" w:sz="4" w:space="0"/>
            </w:tcBorders>
            <w:tcMar>
              <w:top w:w="0" w:type="dxa"/>
              <w:left w:w="108" w:type="dxa"/>
              <w:bottom w:w="0" w:type="dxa"/>
              <w:right w:w="57" w:type="dxa"/>
            </w:tcMar>
            <w:vAlign w:val="center"/>
            <w:hideMark/>
          </w:tcPr>
          <w:p w:rsidRPr="007356DE" w:rsidR="005D3CEF" w:rsidP="007356DE" w:rsidRDefault="005D3CEF" w14:paraId="26032BB5" w14:textId="77777777">
            <w:pPr>
              <w:tabs>
                <w:tab w:val="left" w:pos="360"/>
              </w:tabs>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hideMark/>
          </w:tcPr>
          <w:p w:rsidRPr="007356DE" w:rsidR="005D3CEF" w:rsidP="007356DE" w:rsidRDefault="005D3CEF" w14:paraId="62B08E07"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0"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2A458321"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1135"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47C441A2"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35 156</w:t>
            </w:r>
          </w:p>
        </w:tc>
        <w:tc>
          <w:tcPr>
            <w:tcW w:w="1133" w:type="dxa"/>
            <w:tcBorders>
              <w:top w:val="nil"/>
              <w:left w:val="nil"/>
              <w:bottom w:val="single" w:color="auto" w:sz="8" w:space="0"/>
              <w:right w:val="single" w:color="auto" w:sz="8" w:space="0"/>
            </w:tcBorders>
            <w:shd w:val="clear" w:color="auto" w:fill="F2F2F2"/>
            <w:tcMar>
              <w:top w:w="0" w:type="dxa"/>
              <w:left w:w="108" w:type="dxa"/>
              <w:bottom w:w="0" w:type="dxa"/>
              <w:right w:w="57" w:type="dxa"/>
            </w:tcMar>
            <w:vAlign w:val="center"/>
            <w:hideMark/>
          </w:tcPr>
          <w:p w:rsidRPr="007356DE" w:rsidR="005D3CEF" w:rsidRDefault="005D3CEF" w14:paraId="4F16C9FA"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74 800</w:t>
            </w:r>
          </w:p>
        </w:tc>
      </w:tr>
      <w:tr w:rsidR="005D3CEF" w:rsidTr="005C318F" w14:paraId="1A040A12" w14:textId="77777777">
        <w:tc>
          <w:tcPr>
            <w:tcW w:w="329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56DE" w:rsidR="005D3CEF" w:rsidRDefault="005D3CEF" w14:paraId="59E5FFEA" w14:textId="77777777">
            <w:pPr>
              <w:spacing w:before="100" w:beforeAutospacing="1" w:after="0" w:line="240" w:lineRule="auto"/>
              <w:jc w:val="both"/>
              <w:rPr>
                <w:rFonts w:ascii="Times New Roman" w:hAnsi="Times New Roman" w:cs="Times New Roman"/>
                <w:b/>
              </w:rPr>
            </w:pPr>
            <w:r w:rsidRPr="007356DE">
              <w:rPr>
                <w:rFonts w:ascii="Times New Roman" w:hAnsi="Times New Roman" w:cs="Times New Roman"/>
                <w:b/>
                <w:bCs/>
              </w:rPr>
              <w:t>Attiecināmie izdevumi (EK līdzfinansējums)</w:t>
            </w:r>
          </w:p>
        </w:tc>
        <w:tc>
          <w:tcPr>
            <w:tcW w:w="993" w:type="dxa"/>
            <w:tcBorders>
              <w:top w:val="nil"/>
              <w:left w:val="nil"/>
              <w:bottom w:val="single" w:color="auto" w:sz="8" w:space="0"/>
              <w:right w:val="single" w:color="auto" w:sz="8" w:space="0"/>
            </w:tcBorders>
            <w:tcMar>
              <w:top w:w="0" w:type="dxa"/>
              <w:left w:w="108" w:type="dxa"/>
              <w:bottom w:w="0" w:type="dxa"/>
              <w:right w:w="57" w:type="dxa"/>
            </w:tcMar>
            <w:vAlign w:val="center"/>
            <w:hideMark/>
          </w:tcPr>
          <w:p w:rsidRPr="007356DE" w:rsidR="005D3CEF" w:rsidP="007356DE" w:rsidRDefault="005D3CEF" w14:paraId="6797994F"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12 500</w:t>
            </w:r>
          </w:p>
        </w:tc>
        <w:tc>
          <w:tcPr>
            <w:tcW w:w="850" w:type="dxa"/>
            <w:tcBorders>
              <w:top w:val="nil"/>
              <w:left w:val="nil"/>
              <w:bottom w:val="single" w:color="auto" w:sz="8" w:space="0"/>
              <w:right w:val="single" w:color="auto" w:sz="4" w:space="0"/>
            </w:tcBorders>
            <w:tcMar>
              <w:top w:w="0" w:type="dxa"/>
              <w:left w:w="108" w:type="dxa"/>
              <w:bottom w:w="0" w:type="dxa"/>
              <w:right w:w="57" w:type="dxa"/>
            </w:tcMar>
            <w:vAlign w:val="center"/>
            <w:hideMark/>
          </w:tcPr>
          <w:p w:rsidRPr="007356DE" w:rsidR="005D3CEF" w:rsidP="007356DE" w:rsidRDefault="005D3CEF" w14:paraId="3DE15BB8"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19 290</w:t>
            </w: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hideMark/>
          </w:tcPr>
          <w:p w:rsidRPr="007356DE" w:rsidR="005D3CEF" w:rsidP="007356DE" w:rsidRDefault="005D3CEF" w14:paraId="09886A87"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7 854</w:t>
            </w:r>
          </w:p>
        </w:tc>
        <w:tc>
          <w:tcPr>
            <w:tcW w:w="850"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516B77DC"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1135"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22E22351"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1133" w:type="dxa"/>
            <w:tcBorders>
              <w:top w:val="nil"/>
              <w:left w:val="nil"/>
              <w:bottom w:val="single" w:color="auto" w:sz="8" w:space="0"/>
              <w:right w:val="single" w:color="auto" w:sz="8" w:space="0"/>
            </w:tcBorders>
            <w:shd w:val="clear" w:color="auto" w:fill="F2F2F2"/>
            <w:tcMar>
              <w:top w:w="0" w:type="dxa"/>
              <w:left w:w="108" w:type="dxa"/>
              <w:bottom w:w="0" w:type="dxa"/>
              <w:right w:w="57" w:type="dxa"/>
            </w:tcMar>
            <w:vAlign w:val="center"/>
            <w:hideMark/>
          </w:tcPr>
          <w:p w:rsidRPr="007356DE" w:rsidR="005D3CEF" w:rsidRDefault="005D3CEF" w14:paraId="58719F95"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39 644</w:t>
            </w:r>
          </w:p>
        </w:tc>
      </w:tr>
      <w:tr w:rsidR="005D3CEF" w:rsidTr="005C318F" w14:paraId="427E50F6" w14:textId="77777777">
        <w:tc>
          <w:tcPr>
            <w:tcW w:w="329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56DE" w:rsidR="005D3CEF" w:rsidRDefault="005D3CEF" w14:paraId="28032071" w14:textId="77777777">
            <w:pPr>
              <w:spacing w:before="100" w:beforeAutospacing="1" w:after="0" w:line="240" w:lineRule="auto"/>
              <w:jc w:val="both"/>
              <w:rPr>
                <w:rFonts w:ascii="Times New Roman" w:hAnsi="Times New Roman" w:cs="Times New Roman"/>
                <w:b/>
                <w:bCs/>
              </w:rPr>
            </w:pPr>
            <w:r w:rsidRPr="007356DE">
              <w:rPr>
                <w:rFonts w:ascii="Times New Roman" w:hAnsi="Times New Roman" w:cs="Times New Roman"/>
                <w:b/>
                <w:bCs/>
              </w:rPr>
              <w:t>Attiecināmie izdevumi (Nacionālais līdzfinansējums)</w:t>
            </w:r>
          </w:p>
        </w:tc>
        <w:tc>
          <w:tcPr>
            <w:tcW w:w="993" w:type="dxa"/>
            <w:tcBorders>
              <w:top w:val="nil"/>
              <w:left w:val="nil"/>
              <w:bottom w:val="single" w:color="auto" w:sz="8" w:space="0"/>
              <w:right w:val="single" w:color="auto" w:sz="8" w:space="0"/>
            </w:tcBorders>
            <w:tcMar>
              <w:top w:w="0" w:type="dxa"/>
              <w:left w:w="108" w:type="dxa"/>
              <w:bottom w:w="0" w:type="dxa"/>
              <w:right w:w="57" w:type="dxa"/>
            </w:tcMar>
            <w:vAlign w:val="center"/>
            <w:hideMark/>
          </w:tcPr>
          <w:p w:rsidRPr="007356DE" w:rsidR="005D3CEF" w:rsidP="007356DE" w:rsidRDefault="005D3CEF" w14:paraId="1B0068F8"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0" w:type="dxa"/>
            <w:tcBorders>
              <w:top w:val="nil"/>
              <w:left w:val="nil"/>
              <w:bottom w:val="single" w:color="auto" w:sz="8" w:space="0"/>
              <w:right w:val="single" w:color="auto" w:sz="4" w:space="0"/>
            </w:tcBorders>
            <w:tcMar>
              <w:top w:w="0" w:type="dxa"/>
              <w:left w:w="108" w:type="dxa"/>
              <w:bottom w:w="0" w:type="dxa"/>
              <w:right w:w="57" w:type="dxa"/>
            </w:tcMar>
            <w:vAlign w:val="center"/>
            <w:hideMark/>
          </w:tcPr>
          <w:p w:rsidRPr="007356DE" w:rsidR="005D3CEF" w:rsidP="007356DE" w:rsidRDefault="005D3CEF" w14:paraId="79C7A45E"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hideMark/>
          </w:tcPr>
          <w:p w:rsidRPr="007356DE" w:rsidR="005D3CEF" w:rsidP="007356DE" w:rsidRDefault="005D3CEF" w14:paraId="7AF9A5C7"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0"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5659B868"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1135"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4B044406"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1133" w:type="dxa"/>
            <w:tcBorders>
              <w:top w:val="nil"/>
              <w:left w:val="nil"/>
              <w:bottom w:val="single" w:color="auto" w:sz="8" w:space="0"/>
              <w:right w:val="single" w:color="auto" w:sz="8" w:space="0"/>
            </w:tcBorders>
            <w:shd w:val="clear" w:color="auto" w:fill="F2F2F2"/>
            <w:tcMar>
              <w:top w:w="0" w:type="dxa"/>
              <w:left w:w="108" w:type="dxa"/>
              <w:bottom w:w="0" w:type="dxa"/>
              <w:right w:w="57" w:type="dxa"/>
            </w:tcMar>
            <w:vAlign w:val="center"/>
            <w:hideMark/>
          </w:tcPr>
          <w:p w:rsidRPr="007356DE" w:rsidR="005D3CEF" w:rsidRDefault="005D3CEF" w14:paraId="7DB276A3"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r>
      <w:tr w:rsidR="005D3CEF" w:rsidTr="005C318F" w14:paraId="730921F6" w14:textId="77777777">
        <w:tc>
          <w:tcPr>
            <w:tcW w:w="3293"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7356DE" w:rsidR="005D3CEF" w:rsidRDefault="005D3CEF" w14:paraId="02F4D00D" w14:textId="77777777">
            <w:pPr>
              <w:spacing w:before="100" w:beforeAutospacing="1" w:after="0" w:line="240" w:lineRule="auto"/>
              <w:jc w:val="both"/>
              <w:rPr>
                <w:rFonts w:ascii="Times New Roman" w:hAnsi="Times New Roman" w:cs="Times New Roman"/>
                <w:b/>
              </w:rPr>
            </w:pPr>
            <w:r w:rsidRPr="007356DE">
              <w:rPr>
                <w:rFonts w:ascii="Times New Roman" w:hAnsi="Times New Roman" w:cs="Times New Roman"/>
                <w:b/>
                <w:bCs/>
              </w:rPr>
              <w:t>Attiecināmie izdevumi – priekšfinansējums (Nacionālais finansējums)</w:t>
            </w:r>
          </w:p>
        </w:tc>
        <w:tc>
          <w:tcPr>
            <w:tcW w:w="993" w:type="dxa"/>
            <w:tcBorders>
              <w:top w:val="nil"/>
              <w:left w:val="nil"/>
              <w:bottom w:val="single" w:color="auto" w:sz="8" w:space="0"/>
              <w:right w:val="single" w:color="auto" w:sz="8" w:space="0"/>
            </w:tcBorders>
            <w:tcMar>
              <w:top w:w="0" w:type="dxa"/>
              <w:left w:w="108" w:type="dxa"/>
              <w:bottom w:w="0" w:type="dxa"/>
              <w:right w:w="57" w:type="dxa"/>
            </w:tcMar>
            <w:vAlign w:val="center"/>
            <w:hideMark/>
          </w:tcPr>
          <w:p w:rsidRPr="007356DE" w:rsidR="005D3CEF" w:rsidP="007356DE" w:rsidRDefault="005D3CEF" w14:paraId="04DE3EAB"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0" w:type="dxa"/>
            <w:tcBorders>
              <w:top w:val="nil"/>
              <w:left w:val="nil"/>
              <w:bottom w:val="single" w:color="auto" w:sz="8" w:space="0"/>
              <w:right w:val="single" w:color="auto" w:sz="4" w:space="0"/>
            </w:tcBorders>
            <w:tcMar>
              <w:top w:w="0" w:type="dxa"/>
              <w:left w:w="108" w:type="dxa"/>
              <w:bottom w:w="0" w:type="dxa"/>
              <w:right w:w="57" w:type="dxa"/>
            </w:tcMar>
            <w:vAlign w:val="center"/>
            <w:hideMark/>
          </w:tcPr>
          <w:p w:rsidRPr="007356DE" w:rsidR="005D3CEF" w:rsidP="007356DE" w:rsidRDefault="005D3CEF" w14:paraId="5D16E596"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hideMark/>
          </w:tcPr>
          <w:p w:rsidRPr="007356DE" w:rsidR="005D3CEF" w:rsidP="007356DE" w:rsidRDefault="005D3CEF" w14:paraId="5272968E"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11 436</w:t>
            </w:r>
          </w:p>
        </w:tc>
        <w:tc>
          <w:tcPr>
            <w:tcW w:w="850"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1106A5CC"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18 242</w:t>
            </w:r>
          </w:p>
        </w:tc>
        <w:tc>
          <w:tcPr>
            <w:tcW w:w="1135" w:type="dxa"/>
            <w:tcBorders>
              <w:top w:val="nil"/>
              <w:left w:val="single" w:color="auto" w:sz="4" w:space="0"/>
              <w:bottom w:val="single" w:color="auto" w:sz="8" w:space="0"/>
              <w:right w:val="single" w:color="auto" w:sz="4" w:space="0"/>
            </w:tcBorders>
            <w:shd w:val="clear" w:color="auto" w:fill="F2F2F2"/>
            <w:tcMar>
              <w:right w:w="57" w:type="dxa"/>
            </w:tcMar>
            <w:vAlign w:val="center"/>
            <w:hideMark/>
          </w:tcPr>
          <w:p w:rsidRPr="007356DE" w:rsidR="005D3CEF" w:rsidP="007356DE" w:rsidRDefault="005D3CEF" w14:paraId="47133F47"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5 478</w:t>
            </w:r>
          </w:p>
        </w:tc>
        <w:tc>
          <w:tcPr>
            <w:tcW w:w="1133" w:type="dxa"/>
            <w:tcBorders>
              <w:top w:val="nil"/>
              <w:left w:val="nil"/>
              <w:bottom w:val="single" w:color="auto" w:sz="8" w:space="0"/>
              <w:right w:val="single" w:color="auto" w:sz="8" w:space="0"/>
            </w:tcBorders>
            <w:shd w:val="clear" w:color="auto" w:fill="F2F2F2"/>
            <w:tcMar>
              <w:top w:w="0" w:type="dxa"/>
              <w:left w:w="108" w:type="dxa"/>
              <w:bottom w:w="0" w:type="dxa"/>
              <w:right w:w="57" w:type="dxa"/>
            </w:tcMar>
            <w:vAlign w:val="center"/>
            <w:hideMark/>
          </w:tcPr>
          <w:p w:rsidRPr="007356DE" w:rsidR="005D3CEF" w:rsidRDefault="005D3CEF" w14:paraId="486F5B29" w14:textId="7777777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35 156</w:t>
            </w:r>
          </w:p>
        </w:tc>
      </w:tr>
      <w:tr w:rsidR="007356DE" w:rsidTr="005C318F" w14:paraId="5F4C835C" w14:textId="77777777">
        <w:tc>
          <w:tcPr>
            <w:tcW w:w="329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7356DE" w:rsidR="007356DE" w:rsidP="007356DE" w:rsidRDefault="007356DE" w14:paraId="338E3A10" w14:textId="74FCF4CB">
            <w:pPr>
              <w:spacing w:before="100" w:beforeAutospacing="1" w:after="0" w:line="240" w:lineRule="auto"/>
              <w:jc w:val="both"/>
              <w:rPr>
                <w:rFonts w:ascii="Times New Roman" w:hAnsi="Times New Roman" w:cs="Times New Roman"/>
                <w:b/>
                <w:bCs/>
              </w:rPr>
            </w:pPr>
            <w:r w:rsidRPr="007356DE">
              <w:rPr>
                <w:rFonts w:ascii="Times New Roman" w:hAnsi="Times New Roman" w:cs="Times New Roman"/>
                <w:b/>
                <w:bCs/>
              </w:rPr>
              <w:t>Neattiecināmie izdevumi (Nacionālais finansējums)</w:t>
            </w:r>
          </w:p>
        </w:tc>
        <w:tc>
          <w:tcPr>
            <w:tcW w:w="993" w:type="dxa"/>
            <w:tcBorders>
              <w:top w:val="nil"/>
              <w:left w:val="nil"/>
              <w:bottom w:val="single" w:color="auto" w:sz="8" w:space="0"/>
              <w:right w:val="single" w:color="auto" w:sz="8" w:space="0"/>
            </w:tcBorders>
            <w:tcMar>
              <w:top w:w="0" w:type="dxa"/>
              <w:left w:w="108" w:type="dxa"/>
              <w:bottom w:w="0" w:type="dxa"/>
              <w:right w:w="57" w:type="dxa"/>
            </w:tcMar>
            <w:vAlign w:val="center"/>
          </w:tcPr>
          <w:p w:rsidRPr="007356DE" w:rsidR="007356DE" w:rsidP="007356DE" w:rsidRDefault="007356DE" w14:paraId="7256424A" w14:textId="2747FC2B">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0</w:t>
            </w:r>
          </w:p>
        </w:tc>
        <w:tc>
          <w:tcPr>
            <w:tcW w:w="850" w:type="dxa"/>
            <w:tcBorders>
              <w:top w:val="nil"/>
              <w:left w:val="nil"/>
              <w:bottom w:val="single" w:color="auto" w:sz="8" w:space="0"/>
              <w:right w:val="single" w:color="auto" w:sz="4" w:space="0"/>
            </w:tcBorders>
            <w:tcMar>
              <w:top w:w="0" w:type="dxa"/>
              <w:left w:w="108" w:type="dxa"/>
              <w:bottom w:w="0" w:type="dxa"/>
              <w:right w:w="57" w:type="dxa"/>
            </w:tcMar>
            <w:vAlign w:val="center"/>
          </w:tcPr>
          <w:p w:rsidRPr="007356DE" w:rsidR="007356DE" w:rsidP="007356DE" w:rsidRDefault="007356DE" w14:paraId="723A0B5A" w14:textId="0FA1D12B">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1 208</w:t>
            </w: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tcPr>
          <w:p w:rsidRPr="007356DE" w:rsidR="007356DE" w:rsidP="007356DE" w:rsidRDefault="007356DE" w14:paraId="37D264AC" w14:textId="4DE22667">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1 208</w:t>
            </w:r>
          </w:p>
        </w:tc>
        <w:tc>
          <w:tcPr>
            <w:tcW w:w="850" w:type="dxa"/>
            <w:tcBorders>
              <w:top w:val="nil"/>
              <w:left w:val="single" w:color="auto" w:sz="4" w:space="0"/>
              <w:bottom w:val="single" w:color="auto" w:sz="8" w:space="0"/>
              <w:right w:val="single" w:color="auto" w:sz="4" w:space="0"/>
            </w:tcBorders>
            <w:shd w:val="clear" w:color="auto" w:fill="F2F2F2"/>
            <w:tcMar>
              <w:right w:w="57" w:type="dxa"/>
            </w:tcMar>
            <w:vAlign w:val="center"/>
          </w:tcPr>
          <w:p w:rsidRPr="007356DE" w:rsidR="007356DE" w:rsidP="007356DE" w:rsidRDefault="007356DE" w14:paraId="1D6CE065" w14:textId="77E817B4">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1 208</w:t>
            </w:r>
          </w:p>
        </w:tc>
        <w:tc>
          <w:tcPr>
            <w:tcW w:w="1135" w:type="dxa"/>
            <w:tcBorders>
              <w:top w:val="nil"/>
              <w:left w:val="single" w:color="auto" w:sz="4" w:space="0"/>
              <w:bottom w:val="single" w:color="auto" w:sz="8" w:space="0"/>
              <w:right w:val="single" w:color="auto" w:sz="4" w:space="0"/>
            </w:tcBorders>
            <w:shd w:val="clear" w:color="auto" w:fill="F2F2F2"/>
            <w:tcMar>
              <w:right w:w="57" w:type="dxa"/>
            </w:tcMar>
            <w:vAlign w:val="center"/>
          </w:tcPr>
          <w:p w:rsidRPr="007356DE" w:rsidR="007356DE" w:rsidP="007356DE" w:rsidRDefault="007356DE" w14:paraId="74E94839" w14:textId="1DE24FE0">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404</w:t>
            </w:r>
          </w:p>
        </w:tc>
        <w:tc>
          <w:tcPr>
            <w:tcW w:w="1133" w:type="dxa"/>
            <w:tcBorders>
              <w:top w:val="nil"/>
              <w:left w:val="nil"/>
              <w:bottom w:val="single" w:color="auto" w:sz="8" w:space="0"/>
              <w:right w:val="single" w:color="auto" w:sz="8" w:space="0"/>
            </w:tcBorders>
            <w:shd w:val="clear" w:color="auto" w:fill="F2F2F2"/>
            <w:tcMar>
              <w:top w:w="0" w:type="dxa"/>
              <w:left w:w="108" w:type="dxa"/>
              <w:bottom w:w="0" w:type="dxa"/>
              <w:right w:w="57" w:type="dxa"/>
            </w:tcMar>
            <w:vAlign w:val="center"/>
          </w:tcPr>
          <w:p w:rsidRPr="007356DE" w:rsidR="007356DE" w:rsidP="007356DE" w:rsidRDefault="007356DE" w14:paraId="3484A220" w14:textId="0E1F050B">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4028</w:t>
            </w:r>
          </w:p>
        </w:tc>
      </w:tr>
      <w:tr w:rsidR="007356DE" w:rsidTr="005C318F" w14:paraId="26AC44F2" w14:textId="77777777">
        <w:tc>
          <w:tcPr>
            <w:tcW w:w="3293" w:type="dxa"/>
            <w:tcBorders>
              <w:top w:val="single" w:color="auto" w:sz="8" w:space="0"/>
              <w:left w:val="single" w:color="auto" w:sz="8" w:space="0"/>
              <w:bottom w:val="single" w:color="auto" w:sz="4" w:space="0"/>
              <w:right w:val="single" w:color="auto" w:sz="8" w:space="0"/>
            </w:tcBorders>
            <w:tcMar>
              <w:top w:w="0" w:type="dxa"/>
              <w:left w:w="108" w:type="dxa"/>
              <w:bottom w:w="0" w:type="dxa"/>
              <w:right w:w="108" w:type="dxa"/>
            </w:tcMar>
          </w:tcPr>
          <w:p w:rsidRPr="007356DE" w:rsidR="007356DE" w:rsidP="007356DE" w:rsidRDefault="007356DE" w14:paraId="4068D40D" w14:textId="472FE5CB">
            <w:pPr>
              <w:spacing w:before="100" w:beforeAutospacing="1" w:after="0" w:line="240" w:lineRule="auto"/>
              <w:jc w:val="both"/>
              <w:rPr>
                <w:rFonts w:ascii="Times New Roman" w:hAnsi="Times New Roman" w:cs="Times New Roman"/>
                <w:b/>
              </w:rPr>
            </w:pPr>
            <w:r w:rsidRPr="007356DE">
              <w:rPr>
                <w:rFonts w:ascii="Times New Roman" w:hAnsi="Times New Roman" w:cs="Times New Roman"/>
                <w:b/>
                <w:bCs/>
              </w:rPr>
              <w:t>Priekšfinansējuma (</w:t>
            </w:r>
            <w:r w:rsidRPr="007356DE">
              <w:rPr>
                <w:rFonts w:ascii="Times New Roman" w:hAnsi="Times New Roman" w:eastAsia="Times New Roman" w:cs="Times New Roman"/>
                <w:b/>
                <w:bCs/>
                <w:lang w:eastAsia="lv-LV"/>
              </w:rPr>
              <w:t>nacionālais finansējums</w:t>
            </w:r>
            <w:r w:rsidRPr="007356DE">
              <w:rPr>
                <w:rFonts w:ascii="Times New Roman" w:hAnsi="Times New Roman" w:cs="Times New Roman"/>
                <w:b/>
                <w:bCs/>
              </w:rPr>
              <w:t>) atmaksa valsts budžetā</w:t>
            </w:r>
          </w:p>
        </w:tc>
        <w:tc>
          <w:tcPr>
            <w:tcW w:w="993" w:type="dxa"/>
            <w:tcBorders>
              <w:top w:val="single" w:color="auto" w:sz="8" w:space="0"/>
              <w:left w:val="nil"/>
              <w:bottom w:val="single" w:color="auto" w:sz="4" w:space="0"/>
              <w:right w:val="single" w:color="auto" w:sz="8" w:space="0"/>
            </w:tcBorders>
            <w:tcMar>
              <w:top w:w="0" w:type="dxa"/>
              <w:left w:w="108" w:type="dxa"/>
              <w:bottom w:w="0" w:type="dxa"/>
              <w:right w:w="57" w:type="dxa"/>
            </w:tcMar>
            <w:vAlign w:val="center"/>
          </w:tcPr>
          <w:p w:rsidRPr="007356DE" w:rsidR="007356DE" w:rsidP="007356DE" w:rsidRDefault="007356DE" w14:paraId="109BCFF7" w14:textId="7ABB286A">
            <w:pPr>
              <w:spacing w:before="100" w:beforeAutospacing="1" w:after="0" w:line="240" w:lineRule="auto"/>
              <w:jc w:val="right"/>
              <w:rPr>
                <w:rFonts w:ascii="Times New Roman" w:hAnsi="Times New Roman" w:cs="Times New Roman"/>
                <w:b/>
                <w:bCs/>
              </w:rPr>
            </w:pPr>
          </w:p>
        </w:tc>
        <w:tc>
          <w:tcPr>
            <w:tcW w:w="850" w:type="dxa"/>
            <w:tcBorders>
              <w:top w:val="single" w:color="auto" w:sz="8" w:space="0"/>
              <w:left w:val="nil"/>
              <w:bottom w:val="single" w:color="auto" w:sz="4" w:space="0"/>
              <w:right w:val="single" w:color="auto" w:sz="4" w:space="0"/>
            </w:tcBorders>
            <w:tcMar>
              <w:top w:w="0" w:type="dxa"/>
              <w:left w:w="108" w:type="dxa"/>
              <w:bottom w:w="0" w:type="dxa"/>
              <w:right w:w="57" w:type="dxa"/>
            </w:tcMar>
            <w:vAlign w:val="center"/>
          </w:tcPr>
          <w:p w:rsidRPr="007356DE" w:rsidR="007356DE" w:rsidP="007356DE" w:rsidRDefault="007356DE" w14:paraId="4485F705" w14:textId="51385FAC">
            <w:pPr>
              <w:spacing w:before="100" w:beforeAutospacing="1" w:after="0" w:line="240" w:lineRule="auto"/>
              <w:jc w:val="right"/>
              <w:rPr>
                <w:rFonts w:ascii="Times New Roman" w:hAnsi="Times New Roman" w:cs="Times New Roman"/>
                <w:b/>
                <w:bCs/>
              </w:rPr>
            </w:pPr>
          </w:p>
        </w:tc>
        <w:tc>
          <w:tcPr>
            <w:tcW w:w="851" w:type="dxa"/>
            <w:tcBorders>
              <w:top w:val="single" w:color="auto" w:sz="4" w:space="0"/>
              <w:left w:val="single" w:color="auto" w:sz="4" w:space="0"/>
              <w:bottom w:val="single" w:color="auto" w:sz="4" w:space="0"/>
              <w:right w:val="single" w:color="auto" w:sz="4" w:space="0"/>
            </w:tcBorders>
            <w:shd w:val="clear" w:color="auto" w:fill="F2F2F2"/>
            <w:tcMar>
              <w:right w:w="57" w:type="dxa"/>
            </w:tcMar>
            <w:vAlign w:val="center"/>
          </w:tcPr>
          <w:p w:rsidRPr="007356DE" w:rsidR="007356DE" w:rsidP="007356DE" w:rsidRDefault="007356DE" w14:paraId="62624ECF" w14:textId="65538C40">
            <w:pPr>
              <w:spacing w:before="100" w:beforeAutospacing="1" w:after="0" w:line="240" w:lineRule="auto"/>
              <w:jc w:val="right"/>
              <w:rPr>
                <w:rFonts w:ascii="Times New Roman" w:hAnsi="Times New Roman" w:cs="Times New Roman"/>
                <w:b/>
                <w:bCs/>
              </w:rPr>
            </w:pPr>
          </w:p>
        </w:tc>
        <w:tc>
          <w:tcPr>
            <w:tcW w:w="850" w:type="dxa"/>
            <w:tcBorders>
              <w:top w:val="single" w:color="auto" w:sz="8" w:space="0"/>
              <w:left w:val="single" w:color="auto" w:sz="4" w:space="0"/>
              <w:bottom w:val="single" w:color="auto" w:sz="4" w:space="0"/>
              <w:right w:val="single" w:color="auto" w:sz="4" w:space="0"/>
            </w:tcBorders>
            <w:shd w:val="clear" w:color="auto" w:fill="F2F2F2"/>
            <w:tcMar>
              <w:right w:w="57" w:type="dxa"/>
            </w:tcMar>
            <w:vAlign w:val="center"/>
          </w:tcPr>
          <w:p w:rsidRPr="007356DE" w:rsidR="007356DE" w:rsidP="007356DE" w:rsidRDefault="007356DE" w14:paraId="70764CCA" w14:textId="007360C1">
            <w:pPr>
              <w:spacing w:before="100" w:beforeAutospacing="1" w:after="0" w:line="240" w:lineRule="auto"/>
              <w:jc w:val="right"/>
              <w:rPr>
                <w:rFonts w:ascii="Times New Roman" w:hAnsi="Times New Roman" w:cs="Times New Roman"/>
                <w:b/>
                <w:bCs/>
              </w:rPr>
            </w:pPr>
          </w:p>
        </w:tc>
        <w:tc>
          <w:tcPr>
            <w:tcW w:w="1135" w:type="dxa"/>
            <w:tcBorders>
              <w:top w:val="single" w:color="auto" w:sz="8" w:space="0"/>
              <w:left w:val="single" w:color="auto" w:sz="4" w:space="0"/>
              <w:bottom w:val="single" w:color="auto" w:sz="4" w:space="0"/>
              <w:right w:val="single" w:color="auto" w:sz="4" w:space="0"/>
            </w:tcBorders>
            <w:shd w:val="clear" w:color="auto" w:fill="F2F2F2"/>
            <w:tcMar>
              <w:right w:w="57" w:type="dxa"/>
            </w:tcMar>
            <w:vAlign w:val="center"/>
          </w:tcPr>
          <w:p w:rsidRPr="007356DE" w:rsidR="007356DE" w:rsidP="007356DE" w:rsidRDefault="007356DE" w14:paraId="056CC950" w14:textId="50C077B8">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35 156</w:t>
            </w:r>
          </w:p>
        </w:tc>
        <w:tc>
          <w:tcPr>
            <w:tcW w:w="1133" w:type="dxa"/>
            <w:tcBorders>
              <w:top w:val="single" w:color="auto" w:sz="8" w:space="0"/>
              <w:left w:val="nil"/>
              <w:bottom w:val="single" w:color="auto" w:sz="4" w:space="0"/>
              <w:right w:val="single" w:color="auto" w:sz="8" w:space="0"/>
            </w:tcBorders>
            <w:shd w:val="clear" w:color="auto" w:fill="F2F2F2"/>
            <w:tcMar>
              <w:top w:w="0" w:type="dxa"/>
              <w:left w:w="108" w:type="dxa"/>
              <w:bottom w:w="0" w:type="dxa"/>
              <w:right w:w="57" w:type="dxa"/>
            </w:tcMar>
            <w:vAlign w:val="center"/>
          </w:tcPr>
          <w:p w:rsidRPr="007356DE" w:rsidR="007356DE" w:rsidP="007356DE" w:rsidRDefault="007356DE" w14:paraId="3973B324" w14:textId="02BDAAC2">
            <w:pPr>
              <w:spacing w:before="100" w:beforeAutospacing="1" w:after="0" w:line="240" w:lineRule="auto"/>
              <w:jc w:val="right"/>
              <w:rPr>
                <w:rFonts w:ascii="Times New Roman" w:hAnsi="Times New Roman" w:cs="Times New Roman"/>
                <w:b/>
                <w:bCs/>
              </w:rPr>
            </w:pPr>
            <w:r w:rsidRPr="007356DE">
              <w:rPr>
                <w:rFonts w:ascii="Times New Roman" w:hAnsi="Times New Roman" w:cs="Times New Roman"/>
                <w:b/>
                <w:bCs/>
              </w:rPr>
              <w:t>35 156</w:t>
            </w:r>
          </w:p>
        </w:tc>
      </w:tr>
    </w:tbl>
    <w:p w:rsidR="005D3CEF" w:rsidP="00AE2C3A" w:rsidRDefault="005D3CEF" w14:paraId="39DDBBBA" w14:textId="777777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5D3CEF" w:rsidP="00156F64" w:rsidRDefault="00AE3F0F" w14:paraId="0A7790CF" w14:textId="4D514233">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VTEB projekta VTEB finansējuma daļas sadalījums pa gadiem ir indikatīvs un var mainīties pēc līguma noslēgšanas. </w:t>
      </w:r>
      <w:r w:rsidR="005D3CEF">
        <w:rPr>
          <w:rFonts w:ascii="Times New Roman" w:hAnsi="Times New Roman" w:cs="Times New Roman"/>
          <w:sz w:val="24"/>
          <w:szCs w:val="24"/>
        </w:rPr>
        <w:t xml:space="preserve">Sekmīgai VTEB projekta īstenošanai nepieciešamais valsts budžeta priekšfinansējums tiks pārdalīts no budžeta resora "74. Gadskārtējā valsts budžeta </w:t>
      </w:r>
      <w:r w:rsidR="005D3CEF">
        <w:rPr>
          <w:rFonts w:ascii="Times New Roman" w:hAnsi="Times New Roman" w:cs="Times New Roman"/>
          <w:sz w:val="24"/>
          <w:szCs w:val="24"/>
        </w:rPr>
        <w:lastRenderedPageBreak/>
        <w:t>izpildes procesā pārdalāmais finansējums" 80.00.00 programmas "Nesadalītais finansējums Eiropas Savienības politiku instrumentu un pārējās ārvalstu finanšu palīdzības projektu un pasākumu īstenošanai". Pēc projekta īstenošanas un attiecināmo izmaksu apstiprināšanas EK veiks noslēguma maksājumu 35 156 EUR apmērā, kas tiks atmaksāts valsts budžetā, tādējādi nodrošinot līdzekļu ieskaitīšanu valsts pamatbudžeta ieņēmumos.</w:t>
      </w:r>
    </w:p>
    <w:p w:rsidR="005D3CEF" w:rsidP="00AE2C3A" w:rsidRDefault="005D3CEF" w14:paraId="15FEA625" w14:textId="78CA6343">
      <w:pPr>
        <w:spacing w:after="0" w:line="240" w:lineRule="auto"/>
        <w:jc w:val="center"/>
        <w:rPr>
          <w:rFonts w:ascii="Times New Roman" w:hAnsi="Times New Roman" w:cs="Times New Roman"/>
          <w:b/>
          <w:bCs/>
          <w:sz w:val="24"/>
          <w:szCs w:val="24"/>
        </w:rPr>
      </w:pPr>
    </w:p>
    <w:p w:rsidRPr="00AE2C3A" w:rsidR="00B442C2" w:rsidP="00AE2C3A" w:rsidRDefault="00B442C2" w14:paraId="074EF8DB" w14:textId="77777777">
      <w:pPr>
        <w:spacing w:after="0" w:line="240" w:lineRule="auto"/>
        <w:jc w:val="center"/>
        <w:rPr>
          <w:rFonts w:ascii="Times New Roman" w:hAnsi="Times New Roman" w:cs="Times New Roman"/>
          <w:b/>
          <w:bCs/>
          <w:sz w:val="24"/>
          <w:szCs w:val="24"/>
        </w:rPr>
      </w:pPr>
    </w:p>
    <w:p w:rsidRPr="00F92B5C" w:rsidR="008D5484" w:rsidP="008D5484" w:rsidRDefault="00A16591" w14:paraId="6040594C" w14:textId="65F511B0">
      <w:pPr>
        <w:spacing w:after="0" w:line="240" w:lineRule="auto"/>
        <w:jc w:val="center"/>
        <w:rPr>
          <w:rFonts w:ascii="Times New Roman" w:hAnsi="Times New Roman" w:cs="Times New Roman"/>
          <w:b/>
          <w:sz w:val="24"/>
          <w:szCs w:val="24"/>
        </w:rPr>
      </w:pPr>
      <w:r w:rsidRPr="00F92B5C">
        <w:rPr>
          <w:rFonts w:ascii="Times New Roman" w:hAnsi="Times New Roman" w:cs="Times New Roman"/>
          <w:b/>
          <w:sz w:val="24"/>
          <w:szCs w:val="24"/>
        </w:rPr>
        <w:t>6</w:t>
      </w:r>
      <w:r w:rsidRPr="00F92B5C" w:rsidR="008D5484">
        <w:rPr>
          <w:rFonts w:ascii="Times New Roman" w:hAnsi="Times New Roman" w:cs="Times New Roman"/>
          <w:b/>
          <w:sz w:val="24"/>
          <w:szCs w:val="24"/>
        </w:rPr>
        <w:t>. Turpmākā rīcība</w:t>
      </w:r>
    </w:p>
    <w:p w:rsidRPr="00F92B5C" w:rsidR="008D5484" w:rsidP="008032AC" w:rsidRDefault="008D5484" w14:paraId="1FAEB55E" w14:textId="77777777">
      <w:pPr>
        <w:spacing w:after="0" w:line="240" w:lineRule="auto"/>
        <w:jc w:val="both"/>
        <w:rPr>
          <w:rFonts w:ascii="Times New Roman" w:hAnsi="Times New Roman" w:cs="Times New Roman"/>
          <w:sz w:val="24"/>
          <w:szCs w:val="20"/>
        </w:rPr>
      </w:pPr>
    </w:p>
    <w:p w:rsidRPr="00BB3183" w:rsidR="00EC65DF" w:rsidP="00EC65DF" w:rsidRDefault="008D5484" w14:paraId="6F20B130" w14:textId="39F2D20E">
      <w:pPr>
        <w:spacing w:after="0" w:line="240" w:lineRule="auto"/>
        <w:ind w:firstLine="720"/>
        <w:jc w:val="both"/>
        <w:rPr>
          <w:rFonts w:ascii="Times New Roman" w:hAnsi="Times New Roman" w:cs="Times New Roman"/>
          <w:sz w:val="24"/>
          <w:szCs w:val="24"/>
        </w:rPr>
      </w:pPr>
      <w:r w:rsidRPr="00AE1A59">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Pr="00F92B5C" w:rsidR="00EC65DF">
        <w:rPr>
          <w:rFonts w:ascii="Times New Roman" w:hAnsi="Times New Roman" w:cs="Times New Roman"/>
          <w:sz w:val="24"/>
          <w:szCs w:val="24"/>
        </w:rPr>
        <w:t>lai nodrošinātu sekmīgu projektu aktivitāšu īstenošanu, nepieciešam</w:t>
      </w:r>
      <w:r w:rsidR="00777181">
        <w:rPr>
          <w:rFonts w:ascii="Times New Roman" w:hAnsi="Times New Roman" w:cs="Times New Roman"/>
          <w:sz w:val="24"/>
          <w:szCs w:val="24"/>
        </w:rPr>
        <w:t>i šādi Ministru kabineta lēmumi</w:t>
      </w:r>
      <w:r w:rsidRPr="00F92B5C" w:rsidR="00EC65DF">
        <w:rPr>
          <w:rFonts w:ascii="Times New Roman" w:hAnsi="Times New Roman" w:cs="Times New Roman"/>
          <w:sz w:val="24"/>
          <w:szCs w:val="24"/>
        </w:rPr>
        <w:t>:</w:t>
      </w:r>
    </w:p>
    <w:p w:rsidR="008C26E7" w:rsidP="008C26E7" w:rsidRDefault="008C26E7" w14:paraId="70128CDB" w14:textId="42D8CF51">
      <w:pPr>
        <w:pStyle w:val="Sarakstarindkopa"/>
        <w:numPr>
          <w:ilvl w:val="0"/>
          <w:numId w:val="14"/>
        </w:numPr>
        <w:spacing w:after="0" w:line="240" w:lineRule="auto"/>
        <w:ind w:left="1066" w:hanging="357"/>
        <w:jc w:val="both"/>
        <w:rPr>
          <w:rFonts w:ascii="Times New Roman" w:hAnsi="Times New Roman" w:cs="Times New Roman"/>
          <w:sz w:val="24"/>
          <w:szCs w:val="24"/>
        </w:rPr>
      </w:pPr>
      <w:r w:rsidRPr="00AE1A59">
        <w:rPr>
          <w:rFonts w:ascii="Times New Roman" w:hAnsi="Times New Roman" w:cs="Times New Roman"/>
          <w:sz w:val="24"/>
          <w:szCs w:val="24"/>
        </w:rPr>
        <w:t xml:space="preserve">Atļaut </w:t>
      </w:r>
      <w:r w:rsidR="00B50D90">
        <w:rPr>
          <w:rFonts w:ascii="Times New Roman" w:hAnsi="Times New Roman" w:cs="Times New Roman"/>
          <w:sz w:val="24"/>
          <w:szCs w:val="24"/>
        </w:rPr>
        <w:t>TM</w:t>
      </w:r>
      <w:r w:rsidRPr="00AE1A59">
        <w:rPr>
          <w:rFonts w:ascii="Times New Roman" w:hAnsi="Times New Roman" w:cs="Times New Roman"/>
          <w:sz w:val="24"/>
          <w:szCs w:val="24"/>
        </w:rPr>
        <w:t xml:space="preserve"> (</w:t>
      </w:r>
      <w:r w:rsidR="00B50D90">
        <w:rPr>
          <w:rFonts w:ascii="Times New Roman" w:hAnsi="Times New Roman" w:cs="Times New Roman"/>
          <w:sz w:val="24"/>
          <w:szCs w:val="24"/>
        </w:rPr>
        <w:t>TA</w:t>
      </w:r>
      <w:r w:rsidRPr="00AE1A59">
        <w:rPr>
          <w:rFonts w:ascii="Times New Roman" w:hAnsi="Times New Roman" w:cs="Times New Roman"/>
          <w:sz w:val="24"/>
          <w:szCs w:val="24"/>
        </w:rPr>
        <w:t xml:space="preserve">) uzņemties papildu valsts budžeta ilgtermiņa saistības </w:t>
      </w:r>
      <w:r w:rsidR="009B2F5A">
        <w:rPr>
          <w:rFonts w:ascii="Times New Roman" w:hAnsi="Times New Roman" w:cs="Times New Roman"/>
          <w:sz w:val="24"/>
          <w:szCs w:val="24"/>
        </w:rPr>
        <w:t>LRI II</w:t>
      </w:r>
      <w:r w:rsidRPr="00AE1A59" w:rsidR="00A103CD">
        <w:rPr>
          <w:rFonts w:ascii="Times New Roman" w:hAnsi="Times New Roman" w:cs="Times New Roman"/>
          <w:sz w:val="24"/>
          <w:szCs w:val="24"/>
        </w:rPr>
        <w:t xml:space="preserve"> projekta</w:t>
      </w:r>
      <w:r w:rsidRPr="00AE1A59">
        <w:rPr>
          <w:rFonts w:ascii="Times New Roman" w:hAnsi="Times New Roman" w:cs="Times New Roman"/>
          <w:sz w:val="24"/>
          <w:szCs w:val="24"/>
        </w:rPr>
        <w:t xml:space="preserve"> īstenošanai </w:t>
      </w:r>
      <w:r w:rsidRPr="00AE1A59" w:rsidR="00AE1A59">
        <w:rPr>
          <w:rFonts w:ascii="Times New Roman" w:hAnsi="Times New Roman" w:cs="Times New Roman"/>
          <w:sz w:val="24"/>
          <w:szCs w:val="24"/>
        </w:rPr>
        <w:t>Programma</w:t>
      </w:r>
      <w:r w:rsidR="00AE1A59">
        <w:rPr>
          <w:rFonts w:ascii="Times New Roman" w:hAnsi="Times New Roman" w:cs="Times New Roman"/>
          <w:sz w:val="24"/>
          <w:szCs w:val="24"/>
        </w:rPr>
        <w:t>s</w:t>
      </w:r>
      <w:r w:rsidRPr="00AE1A59" w:rsidR="00AE1A59">
        <w:rPr>
          <w:rFonts w:ascii="Times New Roman" w:hAnsi="Times New Roman" w:cs="Times New Roman"/>
          <w:sz w:val="24"/>
          <w:szCs w:val="24"/>
        </w:rPr>
        <w:t xml:space="preserve"> "Tiesiskums 2014–2020"</w:t>
      </w:r>
      <w:r w:rsidRPr="00AE1A59">
        <w:rPr>
          <w:rFonts w:ascii="Times New Roman" w:hAnsi="Times New Roman" w:cs="Times New Roman"/>
          <w:sz w:val="24"/>
          <w:szCs w:val="24"/>
        </w:rPr>
        <w:t>ietvaros.</w:t>
      </w:r>
    </w:p>
    <w:p w:rsidRPr="00AE1A59" w:rsidR="009B2F5A" w:rsidP="008C26E7" w:rsidRDefault="009B2F5A" w14:paraId="07973F1F" w14:textId="58B06463">
      <w:pPr>
        <w:pStyle w:val="Sarakstarindkopa"/>
        <w:numPr>
          <w:ilvl w:val="0"/>
          <w:numId w:val="14"/>
        </w:num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Atļaut TM (VTEB) uzņemties papildu valsts budžeta ilgtermiņa saistības VTEB projekta īstenošanai Programmas "Apvārsnis 2020" ietvaros.</w:t>
      </w:r>
    </w:p>
    <w:p w:rsidR="008D5484" w:rsidP="008C26E7" w:rsidRDefault="009B2F5A" w14:paraId="1B6E2D8A" w14:textId="5B2F6228">
      <w:pPr>
        <w:pStyle w:val="Sarakstarindkopa"/>
        <w:numPr>
          <w:ilvl w:val="0"/>
          <w:numId w:val="14"/>
        </w:numPr>
        <w:spacing w:after="0" w:line="240" w:lineRule="auto"/>
        <w:ind w:left="1066" w:hanging="357"/>
        <w:jc w:val="both"/>
        <w:rPr>
          <w:rFonts w:ascii="Times New Roman" w:hAnsi="Times New Roman" w:cs="Times New Roman"/>
          <w:sz w:val="24"/>
          <w:szCs w:val="24"/>
        </w:rPr>
      </w:pPr>
      <w:r>
        <w:rPr>
          <w:rFonts w:ascii="Times New Roman" w:hAnsi="Times New Roman" w:cs="Times New Roman"/>
          <w:sz w:val="24"/>
          <w:szCs w:val="24"/>
        </w:rPr>
        <w:t>LRI II projekta</w:t>
      </w:r>
      <w:r w:rsidRPr="00AE1A59" w:rsidR="00FD6E7C">
        <w:rPr>
          <w:rFonts w:ascii="Times New Roman" w:hAnsi="Times New Roman" w:cs="Times New Roman"/>
          <w:sz w:val="24"/>
          <w:szCs w:val="24"/>
        </w:rPr>
        <w:t xml:space="preserve"> </w:t>
      </w:r>
      <w:r w:rsidRPr="00AE1A59" w:rsidR="008C26E7">
        <w:rPr>
          <w:rFonts w:ascii="Times New Roman" w:hAnsi="Times New Roman" w:cs="Times New Roman"/>
          <w:sz w:val="24"/>
          <w:szCs w:val="24"/>
        </w:rPr>
        <w:t>ieviešanai nepieciešamo finansējumu (</w:t>
      </w:r>
      <w:r w:rsidR="00BA62F4">
        <w:rPr>
          <w:rFonts w:ascii="Times New Roman" w:hAnsi="Times New Roman" w:cs="Times New Roman"/>
          <w:sz w:val="24"/>
          <w:szCs w:val="24"/>
        </w:rPr>
        <w:t xml:space="preserve">nacionālo </w:t>
      </w:r>
      <w:r w:rsidRPr="007F0852" w:rsidR="00BA62F4">
        <w:rPr>
          <w:rFonts w:ascii="Times New Roman" w:hAnsi="Times New Roman" w:cs="Times New Roman"/>
          <w:sz w:val="24"/>
          <w:szCs w:val="24"/>
        </w:rPr>
        <w:t>līdzfinansējum</w:t>
      </w:r>
      <w:r w:rsidR="00BA62F4">
        <w:rPr>
          <w:rFonts w:ascii="Times New Roman" w:hAnsi="Times New Roman" w:cs="Times New Roman"/>
          <w:sz w:val="24"/>
          <w:szCs w:val="24"/>
        </w:rPr>
        <w:t>u,</w:t>
      </w:r>
      <w:r w:rsidRPr="007F0852" w:rsidR="00BA62F4">
        <w:rPr>
          <w:rFonts w:ascii="Times New Roman" w:hAnsi="Times New Roman" w:cs="Times New Roman"/>
          <w:sz w:val="24"/>
          <w:szCs w:val="24"/>
        </w:rPr>
        <w:t xml:space="preserve"> </w:t>
      </w:r>
      <w:r w:rsidRPr="00AE1A59" w:rsidR="00F0510C">
        <w:rPr>
          <w:rFonts w:ascii="Times New Roman" w:hAnsi="Times New Roman" w:cs="Times New Roman"/>
          <w:sz w:val="24"/>
          <w:szCs w:val="24"/>
        </w:rPr>
        <w:t xml:space="preserve">priekšfinansējumu un </w:t>
      </w:r>
      <w:r w:rsidRPr="00AE1A59" w:rsidR="00BA62F4">
        <w:rPr>
          <w:rFonts w:ascii="Times New Roman" w:hAnsi="Times New Roman" w:cs="Times New Roman"/>
          <w:sz w:val="24"/>
          <w:szCs w:val="24"/>
        </w:rPr>
        <w:t xml:space="preserve">finansējumu </w:t>
      </w:r>
      <w:r w:rsidRPr="00AE1A59" w:rsidR="00F0510C">
        <w:rPr>
          <w:rFonts w:ascii="Times New Roman" w:hAnsi="Times New Roman" w:cs="Times New Roman"/>
          <w:sz w:val="24"/>
          <w:szCs w:val="24"/>
        </w:rPr>
        <w:t>neattiecinām</w:t>
      </w:r>
      <w:r w:rsidR="00BA62F4">
        <w:rPr>
          <w:rFonts w:ascii="Times New Roman" w:hAnsi="Times New Roman" w:cs="Times New Roman"/>
          <w:sz w:val="24"/>
          <w:szCs w:val="24"/>
        </w:rPr>
        <w:t>o</w:t>
      </w:r>
      <w:r w:rsidRPr="00AE1A59" w:rsidR="00F0510C">
        <w:rPr>
          <w:rFonts w:ascii="Times New Roman" w:hAnsi="Times New Roman" w:cs="Times New Roman"/>
          <w:sz w:val="24"/>
          <w:szCs w:val="24"/>
        </w:rPr>
        <w:t xml:space="preserve"> izmaks</w:t>
      </w:r>
      <w:r w:rsidR="00BA62F4">
        <w:rPr>
          <w:rFonts w:ascii="Times New Roman" w:hAnsi="Times New Roman" w:cs="Times New Roman"/>
          <w:sz w:val="24"/>
          <w:szCs w:val="24"/>
        </w:rPr>
        <w:t>u</w:t>
      </w:r>
      <w:r w:rsidRPr="00AE1A59" w:rsidR="00F0510C">
        <w:rPr>
          <w:rFonts w:ascii="Times New Roman" w:hAnsi="Times New Roman" w:cs="Times New Roman"/>
          <w:sz w:val="24"/>
          <w:szCs w:val="24"/>
        </w:rPr>
        <w:t xml:space="preserve"> – </w:t>
      </w:r>
      <w:r w:rsidR="00077248">
        <w:rPr>
          <w:rFonts w:ascii="Times New Roman" w:hAnsi="Times New Roman" w:cs="Times New Roman"/>
          <w:sz w:val="24"/>
          <w:szCs w:val="24"/>
        </w:rPr>
        <w:t>PVN</w:t>
      </w:r>
      <w:r w:rsidRPr="00AE1A59" w:rsidR="00BA62F4">
        <w:rPr>
          <w:rFonts w:ascii="Times New Roman" w:hAnsi="Times New Roman" w:cs="Times New Roman"/>
          <w:sz w:val="24"/>
          <w:szCs w:val="24"/>
        </w:rPr>
        <w:t xml:space="preserve"> – segšanai</w:t>
      </w:r>
      <w:r w:rsidRPr="00AE1A59" w:rsidR="008C26E7">
        <w:rPr>
          <w:rFonts w:ascii="Times New Roman" w:hAnsi="Times New Roman" w:cs="Times New Roman"/>
          <w:sz w:val="24"/>
          <w:szCs w:val="24"/>
        </w:rPr>
        <w:t xml:space="preserve">) un </w:t>
      </w:r>
      <w:r>
        <w:rPr>
          <w:rFonts w:ascii="Times New Roman" w:hAnsi="Times New Roman" w:cs="Times New Roman"/>
          <w:sz w:val="24"/>
          <w:szCs w:val="24"/>
        </w:rPr>
        <w:t>VTEB</w:t>
      </w:r>
      <w:r w:rsidRPr="00AE1A59" w:rsidR="007E7AA0">
        <w:rPr>
          <w:rFonts w:ascii="Times New Roman" w:hAnsi="Times New Roman" w:cs="Times New Roman"/>
          <w:sz w:val="24"/>
          <w:szCs w:val="24"/>
        </w:rPr>
        <w:t xml:space="preserve"> projekta </w:t>
      </w:r>
      <w:r w:rsidRPr="00AE1A59" w:rsidR="008C26E7">
        <w:rPr>
          <w:rFonts w:ascii="Times New Roman" w:hAnsi="Times New Roman" w:cs="Times New Roman"/>
          <w:sz w:val="24"/>
          <w:szCs w:val="24"/>
        </w:rPr>
        <w:t>ieviešanai nepieciešamo finansējumu (</w:t>
      </w:r>
      <w:r w:rsidRPr="00AE1A59" w:rsidR="00AE1A59">
        <w:rPr>
          <w:rFonts w:ascii="Times New Roman" w:hAnsi="Times New Roman" w:cs="Times New Roman"/>
          <w:sz w:val="24"/>
          <w:szCs w:val="24"/>
        </w:rPr>
        <w:t xml:space="preserve">priekšfinansējumu un finansējumu neattiecināmo izmaksu – </w:t>
      </w:r>
      <w:r w:rsidR="0073607D">
        <w:rPr>
          <w:rFonts w:ascii="Times New Roman" w:hAnsi="Times New Roman" w:cs="Times New Roman"/>
          <w:sz w:val="24"/>
          <w:szCs w:val="24"/>
        </w:rPr>
        <w:t>PVN</w:t>
      </w:r>
      <w:r w:rsidRPr="00AE1A59" w:rsidR="00AE1A59">
        <w:rPr>
          <w:rFonts w:ascii="Times New Roman" w:hAnsi="Times New Roman" w:cs="Times New Roman"/>
          <w:sz w:val="24"/>
          <w:szCs w:val="24"/>
        </w:rPr>
        <w:t xml:space="preserve"> – segšanai</w:t>
      </w:r>
      <w:r w:rsidRPr="00AE1A59" w:rsidR="008C26E7">
        <w:rPr>
          <w:rFonts w:ascii="Times New Roman" w:hAnsi="Times New Roman" w:cs="Times New Roman"/>
          <w:sz w:val="24"/>
          <w:szCs w:val="24"/>
        </w:rPr>
        <w:t>) pārdalīt no 74.</w:t>
      </w:r>
      <w:r w:rsidR="00F92B5C">
        <w:rPr>
          <w:rFonts w:ascii="Times New Roman" w:hAnsi="Times New Roman" w:cs="Times New Roman"/>
          <w:sz w:val="24"/>
          <w:szCs w:val="24"/>
        </w:rPr>
        <w:t> </w:t>
      </w:r>
      <w:r w:rsidRPr="00AE1A59" w:rsidR="008C26E7">
        <w:rPr>
          <w:rFonts w:ascii="Times New Roman" w:hAnsi="Times New Roman" w:cs="Times New Roman"/>
          <w:sz w:val="24"/>
          <w:szCs w:val="24"/>
        </w:rPr>
        <w:t>resora "Gadskārtējā valsts budžeta izpildes procesā pārdalāmais finansējums" programmas 80.00.00 "Nesadalītais finansējums Eiropas Savienības politiku instrumentu un pārējās ārvalstu finanšu palīdzības projektu un pasākumu īstenošanai".</w:t>
      </w:r>
    </w:p>
    <w:p w:rsidR="00C87372" w:rsidP="008C26E7" w:rsidRDefault="00C87372" w14:paraId="43D56C87" w14:textId="170C84A4">
      <w:pPr>
        <w:pStyle w:val="Sarakstarindkopa"/>
        <w:numPr>
          <w:ilvl w:val="0"/>
          <w:numId w:val="14"/>
        </w:numPr>
        <w:spacing w:after="0" w:line="240" w:lineRule="auto"/>
        <w:ind w:left="1066" w:hanging="357"/>
        <w:jc w:val="both"/>
        <w:rPr>
          <w:rFonts w:ascii="Times New Roman" w:hAnsi="Times New Roman" w:cs="Times New Roman"/>
          <w:sz w:val="24"/>
          <w:szCs w:val="24"/>
        </w:rPr>
      </w:pPr>
      <w:r w:rsidRPr="00C87372">
        <w:rPr>
          <w:rFonts w:ascii="Times New Roman" w:hAnsi="Times New Roman" w:cs="Times New Roman"/>
          <w:sz w:val="24"/>
          <w:szCs w:val="24"/>
        </w:rPr>
        <w:t xml:space="preserve">Tieslietu ministrijai, lai nodrošinātu </w:t>
      </w:r>
      <w:r w:rsidR="00C70320">
        <w:rPr>
          <w:rFonts w:ascii="Times New Roman" w:hAnsi="Times New Roman" w:cs="Times New Roman"/>
          <w:sz w:val="24"/>
          <w:szCs w:val="24"/>
        </w:rPr>
        <w:t>1</w:t>
      </w:r>
      <w:r w:rsidRPr="00C87372">
        <w:rPr>
          <w:rFonts w:ascii="Times New Roman" w:hAnsi="Times New Roman" w:cs="Times New Roman"/>
          <w:sz w:val="24"/>
          <w:szCs w:val="24"/>
        </w:rPr>
        <w:t xml:space="preserve">. un </w:t>
      </w:r>
      <w:r w:rsidR="00C70320">
        <w:rPr>
          <w:rFonts w:ascii="Times New Roman" w:hAnsi="Times New Roman" w:cs="Times New Roman"/>
          <w:sz w:val="24"/>
          <w:szCs w:val="24"/>
        </w:rPr>
        <w:t>2</w:t>
      </w:r>
      <w:r w:rsidRPr="00C87372">
        <w:rPr>
          <w:rFonts w:ascii="Times New Roman" w:hAnsi="Times New Roman" w:cs="Times New Roman"/>
          <w:sz w:val="24"/>
          <w:szCs w:val="24"/>
        </w:rPr>
        <w:t>. punktā minēto projektu īstenošanu, normatīvajos aktos noteiktā kārtībā sagatavot un iesniegt Finanšu ministrijā pieprasījumu par apropriācijas izmaiņām.</w:t>
      </w:r>
    </w:p>
    <w:p w:rsidRPr="00AE1A59" w:rsidR="00C87372" w:rsidP="008C26E7" w:rsidRDefault="00C87372" w14:paraId="16A499D9" w14:textId="616F79CA">
      <w:pPr>
        <w:pStyle w:val="Sarakstarindkopa"/>
        <w:numPr>
          <w:ilvl w:val="0"/>
          <w:numId w:val="14"/>
        </w:numPr>
        <w:spacing w:after="0" w:line="240" w:lineRule="auto"/>
        <w:ind w:left="1066" w:hanging="357"/>
        <w:jc w:val="both"/>
        <w:rPr>
          <w:rFonts w:ascii="Times New Roman" w:hAnsi="Times New Roman" w:cs="Times New Roman"/>
          <w:sz w:val="24"/>
          <w:szCs w:val="24"/>
        </w:rPr>
      </w:pPr>
      <w:r w:rsidRPr="00C87372">
        <w:rPr>
          <w:rFonts w:ascii="Times New Roman" w:hAnsi="Times New Roman" w:cs="Times New Roman"/>
          <w:sz w:val="24"/>
          <w:szCs w:val="24"/>
        </w:rPr>
        <w:t>Tieslietu ministrijai pēc īstenoto projektu noslēguma maksājumu saņemšanas nodrošināt līdzekļu ieskaitīšanu valsts pamatbudžeta ieņēmumos.</w:t>
      </w:r>
    </w:p>
    <w:p w:rsidRPr="00F92B5C" w:rsidR="00BF26F2" w:rsidP="008D5484" w:rsidRDefault="00BF26F2" w14:paraId="09C625B3" w14:textId="7164EA4A">
      <w:pPr>
        <w:spacing w:after="0" w:line="240" w:lineRule="auto"/>
        <w:jc w:val="both"/>
        <w:rPr>
          <w:rFonts w:ascii="Times New Roman" w:hAnsi="Times New Roman" w:cs="Times New Roman"/>
          <w:sz w:val="24"/>
          <w:szCs w:val="24"/>
        </w:rPr>
      </w:pPr>
    </w:p>
    <w:p w:rsidRPr="00B943CC" w:rsidR="001D2CB8" w:rsidP="008D5484" w:rsidRDefault="001D2CB8" w14:paraId="477D0860" w14:textId="77777777">
      <w:pPr>
        <w:spacing w:after="0" w:line="240" w:lineRule="auto"/>
        <w:jc w:val="both"/>
        <w:rPr>
          <w:rFonts w:ascii="Times New Roman" w:hAnsi="Times New Roman" w:cs="Times New Roman"/>
          <w:sz w:val="24"/>
          <w:szCs w:val="24"/>
        </w:rPr>
      </w:pPr>
    </w:p>
    <w:p w:rsidR="00ED7CF2" w:rsidP="00ED7CF2" w:rsidRDefault="00ED7CF2" w14:paraId="747D1990" w14:textId="102E0D35">
      <w:pPr>
        <w:tabs>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Ministru prezidenta biedrs,</w:t>
      </w:r>
    </w:p>
    <w:p w:rsidRPr="005C318F" w:rsidR="00B943CC" w:rsidP="00ED7CF2" w:rsidRDefault="00ED7CF2" w14:paraId="2DCD4374" w14:textId="71A6EDB8">
      <w:pPr>
        <w:tabs>
          <w:tab w:val="right" w:pos="9072"/>
        </w:tabs>
        <w:spacing w:after="0"/>
        <w:jc w:val="both"/>
        <w:rPr>
          <w:rFonts w:ascii="Times New Roman" w:hAnsi="Times New Roman" w:cs="Times New Roman"/>
          <w:sz w:val="24"/>
          <w:szCs w:val="24"/>
        </w:rPr>
      </w:pPr>
      <w:r>
        <w:rPr>
          <w:rFonts w:ascii="Times New Roman" w:hAnsi="Times New Roman" w:cs="Times New Roman"/>
          <w:sz w:val="24"/>
          <w:szCs w:val="24"/>
        </w:rPr>
        <w:t>t</w:t>
      </w:r>
      <w:r w:rsidRPr="005C318F" w:rsidR="00B943CC">
        <w:rPr>
          <w:rFonts w:ascii="Times New Roman" w:hAnsi="Times New Roman" w:cs="Times New Roman"/>
          <w:sz w:val="24"/>
          <w:szCs w:val="24"/>
        </w:rPr>
        <w:t>ieslietu ministrs</w:t>
      </w:r>
      <w:r w:rsidRPr="005C318F" w:rsidR="00B943CC">
        <w:rPr>
          <w:rFonts w:ascii="Times New Roman" w:hAnsi="Times New Roman" w:cs="Times New Roman"/>
          <w:sz w:val="24"/>
          <w:szCs w:val="24"/>
        </w:rPr>
        <w:tab/>
        <w:t xml:space="preserve">Jānis </w:t>
      </w:r>
      <w:proofErr w:type="spellStart"/>
      <w:r w:rsidRPr="005C318F" w:rsidR="00B943CC">
        <w:rPr>
          <w:rFonts w:ascii="Times New Roman" w:hAnsi="Times New Roman" w:cs="Times New Roman"/>
          <w:sz w:val="24"/>
          <w:szCs w:val="24"/>
        </w:rPr>
        <w:t>Bordāns</w:t>
      </w:r>
      <w:proofErr w:type="spellEnd"/>
    </w:p>
    <w:p w:rsidRPr="00AE1A59" w:rsidR="00F92B5C" w:rsidP="005D27D4" w:rsidRDefault="00F92B5C" w14:paraId="73FB9491"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AE1A59" w:rsidR="00F92B5C" w:rsidP="005D27D4" w:rsidRDefault="00F92B5C" w14:paraId="54285275" w14:textId="77777777">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Pr="00AE1A59" w:rsidR="003047D6" w:rsidP="005D27D4" w:rsidRDefault="003047D6" w14:paraId="7C97C075" w14:textId="05D66932">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AE1A59">
        <w:rPr>
          <w:rFonts w:ascii="Times New Roman" w:hAnsi="Times New Roman" w:cs="Times New Roman"/>
          <w:i/>
          <w:sz w:val="20"/>
          <w:szCs w:val="20"/>
        </w:rPr>
        <w:t>Karlsone-Djomkina 26458289</w:t>
      </w:r>
    </w:p>
    <w:p w:rsidR="003047D6" w:rsidP="005D27D4" w:rsidRDefault="00EC5479" w14:paraId="0435257D" w14:textId="419C8B29">
      <w:pPr>
        <w:pStyle w:val="Sarakstarindkopa"/>
        <w:tabs>
          <w:tab w:val="left" w:pos="142"/>
          <w:tab w:val="left" w:pos="709"/>
        </w:tabs>
        <w:spacing w:after="0" w:line="240" w:lineRule="auto"/>
        <w:ind w:left="0"/>
        <w:jc w:val="both"/>
        <w:rPr>
          <w:rFonts w:ascii="Times New Roman" w:hAnsi="Times New Roman" w:cs="Times New Roman"/>
          <w:i/>
          <w:sz w:val="20"/>
          <w:szCs w:val="20"/>
        </w:rPr>
      </w:pPr>
      <w:hyperlink w:history="1" r:id="rId13">
        <w:r w:rsidRPr="00400DBD" w:rsidR="00DE784A">
          <w:rPr>
            <w:rStyle w:val="Hipersaite"/>
            <w:rFonts w:ascii="Times New Roman" w:hAnsi="Times New Roman" w:cs="Times New Roman"/>
            <w:i/>
            <w:sz w:val="20"/>
            <w:szCs w:val="20"/>
          </w:rPr>
          <w:t>Agnija.Karlsone-Djomkina@ta.gov.lv</w:t>
        </w:r>
      </w:hyperlink>
    </w:p>
    <w:p w:rsidR="00DE784A" w:rsidP="005D27D4" w:rsidRDefault="00DE784A" w14:paraId="687C0110" w14:textId="2D937066">
      <w:pPr>
        <w:pStyle w:val="Sarakstarindkopa"/>
        <w:tabs>
          <w:tab w:val="left" w:pos="142"/>
          <w:tab w:val="left" w:pos="709"/>
        </w:tabs>
        <w:spacing w:after="0" w:line="240" w:lineRule="auto"/>
        <w:ind w:left="0"/>
        <w:jc w:val="both"/>
        <w:rPr>
          <w:rFonts w:ascii="Times New Roman" w:hAnsi="Times New Roman" w:cs="Times New Roman"/>
          <w:i/>
          <w:sz w:val="20"/>
          <w:szCs w:val="20"/>
        </w:rPr>
      </w:pPr>
    </w:p>
    <w:p w:rsidR="00DE784A" w:rsidP="005D27D4" w:rsidRDefault="00DE784A" w14:paraId="0C4BBDFE" w14:textId="4643AB2B">
      <w:pPr>
        <w:pStyle w:val="Sarakstarindkopa"/>
        <w:tabs>
          <w:tab w:val="left" w:pos="142"/>
          <w:tab w:val="left" w:pos="709"/>
        </w:tabs>
        <w:spacing w:after="0" w:line="240" w:lineRule="auto"/>
        <w:ind w:left="0"/>
        <w:jc w:val="both"/>
        <w:rPr>
          <w:rFonts w:ascii="Times New Roman" w:hAnsi="Times New Roman" w:cs="Times New Roman"/>
          <w:i/>
          <w:sz w:val="20"/>
          <w:szCs w:val="20"/>
        </w:rPr>
      </w:pPr>
      <w:r>
        <w:rPr>
          <w:rFonts w:ascii="Times New Roman" w:hAnsi="Times New Roman" w:cs="Times New Roman"/>
          <w:i/>
          <w:sz w:val="20"/>
          <w:szCs w:val="20"/>
        </w:rPr>
        <w:t>Apinis</w:t>
      </w:r>
      <w:r w:rsidR="00A51CF9">
        <w:rPr>
          <w:rFonts w:ascii="Times New Roman" w:hAnsi="Times New Roman" w:cs="Times New Roman"/>
          <w:i/>
          <w:sz w:val="20"/>
          <w:szCs w:val="20"/>
        </w:rPr>
        <w:t xml:space="preserve"> </w:t>
      </w:r>
      <w:r w:rsidRPr="00A51CF9" w:rsidR="00A51CF9">
        <w:rPr>
          <w:rFonts w:ascii="Times New Roman" w:hAnsi="Times New Roman" w:cs="Times New Roman"/>
          <w:i/>
          <w:sz w:val="20"/>
          <w:szCs w:val="20"/>
        </w:rPr>
        <w:t>67517758</w:t>
      </w:r>
    </w:p>
    <w:p w:rsidRPr="00AE1A59" w:rsidR="00DE784A" w:rsidP="005D27D4" w:rsidRDefault="00EC5479" w14:paraId="3794A0E7" w14:textId="1104FD08">
      <w:pPr>
        <w:pStyle w:val="Sarakstarindkopa"/>
        <w:tabs>
          <w:tab w:val="left" w:pos="142"/>
          <w:tab w:val="left" w:pos="709"/>
        </w:tabs>
        <w:spacing w:after="0" w:line="240" w:lineRule="auto"/>
        <w:ind w:left="0"/>
        <w:jc w:val="both"/>
        <w:rPr>
          <w:rFonts w:ascii="Times New Roman" w:hAnsi="Times New Roman" w:cs="Times New Roman"/>
          <w:i/>
          <w:sz w:val="20"/>
          <w:szCs w:val="20"/>
        </w:rPr>
      </w:pPr>
      <w:hyperlink w:history="1" r:id="rId14">
        <w:r w:rsidRPr="00EF5DEB" w:rsidR="00156F64">
          <w:rPr>
            <w:rStyle w:val="Hipersaite"/>
            <w:rFonts w:ascii="Times New Roman" w:hAnsi="Times New Roman" w:cs="Times New Roman"/>
            <w:i/>
            <w:sz w:val="20"/>
            <w:szCs w:val="20"/>
          </w:rPr>
          <w:t>Raimonds.Apinis@vteb.gov.lv</w:t>
        </w:r>
      </w:hyperlink>
      <w:r w:rsidR="00156F64">
        <w:rPr>
          <w:rFonts w:ascii="Times New Roman" w:hAnsi="Times New Roman" w:cs="Times New Roman"/>
          <w:i/>
          <w:sz w:val="20"/>
          <w:szCs w:val="20"/>
        </w:rPr>
        <w:t xml:space="preserve"> </w:t>
      </w:r>
    </w:p>
    <w:p w:rsidRPr="00F92B5C" w:rsidR="003047D6" w:rsidP="005D27D4" w:rsidRDefault="003047D6" w14:paraId="0CC53647" w14:textId="77777777">
      <w:pPr>
        <w:pStyle w:val="Sarakstarindkopa"/>
        <w:tabs>
          <w:tab w:val="left" w:pos="142"/>
          <w:tab w:val="left" w:pos="709"/>
        </w:tabs>
        <w:spacing w:after="0" w:line="240" w:lineRule="auto"/>
        <w:ind w:left="0"/>
        <w:jc w:val="both"/>
        <w:rPr>
          <w:rFonts w:ascii="Times New Roman" w:hAnsi="Times New Roman" w:cs="Times New Roman"/>
          <w:iCs/>
          <w:sz w:val="20"/>
          <w:szCs w:val="20"/>
        </w:rPr>
      </w:pPr>
    </w:p>
    <w:p w:rsidRPr="0093036F" w:rsidR="0093036F" w:rsidP="0093036F" w:rsidRDefault="0093036F" w14:paraId="15A5BD3F" w14:textId="77777777">
      <w:pPr>
        <w:tabs>
          <w:tab w:val="left" w:pos="142"/>
          <w:tab w:val="left" w:pos="709"/>
        </w:tabs>
        <w:spacing w:after="0" w:line="240" w:lineRule="auto"/>
        <w:jc w:val="both"/>
        <w:rPr>
          <w:rFonts w:ascii="Times New Roman" w:hAnsi="Times New Roman" w:cs="Times New Roman"/>
          <w:i/>
          <w:sz w:val="20"/>
          <w:szCs w:val="20"/>
        </w:rPr>
      </w:pPr>
      <w:r w:rsidRPr="0093036F">
        <w:rPr>
          <w:rFonts w:ascii="Times New Roman" w:hAnsi="Times New Roman" w:cs="Times New Roman"/>
          <w:i/>
          <w:sz w:val="20"/>
          <w:szCs w:val="20"/>
        </w:rPr>
        <w:t>Pusvācietis 67036711</w:t>
      </w:r>
    </w:p>
    <w:p w:rsidRPr="00AE1A59" w:rsidR="008678A2" w:rsidP="0093036F" w:rsidRDefault="0093036F" w14:paraId="6ABC888B" w14:textId="2E38738F">
      <w:pPr>
        <w:pStyle w:val="Sarakstarindkopa"/>
        <w:tabs>
          <w:tab w:val="left" w:pos="142"/>
          <w:tab w:val="left" w:pos="709"/>
        </w:tabs>
        <w:spacing w:after="0" w:line="240" w:lineRule="auto"/>
        <w:ind w:left="0"/>
        <w:jc w:val="both"/>
      </w:pPr>
      <w:r w:rsidRPr="0093036F">
        <w:rPr>
          <w:rFonts w:ascii="Times New Roman" w:hAnsi="Times New Roman" w:cs="Times New Roman"/>
          <w:i/>
          <w:sz w:val="20"/>
          <w:szCs w:val="20"/>
        </w:rPr>
        <w:t>valdis.pusvacietis@tm.gov.lv</w:t>
      </w:r>
    </w:p>
    <w:sectPr w:rsidRPr="00AE1A59" w:rsidR="008678A2" w:rsidSect="00FA2163">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E8545" w14:textId="77777777" w:rsidR="00102E0D" w:rsidRDefault="00102E0D" w:rsidP="005B4A38">
      <w:pPr>
        <w:spacing w:after="0" w:line="240" w:lineRule="auto"/>
      </w:pPr>
      <w:r>
        <w:separator/>
      </w:r>
    </w:p>
  </w:endnote>
  <w:endnote w:type="continuationSeparator" w:id="0">
    <w:p w14:paraId="6474761D" w14:textId="77777777" w:rsidR="00102E0D" w:rsidRDefault="00102E0D"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4E1DB" w14:textId="2BFAADC5" w:rsidR="00C2681B" w:rsidRPr="00020DF2" w:rsidRDefault="00C2681B" w:rsidP="00020DF2">
    <w:pPr>
      <w:pStyle w:val="Kjene"/>
    </w:pPr>
    <w:r w:rsidRPr="00020DF2">
      <w:rPr>
        <w:rFonts w:ascii="Times New Roman" w:hAnsi="Times New Roman" w:cs="Times New Roman"/>
        <w:sz w:val="20"/>
        <w:szCs w:val="20"/>
      </w:rPr>
      <w:t>TMzin</w:t>
    </w:r>
    <w:r w:rsidR="00C47CD2">
      <w:rPr>
        <w:rFonts w:ascii="Times New Roman" w:hAnsi="Times New Roman" w:cs="Times New Roman"/>
        <w:sz w:val="20"/>
        <w:szCs w:val="20"/>
      </w:rPr>
      <w:t>_</w:t>
    </w:r>
    <w:r w:rsidR="00AD3376">
      <w:rPr>
        <w:rFonts w:ascii="Times New Roman" w:hAnsi="Times New Roman" w:cs="Times New Roman"/>
        <w:sz w:val="20"/>
        <w:szCs w:val="20"/>
      </w:rPr>
      <w:t>2</w:t>
    </w:r>
    <w:r w:rsidR="00ED7CF2">
      <w:rPr>
        <w:rFonts w:ascii="Times New Roman" w:hAnsi="Times New Roman" w:cs="Times New Roman"/>
        <w:sz w:val="20"/>
        <w:szCs w:val="20"/>
      </w:rPr>
      <w:t>7</w:t>
    </w:r>
    <w:r w:rsidR="00395087">
      <w:rPr>
        <w:rFonts w:ascii="Times New Roman" w:hAnsi="Times New Roman" w:cs="Times New Roman"/>
        <w:sz w:val="20"/>
        <w:szCs w:val="20"/>
      </w:rPr>
      <w:t>0220</w:t>
    </w:r>
    <w:r w:rsidR="00C47CD2">
      <w:rPr>
        <w:rFonts w:ascii="Times New Roman" w:hAnsi="Times New Roman" w:cs="Times New Roman"/>
        <w:sz w:val="20"/>
        <w:szCs w:val="20"/>
      </w:rPr>
      <w:t>_</w:t>
    </w:r>
    <w:r>
      <w:rPr>
        <w:rFonts w:ascii="Times New Roman" w:hAnsi="Times New Roman" w:cs="Times New Roman"/>
        <w:sz w:val="20"/>
        <w:szCs w:val="20"/>
      </w:rPr>
      <w:t>TA</w:t>
    </w:r>
    <w:r w:rsidR="00C47CD2">
      <w:rPr>
        <w:rFonts w:ascii="Times New Roman" w:hAnsi="Times New Roman" w:cs="Times New Roman"/>
        <w:sz w:val="20"/>
        <w:szCs w:val="20"/>
      </w:rPr>
      <w:t>_</w:t>
    </w:r>
    <w:r w:rsidR="00395087">
      <w:rPr>
        <w:rFonts w:ascii="Times New Roman" w:hAnsi="Times New Roman" w:cs="Times New Roman"/>
        <w:sz w:val="20"/>
        <w:szCs w:val="20"/>
      </w:rPr>
      <w:t>VTEB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02BE" w14:textId="4AE93735" w:rsidR="00C2681B" w:rsidRPr="00020DF2" w:rsidRDefault="00C2681B" w:rsidP="00020DF2">
    <w:pPr>
      <w:pStyle w:val="Kjene"/>
    </w:pPr>
    <w:r w:rsidRPr="00020DF2">
      <w:rPr>
        <w:rFonts w:ascii="Times New Roman" w:hAnsi="Times New Roman" w:cs="Times New Roman"/>
        <w:sz w:val="20"/>
        <w:szCs w:val="20"/>
      </w:rPr>
      <w:t>TMzin_</w:t>
    </w:r>
    <w:r w:rsidR="00AD3376">
      <w:rPr>
        <w:rFonts w:ascii="Times New Roman" w:hAnsi="Times New Roman" w:cs="Times New Roman"/>
        <w:sz w:val="20"/>
        <w:szCs w:val="20"/>
      </w:rPr>
      <w:t>2</w:t>
    </w:r>
    <w:r w:rsidR="00ED7CF2">
      <w:rPr>
        <w:rFonts w:ascii="Times New Roman" w:hAnsi="Times New Roman" w:cs="Times New Roman"/>
        <w:sz w:val="20"/>
        <w:szCs w:val="20"/>
      </w:rPr>
      <w:t>7</w:t>
    </w:r>
    <w:r w:rsidR="00395087">
      <w:rPr>
        <w:rFonts w:ascii="Times New Roman" w:hAnsi="Times New Roman" w:cs="Times New Roman"/>
        <w:sz w:val="20"/>
        <w:szCs w:val="20"/>
      </w:rPr>
      <w:t>0220</w:t>
    </w:r>
    <w:r w:rsidRPr="00020DF2">
      <w:rPr>
        <w:rFonts w:ascii="Times New Roman" w:hAnsi="Times New Roman" w:cs="Times New Roman"/>
        <w:sz w:val="20"/>
        <w:szCs w:val="20"/>
      </w:rPr>
      <w:t>_</w:t>
    </w:r>
    <w:r>
      <w:rPr>
        <w:rFonts w:ascii="Times New Roman" w:hAnsi="Times New Roman" w:cs="Times New Roman"/>
        <w:sz w:val="20"/>
        <w:szCs w:val="20"/>
      </w:rPr>
      <w:t>TA_</w:t>
    </w:r>
    <w:r w:rsidR="00395087">
      <w:rPr>
        <w:rFonts w:ascii="Times New Roman" w:hAnsi="Times New Roman" w:cs="Times New Roman"/>
        <w:sz w:val="20"/>
        <w:szCs w:val="20"/>
      </w:rPr>
      <w:t>VTEB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06E0" w14:textId="77777777" w:rsidR="00102E0D" w:rsidRDefault="00102E0D" w:rsidP="005B4A38">
      <w:pPr>
        <w:spacing w:after="0" w:line="240" w:lineRule="auto"/>
      </w:pPr>
      <w:r>
        <w:separator/>
      </w:r>
    </w:p>
  </w:footnote>
  <w:footnote w:type="continuationSeparator" w:id="0">
    <w:p w14:paraId="6DF08274" w14:textId="77777777" w:rsidR="00102E0D" w:rsidRDefault="00102E0D" w:rsidP="005B4A38">
      <w:pPr>
        <w:spacing w:after="0" w:line="240" w:lineRule="auto"/>
      </w:pPr>
      <w:r>
        <w:continuationSeparator/>
      </w:r>
    </w:p>
  </w:footnote>
  <w:footnote w:id="1">
    <w:p w14:paraId="56EC0BEC" w14:textId="114F492F" w:rsidR="00C2681B" w:rsidRPr="005F0114" w:rsidRDefault="00C2681B" w:rsidP="00D80E65">
      <w:pPr>
        <w:pStyle w:val="Vresteksts"/>
        <w:rPr>
          <w:rFonts w:ascii="Times New Roman" w:hAnsi="Times New Roman" w:cs="Times New Roman"/>
        </w:rPr>
      </w:pPr>
      <w:r w:rsidRPr="005F0114">
        <w:rPr>
          <w:rStyle w:val="Vresatsauce"/>
          <w:rFonts w:ascii="Times New Roman" w:hAnsi="Times New Roman" w:cs="Times New Roman"/>
        </w:rPr>
        <w:footnoteRef/>
      </w:r>
      <w:r w:rsidRPr="005F0114">
        <w:rPr>
          <w:rFonts w:ascii="Times New Roman" w:hAnsi="Times New Roman" w:cs="Times New Roman"/>
        </w:rPr>
        <w:t xml:space="preserve"> </w:t>
      </w:r>
      <w:hyperlink r:id="rId1" w:history="1">
        <w:r w:rsidRPr="00422CF6">
          <w:rPr>
            <w:rStyle w:val="Hipersaite"/>
            <w:rFonts w:ascii="Times New Roman" w:hAnsi="Times New Roman" w:cs="Times New Roman"/>
          </w:rPr>
          <w:t>https://ec.europa.eu/justice/grants1/programmes-2014-2020/justice/index_en.htm</w:t>
        </w:r>
      </w:hyperlink>
      <w:r>
        <w:rPr>
          <w:rFonts w:ascii="Times New Roman" w:hAnsi="Times New Roman" w:cs="Times New Roman"/>
        </w:rPr>
        <w:t xml:space="preserve"> </w:t>
      </w:r>
    </w:p>
  </w:footnote>
  <w:footnote w:id="2">
    <w:p w14:paraId="752D689C" w14:textId="5D3DDD23" w:rsidR="00C2681B" w:rsidRPr="005F0114" w:rsidRDefault="00C2681B" w:rsidP="005D27B4">
      <w:pPr>
        <w:pStyle w:val="Vresteksts"/>
        <w:rPr>
          <w:rFonts w:ascii="Times New Roman" w:hAnsi="Times New Roman" w:cs="Times New Roman"/>
        </w:rPr>
      </w:pPr>
      <w:r w:rsidRPr="005F0114">
        <w:rPr>
          <w:rStyle w:val="Vresatsauce"/>
          <w:rFonts w:ascii="Times New Roman" w:hAnsi="Times New Roman" w:cs="Times New Roman"/>
        </w:rPr>
        <w:footnoteRef/>
      </w:r>
      <w:r w:rsidR="00F47D28">
        <w:t xml:space="preserve"> </w:t>
      </w:r>
      <w:hyperlink r:id="rId2" w:history="1">
        <w:r w:rsidR="00F47D28" w:rsidRPr="00F47D28">
          <w:rPr>
            <w:rStyle w:val="Hipersaite"/>
            <w:rFonts w:ascii="Times New Roman" w:hAnsi="Times New Roman" w:cs="Times New Roman"/>
          </w:rPr>
          <w:t>https://ec.europa.eu/info/funding-tenders/opportunities/portal/screen/opportunities/topic-details/just-jacc-eju-ag-2019</w:t>
        </w:r>
      </w:hyperlink>
      <w:r w:rsidRPr="005F0114">
        <w:rPr>
          <w:rFonts w:ascii="Times New Roman" w:hAnsi="Times New Roman" w:cs="Times New Roman"/>
        </w:rPr>
        <w:t xml:space="preserve"> </w:t>
      </w:r>
    </w:p>
  </w:footnote>
  <w:footnote w:id="3">
    <w:p w14:paraId="7896E130" w14:textId="77777777" w:rsidR="00DE784A" w:rsidRDefault="00DE784A" w:rsidP="00DE784A">
      <w:pPr>
        <w:pStyle w:val="Vresteksts"/>
        <w:jc w:val="both"/>
      </w:pPr>
      <w:r>
        <w:rPr>
          <w:rStyle w:val="Vresatsauce"/>
        </w:rPr>
        <w:footnoteRef/>
      </w:r>
      <w:r>
        <w:t xml:space="preserve"> </w:t>
      </w:r>
      <w:hyperlink r:id="rId3" w:history="1">
        <w:r w:rsidRPr="00791E64">
          <w:rPr>
            <w:rStyle w:val="Hipersaite"/>
            <w:rFonts w:ascii="Times New Roman" w:hAnsi="Times New Roman" w:cs="Times New Roman"/>
            <w:color w:val="auto"/>
          </w:rPr>
          <w:t>https://eur-lex.europa.eu/legal-content/LV/TXT/?uri=CELEX%3A32013R1291</w:t>
        </w:r>
      </w:hyperlink>
      <w:r w:rsidRPr="00791E64">
        <w:t xml:space="preserve"> </w:t>
      </w:r>
    </w:p>
  </w:footnote>
  <w:footnote w:id="4">
    <w:p w14:paraId="1F11B73F" w14:textId="77777777" w:rsidR="009B2F5A" w:rsidRPr="005D27B4" w:rsidRDefault="009B2F5A" w:rsidP="009B2F5A">
      <w:pPr>
        <w:pStyle w:val="Vresteksts"/>
        <w:rPr>
          <w:rFonts w:ascii="Times New Roman" w:hAnsi="Times New Roman" w:cs="Times New Roman"/>
        </w:rPr>
      </w:pPr>
      <w:r w:rsidRPr="005D27B4">
        <w:rPr>
          <w:rStyle w:val="Vresatsauce"/>
          <w:rFonts w:ascii="Times New Roman" w:hAnsi="Times New Roman" w:cs="Times New Roman"/>
        </w:rPr>
        <w:footnoteRef/>
      </w:r>
      <w:hyperlink r:id="rId4" w:history="1">
        <w:r w:rsidRPr="00422CF6">
          <w:rPr>
            <w:rStyle w:val="Hipersaite"/>
            <w:rFonts w:ascii="Times New Roman" w:hAnsi="Times New Roman" w:cs="Times New Roman"/>
          </w:rPr>
          <w:t>https://ec.europa.eu/research/participants/data/ref/other_eu_prog/justice/wp/justice-awp-2019_en.pdf</w:t>
        </w:r>
      </w:hyperlink>
      <w:r>
        <w:rPr>
          <w:rFonts w:ascii="Times New Roman" w:hAnsi="Times New Roman" w:cs="Times New Roman"/>
        </w:rPr>
        <w:t xml:space="preserve"> </w:t>
      </w:r>
    </w:p>
  </w:footnote>
  <w:footnote w:id="5">
    <w:p w14:paraId="1025E61F" w14:textId="3A2BD24C" w:rsidR="00BF776F" w:rsidRPr="00322E75" w:rsidRDefault="00BF776F">
      <w:pPr>
        <w:pStyle w:val="Vresteksts"/>
        <w:rPr>
          <w:rFonts w:ascii="Times New Roman" w:hAnsi="Times New Roman" w:cs="Times New Roman"/>
        </w:rPr>
      </w:pPr>
      <w:r w:rsidRPr="00322E75">
        <w:rPr>
          <w:rStyle w:val="Vresatsauce"/>
          <w:rFonts w:ascii="Times New Roman" w:hAnsi="Times New Roman" w:cs="Times New Roman"/>
        </w:rPr>
        <w:footnoteRef/>
      </w:r>
      <w:r w:rsidRPr="00322E75">
        <w:rPr>
          <w:rFonts w:ascii="Times New Roman" w:hAnsi="Times New Roman" w:cs="Times New Roman"/>
        </w:rPr>
        <w:t xml:space="preserve"> </w:t>
      </w:r>
      <w:hyperlink r:id="rId5" w:history="1">
        <w:r w:rsidRPr="00322E75">
          <w:rPr>
            <w:rStyle w:val="Hipersaite"/>
            <w:rFonts w:ascii="Times New Roman" w:hAnsi="Times New Roman" w:cs="Times New Roman"/>
          </w:rPr>
          <w:t>https://eur-lex.europa.eu/legal-content/LV/TXT/PDF/?uri=CELEX:32012R0650&amp;from=LV</w:t>
        </w:r>
      </w:hyperlink>
      <w:r w:rsidRPr="00322E75">
        <w:rPr>
          <w:rFonts w:ascii="Times New Roman" w:hAnsi="Times New Roman" w:cs="Times New Roman"/>
        </w:rPr>
        <w:t xml:space="preserve"> </w:t>
      </w:r>
    </w:p>
  </w:footnote>
  <w:footnote w:id="6">
    <w:p w14:paraId="2BC81916" w14:textId="15B7EE5D" w:rsidR="00014A2E" w:rsidRPr="00322E75" w:rsidRDefault="00014A2E">
      <w:pPr>
        <w:pStyle w:val="Vresteksts"/>
        <w:rPr>
          <w:rFonts w:ascii="Times New Roman" w:hAnsi="Times New Roman" w:cs="Times New Roman"/>
        </w:rPr>
      </w:pPr>
      <w:r w:rsidRPr="00322E75">
        <w:rPr>
          <w:rStyle w:val="Vresatsauce"/>
          <w:rFonts w:ascii="Times New Roman" w:hAnsi="Times New Roman" w:cs="Times New Roman"/>
        </w:rPr>
        <w:footnoteRef/>
      </w:r>
      <w:r w:rsidRPr="00322E75">
        <w:rPr>
          <w:rFonts w:ascii="Times New Roman" w:hAnsi="Times New Roman" w:cs="Times New Roman"/>
        </w:rPr>
        <w:t xml:space="preserve"> </w:t>
      </w:r>
      <w:hyperlink r:id="rId6" w:history="1">
        <w:r w:rsidRPr="00322E75">
          <w:rPr>
            <w:rStyle w:val="Hipersaite"/>
            <w:rFonts w:ascii="Times New Roman" w:hAnsi="Times New Roman" w:cs="Times New Roman"/>
          </w:rPr>
          <w:t>https://eur-lex.europa.eu/legal-content/LV/TXT/PDF/?uri=CELEX:32018R1805&amp;from=lv</w:t>
        </w:r>
      </w:hyperlink>
      <w:r w:rsidRPr="00322E7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rsidRPr="002F6F78" w:rsidR="00C2681B" w:rsidP="002B2392" w:rsidRDefault="00C2681B" w14:paraId="22C5AD9B" w14:textId="77777777">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73A"/>
    <w:multiLevelType w:val="hybridMultilevel"/>
    <w:tmpl w:val="0DB431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FC4A9E"/>
    <w:multiLevelType w:val="hybridMultilevel"/>
    <w:tmpl w:val="0792D3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2363887"/>
    <w:multiLevelType w:val="hybridMultilevel"/>
    <w:tmpl w:val="911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CE03A5"/>
    <w:multiLevelType w:val="hybridMultilevel"/>
    <w:tmpl w:val="DED8A9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3"/>
  </w:num>
  <w:num w:numId="3">
    <w:abstractNumId w:val="15"/>
  </w:num>
  <w:num w:numId="4">
    <w:abstractNumId w:val="6"/>
  </w:num>
  <w:num w:numId="5">
    <w:abstractNumId w:val="12"/>
  </w:num>
  <w:num w:numId="6">
    <w:abstractNumId w:val="16"/>
  </w:num>
  <w:num w:numId="7">
    <w:abstractNumId w:val="2"/>
  </w:num>
  <w:num w:numId="8">
    <w:abstractNumId w:val="7"/>
  </w:num>
  <w:num w:numId="9">
    <w:abstractNumId w:val="10"/>
  </w:num>
  <w:num w:numId="10">
    <w:abstractNumId w:val="9"/>
  </w:num>
  <w:num w:numId="11">
    <w:abstractNumId w:val="17"/>
  </w:num>
  <w:num w:numId="12">
    <w:abstractNumId w:val="18"/>
  </w:num>
  <w:num w:numId="13">
    <w:abstractNumId w:val="1"/>
  </w:num>
  <w:num w:numId="14">
    <w:abstractNumId w:val="4"/>
  </w:num>
  <w:num w:numId="15">
    <w:abstractNumId w:val="13"/>
  </w:num>
  <w:num w:numId="16">
    <w:abstractNumId w:val="11"/>
  </w:num>
  <w:num w:numId="17">
    <w:abstractNumId w:val="0"/>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4B4"/>
    <w:rsid w:val="0000281D"/>
    <w:rsid w:val="00002A46"/>
    <w:rsid w:val="00002D42"/>
    <w:rsid w:val="00002FF5"/>
    <w:rsid w:val="0000332B"/>
    <w:rsid w:val="00003EAD"/>
    <w:rsid w:val="000048DC"/>
    <w:rsid w:val="00005B56"/>
    <w:rsid w:val="00006E0D"/>
    <w:rsid w:val="00007A88"/>
    <w:rsid w:val="00010EC6"/>
    <w:rsid w:val="000114B6"/>
    <w:rsid w:val="00012076"/>
    <w:rsid w:val="00012ABA"/>
    <w:rsid w:val="00012F2A"/>
    <w:rsid w:val="000139CD"/>
    <w:rsid w:val="00013F92"/>
    <w:rsid w:val="00014524"/>
    <w:rsid w:val="00014A2E"/>
    <w:rsid w:val="00015BA2"/>
    <w:rsid w:val="0001601A"/>
    <w:rsid w:val="00016B41"/>
    <w:rsid w:val="00016CF4"/>
    <w:rsid w:val="00017C32"/>
    <w:rsid w:val="00020171"/>
    <w:rsid w:val="00020875"/>
    <w:rsid w:val="00020DF2"/>
    <w:rsid w:val="00020E0D"/>
    <w:rsid w:val="00021D08"/>
    <w:rsid w:val="00021F13"/>
    <w:rsid w:val="000223A8"/>
    <w:rsid w:val="00023023"/>
    <w:rsid w:val="00023F3C"/>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E66"/>
    <w:rsid w:val="0003335B"/>
    <w:rsid w:val="0003437D"/>
    <w:rsid w:val="000343B7"/>
    <w:rsid w:val="000351F3"/>
    <w:rsid w:val="000355FE"/>
    <w:rsid w:val="00035740"/>
    <w:rsid w:val="00035B3A"/>
    <w:rsid w:val="00035D28"/>
    <w:rsid w:val="00035E4A"/>
    <w:rsid w:val="00037D28"/>
    <w:rsid w:val="00041830"/>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1E16"/>
    <w:rsid w:val="00053488"/>
    <w:rsid w:val="000534A5"/>
    <w:rsid w:val="0005392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3624"/>
    <w:rsid w:val="000644D2"/>
    <w:rsid w:val="00064B8B"/>
    <w:rsid w:val="00065A5E"/>
    <w:rsid w:val="000663B3"/>
    <w:rsid w:val="00066840"/>
    <w:rsid w:val="000673AC"/>
    <w:rsid w:val="000702DA"/>
    <w:rsid w:val="0007089C"/>
    <w:rsid w:val="0007140C"/>
    <w:rsid w:val="0007208E"/>
    <w:rsid w:val="00075A41"/>
    <w:rsid w:val="00075A83"/>
    <w:rsid w:val="00075F0D"/>
    <w:rsid w:val="00076BD3"/>
    <w:rsid w:val="00077248"/>
    <w:rsid w:val="00077447"/>
    <w:rsid w:val="00077788"/>
    <w:rsid w:val="00077ACC"/>
    <w:rsid w:val="00080D21"/>
    <w:rsid w:val="00081133"/>
    <w:rsid w:val="000821AA"/>
    <w:rsid w:val="000828F7"/>
    <w:rsid w:val="00083F3F"/>
    <w:rsid w:val="000842B5"/>
    <w:rsid w:val="00085115"/>
    <w:rsid w:val="000861AF"/>
    <w:rsid w:val="00086461"/>
    <w:rsid w:val="00086DC1"/>
    <w:rsid w:val="00086EFD"/>
    <w:rsid w:val="00087145"/>
    <w:rsid w:val="00087244"/>
    <w:rsid w:val="00087396"/>
    <w:rsid w:val="00090AA7"/>
    <w:rsid w:val="00090B26"/>
    <w:rsid w:val="00090D18"/>
    <w:rsid w:val="000910BC"/>
    <w:rsid w:val="00091345"/>
    <w:rsid w:val="000923C4"/>
    <w:rsid w:val="00093376"/>
    <w:rsid w:val="00094046"/>
    <w:rsid w:val="00094D0B"/>
    <w:rsid w:val="00094F0E"/>
    <w:rsid w:val="00097FD3"/>
    <w:rsid w:val="000A009F"/>
    <w:rsid w:val="000A0232"/>
    <w:rsid w:val="000A0B9F"/>
    <w:rsid w:val="000A1266"/>
    <w:rsid w:val="000A139D"/>
    <w:rsid w:val="000A3124"/>
    <w:rsid w:val="000A32CD"/>
    <w:rsid w:val="000A36C2"/>
    <w:rsid w:val="000A3BC2"/>
    <w:rsid w:val="000A4D5D"/>
    <w:rsid w:val="000A6321"/>
    <w:rsid w:val="000A6870"/>
    <w:rsid w:val="000A74BB"/>
    <w:rsid w:val="000A76CC"/>
    <w:rsid w:val="000A76F0"/>
    <w:rsid w:val="000A7ABE"/>
    <w:rsid w:val="000A7FC6"/>
    <w:rsid w:val="000B062F"/>
    <w:rsid w:val="000B09DC"/>
    <w:rsid w:val="000B176B"/>
    <w:rsid w:val="000B3DAF"/>
    <w:rsid w:val="000B4301"/>
    <w:rsid w:val="000B482E"/>
    <w:rsid w:val="000B48D2"/>
    <w:rsid w:val="000B4AF7"/>
    <w:rsid w:val="000B4B40"/>
    <w:rsid w:val="000B4EBD"/>
    <w:rsid w:val="000B5AD5"/>
    <w:rsid w:val="000B6B7E"/>
    <w:rsid w:val="000B7454"/>
    <w:rsid w:val="000B74C2"/>
    <w:rsid w:val="000C0B47"/>
    <w:rsid w:val="000C1824"/>
    <w:rsid w:val="000C2518"/>
    <w:rsid w:val="000C3265"/>
    <w:rsid w:val="000C374D"/>
    <w:rsid w:val="000C46B4"/>
    <w:rsid w:val="000C488B"/>
    <w:rsid w:val="000C4A85"/>
    <w:rsid w:val="000C523C"/>
    <w:rsid w:val="000C5336"/>
    <w:rsid w:val="000C55DC"/>
    <w:rsid w:val="000C61A6"/>
    <w:rsid w:val="000C627E"/>
    <w:rsid w:val="000C6B00"/>
    <w:rsid w:val="000C6BC1"/>
    <w:rsid w:val="000C7105"/>
    <w:rsid w:val="000C7588"/>
    <w:rsid w:val="000D022D"/>
    <w:rsid w:val="000D10B5"/>
    <w:rsid w:val="000D1FE9"/>
    <w:rsid w:val="000D1FF1"/>
    <w:rsid w:val="000D3C10"/>
    <w:rsid w:val="000D4A8D"/>
    <w:rsid w:val="000D4D50"/>
    <w:rsid w:val="000D6871"/>
    <w:rsid w:val="000D720A"/>
    <w:rsid w:val="000D7392"/>
    <w:rsid w:val="000D75EC"/>
    <w:rsid w:val="000D7AF7"/>
    <w:rsid w:val="000D7D57"/>
    <w:rsid w:val="000E20DF"/>
    <w:rsid w:val="000E3F61"/>
    <w:rsid w:val="000E483A"/>
    <w:rsid w:val="000E504D"/>
    <w:rsid w:val="000E5669"/>
    <w:rsid w:val="000E68CF"/>
    <w:rsid w:val="000E68EE"/>
    <w:rsid w:val="000E6D8D"/>
    <w:rsid w:val="000E7C07"/>
    <w:rsid w:val="000E7C71"/>
    <w:rsid w:val="000E7D39"/>
    <w:rsid w:val="000F03E2"/>
    <w:rsid w:val="000F19E4"/>
    <w:rsid w:val="000F20B3"/>
    <w:rsid w:val="000F2785"/>
    <w:rsid w:val="000F278C"/>
    <w:rsid w:val="000F33EB"/>
    <w:rsid w:val="000F408F"/>
    <w:rsid w:val="000F4275"/>
    <w:rsid w:val="000F5273"/>
    <w:rsid w:val="000F53B3"/>
    <w:rsid w:val="000F5A83"/>
    <w:rsid w:val="000F631A"/>
    <w:rsid w:val="000F635D"/>
    <w:rsid w:val="000F637E"/>
    <w:rsid w:val="000F6ABA"/>
    <w:rsid w:val="000F7958"/>
    <w:rsid w:val="000F7D73"/>
    <w:rsid w:val="00101979"/>
    <w:rsid w:val="00102A19"/>
    <w:rsid w:val="00102E0D"/>
    <w:rsid w:val="00103073"/>
    <w:rsid w:val="0010396E"/>
    <w:rsid w:val="001041AE"/>
    <w:rsid w:val="0010455D"/>
    <w:rsid w:val="0010465A"/>
    <w:rsid w:val="00105EFE"/>
    <w:rsid w:val="001065B2"/>
    <w:rsid w:val="00107D5D"/>
    <w:rsid w:val="001102C1"/>
    <w:rsid w:val="00111F7D"/>
    <w:rsid w:val="0011247D"/>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5C4D"/>
    <w:rsid w:val="001464FD"/>
    <w:rsid w:val="00146D69"/>
    <w:rsid w:val="0014737F"/>
    <w:rsid w:val="001479AF"/>
    <w:rsid w:val="00147F85"/>
    <w:rsid w:val="001508BF"/>
    <w:rsid w:val="00150EEE"/>
    <w:rsid w:val="001517A9"/>
    <w:rsid w:val="00151EFE"/>
    <w:rsid w:val="00152777"/>
    <w:rsid w:val="00152AA8"/>
    <w:rsid w:val="001530FF"/>
    <w:rsid w:val="00153D1A"/>
    <w:rsid w:val="00155E53"/>
    <w:rsid w:val="0015616B"/>
    <w:rsid w:val="00156F64"/>
    <w:rsid w:val="0015745E"/>
    <w:rsid w:val="00157D44"/>
    <w:rsid w:val="0016085B"/>
    <w:rsid w:val="00160A43"/>
    <w:rsid w:val="00160B7D"/>
    <w:rsid w:val="00160CA6"/>
    <w:rsid w:val="00160D82"/>
    <w:rsid w:val="00161A98"/>
    <w:rsid w:val="00162A99"/>
    <w:rsid w:val="0016337E"/>
    <w:rsid w:val="001634A8"/>
    <w:rsid w:val="00163707"/>
    <w:rsid w:val="00163B6B"/>
    <w:rsid w:val="00163B9B"/>
    <w:rsid w:val="00165001"/>
    <w:rsid w:val="001653B9"/>
    <w:rsid w:val="00166E68"/>
    <w:rsid w:val="0016755A"/>
    <w:rsid w:val="001700D7"/>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194"/>
    <w:rsid w:val="001857E0"/>
    <w:rsid w:val="00185F1A"/>
    <w:rsid w:val="0018616D"/>
    <w:rsid w:val="001873BF"/>
    <w:rsid w:val="00187D8C"/>
    <w:rsid w:val="001905CD"/>
    <w:rsid w:val="00190BAC"/>
    <w:rsid w:val="00191674"/>
    <w:rsid w:val="001919F0"/>
    <w:rsid w:val="001921A0"/>
    <w:rsid w:val="00192E3F"/>
    <w:rsid w:val="0019421D"/>
    <w:rsid w:val="00194E77"/>
    <w:rsid w:val="00194F32"/>
    <w:rsid w:val="00195BAC"/>
    <w:rsid w:val="00196D00"/>
    <w:rsid w:val="001979CB"/>
    <w:rsid w:val="001A082C"/>
    <w:rsid w:val="001A115E"/>
    <w:rsid w:val="001A150D"/>
    <w:rsid w:val="001A1BC9"/>
    <w:rsid w:val="001A1C48"/>
    <w:rsid w:val="001A28DC"/>
    <w:rsid w:val="001A49F0"/>
    <w:rsid w:val="001A6A68"/>
    <w:rsid w:val="001A7F88"/>
    <w:rsid w:val="001B0096"/>
    <w:rsid w:val="001B1F24"/>
    <w:rsid w:val="001B20C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FE8"/>
    <w:rsid w:val="001C7132"/>
    <w:rsid w:val="001C72E6"/>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C2"/>
    <w:rsid w:val="001F2ACC"/>
    <w:rsid w:val="001F309F"/>
    <w:rsid w:val="001F657D"/>
    <w:rsid w:val="001F6AC7"/>
    <w:rsid w:val="001F7279"/>
    <w:rsid w:val="001F739E"/>
    <w:rsid w:val="001F77BF"/>
    <w:rsid w:val="001F7A00"/>
    <w:rsid w:val="00201DEC"/>
    <w:rsid w:val="00202539"/>
    <w:rsid w:val="0020345E"/>
    <w:rsid w:val="002039E9"/>
    <w:rsid w:val="002040D1"/>
    <w:rsid w:val="002041A0"/>
    <w:rsid w:val="002042F6"/>
    <w:rsid w:val="002048C9"/>
    <w:rsid w:val="0020564C"/>
    <w:rsid w:val="00205860"/>
    <w:rsid w:val="002069BB"/>
    <w:rsid w:val="00206E37"/>
    <w:rsid w:val="002103CD"/>
    <w:rsid w:val="00210410"/>
    <w:rsid w:val="00210AAF"/>
    <w:rsid w:val="00210CC4"/>
    <w:rsid w:val="002117F3"/>
    <w:rsid w:val="00211B38"/>
    <w:rsid w:val="00211C77"/>
    <w:rsid w:val="00211D19"/>
    <w:rsid w:val="00211FB7"/>
    <w:rsid w:val="0021274F"/>
    <w:rsid w:val="00213050"/>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59C"/>
    <w:rsid w:val="00226107"/>
    <w:rsid w:val="00226DBF"/>
    <w:rsid w:val="00227D02"/>
    <w:rsid w:val="00227D88"/>
    <w:rsid w:val="00230705"/>
    <w:rsid w:val="00230DC0"/>
    <w:rsid w:val="00231063"/>
    <w:rsid w:val="00231DD0"/>
    <w:rsid w:val="00233E59"/>
    <w:rsid w:val="00234945"/>
    <w:rsid w:val="00234BBD"/>
    <w:rsid w:val="00235F12"/>
    <w:rsid w:val="0023709A"/>
    <w:rsid w:val="002407DA"/>
    <w:rsid w:val="002408B4"/>
    <w:rsid w:val="00241C43"/>
    <w:rsid w:val="002420B2"/>
    <w:rsid w:val="0024217D"/>
    <w:rsid w:val="00242E5E"/>
    <w:rsid w:val="002439AA"/>
    <w:rsid w:val="00243C33"/>
    <w:rsid w:val="002455DC"/>
    <w:rsid w:val="002466C0"/>
    <w:rsid w:val="00246E50"/>
    <w:rsid w:val="0025024A"/>
    <w:rsid w:val="00250672"/>
    <w:rsid w:val="00250A75"/>
    <w:rsid w:val="00250BC5"/>
    <w:rsid w:val="00250F2E"/>
    <w:rsid w:val="00250F47"/>
    <w:rsid w:val="00252026"/>
    <w:rsid w:val="002524CA"/>
    <w:rsid w:val="00252E0E"/>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7"/>
    <w:rsid w:val="00287492"/>
    <w:rsid w:val="0029023F"/>
    <w:rsid w:val="00291137"/>
    <w:rsid w:val="00291C57"/>
    <w:rsid w:val="00293046"/>
    <w:rsid w:val="0029365A"/>
    <w:rsid w:val="002940A1"/>
    <w:rsid w:val="002943A7"/>
    <w:rsid w:val="00294E09"/>
    <w:rsid w:val="00294E89"/>
    <w:rsid w:val="002958B7"/>
    <w:rsid w:val="00295944"/>
    <w:rsid w:val="00295AD6"/>
    <w:rsid w:val="00295C34"/>
    <w:rsid w:val="00295E18"/>
    <w:rsid w:val="002A0327"/>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1EF2"/>
    <w:rsid w:val="002B2392"/>
    <w:rsid w:val="002B23B7"/>
    <w:rsid w:val="002B2B21"/>
    <w:rsid w:val="002B2D35"/>
    <w:rsid w:val="002B33C9"/>
    <w:rsid w:val="002B365C"/>
    <w:rsid w:val="002B508D"/>
    <w:rsid w:val="002B509D"/>
    <w:rsid w:val="002B63CB"/>
    <w:rsid w:val="002B68B5"/>
    <w:rsid w:val="002B7A94"/>
    <w:rsid w:val="002C047E"/>
    <w:rsid w:val="002C2376"/>
    <w:rsid w:val="002C2551"/>
    <w:rsid w:val="002C2B7C"/>
    <w:rsid w:val="002C2D78"/>
    <w:rsid w:val="002C32B8"/>
    <w:rsid w:val="002C38D9"/>
    <w:rsid w:val="002C3E11"/>
    <w:rsid w:val="002C3FA3"/>
    <w:rsid w:val="002C4347"/>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151"/>
    <w:rsid w:val="002D5A23"/>
    <w:rsid w:val="002D68CD"/>
    <w:rsid w:val="002D6CB6"/>
    <w:rsid w:val="002D70C7"/>
    <w:rsid w:val="002D73AE"/>
    <w:rsid w:val="002E0B11"/>
    <w:rsid w:val="002E11C7"/>
    <w:rsid w:val="002E20B6"/>
    <w:rsid w:val="002E2E35"/>
    <w:rsid w:val="002E363D"/>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D9"/>
    <w:rsid w:val="003044DA"/>
    <w:rsid w:val="003047D6"/>
    <w:rsid w:val="003048C3"/>
    <w:rsid w:val="00304A6C"/>
    <w:rsid w:val="00304F7C"/>
    <w:rsid w:val="00305275"/>
    <w:rsid w:val="003052CE"/>
    <w:rsid w:val="0030538A"/>
    <w:rsid w:val="00305F6B"/>
    <w:rsid w:val="003077E4"/>
    <w:rsid w:val="00307B65"/>
    <w:rsid w:val="00310C23"/>
    <w:rsid w:val="00310F62"/>
    <w:rsid w:val="00311153"/>
    <w:rsid w:val="003113BD"/>
    <w:rsid w:val="0031222C"/>
    <w:rsid w:val="0031233D"/>
    <w:rsid w:val="00313E9F"/>
    <w:rsid w:val="00313EF4"/>
    <w:rsid w:val="00314215"/>
    <w:rsid w:val="00314350"/>
    <w:rsid w:val="00315629"/>
    <w:rsid w:val="003157D0"/>
    <w:rsid w:val="00315CEC"/>
    <w:rsid w:val="0031608C"/>
    <w:rsid w:val="00320586"/>
    <w:rsid w:val="00320E0C"/>
    <w:rsid w:val="00321762"/>
    <w:rsid w:val="00322E75"/>
    <w:rsid w:val="00322F38"/>
    <w:rsid w:val="003237AC"/>
    <w:rsid w:val="00323CC6"/>
    <w:rsid w:val="00323FC0"/>
    <w:rsid w:val="00327C2B"/>
    <w:rsid w:val="003300BD"/>
    <w:rsid w:val="003301AA"/>
    <w:rsid w:val="003305E6"/>
    <w:rsid w:val="00330F55"/>
    <w:rsid w:val="00331590"/>
    <w:rsid w:val="0033164F"/>
    <w:rsid w:val="00331D22"/>
    <w:rsid w:val="00332255"/>
    <w:rsid w:val="0033241B"/>
    <w:rsid w:val="00334BBF"/>
    <w:rsid w:val="00335E26"/>
    <w:rsid w:val="0033701F"/>
    <w:rsid w:val="003370D2"/>
    <w:rsid w:val="00337673"/>
    <w:rsid w:val="00337AC3"/>
    <w:rsid w:val="00341920"/>
    <w:rsid w:val="00341B99"/>
    <w:rsid w:val="00342518"/>
    <w:rsid w:val="0034308C"/>
    <w:rsid w:val="00343469"/>
    <w:rsid w:val="00343AC6"/>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9EF"/>
    <w:rsid w:val="00360895"/>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109"/>
    <w:rsid w:val="003944E4"/>
    <w:rsid w:val="00395087"/>
    <w:rsid w:val="003955AF"/>
    <w:rsid w:val="00395634"/>
    <w:rsid w:val="003959AB"/>
    <w:rsid w:val="0039633C"/>
    <w:rsid w:val="003966EE"/>
    <w:rsid w:val="003967CD"/>
    <w:rsid w:val="00396A88"/>
    <w:rsid w:val="00396E32"/>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EDB"/>
    <w:rsid w:val="003B5EFE"/>
    <w:rsid w:val="003B6099"/>
    <w:rsid w:val="003B63D1"/>
    <w:rsid w:val="003B6C1D"/>
    <w:rsid w:val="003B733E"/>
    <w:rsid w:val="003B7358"/>
    <w:rsid w:val="003C0077"/>
    <w:rsid w:val="003C03B7"/>
    <w:rsid w:val="003C06A1"/>
    <w:rsid w:val="003C15A0"/>
    <w:rsid w:val="003C2288"/>
    <w:rsid w:val="003C2CAE"/>
    <w:rsid w:val="003C2F41"/>
    <w:rsid w:val="003C357D"/>
    <w:rsid w:val="003C3B41"/>
    <w:rsid w:val="003C598A"/>
    <w:rsid w:val="003C5AF1"/>
    <w:rsid w:val="003C5DCC"/>
    <w:rsid w:val="003C678B"/>
    <w:rsid w:val="003C6FCA"/>
    <w:rsid w:val="003C79D7"/>
    <w:rsid w:val="003C7BB7"/>
    <w:rsid w:val="003D20E9"/>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F9F"/>
    <w:rsid w:val="003F06A7"/>
    <w:rsid w:val="003F0D4C"/>
    <w:rsid w:val="003F0EA1"/>
    <w:rsid w:val="003F1EBE"/>
    <w:rsid w:val="003F2D10"/>
    <w:rsid w:val="003F3187"/>
    <w:rsid w:val="003F4923"/>
    <w:rsid w:val="003F517E"/>
    <w:rsid w:val="003F5FF3"/>
    <w:rsid w:val="003F6FA3"/>
    <w:rsid w:val="003F70AC"/>
    <w:rsid w:val="003F7318"/>
    <w:rsid w:val="003F7613"/>
    <w:rsid w:val="003F7BA1"/>
    <w:rsid w:val="004011EB"/>
    <w:rsid w:val="00401FA3"/>
    <w:rsid w:val="00403400"/>
    <w:rsid w:val="0040346D"/>
    <w:rsid w:val="00406AD3"/>
    <w:rsid w:val="00407060"/>
    <w:rsid w:val="0040760B"/>
    <w:rsid w:val="00407620"/>
    <w:rsid w:val="00407917"/>
    <w:rsid w:val="0041147B"/>
    <w:rsid w:val="00412653"/>
    <w:rsid w:val="0041529D"/>
    <w:rsid w:val="004165EE"/>
    <w:rsid w:val="00416639"/>
    <w:rsid w:val="00416D1C"/>
    <w:rsid w:val="004172E4"/>
    <w:rsid w:val="00417C4C"/>
    <w:rsid w:val="0042066F"/>
    <w:rsid w:val="004208E5"/>
    <w:rsid w:val="004218CD"/>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9CD"/>
    <w:rsid w:val="00433667"/>
    <w:rsid w:val="00433C08"/>
    <w:rsid w:val="00433CC1"/>
    <w:rsid w:val="00434116"/>
    <w:rsid w:val="004346AC"/>
    <w:rsid w:val="00435777"/>
    <w:rsid w:val="0043587F"/>
    <w:rsid w:val="00435E03"/>
    <w:rsid w:val="00440FD3"/>
    <w:rsid w:val="004412F1"/>
    <w:rsid w:val="004412FF"/>
    <w:rsid w:val="004419B5"/>
    <w:rsid w:val="00441AA5"/>
    <w:rsid w:val="00442627"/>
    <w:rsid w:val="00442F7B"/>
    <w:rsid w:val="0044315D"/>
    <w:rsid w:val="004432C6"/>
    <w:rsid w:val="0044339D"/>
    <w:rsid w:val="004447A9"/>
    <w:rsid w:val="00444A9E"/>
    <w:rsid w:val="004452FB"/>
    <w:rsid w:val="00445DEC"/>
    <w:rsid w:val="0044625E"/>
    <w:rsid w:val="00446C1D"/>
    <w:rsid w:val="0044720D"/>
    <w:rsid w:val="004475B2"/>
    <w:rsid w:val="0044771D"/>
    <w:rsid w:val="00450079"/>
    <w:rsid w:val="00450A5E"/>
    <w:rsid w:val="00450E0D"/>
    <w:rsid w:val="00450F63"/>
    <w:rsid w:val="00451568"/>
    <w:rsid w:val="004519AC"/>
    <w:rsid w:val="00452D99"/>
    <w:rsid w:val="00453514"/>
    <w:rsid w:val="0045458E"/>
    <w:rsid w:val="00455664"/>
    <w:rsid w:val="004563E7"/>
    <w:rsid w:val="00456A80"/>
    <w:rsid w:val="00456E50"/>
    <w:rsid w:val="0045765E"/>
    <w:rsid w:val="00457D47"/>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212C"/>
    <w:rsid w:val="00472690"/>
    <w:rsid w:val="004739F6"/>
    <w:rsid w:val="00473BC7"/>
    <w:rsid w:val="004740AA"/>
    <w:rsid w:val="00474140"/>
    <w:rsid w:val="004746DA"/>
    <w:rsid w:val="004746EF"/>
    <w:rsid w:val="004752C0"/>
    <w:rsid w:val="00475678"/>
    <w:rsid w:val="00476050"/>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2A70"/>
    <w:rsid w:val="00493146"/>
    <w:rsid w:val="004931F0"/>
    <w:rsid w:val="004937FC"/>
    <w:rsid w:val="00493CDE"/>
    <w:rsid w:val="00493F60"/>
    <w:rsid w:val="0049472F"/>
    <w:rsid w:val="00495878"/>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5675"/>
    <w:rsid w:val="004C65ED"/>
    <w:rsid w:val="004C6FE8"/>
    <w:rsid w:val="004C7F4A"/>
    <w:rsid w:val="004D0183"/>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D24"/>
    <w:rsid w:val="004F4B45"/>
    <w:rsid w:val="004F5331"/>
    <w:rsid w:val="004F5D76"/>
    <w:rsid w:val="004F62DD"/>
    <w:rsid w:val="004F638A"/>
    <w:rsid w:val="004F67E2"/>
    <w:rsid w:val="004F6C85"/>
    <w:rsid w:val="004F7817"/>
    <w:rsid w:val="004F7CB2"/>
    <w:rsid w:val="004F7D5B"/>
    <w:rsid w:val="00500BE0"/>
    <w:rsid w:val="0050150E"/>
    <w:rsid w:val="00502D38"/>
    <w:rsid w:val="00502E64"/>
    <w:rsid w:val="0050355E"/>
    <w:rsid w:val="00503888"/>
    <w:rsid w:val="005038EB"/>
    <w:rsid w:val="00504DB9"/>
    <w:rsid w:val="00505099"/>
    <w:rsid w:val="0050518E"/>
    <w:rsid w:val="00505576"/>
    <w:rsid w:val="00505C65"/>
    <w:rsid w:val="00505E2D"/>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3CF"/>
    <w:rsid w:val="00531EFD"/>
    <w:rsid w:val="00532825"/>
    <w:rsid w:val="00534194"/>
    <w:rsid w:val="00534237"/>
    <w:rsid w:val="00534907"/>
    <w:rsid w:val="00534DDE"/>
    <w:rsid w:val="00534E67"/>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2B2"/>
    <w:rsid w:val="0054453D"/>
    <w:rsid w:val="005445BA"/>
    <w:rsid w:val="00545829"/>
    <w:rsid w:val="005472B3"/>
    <w:rsid w:val="005474B1"/>
    <w:rsid w:val="0055088F"/>
    <w:rsid w:val="00551799"/>
    <w:rsid w:val="00551F58"/>
    <w:rsid w:val="005523E4"/>
    <w:rsid w:val="0055251B"/>
    <w:rsid w:val="00552858"/>
    <w:rsid w:val="00552A62"/>
    <w:rsid w:val="00553115"/>
    <w:rsid w:val="00553199"/>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77435"/>
    <w:rsid w:val="005809B8"/>
    <w:rsid w:val="005816A8"/>
    <w:rsid w:val="0058256D"/>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87571"/>
    <w:rsid w:val="005905F5"/>
    <w:rsid w:val="00590796"/>
    <w:rsid w:val="00590BF0"/>
    <w:rsid w:val="005916F5"/>
    <w:rsid w:val="00591924"/>
    <w:rsid w:val="00591C95"/>
    <w:rsid w:val="00591D8E"/>
    <w:rsid w:val="00591DB2"/>
    <w:rsid w:val="0059225E"/>
    <w:rsid w:val="005923C1"/>
    <w:rsid w:val="00592536"/>
    <w:rsid w:val="005930B7"/>
    <w:rsid w:val="00593C84"/>
    <w:rsid w:val="00593F34"/>
    <w:rsid w:val="00594872"/>
    <w:rsid w:val="005949D8"/>
    <w:rsid w:val="00594BB3"/>
    <w:rsid w:val="00594EF9"/>
    <w:rsid w:val="0059544B"/>
    <w:rsid w:val="005956F6"/>
    <w:rsid w:val="005958E7"/>
    <w:rsid w:val="005960CD"/>
    <w:rsid w:val="00596C4C"/>
    <w:rsid w:val="00596DD8"/>
    <w:rsid w:val="005974CF"/>
    <w:rsid w:val="005A12AA"/>
    <w:rsid w:val="005A1BDF"/>
    <w:rsid w:val="005A341A"/>
    <w:rsid w:val="005A3831"/>
    <w:rsid w:val="005A3BE9"/>
    <w:rsid w:val="005A3C91"/>
    <w:rsid w:val="005A407F"/>
    <w:rsid w:val="005A47A8"/>
    <w:rsid w:val="005A5B81"/>
    <w:rsid w:val="005A6646"/>
    <w:rsid w:val="005A6970"/>
    <w:rsid w:val="005A6B56"/>
    <w:rsid w:val="005A76EB"/>
    <w:rsid w:val="005B0393"/>
    <w:rsid w:val="005B105F"/>
    <w:rsid w:val="005B1A04"/>
    <w:rsid w:val="005B261B"/>
    <w:rsid w:val="005B2AEB"/>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318F"/>
    <w:rsid w:val="005C4909"/>
    <w:rsid w:val="005C5B9A"/>
    <w:rsid w:val="005C637B"/>
    <w:rsid w:val="005C6C1F"/>
    <w:rsid w:val="005D0A09"/>
    <w:rsid w:val="005D2461"/>
    <w:rsid w:val="005D27B4"/>
    <w:rsid w:val="005D27D4"/>
    <w:rsid w:val="005D2BB0"/>
    <w:rsid w:val="005D3B2B"/>
    <w:rsid w:val="005D3CEF"/>
    <w:rsid w:val="005D42E6"/>
    <w:rsid w:val="005D455D"/>
    <w:rsid w:val="005D485D"/>
    <w:rsid w:val="005D48F1"/>
    <w:rsid w:val="005D4A6F"/>
    <w:rsid w:val="005D5529"/>
    <w:rsid w:val="005D5BAB"/>
    <w:rsid w:val="005D5E5C"/>
    <w:rsid w:val="005D5EA3"/>
    <w:rsid w:val="005D6187"/>
    <w:rsid w:val="005D6773"/>
    <w:rsid w:val="005D6D7E"/>
    <w:rsid w:val="005D6E03"/>
    <w:rsid w:val="005D72C6"/>
    <w:rsid w:val="005D75C7"/>
    <w:rsid w:val="005E029A"/>
    <w:rsid w:val="005E068E"/>
    <w:rsid w:val="005E1BCF"/>
    <w:rsid w:val="005E2C02"/>
    <w:rsid w:val="005E3E14"/>
    <w:rsid w:val="005E4FFA"/>
    <w:rsid w:val="005E52BE"/>
    <w:rsid w:val="005E5334"/>
    <w:rsid w:val="005E5371"/>
    <w:rsid w:val="005E57E9"/>
    <w:rsid w:val="005E6287"/>
    <w:rsid w:val="005E6D40"/>
    <w:rsid w:val="005E6D4F"/>
    <w:rsid w:val="005E703A"/>
    <w:rsid w:val="005E76C2"/>
    <w:rsid w:val="005E7937"/>
    <w:rsid w:val="005E7B30"/>
    <w:rsid w:val="005E7B58"/>
    <w:rsid w:val="005F0114"/>
    <w:rsid w:val="005F03C6"/>
    <w:rsid w:val="005F0803"/>
    <w:rsid w:val="005F1D84"/>
    <w:rsid w:val="005F1DF9"/>
    <w:rsid w:val="005F20F5"/>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E2F"/>
    <w:rsid w:val="0060113A"/>
    <w:rsid w:val="006017EC"/>
    <w:rsid w:val="00601CAB"/>
    <w:rsid w:val="00601CD3"/>
    <w:rsid w:val="00601E0D"/>
    <w:rsid w:val="00602243"/>
    <w:rsid w:val="00603403"/>
    <w:rsid w:val="00603671"/>
    <w:rsid w:val="006043F0"/>
    <w:rsid w:val="0060456F"/>
    <w:rsid w:val="00604CA3"/>
    <w:rsid w:val="006072FE"/>
    <w:rsid w:val="00607641"/>
    <w:rsid w:val="006077E4"/>
    <w:rsid w:val="00607A89"/>
    <w:rsid w:val="00607D5B"/>
    <w:rsid w:val="00607F35"/>
    <w:rsid w:val="006106E4"/>
    <w:rsid w:val="00612C5C"/>
    <w:rsid w:val="00614546"/>
    <w:rsid w:val="00614804"/>
    <w:rsid w:val="00615764"/>
    <w:rsid w:val="00615C5F"/>
    <w:rsid w:val="00615D53"/>
    <w:rsid w:val="00617E73"/>
    <w:rsid w:val="006203E3"/>
    <w:rsid w:val="00620590"/>
    <w:rsid w:val="00622063"/>
    <w:rsid w:val="00622251"/>
    <w:rsid w:val="00622727"/>
    <w:rsid w:val="0062338D"/>
    <w:rsid w:val="00623409"/>
    <w:rsid w:val="00623683"/>
    <w:rsid w:val="00623878"/>
    <w:rsid w:val="0062389F"/>
    <w:rsid w:val="00624521"/>
    <w:rsid w:val="00624FFC"/>
    <w:rsid w:val="0062535D"/>
    <w:rsid w:val="00625FFA"/>
    <w:rsid w:val="0062634B"/>
    <w:rsid w:val="006263E2"/>
    <w:rsid w:val="006264C4"/>
    <w:rsid w:val="00626650"/>
    <w:rsid w:val="00626EEA"/>
    <w:rsid w:val="00626FE4"/>
    <w:rsid w:val="00627359"/>
    <w:rsid w:val="006304ED"/>
    <w:rsid w:val="006315C0"/>
    <w:rsid w:val="00631BBD"/>
    <w:rsid w:val="00632C92"/>
    <w:rsid w:val="00634501"/>
    <w:rsid w:val="00634589"/>
    <w:rsid w:val="00634B5D"/>
    <w:rsid w:val="00634DC8"/>
    <w:rsid w:val="0063690E"/>
    <w:rsid w:val="0063738A"/>
    <w:rsid w:val="00637E7E"/>
    <w:rsid w:val="006401C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13F5"/>
    <w:rsid w:val="00651472"/>
    <w:rsid w:val="00651CA5"/>
    <w:rsid w:val="00652098"/>
    <w:rsid w:val="006520AF"/>
    <w:rsid w:val="00652138"/>
    <w:rsid w:val="0065228F"/>
    <w:rsid w:val="00652D4B"/>
    <w:rsid w:val="0065362B"/>
    <w:rsid w:val="0065422E"/>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95A"/>
    <w:rsid w:val="00660BCF"/>
    <w:rsid w:val="00660C03"/>
    <w:rsid w:val="0066179B"/>
    <w:rsid w:val="00662647"/>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E06"/>
    <w:rsid w:val="006762F9"/>
    <w:rsid w:val="0067633A"/>
    <w:rsid w:val="00676CCD"/>
    <w:rsid w:val="006800E1"/>
    <w:rsid w:val="0068038F"/>
    <w:rsid w:val="00682063"/>
    <w:rsid w:val="00683477"/>
    <w:rsid w:val="006840B2"/>
    <w:rsid w:val="006843F8"/>
    <w:rsid w:val="0068591B"/>
    <w:rsid w:val="00685A61"/>
    <w:rsid w:val="0069065D"/>
    <w:rsid w:val="00690799"/>
    <w:rsid w:val="006907D2"/>
    <w:rsid w:val="00690C4A"/>
    <w:rsid w:val="006910B1"/>
    <w:rsid w:val="006910EF"/>
    <w:rsid w:val="00691187"/>
    <w:rsid w:val="006911E5"/>
    <w:rsid w:val="006917A8"/>
    <w:rsid w:val="00691B6E"/>
    <w:rsid w:val="00692DE6"/>
    <w:rsid w:val="0069391B"/>
    <w:rsid w:val="00693A56"/>
    <w:rsid w:val="0069406E"/>
    <w:rsid w:val="00694079"/>
    <w:rsid w:val="00694132"/>
    <w:rsid w:val="00694A25"/>
    <w:rsid w:val="00695CA1"/>
    <w:rsid w:val="00696564"/>
    <w:rsid w:val="00696E59"/>
    <w:rsid w:val="006972D8"/>
    <w:rsid w:val="00697872"/>
    <w:rsid w:val="006A025F"/>
    <w:rsid w:val="006A03EA"/>
    <w:rsid w:val="006A0B39"/>
    <w:rsid w:val="006A1082"/>
    <w:rsid w:val="006A15EA"/>
    <w:rsid w:val="006A169C"/>
    <w:rsid w:val="006A18AC"/>
    <w:rsid w:val="006A19B1"/>
    <w:rsid w:val="006A21D0"/>
    <w:rsid w:val="006A2E3D"/>
    <w:rsid w:val="006A2F4D"/>
    <w:rsid w:val="006A3DB7"/>
    <w:rsid w:val="006A48E9"/>
    <w:rsid w:val="006A4FE0"/>
    <w:rsid w:val="006A53D8"/>
    <w:rsid w:val="006A6D77"/>
    <w:rsid w:val="006A7135"/>
    <w:rsid w:val="006A752A"/>
    <w:rsid w:val="006A77AC"/>
    <w:rsid w:val="006A798E"/>
    <w:rsid w:val="006A7D0D"/>
    <w:rsid w:val="006B20F8"/>
    <w:rsid w:val="006B254F"/>
    <w:rsid w:val="006B2600"/>
    <w:rsid w:val="006B2F1D"/>
    <w:rsid w:val="006B427D"/>
    <w:rsid w:val="006B4598"/>
    <w:rsid w:val="006B48DC"/>
    <w:rsid w:val="006B4FD4"/>
    <w:rsid w:val="006B51C6"/>
    <w:rsid w:val="006B61C1"/>
    <w:rsid w:val="006B6F46"/>
    <w:rsid w:val="006B7239"/>
    <w:rsid w:val="006C0A60"/>
    <w:rsid w:val="006C3044"/>
    <w:rsid w:val="006C31E2"/>
    <w:rsid w:val="006C34BF"/>
    <w:rsid w:val="006C3D0B"/>
    <w:rsid w:val="006C41F1"/>
    <w:rsid w:val="006C4FD8"/>
    <w:rsid w:val="006C5225"/>
    <w:rsid w:val="006C54DC"/>
    <w:rsid w:val="006C5CFF"/>
    <w:rsid w:val="006C62BA"/>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4CBC"/>
    <w:rsid w:val="006E52E4"/>
    <w:rsid w:val="006E5A77"/>
    <w:rsid w:val="006E657E"/>
    <w:rsid w:val="006E7CAC"/>
    <w:rsid w:val="006E7EEC"/>
    <w:rsid w:val="006F0261"/>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E8B"/>
    <w:rsid w:val="00703FAD"/>
    <w:rsid w:val="00705E1D"/>
    <w:rsid w:val="0070657D"/>
    <w:rsid w:val="007071C3"/>
    <w:rsid w:val="00710045"/>
    <w:rsid w:val="00710072"/>
    <w:rsid w:val="007109CB"/>
    <w:rsid w:val="00710EF9"/>
    <w:rsid w:val="00711A2A"/>
    <w:rsid w:val="00711E0A"/>
    <w:rsid w:val="00711EFD"/>
    <w:rsid w:val="007124F2"/>
    <w:rsid w:val="00712F3C"/>
    <w:rsid w:val="00713A69"/>
    <w:rsid w:val="00713D8D"/>
    <w:rsid w:val="00714DA3"/>
    <w:rsid w:val="00715449"/>
    <w:rsid w:val="007156AD"/>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3000C"/>
    <w:rsid w:val="007306BB"/>
    <w:rsid w:val="00730CA3"/>
    <w:rsid w:val="00730EA0"/>
    <w:rsid w:val="00732786"/>
    <w:rsid w:val="00732B6B"/>
    <w:rsid w:val="00732F4D"/>
    <w:rsid w:val="00733528"/>
    <w:rsid w:val="00733752"/>
    <w:rsid w:val="00733C8F"/>
    <w:rsid w:val="00733CB9"/>
    <w:rsid w:val="007349CF"/>
    <w:rsid w:val="00734A20"/>
    <w:rsid w:val="00734F67"/>
    <w:rsid w:val="007356DE"/>
    <w:rsid w:val="007357DA"/>
    <w:rsid w:val="00735E96"/>
    <w:rsid w:val="00735F22"/>
    <w:rsid w:val="0073607D"/>
    <w:rsid w:val="00736707"/>
    <w:rsid w:val="00736745"/>
    <w:rsid w:val="00737AB1"/>
    <w:rsid w:val="00737F8D"/>
    <w:rsid w:val="00740418"/>
    <w:rsid w:val="00741070"/>
    <w:rsid w:val="007416A8"/>
    <w:rsid w:val="007416C3"/>
    <w:rsid w:val="00741EEA"/>
    <w:rsid w:val="00742CC1"/>
    <w:rsid w:val="007430E2"/>
    <w:rsid w:val="007438BD"/>
    <w:rsid w:val="00743E2B"/>
    <w:rsid w:val="00743FEE"/>
    <w:rsid w:val="00745FB4"/>
    <w:rsid w:val="00746308"/>
    <w:rsid w:val="00746823"/>
    <w:rsid w:val="007475AC"/>
    <w:rsid w:val="0074762A"/>
    <w:rsid w:val="00747E04"/>
    <w:rsid w:val="00752B78"/>
    <w:rsid w:val="00753588"/>
    <w:rsid w:val="007548AE"/>
    <w:rsid w:val="00754C10"/>
    <w:rsid w:val="00755273"/>
    <w:rsid w:val="007555BB"/>
    <w:rsid w:val="00755602"/>
    <w:rsid w:val="00756FB6"/>
    <w:rsid w:val="00757174"/>
    <w:rsid w:val="00757833"/>
    <w:rsid w:val="00757840"/>
    <w:rsid w:val="00757AAD"/>
    <w:rsid w:val="00760C0E"/>
    <w:rsid w:val="00760E31"/>
    <w:rsid w:val="00761201"/>
    <w:rsid w:val="007613E8"/>
    <w:rsid w:val="007614C3"/>
    <w:rsid w:val="007614CD"/>
    <w:rsid w:val="00762082"/>
    <w:rsid w:val="0076252A"/>
    <w:rsid w:val="007626A1"/>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2321"/>
    <w:rsid w:val="00774C54"/>
    <w:rsid w:val="00774F35"/>
    <w:rsid w:val="00775FDF"/>
    <w:rsid w:val="00776AF4"/>
    <w:rsid w:val="00776D2A"/>
    <w:rsid w:val="00777181"/>
    <w:rsid w:val="0077751B"/>
    <w:rsid w:val="00777A92"/>
    <w:rsid w:val="00780219"/>
    <w:rsid w:val="0078203F"/>
    <w:rsid w:val="0078244A"/>
    <w:rsid w:val="00782C56"/>
    <w:rsid w:val="007834DD"/>
    <w:rsid w:val="007838AC"/>
    <w:rsid w:val="00783CA1"/>
    <w:rsid w:val="00783EB7"/>
    <w:rsid w:val="0078441F"/>
    <w:rsid w:val="00784BA4"/>
    <w:rsid w:val="00784F9E"/>
    <w:rsid w:val="007852FC"/>
    <w:rsid w:val="007853DB"/>
    <w:rsid w:val="007857FE"/>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D8F"/>
    <w:rsid w:val="007B0146"/>
    <w:rsid w:val="007B1479"/>
    <w:rsid w:val="007B151F"/>
    <w:rsid w:val="007B160C"/>
    <w:rsid w:val="007B1841"/>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5D9F"/>
    <w:rsid w:val="007E5EE9"/>
    <w:rsid w:val="007E77B3"/>
    <w:rsid w:val="007E7AA0"/>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0B62"/>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721C"/>
    <w:rsid w:val="008274D0"/>
    <w:rsid w:val="008279B1"/>
    <w:rsid w:val="008279FC"/>
    <w:rsid w:val="00827D4A"/>
    <w:rsid w:val="0083025E"/>
    <w:rsid w:val="0083044F"/>
    <w:rsid w:val="00831957"/>
    <w:rsid w:val="00832BDB"/>
    <w:rsid w:val="00832F49"/>
    <w:rsid w:val="00833C83"/>
    <w:rsid w:val="00834B1E"/>
    <w:rsid w:val="0083530B"/>
    <w:rsid w:val="008357EE"/>
    <w:rsid w:val="00835DA5"/>
    <w:rsid w:val="0083692B"/>
    <w:rsid w:val="0083697A"/>
    <w:rsid w:val="00836B09"/>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43F"/>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E5"/>
    <w:rsid w:val="00862F09"/>
    <w:rsid w:val="008630C5"/>
    <w:rsid w:val="008641CC"/>
    <w:rsid w:val="00864A12"/>
    <w:rsid w:val="00864D7D"/>
    <w:rsid w:val="00864FBF"/>
    <w:rsid w:val="008657E7"/>
    <w:rsid w:val="00866215"/>
    <w:rsid w:val="008665F0"/>
    <w:rsid w:val="00867006"/>
    <w:rsid w:val="008678A2"/>
    <w:rsid w:val="008705BE"/>
    <w:rsid w:val="00870C69"/>
    <w:rsid w:val="0087125E"/>
    <w:rsid w:val="00871656"/>
    <w:rsid w:val="00871A26"/>
    <w:rsid w:val="0087206E"/>
    <w:rsid w:val="00872256"/>
    <w:rsid w:val="00872385"/>
    <w:rsid w:val="008727F1"/>
    <w:rsid w:val="00872E1C"/>
    <w:rsid w:val="00873557"/>
    <w:rsid w:val="00873608"/>
    <w:rsid w:val="00873884"/>
    <w:rsid w:val="00874EF2"/>
    <w:rsid w:val="008757E6"/>
    <w:rsid w:val="00875A7C"/>
    <w:rsid w:val="0087609F"/>
    <w:rsid w:val="00877635"/>
    <w:rsid w:val="00877714"/>
    <w:rsid w:val="008807A7"/>
    <w:rsid w:val="00880838"/>
    <w:rsid w:val="00880DBA"/>
    <w:rsid w:val="00880F4C"/>
    <w:rsid w:val="0088117D"/>
    <w:rsid w:val="00881A66"/>
    <w:rsid w:val="008826EA"/>
    <w:rsid w:val="0088377E"/>
    <w:rsid w:val="00884C1E"/>
    <w:rsid w:val="00884EF7"/>
    <w:rsid w:val="00884FB1"/>
    <w:rsid w:val="00885AAD"/>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4DCF"/>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91"/>
    <w:rsid w:val="008B7BB6"/>
    <w:rsid w:val="008B7C84"/>
    <w:rsid w:val="008B7EB0"/>
    <w:rsid w:val="008C07D3"/>
    <w:rsid w:val="008C0FF4"/>
    <w:rsid w:val="008C1242"/>
    <w:rsid w:val="008C132F"/>
    <w:rsid w:val="008C1EFB"/>
    <w:rsid w:val="008C24FC"/>
    <w:rsid w:val="008C26E7"/>
    <w:rsid w:val="008C2E0B"/>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17B7"/>
    <w:rsid w:val="008D1E59"/>
    <w:rsid w:val="008D24A4"/>
    <w:rsid w:val="008D293B"/>
    <w:rsid w:val="008D2ED8"/>
    <w:rsid w:val="008D37BC"/>
    <w:rsid w:val="008D3B60"/>
    <w:rsid w:val="008D3BD4"/>
    <w:rsid w:val="008D3CD4"/>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94"/>
    <w:rsid w:val="008E7E0C"/>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07375"/>
    <w:rsid w:val="00910634"/>
    <w:rsid w:val="00910931"/>
    <w:rsid w:val="00911520"/>
    <w:rsid w:val="00913F80"/>
    <w:rsid w:val="0091416B"/>
    <w:rsid w:val="009148C6"/>
    <w:rsid w:val="00914E41"/>
    <w:rsid w:val="00915319"/>
    <w:rsid w:val="00915922"/>
    <w:rsid w:val="009169FD"/>
    <w:rsid w:val="00916B25"/>
    <w:rsid w:val="009171F9"/>
    <w:rsid w:val="009173D9"/>
    <w:rsid w:val="00920AE3"/>
    <w:rsid w:val="0092180D"/>
    <w:rsid w:val="00921AAD"/>
    <w:rsid w:val="00921BD2"/>
    <w:rsid w:val="00921C96"/>
    <w:rsid w:val="00922520"/>
    <w:rsid w:val="009234DD"/>
    <w:rsid w:val="009236C0"/>
    <w:rsid w:val="009238E8"/>
    <w:rsid w:val="009252BC"/>
    <w:rsid w:val="00927096"/>
    <w:rsid w:val="00927BA7"/>
    <w:rsid w:val="0093036F"/>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752"/>
    <w:rsid w:val="0094093E"/>
    <w:rsid w:val="00941A8E"/>
    <w:rsid w:val="00943466"/>
    <w:rsid w:val="00943817"/>
    <w:rsid w:val="0094432A"/>
    <w:rsid w:val="00944914"/>
    <w:rsid w:val="00944D2D"/>
    <w:rsid w:val="00945224"/>
    <w:rsid w:val="00945439"/>
    <w:rsid w:val="00945525"/>
    <w:rsid w:val="0094566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E2F"/>
    <w:rsid w:val="00977348"/>
    <w:rsid w:val="00977DD3"/>
    <w:rsid w:val="00977F8D"/>
    <w:rsid w:val="00980B26"/>
    <w:rsid w:val="009821DD"/>
    <w:rsid w:val="009822C5"/>
    <w:rsid w:val="00982743"/>
    <w:rsid w:val="00982A83"/>
    <w:rsid w:val="00982A88"/>
    <w:rsid w:val="00983A53"/>
    <w:rsid w:val="00983CD8"/>
    <w:rsid w:val="00983E8D"/>
    <w:rsid w:val="009844CD"/>
    <w:rsid w:val="00985151"/>
    <w:rsid w:val="00986BCF"/>
    <w:rsid w:val="009871C1"/>
    <w:rsid w:val="00987602"/>
    <w:rsid w:val="009905E0"/>
    <w:rsid w:val="009907D4"/>
    <w:rsid w:val="009916F7"/>
    <w:rsid w:val="0099199C"/>
    <w:rsid w:val="00991BB5"/>
    <w:rsid w:val="00992027"/>
    <w:rsid w:val="00992E13"/>
    <w:rsid w:val="009931EF"/>
    <w:rsid w:val="009937F1"/>
    <w:rsid w:val="00995AC8"/>
    <w:rsid w:val="0099640F"/>
    <w:rsid w:val="00996501"/>
    <w:rsid w:val="0099737E"/>
    <w:rsid w:val="00997899"/>
    <w:rsid w:val="009A3048"/>
    <w:rsid w:val="009A5420"/>
    <w:rsid w:val="009A597A"/>
    <w:rsid w:val="009A5ECE"/>
    <w:rsid w:val="009A5FDD"/>
    <w:rsid w:val="009A6119"/>
    <w:rsid w:val="009A65BC"/>
    <w:rsid w:val="009A72BF"/>
    <w:rsid w:val="009A73C4"/>
    <w:rsid w:val="009A7661"/>
    <w:rsid w:val="009A7842"/>
    <w:rsid w:val="009A7E9E"/>
    <w:rsid w:val="009B0422"/>
    <w:rsid w:val="009B0BA9"/>
    <w:rsid w:val="009B2810"/>
    <w:rsid w:val="009B2A1C"/>
    <w:rsid w:val="009B2C8D"/>
    <w:rsid w:val="009B2F5A"/>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136"/>
    <w:rsid w:val="009C66EA"/>
    <w:rsid w:val="009C688F"/>
    <w:rsid w:val="009C6BAF"/>
    <w:rsid w:val="009C6FB2"/>
    <w:rsid w:val="009C785B"/>
    <w:rsid w:val="009D06CC"/>
    <w:rsid w:val="009D1A40"/>
    <w:rsid w:val="009D2305"/>
    <w:rsid w:val="009D259D"/>
    <w:rsid w:val="009D25D9"/>
    <w:rsid w:val="009D2A3D"/>
    <w:rsid w:val="009D2CBA"/>
    <w:rsid w:val="009D38B6"/>
    <w:rsid w:val="009D3987"/>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9DF"/>
    <w:rsid w:val="00A06B11"/>
    <w:rsid w:val="00A07128"/>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7F7"/>
    <w:rsid w:val="00A160FB"/>
    <w:rsid w:val="00A16591"/>
    <w:rsid w:val="00A167AC"/>
    <w:rsid w:val="00A16DFA"/>
    <w:rsid w:val="00A17B97"/>
    <w:rsid w:val="00A208AD"/>
    <w:rsid w:val="00A20C39"/>
    <w:rsid w:val="00A21C80"/>
    <w:rsid w:val="00A22CDD"/>
    <w:rsid w:val="00A23948"/>
    <w:rsid w:val="00A239E0"/>
    <w:rsid w:val="00A24626"/>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1CF9"/>
    <w:rsid w:val="00A52919"/>
    <w:rsid w:val="00A52AC9"/>
    <w:rsid w:val="00A52BCA"/>
    <w:rsid w:val="00A52DB5"/>
    <w:rsid w:val="00A52DDB"/>
    <w:rsid w:val="00A53A1F"/>
    <w:rsid w:val="00A5480D"/>
    <w:rsid w:val="00A55F49"/>
    <w:rsid w:val="00A56612"/>
    <w:rsid w:val="00A57A36"/>
    <w:rsid w:val="00A605C4"/>
    <w:rsid w:val="00A60DD4"/>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B86"/>
    <w:rsid w:val="00A746B8"/>
    <w:rsid w:val="00A746BA"/>
    <w:rsid w:val="00A753A6"/>
    <w:rsid w:val="00A75818"/>
    <w:rsid w:val="00A76399"/>
    <w:rsid w:val="00A76886"/>
    <w:rsid w:val="00A77A65"/>
    <w:rsid w:val="00A77AE3"/>
    <w:rsid w:val="00A8072B"/>
    <w:rsid w:val="00A812BE"/>
    <w:rsid w:val="00A81963"/>
    <w:rsid w:val="00A81E64"/>
    <w:rsid w:val="00A81FD7"/>
    <w:rsid w:val="00A82169"/>
    <w:rsid w:val="00A823A2"/>
    <w:rsid w:val="00A824C7"/>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2E8"/>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1B11"/>
    <w:rsid w:val="00AC2D51"/>
    <w:rsid w:val="00AC32A4"/>
    <w:rsid w:val="00AC4FF0"/>
    <w:rsid w:val="00AC53F8"/>
    <w:rsid w:val="00AC5660"/>
    <w:rsid w:val="00AC58E1"/>
    <w:rsid w:val="00AC60C1"/>
    <w:rsid w:val="00AC78B4"/>
    <w:rsid w:val="00AD0EF2"/>
    <w:rsid w:val="00AD164A"/>
    <w:rsid w:val="00AD2651"/>
    <w:rsid w:val="00AD3376"/>
    <w:rsid w:val="00AD342C"/>
    <w:rsid w:val="00AD39AE"/>
    <w:rsid w:val="00AD4670"/>
    <w:rsid w:val="00AD5537"/>
    <w:rsid w:val="00AD5DB0"/>
    <w:rsid w:val="00AD6165"/>
    <w:rsid w:val="00AD61A4"/>
    <w:rsid w:val="00AD7F21"/>
    <w:rsid w:val="00AE05E3"/>
    <w:rsid w:val="00AE1A59"/>
    <w:rsid w:val="00AE2001"/>
    <w:rsid w:val="00AE21EA"/>
    <w:rsid w:val="00AE2C3A"/>
    <w:rsid w:val="00AE2D48"/>
    <w:rsid w:val="00AE32B1"/>
    <w:rsid w:val="00AE351C"/>
    <w:rsid w:val="00AE3808"/>
    <w:rsid w:val="00AE3EDE"/>
    <w:rsid w:val="00AE3F0F"/>
    <w:rsid w:val="00AE5C2A"/>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F70"/>
    <w:rsid w:val="00B06213"/>
    <w:rsid w:val="00B073F2"/>
    <w:rsid w:val="00B1095A"/>
    <w:rsid w:val="00B10D1C"/>
    <w:rsid w:val="00B122B2"/>
    <w:rsid w:val="00B125DD"/>
    <w:rsid w:val="00B127ED"/>
    <w:rsid w:val="00B12B25"/>
    <w:rsid w:val="00B13D94"/>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2C2"/>
    <w:rsid w:val="00B443D4"/>
    <w:rsid w:val="00B44FDC"/>
    <w:rsid w:val="00B45A81"/>
    <w:rsid w:val="00B45A90"/>
    <w:rsid w:val="00B45D12"/>
    <w:rsid w:val="00B46051"/>
    <w:rsid w:val="00B47322"/>
    <w:rsid w:val="00B475E9"/>
    <w:rsid w:val="00B47E5E"/>
    <w:rsid w:val="00B5017E"/>
    <w:rsid w:val="00B50C5F"/>
    <w:rsid w:val="00B50D90"/>
    <w:rsid w:val="00B50F34"/>
    <w:rsid w:val="00B51189"/>
    <w:rsid w:val="00B51672"/>
    <w:rsid w:val="00B518EF"/>
    <w:rsid w:val="00B5221A"/>
    <w:rsid w:val="00B52C59"/>
    <w:rsid w:val="00B52E56"/>
    <w:rsid w:val="00B53E79"/>
    <w:rsid w:val="00B551CE"/>
    <w:rsid w:val="00B55518"/>
    <w:rsid w:val="00B555CC"/>
    <w:rsid w:val="00B55614"/>
    <w:rsid w:val="00B55AA3"/>
    <w:rsid w:val="00B566EA"/>
    <w:rsid w:val="00B57BA8"/>
    <w:rsid w:val="00B60C0F"/>
    <w:rsid w:val="00B60E3E"/>
    <w:rsid w:val="00B6150F"/>
    <w:rsid w:val="00B619EC"/>
    <w:rsid w:val="00B622B8"/>
    <w:rsid w:val="00B62BDA"/>
    <w:rsid w:val="00B63363"/>
    <w:rsid w:val="00B63C32"/>
    <w:rsid w:val="00B6574C"/>
    <w:rsid w:val="00B658BB"/>
    <w:rsid w:val="00B65923"/>
    <w:rsid w:val="00B65C44"/>
    <w:rsid w:val="00B65E1B"/>
    <w:rsid w:val="00B65E4E"/>
    <w:rsid w:val="00B65E5C"/>
    <w:rsid w:val="00B65F00"/>
    <w:rsid w:val="00B67E8B"/>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43CC"/>
    <w:rsid w:val="00B94575"/>
    <w:rsid w:val="00B9483B"/>
    <w:rsid w:val="00B94F91"/>
    <w:rsid w:val="00B950DF"/>
    <w:rsid w:val="00B952A0"/>
    <w:rsid w:val="00B95331"/>
    <w:rsid w:val="00B95718"/>
    <w:rsid w:val="00B95D12"/>
    <w:rsid w:val="00B961F8"/>
    <w:rsid w:val="00B9656C"/>
    <w:rsid w:val="00B9722E"/>
    <w:rsid w:val="00B97D1C"/>
    <w:rsid w:val="00B97F96"/>
    <w:rsid w:val="00BA069E"/>
    <w:rsid w:val="00BA0727"/>
    <w:rsid w:val="00BA0BE3"/>
    <w:rsid w:val="00BA1311"/>
    <w:rsid w:val="00BA21E3"/>
    <w:rsid w:val="00BA3013"/>
    <w:rsid w:val="00BA33B5"/>
    <w:rsid w:val="00BA3491"/>
    <w:rsid w:val="00BA34C5"/>
    <w:rsid w:val="00BA366F"/>
    <w:rsid w:val="00BA429C"/>
    <w:rsid w:val="00BA487B"/>
    <w:rsid w:val="00BA552A"/>
    <w:rsid w:val="00BA62F4"/>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D35"/>
    <w:rsid w:val="00BB3183"/>
    <w:rsid w:val="00BB3DF3"/>
    <w:rsid w:val="00BB403C"/>
    <w:rsid w:val="00BB5268"/>
    <w:rsid w:val="00BB5476"/>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003"/>
    <w:rsid w:val="00BC7127"/>
    <w:rsid w:val="00BC7857"/>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76F"/>
    <w:rsid w:val="00BF791D"/>
    <w:rsid w:val="00C010F2"/>
    <w:rsid w:val="00C01ED1"/>
    <w:rsid w:val="00C0205C"/>
    <w:rsid w:val="00C0227B"/>
    <w:rsid w:val="00C0320D"/>
    <w:rsid w:val="00C03641"/>
    <w:rsid w:val="00C036B0"/>
    <w:rsid w:val="00C04D48"/>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681B"/>
    <w:rsid w:val="00C27051"/>
    <w:rsid w:val="00C27327"/>
    <w:rsid w:val="00C323C4"/>
    <w:rsid w:val="00C3301E"/>
    <w:rsid w:val="00C33510"/>
    <w:rsid w:val="00C336EF"/>
    <w:rsid w:val="00C33B24"/>
    <w:rsid w:val="00C35803"/>
    <w:rsid w:val="00C35876"/>
    <w:rsid w:val="00C36C7C"/>
    <w:rsid w:val="00C37A58"/>
    <w:rsid w:val="00C37C8C"/>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64A5"/>
    <w:rsid w:val="00C46622"/>
    <w:rsid w:val="00C46747"/>
    <w:rsid w:val="00C46A22"/>
    <w:rsid w:val="00C47CD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0320"/>
    <w:rsid w:val="00C71598"/>
    <w:rsid w:val="00C71696"/>
    <w:rsid w:val="00C71730"/>
    <w:rsid w:val="00C718E0"/>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2545"/>
    <w:rsid w:val="00C8261C"/>
    <w:rsid w:val="00C82D87"/>
    <w:rsid w:val="00C83850"/>
    <w:rsid w:val="00C83999"/>
    <w:rsid w:val="00C83A1C"/>
    <w:rsid w:val="00C83C63"/>
    <w:rsid w:val="00C84597"/>
    <w:rsid w:val="00C85180"/>
    <w:rsid w:val="00C856C3"/>
    <w:rsid w:val="00C860D8"/>
    <w:rsid w:val="00C86690"/>
    <w:rsid w:val="00C86FBE"/>
    <w:rsid w:val="00C87372"/>
    <w:rsid w:val="00C87C12"/>
    <w:rsid w:val="00C906A5"/>
    <w:rsid w:val="00C9149B"/>
    <w:rsid w:val="00C921DC"/>
    <w:rsid w:val="00C92C13"/>
    <w:rsid w:val="00C932B7"/>
    <w:rsid w:val="00C9357A"/>
    <w:rsid w:val="00C93C19"/>
    <w:rsid w:val="00C93CDA"/>
    <w:rsid w:val="00C95160"/>
    <w:rsid w:val="00C952F4"/>
    <w:rsid w:val="00C9590A"/>
    <w:rsid w:val="00C9619E"/>
    <w:rsid w:val="00CA0535"/>
    <w:rsid w:val="00CA0E18"/>
    <w:rsid w:val="00CA117A"/>
    <w:rsid w:val="00CA19A9"/>
    <w:rsid w:val="00CA2352"/>
    <w:rsid w:val="00CA2453"/>
    <w:rsid w:val="00CA25F7"/>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A00"/>
    <w:rsid w:val="00CC3C97"/>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B9F"/>
    <w:rsid w:val="00CD7BD4"/>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4AE2"/>
    <w:rsid w:val="00D25275"/>
    <w:rsid w:val="00D25849"/>
    <w:rsid w:val="00D258E5"/>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602F"/>
    <w:rsid w:val="00D3679A"/>
    <w:rsid w:val="00D370D0"/>
    <w:rsid w:val="00D37205"/>
    <w:rsid w:val="00D40589"/>
    <w:rsid w:val="00D4059E"/>
    <w:rsid w:val="00D4140B"/>
    <w:rsid w:val="00D41E72"/>
    <w:rsid w:val="00D4282E"/>
    <w:rsid w:val="00D4357A"/>
    <w:rsid w:val="00D44A41"/>
    <w:rsid w:val="00D44B4C"/>
    <w:rsid w:val="00D453A7"/>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5477"/>
    <w:rsid w:val="00D662F2"/>
    <w:rsid w:val="00D665C1"/>
    <w:rsid w:val="00D665EF"/>
    <w:rsid w:val="00D66868"/>
    <w:rsid w:val="00D67948"/>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92E"/>
    <w:rsid w:val="00D83ED7"/>
    <w:rsid w:val="00D84404"/>
    <w:rsid w:val="00D84546"/>
    <w:rsid w:val="00D84764"/>
    <w:rsid w:val="00D8599E"/>
    <w:rsid w:val="00D86641"/>
    <w:rsid w:val="00D86DC7"/>
    <w:rsid w:val="00D906C4"/>
    <w:rsid w:val="00D90A6C"/>
    <w:rsid w:val="00D90AC2"/>
    <w:rsid w:val="00D916C3"/>
    <w:rsid w:val="00D91E80"/>
    <w:rsid w:val="00D9254A"/>
    <w:rsid w:val="00D93410"/>
    <w:rsid w:val="00D949A5"/>
    <w:rsid w:val="00D94EE9"/>
    <w:rsid w:val="00D95B99"/>
    <w:rsid w:val="00D96257"/>
    <w:rsid w:val="00D96BD1"/>
    <w:rsid w:val="00D96D1B"/>
    <w:rsid w:val="00D9730C"/>
    <w:rsid w:val="00DA0153"/>
    <w:rsid w:val="00DA029B"/>
    <w:rsid w:val="00DA0BC0"/>
    <w:rsid w:val="00DA2B54"/>
    <w:rsid w:val="00DA4B56"/>
    <w:rsid w:val="00DA5382"/>
    <w:rsid w:val="00DA6A5A"/>
    <w:rsid w:val="00DA7385"/>
    <w:rsid w:val="00DB02AA"/>
    <w:rsid w:val="00DB094B"/>
    <w:rsid w:val="00DB15CE"/>
    <w:rsid w:val="00DB1675"/>
    <w:rsid w:val="00DB18E1"/>
    <w:rsid w:val="00DB1DEB"/>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34E"/>
    <w:rsid w:val="00DE784A"/>
    <w:rsid w:val="00DE7855"/>
    <w:rsid w:val="00DF1F90"/>
    <w:rsid w:val="00DF200D"/>
    <w:rsid w:val="00DF33E5"/>
    <w:rsid w:val="00DF3B8D"/>
    <w:rsid w:val="00DF3D19"/>
    <w:rsid w:val="00DF448A"/>
    <w:rsid w:val="00DF469F"/>
    <w:rsid w:val="00DF6235"/>
    <w:rsid w:val="00DF63BD"/>
    <w:rsid w:val="00DF6656"/>
    <w:rsid w:val="00DF6F97"/>
    <w:rsid w:val="00DF7381"/>
    <w:rsid w:val="00DF7D1F"/>
    <w:rsid w:val="00E00274"/>
    <w:rsid w:val="00E00410"/>
    <w:rsid w:val="00E00710"/>
    <w:rsid w:val="00E00FF5"/>
    <w:rsid w:val="00E033FA"/>
    <w:rsid w:val="00E0406A"/>
    <w:rsid w:val="00E0585C"/>
    <w:rsid w:val="00E05B7D"/>
    <w:rsid w:val="00E06006"/>
    <w:rsid w:val="00E07221"/>
    <w:rsid w:val="00E07900"/>
    <w:rsid w:val="00E079C8"/>
    <w:rsid w:val="00E1061D"/>
    <w:rsid w:val="00E10852"/>
    <w:rsid w:val="00E10C77"/>
    <w:rsid w:val="00E11365"/>
    <w:rsid w:val="00E11BA0"/>
    <w:rsid w:val="00E1220D"/>
    <w:rsid w:val="00E124B9"/>
    <w:rsid w:val="00E13141"/>
    <w:rsid w:val="00E13D15"/>
    <w:rsid w:val="00E14C28"/>
    <w:rsid w:val="00E15084"/>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32A6"/>
    <w:rsid w:val="00E54051"/>
    <w:rsid w:val="00E54B41"/>
    <w:rsid w:val="00E55015"/>
    <w:rsid w:val="00E55EA1"/>
    <w:rsid w:val="00E572E3"/>
    <w:rsid w:val="00E574EC"/>
    <w:rsid w:val="00E60723"/>
    <w:rsid w:val="00E60763"/>
    <w:rsid w:val="00E6181F"/>
    <w:rsid w:val="00E61949"/>
    <w:rsid w:val="00E61FA9"/>
    <w:rsid w:val="00E6242B"/>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88D"/>
    <w:rsid w:val="00E75D13"/>
    <w:rsid w:val="00E7687F"/>
    <w:rsid w:val="00E77148"/>
    <w:rsid w:val="00E77BD7"/>
    <w:rsid w:val="00E77FE1"/>
    <w:rsid w:val="00E8030A"/>
    <w:rsid w:val="00E8066A"/>
    <w:rsid w:val="00E80817"/>
    <w:rsid w:val="00E80A0E"/>
    <w:rsid w:val="00E80ABB"/>
    <w:rsid w:val="00E814E1"/>
    <w:rsid w:val="00E8238C"/>
    <w:rsid w:val="00E82658"/>
    <w:rsid w:val="00E826AC"/>
    <w:rsid w:val="00E83EB4"/>
    <w:rsid w:val="00E840ED"/>
    <w:rsid w:val="00E85261"/>
    <w:rsid w:val="00E858F9"/>
    <w:rsid w:val="00E86059"/>
    <w:rsid w:val="00E86743"/>
    <w:rsid w:val="00E870F9"/>
    <w:rsid w:val="00E87AF8"/>
    <w:rsid w:val="00E87CF3"/>
    <w:rsid w:val="00E9042E"/>
    <w:rsid w:val="00E904D5"/>
    <w:rsid w:val="00E920A2"/>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0AA"/>
    <w:rsid w:val="00EA0183"/>
    <w:rsid w:val="00EA0B12"/>
    <w:rsid w:val="00EA0FFF"/>
    <w:rsid w:val="00EA1247"/>
    <w:rsid w:val="00EA14FE"/>
    <w:rsid w:val="00EA15D6"/>
    <w:rsid w:val="00EA1E79"/>
    <w:rsid w:val="00EA2139"/>
    <w:rsid w:val="00EA2C5B"/>
    <w:rsid w:val="00EA3953"/>
    <w:rsid w:val="00EA4502"/>
    <w:rsid w:val="00EA7452"/>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345E"/>
    <w:rsid w:val="00EB42D3"/>
    <w:rsid w:val="00EB43BC"/>
    <w:rsid w:val="00EB492B"/>
    <w:rsid w:val="00EB4C5D"/>
    <w:rsid w:val="00EB5044"/>
    <w:rsid w:val="00EB5AF2"/>
    <w:rsid w:val="00EB6907"/>
    <w:rsid w:val="00EB715A"/>
    <w:rsid w:val="00EB73AF"/>
    <w:rsid w:val="00EB77A9"/>
    <w:rsid w:val="00EC00CF"/>
    <w:rsid w:val="00EC0140"/>
    <w:rsid w:val="00EC029B"/>
    <w:rsid w:val="00EC1826"/>
    <w:rsid w:val="00EC28DD"/>
    <w:rsid w:val="00EC33F7"/>
    <w:rsid w:val="00EC345F"/>
    <w:rsid w:val="00EC3771"/>
    <w:rsid w:val="00EC3D0B"/>
    <w:rsid w:val="00EC4C41"/>
    <w:rsid w:val="00EC4D7E"/>
    <w:rsid w:val="00EC5479"/>
    <w:rsid w:val="00EC555E"/>
    <w:rsid w:val="00EC65DF"/>
    <w:rsid w:val="00ED038B"/>
    <w:rsid w:val="00ED065B"/>
    <w:rsid w:val="00ED087B"/>
    <w:rsid w:val="00ED23A5"/>
    <w:rsid w:val="00ED3717"/>
    <w:rsid w:val="00ED3FBB"/>
    <w:rsid w:val="00ED6A73"/>
    <w:rsid w:val="00ED7CF2"/>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5E21"/>
    <w:rsid w:val="00EE6FA1"/>
    <w:rsid w:val="00EF0073"/>
    <w:rsid w:val="00EF14AC"/>
    <w:rsid w:val="00EF1B46"/>
    <w:rsid w:val="00EF1C27"/>
    <w:rsid w:val="00EF2B9C"/>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3351"/>
    <w:rsid w:val="00F033A0"/>
    <w:rsid w:val="00F033E1"/>
    <w:rsid w:val="00F040E5"/>
    <w:rsid w:val="00F046CD"/>
    <w:rsid w:val="00F04E6D"/>
    <w:rsid w:val="00F0510C"/>
    <w:rsid w:val="00F05210"/>
    <w:rsid w:val="00F05271"/>
    <w:rsid w:val="00F052B7"/>
    <w:rsid w:val="00F05437"/>
    <w:rsid w:val="00F05E9C"/>
    <w:rsid w:val="00F0642A"/>
    <w:rsid w:val="00F06706"/>
    <w:rsid w:val="00F06924"/>
    <w:rsid w:val="00F0755F"/>
    <w:rsid w:val="00F10766"/>
    <w:rsid w:val="00F1111F"/>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131"/>
    <w:rsid w:val="00F202CE"/>
    <w:rsid w:val="00F2063B"/>
    <w:rsid w:val="00F20958"/>
    <w:rsid w:val="00F21674"/>
    <w:rsid w:val="00F22193"/>
    <w:rsid w:val="00F22B91"/>
    <w:rsid w:val="00F23375"/>
    <w:rsid w:val="00F239AC"/>
    <w:rsid w:val="00F23E20"/>
    <w:rsid w:val="00F2414D"/>
    <w:rsid w:val="00F25267"/>
    <w:rsid w:val="00F259EF"/>
    <w:rsid w:val="00F26A32"/>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2FDA"/>
    <w:rsid w:val="00F4342F"/>
    <w:rsid w:val="00F43BC1"/>
    <w:rsid w:val="00F43FEB"/>
    <w:rsid w:val="00F441CE"/>
    <w:rsid w:val="00F44A88"/>
    <w:rsid w:val="00F44B6C"/>
    <w:rsid w:val="00F45CC2"/>
    <w:rsid w:val="00F46973"/>
    <w:rsid w:val="00F470E8"/>
    <w:rsid w:val="00F479DA"/>
    <w:rsid w:val="00F47C66"/>
    <w:rsid w:val="00F47D28"/>
    <w:rsid w:val="00F5038B"/>
    <w:rsid w:val="00F506AB"/>
    <w:rsid w:val="00F506F8"/>
    <w:rsid w:val="00F50EA1"/>
    <w:rsid w:val="00F512CF"/>
    <w:rsid w:val="00F5164C"/>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115D"/>
    <w:rsid w:val="00F71406"/>
    <w:rsid w:val="00F72E34"/>
    <w:rsid w:val="00F7478F"/>
    <w:rsid w:val="00F762FD"/>
    <w:rsid w:val="00F76C95"/>
    <w:rsid w:val="00F77751"/>
    <w:rsid w:val="00F77B84"/>
    <w:rsid w:val="00F77DAF"/>
    <w:rsid w:val="00F77FBC"/>
    <w:rsid w:val="00F803DA"/>
    <w:rsid w:val="00F80459"/>
    <w:rsid w:val="00F80A2E"/>
    <w:rsid w:val="00F81409"/>
    <w:rsid w:val="00F815C0"/>
    <w:rsid w:val="00F81A81"/>
    <w:rsid w:val="00F81F7A"/>
    <w:rsid w:val="00F820DB"/>
    <w:rsid w:val="00F82340"/>
    <w:rsid w:val="00F82729"/>
    <w:rsid w:val="00F82C32"/>
    <w:rsid w:val="00F830F6"/>
    <w:rsid w:val="00F83144"/>
    <w:rsid w:val="00F833B7"/>
    <w:rsid w:val="00F8416B"/>
    <w:rsid w:val="00F84324"/>
    <w:rsid w:val="00F843EC"/>
    <w:rsid w:val="00F84638"/>
    <w:rsid w:val="00F84809"/>
    <w:rsid w:val="00F84E47"/>
    <w:rsid w:val="00F84FA4"/>
    <w:rsid w:val="00F85695"/>
    <w:rsid w:val="00F85DC6"/>
    <w:rsid w:val="00F860E0"/>
    <w:rsid w:val="00F867B4"/>
    <w:rsid w:val="00F86D73"/>
    <w:rsid w:val="00F873A6"/>
    <w:rsid w:val="00F87E3B"/>
    <w:rsid w:val="00F902E1"/>
    <w:rsid w:val="00F9035B"/>
    <w:rsid w:val="00F90747"/>
    <w:rsid w:val="00F916BD"/>
    <w:rsid w:val="00F9290B"/>
    <w:rsid w:val="00F92B5C"/>
    <w:rsid w:val="00F92F8B"/>
    <w:rsid w:val="00F94A37"/>
    <w:rsid w:val="00F95466"/>
    <w:rsid w:val="00F95B0D"/>
    <w:rsid w:val="00F962A2"/>
    <w:rsid w:val="00F97029"/>
    <w:rsid w:val="00FA0673"/>
    <w:rsid w:val="00FA0C3F"/>
    <w:rsid w:val="00FA0EFB"/>
    <w:rsid w:val="00FA1388"/>
    <w:rsid w:val="00FA16CF"/>
    <w:rsid w:val="00FA176D"/>
    <w:rsid w:val="00FA2163"/>
    <w:rsid w:val="00FA3477"/>
    <w:rsid w:val="00FA3FC6"/>
    <w:rsid w:val="00FA458C"/>
    <w:rsid w:val="00FA4622"/>
    <w:rsid w:val="00FA47DA"/>
    <w:rsid w:val="00FA5224"/>
    <w:rsid w:val="00FA53C3"/>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54CB"/>
    <w:rsid w:val="00FB66B6"/>
    <w:rsid w:val="00FB6C34"/>
    <w:rsid w:val="00FB7C15"/>
    <w:rsid w:val="00FB7D8E"/>
    <w:rsid w:val="00FB7DC8"/>
    <w:rsid w:val="00FB7EF9"/>
    <w:rsid w:val="00FC057C"/>
    <w:rsid w:val="00FC1A82"/>
    <w:rsid w:val="00FC33A1"/>
    <w:rsid w:val="00FC3A65"/>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DB"/>
    <w:rsid w:val="00FE0094"/>
    <w:rsid w:val="00FE0862"/>
    <w:rsid w:val="00FE0CDB"/>
    <w:rsid w:val="00FE11ED"/>
    <w:rsid w:val="00FE17BB"/>
    <w:rsid w:val="00FE1957"/>
    <w:rsid w:val="00FE1B53"/>
    <w:rsid w:val="00FE3A28"/>
    <w:rsid w:val="00FE4040"/>
    <w:rsid w:val="00FE4500"/>
    <w:rsid w:val="00FE4573"/>
    <w:rsid w:val="00FE45EC"/>
    <w:rsid w:val="00FE4872"/>
    <w:rsid w:val="00FE49A6"/>
    <w:rsid w:val="00FE559A"/>
    <w:rsid w:val="00FE58D6"/>
    <w:rsid w:val="00FE59B8"/>
    <w:rsid w:val="00FE5AC2"/>
    <w:rsid w:val="00FE605C"/>
    <w:rsid w:val="00FE62B3"/>
    <w:rsid w:val="00FE71E4"/>
    <w:rsid w:val="00FF0544"/>
    <w:rsid w:val="00FF0ABA"/>
    <w:rsid w:val="00FF0D41"/>
    <w:rsid w:val="00FF0E3E"/>
    <w:rsid w:val="00FF2387"/>
    <w:rsid w:val="00FF2516"/>
    <w:rsid w:val="00FF2C89"/>
    <w:rsid w:val="00FF3CC9"/>
    <w:rsid w:val="00FF5C30"/>
    <w:rsid w:val="00FF6A1F"/>
    <w:rsid w:val="00FF7604"/>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AE4E38"/>
  <w15:docId w15:val="{5EEE2B36-3751-482B-B373-8BD0D94F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5B4A38"/>
    <w:rPr>
      <w:sz w:val="16"/>
      <w:szCs w:val="16"/>
    </w:rPr>
  </w:style>
  <w:style w:type="paragraph" w:styleId="Komentrateksts">
    <w:name w:val="annotation text"/>
    <w:basedOn w:val="Parasts"/>
    <w:link w:val="KomentratekstsRakstz"/>
    <w:uiPriority w:val="99"/>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uiPriority w:val="99"/>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basedOn w:val="Parasts"/>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 w:type="paragraph" w:customStyle="1" w:styleId="mt-translation">
    <w:name w:val="mt-translation"/>
    <w:basedOn w:val="Parasts"/>
    <w:rsid w:val="00EA00AA"/>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Noklusjumarindkopasfonts"/>
    <w:rsid w:val="00EA00AA"/>
  </w:style>
  <w:style w:type="character" w:customStyle="1" w:styleId="word">
    <w:name w:val="word"/>
    <w:basedOn w:val="Noklusjumarindkopasfonts"/>
    <w:rsid w:val="00EA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657074176">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 w:id="2562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59548058">
      <w:bodyDiv w:val="1"/>
      <w:marLeft w:val="0"/>
      <w:marRight w:val="0"/>
      <w:marTop w:val="0"/>
      <w:marBottom w:val="0"/>
      <w:divBdr>
        <w:top w:val="none" w:sz="0" w:space="0" w:color="auto"/>
        <w:left w:val="none" w:sz="0" w:space="0" w:color="auto"/>
        <w:bottom w:val="none" w:sz="0" w:space="0" w:color="auto"/>
        <w:right w:val="none" w:sz="0" w:space="0" w:color="auto"/>
      </w:divBdr>
      <w:divsChild>
        <w:div w:id="1539122129">
          <w:marLeft w:val="0"/>
          <w:marRight w:val="0"/>
          <w:marTop w:val="0"/>
          <w:marBottom w:val="0"/>
          <w:divBdr>
            <w:top w:val="none" w:sz="0" w:space="0" w:color="auto"/>
            <w:left w:val="none" w:sz="0" w:space="0" w:color="auto"/>
            <w:bottom w:val="none" w:sz="0" w:space="0" w:color="auto"/>
            <w:right w:val="none" w:sz="0" w:space="0" w:color="auto"/>
          </w:divBdr>
          <w:divsChild>
            <w:div w:id="1049961777">
              <w:marLeft w:val="0"/>
              <w:marRight w:val="0"/>
              <w:marTop w:val="0"/>
              <w:marBottom w:val="0"/>
              <w:divBdr>
                <w:top w:val="none" w:sz="0" w:space="0" w:color="auto"/>
                <w:left w:val="none" w:sz="0" w:space="0" w:color="auto"/>
                <w:bottom w:val="none" w:sz="0" w:space="0" w:color="auto"/>
                <w:right w:val="none" w:sz="0" w:space="0" w:color="auto"/>
              </w:divBdr>
              <w:divsChild>
                <w:div w:id="477460957">
                  <w:marLeft w:val="0"/>
                  <w:marRight w:val="0"/>
                  <w:marTop w:val="0"/>
                  <w:marBottom w:val="0"/>
                  <w:divBdr>
                    <w:top w:val="none" w:sz="0" w:space="0" w:color="auto"/>
                    <w:left w:val="none" w:sz="0" w:space="0" w:color="auto"/>
                    <w:bottom w:val="none" w:sz="0" w:space="0" w:color="auto"/>
                    <w:right w:val="none" w:sz="0" w:space="0" w:color="auto"/>
                  </w:divBdr>
                  <w:divsChild>
                    <w:div w:id="429741019">
                      <w:marLeft w:val="-360"/>
                      <w:marRight w:val="-360"/>
                      <w:marTop w:val="0"/>
                      <w:marBottom w:val="0"/>
                      <w:divBdr>
                        <w:top w:val="none" w:sz="0" w:space="0" w:color="auto"/>
                        <w:left w:val="none" w:sz="0" w:space="0" w:color="auto"/>
                        <w:bottom w:val="none" w:sz="0" w:space="0" w:color="auto"/>
                        <w:right w:val="none" w:sz="0" w:space="0" w:color="auto"/>
                      </w:divBdr>
                      <w:divsChild>
                        <w:div w:id="787250">
                          <w:marLeft w:val="0"/>
                          <w:marRight w:val="0"/>
                          <w:marTop w:val="0"/>
                          <w:marBottom w:val="0"/>
                          <w:divBdr>
                            <w:top w:val="none" w:sz="0" w:space="0" w:color="auto"/>
                            <w:left w:val="none" w:sz="0" w:space="0" w:color="auto"/>
                            <w:bottom w:val="none" w:sz="0" w:space="0" w:color="auto"/>
                            <w:right w:val="none" w:sz="0" w:space="0" w:color="auto"/>
                          </w:divBdr>
                          <w:divsChild>
                            <w:div w:id="1828395587">
                              <w:marLeft w:val="0"/>
                              <w:marRight w:val="0"/>
                              <w:marTop w:val="0"/>
                              <w:marBottom w:val="0"/>
                              <w:divBdr>
                                <w:top w:val="none" w:sz="0" w:space="0" w:color="auto"/>
                                <w:left w:val="none" w:sz="0" w:space="0" w:color="auto"/>
                                <w:bottom w:val="none" w:sz="0" w:space="0" w:color="auto"/>
                                <w:right w:val="none" w:sz="0" w:space="0" w:color="auto"/>
                              </w:divBdr>
                              <w:divsChild>
                                <w:div w:id="1948078349">
                                  <w:marLeft w:val="0"/>
                                  <w:marRight w:val="0"/>
                                  <w:marTop w:val="0"/>
                                  <w:marBottom w:val="0"/>
                                  <w:divBdr>
                                    <w:top w:val="none" w:sz="0" w:space="0" w:color="auto"/>
                                    <w:left w:val="none" w:sz="0" w:space="0" w:color="auto"/>
                                    <w:bottom w:val="none" w:sz="0" w:space="0" w:color="auto"/>
                                    <w:right w:val="none" w:sz="0" w:space="0" w:color="auto"/>
                                  </w:divBdr>
                                  <w:divsChild>
                                    <w:div w:id="772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08056999">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1608806014">
                                                                          <w:marLeft w:val="0"/>
                                                                          <w:marRight w:val="0"/>
                                                                          <w:marTop w:val="0"/>
                                                                          <w:marBottom w:val="0"/>
                                                                          <w:divBdr>
                                                                            <w:top w:val="none" w:sz="0" w:space="0" w:color="auto"/>
                                                                            <w:left w:val="none" w:sz="0" w:space="0" w:color="auto"/>
                                                                            <w:bottom w:val="none" w:sz="0" w:space="0" w:color="auto"/>
                                                                            <w:right w:val="none" w:sz="0" w:space="0" w:color="auto"/>
                                                                          </w:divBdr>
                                                                        </w:div>
                                                                        <w:div w:id="207684682">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3283">
      <w:bodyDiv w:val="1"/>
      <w:marLeft w:val="0"/>
      <w:marRight w:val="0"/>
      <w:marTop w:val="0"/>
      <w:marBottom w:val="0"/>
      <w:divBdr>
        <w:top w:val="none" w:sz="0" w:space="0" w:color="auto"/>
        <w:left w:val="none" w:sz="0" w:space="0" w:color="auto"/>
        <w:bottom w:val="none" w:sz="0" w:space="0" w:color="auto"/>
        <w:right w:val="none" w:sz="0" w:space="0" w:color="auto"/>
      </w:divBdr>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1437097704">
                                                                          <w:marLeft w:val="0"/>
                                                                          <w:marRight w:val="0"/>
                                                                          <w:marTop w:val="0"/>
                                                                          <w:marBottom w:val="0"/>
                                                                          <w:divBdr>
                                                                            <w:top w:val="none" w:sz="0" w:space="0" w:color="auto"/>
                                                                            <w:left w:val="none" w:sz="0" w:space="0" w:color="auto"/>
                                                                            <w:bottom w:val="none" w:sz="0" w:space="0" w:color="auto"/>
                                                                            <w:right w:val="none" w:sz="0" w:space="0" w:color="auto"/>
                                                                          </w:divBdr>
                                                                        </w:div>
                                                                        <w:div w:id="229534713">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4010269">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947195189">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28812567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288">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086298050">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ja.Karlsone-Djomkina@t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ustice.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ustice.europa.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monds.Apinis@vteb.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3A32013R1291" TargetMode="External"/><Relationship Id="rId2" Type="http://schemas.openxmlformats.org/officeDocument/2006/relationships/hyperlink" Target="https://ec.europa.eu/info/funding-tenders/opportunities/portal/screen/opportunities/topic-details/just-jacc-eju-ag-2019" TargetMode="External"/><Relationship Id="rId1" Type="http://schemas.openxmlformats.org/officeDocument/2006/relationships/hyperlink" Target="https://ec.europa.eu/justice/grants1/programmes-2014-2020/justice/index_en.htm" TargetMode="External"/><Relationship Id="rId6" Type="http://schemas.openxmlformats.org/officeDocument/2006/relationships/hyperlink" Target="https://eur-lex.europa.eu/legal-content/LV/TXT/PDF/?uri=CELEX:32018R1805&amp;from=lv" TargetMode="External"/><Relationship Id="rId5" Type="http://schemas.openxmlformats.org/officeDocument/2006/relationships/hyperlink" Target="https://eur-lex.europa.eu/legal-content/LV/TXT/PDF/?uri=CELEX:32012R0650&amp;from=LV" TargetMode="External"/><Relationship Id="rId4" Type="http://schemas.openxmlformats.org/officeDocument/2006/relationships/hyperlink" Target="https://ec.europa.eu/research/participants/data/ref/other_eu_prog/justice/wp/justice-awp-2019_e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B8-8581-4777-A774-E2F67EFCA25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4.xml><?xml version="1.0" encoding="utf-8"?>
<ds:datastoreItem xmlns:ds="http://schemas.openxmlformats.org/officeDocument/2006/customXml" ds:itemID="{8B4F9935-97F9-4E82-ADEA-2B1BF8CA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15750</Words>
  <Characters>8978</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(Tiesu administrācijai un Valsts tiesu ekspertīžu birojam) uzņemties papildu saistības un īstenot projektus, piesaistot finansējumu no ārvalstu finanšu instrumentiem"</vt:lpstr>
      <vt:lpstr>Informatīvais ziņojums "Par atļauju Tieslietu ministrijai (Valsts tiesu ekspertīžu birojam) uzņemties papildu saistības un īstenot projektu, piesaistot finansējumu no ārvalstu finanšu instrumenta"</vt:lpstr>
    </vt:vector>
  </TitlesOfParts>
  <Company>Tieslietu ministrija</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un Valsts tiesu ekspertīžu birojam) uzņemties papildu saistības un īstenot projektus, piesaistot finansējumu no ārvalstu finanšu instrumentiem"</dc:title>
  <dc:subject>Informatīvais ziņojums</dc:subject>
  <dc:creator>Raimonds Apinis, Valdis Pusvācietis, Agnija Karlsone-Djomkina</dc:creator>
  <dc:description>26458289, Agnija.Karlsone-Djomkina@ta.gov.lv
67036711, Valdis.Pusvacietis@tm.gov.lv
67517758, Raimonds.Apinis@vteb.gov.lv</dc:description>
  <cp:lastModifiedBy>Lelde Stepanova</cp:lastModifiedBy>
  <cp:revision>16</cp:revision>
  <cp:lastPrinted>2017-12-20T09:27:00Z</cp:lastPrinted>
  <dcterms:created xsi:type="dcterms:W3CDTF">2020-02-17T10:48:00Z</dcterms:created>
  <dcterms:modified xsi:type="dcterms:W3CDTF">2020-02-27T09:35:00Z</dcterms:modified>
</cp:coreProperties>
</file>