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43491" w14:textId="77777777" w:rsidR="00905305" w:rsidRPr="00FD0708" w:rsidRDefault="002F7A75" w:rsidP="00905305">
      <w:pPr>
        <w:pStyle w:val="naisnod"/>
        <w:spacing w:before="0" w:after="0"/>
        <w:ind w:firstLine="720"/>
        <w:rPr>
          <w:sz w:val="22"/>
          <w:szCs w:val="22"/>
        </w:rPr>
      </w:pPr>
      <w:bookmarkStart w:id="0" w:name="OLE_LINK1"/>
      <w:bookmarkStart w:id="1" w:name="OLE_LINK2"/>
      <w:bookmarkStart w:id="2" w:name="OLE_LINK7"/>
      <w:bookmarkStart w:id="3" w:name="OLE_LINK8"/>
      <w:bookmarkStart w:id="4" w:name="OLE_LINK3"/>
      <w:bookmarkStart w:id="5" w:name="OLE_LINK4"/>
      <w:r w:rsidRPr="00FD0708">
        <w:rPr>
          <w:sz w:val="22"/>
          <w:szCs w:val="22"/>
        </w:rPr>
        <w:t>Izziņa par atzinumos sniegtajiem iebildumiem</w:t>
      </w:r>
      <w:bookmarkEnd w:id="0"/>
      <w:bookmarkEnd w:id="1"/>
    </w:p>
    <w:tbl>
      <w:tblPr>
        <w:tblW w:w="0" w:type="auto"/>
        <w:jc w:val="center"/>
        <w:tblLook w:val="00A0" w:firstRow="1" w:lastRow="0" w:firstColumn="1" w:lastColumn="0" w:noHBand="0" w:noVBand="0"/>
      </w:tblPr>
      <w:tblGrid>
        <w:gridCol w:w="13721"/>
      </w:tblGrid>
      <w:tr w:rsidR="00BF7742" w:rsidRPr="00FD0708" w14:paraId="235C4142" w14:textId="77777777" w:rsidTr="00905305">
        <w:trPr>
          <w:jc w:val="center"/>
        </w:trPr>
        <w:tc>
          <w:tcPr>
            <w:tcW w:w="13721" w:type="dxa"/>
            <w:tcBorders>
              <w:bottom w:val="single" w:sz="6" w:space="0" w:color="000000"/>
            </w:tcBorders>
          </w:tcPr>
          <w:bookmarkEnd w:id="2"/>
          <w:bookmarkEnd w:id="3"/>
          <w:p w14:paraId="5F719489" w14:textId="77777777" w:rsidR="00905305" w:rsidRPr="00FD0708" w:rsidRDefault="002F7A75" w:rsidP="00905305">
            <w:pPr>
              <w:jc w:val="both"/>
              <w:rPr>
                <w:b/>
              </w:rPr>
            </w:pPr>
            <w:r w:rsidRPr="00FD0708">
              <w:rPr>
                <w:b/>
                <w:sz w:val="22"/>
                <w:szCs w:val="22"/>
              </w:rPr>
              <w:t>Ministru kabineta noteikumu projekts "Grozījumi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tc>
      </w:tr>
    </w:tbl>
    <w:bookmarkEnd w:id="4"/>
    <w:bookmarkEnd w:id="5"/>
    <w:p w14:paraId="254053A0" w14:textId="77777777" w:rsidR="00905305" w:rsidRPr="00FD0708" w:rsidRDefault="002F7A75" w:rsidP="00905305">
      <w:pPr>
        <w:pStyle w:val="naisc"/>
        <w:spacing w:before="0" w:after="0"/>
        <w:ind w:firstLine="1080"/>
        <w:rPr>
          <w:sz w:val="22"/>
          <w:szCs w:val="22"/>
        </w:rPr>
      </w:pPr>
      <w:r w:rsidRPr="00FD0708">
        <w:rPr>
          <w:sz w:val="22"/>
          <w:szCs w:val="22"/>
        </w:rPr>
        <w:t>(dokumenta veids un nosaukums)</w:t>
      </w:r>
    </w:p>
    <w:p w14:paraId="2FD4E204" w14:textId="77777777" w:rsidR="00905305" w:rsidRPr="00FD0708" w:rsidRDefault="00905305" w:rsidP="00905305">
      <w:pPr>
        <w:pStyle w:val="naisc"/>
        <w:spacing w:before="0" w:after="0"/>
        <w:ind w:firstLine="1080"/>
        <w:rPr>
          <w:sz w:val="22"/>
          <w:szCs w:val="22"/>
        </w:rPr>
      </w:pPr>
    </w:p>
    <w:p w14:paraId="14EF7279" w14:textId="77777777" w:rsidR="00905305" w:rsidRPr="00FD0708" w:rsidRDefault="00905305" w:rsidP="00905305">
      <w:pPr>
        <w:pStyle w:val="naisc"/>
        <w:spacing w:before="0" w:after="0"/>
        <w:ind w:firstLine="1080"/>
        <w:rPr>
          <w:sz w:val="22"/>
          <w:szCs w:val="22"/>
        </w:rPr>
      </w:pPr>
    </w:p>
    <w:p w14:paraId="41073638" w14:textId="77777777" w:rsidR="00905305" w:rsidRPr="00FD0708" w:rsidRDefault="002F7A75" w:rsidP="00905305">
      <w:pPr>
        <w:pStyle w:val="naisf"/>
        <w:numPr>
          <w:ilvl w:val="0"/>
          <w:numId w:val="1"/>
        </w:numPr>
        <w:spacing w:before="0" w:after="0"/>
        <w:jc w:val="center"/>
        <w:rPr>
          <w:b/>
          <w:sz w:val="22"/>
          <w:szCs w:val="22"/>
        </w:rPr>
      </w:pPr>
      <w:r w:rsidRPr="00FD0708">
        <w:rPr>
          <w:b/>
          <w:sz w:val="22"/>
          <w:szCs w:val="22"/>
        </w:rPr>
        <w:t>Jautājumi, par kuriem saskaņošanā vienošanās nav panākta</w:t>
      </w: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42"/>
        <w:gridCol w:w="3711"/>
        <w:gridCol w:w="3519"/>
        <w:gridCol w:w="1701"/>
        <w:gridCol w:w="2551"/>
      </w:tblGrid>
      <w:tr w:rsidR="00BF7742" w:rsidRPr="00FD0708" w14:paraId="5A166CD7"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B7C6E7" w14:textId="77777777" w:rsidR="00905305" w:rsidRPr="00FD0708" w:rsidRDefault="002F7A75" w:rsidP="00905305">
            <w:pPr>
              <w:pStyle w:val="naisc"/>
              <w:spacing w:before="0" w:after="0"/>
              <w:rPr>
                <w:sz w:val="22"/>
                <w:szCs w:val="22"/>
              </w:rPr>
            </w:pPr>
            <w:r w:rsidRPr="00FD0708">
              <w:rPr>
                <w:sz w:val="22"/>
                <w:szCs w:val="22"/>
              </w:rPr>
              <w:t>Nr. p.k.</w:t>
            </w:r>
          </w:p>
        </w:tc>
        <w:tc>
          <w:tcPr>
            <w:tcW w:w="2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566D7A" w14:textId="77777777" w:rsidR="00905305" w:rsidRPr="00FD0708" w:rsidRDefault="002F7A75" w:rsidP="00905305">
            <w:pPr>
              <w:pStyle w:val="naisc"/>
              <w:spacing w:before="0" w:after="0"/>
              <w:ind w:firstLine="12"/>
              <w:rPr>
                <w:sz w:val="22"/>
                <w:szCs w:val="22"/>
              </w:rPr>
            </w:pPr>
            <w:r w:rsidRPr="00FD0708">
              <w:rPr>
                <w:sz w:val="22"/>
                <w:szCs w:val="22"/>
              </w:rPr>
              <w:t>Saskaņošanai nosūtītā projekta redakcija (konkrēta punkta (panta) redakcija)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B2A7D4" w14:textId="77777777" w:rsidR="00905305" w:rsidRPr="00FD0708" w:rsidRDefault="002F7A75" w:rsidP="00905305">
            <w:pPr>
              <w:pStyle w:val="naisc"/>
              <w:spacing w:before="0" w:after="0"/>
              <w:ind w:right="3"/>
              <w:rPr>
                <w:sz w:val="22"/>
                <w:szCs w:val="22"/>
              </w:rPr>
            </w:pPr>
            <w:r w:rsidRPr="00FD0708">
              <w:rPr>
                <w:sz w:val="22"/>
                <w:szCs w:val="22"/>
              </w:rPr>
              <w:t>Atzinumā norādītais ministrijas (citas institūcijas) iebildums, kā arī saskaņošanā papildus izteiktais iebildums par projekta konkrēto punktu (pantu)</w:t>
            </w:r>
          </w:p>
        </w:tc>
        <w:tc>
          <w:tcPr>
            <w:tcW w:w="35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DD46EE" w14:textId="77777777" w:rsidR="00905305" w:rsidRPr="00FD0708" w:rsidRDefault="002F7A75" w:rsidP="00905305">
            <w:pPr>
              <w:pStyle w:val="naisc"/>
              <w:spacing w:before="0" w:after="0"/>
              <w:ind w:firstLine="21"/>
              <w:rPr>
                <w:sz w:val="22"/>
                <w:szCs w:val="22"/>
              </w:rPr>
            </w:pPr>
            <w:r w:rsidRPr="00FD0708">
              <w:rPr>
                <w:sz w:val="22"/>
                <w:szCs w:val="22"/>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F70D46" w14:textId="77777777" w:rsidR="00905305" w:rsidRPr="00FD0708" w:rsidRDefault="002F7A75" w:rsidP="00905305">
            <w:pPr>
              <w:jc w:val="center"/>
              <w:rPr>
                <w:sz w:val="22"/>
                <w:szCs w:val="22"/>
              </w:rPr>
            </w:pPr>
            <w:r w:rsidRPr="00FD0708">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shd w:val="clear" w:color="auto" w:fill="auto"/>
          </w:tcPr>
          <w:p w14:paraId="2EC5172A" w14:textId="77777777" w:rsidR="00905305" w:rsidRPr="00FD0708" w:rsidRDefault="002F7A75" w:rsidP="00905305">
            <w:pPr>
              <w:jc w:val="center"/>
              <w:rPr>
                <w:sz w:val="22"/>
                <w:szCs w:val="22"/>
              </w:rPr>
            </w:pPr>
            <w:r w:rsidRPr="00FD0708">
              <w:rPr>
                <w:sz w:val="22"/>
                <w:szCs w:val="22"/>
              </w:rPr>
              <w:t>Projekta attiecīgā punkta (panta) galīgā redakcija</w:t>
            </w:r>
          </w:p>
        </w:tc>
      </w:tr>
      <w:tr w:rsidR="00BF7742" w:rsidRPr="00FD0708" w14:paraId="6216AD17"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95A51FE" w14:textId="77777777" w:rsidR="00905305" w:rsidRPr="00FD0708" w:rsidRDefault="002F7A75" w:rsidP="00905305">
            <w:pPr>
              <w:pStyle w:val="naisc"/>
              <w:spacing w:before="0" w:after="0"/>
              <w:rPr>
                <w:sz w:val="22"/>
                <w:szCs w:val="22"/>
              </w:rPr>
            </w:pPr>
            <w:r w:rsidRPr="00FD0708">
              <w:rPr>
                <w:sz w:val="22"/>
                <w:szCs w:val="22"/>
              </w:rPr>
              <w:t>1</w:t>
            </w:r>
          </w:p>
        </w:tc>
        <w:tc>
          <w:tcPr>
            <w:tcW w:w="2242" w:type="dxa"/>
            <w:tcBorders>
              <w:top w:val="single" w:sz="6" w:space="0" w:color="000000"/>
              <w:left w:val="single" w:sz="6" w:space="0" w:color="000000"/>
              <w:bottom w:val="single" w:sz="6" w:space="0" w:color="000000"/>
              <w:right w:val="single" w:sz="6" w:space="0" w:color="000000"/>
            </w:tcBorders>
            <w:shd w:val="clear" w:color="auto" w:fill="auto"/>
          </w:tcPr>
          <w:p w14:paraId="0908479B" w14:textId="77777777" w:rsidR="00905305" w:rsidRPr="00FD0708" w:rsidRDefault="002F7A75" w:rsidP="00905305">
            <w:pPr>
              <w:pStyle w:val="naisc"/>
              <w:spacing w:before="0" w:after="0"/>
              <w:ind w:firstLine="720"/>
              <w:rPr>
                <w:sz w:val="22"/>
                <w:szCs w:val="22"/>
              </w:rPr>
            </w:pPr>
            <w:r w:rsidRPr="00FD0708">
              <w:rPr>
                <w:sz w:val="22"/>
                <w:szCs w:val="22"/>
              </w:rPr>
              <w:t>2</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DAFBFFB" w14:textId="77777777" w:rsidR="00905305" w:rsidRPr="00FD0708" w:rsidRDefault="002F7A75" w:rsidP="00905305">
            <w:pPr>
              <w:pStyle w:val="naisc"/>
              <w:spacing w:before="0" w:after="0"/>
              <w:ind w:firstLine="720"/>
              <w:rPr>
                <w:sz w:val="22"/>
                <w:szCs w:val="22"/>
              </w:rPr>
            </w:pPr>
            <w:r w:rsidRPr="00FD0708">
              <w:rPr>
                <w:sz w:val="22"/>
                <w:szCs w:val="22"/>
              </w:rPr>
              <w:t>3</w:t>
            </w: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7A64BC46" w14:textId="77777777" w:rsidR="00905305" w:rsidRPr="00FD0708" w:rsidRDefault="002F7A75" w:rsidP="00905305">
            <w:pPr>
              <w:pStyle w:val="naisc"/>
              <w:spacing w:before="0" w:after="0"/>
              <w:ind w:firstLine="720"/>
              <w:rPr>
                <w:sz w:val="22"/>
                <w:szCs w:val="22"/>
              </w:rPr>
            </w:pPr>
            <w:r w:rsidRPr="00FD0708">
              <w:rPr>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97BD33" w14:textId="77777777" w:rsidR="00905305" w:rsidRPr="00FD0708" w:rsidRDefault="002F7A75" w:rsidP="00905305">
            <w:pPr>
              <w:jc w:val="center"/>
              <w:rPr>
                <w:sz w:val="22"/>
                <w:szCs w:val="22"/>
              </w:rPr>
            </w:pPr>
            <w:r w:rsidRPr="00FD0708">
              <w:rPr>
                <w:sz w:val="22"/>
                <w:szCs w:val="22"/>
              </w:rPr>
              <w:t>5</w:t>
            </w:r>
          </w:p>
        </w:tc>
        <w:tc>
          <w:tcPr>
            <w:tcW w:w="2551" w:type="dxa"/>
            <w:tcBorders>
              <w:top w:val="single" w:sz="4" w:space="0" w:color="auto"/>
              <w:left w:val="single" w:sz="4" w:space="0" w:color="auto"/>
              <w:bottom w:val="single" w:sz="4" w:space="0" w:color="auto"/>
            </w:tcBorders>
            <w:shd w:val="clear" w:color="auto" w:fill="auto"/>
          </w:tcPr>
          <w:p w14:paraId="2941F311" w14:textId="77777777" w:rsidR="00905305" w:rsidRPr="00FD0708" w:rsidRDefault="002F7A75" w:rsidP="00905305">
            <w:pPr>
              <w:jc w:val="center"/>
              <w:rPr>
                <w:sz w:val="22"/>
                <w:szCs w:val="22"/>
              </w:rPr>
            </w:pPr>
            <w:r w:rsidRPr="00FD0708">
              <w:rPr>
                <w:sz w:val="22"/>
                <w:szCs w:val="22"/>
              </w:rPr>
              <w:t>6</w:t>
            </w:r>
          </w:p>
        </w:tc>
      </w:tr>
      <w:tr w:rsidR="00BF7742" w:rsidRPr="00FD0708" w14:paraId="564047A8"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AFB2400" w14:textId="77777777" w:rsidR="00905305" w:rsidRPr="00FD0708" w:rsidRDefault="002F7A75" w:rsidP="00905305">
            <w:pPr>
              <w:pStyle w:val="naisc"/>
              <w:spacing w:before="0" w:after="0"/>
              <w:rPr>
                <w:sz w:val="22"/>
                <w:szCs w:val="22"/>
              </w:rPr>
            </w:pPr>
            <w:r w:rsidRPr="00FD0708">
              <w:rPr>
                <w:sz w:val="22"/>
                <w:szCs w:val="22"/>
              </w:rPr>
              <w:t>1.</w:t>
            </w:r>
          </w:p>
        </w:tc>
        <w:tc>
          <w:tcPr>
            <w:tcW w:w="2242" w:type="dxa"/>
            <w:tcBorders>
              <w:top w:val="single" w:sz="6" w:space="0" w:color="000000"/>
              <w:left w:val="single" w:sz="6" w:space="0" w:color="000000"/>
              <w:bottom w:val="single" w:sz="6" w:space="0" w:color="000000"/>
              <w:right w:val="single" w:sz="6" w:space="0" w:color="000000"/>
            </w:tcBorders>
            <w:shd w:val="clear" w:color="auto" w:fill="auto"/>
          </w:tcPr>
          <w:p w14:paraId="2FA0C2E8" w14:textId="77777777" w:rsidR="00905305" w:rsidRPr="00FD0708" w:rsidRDefault="00905305" w:rsidP="00905305">
            <w:pPr>
              <w:pStyle w:val="naisc"/>
              <w:spacing w:before="0" w:after="0"/>
              <w:ind w:right="54" w:firstLine="8"/>
              <w:jc w:val="both"/>
              <w:rPr>
                <w:sz w:val="22"/>
                <w:szCs w:val="22"/>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45620CE2" w14:textId="77777777" w:rsidR="00905305" w:rsidRPr="00FD0708" w:rsidRDefault="00905305" w:rsidP="00905305">
            <w:pPr>
              <w:pStyle w:val="naisc"/>
              <w:spacing w:before="0" w:after="0"/>
              <w:ind w:firstLine="720"/>
              <w:rPr>
                <w:sz w:val="22"/>
                <w:szCs w:val="22"/>
              </w:rPr>
            </w:pP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5D950255" w14:textId="77777777" w:rsidR="00905305" w:rsidRPr="00FD0708" w:rsidRDefault="00905305" w:rsidP="00905305">
            <w:pPr>
              <w:pStyle w:val="naisc"/>
              <w:spacing w:before="0" w:after="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87549D" w14:textId="77777777" w:rsidR="00905305" w:rsidRPr="00FD0708" w:rsidRDefault="00905305" w:rsidP="00905305">
            <w:pPr>
              <w:jc w:val="center"/>
              <w:rPr>
                <w:sz w:val="22"/>
                <w:szCs w:val="22"/>
              </w:rPr>
            </w:pPr>
          </w:p>
        </w:tc>
        <w:tc>
          <w:tcPr>
            <w:tcW w:w="2551" w:type="dxa"/>
            <w:tcBorders>
              <w:top w:val="single" w:sz="4" w:space="0" w:color="auto"/>
              <w:left w:val="single" w:sz="4" w:space="0" w:color="auto"/>
              <w:bottom w:val="single" w:sz="4" w:space="0" w:color="auto"/>
            </w:tcBorders>
            <w:shd w:val="clear" w:color="auto" w:fill="auto"/>
          </w:tcPr>
          <w:p w14:paraId="3AC5EDCB" w14:textId="77777777" w:rsidR="00905305" w:rsidRPr="00FD0708" w:rsidRDefault="00905305" w:rsidP="00905305">
            <w:pPr>
              <w:jc w:val="both"/>
              <w:rPr>
                <w:sz w:val="22"/>
                <w:szCs w:val="22"/>
              </w:rPr>
            </w:pPr>
          </w:p>
        </w:tc>
      </w:tr>
      <w:tr w:rsidR="00BF7742" w:rsidRPr="00FD0708" w14:paraId="694C5E9C"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B09D9BC" w14:textId="77777777" w:rsidR="00905305" w:rsidRPr="00FD0708" w:rsidRDefault="00905305" w:rsidP="00905305">
            <w:pPr>
              <w:pStyle w:val="naisc"/>
              <w:spacing w:before="0" w:after="0"/>
              <w:rPr>
                <w:sz w:val="22"/>
                <w:szCs w:val="22"/>
              </w:rPr>
            </w:pPr>
          </w:p>
        </w:tc>
        <w:tc>
          <w:tcPr>
            <w:tcW w:w="2242" w:type="dxa"/>
            <w:tcBorders>
              <w:top w:val="single" w:sz="6" w:space="0" w:color="000000"/>
              <w:left w:val="single" w:sz="6" w:space="0" w:color="000000"/>
              <w:bottom w:val="single" w:sz="4" w:space="0" w:color="auto"/>
              <w:right w:val="single" w:sz="6" w:space="0" w:color="000000"/>
            </w:tcBorders>
            <w:shd w:val="clear" w:color="auto" w:fill="auto"/>
          </w:tcPr>
          <w:p w14:paraId="43F2FC1B" w14:textId="77777777" w:rsidR="00905305" w:rsidRPr="00FD0708" w:rsidRDefault="00905305" w:rsidP="00905305">
            <w:pPr>
              <w:jc w:val="both"/>
              <w:outlineLvl w:val="0"/>
              <w:rPr>
                <w:sz w:val="22"/>
                <w:szCs w:val="22"/>
              </w:rPr>
            </w:pPr>
          </w:p>
        </w:tc>
        <w:tc>
          <w:tcPr>
            <w:tcW w:w="3711" w:type="dxa"/>
            <w:tcBorders>
              <w:top w:val="single" w:sz="6" w:space="0" w:color="000000"/>
              <w:left w:val="single" w:sz="6" w:space="0" w:color="000000"/>
              <w:bottom w:val="single" w:sz="4" w:space="0" w:color="auto"/>
              <w:right w:val="single" w:sz="6" w:space="0" w:color="000000"/>
            </w:tcBorders>
            <w:shd w:val="clear" w:color="auto" w:fill="auto"/>
          </w:tcPr>
          <w:p w14:paraId="5BBE668F" w14:textId="77777777" w:rsidR="00905305" w:rsidRPr="00FD0708" w:rsidRDefault="00905305" w:rsidP="00905305">
            <w:pPr>
              <w:jc w:val="both"/>
              <w:rPr>
                <w:b/>
                <w:sz w:val="22"/>
                <w:szCs w:val="22"/>
              </w:rPr>
            </w:pP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3271521E" w14:textId="77777777" w:rsidR="00905305" w:rsidRPr="00FD0708" w:rsidRDefault="00905305" w:rsidP="00905305">
            <w:pPr>
              <w:pStyle w:val="naisc"/>
              <w:spacing w:before="0" w:after="0"/>
              <w:jc w:val="left"/>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681E64" w14:textId="77777777" w:rsidR="00905305" w:rsidRPr="00FD0708" w:rsidRDefault="00905305" w:rsidP="00905305">
            <w:pPr>
              <w:jc w:val="center"/>
              <w:rPr>
                <w:sz w:val="22"/>
                <w:szCs w:val="22"/>
              </w:rPr>
            </w:pPr>
          </w:p>
        </w:tc>
        <w:tc>
          <w:tcPr>
            <w:tcW w:w="2551" w:type="dxa"/>
            <w:tcBorders>
              <w:top w:val="single" w:sz="4" w:space="0" w:color="auto"/>
              <w:left w:val="single" w:sz="4" w:space="0" w:color="auto"/>
              <w:bottom w:val="single" w:sz="4" w:space="0" w:color="auto"/>
            </w:tcBorders>
            <w:shd w:val="clear" w:color="auto" w:fill="auto"/>
          </w:tcPr>
          <w:p w14:paraId="7562C5D4" w14:textId="77777777" w:rsidR="00905305" w:rsidRPr="00FD0708" w:rsidRDefault="00905305" w:rsidP="00905305">
            <w:pPr>
              <w:jc w:val="both"/>
              <w:rPr>
                <w:sz w:val="22"/>
                <w:szCs w:val="22"/>
              </w:rPr>
            </w:pPr>
          </w:p>
        </w:tc>
      </w:tr>
    </w:tbl>
    <w:p w14:paraId="31D6659B" w14:textId="77777777" w:rsidR="00905305" w:rsidRPr="00FD0708" w:rsidRDefault="00905305" w:rsidP="00905305">
      <w:pPr>
        <w:pStyle w:val="naisf"/>
        <w:spacing w:before="0" w:after="0"/>
        <w:ind w:firstLine="0"/>
        <w:rPr>
          <w:b/>
          <w:sz w:val="22"/>
          <w:szCs w:val="22"/>
        </w:rPr>
      </w:pPr>
    </w:p>
    <w:p w14:paraId="0904CA79" w14:textId="77777777" w:rsidR="00905305" w:rsidRPr="00303153" w:rsidRDefault="002F7A75" w:rsidP="00905305">
      <w:pPr>
        <w:pStyle w:val="naisf"/>
        <w:spacing w:before="0" w:after="0"/>
        <w:ind w:firstLine="0"/>
        <w:rPr>
          <w:b/>
          <w:sz w:val="22"/>
          <w:szCs w:val="22"/>
          <w:u w:val="single"/>
        </w:rPr>
      </w:pPr>
      <w:r w:rsidRPr="00FD0708">
        <w:rPr>
          <w:sz w:val="22"/>
          <w:szCs w:val="22"/>
        </w:rPr>
        <w:t>Informācija par</w:t>
      </w:r>
      <w:r w:rsidRPr="00FD0708">
        <w:rPr>
          <w:b/>
          <w:sz w:val="22"/>
          <w:szCs w:val="22"/>
        </w:rPr>
        <w:t xml:space="preserve"> </w:t>
      </w:r>
      <w:proofErr w:type="spellStart"/>
      <w:r w:rsidRPr="00303153">
        <w:rPr>
          <w:sz w:val="22"/>
          <w:szCs w:val="22"/>
        </w:rPr>
        <w:t>starpministriju</w:t>
      </w:r>
      <w:proofErr w:type="spellEnd"/>
      <w:r w:rsidRPr="00303153">
        <w:rPr>
          <w:sz w:val="22"/>
          <w:szCs w:val="22"/>
        </w:rPr>
        <w:t xml:space="preserve"> (starpinstitūciju) sanāksmi</w:t>
      </w:r>
      <w:r w:rsidRPr="00FD0708">
        <w:rPr>
          <w:sz w:val="22"/>
          <w:szCs w:val="22"/>
        </w:rPr>
        <w:t xml:space="preserve"> vai </w:t>
      </w:r>
      <w:r w:rsidRPr="00303153">
        <w:rPr>
          <w:b/>
          <w:sz w:val="22"/>
          <w:szCs w:val="22"/>
          <w:u w:val="single"/>
        </w:rPr>
        <w:t>elektronisko saskaņošanu</w:t>
      </w:r>
    </w:p>
    <w:p w14:paraId="17D82B4C" w14:textId="77777777" w:rsidR="00905305" w:rsidRPr="00303153" w:rsidRDefault="00905305" w:rsidP="00905305">
      <w:pPr>
        <w:pStyle w:val="naisf"/>
        <w:spacing w:before="0" w:after="0"/>
        <w:ind w:firstLine="0"/>
        <w:rPr>
          <w:b/>
          <w:sz w:val="22"/>
          <w:szCs w:val="22"/>
          <w:u w:val="single"/>
        </w:rPr>
      </w:pPr>
    </w:p>
    <w:p w14:paraId="5B01C3F2" w14:textId="5B2476A1" w:rsidR="00905305" w:rsidRPr="00EE247B" w:rsidRDefault="002F7A75" w:rsidP="00905305">
      <w:pPr>
        <w:pStyle w:val="naisf"/>
        <w:spacing w:before="0" w:after="0"/>
        <w:ind w:firstLine="0"/>
        <w:rPr>
          <w:sz w:val="22"/>
          <w:szCs w:val="22"/>
        </w:rPr>
      </w:pPr>
      <w:r w:rsidRPr="00FD0708">
        <w:rPr>
          <w:sz w:val="22"/>
          <w:szCs w:val="22"/>
        </w:rPr>
        <w:t>Datums</w:t>
      </w:r>
      <w:r w:rsidR="00195E87" w:rsidRPr="00EE247B">
        <w:rPr>
          <w:sz w:val="22"/>
          <w:szCs w:val="22"/>
        </w:rPr>
        <w:t xml:space="preserve">: </w:t>
      </w:r>
      <w:r w:rsidR="00303153" w:rsidRPr="00EE247B">
        <w:rPr>
          <w:sz w:val="22"/>
          <w:szCs w:val="22"/>
        </w:rPr>
        <w:t>19</w:t>
      </w:r>
      <w:r w:rsidR="00177ED0" w:rsidRPr="00EE247B">
        <w:rPr>
          <w:sz w:val="22"/>
          <w:szCs w:val="22"/>
        </w:rPr>
        <w:t>.02.2020.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774"/>
      </w:tblGrid>
      <w:tr w:rsidR="00BF7742" w:rsidRPr="00EE247B" w14:paraId="71BEEFB0" w14:textId="77777777" w:rsidTr="00905305">
        <w:tc>
          <w:tcPr>
            <w:tcW w:w="4219" w:type="dxa"/>
          </w:tcPr>
          <w:p w14:paraId="6DC703BC" w14:textId="77777777" w:rsidR="00905305" w:rsidRPr="00EE247B" w:rsidRDefault="00905305" w:rsidP="00905305">
            <w:pPr>
              <w:rPr>
                <w:sz w:val="22"/>
                <w:szCs w:val="22"/>
              </w:rPr>
            </w:pPr>
          </w:p>
        </w:tc>
        <w:tc>
          <w:tcPr>
            <w:tcW w:w="9774" w:type="dxa"/>
          </w:tcPr>
          <w:p w14:paraId="06E747EC" w14:textId="77777777" w:rsidR="00905305" w:rsidRPr="00EE247B" w:rsidRDefault="00905305" w:rsidP="00905305">
            <w:pPr>
              <w:jc w:val="both"/>
              <w:rPr>
                <w:sz w:val="22"/>
                <w:szCs w:val="22"/>
              </w:rPr>
            </w:pPr>
          </w:p>
        </w:tc>
      </w:tr>
      <w:tr w:rsidR="00BF7742" w:rsidRPr="00EE247B" w14:paraId="0CFAED1E" w14:textId="77777777" w:rsidTr="00905305">
        <w:tc>
          <w:tcPr>
            <w:tcW w:w="4219" w:type="dxa"/>
          </w:tcPr>
          <w:p w14:paraId="44FE33AA" w14:textId="77777777" w:rsidR="00905305" w:rsidRPr="00EE247B" w:rsidRDefault="002F7A75" w:rsidP="00905305">
            <w:pPr>
              <w:rPr>
                <w:sz w:val="22"/>
                <w:szCs w:val="22"/>
              </w:rPr>
            </w:pPr>
            <w:r w:rsidRPr="00EE247B">
              <w:rPr>
                <w:sz w:val="22"/>
                <w:szCs w:val="22"/>
              </w:rPr>
              <w:t>Saskaņošanas dalībnieki:</w:t>
            </w:r>
          </w:p>
        </w:tc>
        <w:tc>
          <w:tcPr>
            <w:tcW w:w="9774" w:type="dxa"/>
          </w:tcPr>
          <w:p w14:paraId="6710DCFE" w14:textId="786E7BDF" w:rsidR="00905305" w:rsidRPr="00EE247B" w:rsidRDefault="00177ED0" w:rsidP="00905305">
            <w:pPr>
              <w:jc w:val="both"/>
              <w:rPr>
                <w:sz w:val="22"/>
                <w:szCs w:val="22"/>
              </w:rPr>
            </w:pPr>
            <w:r w:rsidRPr="00EE247B">
              <w:rPr>
                <w:sz w:val="22"/>
                <w:szCs w:val="22"/>
              </w:rPr>
              <w:t xml:space="preserve">Tieslietu ministrija, Finanšu ministrija, Ekonomikas ministrija, Labklājības ministrija, Veselības ministrija, </w:t>
            </w:r>
            <w:proofErr w:type="spellStart"/>
            <w:r w:rsidRPr="00EE247B">
              <w:rPr>
                <w:sz w:val="22"/>
                <w:szCs w:val="22"/>
              </w:rPr>
              <w:t>Pārresoru</w:t>
            </w:r>
            <w:proofErr w:type="spellEnd"/>
            <w:r w:rsidRPr="00EE247B">
              <w:rPr>
                <w:sz w:val="22"/>
                <w:szCs w:val="22"/>
              </w:rPr>
              <w:t xml:space="preserve"> koordinācijas centrs, Latvijas Pašvaldības savienība, Latvijas Brīvo arodbiedrību savienība, Latvijas Lielo pilsētu asociācija, biedrība "Reģionālo attīstības centru apvienība"</w:t>
            </w:r>
          </w:p>
        </w:tc>
      </w:tr>
      <w:tr w:rsidR="00BF7742" w:rsidRPr="00EE247B" w14:paraId="58C5406A" w14:textId="77777777" w:rsidTr="00905305">
        <w:tc>
          <w:tcPr>
            <w:tcW w:w="4219" w:type="dxa"/>
          </w:tcPr>
          <w:p w14:paraId="11676082" w14:textId="77777777" w:rsidR="00905305" w:rsidRPr="00EE247B" w:rsidRDefault="00905305" w:rsidP="00905305">
            <w:pPr>
              <w:rPr>
                <w:sz w:val="22"/>
                <w:szCs w:val="22"/>
              </w:rPr>
            </w:pPr>
          </w:p>
        </w:tc>
        <w:tc>
          <w:tcPr>
            <w:tcW w:w="9774" w:type="dxa"/>
          </w:tcPr>
          <w:p w14:paraId="45EE0F14" w14:textId="77777777" w:rsidR="00905305" w:rsidRPr="00EE247B" w:rsidRDefault="00905305" w:rsidP="00905305">
            <w:pPr>
              <w:rPr>
                <w:sz w:val="22"/>
                <w:szCs w:val="22"/>
              </w:rPr>
            </w:pPr>
          </w:p>
        </w:tc>
      </w:tr>
      <w:tr w:rsidR="00BF7742" w:rsidRPr="00FD0708" w14:paraId="313CF07F" w14:textId="77777777" w:rsidTr="00905305">
        <w:tc>
          <w:tcPr>
            <w:tcW w:w="4219" w:type="dxa"/>
          </w:tcPr>
          <w:p w14:paraId="22450DA8" w14:textId="77777777" w:rsidR="00905305" w:rsidRPr="00EE247B" w:rsidRDefault="002F7A75" w:rsidP="00905305">
            <w:pPr>
              <w:pStyle w:val="naiskr"/>
              <w:spacing w:before="0" w:after="0"/>
              <w:jc w:val="both"/>
            </w:pPr>
            <w:r w:rsidRPr="00EE247B">
              <w:rPr>
                <w:sz w:val="22"/>
                <w:szCs w:val="22"/>
              </w:rPr>
              <w:t xml:space="preserve">Saskaņošanas dalībnieki izskatīja šādu ministriju (citu institūciju) iebildumus: </w:t>
            </w:r>
          </w:p>
        </w:tc>
        <w:tc>
          <w:tcPr>
            <w:tcW w:w="9774" w:type="dxa"/>
          </w:tcPr>
          <w:p w14:paraId="4E29B621" w14:textId="728A7D5B" w:rsidR="00905305" w:rsidRPr="00EE247B" w:rsidRDefault="00177ED0" w:rsidP="00905305">
            <w:pPr>
              <w:jc w:val="both"/>
              <w:rPr>
                <w:sz w:val="22"/>
                <w:szCs w:val="22"/>
              </w:rPr>
            </w:pPr>
            <w:r w:rsidRPr="00EE247B">
              <w:rPr>
                <w:sz w:val="22"/>
                <w:szCs w:val="22"/>
              </w:rPr>
              <w:t>Tieslietu ministrija, Finanšu ministrija, Latvijas Pašvaldību savienība, Latvijas Lielo pilsētu asociācija</w:t>
            </w:r>
          </w:p>
        </w:tc>
      </w:tr>
      <w:tr w:rsidR="00BF7742" w:rsidRPr="00FD0708" w14:paraId="324F4ECA" w14:textId="77777777" w:rsidTr="00905305">
        <w:tc>
          <w:tcPr>
            <w:tcW w:w="4219" w:type="dxa"/>
          </w:tcPr>
          <w:p w14:paraId="09E3102E" w14:textId="77777777" w:rsidR="00905305" w:rsidRPr="00FD0708" w:rsidRDefault="00905305" w:rsidP="00905305">
            <w:pPr>
              <w:pStyle w:val="naiskr"/>
              <w:spacing w:before="0" w:after="0"/>
              <w:jc w:val="both"/>
              <w:rPr>
                <w:sz w:val="22"/>
                <w:szCs w:val="22"/>
              </w:rPr>
            </w:pPr>
          </w:p>
        </w:tc>
        <w:tc>
          <w:tcPr>
            <w:tcW w:w="9774" w:type="dxa"/>
          </w:tcPr>
          <w:p w14:paraId="66F07898" w14:textId="77777777" w:rsidR="00905305" w:rsidRPr="00FD0708" w:rsidRDefault="00905305" w:rsidP="00905305">
            <w:pPr>
              <w:rPr>
                <w:sz w:val="22"/>
                <w:szCs w:val="22"/>
              </w:rPr>
            </w:pPr>
          </w:p>
        </w:tc>
      </w:tr>
      <w:tr w:rsidR="00BF7742" w:rsidRPr="00FD0708" w14:paraId="2E1CEBB2" w14:textId="77777777" w:rsidTr="00905305">
        <w:tc>
          <w:tcPr>
            <w:tcW w:w="4219" w:type="dxa"/>
          </w:tcPr>
          <w:p w14:paraId="278E609E" w14:textId="77777777" w:rsidR="00905305" w:rsidRPr="00FD0708" w:rsidRDefault="002F7A75" w:rsidP="00905305">
            <w:pPr>
              <w:pStyle w:val="naiskr"/>
              <w:spacing w:before="0" w:after="0"/>
              <w:jc w:val="both"/>
              <w:rPr>
                <w:sz w:val="22"/>
                <w:szCs w:val="22"/>
              </w:rPr>
            </w:pPr>
            <w:r w:rsidRPr="00FD0708">
              <w:rPr>
                <w:sz w:val="22"/>
                <w:szCs w:val="22"/>
                <w:lang w:eastAsia="en-US"/>
              </w:rPr>
              <w:t xml:space="preserve">Ministrijas (citas institūcijas), kuras nav ieradušās uz sanāksmi vai kuras nav </w:t>
            </w:r>
            <w:r w:rsidRPr="00FD0708">
              <w:rPr>
                <w:bCs/>
                <w:sz w:val="22"/>
                <w:szCs w:val="22"/>
                <w:lang w:eastAsia="en-US"/>
              </w:rPr>
              <w:t>atbildējušas uz uzaicinājumu piedalīties elektroniskajā saskaņošanā:</w:t>
            </w:r>
          </w:p>
        </w:tc>
        <w:tc>
          <w:tcPr>
            <w:tcW w:w="9774" w:type="dxa"/>
          </w:tcPr>
          <w:p w14:paraId="1C1D60F2" w14:textId="77777777" w:rsidR="00905305" w:rsidRPr="00FD0708" w:rsidRDefault="00905305" w:rsidP="00905305">
            <w:pPr>
              <w:jc w:val="both"/>
              <w:rPr>
                <w:sz w:val="22"/>
                <w:szCs w:val="22"/>
              </w:rPr>
            </w:pPr>
          </w:p>
        </w:tc>
      </w:tr>
    </w:tbl>
    <w:p w14:paraId="268AE5F4" w14:textId="77777777" w:rsidR="00905305" w:rsidRPr="00FD0708" w:rsidRDefault="00905305" w:rsidP="00905305">
      <w:pPr>
        <w:pStyle w:val="naisf"/>
        <w:spacing w:before="0" w:after="0"/>
        <w:ind w:firstLine="0"/>
        <w:rPr>
          <w:b/>
          <w:sz w:val="22"/>
          <w:szCs w:val="22"/>
        </w:rPr>
      </w:pPr>
    </w:p>
    <w:p w14:paraId="39A496C3" w14:textId="77777777" w:rsidR="00905305" w:rsidRPr="00FD0708" w:rsidRDefault="00905305" w:rsidP="00905305">
      <w:pPr>
        <w:pStyle w:val="naisf"/>
        <w:spacing w:before="0" w:after="0"/>
        <w:ind w:firstLine="0"/>
        <w:jc w:val="center"/>
        <w:rPr>
          <w:b/>
          <w:sz w:val="22"/>
          <w:szCs w:val="22"/>
        </w:rPr>
      </w:pPr>
    </w:p>
    <w:p w14:paraId="7A387780" w14:textId="77777777" w:rsidR="00905305" w:rsidRPr="00FD0708" w:rsidRDefault="002F7A75" w:rsidP="00905305">
      <w:pPr>
        <w:pStyle w:val="naisf"/>
        <w:spacing w:before="0" w:after="0"/>
        <w:ind w:firstLine="0"/>
        <w:jc w:val="center"/>
        <w:rPr>
          <w:sz w:val="22"/>
          <w:szCs w:val="22"/>
        </w:rPr>
      </w:pPr>
      <w:r w:rsidRPr="00FD0708">
        <w:rPr>
          <w:b/>
          <w:sz w:val="22"/>
          <w:szCs w:val="22"/>
        </w:rPr>
        <w:lastRenderedPageBreak/>
        <w:t>II. Jautājumi, par kuriem saskaņošanā vienošanās ir panākta</w:t>
      </w:r>
    </w:p>
    <w:tbl>
      <w:tblPr>
        <w:tblW w:w="5674" w:type="pct"/>
        <w:tblInd w:w="-10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9"/>
        <w:gridCol w:w="4458"/>
        <w:gridCol w:w="4325"/>
        <w:gridCol w:w="2931"/>
        <w:gridCol w:w="3623"/>
      </w:tblGrid>
      <w:tr w:rsidR="00BF7742" w:rsidRPr="00FD0708" w14:paraId="6554E3F2" w14:textId="77777777" w:rsidTr="00C93B46">
        <w:trPr>
          <w:trHeight w:val="978"/>
        </w:trPr>
        <w:tc>
          <w:tcPr>
            <w:tcW w:w="170" w:type="pct"/>
            <w:tcBorders>
              <w:top w:val="single" w:sz="6" w:space="0" w:color="000000"/>
              <w:left w:val="single" w:sz="6" w:space="0" w:color="000000"/>
              <w:bottom w:val="single" w:sz="6" w:space="0" w:color="000000"/>
              <w:right w:val="single" w:sz="6" w:space="0" w:color="000000"/>
            </w:tcBorders>
            <w:vAlign w:val="center"/>
          </w:tcPr>
          <w:p w14:paraId="634D6056" w14:textId="77777777" w:rsidR="00905305" w:rsidRPr="00FD0708" w:rsidRDefault="002F7A75" w:rsidP="00905305">
            <w:pPr>
              <w:pStyle w:val="naisc"/>
              <w:spacing w:before="0" w:after="0"/>
              <w:rPr>
                <w:sz w:val="22"/>
                <w:szCs w:val="22"/>
              </w:rPr>
            </w:pPr>
            <w:r w:rsidRPr="00FD0708">
              <w:rPr>
                <w:sz w:val="22"/>
                <w:szCs w:val="22"/>
              </w:rPr>
              <w:t>Nr. p.k.</w:t>
            </w:r>
          </w:p>
        </w:tc>
        <w:tc>
          <w:tcPr>
            <w:tcW w:w="1404" w:type="pct"/>
            <w:tcBorders>
              <w:top w:val="single" w:sz="6" w:space="0" w:color="000000"/>
              <w:left w:val="single" w:sz="6" w:space="0" w:color="000000"/>
              <w:bottom w:val="single" w:sz="6" w:space="0" w:color="000000"/>
              <w:right w:val="single" w:sz="6" w:space="0" w:color="000000"/>
            </w:tcBorders>
            <w:vAlign w:val="center"/>
          </w:tcPr>
          <w:p w14:paraId="2A75A061" w14:textId="77777777" w:rsidR="00905305" w:rsidRPr="00FD0708" w:rsidRDefault="002F7A75" w:rsidP="00905305">
            <w:pPr>
              <w:pStyle w:val="naisc"/>
              <w:spacing w:before="0" w:after="0"/>
              <w:ind w:firstLine="12"/>
              <w:rPr>
                <w:sz w:val="22"/>
                <w:szCs w:val="22"/>
              </w:rPr>
            </w:pPr>
            <w:r w:rsidRPr="00FD0708">
              <w:rPr>
                <w:sz w:val="22"/>
                <w:szCs w:val="22"/>
              </w:rPr>
              <w:t>Saskaņošanai nosūtītā projekta redakcija (konkrēta punkta (panta) redakcija)</w:t>
            </w:r>
          </w:p>
        </w:tc>
        <w:tc>
          <w:tcPr>
            <w:tcW w:w="1362" w:type="pct"/>
            <w:tcBorders>
              <w:top w:val="single" w:sz="6" w:space="0" w:color="000000"/>
              <w:left w:val="single" w:sz="6" w:space="0" w:color="000000"/>
              <w:bottom w:val="single" w:sz="6" w:space="0" w:color="000000"/>
              <w:right w:val="single" w:sz="6" w:space="0" w:color="000000"/>
            </w:tcBorders>
            <w:vAlign w:val="center"/>
          </w:tcPr>
          <w:p w14:paraId="7D967A9B" w14:textId="77777777" w:rsidR="00905305" w:rsidRPr="00FD0708" w:rsidRDefault="002F7A75" w:rsidP="00905305">
            <w:pPr>
              <w:pStyle w:val="naisc"/>
              <w:spacing w:before="0" w:after="0"/>
              <w:ind w:right="3"/>
              <w:rPr>
                <w:sz w:val="22"/>
                <w:szCs w:val="22"/>
              </w:rPr>
            </w:pPr>
            <w:r w:rsidRPr="00FD0708">
              <w:rPr>
                <w:sz w:val="22"/>
                <w:szCs w:val="22"/>
              </w:rPr>
              <w:t>Atzinumā norādītais ministrijas (citas institūcijas) iebildums, kā arī saskaņošanā papildus izteiktais iebildums par projekta konkrēto punktu (pantu)</w:t>
            </w:r>
          </w:p>
        </w:tc>
        <w:tc>
          <w:tcPr>
            <w:tcW w:w="923" w:type="pct"/>
            <w:tcBorders>
              <w:top w:val="single" w:sz="6" w:space="0" w:color="000000"/>
              <w:left w:val="single" w:sz="6" w:space="0" w:color="000000"/>
              <w:bottom w:val="single" w:sz="6" w:space="0" w:color="000000"/>
              <w:right w:val="single" w:sz="6" w:space="0" w:color="000000"/>
            </w:tcBorders>
            <w:vAlign w:val="center"/>
          </w:tcPr>
          <w:p w14:paraId="10EA968E" w14:textId="77777777" w:rsidR="00905305" w:rsidRPr="00FD0708" w:rsidRDefault="002F7A75" w:rsidP="00905305">
            <w:pPr>
              <w:pStyle w:val="naisc"/>
              <w:spacing w:before="0" w:after="0"/>
              <w:ind w:firstLine="21"/>
              <w:rPr>
                <w:sz w:val="22"/>
                <w:szCs w:val="22"/>
              </w:rPr>
            </w:pPr>
            <w:r w:rsidRPr="00FD0708">
              <w:rPr>
                <w:sz w:val="22"/>
                <w:szCs w:val="22"/>
              </w:rPr>
              <w:t>Atbildīgās ministrijas norāde par to, ka iebildums ir ņemts vērā, vai informācija par saskaņošanā panākto alternatīvo risinājumu</w:t>
            </w:r>
          </w:p>
        </w:tc>
        <w:tc>
          <w:tcPr>
            <w:tcW w:w="1141" w:type="pct"/>
            <w:tcBorders>
              <w:top w:val="single" w:sz="4" w:space="0" w:color="auto"/>
              <w:left w:val="single" w:sz="4" w:space="0" w:color="auto"/>
              <w:bottom w:val="single" w:sz="4" w:space="0" w:color="auto"/>
            </w:tcBorders>
            <w:vAlign w:val="center"/>
          </w:tcPr>
          <w:p w14:paraId="129E7E03" w14:textId="77777777" w:rsidR="00905305" w:rsidRPr="00FD0708" w:rsidRDefault="002F7A75" w:rsidP="00905305">
            <w:pPr>
              <w:jc w:val="center"/>
              <w:rPr>
                <w:sz w:val="22"/>
                <w:szCs w:val="22"/>
              </w:rPr>
            </w:pPr>
            <w:r w:rsidRPr="00FD0708">
              <w:rPr>
                <w:sz w:val="22"/>
                <w:szCs w:val="22"/>
              </w:rPr>
              <w:t>Projekta attiecīgā punkta (panta) galīgā redakcija</w:t>
            </w:r>
          </w:p>
        </w:tc>
      </w:tr>
      <w:tr w:rsidR="00BF7742" w:rsidRPr="00FD0708" w14:paraId="3A56A0B8" w14:textId="77777777" w:rsidTr="00C93B46">
        <w:tc>
          <w:tcPr>
            <w:tcW w:w="170" w:type="pct"/>
            <w:tcBorders>
              <w:top w:val="single" w:sz="6" w:space="0" w:color="000000"/>
              <w:left w:val="single" w:sz="6" w:space="0" w:color="000000"/>
              <w:bottom w:val="single" w:sz="6" w:space="0" w:color="000000"/>
              <w:right w:val="single" w:sz="6" w:space="0" w:color="000000"/>
            </w:tcBorders>
          </w:tcPr>
          <w:p w14:paraId="04B9B739" w14:textId="77777777" w:rsidR="00905305" w:rsidRPr="00FD0708" w:rsidRDefault="002F7A75" w:rsidP="00905305">
            <w:pPr>
              <w:pStyle w:val="naisc"/>
              <w:spacing w:before="0" w:after="0"/>
              <w:rPr>
                <w:sz w:val="22"/>
                <w:szCs w:val="22"/>
              </w:rPr>
            </w:pPr>
            <w:r w:rsidRPr="00FD0708">
              <w:rPr>
                <w:sz w:val="22"/>
                <w:szCs w:val="22"/>
              </w:rPr>
              <w:t>1</w:t>
            </w:r>
          </w:p>
        </w:tc>
        <w:tc>
          <w:tcPr>
            <w:tcW w:w="1404" w:type="pct"/>
            <w:tcBorders>
              <w:top w:val="single" w:sz="6" w:space="0" w:color="000000"/>
              <w:left w:val="single" w:sz="6" w:space="0" w:color="000000"/>
              <w:bottom w:val="single" w:sz="6" w:space="0" w:color="000000"/>
              <w:right w:val="single" w:sz="6" w:space="0" w:color="000000"/>
            </w:tcBorders>
          </w:tcPr>
          <w:p w14:paraId="63B6C64B" w14:textId="77777777" w:rsidR="00905305" w:rsidRPr="00FD0708" w:rsidRDefault="002F7A75" w:rsidP="00905305">
            <w:pPr>
              <w:pStyle w:val="naisc"/>
              <w:spacing w:before="0" w:after="0"/>
              <w:rPr>
                <w:sz w:val="22"/>
                <w:szCs w:val="22"/>
              </w:rPr>
            </w:pPr>
            <w:r w:rsidRPr="00FD0708">
              <w:rPr>
                <w:sz w:val="22"/>
                <w:szCs w:val="22"/>
              </w:rPr>
              <w:t>2</w:t>
            </w:r>
          </w:p>
        </w:tc>
        <w:tc>
          <w:tcPr>
            <w:tcW w:w="1362" w:type="pct"/>
            <w:tcBorders>
              <w:top w:val="single" w:sz="6" w:space="0" w:color="000000"/>
              <w:left w:val="single" w:sz="6" w:space="0" w:color="000000"/>
              <w:bottom w:val="single" w:sz="6" w:space="0" w:color="000000"/>
              <w:right w:val="single" w:sz="6" w:space="0" w:color="000000"/>
            </w:tcBorders>
          </w:tcPr>
          <w:p w14:paraId="75E21B1C" w14:textId="77777777" w:rsidR="00905305" w:rsidRPr="00FD0708" w:rsidRDefault="002F7A75" w:rsidP="00905305">
            <w:pPr>
              <w:pStyle w:val="naisc"/>
              <w:spacing w:before="0" w:after="0"/>
              <w:ind w:firstLine="35"/>
              <w:rPr>
                <w:sz w:val="22"/>
                <w:szCs w:val="22"/>
              </w:rPr>
            </w:pPr>
            <w:r w:rsidRPr="00FD0708">
              <w:rPr>
                <w:sz w:val="22"/>
                <w:szCs w:val="22"/>
              </w:rPr>
              <w:t>3</w:t>
            </w:r>
          </w:p>
        </w:tc>
        <w:tc>
          <w:tcPr>
            <w:tcW w:w="923" w:type="pct"/>
            <w:tcBorders>
              <w:top w:val="single" w:sz="6" w:space="0" w:color="000000"/>
              <w:left w:val="single" w:sz="6" w:space="0" w:color="000000"/>
              <w:bottom w:val="single" w:sz="6" w:space="0" w:color="000000"/>
              <w:right w:val="single" w:sz="6" w:space="0" w:color="000000"/>
            </w:tcBorders>
          </w:tcPr>
          <w:p w14:paraId="7E3708A4" w14:textId="77777777" w:rsidR="00905305" w:rsidRPr="00FD0708" w:rsidRDefault="002F7A75" w:rsidP="00905305">
            <w:pPr>
              <w:pStyle w:val="naisc"/>
              <w:spacing w:before="0" w:after="0"/>
              <w:rPr>
                <w:sz w:val="22"/>
                <w:szCs w:val="22"/>
              </w:rPr>
            </w:pPr>
            <w:r w:rsidRPr="00FD0708">
              <w:rPr>
                <w:sz w:val="22"/>
                <w:szCs w:val="22"/>
              </w:rPr>
              <w:t>4</w:t>
            </w:r>
          </w:p>
        </w:tc>
        <w:tc>
          <w:tcPr>
            <w:tcW w:w="1141" w:type="pct"/>
            <w:tcBorders>
              <w:top w:val="single" w:sz="4" w:space="0" w:color="auto"/>
              <w:left w:val="single" w:sz="4" w:space="0" w:color="auto"/>
              <w:bottom w:val="single" w:sz="4" w:space="0" w:color="auto"/>
            </w:tcBorders>
          </w:tcPr>
          <w:p w14:paraId="20536501" w14:textId="77777777" w:rsidR="00905305" w:rsidRPr="00FD0708" w:rsidRDefault="002F7A75" w:rsidP="00905305">
            <w:pPr>
              <w:jc w:val="center"/>
              <w:rPr>
                <w:sz w:val="22"/>
                <w:szCs w:val="22"/>
              </w:rPr>
            </w:pPr>
            <w:r w:rsidRPr="00FD0708">
              <w:rPr>
                <w:sz w:val="22"/>
                <w:szCs w:val="22"/>
              </w:rPr>
              <w:t>5</w:t>
            </w:r>
          </w:p>
        </w:tc>
      </w:tr>
      <w:tr w:rsidR="007606B8" w:rsidRPr="00FD0708" w14:paraId="4726B744" w14:textId="77777777" w:rsidTr="007965FE">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28608604" w14:textId="77777777" w:rsidR="007606B8" w:rsidRPr="00FD0708" w:rsidRDefault="007606B8" w:rsidP="002432C8">
            <w:pPr>
              <w:pStyle w:val="naisc"/>
              <w:numPr>
                <w:ilvl w:val="0"/>
                <w:numId w:val="2"/>
              </w:numPr>
              <w:spacing w:before="0" w:after="0"/>
              <w:rPr>
                <w:sz w:val="22"/>
                <w:szCs w:val="22"/>
              </w:rPr>
            </w:pPr>
          </w:p>
        </w:tc>
        <w:tc>
          <w:tcPr>
            <w:tcW w:w="1404" w:type="pct"/>
            <w:vMerge w:val="restart"/>
            <w:tcBorders>
              <w:top w:val="single" w:sz="6" w:space="0" w:color="000000"/>
              <w:left w:val="single" w:sz="6" w:space="0" w:color="000000"/>
              <w:right w:val="single" w:sz="6" w:space="0" w:color="000000"/>
            </w:tcBorders>
            <w:shd w:val="clear" w:color="auto" w:fill="auto"/>
          </w:tcPr>
          <w:p w14:paraId="64E89909" w14:textId="05C3105C" w:rsidR="007606B8" w:rsidRPr="00FD0708" w:rsidRDefault="007606B8" w:rsidP="002432C8">
            <w:pPr>
              <w:tabs>
                <w:tab w:val="left" w:pos="1134"/>
              </w:tabs>
              <w:jc w:val="both"/>
            </w:pPr>
            <w:r w:rsidRPr="00FD0708">
              <w:t>1. Izteikt 14.2. un 14.3. apakšpunktu šādā redakcijā:</w:t>
            </w:r>
          </w:p>
          <w:p w14:paraId="4A43E568" w14:textId="77777777" w:rsidR="007606B8" w:rsidRPr="00FD0708" w:rsidRDefault="007606B8" w:rsidP="002432C8">
            <w:pPr>
              <w:pStyle w:val="ListParagraph"/>
              <w:tabs>
                <w:tab w:val="left" w:pos="1134"/>
              </w:tabs>
              <w:spacing w:after="0" w:line="240" w:lineRule="auto"/>
              <w:ind w:left="709"/>
              <w:jc w:val="both"/>
              <w:rPr>
                <w:rFonts w:ascii="Times New Roman" w:hAnsi="Times New Roman"/>
                <w:sz w:val="24"/>
                <w:szCs w:val="24"/>
              </w:rPr>
            </w:pPr>
          </w:p>
          <w:p w14:paraId="29C49947" w14:textId="77777777" w:rsidR="007606B8" w:rsidRPr="00FD0708" w:rsidRDefault="007606B8" w:rsidP="002432C8">
            <w:pPr>
              <w:shd w:val="clear" w:color="auto" w:fill="FFFFFF"/>
              <w:ind w:firstLine="346"/>
              <w:jc w:val="both"/>
            </w:pPr>
            <w:r w:rsidRPr="00FD0708">
              <w:t>"14.2. otrās atlases kārtas ietvaros plānotais finansējums ir ne mazāks kā 18 722 568 </w:t>
            </w:r>
            <w:proofErr w:type="spellStart"/>
            <w:r w:rsidRPr="00FD0708">
              <w:rPr>
                <w:i/>
              </w:rPr>
              <w:t>euro</w:t>
            </w:r>
            <w:proofErr w:type="spellEnd"/>
            <w:r w:rsidRPr="00FD0708">
              <w:t>, tai skaitā Eiropas Reģionālās attīstības fonda finansējums – 15 914 182 </w:t>
            </w:r>
            <w:proofErr w:type="spellStart"/>
            <w:r w:rsidRPr="00FD0708">
              <w:rPr>
                <w:i/>
              </w:rPr>
              <w:t>euro</w:t>
            </w:r>
            <w:proofErr w:type="spellEnd"/>
            <w:r w:rsidRPr="00FD0708">
              <w:t> un nacionālais finansējums – ne mazāks kā 2 808 386 </w:t>
            </w:r>
            <w:proofErr w:type="spellStart"/>
            <w:r w:rsidRPr="00FD0708">
              <w:rPr>
                <w:i/>
              </w:rPr>
              <w:t>euro</w:t>
            </w:r>
            <w:proofErr w:type="spellEnd"/>
            <w:r w:rsidRPr="00FD0708">
              <w:t>;</w:t>
            </w:r>
          </w:p>
          <w:p w14:paraId="7639121B" w14:textId="77777777" w:rsidR="007606B8" w:rsidRPr="00FD0708" w:rsidRDefault="007606B8" w:rsidP="002432C8">
            <w:pPr>
              <w:shd w:val="clear" w:color="auto" w:fill="FFFFFF"/>
              <w:ind w:left="-80" w:firstLine="426"/>
              <w:jc w:val="both"/>
            </w:pPr>
            <w:r w:rsidRPr="00FD0708">
              <w:t>14.3. </w:t>
            </w:r>
            <w:r w:rsidRPr="00FD0708">
              <w:rPr>
                <w:shd w:val="clear" w:color="auto" w:fill="FFFFFF"/>
              </w:rPr>
              <w:t>trešās atlases kārtas ietvaros plānotais finansējums ir ne mazāks kā 37 871 679 </w:t>
            </w:r>
            <w:proofErr w:type="spellStart"/>
            <w:r w:rsidRPr="00FD0708">
              <w:rPr>
                <w:i/>
                <w:iCs/>
                <w:shd w:val="clear" w:color="auto" w:fill="FFFFFF"/>
              </w:rPr>
              <w:t>euro</w:t>
            </w:r>
            <w:proofErr w:type="spellEnd"/>
            <w:r w:rsidRPr="00FD0708">
              <w:rPr>
                <w:shd w:val="clear" w:color="auto" w:fill="FFFFFF"/>
              </w:rPr>
              <w:t>, tai skaitā Eiropas Reģionālās attīstības fonda finansējums – 32 190 927 </w:t>
            </w:r>
            <w:proofErr w:type="spellStart"/>
            <w:r w:rsidRPr="00FD0708">
              <w:rPr>
                <w:i/>
                <w:iCs/>
                <w:shd w:val="clear" w:color="auto" w:fill="FFFFFF"/>
              </w:rPr>
              <w:t>euro</w:t>
            </w:r>
            <w:proofErr w:type="spellEnd"/>
            <w:r w:rsidRPr="00FD0708">
              <w:rPr>
                <w:shd w:val="clear" w:color="auto" w:fill="FFFFFF"/>
              </w:rPr>
              <w:t> un nacionālais finansējums – ne mazāks kā 5 680 752 </w:t>
            </w:r>
            <w:proofErr w:type="spellStart"/>
            <w:r w:rsidRPr="00FD0708">
              <w:rPr>
                <w:i/>
                <w:iCs/>
                <w:shd w:val="clear" w:color="auto" w:fill="FFFFFF"/>
              </w:rPr>
              <w:t>euro</w:t>
            </w:r>
            <w:proofErr w:type="spellEnd"/>
            <w:r w:rsidRPr="00FD0708">
              <w:rPr>
                <w:shd w:val="clear" w:color="auto" w:fill="FFFFFF"/>
              </w:rPr>
              <w:t>.</w:t>
            </w:r>
            <w:r w:rsidRPr="00FD0708">
              <w:t>".</w:t>
            </w:r>
          </w:p>
          <w:p w14:paraId="1A0212C2" w14:textId="5238B79B" w:rsidR="007606B8" w:rsidRPr="00FD0708" w:rsidRDefault="007606B8" w:rsidP="002432C8">
            <w:pPr>
              <w:jc w:val="both"/>
              <w:outlineLvl w:val="0"/>
              <w:rPr>
                <w:sz w:val="22"/>
                <w:szCs w:val="22"/>
              </w:rPr>
            </w:pP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5C966501" w14:textId="6AE12C09" w:rsidR="007606B8" w:rsidRPr="00FD0708" w:rsidRDefault="007606B8" w:rsidP="002432C8">
            <w:pPr>
              <w:spacing w:after="120"/>
              <w:jc w:val="both"/>
              <w:rPr>
                <w:b/>
              </w:rPr>
            </w:pPr>
            <w:r w:rsidRPr="00FD0708">
              <w:rPr>
                <w:b/>
              </w:rPr>
              <w:t>Tieslietu ministrija (31.01.2020. atzinums)</w:t>
            </w:r>
          </w:p>
          <w:p w14:paraId="66B69A8F" w14:textId="77777777" w:rsidR="007606B8" w:rsidRPr="00FD0708" w:rsidRDefault="007606B8" w:rsidP="002432C8">
            <w:pPr>
              <w:tabs>
                <w:tab w:val="left" w:pos="709"/>
                <w:tab w:val="left" w:pos="993"/>
              </w:tabs>
              <w:jc w:val="both"/>
              <w:rPr>
                <w:iCs/>
              </w:rPr>
            </w:pPr>
            <w:r w:rsidRPr="00FD0708">
              <w:t xml:space="preserve">Ar noteikumu projekta 1. punktu, ar kuru </w:t>
            </w:r>
            <w:r w:rsidRPr="00FD0708">
              <w:rPr>
                <w:iCs/>
              </w:rPr>
              <w:t>Ministru kabineta 2015. gada 13. oktobra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(turpmāk – noteikumi Nr. 593) 14.2. un 14.3. apakšpunkts izteikts jaunā redakcijā, un 2. punktu, ar kuru noteikumi Nr. 593 papildināti ar 14.</w:t>
            </w:r>
            <w:r w:rsidRPr="00FD0708">
              <w:rPr>
                <w:iCs/>
                <w:vertAlign w:val="superscript"/>
              </w:rPr>
              <w:t>1</w:t>
            </w:r>
            <w:r w:rsidRPr="00FD0708">
              <w:rPr>
                <w:iCs/>
              </w:rPr>
              <w:t> punktu, paredzēts 3.3.1. specifiskā atbalsta mērķa trešās atlases kārtas Eiropas Reģionālās attīstības fonda finansējuma atlikumu 5 002 549 </w:t>
            </w:r>
            <w:proofErr w:type="spellStart"/>
            <w:r w:rsidRPr="00FD0708">
              <w:rPr>
                <w:i/>
              </w:rPr>
              <w:t>euro</w:t>
            </w:r>
            <w:proofErr w:type="spellEnd"/>
            <w:r w:rsidRPr="00FD0708">
              <w:rPr>
                <w:iCs/>
              </w:rPr>
              <w:t xml:space="preserve"> apmērā, kā arī neizmantoto pirmās atlases kārtas, otrās atlases kārtas un trešās atlases kārtas Eiropas Reģionālās attīstības fonda finansējumu, kas atbrīvosies projektu </w:t>
            </w:r>
            <w:r w:rsidRPr="00FD0708">
              <w:rPr>
                <w:iCs/>
              </w:rPr>
              <w:lastRenderedPageBreak/>
              <w:t>īstenošanas rezultātā vai par kuru izsludinātajās atlasēs līdz 2020. gada 2. martam netiks iesniegti projektu iesniegumi, novirzīt minētā specifiskā atbalsta mērķa otrajai atlases kārtai. Kā viens no apsvērumiem noteikumu projekta anotācijā konkrēto grozījumu izdarīšanai minēts Ministru kabineta atbalsts plānotām izmaiņām Latvijas administratīvo teritoriju iedalījumā, ko paredz likumprojekts "Administratīvo teritoriju un apdzīvoto vietu likumā" un kas cita starpā noteic, ka novada teritorijā (nevis novada teritorij</w:t>
            </w:r>
            <w:r w:rsidRPr="00FD0708">
              <w:rPr>
                <w:iCs/>
                <w:u w:val="single"/>
              </w:rPr>
              <w:t>a</w:t>
            </w:r>
            <w:r w:rsidRPr="00FD0708">
              <w:rPr>
                <w:iCs/>
              </w:rPr>
              <w:t>, kā minēts noteikumu projekta anotācijā) ir valsts attīstības plānošanas dokumentos (reģionālās politikas pamatnostādnēs vai nacionālajā attīstības plānā) noteikts reģionālās vai nacionālās nozīmes attīstības centrs, izņemot Pierīgas novados. Saistībā ar minēto:</w:t>
            </w:r>
          </w:p>
          <w:p w14:paraId="06543E96" w14:textId="77777777" w:rsidR="007606B8" w:rsidRPr="00FD0708" w:rsidRDefault="007606B8" w:rsidP="002432C8">
            <w:pPr>
              <w:tabs>
                <w:tab w:val="left" w:pos="709"/>
                <w:tab w:val="left" w:pos="993"/>
              </w:tabs>
              <w:ind w:firstLine="720"/>
              <w:jc w:val="both"/>
              <w:rPr>
                <w:iCs/>
              </w:rPr>
            </w:pPr>
            <w:r w:rsidRPr="00FD0708">
              <w:rPr>
                <w:iCs/>
              </w:rPr>
              <w:t xml:space="preserve">pirmkārt, vēršam uzmanību, ka Saeima 2019. gada 7. novembrī pirmajā lasījumā atbalstījusi </w:t>
            </w:r>
            <w:bookmarkStart w:id="6" w:name="_Hlk31294133"/>
            <w:r w:rsidRPr="00FD0708">
              <w:rPr>
                <w:iCs/>
              </w:rPr>
              <w:t>likumprojektu "Administratīvo teritoriju un apdzīvoto vietu likumu"</w:t>
            </w:r>
            <w:bookmarkEnd w:id="6"/>
            <w:r w:rsidRPr="00FD0708">
              <w:rPr>
                <w:iCs/>
              </w:rPr>
              <w:t>. Attiecīgi lūdzam atbilstoši aktualizēt noteikumu projekta anotācijā norādīto informāciju;</w:t>
            </w:r>
          </w:p>
          <w:p w14:paraId="08737459" w14:textId="1DF0877B" w:rsidR="007606B8" w:rsidRPr="00FD0708" w:rsidRDefault="007606B8" w:rsidP="002432C8">
            <w:pPr>
              <w:tabs>
                <w:tab w:val="left" w:pos="720"/>
                <w:tab w:val="left" w:pos="993"/>
              </w:tabs>
              <w:ind w:firstLine="720"/>
              <w:jc w:val="both"/>
              <w:rPr>
                <w:iCs/>
              </w:rPr>
            </w:pPr>
            <w:r w:rsidRPr="00FD0708">
              <w:rPr>
                <w:iCs/>
              </w:rPr>
              <w:t xml:space="preserve">otrkārt, lūdzam izvērtēt iespēju noteikumu projektu virzīt apstiprināšanai Ministru kabinetā pēc tam, kad likumprojekts "Administratīvo teritoriju un apdzīvoto vietu likumu" tiks Saeimā pieņemts 3. lasījumā un Valsts prezidents to izsludinājis, ņemot vērā, ka likumprojektā vēl var izdarīt izmaiņas un </w:t>
            </w:r>
            <w:r w:rsidRPr="00FD0708">
              <w:rPr>
                <w:iCs/>
              </w:rPr>
              <w:lastRenderedPageBreak/>
              <w:t>tādējādi, iespējams, var tikt apdraudēts noteikumu projekta mērķis.</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0EDFE4BC" w14:textId="77777777" w:rsidR="007606B8" w:rsidRPr="00FD0708" w:rsidRDefault="007606B8" w:rsidP="002432C8">
            <w:pPr>
              <w:spacing w:after="120"/>
              <w:jc w:val="both"/>
              <w:rPr>
                <w:b/>
                <w:lang w:eastAsia="en-US"/>
              </w:rPr>
            </w:pPr>
            <w:r w:rsidRPr="00FD0708">
              <w:rPr>
                <w:b/>
                <w:lang w:eastAsia="en-US"/>
              </w:rPr>
              <w:lastRenderedPageBreak/>
              <w:t>Ņemts vērā</w:t>
            </w:r>
          </w:p>
          <w:p w14:paraId="02D2ADF8" w14:textId="0145A801" w:rsidR="007606B8" w:rsidRPr="00FD0708" w:rsidRDefault="007606B8" w:rsidP="002432C8">
            <w:pPr>
              <w:jc w:val="both"/>
              <w:rPr>
                <w:lang w:eastAsia="en-US"/>
              </w:rPr>
            </w:pPr>
            <w:r w:rsidRPr="00FD0708">
              <w:rPr>
                <w:lang w:eastAsia="en-US"/>
              </w:rPr>
              <w:t>Skaidrojam, ka VARAM kā ES fondu atbildīgajai iestādei ir saistošs MK 2019. gada 11. oktobra lēmuma</w:t>
            </w:r>
            <w:r w:rsidRPr="00FD0708">
              <w:rPr>
                <w:rStyle w:val="FootnoteReference"/>
                <w:lang w:eastAsia="en-US"/>
              </w:rPr>
              <w:footnoteReference w:id="2"/>
            </w:r>
            <w:r w:rsidRPr="00FD0708">
              <w:rPr>
                <w:lang w:eastAsia="en-US"/>
              </w:rPr>
              <w:t xml:space="preserve"> 11.2. apakšpunkts, kas nosaka, ka 3.3.1. SAM projektu iesniegumu atlasēs jauni līgumi vai vienošanās par projektu īstenošanu tiek slēgti ne vēlāk kā līdz 2021. gada 1. jūnijam. Lai nodrošinātu šī MK lēmuma izpildi, ir jārīkojas maksimāli operatīvi, lai veicinātu investīciju nonākšanu tautsaimniecībā un uzņēmējdarbības atbalsta infrastruktūras attīstīšanu, darba vietu radīšanu, privāto investīciju piesaisti un nezaudētu 3.3.1. SAM pieejamo Eiropas Reģionālās attīstības fonda finansējumu. Kā rezultātā </w:t>
            </w:r>
            <w:r w:rsidRPr="00FD0708">
              <w:rPr>
                <w:lang w:eastAsia="en-US"/>
              </w:rPr>
              <w:lastRenderedPageBreak/>
              <w:t>MK noteikumu Nr.593 25.2. apakšpunktā minētais reģionālas nozīmes attīstības centru pašvaldību loks netiek mainīts un paliek tāds, kāds tas ir atbilstoši spēkā esošajai Latvijas ilgtspējīgas attīstības stratēģijai līdz 2030. gadam.</w:t>
            </w:r>
          </w:p>
          <w:p w14:paraId="0221F351" w14:textId="6F4E1FF7" w:rsidR="007606B8" w:rsidRPr="00FD0708" w:rsidRDefault="007606B8" w:rsidP="002432C8">
            <w:pPr>
              <w:jc w:val="both"/>
              <w:rPr>
                <w:lang w:eastAsia="en-US"/>
              </w:rPr>
            </w:pPr>
          </w:p>
        </w:tc>
        <w:tc>
          <w:tcPr>
            <w:tcW w:w="1141" w:type="pct"/>
            <w:vMerge w:val="restart"/>
            <w:tcBorders>
              <w:top w:val="single" w:sz="4" w:space="0" w:color="auto"/>
              <w:left w:val="single" w:sz="4" w:space="0" w:color="auto"/>
            </w:tcBorders>
            <w:shd w:val="clear" w:color="auto" w:fill="auto"/>
          </w:tcPr>
          <w:p w14:paraId="335E41EC" w14:textId="77777777" w:rsidR="007606B8" w:rsidRPr="00802D9E" w:rsidRDefault="007606B8" w:rsidP="002432C8">
            <w:pPr>
              <w:tabs>
                <w:tab w:val="left" w:pos="1134"/>
              </w:tabs>
              <w:jc w:val="both"/>
            </w:pPr>
            <w:r w:rsidRPr="00802D9E">
              <w:lastRenderedPageBreak/>
              <w:t>1. Izteikt 14.2. un 14.3. apakšpunktu šādā redakcijā:</w:t>
            </w:r>
          </w:p>
          <w:p w14:paraId="4213CBCF" w14:textId="77777777" w:rsidR="007606B8" w:rsidRPr="00802D9E" w:rsidRDefault="007606B8" w:rsidP="002432C8">
            <w:pPr>
              <w:pStyle w:val="ListParagraph"/>
              <w:tabs>
                <w:tab w:val="left" w:pos="1134"/>
              </w:tabs>
              <w:spacing w:after="0" w:line="240" w:lineRule="auto"/>
              <w:ind w:left="709"/>
              <w:jc w:val="both"/>
              <w:rPr>
                <w:rFonts w:ascii="Times New Roman" w:hAnsi="Times New Roman"/>
                <w:sz w:val="24"/>
                <w:szCs w:val="24"/>
              </w:rPr>
            </w:pPr>
          </w:p>
          <w:p w14:paraId="36A84B8E" w14:textId="77777777" w:rsidR="007606B8" w:rsidRPr="00802D9E" w:rsidRDefault="007606B8" w:rsidP="0087190D">
            <w:pPr>
              <w:shd w:val="clear" w:color="auto" w:fill="FFFFFF"/>
              <w:ind w:firstLine="709"/>
              <w:jc w:val="both"/>
            </w:pPr>
            <w:r w:rsidRPr="00802D9E">
              <w:t>"14.2. otrās atlases kārtas ietvaros plānotais finansējums ir ne mazāks kā 18 861 710 </w:t>
            </w:r>
            <w:proofErr w:type="spellStart"/>
            <w:r w:rsidRPr="00802D9E">
              <w:rPr>
                <w:i/>
              </w:rPr>
              <w:t>euro</w:t>
            </w:r>
            <w:proofErr w:type="spellEnd"/>
            <w:r w:rsidRPr="00802D9E">
              <w:t>, tai skaitā Eiropas Reģionālās attīstības fonda finansējums – 16 032 453 </w:t>
            </w:r>
            <w:proofErr w:type="spellStart"/>
            <w:r w:rsidRPr="00802D9E">
              <w:rPr>
                <w:i/>
              </w:rPr>
              <w:t>euro</w:t>
            </w:r>
            <w:proofErr w:type="spellEnd"/>
            <w:r w:rsidRPr="00802D9E">
              <w:t> un nacionālais finansējums – ne mazāks kā 2 829 257 </w:t>
            </w:r>
            <w:proofErr w:type="spellStart"/>
            <w:r w:rsidRPr="00802D9E">
              <w:rPr>
                <w:i/>
              </w:rPr>
              <w:t>euro</w:t>
            </w:r>
            <w:proofErr w:type="spellEnd"/>
            <w:r w:rsidRPr="00802D9E">
              <w:t>;</w:t>
            </w:r>
          </w:p>
          <w:p w14:paraId="716748AC" w14:textId="77777777" w:rsidR="007606B8" w:rsidRPr="00802D9E" w:rsidRDefault="007606B8" w:rsidP="0087190D">
            <w:pPr>
              <w:shd w:val="clear" w:color="auto" w:fill="FFFFFF"/>
              <w:ind w:firstLine="709"/>
              <w:jc w:val="both"/>
            </w:pPr>
            <w:r w:rsidRPr="00802D9E">
              <w:t>14.3. </w:t>
            </w:r>
            <w:r w:rsidRPr="00802D9E">
              <w:rPr>
                <w:shd w:val="clear" w:color="auto" w:fill="FFFFFF"/>
              </w:rPr>
              <w:t>trešās atlases kārtas ietvaros plānotais finansējums ir ne mazāks kā 37 732 537 </w:t>
            </w:r>
            <w:proofErr w:type="spellStart"/>
            <w:r w:rsidRPr="00802D9E">
              <w:rPr>
                <w:i/>
                <w:iCs/>
                <w:shd w:val="clear" w:color="auto" w:fill="FFFFFF"/>
              </w:rPr>
              <w:t>euro</w:t>
            </w:r>
            <w:proofErr w:type="spellEnd"/>
            <w:r w:rsidRPr="00802D9E">
              <w:rPr>
                <w:shd w:val="clear" w:color="auto" w:fill="FFFFFF"/>
              </w:rPr>
              <w:t>, tai skaitā Eiropas Reģionālās attīstības fonda finansējums – 32 072 656 </w:t>
            </w:r>
            <w:proofErr w:type="spellStart"/>
            <w:r w:rsidRPr="00802D9E">
              <w:rPr>
                <w:i/>
                <w:iCs/>
                <w:shd w:val="clear" w:color="auto" w:fill="FFFFFF"/>
              </w:rPr>
              <w:t>euro</w:t>
            </w:r>
            <w:proofErr w:type="spellEnd"/>
            <w:r w:rsidRPr="00802D9E">
              <w:rPr>
                <w:shd w:val="clear" w:color="auto" w:fill="FFFFFF"/>
              </w:rPr>
              <w:t> un nacionālais finansējums – ne mazāks kā 5 659 881 </w:t>
            </w:r>
            <w:proofErr w:type="spellStart"/>
            <w:r w:rsidRPr="00802D9E">
              <w:rPr>
                <w:i/>
                <w:iCs/>
                <w:shd w:val="clear" w:color="auto" w:fill="FFFFFF"/>
              </w:rPr>
              <w:t>euro</w:t>
            </w:r>
            <w:proofErr w:type="spellEnd"/>
            <w:r w:rsidRPr="00802D9E">
              <w:rPr>
                <w:shd w:val="clear" w:color="auto" w:fill="FFFFFF"/>
              </w:rPr>
              <w:t>.</w:t>
            </w:r>
            <w:r w:rsidRPr="00802D9E">
              <w:t>"</w:t>
            </w:r>
          </w:p>
          <w:p w14:paraId="6DD59615" w14:textId="21FD5D81" w:rsidR="007606B8" w:rsidRPr="00802D9E" w:rsidRDefault="007606B8" w:rsidP="002432C8">
            <w:pPr>
              <w:shd w:val="clear" w:color="auto" w:fill="FFFFFF"/>
              <w:ind w:left="-80" w:firstLine="426"/>
              <w:jc w:val="both"/>
            </w:pPr>
          </w:p>
          <w:p w14:paraId="2969919D" w14:textId="77777777" w:rsidR="007606B8" w:rsidRPr="00802D9E" w:rsidRDefault="007606B8" w:rsidP="002432C8">
            <w:pPr>
              <w:autoSpaceDE w:val="0"/>
              <w:autoSpaceDN w:val="0"/>
              <w:adjustRightInd w:val="0"/>
              <w:ind w:right="141"/>
              <w:jc w:val="both"/>
            </w:pPr>
          </w:p>
          <w:p w14:paraId="2E106CB2" w14:textId="0FD9AAA3" w:rsidR="007606B8" w:rsidRPr="00802D9E" w:rsidRDefault="007606B8" w:rsidP="002432C8">
            <w:pPr>
              <w:autoSpaceDE w:val="0"/>
              <w:autoSpaceDN w:val="0"/>
              <w:adjustRightInd w:val="0"/>
              <w:ind w:right="141"/>
              <w:jc w:val="both"/>
            </w:pPr>
          </w:p>
        </w:tc>
      </w:tr>
      <w:tr w:rsidR="007606B8" w:rsidRPr="00FD0708" w14:paraId="01601D15" w14:textId="77777777" w:rsidTr="007965FE">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56C4AE25" w14:textId="77777777" w:rsidR="007606B8" w:rsidRPr="00FD0708" w:rsidRDefault="007606B8" w:rsidP="002432C8">
            <w:pPr>
              <w:pStyle w:val="naisc"/>
              <w:numPr>
                <w:ilvl w:val="0"/>
                <w:numId w:val="2"/>
              </w:numPr>
              <w:spacing w:before="0" w:after="0"/>
              <w:rPr>
                <w:sz w:val="22"/>
                <w:szCs w:val="22"/>
              </w:rPr>
            </w:pPr>
          </w:p>
        </w:tc>
        <w:tc>
          <w:tcPr>
            <w:tcW w:w="1404" w:type="pct"/>
            <w:vMerge/>
            <w:tcBorders>
              <w:left w:val="single" w:sz="6" w:space="0" w:color="000000"/>
              <w:right w:val="single" w:sz="6" w:space="0" w:color="000000"/>
            </w:tcBorders>
            <w:shd w:val="clear" w:color="auto" w:fill="auto"/>
          </w:tcPr>
          <w:p w14:paraId="52599F07" w14:textId="77777777" w:rsidR="007606B8" w:rsidRPr="00FD0708" w:rsidRDefault="007606B8" w:rsidP="002432C8">
            <w:pPr>
              <w:tabs>
                <w:tab w:val="left" w:pos="1134"/>
              </w:tabs>
              <w:jc w:val="both"/>
            </w:pP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19AED39B" w14:textId="05299390" w:rsidR="007606B8" w:rsidRPr="00FD0708" w:rsidRDefault="007606B8" w:rsidP="00CF7899">
            <w:pPr>
              <w:spacing w:after="120"/>
              <w:jc w:val="both"/>
              <w:rPr>
                <w:b/>
              </w:rPr>
            </w:pPr>
            <w:r w:rsidRPr="00FD0708">
              <w:rPr>
                <w:b/>
                <w:lang w:eastAsia="en-US"/>
              </w:rPr>
              <w:t xml:space="preserve">Finanšu ministrija </w:t>
            </w:r>
            <w:r w:rsidRPr="00FD0708">
              <w:rPr>
                <w:b/>
              </w:rPr>
              <w:t>(</w:t>
            </w:r>
            <w:r>
              <w:rPr>
                <w:b/>
              </w:rPr>
              <w:t>27.02</w:t>
            </w:r>
            <w:r w:rsidRPr="00FD0708">
              <w:rPr>
                <w:b/>
              </w:rPr>
              <w:t>.2020. atzinums)</w:t>
            </w:r>
          </w:p>
          <w:p w14:paraId="5336A45C" w14:textId="4C28539B" w:rsidR="007606B8" w:rsidRPr="00CF7899" w:rsidRDefault="007606B8" w:rsidP="00CF7899">
            <w:pPr>
              <w:contextualSpacing/>
              <w:jc w:val="both"/>
            </w:pPr>
            <w:r w:rsidRPr="00B24778">
              <w:t>Lūdzam precizēt noteikumu projekta 1.punktā izteikto MK 2015.gada 13.oktobra noteikumu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(turpmāk – MK noteikumi Nr.593) 14.2.</w:t>
            </w:r>
            <w:r>
              <w:t>apakš</w:t>
            </w:r>
            <w:r w:rsidRPr="00B24778">
              <w:t xml:space="preserve">punktu, palielinot nacionālo finansējumu par 1 </w:t>
            </w:r>
            <w:proofErr w:type="spellStart"/>
            <w:r w:rsidRPr="00B24778">
              <w:rPr>
                <w:i/>
              </w:rPr>
              <w:t>euro</w:t>
            </w:r>
            <w:proofErr w:type="spellEnd"/>
            <w:r w:rsidRPr="00B24778">
              <w:t xml:space="preserve">, ņemot vērā, ka noteikumu projekta 14.3.punktā samazinātais nacionālais finansējums atšķiras par 1 </w:t>
            </w:r>
            <w:proofErr w:type="spellStart"/>
            <w:r w:rsidRPr="00B24778">
              <w:rPr>
                <w:i/>
              </w:rPr>
              <w:t>euro</w:t>
            </w:r>
            <w:proofErr w:type="spellEnd"/>
            <w:r w:rsidRPr="00B24778">
              <w:t xml:space="preserve">, kā arī nepieciešams nodrošināt, ka Eiropas Reģionālās attīstības fonda atbalsta līdzfinansējuma likme nepārsniedz MK noteikumos Nr.593 noteikto intensitāti. Lūdzam attiecīgi pārskatīt un noteikumu projektā precizēt arī kopējo finansējumu.  </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500A72FE" w14:textId="77777777" w:rsidR="007606B8" w:rsidRPr="00FD0708" w:rsidRDefault="007606B8" w:rsidP="00CF7899">
            <w:pPr>
              <w:spacing w:after="120"/>
              <w:jc w:val="both"/>
              <w:rPr>
                <w:b/>
                <w:lang w:eastAsia="en-US"/>
              </w:rPr>
            </w:pPr>
            <w:r w:rsidRPr="00FD0708">
              <w:rPr>
                <w:b/>
                <w:lang w:eastAsia="en-US"/>
              </w:rPr>
              <w:t>Ņemts vērā</w:t>
            </w:r>
          </w:p>
          <w:p w14:paraId="724C4EEF" w14:textId="77777777" w:rsidR="007606B8" w:rsidRPr="00FD0708" w:rsidRDefault="007606B8" w:rsidP="002432C8">
            <w:pPr>
              <w:spacing w:after="120"/>
              <w:jc w:val="both"/>
              <w:rPr>
                <w:b/>
                <w:lang w:eastAsia="en-US"/>
              </w:rPr>
            </w:pPr>
          </w:p>
        </w:tc>
        <w:tc>
          <w:tcPr>
            <w:tcW w:w="1141" w:type="pct"/>
            <w:vMerge/>
            <w:tcBorders>
              <w:left w:val="single" w:sz="4" w:space="0" w:color="auto"/>
            </w:tcBorders>
            <w:shd w:val="clear" w:color="auto" w:fill="auto"/>
          </w:tcPr>
          <w:p w14:paraId="747D2E24" w14:textId="77777777" w:rsidR="007606B8" w:rsidRPr="00FD0708" w:rsidRDefault="007606B8" w:rsidP="009143CA">
            <w:pPr>
              <w:tabs>
                <w:tab w:val="left" w:pos="1134"/>
              </w:tabs>
              <w:jc w:val="both"/>
            </w:pPr>
          </w:p>
        </w:tc>
      </w:tr>
      <w:tr w:rsidR="002432C8" w:rsidRPr="00FD0708" w14:paraId="6F3B005A" w14:textId="77777777" w:rsidTr="00480A3B">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48793076" w14:textId="0F34CC3C" w:rsidR="002432C8" w:rsidRPr="00FD0708" w:rsidRDefault="002432C8" w:rsidP="002432C8">
            <w:pPr>
              <w:pStyle w:val="naisc"/>
              <w:numPr>
                <w:ilvl w:val="0"/>
                <w:numId w:val="2"/>
              </w:numPr>
              <w:spacing w:before="0" w:after="0"/>
              <w:rPr>
                <w:sz w:val="22"/>
                <w:szCs w:val="22"/>
              </w:rPr>
            </w:pPr>
          </w:p>
        </w:tc>
        <w:tc>
          <w:tcPr>
            <w:tcW w:w="1404" w:type="pct"/>
            <w:vMerge w:val="restart"/>
            <w:tcBorders>
              <w:top w:val="single" w:sz="6" w:space="0" w:color="000000"/>
              <w:left w:val="single" w:sz="6" w:space="0" w:color="000000"/>
              <w:right w:val="single" w:sz="6" w:space="0" w:color="000000"/>
            </w:tcBorders>
            <w:shd w:val="clear" w:color="auto" w:fill="auto"/>
          </w:tcPr>
          <w:p w14:paraId="744C79C7" w14:textId="2D6BACBF" w:rsidR="002432C8" w:rsidRPr="00FD0708" w:rsidRDefault="002432C8" w:rsidP="002432C8">
            <w:pPr>
              <w:tabs>
                <w:tab w:val="left" w:pos="1134"/>
              </w:tabs>
              <w:jc w:val="both"/>
            </w:pPr>
            <w:r w:rsidRPr="00FD0708">
              <w:t>2. Papildināt noteikumus ar 14.</w:t>
            </w:r>
            <w:r w:rsidRPr="00FD0708">
              <w:rPr>
                <w:vertAlign w:val="superscript"/>
              </w:rPr>
              <w:t>1</w:t>
            </w:r>
            <w:r w:rsidRPr="00FD0708">
              <w:t> apakšpunktu šādā redakcijā:</w:t>
            </w:r>
          </w:p>
          <w:p w14:paraId="34E8BA3C" w14:textId="77777777" w:rsidR="002432C8" w:rsidRPr="00FD0708" w:rsidRDefault="002432C8" w:rsidP="002432C8">
            <w:pPr>
              <w:pStyle w:val="ListParagraph"/>
              <w:tabs>
                <w:tab w:val="left" w:pos="1134"/>
              </w:tabs>
              <w:spacing w:after="0" w:line="240" w:lineRule="auto"/>
              <w:ind w:left="709"/>
              <w:jc w:val="both"/>
              <w:rPr>
                <w:rFonts w:ascii="Times New Roman" w:hAnsi="Times New Roman"/>
                <w:sz w:val="24"/>
                <w:szCs w:val="24"/>
              </w:rPr>
            </w:pPr>
          </w:p>
          <w:p w14:paraId="5F3D5BD9" w14:textId="77777777" w:rsidR="002432C8" w:rsidRPr="00FD0708" w:rsidRDefault="002432C8" w:rsidP="002432C8">
            <w:pPr>
              <w:pStyle w:val="ListParagraph"/>
              <w:tabs>
                <w:tab w:val="left" w:pos="1134"/>
              </w:tabs>
              <w:spacing w:after="0" w:line="240" w:lineRule="auto"/>
              <w:ind w:left="0" w:firstLine="346"/>
              <w:jc w:val="both"/>
              <w:rPr>
                <w:rFonts w:ascii="Times New Roman" w:hAnsi="Times New Roman"/>
                <w:sz w:val="24"/>
                <w:szCs w:val="24"/>
                <w:shd w:val="clear" w:color="auto" w:fill="FFFFFF"/>
              </w:rPr>
            </w:pPr>
            <w:r w:rsidRPr="00FD0708">
              <w:rPr>
                <w:rFonts w:ascii="Times New Roman" w:hAnsi="Times New Roman"/>
                <w:sz w:val="24"/>
                <w:szCs w:val="24"/>
                <w:shd w:val="clear" w:color="auto" w:fill="FFFFFF"/>
              </w:rPr>
              <w:t>"14.</w:t>
            </w:r>
            <w:r w:rsidRPr="00FD0708">
              <w:rPr>
                <w:rFonts w:ascii="Times New Roman" w:hAnsi="Times New Roman"/>
                <w:sz w:val="24"/>
                <w:szCs w:val="24"/>
                <w:shd w:val="clear" w:color="auto" w:fill="FFFFFF"/>
                <w:vertAlign w:val="superscript"/>
              </w:rPr>
              <w:t>1</w:t>
            </w:r>
            <w:r w:rsidRPr="00FD0708">
              <w:rPr>
                <w:rFonts w:ascii="Times New Roman" w:hAnsi="Times New Roman"/>
                <w:sz w:val="24"/>
                <w:szCs w:val="24"/>
                <w:shd w:val="clear" w:color="auto" w:fill="FFFFFF"/>
              </w:rPr>
              <w:t xml:space="preserve"> Pēc 2020. gada 2. marta neizmantoto pirmās un otrās atlases kārtas finansējumu un finansējumu, kas </w:t>
            </w:r>
            <w:proofErr w:type="spellStart"/>
            <w:r w:rsidRPr="00FD0708">
              <w:rPr>
                <w:rFonts w:ascii="Times New Roman" w:hAnsi="Times New Roman"/>
                <w:sz w:val="24"/>
                <w:szCs w:val="24"/>
                <w:shd w:val="clear" w:color="auto" w:fill="FFFFFF"/>
              </w:rPr>
              <w:t>primajā</w:t>
            </w:r>
            <w:proofErr w:type="spellEnd"/>
            <w:r w:rsidRPr="00FD0708">
              <w:rPr>
                <w:rFonts w:ascii="Times New Roman" w:hAnsi="Times New Roman"/>
                <w:sz w:val="24"/>
                <w:szCs w:val="24"/>
                <w:shd w:val="clear" w:color="auto" w:fill="FFFFFF"/>
              </w:rPr>
              <w:t xml:space="preserve">, otrajā un trešajā atlases kārtā atbrīvojas </w:t>
            </w:r>
            <w:r w:rsidRPr="00FD0708">
              <w:rPr>
                <w:rFonts w:ascii="Times New Roman" w:hAnsi="Times New Roman"/>
                <w:sz w:val="24"/>
                <w:szCs w:val="24"/>
                <w:shd w:val="clear" w:color="auto" w:fill="FFFFFF"/>
              </w:rPr>
              <w:lastRenderedPageBreak/>
              <w:t xml:space="preserve">projektu īstenošanas rezultātā, novirza otrajai atlases kārtai ." </w:t>
            </w:r>
          </w:p>
          <w:p w14:paraId="6C44F0C3" w14:textId="295F7DE2" w:rsidR="002432C8" w:rsidRPr="00FD0708" w:rsidRDefault="002432C8" w:rsidP="002432C8">
            <w:pPr>
              <w:tabs>
                <w:tab w:val="left" w:pos="1134"/>
              </w:tabs>
              <w:jc w:val="both"/>
            </w:pP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18B19123" w14:textId="21AD8E9C" w:rsidR="002432C8" w:rsidRPr="00FD0708" w:rsidRDefault="002432C8" w:rsidP="002432C8">
            <w:pPr>
              <w:spacing w:after="120"/>
              <w:jc w:val="both"/>
              <w:rPr>
                <w:b/>
              </w:rPr>
            </w:pPr>
            <w:r w:rsidRPr="00FD0708">
              <w:rPr>
                <w:b/>
                <w:lang w:eastAsia="en-US"/>
              </w:rPr>
              <w:lastRenderedPageBreak/>
              <w:t xml:space="preserve">Finanšu ministrija </w:t>
            </w:r>
            <w:r w:rsidRPr="00FD0708">
              <w:rPr>
                <w:b/>
              </w:rPr>
              <w:t>(31.01.2020. atzinums)</w:t>
            </w:r>
          </w:p>
          <w:p w14:paraId="4CA41369" w14:textId="77777777" w:rsidR="002432C8" w:rsidRPr="00FD0708" w:rsidRDefault="002432C8" w:rsidP="002432C8">
            <w:pPr>
              <w:jc w:val="both"/>
            </w:pPr>
            <w:r w:rsidRPr="00FD0708">
              <w:t xml:space="preserve">Lūdzam pārskatīt noteikumu projekta 2.punkta redakciju, lai nepārprotami būtu skaidrs, ka otrajai atlases kārtai paredz novirzīt finansējumu, par kuru pirmajā un otrajā atlases kārtā līdz 2020.gada </w:t>
            </w:r>
            <w:r w:rsidRPr="00FD0708">
              <w:lastRenderedPageBreak/>
              <w:t>2.martam nav iesniegti projektu iesniegumi un finansējumu, kas pirmajā, otrajā un trešajā atlases kārtā atbrīvojas projektu īstenošanas rezultātā. Tāpat vēršam uzmanību, ka atbilstoši MK 2019.gada 11.oktobra lēmumam</w:t>
            </w:r>
            <w:r w:rsidRPr="00FD0708">
              <w:rPr>
                <w:vertAlign w:val="superscript"/>
              </w:rPr>
              <w:t>1</w:t>
            </w:r>
            <w:r w:rsidRPr="00FD0708">
              <w:t>, pēc minētā lēmuma spēkā stāšanās radušos neatbilstoši veikto izdevumu un lauzto vienošanās/līgumu atbrīvoto finansējumu atstāj neizmantotu un nepārdala citiem projektiem vai citām projektu darbībām, attiecīgi lūdzam izvērtēt nepieciešamību šo ierobežojumu atspoguļot arī noteikumu projekta 2.punkta redakcijā. Papildus vēršam uzmanību, ka tā kā projekta iesniegumus var iesniegt līdz 2020.gada 1.martam, atlasē vēl ir jāparedz projektu iesniegumu vērtēšana un lēmumu pieņemšana, un atbrīvot finansējumu ir iespējams tikai pēc lēmumu par projektu iesniegumu apstiprināšanu pieņemšanas.</w:t>
            </w:r>
          </w:p>
          <w:p w14:paraId="32257DC3" w14:textId="77777777" w:rsidR="002432C8" w:rsidRPr="00FD0708" w:rsidRDefault="002432C8" w:rsidP="002432C8">
            <w:pPr>
              <w:jc w:val="both"/>
            </w:pPr>
          </w:p>
          <w:p w14:paraId="2BD55723" w14:textId="24824DBE" w:rsidR="002432C8" w:rsidRPr="00FD0708" w:rsidRDefault="002432C8" w:rsidP="002432C8">
            <w:pPr>
              <w:jc w:val="both"/>
            </w:pPr>
            <w:r w:rsidRPr="00FD0708">
              <w:t xml:space="preserve">Vienlaikus lūdzam anotācijā skaidrot VARAM plānoto rīcību, kad atbilstoši noteikumu projekta 2.punktā paredzētajam pēc 2020.gada 1.marta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w:t>
            </w:r>
            <w:r w:rsidRPr="00FD0708">
              <w:lastRenderedPageBreak/>
              <w:t>noteikumi” (turpmāk – 3.3.1.SAM) ietvaros radušos atlikumu plānots novirzīts 3.3.1.SAM otrajai kārtai, ņemot vērā, ka MK 2019.gada 11.oktobra lēmumā</w:t>
            </w:r>
            <w:r w:rsidRPr="00FD0708">
              <w:rPr>
                <w:vertAlign w:val="superscript"/>
              </w:rPr>
              <w:footnoteReference w:id="3"/>
            </w:r>
            <w:r w:rsidRPr="00FD0708">
              <w:t xml:space="preserve"> noteiktais projektu iesniegumu iesniegšanas termiņš 2020.gada 1.marts attiecas arī uz 3.3.1.SAM otro kārtu.</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15A87A86" w14:textId="77777777" w:rsidR="002432C8" w:rsidRPr="00FD0708" w:rsidRDefault="002432C8" w:rsidP="002432C8">
            <w:pPr>
              <w:spacing w:after="120"/>
              <w:jc w:val="both"/>
              <w:rPr>
                <w:b/>
                <w:lang w:eastAsia="en-US"/>
              </w:rPr>
            </w:pPr>
            <w:r w:rsidRPr="00FD0708">
              <w:rPr>
                <w:b/>
                <w:lang w:eastAsia="en-US"/>
              </w:rPr>
              <w:lastRenderedPageBreak/>
              <w:t>Ņemts vērā</w:t>
            </w:r>
          </w:p>
          <w:p w14:paraId="3DCBFC97" w14:textId="77777777" w:rsidR="002432C8" w:rsidRPr="00FD0708" w:rsidRDefault="002432C8" w:rsidP="002432C8">
            <w:pPr>
              <w:spacing w:after="120"/>
              <w:jc w:val="both"/>
              <w:rPr>
                <w:lang w:eastAsia="en-US"/>
              </w:rPr>
            </w:pPr>
            <w:r w:rsidRPr="00FD0708">
              <w:rPr>
                <w:lang w:eastAsia="en-US"/>
              </w:rPr>
              <w:t xml:space="preserve">VARAM ir pārskatījis noteikuma projekta 2. punkta redakciju un uzskata, ka 2. punkta šī brīža redakcija nepārprotami paredz to, ka </w:t>
            </w:r>
            <w:r w:rsidRPr="00FD0708">
              <w:rPr>
                <w:lang w:eastAsia="en-US"/>
              </w:rPr>
              <w:lastRenderedPageBreak/>
              <w:t>otrajai atlases kārtai tiks novirzītes finansējums, par kuru pirmajā un otrajā atlases kārtā līdz 2020. gada 2. martam nav iesniegti projektu iesniegumi un finansējums, kas pirmajā, otrajā un trešajā atlases kārtā atbrīvojas projektu īstenošanas rezultātā.</w:t>
            </w:r>
          </w:p>
          <w:p w14:paraId="209D48E2" w14:textId="47690BC7" w:rsidR="002432C8" w:rsidRPr="00FD0708" w:rsidRDefault="002432C8" w:rsidP="002432C8">
            <w:pPr>
              <w:pStyle w:val="ListParagraph"/>
              <w:tabs>
                <w:tab w:val="left" w:pos="1134"/>
              </w:tabs>
              <w:spacing w:after="0" w:line="240" w:lineRule="auto"/>
              <w:ind w:left="0"/>
              <w:jc w:val="both"/>
              <w:rPr>
                <w:rFonts w:ascii="Times New Roman" w:hAnsi="Times New Roman"/>
                <w:sz w:val="24"/>
                <w:szCs w:val="24"/>
              </w:rPr>
            </w:pPr>
            <w:r w:rsidRPr="00FD0708">
              <w:rPr>
                <w:rFonts w:ascii="Times New Roman" w:hAnsi="Times New Roman"/>
                <w:sz w:val="24"/>
                <w:szCs w:val="24"/>
              </w:rPr>
              <w:t>Vienlaikus, VARAM noteikuma projektu ir papildinājusi ar jaunu punktu, kas atspoguļo MK 2019. gada 11. oktobra lēmumā</w:t>
            </w:r>
            <w:r w:rsidRPr="00FD0708">
              <w:rPr>
                <w:rFonts w:ascii="Times New Roman" w:hAnsi="Times New Roman"/>
                <w:sz w:val="24"/>
                <w:szCs w:val="24"/>
                <w:vertAlign w:val="superscript"/>
              </w:rPr>
              <w:footnoteReference w:id="4"/>
            </w:r>
            <w:r w:rsidRPr="00FD0708">
              <w:rPr>
                <w:rFonts w:ascii="Times New Roman" w:hAnsi="Times New Roman"/>
                <w:sz w:val="24"/>
                <w:szCs w:val="24"/>
              </w:rPr>
              <w:t xml:space="preserve"> iekļauto nosacījumu, kas paredz, ja 3.3.1. specifiskā  atbalsta mērķa ietvaros kādā projektā pēc 2019. gada 11. oktobra ir konstatēta neatbilstība vai tiek lauzta vienošanās par projekta īstenošanu, attiecīgais finansējums neatbilstoši veikto izdevumu apmērā vai atbilstoši summai, kas paredzēta vienošanās laušanas gadījumā, nevar tikt novirzīts jaunu projektu īstenošanai vai papildu </w:t>
            </w:r>
            <w:r w:rsidRPr="00FD0708">
              <w:rPr>
                <w:rFonts w:ascii="Times New Roman" w:hAnsi="Times New Roman"/>
                <w:sz w:val="24"/>
                <w:szCs w:val="24"/>
              </w:rPr>
              <w:lastRenderedPageBreak/>
              <w:t>darbību finansēšanai esošo projektu ietvaros.</w:t>
            </w:r>
          </w:p>
          <w:p w14:paraId="67379002" w14:textId="17FAE0A3" w:rsidR="002432C8" w:rsidRPr="00FD0708" w:rsidRDefault="002432C8" w:rsidP="002432C8">
            <w:pPr>
              <w:pStyle w:val="Default"/>
              <w:spacing w:after="120"/>
              <w:jc w:val="both"/>
            </w:pPr>
          </w:p>
          <w:p w14:paraId="6D027D4A" w14:textId="77777777" w:rsidR="002432C8" w:rsidRPr="00FD0708" w:rsidRDefault="00902A64" w:rsidP="00902A64">
            <w:pPr>
              <w:pStyle w:val="Default"/>
              <w:spacing w:after="120"/>
              <w:jc w:val="both"/>
              <w:rPr>
                <w:lang w:eastAsia="en-US"/>
              </w:rPr>
            </w:pPr>
            <w:r w:rsidRPr="00FD0708">
              <w:t>Vienlaikus skaidrojam, ka MK 2019.gada 11.oktobra lēmumā</w:t>
            </w:r>
            <w:r w:rsidRPr="00FD0708">
              <w:rPr>
                <w:vertAlign w:val="superscript"/>
              </w:rPr>
              <w:footnoteReference w:id="5"/>
            </w:r>
            <w:r w:rsidRPr="00FD0708">
              <w:t xml:space="preserve"> noteiktais projektu iesniegumu iesniegšanas termiņš 2020.gada 1.marts attiecas uz izsludinātajām (atvērtajām)  atlasēm. Proti, pēc finansējuma pārdales veikšanas uz 3.3.1.SAM otro kārtu tiks izsludināta jauna atlase,  kurai tiks noteikts konkrēts projektu iesniegumu iesniegšanas termiņš (daži mēneši), ņemot vērā gala termiņu vienošanās par projektu īstenošanu noslēgšanai – 2021.gada 1.jūnijs (</w:t>
            </w:r>
            <w:r w:rsidRPr="00FD0708">
              <w:rPr>
                <w:lang w:eastAsia="en-US"/>
              </w:rPr>
              <w:t>MK 2019. gada 11. oktobra lēmuma</w:t>
            </w:r>
            <w:r w:rsidRPr="00FD0708">
              <w:rPr>
                <w:rStyle w:val="FootnoteReference"/>
                <w:lang w:eastAsia="en-US"/>
              </w:rPr>
              <w:footnoteReference w:id="6"/>
            </w:r>
            <w:r w:rsidRPr="00FD0708">
              <w:rPr>
                <w:lang w:eastAsia="en-US"/>
              </w:rPr>
              <w:t xml:space="preserve"> 11.2. apakšpunkts).</w:t>
            </w:r>
          </w:p>
          <w:p w14:paraId="580BA30C" w14:textId="71737DBE" w:rsidR="007B2144" w:rsidRPr="00FD0708" w:rsidRDefault="007B2144" w:rsidP="007B2144">
            <w:pPr>
              <w:jc w:val="both"/>
              <w:rPr>
                <w:color w:val="000000"/>
              </w:rPr>
            </w:pPr>
            <w:r w:rsidRPr="00FD0708">
              <w:rPr>
                <w:color w:val="000000"/>
              </w:rPr>
              <w:t xml:space="preserve">Papildus skaidrojam, ka  VARAM sekos līdzi </w:t>
            </w:r>
            <w:r w:rsidRPr="00FD0708">
              <w:rPr>
                <w:color w:val="000000"/>
              </w:rPr>
              <w:lastRenderedPageBreak/>
              <w:t xml:space="preserve">ERAF atlikumiem, kas atbrīvosies pēc 2020. gada 2. marta un ierosinās lemt par atbrīvotā ERAF finansējuma novirzīšanu papildu projektu atbalstīšanai, kas </w:t>
            </w:r>
          </w:p>
          <w:p w14:paraId="517ADE06" w14:textId="43B3D7D4" w:rsidR="007B2144" w:rsidRPr="00FD0708" w:rsidRDefault="007B2144" w:rsidP="007B2144">
            <w:pPr>
              <w:pStyle w:val="Heading3"/>
              <w:spacing w:before="0" w:after="45"/>
              <w:jc w:val="both"/>
              <w:rPr>
                <w:rFonts w:ascii="Times New Roman" w:hAnsi="Times New Roman"/>
                <w:color w:val="000000"/>
              </w:rPr>
            </w:pPr>
            <w:r w:rsidRPr="00FD0708">
              <w:rPr>
                <w:rFonts w:ascii="Times New Roman" w:hAnsi="Times New Roman"/>
                <w:color w:val="000000"/>
              </w:rPr>
              <w:t>Reģionālās attīstības koordinācijas padomes</w:t>
            </w:r>
          </w:p>
          <w:p w14:paraId="327C9B94" w14:textId="21700852" w:rsidR="002A1E65" w:rsidRPr="00FD0708" w:rsidRDefault="007B2144" w:rsidP="007B2144">
            <w:pPr>
              <w:pStyle w:val="ListParagraph"/>
              <w:spacing w:after="120"/>
              <w:ind w:left="0"/>
              <w:contextualSpacing w:val="0"/>
              <w:jc w:val="both"/>
              <w:rPr>
                <w:rFonts w:ascii="Times New Roman" w:hAnsi="Times New Roman"/>
                <w:color w:val="000000"/>
                <w:sz w:val="24"/>
                <w:szCs w:val="24"/>
                <w:lang w:eastAsia="lv-LV"/>
              </w:rPr>
            </w:pPr>
            <w:r w:rsidRPr="00FD0708">
              <w:rPr>
                <w:rFonts w:ascii="Times New Roman" w:hAnsi="Times New Roman"/>
                <w:color w:val="000000"/>
                <w:sz w:val="24"/>
                <w:szCs w:val="24"/>
                <w:lang w:eastAsia="lv-LV"/>
              </w:rPr>
              <w:t xml:space="preserve">(turpmāk – RAKP) ietvaros apstiprinātajā prioritārajā projektu ideju sarakstā būs palikuši aiz svītras (ja RAKP pieņems lēmumu par projektu sarakstu, kas pārsniegs šobrīd pieejamo ERAF finansējumu 5 120 820 </w:t>
            </w:r>
            <w:proofErr w:type="spellStart"/>
            <w:r w:rsidRPr="00FD0708">
              <w:rPr>
                <w:rFonts w:ascii="Times New Roman" w:hAnsi="Times New Roman"/>
                <w:color w:val="000000"/>
                <w:sz w:val="24"/>
                <w:szCs w:val="24"/>
                <w:lang w:eastAsia="lv-LV"/>
              </w:rPr>
              <w:t>euro</w:t>
            </w:r>
            <w:proofErr w:type="spellEnd"/>
            <w:r w:rsidRPr="00FD0708">
              <w:rPr>
                <w:rFonts w:ascii="Times New Roman" w:hAnsi="Times New Roman"/>
                <w:color w:val="000000"/>
                <w:sz w:val="24"/>
                <w:szCs w:val="24"/>
                <w:lang w:eastAsia="lv-LV"/>
              </w:rPr>
              <w:t xml:space="preserve">). Lai atbalstītu projektus, kas prioritārajā projektu ideju sarakstā būs palikuši aiz svītras, tiks ierosināti grozījumi Ministru kabineta 2016. gada 1. jūnija rīkojumā Nr. 310 "Par 3.3.1. specifiskā atbalsta mērķa "Palielināt privāto investīciju apjomu reģionos, veicot ieguldījumus uzņēmējdarbības attīstībai atbilstoši pašvaldību attīstības programmās </w:t>
            </w:r>
            <w:r w:rsidRPr="00FD0708">
              <w:rPr>
                <w:rFonts w:ascii="Times New Roman" w:hAnsi="Times New Roman"/>
                <w:color w:val="000000"/>
                <w:sz w:val="24"/>
                <w:szCs w:val="24"/>
                <w:lang w:eastAsia="lv-LV"/>
              </w:rPr>
              <w:lastRenderedPageBreak/>
              <w:t xml:space="preserve">noteiktajai teritoriju ekonomiskajai specializācijai un balstoties uz vietējo uzņēmēju vajadzībām" un 5.6.2. specifiskā atbalsta mērķa "Teritoriju </w:t>
            </w:r>
            <w:proofErr w:type="spellStart"/>
            <w:r w:rsidRPr="00FD0708">
              <w:rPr>
                <w:rFonts w:ascii="Times New Roman" w:hAnsi="Times New Roman"/>
                <w:color w:val="000000"/>
                <w:sz w:val="24"/>
                <w:szCs w:val="24"/>
                <w:lang w:eastAsia="lv-LV"/>
              </w:rPr>
              <w:t>revitalizācija</w:t>
            </w:r>
            <w:proofErr w:type="spellEnd"/>
            <w:r w:rsidRPr="00FD0708">
              <w:rPr>
                <w:rFonts w:ascii="Times New Roman" w:hAnsi="Times New Roman"/>
                <w:color w:val="000000"/>
                <w:sz w:val="24"/>
                <w:szCs w:val="24"/>
                <w:lang w:eastAsia="lv-LV"/>
              </w:rPr>
              <w:t xml:space="preserve">, reģenerējot degradētās teritorijas atbilstoši pašvaldību integrētajām attīstības programmām" plānoto finansējuma apmēru un iznākuma rādītājiem otrajai projektu iesniegumu atlases kārtai" un iesniegti apstiprināšanai Ministru kabinetā. </w:t>
            </w:r>
          </w:p>
        </w:tc>
        <w:tc>
          <w:tcPr>
            <w:tcW w:w="1141" w:type="pct"/>
            <w:vMerge w:val="restart"/>
            <w:tcBorders>
              <w:top w:val="single" w:sz="4" w:space="0" w:color="auto"/>
              <w:left w:val="single" w:sz="4" w:space="0" w:color="auto"/>
            </w:tcBorders>
            <w:shd w:val="clear" w:color="auto" w:fill="auto"/>
          </w:tcPr>
          <w:p w14:paraId="054A79A1" w14:textId="05CE0B85" w:rsidR="009143CA" w:rsidRPr="00802D9E" w:rsidRDefault="009143CA" w:rsidP="009143CA">
            <w:pPr>
              <w:tabs>
                <w:tab w:val="left" w:pos="1134"/>
              </w:tabs>
              <w:jc w:val="both"/>
            </w:pPr>
            <w:r w:rsidRPr="00802D9E">
              <w:lastRenderedPageBreak/>
              <w:t>2. Papildināt noteikumus ar 14.</w:t>
            </w:r>
            <w:r w:rsidRPr="00802D9E">
              <w:rPr>
                <w:vertAlign w:val="superscript"/>
              </w:rPr>
              <w:t>1</w:t>
            </w:r>
            <w:r w:rsidRPr="00802D9E">
              <w:t> un 14.</w:t>
            </w:r>
            <w:r w:rsidRPr="00802D9E">
              <w:rPr>
                <w:vertAlign w:val="superscript"/>
              </w:rPr>
              <w:t>2</w:t>
            </w:r>
            <w:r w:rsidR="00E102C1" w:rsidRPr="00802D9E">
              <w:t> </w:t>
            </w:r>
            <w:r w:rsidRPr="00802D9E">
              <w:t>punktu šādā redakcijā:</w:t>
            </w:r>
          </w:p>
          <w:p w14:paraId="1528D029" w14:textId="77777777" w:rsidR="009143CA" w:rsidRPr="00802D9E" w:rsidRDefault="009143CA" w:rsidP="009143CA">
            <w:pPr>
              <w:pStyle w:val="ListParagraph"/>
              <w:tabs>
                <w:tab w:val="left" w:pos="1134"/>
              </w:tabs>
              <w:spacing w:after="0" w:line="240" w:lineRule="auto"/>
              <w:ind w:left="709"/>
              <w:jc w:val="both"/>
              <w:rPr>
                <w:rFonts w:ascii="Times New Roman" w:hAnsi="Times New Roman"/>
                <w:sz w:val="24"/>
                <w:szCs w:val="24"/>
              </w:rPr>
            </w:pPr>
          </w:p>
          <w:p w14:paraId="59C670FC" w14:textId="77777777" w:rsidR="009143CA" w:rsidRPr="00802D9E" w:rsidRDefault="009143CA" w:rsidP="009143CA">
            <w:pPr>
              <w:pStyle w:val="ListParagraph"/>
              <w:tabs>
                <w:tab w:val="left" w:pos="1134"/>
              </w:tabs>
              <w:spacing w:after="0" w:line="240" w:lineRule="auto"/>
              <w:ind w:left="0" w:firstLine="709"/>
              <w:jc w:val="both"/>
              <w:rPr>
                <w:rFonts w:ascii="Times New Roman" w:hAnsi="Times New Roman"/>
                <w:sz w:val="24"/>
                <w:szCs w:val="24"/>
                <w:shd w:val="clear" w:color="auto" w:fill="FFFFFF"/>
              </w:rPr>
            </w:pPr>
            <w:r w:rsidRPr="00802D9E">
              <w:rPr>
                <w:rFonts w:ascii="Times New Roman" w:hAnsi="Times New Roman"/>
                <w:sz w:val="24"/>
                <w:szCs w:val="24"/>
                <w:shd w:val="clear" w:color="auto" w:fill="FFFFFF"/>
              </w:rPr>
              <w:t>"14.</w:t>
            </w:r>
            <w:r w:rsidRPr="00802D9E">
              <w:rPr>
                <w:rFonts w:ascii="Times New Roman" w:hAnsi="Times New Roman"/>
                <w:sz w:val="24"/>
                <w:szCs w:val="24"/>
                <w:shd w:val="clear" w:color="auto" w:fill="FFFFFF"/>
                <w:vertAlign w:val="superscript"/>
              </w:rPr>
              <w:t>1</w:t>
            </w:r>
            <w:r w:rsidRPr="00802D9E">
              <w:rPr>
                <w:rFonts w:ascii="Times New Roman" w:hAnsi="Times New Roman"/>
                <w:sz w:val="24"/>
                <w:szCs w:val="24"/>
                <w:shd w:val="clear" w:color="auto" w:fill="FFFFFF"/>
              </w:rPr>
              <w:t xml:space="preserve"> Pēc 2020. gada 2. marta neizmantoto pirmās un otrās atlases kārtas finansējumu un finansējumu, kas pirmajā, otrajā un </w:t>
            </w:r>
            <w:r w:rsidRPr="00802D9E">
              <w:rPr>
                <w:rFonts w:ascii="Times New Roman" w:hAnsi="Times New Roman"/>
                <w:sz w:val="24"/>
                <w:szCs w:val="24"/>
                <w:shd w:val="clear" w:color="auto" w:fill="FFFFFF"/>
              </w:rPr>
              <w:lastRenderedPageBreak/>
              <w:t xml:space="preserve">trešajā atlases kārtā atbrīvojas projektu īstenošanas rezultātā, novirza otrajai atlases kārtai. </w:t>
            </w:r>
          </w:p>
          <w:p w14:paraId="2CE96750" w14:textId="77777777" w:rsidR="009143CA" w:rsidRPr="00802D9E" w:rsidRDefault="009143CA" w:rsidP="009143CA">
            <w:pPr>
              <w:tabs>
                <w:tab w:val="left" w:pos="1134"/>
              </w:tabs>
              <w:jc w:val="both"/>
            </w:pPr>
          </w:p>
          <w:p w14:paraId="112D33E5" w14:textId="77777777" w:rsidR="009143CA" w:rsidRPr="00802D9E" w:rsidRDefault="009143CA" w:rsidP="009143CA">
            <w:pPr>
              <w:pStyle w:val="ListParagraph"/>
              <w:tabs>
                <w:tab w:val="left" w:pos="1134"/>
              </w:tabs>
              <w:spacing w:after="0"/>
              <w:ind w:left="0" w:firstLine="709"/>
              <w:jc w:val="both"/>
              <w:rPr>
                <w:i/>
                <w:iCs/>
                <w:color w:val="2F5496"/>
              </w:rPr>
            </w:pPr>
            <w:r w:rsidRPr="00802D9E">
              <w:rPr>
                <w:rFonts w:ascii="Times New Roman" w:hAnsi="Times New Roman"/>
                <w:sz w:val="24"/>
                <w:szCs w:val="24"/>
              </w:rPr>
              <w:t>"14.</w:t>
            </w:r>
            <w:r w:rsidRPr="00802D9E">
              <w:rPr>
                <w:rFonts w:ascii="Times New Roman" w:hAnsi="Times New Roman"/>
                <w:sz w:val="24"/>
                <w:szCs w:val="24"/>
                <w:vertAlign w:val="superscript"/>
              </w:rPr>
              <w:t>2</w:t>
            </w:r>
            <w:r w:rsidRPr="00802D9E">
              <w:rPr>
                <w:rFonts w:ascii="Times New Roman" w:hAnsi="Times New Roman"/>
                <w:sz w:val="24"/>
                <w:szCs w:val="24"/>
              </w:rPr>
              <w:t> </w:t>
            </w:r>
            <w:r w:rsidRPr="00802D9E">
              <w:rPr>
                <w:rFonts w:ascii="Times New Roman" w:hAnsi="Times New Roman"/>
                <w:bCs/>
                <w:sz w:val="24"/>
                <w:szCs w:val="24"/>
                <w:shd w:val="clear" w:color="auto" w:fill="FFFFFF"/>
              </w:rPr>
              <w:t>Neatbilstoši veiktos izdevumus un izbeigto vienošanās par projekta īstenošanu rezultātā atbrīvoto finansējumu, kas radies pēc 2019. gada 11. oktobra, jauniem projektiem vai citu projektu darbībām nepārdala."</w:t>
            </w:r>
          </w:p>
          <w:p w14:paraId="716949A4" w14:textId="77777777" w:rsidR="002432C8" w:rsidRPr="00802D9E" w:rsidRDefault="002432C8" w:rsidP="002432C8">
            <w:pPr>
              <w:autoSpaceDE w:val="0"/>
              <w:autoSpaceDN w:val="0"/>
              <w:ind w:left="137" w:right="62"/>
              <w:jc w:val="both"/>
              <w:rPr>
                <w:sz w:val="22"/>
                <w:szCs w:val="22"/>
              </w:rPr>
            </w:pPr>
          </w:p>
        </w:tc>
      </w:tr>
      <w:tr w:rsidR="002432C8" w:rsidRPr="00FD0708" w14:paraId="244A91F8" w14:textId="77777777" w:rsidTr="00E013CB">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5CF7486F" w14:textId="77777777" w:rsidR="002432C8" w:rsidRPr="00FD0708" w:rsidRDefault="002432C8" w:rsidP="002432C8">
            <w:pPr>
              <w:pStyle w:val="naisc"/>
              <w:numPr>
                <w:ilvl w:val="0"/>
                <w:numId w:val="2"/>
              </w:numPr>
              <w:spacing w:before="0" w:after="0"/>
              <w:rPr>
                <w:sz w:val="22"/>
                <w:szCs w:val="22"/>
              </w:rPr>
            </w:pPr>
          </w:p>
        </w:tc>
        <w:tc>
          <w:tcPr>
            <w:tcW w:w="1404" w:type="pct"/>
            <w:vMerge/>
            <w:tcBorders>
              <w:left w:val="single" w:sz="6" w:space="0" w:color="000000"/>
              <w:bottom w:val="single" w:sz="6" w:space="0" w:color="000000"/>
              <w:right w:val="single" w:sz="6" w:space="0" w:color="000000"/>
            </w:tcBorders>
            <w:shd w:val="clear" w:color="auto" w:fill="auto"/>
          </w:tcPr>
          <w:p w14:paraId="15A2C3A3" w14:textId="387DB8E4" w:rsidR="002432C8" w:rsidRPr="00FD0708" w:rsidRDefault="002432C8" w:rsidP="002432C8">
            <w:pPr>
              <w:tabs>
                <w:tab w:val="left" w:pos="1134"/>
              </w:tabs>
              <w:jc w:val="both"/>
            </w:pP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24821E2B" w14:textId="75619114" w:rsidR="002432C8" w:rsidRPr="00FD0708" w:rsidRDefault="002432C8" w:rsidP="002432C8">
            <w:pPr>
              <w:spacing w:after="120"/>
              <w:jc w:val="both"/>
              <w:rPr>
                <w:b/>
              </w:rPr>
            </w:pPr>
            <w:r w:rsidRPr="00FD0708">
              <w:rPr>
                <w:b/>
              </w:rPr>
              <w:t>Latvijas Lielo pilsētu asociācija (31.01.2020. atzinums)</w:t>
            </w:r>
          </w:p>
          <w:p w14:paraId="3EB62FBE" w14:textId="77777777" w:rsidR="002432C8" w:rsidRPr="00FD0708" w:rsidRDefault="002432C8" w:rsidP="002432C8">
            <w:pPr>
              <w:pStyle w:val="CommentText"/>
              <w:jc w:val="both"/>
              <w:rPr>
                <w:sz w:val="24"/>
                <w:szCs w:val="24"/>
                <w:shd w:val="clear" w:color="auto" w:fill="FFFFFF"/>
              </w:rPr>
            </w:pPr>
            <w:r w:rsidRPr="00FD0708">
              <w:rPr>
                <w:sz w:val="24"/>
                <w:szCs w:val="24"/>
              </w:rPr>
              <w:t xml:space="preserve">Lūdzam sniegt skaidrojumu, kāpēc </w:t>
            </w:r>
            <w:r w:rsidRPr="00FD0708">
              <w:rPr>
                <w:sz w:val="24"/>
                <w:szCs w:val="24"/>
                <w:shd w:val="clear" w:color="auto" w:fill="FFFFFF"/>
              </w:rPr>
              <w:t>pirmās un otrās atlases kārtas neizmantotais finansējums un finansējums, kas pirmajā, otrajā un trešajā atlases kārtā atbrīvojas projektu īstenošanas rezultātā, tiek novirzīts tikai otrajai atlases kārtai.</w:t>
            </w:r>
          </w:p>
          <w:p w14:paraId="6E52572D" w14:textId="77777777" w:rsidR="002432C8" w:rsidRPr="00FD0708" w:rsidRDefault="002432C8" w:rsidP="002432C8">
            <w:pPr>
              <w:pStyle w:val="CommentText"/>
              <w:jc w:val="both"/>
              <w:rPr>
                <w:sz w:val="24"/>
                <w:szCs w:val="24"/>
              </w:rPr>
            </w:pPr>
            <w:r w:rsidRPr="00FD0708">
              <w:rPr>
                <w:sz w:val="24"/>
                <w:szCs w:val="24"/>
              </w:rPr>
              <w:t xml:space="preserve">Lūdzam noteikumos paredzēt, ka tiek saglabāts pirmās atlases kārtai sākotnēji paredzētais ERAF finansējums, t.i. pirmās atlases kārtas ietvaros neizmantotais finansējums un šīs pašas kārtas ietvaros </w:t>
            </w:r>
            <w:r w:rsidRPr="00FD0708">
              <w:rPr>
                <w:sz w:val="24"/>
                <w:szCs w:val="24"/>
              </w:rPr>
              <w:lastRenderedPageBreak/>
              <w:t xml:space="preserve">atbrīvotais finansējums tiek novirzīts pirmajai atlases kārtai. </w:t>
            </w:r>
          </w:p>
          <w:p w14:paraId="67E73A4E" w14:textId="77777777" w:rsidR="002432C8" w:rsidRPr="00FD0708" w:rsidRDefault="002432C8" w:rsidP="002432C8">
            <w:pPr>
              <w:pStyle w:val="CommentText"/>
              <w:jc w:val="both"/>
              <w:rPr>
                <w:sz w:val="24"/>
                <w:szCs w:val="24"/>
                <w:shd w:val="clear" w:color="auto" w:fill="FFFFFF"/>
              </w:rPr>
            </w:pPr>
          </w:p>
          <w:p w14:paraId="2CB49DFA" w14:textId="77777777" w:rsidR="002432C8" w:rsidRPr="00FD0708" w:rsidRDefault="002432C8" w:rsidP="002432C8">
            <w:pPr>
              <w:pStyle w:val="CommentText"/>
              <w:jc w:val="both"/>
              <w:rPr>
                <w:sz w:val="24"/>
                <w:szCs w:val="24"/>
                <w:shd w:val="clear" w:color="auto" w:fill="FFFFFF"/>
              </w:rPr>
            </w:pPr>
            <w:r w:rsidRPr="00FD0708">
              <w:rPr>
                <w:sz w:val="24"/>
                <w:szCs w:val="24"/>
                <w:shd w:val="clear" w:color="auto" w:fill="FFFFFF"/>
              </w:rPr>
              <w:t>Ierosinām izteikt punktu šādā redakcijā:</w:t>
            </w:r>
          </w:p>
          <w:p w14:paraId="2037FA9D" w14:textId="3DD21B4B" w:rsidR="002432C8" w:rsidRPr="00FD0708" w:rsidRDefault="002432C8" w:rsidP="002432C8">
            <w:pPr>
              <w:pStyle w:val="ListParagraph"/>
              <w:tabs>
                <w:tab w:val="left" w:pos="1134"/>
              </w:tabs>
              <w:ind w:left="0"/>
              <w:jc w:val="both"/>
              <w:rPr>
                <w:rFonts w:ascii="Times New Roman" w:hAnsi="Times New Roman"/>
                <w:i/>
                <w:sz w:val="24"/>
                <w:szCs w:val="24"/>
                <w:shd w:val="clear" w:color="auto" w:fill="FFFFFF"/>
              </w:rPr>
            </w:pPr>
            <w:r w:rsidRPr="00FD0708">
              <w:rPr>
                <w:rFonts w:ascii="Times New Roman" w:hAnsi="Times New Roman"/>
                <w:i/>
                <w:sz w:val="24"/>
                <w:szCs w:val="24"/>
                <w:shd w:val="clear" w:color="auto" w:fill="FFFFFF"/>
              </w:rPr>
              <w:t>“14.</w:t>
            </w:r>
            <w:r w:rsidRPr="00FD0708">
              <w:rPr>
                <w:rFonts w:ascii="Times New Roman" w:hAnsi="Times New Roman"/>
                <w:i/>
                <w:sz w:val="24"/>
                <w:szCs w:val="24"/>
                <w:shd w:val="clear" w:color="auto" w:fill="FFFFFF"/>
                <w:vertAlign w:val="superscript"/>
              </w:rPr>
              <w:t>1</w:t>
            </w:r>
            <w:r w:rsidRPr="00FD0708">
              <w:rPr>
                <w:rFonts w:ascii="Times New Roman" w:hAnsi="Times New Roman"/>
                <w:i/>
                <w:sz w:val="24"/>
                <w:szCs w:val="24"/>
                <w:shd w:val="clear" w:color="auto" w:fill="FFFFFF"/>
              </w:rPr>
              <w:t xml:space="preserve"> Pēc 2020. gada 2. marta neizmantoto pirmās un otrās atlases kārtas finansējumu un finansējumu, kas pirmajā, otrajā un trešajā atlases kārtā atbrīvojas projektu īstenošanas rezultātā, novirza </w:t>
            </w:r>
            <w:r w:rsidRPr="00FD0708">
              <w:rPr>
                <w:rFonts w:ascii="Times New Roman" w:hAnsi="Times New Roman"/>
                <w:b/>
                <w:i/>
                <w:sz w:val="24"/>
                <w:szCs w:val="24"/>
                <w:u w:val="single"/>
                <w:shd w:val="clear" w:color="auto" w:fill="FFFFFF"/>
              </w:rPr>
              <w:t>attiecīgi pirmajai un</w:t>
            </w:r>
            <w:r w:rsidRPr="00FD0708">
              <w:rPr>
                <w:rFonts w:ascii="Times New Roman" w:hAnsi="Times New Roman"/>
                <w:b/>
                <w:i/>
                <w:sz w:val="24"/>
                <w:szCs w:val="24"/>
                <w:shd w:val="clear" w:color="auto" w:fill="FFFFFF"/>
              </w:rPr>
              <w:t xml:space="preserve"> </w:t>
            </w:r>
            <w:r w:rsidRPr="00FD0708">
              <w:rPr>
                <w:rFonts w:ascii="Times New Roman" w:hAnsi="Times New Roman"/>
                <w:i/>
                <w:sz w:val="24"/>
                <w:szCs w:val="24"/>
                <w:shd w:val="clear" w:color="auto" w:fill="FFFFFF"/>
              </w:rPr>
              <w:t xml:space="preserve">otrajai atlases kārtai .” </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1CCB1A45" w14:textId="4C891562" w:rsidR="002432C8" w:rsidRPr="00FD0708" w:rsidRDefault="00802D9E" w:rsidP="002432C8">
            <w:pPr>
              <w:spacing w:after="120"/>
              <w:jc w:val="both"/>
              <w:rPr>
                <w:b/>
                <w:lang w:eastAsia="en-US"/>
              </w:rPr>
            </w:pPr>
            <w:r>
              <w:rPr>
                <w:b/>
                <w:lang w:eastAsia="en-US"/>
              </w:rPr>
              <w:lastRenderedPageBreak/>
              <w:t>Panākta vienošanās noteikumu projekta skaņošanas laikā</w:t>
            </w:r>
          </w:p>
          <w:p w14:paraId="1BFB334D" w14:textId="54D98A38" w:rsidR="00902A64" w:rsidRPr="00FD0708" w:rsidRDefault="002432C8" w:rsidP="002432C8">
            <w:pPr>
              <w:spacing w:after="120"/>
              <w:jc w:val="both"/>
              <w:rPr>
                <w:lang w:eastAsia="en-US"/>
              </w:rPr>
            </w:pPr>
            <w:r w:rsidRPr="00FD0708">
              <w:rPr>
                <w:lang w:eastAsia="en-US"/>
              </w:rPr>
              <w:t>Skaidroj</w:t>
            </w:r>
            <w:r w:rsidR="00902A64" w:rsidRPr="00FD0708">
              <w:rPr>
                <w:lang w:eastAsia="en-US"/>
              </w:rPr>
              <w:t>ums norādīts anotācijas 2.sadaļā</w:t>
            </w:r>
            <w:r w:rsidR="000C6A78" w:rsidRPr="00FD0708">
              <w:rPr>
                <w:lang w:eastAsia="en-US"/>
              </w:rPr>
              <w:t>, piemēram, t</w:t>
            </w:r>
            <w:r w:rsidR="000C6A78" w:rsidRPr="00FD0708">
              <w:rPr>
                <w:iCs/>
              </w:rPr>
              <w:t xml:space="preserve">ā kā reģionālas nozīmes attīstības centru pašvaldību grupai 3.3.1. SAM ietvaros sākotnēji tika noteikts vismazākais ERAF finansējums (10 911 633 </w:t>
            </w:r>
            <w:proofErr w:type="spellStart"/>
            <w:r w:rsidR="000C6A78" w:rsidRPr="00FD0708">
              <w:rPr>
                <w:i/>
              </w:rPr>
              <w:t>euro</w:t>
            </w:r>
            <w:proofErr w:type="spellEnd"/>
            <w:r w:rsidR="000C6A78" w:rsidRPr="00FD0708">
              <w:rPr>
                <w:iCs/>
              </w:rPr>
              <w:t xml:space="preserve">), salīdzinot ar citām pašvaldību grupām (nacionālas nozīmes </w:t>
            </w:r>
            <w:r w:rsidR="000C6A78" w:rsidRPr="00FD0708">
              <w:rPr>
                <w:iCs/>
              </w:rPr>
              <w:lastRenderedPageBreak/>
              <w:t xml:space="preserve">attīstības centriem – 16 114 183 </w:t>
            </w:r>
            <w:proofErr w:type="spellStart"/>
            <w:r w:rsidR="000C6A78" w:rsidRPr="00FD0708">
              <w:rPr>
                <w:i/>
              </w:rPr>
              <w:t>euro</w:t>
            </w:r>
            <w:proofErr w:type="spellEnd"/>
            <w:r w:rsidR="000C6A78" w:rsidRPr="00FD0708">
              <w:rPr>
                <w:i/>
              </w:rPr>
              <w:t xml:space="preserve">, </w:t>
            </w:r>
            <w:r w:rsidR="000C6A78" w:rsidRPr="00FD0708">
              <w:rPr>
                <w:iCs/>
              </w:rPr>
              <w:t xml:space="preserve">t. sk. </w:t>
            </w:r>
            <w:proofErr w:type="spellStart"/>
            <w:r w:rsidR="000C6A78" w:rsidRPr="00FD0708">
              <w:rPr>
                <w:iCs/>
              </w:rPr>
              <w:t>virssaistību</w:t>
            </w:r>
            <w:proofErr w:type="spellEnd"/>
            <w:r w:rsidR="000C6A78" w:rsidRPr="00FD0708">
              <w:rPr>
                <w:iCs/>
              </w:rPr>
              <w:t xml:space="preserve"> finansējums, un 89 novadu grupai – 37 193 476 </w:t>
            </w:r>
            <w:proofErr w:type="spellStart"/>
            <w:r w:rsidR="000C6A78" w:rsidRPr="00FD0708">
              <w:rPr>
                <w:i/>
              </w:rPr>
              <w:t>euro</w:t>
            </w:r>
            <w:proofErr w:type="spellEnd"/>
            <w:r w:rsidR="000C6A78" w:rsidRPr="00FD0708">
              <w:rPr>
                <w:i/>
              </w:rPr>
              <w:t>)</w:t>
            </w:r>
            <w:r w:rsidR="000C6A78" w:rsidRPr="00FD0708">
              <w:t xml:space="preserve">, tad šai grupai tiek dota priekšrocība. </w:t>
            </w:r>
          </w:p>
          <w:p w14:paraId="02747564" w14:textId="77777777" w:rsidR="002432C8" w:rsidRPr="00FD0708" w:rsidRDefault="00902A64" w:rsidP="002432C8">
            <w:pPr>
              <w:spacing w:after="120"/>
              <w:jc w:val="both"/>
              <w:rPr>
                <w:lang w:eastAsia="en-US"/>
              </w:rPr>
            </w:pPr>
            <w:r w:rsidRPr="00FD0708">
              <w:rPr>
                <w:lang w:eastAsia="en-US"/>
              </w:rPr>
              <w:t xml:space="preserve">Vienlaikus nepieciešams </w:t>
            </w:r>
            <w:r w:rsidR="002432C8" w:rsidRPr="00FD0708">
              <w:rPr>
                <w:lang w:eastAsia="en-US"/>
              </w:rPr>
              <w:t>izpildīts MK 2019. gada 11. oktobra lēmuma</w:t>
            </w:r>
            <w:r w:rsidR="002432C8" w:rsidRPr="00FD0708">
              <w:rPr>
                <w:rStyle w:val="FootnoteReference"/>
                <w:lang w:eastAsia="en-US"/>
              </w:rPr>
              <w:footnoteReference w:id="7"/>
            </w:r>
            <w:r w:rsidR="002432C8" w:rsidRPr="00FD0708">
              <w:rPr>
                <w:lang w:eastAsia="en-US"/>
              </w:rPr>
              <w:t xml:space="preserve"> 11.2. apakšpunkt</w:t>
            </w:r>
            <w:r w:rsidR="000C6A78" w:rsidRPr="00FD0708">
              <w:rPr>
                <w:lang w:eastAsia="en-US"/>
              </w:rPr>
              <w:t>u</w:t>
            </w:r>
            <w:r w:rsidR="002432C8" w:rsidRPr="00FD0708">
              <w:rPr>
                <w:lang w:eastAsia="en-US"/>
              </w:rPr>
              <w:t>, kas nosaka, ka 3.3.1. SAM projektu iesniegumu atlasēs jauni līgumi vai vienošanās par projektu īstenošanu tiek slēgti ne vēlāk kā līdz 2021. gada 1. jūnijam. Kopš 2016. gada, kad notiek aktīva projektu iesniegumu atlase, VARAM  ir secinājusi, ka projektu iesniegumu atlases process  Sadarbības iestādes ietvaros notiek īsākā laika periodā  nekā projektu iesniegumu atlases process republikas pilsētas pašvaldību integrētu teritoriālo investīciju projektu iesniegumu atlasē.</w:t>
            </w:r>
          </w:p>
          <w:p w14:paraId="1E962DEE" w14:textId="706EC9BB" w:rsidR="00E61D1A" w:rsidRPr="00FD0708" w:rsidRDefault="00E61D1A" w:rsidP="002432C8">
            <w:pPr>
              <w:spacing w:after="120"/>
              <w:jc w:val="both"/>
              <w:rPr>
                <w:lang w:eastAsia="en-US"/>
              </w:rPr>
            </w:pPr>
            <w:r w:rsidRPr="00FD0708">
              <w:rPr>
                <w:lang w:eastAsia="en-US"/>
              </w:rPr>
              <w:t xml:space="preserve">Vienlaikus norādām, ka nacionālo attīstības centru </w:t>
            </w:r>
            <w:r w:rsidRPr="00FD0708">
              <w:rPr>
                <w:lang w:eastAsia="en-US"/>
              </w:rPr>
              <w:lastRenderedPageBreak/>
              <w:t>grupai ir iespēja izmantot visu tai pieejamo ERAF finansējumu</w:t>
            </w:r>
            <w:r w:rsidR="00C23BE5" w:rsidRPr="00FD0708">
              <w:rPr>
                <w:lang w:eastAsia="en-US"/>
              </w:rPr>
              <w:t>, iesniedzot projektus līdz 2020</w:t>
            </w:r>
            <w:r w:rsidRPr="00FD0708">
              <w:rPr>
                <w:lang w:eastAsia="en-US"/>
              </w:rPr>
              <w:t>.</w:t>
            </w:r>
            <w:r w:rsidR="00C23BE5" w:rsidRPr="00FD0708">
              <w:rPr>
                <w:lang w:eastAsia="en-US"/>
              </w:rPr>
              <w:t> </w:t>
            </w:r>
            <w:r w:rsidRPr="00FD0708">
              <w:rPr>
                <w:lang w:eastAsia="en-US"/>
              </w:rPr>
              <w:t>gada 1.martam, proti,</w:t>
            </w:r>
            <w:r w:rsidR="00C23BE5" w:rsidRPr="00FD0708">
              <w:rPr>
                <w:lang w:eastAsia="en-US"/>
              </w:rPr>
              <w:t xml:space="preserve"> ja šī iespēja tiks izmantota, </w:t>
            </w:r>
            <w:r w:rsidRPr="00FD0708">
              <w:rPr>
                <w:lang w:eastAsia="en-US"/>
              </w:rPr>
              <w:t xml:space="preserve">potenciāli pārdalāmie finansējuma atlikumi neveidosies. Latvijai kopumā ir būtiski nodrošināt, ka ES fondu finansējums tiek efektīvi un racionāli izmantots, līdz ar to, nelielu atlikumu gadījumā ir būtiski rast iespēju atlikums apvienot, lai varētu atbalstīt projektus, kas radīs jaunas darba vietas un piesaistīs papildu privātās investīcijas. </w:t>
            </w:r>
          </w:p>
        </w:tc>
        <w:tc>
          <w:tcPr>
            <w:tcW w:w="1141" w:type="pct"/>
            <w:vMerge/>
            <w:tcBorders>
              <w:left w:val="single" w:sz="4" w:space="0" w:color="auto"/>
              <w:bottom w:val="single" w:sz="4" w:space="0" w:color="auto"/>
            </w:tcBorders>
            <w:shd w:val="clear" w:color="auto" w:fill="F2DBDB" w:themeFill="accent2" w:themeFillTint="33"/>
          </w:tcPr>
          <w:p w14:paraId="026CD596" w14:textId="77777777" w:rsidR="002432C8" w:rsidRPr="00FD0708" w:rsidRDefault="002432C8" w:rsidP="002432C8">
            <w:pPr>
              <w:autoSpaceDE w:val="0"/>
              <w:autoSpaceDN w:val="0"/>
              <w:ind w:left="137" w:right="62"/>
              <w:jc w:val="both"/>
            </w:pPr>
          </w:p>
        </w:tc>
      </w:tr>
      <w:tr w:rsidR="002432C8" w:rsidRPr="00FD0708" w14:paraId="7DE2C56B" w14:textId="77777777" w:rsidTr="00C93B46">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020773D7" w14:textId="77777777" w:rsidR="002432C8" w:rsidRPr="00FD0708" w:rsidRDefault="002432C8" w:rsidP="002432C8">
            <w:pPr>
              <w:pStyle w:val="naisc"/>
              <w:numPr>
                <w:ilvl w:val="0"/>
                <w:numId w:val="2"/>
              </w:numPr>
              <w:spacing w:before="0" w:after="0"/>
              <w:rPr>
                <w:sz w:val="22"/>
                <w:szCs w:val="22"/>
              </w:rPr>
            </w:pPr>
          </w:p>
        </w:tc>
        <w:tc>
          <w:tcPr>
            <w:tcW w:w="1404" w:type="pct"/>
            <w:tcBorders>
              <w:top w:val="single" w:sz="6" w:space="0" w:color="000000"/>
              <w:left w:val="single" w:sz="6" w:space="0" w:color="000000"/>
              <w:bottom w:val="single" w:sz="6" w:space="0" w:color="000000"/>
              <w:right w:val="single" w:sz="6" w:space="0" w:color="000000"/>
            </w:tcBorders>
            <w:shd w:val="clear" w:color="auto" w:fill="auto"/>
          </w:tcPr>
          <w:p w14:paraId="3215000D" w14:textId="510F7CC3" w:rsidR="002432C8" w:rsidRPr="00FD0708" w:rsidRDefault="002432C8" w:rsidP="002432C8">
            <w:pPr>
              <w:tabs>
                <w:tab w:val="left" w:pos="1134"/>
              </w:tabs>
              <w:jc w:val="both"/>
              <w:rPr>
                <w:bCs/>
                <w:shd w:val="clear" w:color="auto" w:fill="FFFFFF"/>
              </w:rPr>
            </w:pPr>
            <w:r w:rsidRPr="00FD0708">
              <w:rPr>
                <w:bCs/>
                <w:shd w:val="clear" w:color="auto" w:fill="FFFFFF"/>
              </w:rPr>
              <w:t>3. Izteikt 44.3. apakšpunktu šādā redakcijā:</w:t>
            </w:r>
          </w:p>
          <w:p w14:paraId="5A852729" w14:textId="77777777" w:rsidR="002432C8" w:rsidRPr="00FD0708" w:rsidRDefault="002432C8" w:rsidP="002432C8">
            <w:pPr>
              <w:pStyle w:val="tv213"/>
              <w:shd w:val="clear" w:color="auto" w:fill="FFFFFF"/>
              <w:tabs>
                <w:tab w:val="left" w:pos="709"/>
              </w:tabs>
              <w:spacing w:before="0" w:beforeAutospacing="0" w:after="0" w:afterAutospacing="0" w:line="293" w:lineRule="atLeast"/>
              <w:ind w:firstLine="204"/>
              <w:jc w:val="both"/>
              <w:rPr>
                <w:rFonts w:eastAsia="Calibri"/>
                <w:bCs/>
                <w:shd w:val="clear" w:color="auto" w:fill="FFFFFF"/>
                <w:lang w:eastAsia="en-US"/>
              </w:rPr>
            </w:pPr>
          </w:p>
          <w:p w14:paraId="6AAFBD46" w14:textId="77777777" w:rsidR="002432C8" w:rsidRPr="00FD0708" w:rsidRDefault="002432C8" w:rsidP="002432C8">
            <w:pPr>
              <w:pStyle w:val="tv213"/>
              <w:shd w:val="clear" w:color="auto" w:fill="FFFFFF"/>
              <w:tabs>
                <w:tab w:val="left" w:pos="709"/>
              </w:tabs>
              <w:spacing w:before="0" w:beforeAutospacing="0" w:after="0" w:afterAutospacing="0" w:line="293" w:lineRule="atLeast"/>
              <w:ind w:firstLine="204"/>
              <w:jc w:val="both"/>
              <w:rPr>
                <w:rFonts w:eastAsia="Calibri"/>
                <w:bCs/>
                <w:shd w:val="clear" w:color="auto" w:fill="FFFFFF"/>
                <w:lang w:eastAsia="en-US"/>
              </w:rPr>
            </w:pPr>
            <w:r w:rsidRPr="00FD0708">
              <w:rPr>
                <w:rFonts w:eastAsia="Calibri"/>
                <w:bCs/>
                <w:shd w:val="clear" w:color="auto" w:fill="FFFFFF"/>
                <w:lang w:eastAsia="en-US"/>
              </w:rPr>
              <w:t>"44.3. komercdarbības mērķiem paredzēto ēku un to infrastruktūras attīstīšana, izņemot ēkas, kurās paredzēta izmitināšana (NACE kods I55);".</w:t>
            </w:r>
          </w:p>
          <w:p w14:paraId="72F3BBDF" w14:textId="77777777" w:rsidR="002432C8" w:rsidRPr="00FD0708" w:rsidRDefault="002432C8" w:rsidP="002432C8">
            <w:pPr>
              <w:tabs>
                <w:tab w:val="left" w:pos="1134"/>
              </w:tabs>
              <w:jc w:val="both"/>
            </w:pP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3B286DD5" w14:textId="3DDE9B3D" w:rsidR="002432C8" w:rsidRPr="00FD0708" w:rsidRDefault="002432C8" w:rsidP="002432C8">
            <w:pPr>
              <w:spacing w:after="120"/>
              <w:jc w:val="both"/>
              <w:rPr>
                <w:b/>
              </w:rPr>
            </w:pPr>
            <w:r w:rsidRPr="00FD0708">
              <w:rPr>
                <w:b/>
                <w:lang w:eastAsia="en-US"/>
              </w:rPr>
              <w:t xml:space="preserve">Ekonomikas ministrija </w:t>
            </w:r>
            <w:r w:rsidRPr="00FD0708">
              <w:rPr>
                <w:b/>
              </w:rPr>
              <w:t>(31.01.2020. atzinums)</w:t>
            </w:r>
          </w:p>
          <w:p w14:paraId="0B7B3FC5" w14:textId="7FF83CA3" w:rsidR="002432C8" w:rsidRPr="00FD0708" w:rsidRDefault="002432C8" w:rsidP="002432C8">
            <w:pPr>
              <w:jc w:val="both"/>
            </w:pPr>
            <w:r w:rsidRPr="00FD0708">
              <w:t xml:space="preserve">Lūdzam precizēt projekta 3. punktu, aizstājot vārdus un skaitli “NACE kods I55” ar vārdiem un skaitli “NACE I sadaļa 55. nodaļa”. Lūdzam ņemt vērā Saimniecisko darbību statistiskās klasifikācijas (NACE) kodu veidošanas principu, kuru nosaka Eiropas Komisijas izstrādāto NACE pamatnostādņu 19. punkts. Tas paredz, ka </w:t>
            </w:r>
            <w:bookmarkStart w:id="7" w:name="_Hlk26520581"/>
            <w:r w:rsidRPr="00FD0708">
              <w:t xml:space="preserve">sadaļas līmeņa kods (burts) netiek integrēts NACE kodā, kurš identificē nodaļu, grupu vai klasi. Piemēram, 55. nodaļa “Izmitināšana” identificēta ar kodu 55, bet I sadaļa, kurā šī </w:t>
            </w:r>
            <w:r w:rsidRPr="00FD0708">
              <w:lastRenderedPageBreak/>
              <w:t xml:space="preserve">nodaļa ietilpst, pašā kodā </w:t>
            </w:r>
            <w:bookmarkEnd w:id="7"/>
            <w:r w:rsidRPr="00FD0708">
              <w:t>netiek identificēta.</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124A2663" w14:textId="196FD89A" w:rsidR="002432C8" w:rsidRPr="00FD0708" w:rsidRDefault="002432C8" w:rsidP="002432C8">
            <w:pPr>
              <w:spacing w:after="120"/>
              <w:jc w:val="both"/>
              <w:rPr>
                <w:b/>
                <w:lang w:eastAsia="en-US"/>
              </w:rPr>
            </w:pPr>
            <w:r w:rsidRPr="00FD0708">
              <w:rPr>
                <w:b/>
                <w:lang w:eastAsia="en-US"/>
              </w:rPr>
              <w:lastRenderedPageBreak/>
              <w:t>Ņemts vērā</w:t>
            </w:r>
          </w:p>
        </w:tc>
        <w:tc>
          <w:tcPr>
            <w:tcW w:w="1141" w:type="pct"/>
            <w:tcBorders>
              <w:top w:val="single" w:sz="4" w:space="0" w:color="auto"/>
              <w:left w:val="single" w:sz="4" w:space="0" w:color="auto"/>
              <w:bottom w:val="single" w:sz="4" w:space="0" w:color="auto"/>
            </w:tcBorders>
            <w:shd w:val="clear" w:color="auto" w:fill="auto"/>
          </w:tcPr>
          <w:p w14:paraId="39FB1E4D" w14:textId="78D1A819" w:rsidR="002432C8" w:rsidRPr="00802D9E" w:rsidRDefault="007E0252" w:rsidP="002432C8">
            <w:pPr>
              <w:tabs>
                <w:tab w:val="left" w:pos="1134"/>
              </w:tabs>
              <w:jc w:val="both"/>
              <w:rPr>
                <w:bCs/>
                <w:shd w:val="clear" w:color="auto" w:fill="FFFFFF"/>
              </w:rPr>
            </w:pPr>
            <w:r w:rsidRPr="00802D9E">
              <w:rPr>
                <w:bCs/>
                <w:shd w:val="clear" w:color="auto" w:fill="FFFFFF"/>
              </w:rPr>
              <w:t>6</w:t>
            </w:r>
            <w:r w:rsidR="002432C8" w:rsidRPr="00802D9E">
              <w:rPr>
                <w:bCs/>
                <w:shd w:val="clear" w:color="auto" w:fill="FFFFFF"/>
              </w:rPr>
              <w:t>. Izteikt 44.3. apakšpunktu šādā redakcijā:</w:t>
            </w:r>
          </w:p>
          <w:p w14:paraId="003A51A1" w14:textId="77777777" w:rsidR="002432C8" w:rsidRPr="00802D9E" w:rsidRDefault="002432C8" w:rsidP="002432C8">
            <w:pPr>
              <w:tabs>
                <w:tab w:val="left" w:pos="1134"/>
              </w:tabs>
              <w:jc w:val="both"/>
              <w:rPr>
                <w:bCs/>
                <w:shd w:val="clear" w:color="auto" w:fill="FFFFFF"/>
              </w:rPr>
            </w:pPr>
          </w:p>
          <w:p w14:paraId="71C65174" w14:textId="77777777" w:rsidR="002432C8" w:rsidRPr="00802D9E" w:rsidRDefault="002432C8" w:rsidP="002432C8">
            <w:pPr>
              <w:pStyle w:val="tv213"/>
              <w:shd w:val="clear" w:color="auto" w:fill="FFFFFF"/>
              <w:tabs>
                <w:tab w:val="left" w:pos="709"/>
              </w:tabs>
              <w:spacing w:before="0" w:beforeAutospacing="0" w:after="0" w:afterAutospacing="0" w:line="293" w:lineRule="atLeast"/>
              <w:jc w:val="both"/>
              <w:rPr>
                <w:rFonts w:eastAsia="Calibri"/>
                <w:bCs/>
                <w:shd w:val="clear" w:color="auto" w:fill="FFFFFF"/>
                <w:lang w:eastAsia="en-US"/>
              </w:rPr>
            </w:pPr>
            <w:r w:rsidRPr="00802D9E">
              <w:rPr>
                <w:rFonts w:eastAsia="Calibri"/>
                <w:bCs/>
                <w:shd w:val="clear" w:color="auto" w:fill="FFFFFF"/>
                <w:lang w:eastAsia="en-US"/>
              </w:rPr>
              <w:t>"44.3. komercdarbības mērķiem paredzēto ēku un to infrastruktūras attīstīšana, izņemot ēkas, kurās paredzēta izmitināšana (NACE I sadaļa 55. nodaļa);".</w:t>
            </w:r>
          </w:p>
          <w:p w14:paraId="41AF51D2" w14:textId="77777777" w:rsidR="002432C8" w:rsidRPr="00802D9E" w:rsidRDefault="002432C8" w:rsidP="002432C8">
            <w:pPr>
              <w:tabs>
                <w:tab w:val="left" w:pos="1134"/>
              </w:tabs>
              <w:jc w:val="both"/>
            </w:pPr>
          </w:p>
        </w:tc>
      </w:tr>
      <w:tr w:rsidR="002432C8" w:rsidRPr="00FD0708" w14:paraId="1EFCE9D8" w14:textId="77777777" w:rsidTr="00C93B46">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1096B18E" w14:textId="77777777" w:rsidR="002432C8" w:rsidRPr="00FD0708" w:rsidRDefault="002432C8" w:rsidP="002432C8">
            <w:pPr>
              <w:pStyle w:val="naisc"/>
              <w:numPr>
                <w:ilvl w:val="0"/>
                <w:numId w:val="2"/>
              </w:numPr>
              <w:spacing w:before="0" w:after="0"/>
              <w:rPr>
                <w:sz w:val="22"/>
                <w:szCs w:val="22"/>
              </w:rPr>
            </w:pPr>
          </w:p>
        </w:tc>
        <w:tc>
          <w:tcPr>
            <w:tcW w:w="1404" w:type="pct"/>
            <w:vMerge w:val="restart"/>
            <w:tcBorders>
              <w:top w:val="single" w:sz="6" w:space="0" w:color="000000"/>
              <w:left w:val="single" w:sz="6" w:space="0" w:color="000000"/>
              <w:right w:val="single" w:sz="6" w:space="0" w:color="000000"/>
            </w:tcBorders>
            <w:shd w:val="clear" w:color="auto" w:fill="auto"/>
          </w:tcPr>
          <w:p w14:paraId="61BD9492" w14:textId="117CD8A2" w:rsidR="002432C8" w:rsidRPr="00FD0708" w:rsidRDefault="002432C8" w:rsidP="002432C8">
            <w:pPr>
              <w:tabs>
                <w:tab w:val="left" w:pos="1134"/>
              </w:tabs>
              <w:jc w:val="both"/>
            </w:pPr>
            <w:r w:rsidRPr="00FD0708">
              <w:t>4. Papildināt noteikumus ar 72. punktu šādā redakcijā:</w:t>
            </w:r>
          </w:p>
          <w:p w14:paraId="40F98313" w14:textId="77777777" w:rsidR="002432C8" w:rsidRPr="00FD0708" w:rsidRDefault="002432C8" w:rsidP="002432C8">
            <w:pPr>
              <w:pStyle w:val="ListParagraph"/>
              <w:tabs>
                <w:tab w:val="left" w:pos="1134"/>
              </w:tabs>
              <w:spacing w:after="0" w:line="240" w:lineRule="auto"/>
              <w:ind w:left="709"/>
              <w:jc w:val="both"/>
              <w:rPr>
                <w:rFonts w:ascii="Times New Roman" w:hAnsi="Times New Roman"/>
                <w:sz w:val="24"/>
                <w:szCs w:val="24"/>
              </w:rPr>
            </w:pPr>
          </w:p>
          <w:p w14:paraId="3F26482B" w14:textId="77777777" w:rsidR="002432C8" w:rsidRPr="00FD0708" w:rsidRDefault="002432C8" w:rsidP="002432C8">
            <w:pPr>
              <w:pStyle w:val="ListParagraph"/>
              <w:tabs>
                <w:tab w:val="left" w:pos="1134"/>
              </w:tabs>
              <w:spacing w:after="0" w:line="240" w:lineRule="auto"/>
              <w:ind w:left="0" w:firstLine="204"/>
              <w:jc w:val="both"/>
              <w:rPr>
                <w:rFonts w:ascii="Times New Roman" w:hAnsi="Times New Roman"/>
                <w:sz w:val="24"/>
                <w:szCs w:val="24"/>
                <w:shd w:val="clear" w:color="auto" w:fill="FFFFFF"/>
              </w:rPr>
            </w:pPr>
            <w:r w:rsidRPr="00FD0708">
              <w:rPr>
                <w:rFonts w:ascii="Times New Roman" w:hAnsi="Times New Roman"/>
                <w:sz w:val="24"/>
                <w:szCs w:val="24"/>
                <w:shd w:val="clear" w:color="auto" w:fill="FFFFFF"/>
              </w:rPr>
              <w:t xml:space="preserve">"72. Valsts atbalsta piešķiršanas brīdis ir diena, kad sadarbības iestāde pieņem lēmumu par projekta iesnieguma apstiprināšanu vai izdod atzinumu par lēmumā noteikto nosacījumu izpildi, ja iepriekš pieņemts lēmums par projekta iesnieguma apstiprināšanu ar nosacījumu." </w:t>
            </w:r>
          </w:p>
          <w:p w14:paraId="00265EFE" w14:textId="77777777" w:rsidR="002432C8" w:rsidRPr="00FD0708" w:rsidRDefault="002432C8" w:rsidP="002432C8">
            <w:pPr>
              <w:tabs>
                <w:tab w:val="left" w:pos="1134"/>
              </w:tabs>
              <w:jc w:val="both"/>
            </w:pP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070D050E" w14:textId="77777777" w:rsidR="002432C8" w:rsidRPr="00FD0708" w:rsidRDefault="002432C8" w:rsidP="002432C8">
            <w:pPr>
              <w:spacing w:after="120"/>
              <w:jc w:val="both"/>
              <w:rPr>
                <w:b/>
              </w:rPr>
            </w:pPr>
            <w:r w:rsidRPr="00FD0708">
              <w:rPr>
                <w:b/>
                <w:lang w:eastAsia="en-US"/>
              </w:rPr>
              <w:t xml:space="preserve">Finanšu ministrija </w:t>
            </w:r>
            <w:r w:rsidRPr="00FD0708">
              <w:rPr>
                <w:b/>
              </w:rPr>
              <w:t>(31.01.2020. atzinums)</w:t>
            </w:r>
          </w:p>
          <w:p w14:paraId="257C76F3" w14:textId="77777777" w:rsidR="002432C8" w:rsidRPr="00FD0708" w:rsidRDefault="002432C8" w:rsidP="002432C8">
            <w:pPr>
              <w:jc w:val="both"/>
            </w:pPr>
            <w:r w:rsidRPr="00FD0708">
              <w:t xml:space="preserve">Lūdzam izteikt noteikumu projekta 4.punktu šādā redakcijā, ņemot vērā, ka 3.3.1.SAM projektu vērtēšanu veic ne tikai sadarbības iestāde, bet arī pašvaldības: </w:t>
            </w:r>
          </w:p>
          <w:p w14:paraId="5B16F7E9" w14:textId="42677D07" w:rsidR="002432C8" w:rsidRPr="00FD0708" w:rsidRDefault="002432C8" w:rsidP="002432C8">
            <w:pPr>
              <w:jc w:val="both"/>
            </w:pPr>
            <w:r w:rsidRPr="00FD0708">
              <w:t>“Papildināt noteikumus ar 72. punktu šādā redakcijā: “72. Valsts atbalsta piešķiršanas brīdis ir diena, kad tiek pieņemts lēmums par projekta iesnieguma apstiprināšanu vai izdots atzinums par lēmumā noteikto nosacījumu izpildi, ja iepriekš pieņemts lēmums par projekta iesnieguma apstiprināšanu ar nosacījumu.””.</w:t>
            </w:r>
          </w:p>
        </w:tc>
        <w:tc>
          <w:tcPr>
            <w:tcW w:w="923" w:type="pct"/>
            <w:vMerge w:val="restart"/>
            <w:tcBorders>
              <w:top w:val="single" w:sz="6" w:space="0" w:color="000000"/>
              <w:left w:val="single" w:sz="6" w:space="0" w:color="000000"/>
              <w:right w:val="single" w:sz="6" w:space="0" w:color="000000"/>
            </w:tcBorders>
            <w:shd w:val="clear" w:color="auto" w:fill="auto"/>
          </w:tcPr>
          <w:p w14:paraId="1B3183FC" w14:textId="5A230874" w:rsidR="002432C8" w:rsidRPr="00FD0708" w:rsidRDefault="002432C8" w:rsidP="002432C8">
            <w:pPr>
              <w:spacing w:after="120"/>
              <w:jc w:val="both"/>
              <w:rPr>
                <w:b/>
              </w:rPr>
            </w:pPr>
            <w:r w:rsidRPr="00FD0708">
              <w:rPr>
                <w:b/>
                <w:lang w:eastAsia="en-US"/>
              </w:rPr>
              <w:t>Ņemts vērā</w:t>
            </w:r>
          </w:p>
        </w:tc>
        <w:tc>
          <w:tcPr>
            <w:tcW w:w="1141" w:type="pct"/>
            <w:vMerge w:val="restart"/>
            <w:tcBorders>
              <w:top w:val="single" w:sz="4" w:space="0" w:color="auto"/>
              <w:left w:val="single" w:sz="4" w:space="0" w:color="auto"/>
            </w:tcBorders>
            <w:shd w:val="clear" w:color="auto" w:fill="auto"/>
          </w:tcPr>
          <w:p w14:paraId="0A70D296" w14:textId="6858F251" w:rsidR="00D36822" w:rsidRPr="00802D9E" w:rsidRDefault="007E0252" w:rsidP="00D36822">
            <w:pPr>
              <w:tabs>
                <w:tab w:val="left" w:pos="1134"/>
              </w:tabs>
              <w:jc w:val="both"/>
            </w:pPr>
            <w:r w:rsidRPr="00802D9E">
              <w:t>8</w:t>
            </w:r>
            <w:r w:rsidR="00D36822" w:rsidRPr="00802D9E">
              <w:t>. Papildināt noteikumus ar 72. un 73. punktu šādā redakcijā:</w:t>
            </w:r>
          </w:p>
          <w:p w14:paraId="254B7CFD" w14:textId="77777777" w:rsidR="00D36822" w:rsidRPr="00802D9E" w:rsidRDefault="00D36822" w:rsidP="00D36822">
            <w:pPr>
              <w:pStyle w:val="ListParagraph"/>
              <w:tabs>
                <w:tab w:val="left" w:pos="1134"/>
              </w:tabs>
              <w:spacing w:after="0" w:line="240" w:lineRule="auto"/>
              <w:ind w:left="709"/>
              <w:jc w:val="both"/>
              <w:rPr>
                <w:rFonts w:ascii="Times New Roman" w:hAnsi="Times New Roman"/>
                <w:sz w:val="24"/>
                <w:szCs w:val="24"/>
              </w:rPr>
            </w:pPr>
          </w:p>
          <w:p w14:paraId="5C06CE19" w14:textId="77777777" w:rsidR="00D36822" w:rsidRPr="00802D9E" w:rsidRDefault="00D36822" w:rsidP="00D36822">
            <w:pPr>
              <w:pStyle w:val="ListParagraph"/>
              <w:tabs>
                <w:tab w:val="left" w:pos="1134"/>
              </w:tabs>
              <w:spacing w:after="0" w:line="240" w:lineRule="auto"/>
              <w:ind w:left="0" w:firstLine="709"/>
              <w:jc w:val="both"/>
              <w:rPr>
                <w:rFonts w:ascii="Times New Roman" w:hAnsi="Times New Roman"/>
                <w:sz w:val="24"/>
                <w:szCs w:val="24"/>
                <w:shd w:val="clear" w:color="auto" w:fill="FFFFFF"/>
              </w:rPr>
            </w:pPr>
            <w:r w:rsidRPr="00802D9E">
              <w:rPr>
                <w:rFonts w:ascii="Times New Roman" w:hAnsi="Times New Roman"/>
                <w:sz w:val="24"/>
                <w:szCs w:val="24"/>
                <w:shd w:val="clear" w:color="auto" w:fill="FFFFFF"/>
              </w:rPr>
              <w:t xml:space="preserve">"72. Valsts atbalsta piešķiršanas brīdis ir diena, kad tiek pieņemts lēmums par projekta iesnieguma apstiprināšanu vai izdots atzinums par lēmumā noteikto nosacījumu izpildi, ja iepriekš pieņemts lēmums par projekta iesnieguma apstiprināšanu ar nosacījumu. </w:t>
            </w:r>
          </w:p>
          <w:p w14:paraId="0C1D8D45" w14:textId="77777777" w:rsidR="00D36822" w:rsidRPr="00802D9E" w:rsidRDefault="00D36822" w:rsidP="00D36822">
            <w:pPr>
              <w:tabs>
                <w:tab w:val="left" w:pos="1134"/>
              </w:tabs>
              <w:jc w:val="both"/>
            </w:pPr>
          </w:p>
          <w:p w14:paraId="64C15107" w14:textId="77777777" w:rsidR="00D36822" w:rsidRPr="00802D9E" w:rsidRDefault="00D36822" w:rsidP="00D36822">
            <w:pPr>
              <w:pStyle w:val="ListParagraph"/>
              <w:tabs>
                <w:tab w:val="left" w:pos="1134"/>
              </w:tabs>
              <w:spacing w:after="0" w:line="240" w:lineRule="auto"/>
              <w:ind w:left="0" w:firstLine="709"/>
              <w:jc w:val="both"/>
              <w:rPr>
                <w:rFonts w:ascii="Times New Roman" w:hAnsi="Times New Roman"/>
                <w:sz w:val="24"/>
                <w:szCs w:val="24"/>
                <w:shd w:val="clear" w:color="auto" w:fill="FFFFFF"/>
              </w:rPr>
            </w:pPr>
            <w:r w:rsidRPr="00802D9E">
              <w:rPr>
                <w:rFonts w:ascii="Times New Roman" w:hAnsi="Times New Roman"/>
                <w:sz w:val="24"/>
                <w:szCs w:val="24"/>
              </w:rPr>
              <w:t xml:space="preserve">"73. Ja tiek konstatēts, ka piešķirtais valsts atbalsts kvalificējams kā nelikumīgs un valsts atbalsta saņēmējs ir pārkāpis Komisijas regulas Nr.  651/2014 vai Komisijas regulas Nr. 1407/2013 prasības, sadarbības iestāde valsts atbalsta saņēmējam uzliek par pienākumu atmaksāt sadarbības iestādei saņemto nelikumīgo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 (turpmāk – Komisijas regula </w:t>
            </w:r>
            <w:r w:rsidRPr="00802D9E">
              <w:rPr>
                <w:rFonts w:ascii="Times New Roman" w:hAnsi="Times New Roman"/>
                <w:sz w:val="24"/>
                <w:szCs w:val="24"/>
              </w:rPr>
              <w:lastRenderedPageBreak/>
              <w:t>Nr. 794/2004) 10. pantu, tiem pieskaitot 100 bāzes punktus, no dienas, kad valsts atbalsts tika izmaksāts finansējuma saņēmējam līdz tā atgūšanas dienai, ievērojot Komisijas regulas 794/2004 11. pantā noteikto procentu likmes piemērošanas metodi."</w:t>
            </w:r>
            <w:r w:rsidRPr="00802D9E">
              <w:rPr>
                <w:rFonts w:ascii="Times New Roman" w:hAnsi="Times New Roman"/>
                <w:sz w:val="24"/>
                <w:szCs w:val="24"/>
                <w:shd w:val="clear" w:color="auto" w:fill="FFFFFF"/>
              </w:rPr>
              <w:t xml:space="preserve"> </w:t>
            </w:r>
          </w:p>
          <w:p w14:paraId="55A11058" w14:textId="77777777" w:rsidR="002432C8" w:rsidRPr="00802D9E" w:rsidRDefault="002432C8" w:rsidP="002432C8">
            <w:pPr>
              <w:autoSpaceDE w:val="0"/>
              <w:autoSpaceDN w:val="0"/>
              <w:ind w:left="137" w:right="62"/>
              <w:jc w:val="both"/>
            </w:pPr>
          </w:p>
        </w:tc>
      </w:tr>
      <w:tr w:rsidR="002432C8" w:rsidRPr="00FD0708" w14:paraId="4DDA06B7" w14:textId="77777777" w:rsidTr="00C93B46">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0A53458D" w14:textId="77777777" w:rsidR="002432C8" w:rsidRPr="00FD0708" w:rsidRDefault="002432C8" w:rsidP="002432C8">
            <w:pPr>
              <w:pStyle w:val="naisc"/>
              <w:numPr>
                <w:ilvl w:val="0"/>
                <w:numId w:val="2"/>
              </w:numPr>
              <w:spacing w:before="0" w:after="0"/>
              <w:rPr>
                <w:sz w:val="22"/>
                <w:szCs w:val="22"/>
              </w:rPr>
            </w:pPr>
          </w:p>
        </w:tc>
        <w:tc>
          <w:tcPr>
            <w:tcW w:w="1404" w:type="pct"/>
            <w:vMerge/>
            <w:tcBorders>
              <w:left w:val="single" w:sz="6" w:space="0" w:color="000000"/>
              <w:bottom w:val="single" w:sz="6" w:space="0" w:color="000000"/>
              <w:right w:val="single" w:sz="6" w:space="0" w:color="000000"/>
            </w:tcBorders>
            <w:shd w:val="clear" w:color="auto" w:fill="auto"/>
          </w:tcPr>
          <w:p w14:paraId="379FD60A" w14:textId="77777777" w:rsidR="002432C8" w:rsidRPr="00FD0708" w:rsidRDefault="002432C8" w:rsidP="002432C8">
            <w:pPr>
              <w:tabs>
                <w:tab w:val="left" w:pos="1134"/>
              </w:tabs>
              <w:jc w:val="both"/>
            </w:pP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4E131837" w14:textId="77777777" w:rsidR="002432C8" w:rsidRPr="00FD0708" w:rsidRDefault="002432C8" w:rsidP="002432C8">
            <w:pPr>
              <w:spacing w:after="120"/>
              <w:jc w:val="both"/>
              <w:rPr>
                <w:b/>
              </w:rPr>
            </w:pPr>
            <w:r w:rsidRPr="00FD0708">
              <w:rPr>
                <w:b/>
              </w:rPr>
              <w:t>Tieslietu ministrija (31.01.2020. atzinums)</w:t>
            </w:r>
          </w:p>
          <w:p w14:paraId="09E310BB" w14:textId="26585DC3" w:rsidR="002432C8" w:rsidRPr="00FD0708" w:rsidRDefault="002432C8" w:rsidP="002432C8">
            <w:pPr>
              <w:spacing w:after="120"/>
              <w:jc w:val="both"/>
              <w:rPr>
                <w:b/>
                <w:lang w:eastAsia="en-US"/>
              </w:rPr>
            </w:pPr>
            <w:r w:rsidRPr="00FD0708">
              <w:t>Ņemot vērā, ka ar noteikumu projekta 4. punktu noteikumi Nr. 593 papildināti ar 72. punktu, atbilstoši juridiskās tehnikas prasībai –, ja noteikumus papildina ar jaunu punktu nodaļas sākumā vai beigās (ja noteikumu ir sadalīti nodaļās), tad norāda arī nodaļu, kura tiek papildināta – norādīt, ka tiek papildināta noteikumu Nr. 593 V nodaļa.</w:t>
            </w:r>
          </w:p>
        </w:tc>
        <w:tc>
          <w:tcPr>
            <w:tcW w:w="923" w:type="pct"/>
            <w:vMerge/>
            <w:tcBorders>
              <w:left w:val="single" w:sz="6" w:space="0" w:color="000000"/>
              <w:bottom w:val="single" w:sz="6" w:space="0" w:color="000000"/>
              <w:right w:val="single" w:sz="6" w:space="0" w:color="000000"/>
            </w:tcBorders>
            <w:shd w:val="clear" w:color="auto" w:fill="auto"/>
          </w:tcPr>
          <w:p w14:paraId="67059A44" w14:textId="77777777" w:rsidR="002432C8" w:rsidRPr="00FD0708" w:rsidRDefault="002432C8" w:rsidP="002432C8">
            <w:pPr>
              <w:spacing w:after="120"/>
              <w:jc w:val="both"/>
              <w:rPr>
                <w:b/>
                <w:lang w:eastAsia="en-US"/>
              </w:rPr>
            </w:pPr>
          </w:p>
        </w:tc>
        <w:tc>
          <w:tcPr>
            <w:tcW w:w="1141" w:type="pct"/>
            <w:vMerge/>
            <w:tcBorders>
              <w:left w:val="single" w:sz="4" w:space="0" w:color="auto"/>
              <w:bottom w:val="single" w:sz="4" w:space="0" w:color="auto"/>
            </w:tcBorders>
            <w:shd w:val="clear" w:color="auto" w:fill="auto"/>
          </w:tcPr>
          <w:p w14:paraId="5CFC15B7" w14:textId="77777777" w:rsidR="002432C8" w:rsidRPr="00FD0708" w:rsidRDefault="002432C8" w:rsidP="002432C8">
            <w:pPr>
              <w:tabs>
                <w:tab w:val="left" w:pos="1134"/>
              </w:tabs>
              <w:jc w:val="both"/>
            </w:pPr>
          </w:p>
        </w:tc>
      </w:tr>
      <w:tr w:rsidR="002432C8" w:rsidRPr="00FD0708" w14:paraId="2845E314" w14:textId="77777777" w:rsidTr="00B91DC0">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76536BC8" w14:textId="77777777" w:rsidR="002432C8" w:rsidRPr="00FD0708" w:rsidRDefault="002432C8" w:rsidP="002432C8">
            <w:pPr>
              <w:pStyle w:val="naisc"/>
              <w:numPr>
                <w:ilvl w:val="0"/>
                <w:numId w:val="2"/>
              </w:numPr>
              <w:spacing w:before="0" w:after="0"/>
              <w:rPr>
                <w:sz w:val="22"/>
                <w:szCs w:val="22"/>
              </w:rPr>
            </w:pPr>
          </w:p>
        </w:tc>
        <w:tc>
          <w:tcPr>
            <w:tcW w:w="1404" w:type="pct"/>
            <w:tcBorders>
              <w:top w:val="single" w:sz="6" w:space="0" w:color="000000"/>
              <w:left w:val="single" w:sz="6" w:space="0" w:color="000000"/>
              <w:bottom w:val="single" w:sz="6" w:space="0" w:color="000000"/>
              <w:right w:val="single" w:sz="6" w:space="0" w:color="000000"/>
            </w:tcBorders>
            <w:shd w:val="clear" w:color="auto" w:fill="auto"/>
          </w:tcPr>
          <w:p w14:paraId="795AC92B" w14:textId="3EF9C138" w:rsidR="002432C8" w:rsidRPr="00FD0708" w:rsidRDefault="002432C8" w:rsidP="002432C8">
            <w:pPr>
              <w:tabs>
                <w:tab w:val="left" w:pos="1134"/>
              </w:tabs>
              <w:jc w:val="both"/>
            </w:pPr>
            <w:r w:rsidRPr="00FD0708">
              <w:t>Noteikumu projekts</w:t>
            </w: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2EAF98A2" w14:textId="3D9BEF08" w:rsidR="002432C8" w:rsidRPr="00FD0708" w:rsidRDefault="002432C8" w:rsidP="002432C8">
            <w:pPr>
              <w:spacing w:after="120"/>
              <w:jc w:val="both"/>
              <w:rPr>
                <w:b/>
              </w:rPr>
            </w:pPr>
            <w:r w:rsidRPr="00FD0708">
              <w:rPr>
                <w:b/>
                <w:lang w:eastAsia="en-US"/>
              </w:rPr>
              <w:t xml:space="preserve">Latvijas Pašvaldību savienības </w:t>
            </w:r>
            <w:r w:rsidRPr="00FD0708">
              <w:rPr>
                <w:b/>
              </w:rPr>
              <w:t>(31.01.2020. atzinums)</w:t>
            </w:r>
          </w:p>
          <w:p w14:paraId="217F5120" w14:textId="77777777" w:rsidR="002432C8" w:rsidRPr="00FD0708" w:rsidRDefault="002432C8" w:rsidP="002432C8">
            <w:pPr>
              <w:spacing w:line="20" w:lineRule="atLeast"/>
              <w:ind w:firstLine="720"/>
              <w:jc w:val="both"/>
              <w:rPr>
                <w:rFonts w:eastAsia="Calibri"/>
              </w:rPr>
            </w:pPr>
          </w:p>
          <w:p w14:paraId="1C254997" w14:textId="77777777" w:rsidR="002432C8" w:rsidRPr="00FD0708" w:rsidRDefault="002432C8" w:rsidP="002432C8">
            <w:pPr>
              <w:spacing w:line="20" w:lineRule="atLeast"/>
              <w:jc w:val="both"/>
              <w:rPr>
                <w:rFonts w:eastAsia="Calibri"/>
              </w:rPr>
            </w:pPr>
            <w:r w:rsidRPr="00FD0708">
              <w:rPr>
                <w:rFonts w:eastAsia="Calibri"/>
              </w:rPr>
              <w:t>LPS neatbalsta grozījumus pēc būtības, jo tie ir pretrunā ar L</w:t>
            </w:r>
            <w:r w:rsidRPr="00FD0708">
              <w:rPr>
                <w:color w:val="000000"/>
                <w:shd w:val="clear" w:color="auto" w:fill="FFFFFF"/>
              </w:rPr>
              <w:t xml:space="preserve">PS  un VARAM  2017. gada sarunās panākto vienošanos, ka </w:t>
            </w:r>
            <w:r w:rsidRPr="00FD0708">
              <w:rPr>
                <w:rFonts w:eastAsia="Calibri"/>
              </w:rPr>
              <w:t xml:space="preserve">VARAM virzīs uz Valdību jautājumu par virs-saistībām 2017. gada budžetā 27 milj. </w:t>
            </w:r>
            <w:proofErr w:type="spellStart"/>
            <w:r w:rsidRPr="00FD0708">
              <w:rPr>
                <w:rFonts w:eastAsia="Calibri"/>
              </w:rPr>
              <w:t>euro</w:t>
            </w:r>
            <w:proofErr w:type="spellEnd"/>
            <w:r w:rsidRPr="00FD0708">
              <w:rPr>
                <w:rFonts w:eastAsia="Calibri"/>
              </w:rPr>
              <w:t xml:space="preserve"> apmērā, lai varētu piešķirt finansējumu novadiem 28 projektiem (no 83 iesniegtiem projektiem), kuriem SAM 3.3.1. aktivitātes “Palielināt privāto investīciju apjomu nacionālas un reģionālas nozīmes centros, veicot ieguldījumus uzņēmējdarbībai nozīmīgā infrastruktūrā atbilstoši pašvaldības integrētajām attīstības programmām” 3.kārtā nepietika finansējums, lai gan tie atlasē atbilda visiem kritērijiem. Šī vienošanās netika izpildīta un projekti finansējumu nesaņēma.  Virzītajos grozījumos paredzētā papildus nauda SAM 3.3.1. LPS ieskatā būtu jānovirza abām mērķu grupām:</w:t>
            </w:r>
          </w:p>
          <w:p w14:paraId="5D84D8BB" w14:textId="77777777" w:rsidR="002432C8" w:rsidRPr="00FD0708" w:rsidRDefault="002432C8" w:rsidP="002432C8">
            <w:pPr>
              <w:numPr>
                <w:ilvl w:val="0"/>
                <w:numId w:val="14"/>
              </w:numPr>
              <w:spacing w:line="20" w:lineRule="atLeast"/>
              <w:ind w:left="710"/>
              <w:contextualSpacing/>
              <w:jc w:val="both"/>
            </w:pPr>
            <w:r w:rsidRPr="00FD0708">
              <w:lastRenderedPageBreak/>
              <w:t>trešās atlases k</w:t>
            </w:r>
            <w:r w:rsidRPr="00FD0708">
              <w:rPr>
                <w:rFonts w:hint="eastAsia"/>
              </w:rPr>
              <w:t>ā</w:t>
            </w:r>
            <w:r w:rsidRPr="00FD0708">
              <w:t>rtas m</w:t>
            </w:r>
            <w:r w:rsidRPr="00FD0708">
              <w:rPr>
                <w:rFonts w:hint="eastAsia"/>
              </w:rPr>
              <w:t>ē</w:t>
            </w:r>
            <w:r w:rsidRPr="00FD0708">
              <w:t>r</w:t>
            </w:r>
            <w:r w:rsidRPr="00FD0708">
              <w:rPr>
                <w:rFonts w:hint="eastAsia"/>
              </w:rPr>
              <w:t>ķ</w:t>
            </w:r>
            <w:r w:rsidRPr="00FD0708">
              <w:t>a grupa no 89 pašvaldībām, kurām nepietika finansējums;</w:t>
            </w:r>
          </w:p>
          <w:p w14:paraId="4C7B6496" w14:textId="77777777" w:rsidR="002432C8" w:rsidRPr="00FD0708" w:rsidRDefault="002432C8" w:rsidP="002432C8">
            <w:pPr>
              <w:numPr>
                <w:ilvl w:val="0"/>
                <w:numId w:val="14"/>
              </w:numPr>
              <w:spacing w:line="20" w:lineRule="atLeast"/>
              <w:ind w:left="710"/>
              <w:contextualSpacing/>
              <w:jc w:val="both"/>
              <w:rPr>
                <w:rFonts w:eastAsia="Calibri"/>
                <w:b/>
              </w:rPr>
            </w:pPr>
            <w:r w:rsidRPr="00FD0708">
              <w:t>otrās atlases kārtas mērķa grupa, reģionālas nozīmes attīstības centru pašvaldības.</w:t>
            </w:r>
          </w:p>
          <w:p w14:paraId="34CEA27D" w14:textId="77777777" w:rsidR="002432C8" w:rsidRPr="00FD0708" w:rsidRDefault="002432C8" w:rsidP="002432C8">
            <w:pPr>
              <w:spacing w:line="20" w:lineRule="atLeast"/>
              <w:ind w:firstLine="720"/>
              <w:jc w:val="both"/>
            </w:pPr>
          </w:p>
          <w:p w14:paraId="763C60A3" w14:textId="77777777" w:rsidR="002432C8" w:rsidRPr="00FD0708" w:rsidRDefault="002432C8" w:rsidP="002432C8">
            <w:pPr>
              <w:spacing w:line="20" w:lineRule="atLeast"/>
              <w:jc w:val="both"/>
            </w:pPr>
            <w:r w:rsidRPr="00FD0708">
              <w:t xml:space="preserve">LPS rīcībā ir informācija, ka no 2017. gadā 28 atlasītiem projektiem, šobrīd ir aktualizēti un būtu izvērtējami </w:t>
            </w:r>
            <w:proofErr w:type="spellStart"/>
            <w:r w:rsidRPr="00FD0708">
              <w:t>fiansējuma</w:t>
            </w:r>
            <w:proofErr w:type="spellEnd"/>
            <w:r w:rsidRPr="00FD0708">
              <w:t xml:space="preserve"> saņemšanai šādi projekti:   </w:t>
            </w:r>
          </w:p>
          <w:p w14:paraId="05543525" w14:textId="77777777" w:rsidR="002432C8" w:rsidRPr="00FD0708" w:rsidRDefault="002432C8" w:rsidP="002432C8">
            <w:pPr>
              <w:numPr>
                <w:ilvl w:val="0"/>
                <w:numId w:val="13"/>
              </w:numPr>
              <w:spacing w:line="20" w:lineRule="atLeast"/>
              <w:contextualSpacing/>
              <w:jc w:val="both"/>
            </w:pPr>
            <w:r w:rsidRPr="00FD0708">
              <w:t xml:space="preserve">“Uzņēmējdarbības attīstībai nepieciešamās infrastruktūras izveide Salaspils novadā" idejas koncepts tika saskaņots Reģionālās attīstības koordinācijas padomes 2016.gada 8.aprīļa sēdē, bet netika virzīts iesniegšanai CFLA nepietiekamā ERAF finansējuma dēļ. Projekta realizēšanai nepieciešamais ERAF finansējums ir 3 000 000 EUR.  </w:t>
            </w:r>
          </w:p>
          <w:p w14:paraId="0A877D86" w14:textId="77777777" w:rsidR="002432C8" w:rsidRPr="00FD0708" w:rsidRDefault="002432C8" w:rsidP="002432C8">
            <w:pPr>
              <w:numPr>
                <w:ilvl w:val="0"/>
                <w:numId w:val="13"/>
              </w:numPr>
              <w:spacing w:line="20" w:lineRule="atLeast"/>
              <w:contextualSpacing/>
              <w:jc w:val="both"/>
              <w:rPr>
                <w:rFonts w:eastAsia="Calibri"/>
              </w:rPr>
            </w:pPr>
            <w:r w:rsidRPr="00FD0708">
              <w:t>“</w:t>
            </w:r>
            <w:proofErr w:type="spellStart"/>
            <w:r w:rsidRPr="00FD0708">
              <w:t>Jaunkūlu</w:t>
            </w:r>
            <w:proofErr w:type="spellEnd"/>
            <w:r w:rsidRPr="00FD0708">
              <w:t xml:space="preserve"> ielas infrastruktūras rekonstrukcija ražošanas zonas pieejamības uzlabošana Ādažu novadā”. Projekta realizēšanai nepieciešamais ERAF finansējums ir  1 600 000 EUR.  </w:t>
            </w:r>
          </w:p>
          <w:p w14:paraId="0AE7302F" w14:textId="77777777" w:rsidR="002432C8" w:rsidRPr="00FD0708" w:rsidRDefault="002432C8" w:rsidP="002432C8">
            <w:pPr>
              <w:numPr>
                <w:ilvl w:val="0"/>
                <w:numId w:val="13"/>
              </w:numPr>
              <w:spacing w:line="20" w:lineRule="atLeast"/>
              <w:contextualSpacing/>
              <w:jc w:val="both"/>
              <w:rPr>
                <w:rFonts w:eastAsia="Calibri"/>
              </w:rPr>
            </w:pPr>
            <w:r w:rsidRPr="00FD0708">
              <w:t>“Uzņēmējdarbības attīstībai nepieciešamās infrastruktūras izveide Rīgas ielā, Baložos Ķekavas novadā”. Projekta realizēšanai nepieciešamais ERAF finansējums 2 000 000,00 EUR.</w:t>
            </w:r>
          </w:p>
          <w:p w14:paraId="62303EE2" w14:textId="77777777" w:rsidR="002432C8" w:rsidRPr="00FD0708" w:rsidRDefault="002432C8" w:rsidP="002432C8">
            <w:pPr>
              <w:numPr>
                <w:ilvl w:val="0"/>
                <w:numId w:val="13"/>
              </w:numPr>
              <w:spacing w:line="20" w:lineRule="atLeast"/>
              <w:contextualSpacing/>
              <w:jc w:val="both"/>
              <w:rPr>
                <w:iCs/>
                <w:lang w:eastAsia="ru-RU"/>
              </w:rPr>
            </w:pPr>
            <w:r w:rsidRPr="00FD0708">
              <w:rPr>
                <w:iCs/>
                <w:lang w:eastAsia="ru-RU"/>
              </w:rPr>
              <w:lastRenderedPageBreak/>
              <w:t xml:space="preserve">“Uzņēmējdarbības attīstībai nepieciešamās infrastruktūras attīstība Rēzeknes novada Ozolaines pagastā, kas sevī ietver </w:t>
            </w:r>
            <w:proofErr w:type="spellStart"/>
            <w:r w:rsidRPr="00FD0708">
              <w:rPr>
                <w:iCs/>
                <w:lang w:eastAsia="ru-RU"/>
              </w:rPr>
              <w:t>Pleikšņu</w:t>
            </w:r>
            <w:proofErr w:type="spellEnd"/>
            <w:r w:rsidRPr="00FD0708">
              <w:rPr>
                <w:iCs/>
                <w:lang w:eastAsia="ru-RU"/>
              </w:rPr>
              <w:t xml:space="preserve"> Centra ceļa posmu pārbūvi” Projekta realizēšanai nepieciešamais ERAF finansējums 1 800 000,00 EUR.</w:t>
            </w:r>
          </w:p>
          <w:p w14:paraId="2AE47E05" w14:textId="1633444E" w:rsidR="002432C8" w:rsidRPr="00FD0708" w:rsidRDefault="002432C8" w:rsidP="002432C8">
            <w:pPr>
              <w:numPr>
                <w:ilvl w:val="0"/>
                <w:numId w:val="13"/>
              </w:numPr>
              <w:spacing w:line="20" w:lineRule="atLeast"/>
              <w:contextualSpacing/>
              <w:jc w:val="both"/>
            </w:pPr>
            <w:r w:rsidRPr="00FD0708">
              <w:t xml:space="preserve"> “Uzņēmējdarbības attīstībai nepieciešamās infrastruktūras izveide Ieriķos, Amatas novadā”. Projekta   realizēšanai nepieciešamais ERAF finansējums 1 200 000,00 EUR.</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4C8C71C3" w14:textId="77777777" w:rsidR="00802D9E" w:rsidRPr="00FD0708" w:rsidRDefault="00802D9E" w:rsidP="00802D9E">
            <w:pPr>
              <w:spacing w:after="120"/>
              <w:jc w:val="both"/>
              <w:rPr>
                <w:b/>
                <w:lang w:eastAsia="en-US"/>
              </w:rPr>
            </w:pPr>
            <w:r>
              <w:rPr>
                <w:b/>
                <w:lang w:eastAsia="en-US"/>
              </w:rPr>
              <w:lastRenderedPageBreak/>
              <w:t>Panākta vienošanās noteikumu projekta skaņošanas laikā</w:t>
            </w:r>
          </w:p>
          <w:p w14:paraId="23C80487" w14:textId="53C62167" w:rsidR="002432C8" w:rsidRPr="00FD0708" w:rsidRDefault="002432C8" w:rsidP="002432C8">
            <w:pPr>
              <w:spacing w:after="120"/>
              <w:jc w:val="both"/>
              <w:rPr>
                <w:lang w:eastAsia="en-US"/>
              </w:rPr>
            </w:pPr>
            <w:r w:rsidRPr="00FD0708">
              <w:rPr>
                <w:lang w:eastAsia="en-US"/>
              </w:rPr>
              <w:t xml:space="preserve">VARAM </w:t>
            </w:r>
            <w:r w:rsidR="000C6A78" w:rsidRPr="00FD0708">
              <w:rPr>
                <w:lang w:eastAsia="en-US"/>
              </w:rPr>
              <w:t xml:space="preserve">skaidro, ka sarunās ar </w:t>
            </w:r>
            <w:r w:rsidRPr="00FD0708">
              <w:rPr>
                <w:lang w:eastAsia="en-US"/>
              </w:rPr>
              <w:t>Latvijas Pašvaldību savienīb</w:t>
            </w:r>
            <w:r w:rsidR="000C6A78" w:rsidRPr="00FD0708">
              <w:rPr>
                <w:lang w:eastAsia="en-US"/>
              </w:rPr>
              <w:t xml:space="preserve">u </w:t>
            </w:r>
            <w:r w:rsidRPr="00FD0708">
              <w:rPr>
                <w:lang w:eastAsia="en-US"/>
              </w:rPr>
              <w:t>(turpmāk – LPS) panākt</w:t>
            </w:r>
            <w:r w:rsidR="000C6A78" w:rsidRPr="00FD0708">
              <w:rPr>
                <w:lang w:eastAsia="en-US"/>
              </w:rPr>
              <w:t>ā</w:t>
            </w:r>
            <w:r w:rsidRPr="00FD0708">
              <w:rPr>
                <w:lang w:eastAsia="en-US"/>
              </w:rPr>
              <w:t xml:space="preserve"> vienošan</w:t>
            </w:r>
            <w:r w:rsidR="000C6A78" w:rsidRPr="00FD0708">
              <w:rPr>
                <w:lang w:eastAsia="en-US"/>
              </w:rPr>
              <w:t>ās tika pildīta un VARAM vairākkārt ir</w:t>
            </w:r>
            <w:r w:rsidRPr="00FD0708">
              <w:rPr>
                <w:lang w:eastAsia="en-US"/>
              </w:rPr>
              <w:t xml:space="preserve"> centusies atrast finansējumu 27 milj. </w:t>
            </w:r>
            <w:proofErr w:type="spellStart"/>
            <w:r w:rsidRPr="00FD0708">
              <w:rPr>
                <w:i/>
                <w:lang w:eastAsia="en-US"/>
              </w:rPr>
              <w:t>euro</w:t>
            </w:r>
            <w:proofErr w:type="spellEnd"/>
            <w:r w:rsidRPr="00FD0708">
              <w:rPr>
                <w:lang w:eastAsia="en-US"/>
              </w:rPr>
              <w:t xml:space="preserve"> apmērā 29 3.3.1. SAM </w:t>
            </w:r>
            <w:proofErr w:type="spellStart"/>
            <w:r w:rsidRPr="00FD0708">
              <w:rPr>
                <w:lang w:eastAsia="en-US"/>
              </w:rPr>
              <w:t>priekšatlases</w:t>
            </w:r>
            <w:proofErr w:type="spellEnd"/>
            <w:r w:rsidRPr="00FD0708">
              <w:rPr>
                <w:lang w:eastAsia="en-US"/>
              </w:rPr>
              <w:t xml:space="preserve"> projektu ideju konceptiem, kuri pēc būtības atbilda 2016. gada </w:t>
            </w:r>
            <w:proofErr w:type="spellStart"/>
            <w:r w:rsidRPr="00FD0708">
              <w:rPr>
                <w:lang w:eastAsia="en-US"/>
              </w:rPr>
              <w:t>priekšatlases</w:t>
            </w:r>
            <w:proofErr w:type="spellEnd"/>
            <w:r w:rsidRPr="00FD0708">
              <w:rPr>
                <w:lang w:eastAsia="en-US"/>
              </w:rPr>
              <w:t xml:space="preserve"> vērtēšanas kritērijiem, tomēr neierindojās starp efektīvākajiem 54 projektu ideju konceptiem un atbilstoši Ministru kabineta 2016. gada 1. jūnija rīkojumam Nr.314 “Par projektu ideju konceptu finansējuma apjomu un sasniedzamajiem iznākuma rādītājiem 3.3.1.SAM </w:t>
            </w:r>
            <w:r w:rsidRPr="00FD0708">
              <w:rPr>
                <w:lang w:eastAsia="en-US"/>
              </w:rPr>
              <w:lastRenderedPageBreak/>
              <w:t>“Palielināt privāto investīciju apjomu reģionos, veicot ieguldījumus uzņēmējdarbības attīstībai atbilstoši pašvaldību attīstības programmās noteiktajai teritoriju ekonomiskajai specializācijai un balstoties uz vietējo uzņēmēju vajadzībām” (turpmāk – MK rīkojums Nr.314) netika virzīti apstiprināšanai ERAF finansējuma nepietiekamības dēļ, jo VARAM:</w:t>
            </w:r>
          </w:p>
          <w:p w14:paraId="5DF88C1B" w14:textId="6203D72B" w:rsidR="002432C8" w:rsidRPr="00FD0708" w:rsidRDefault="002432C8" w:rsidP="002432C8">
            <w:pPr>
              <w:pStyle w:val="ListParagraph"/>
              <w:numPr>
                <w:ilvl w:val="0"/>
                <w:numId w:val="18"/>
              </w:numPr>
              <w:spacing w:after="120" w:line="240" w:lineRule="auto"/>
              <w:ind w:left="352"/>
              <w:jc w:val="both"/>
              <w:rPr>
                <w:rFonts w:ascii="Times New Roman" w:hAnsi="Times New Roman"/>
                <w:sz w:val="24"/>
                <w:szCs w:val="24"/>
              </w:rPr>
            </w:pPr>
            <w:r w:rsidRPr="00FD0708">
              <w:rPr>
                <w:rFonts w:ascii="Times New Roman" w:hAnsi="Times New Roman"/>
                <w:sz w:val="24"/>
                <w:szCs w:val="24"/>
              </w:rPr>
              <w:t xml:space="preserve">uz Valdību virzīja jautājumu par </w:t>
            </w:r>
            <w:r w:rsidR="000C6A78" w:rsidRPr="00FD0708">
              <w:rPr>
                <w:rFonts w:ascii="Times New Roman" w:hAnsi="Times New Roman"/>
                <w:sz w:val="24"/>
                <w:szCs w:val="24"/>
              </w:rPr>
              <w:t xml:space="preserve">papildu </w:t>
            </w:r>
            <w:proofErr w:type="spellStart"/>
            <w:r w:rsidRPr="00FD0708">
              <w:rPr>
                <w:rFonts w:ascii="Times New Roman" w:hAnsi="Times New Roman"/>
                <w:sz w:val="24"/>
                <w:szCs w:val="24"/>
              </w:rPr>
              <w:t>virssaistīb</w:t>
            </w:r>
            <w:r w:rsidR="000C6A78" w:rsidRPr="00FD0708">
              <w:rPr>
                <w:rFonts w:ascii="Times New Roman" w:hAnsi="Times New Roman"/>
                <w:sz w:val="24"/>
                <w:szCs w:val="24"/>
              </w:rPr>
              <w:t>u</w:t>
            </w:r>
            <w:proofErr w:type="spellEnd"/>
            <w:r w:rsidR="000C6A78" w:rsidRPr="00FD0708">
              <w:rPr>
                <w:rFonts w:ascii="Times New Roman" w:hAnsi="Times New Roman"/>
                <w:sz w:val="24"/>
                <w:szCs w:val="24"/>
              </w:rPr>
              <w:t xml:space="preserve"> piešķiršanu</w:t>
            </w:r>
            <w:r w:rsidRPr="00FD0708">
              <w:rPr>
                <w:rFonts w:ascii="Times New Roman" w:hAnsi="Times New Roman"/>
                <w:sz w:val="24"/>
                <w:szCs w:val="24"/>
              </w:rPr>
              <w:t>, lai varētu īstenot 3.3.1. SAM projektu ideju konceptus, bet šim jautājumam netika saņemts Valdības akcepts;</w:t>
            </w:r>
          </w:p>
          <w:p w14:paraId="486281E2" w14:textId="68CBA9BE" w:rsidR="000F44B7" w:rsidRPr="00FD0708" w:rsidRDefault="000F44B7" w:rsidP="002432C8">
            <w:pPr>
              <w:pStyle w:val="ListParagraph"/>
              <w:numPr>
                <w:ilvl w:val="0"/>
                <w:numId w:val="18"/>
              </w:numPr>
              <w:spacing w:after="120" w:line="240" w:lineRule="auto"/>
              <w:ind w:left="352"/>
              <w:jc w:val="both"/>
              <w:rPr>
                <w:rFonts w:ascii="Times New Roman" w:hAnsi="Times New Roman"/>
                <w:sz w:val="24"/>
                <w:szCs w:val="24"/>
              </w:rPr>
            </w:pPr>
            <w:r w:rsidRPr="00FD0708">
              <w:rPr>
                <w:rFonts w:ascii="Times New Roman" w:hAnsi="Times New Roman"/>
                <w:sz w:val="24"/>
                <w:szCs w:val="24"/>
              </w:rPr>
              <w:t xml:space="preserve">ES fondu </w:t>
            </w:r>
            <w:proofErr w:type="spellStart"/>
            <w:r w:rsidRPr="00FD0708">
              <w:rPr>
                <w:rFonts w:ascii="Times New Roman" w:hAnsi="Times New Roman"/>
                <w:sz w:val="24"/>
                <w:szCs w:val="24"/>
              </w:rPr>
              <w:t>vidusposma</w:t>
            </w:r>
            <w:proofErr w:type="spellEnd"/>
            <w:r w:rsidRPr="00FD0708">
              <w:rPr>
                <w:rFonts w:ascii="Times New Roman" w:hAnsi="Times New Roman"/>
                <w:sz w:val="24"/>
                <w:szCs w:val="24"/>
              </w:rPr>
              <w:t xml:space="preserve"> izvērtēšanas ietvaros VARAM 28.06.2019. pieteica vadošajai iestādei jautājumu par papildu finansējuma nepieciešamību SAM 3.3.1. ietvaros papildu projektu īstenošanai. Tomēr 11.10.2019. MK </w:t>
            </w:r>
            <w:r w:rsidRPr="00FD0708">
              <w:rPr>
                <w:rFonts w:ascii="Times New Roman" w:hAnsi="Times New Roman"/>
                <w:sz w:val="24"/>
                <w:szCs w:val="24"/>
              </w:rPr>
              <w:lastRenderedPageBreak/>
              <w:t xml:space="preserve">lēmumā (prot. Nr.47, 3§) papildu finansējums VARAM pieteiktajiem pasākumiem netika piešķirts; </w:t>
            </w:r>
          </w:p>
          <w:p w14:paraId="64774E5A" w14:textId="11147FA5" w:rsidR="002432C8" w:rsidRPr="00FD0708" w:rsidRDefault="00CC009D" w:rsidP="002432C8">
            <w:pPr>
              <w:pStyle w:val="ListParagraph"/>
              <w:numPr>
                <w:ilvl w:val="0"/>
                <w:numId w:val="18"/>
              </w:numPr>
              <w:spacing w:after="120" w:line="240" w:lineRule="auto"/>
              <w:ind w:left="352"/>
              <w:jc w:val="both"/>
              <w:rPr>
                <w:sz w:val="24"/>
                <w:szCs w:val="24"/>
              </w:rPr>
            </w:pPr>
            <w:r w:rsidRPr="00FD0708">
              <w:rPr>
                <w:rFonts w:ascii="Times New Roman" w:hAnsi="Times New Roman"/>
                <w:sz w:val="24"/>
                <w:szCs w:val="24"/>
              </w:rPr>
              <w:t>v</w:t>
            </w:r>
            <w:r w:rsidR="000F44B7" w:rsidRPr="00FD0708">
              <w:rPr>
                <w:rFonts w:ascii="Times New Roman" w:hAnsi="Times New Roman"/>
                <w:sz w:val="24"/>
                <w:szCs w:val="24"/>
              </w:rPr>
              <w:t xml:space="preserve">ienlaikus VARAM ir radusi risinājumus </w:t>
            </w:r>
            <w:r w:rsidRPr="00FD0708">
              <w:rPr>
                <w:rFonts w:ascii="Times New Roman" w:hAnsi="Times New Roman"/>
                <w:sz w:val="24"/>
                <w:szCs w:val="24"/>
              </w:rPr>
              <w:t xml:space="preserve">esošā finansējuma ietvaros, proti, </w:t>
            </w:r>
            <w:r w:rsidR="002432C8" w:rsidRPr="00FD0708">
              <w:rPr>
                <w:rFonts w:ascii="Times New Roman" w:hAnsi="Times New Roman"/>
                <w:sz w:val="24"/>
                <w:szCs w:val="24"/>
              </w:rPr>
              <w:t>2018. gadā pirms grozījumus izstrādes MK rīkojumā Nr.314</w:t>
            </w:r>
            <w:r w:rsidR="002432C8" w:rsidRPr="00FD0708">
              <w:rPr>
                <w:rStyle w:val="FootnoteReference"/>
                <w:rFonts w:ascii="Times New Roman" w:hAnsi="Times New Roman"/>
                <w:sz w:val="24"/>
                <w:szCs w:val="24"/>
              </w:rPr>
              <w:footnoteReference w:id="8"/>
            </w:r>
            <w:r w:rsidR="002432C8" w:rsidRPr="00FD0708">
              <w:rPr>
                <w:rFonts w:ascii="Times New Roman" w:hAnsi="Times New Roman"/>
                <w:sz w:val="24"/>
                <w:szCs w:val="24"/>
              </w:rPr>
              <w:t xml:space="preserve">, lai apzinātu faktisko situāciju un noskaidrotu nākamo aiz svītras palikušo projektu ideju konceptu aktualitāti un gatavības pakāpi, VARAM 2018. gada pavasarī veica deviņu novadu pašvaldību (Ķekavas, Ādažu, Rucavas, Salacgrīvas, Vaiņodes, </w:t>
            </w:r>
            <w:proofErr w:type="spellStart"/>
            <w:r w:rsidR="002432C8" w:rsidRPr="00FD0708">
              <w:rPr>
                <w:rFonts w:ascii="Times New Roman" w:hAnsi="Times New Roman"/>
                <w:sz w:val="24"/>
                <w:szCs w:val="24"/>
              </w:rPr>
              <w:t>Aksnītes</w:t>
            </w:r>
            <w:proofErr w:type="spellEnd"/>
            <w:r w:rsidR="002432C8" w:rsidRPr="00FD0708">
              <w:rPr>
                <w:rFonts w:ascii="Times New Roman" w:hAnsi="Times New Roman"/>
                <w:sz w:val="24"/>
                <w:szCs w:val="24"/>
              </w:rPr>
              <w:t xml:space="preserve">, Sējas, Amatas, Grobiņas) aptauju. Iepriekš minēto pašvaldību iesniegtie projektu ideju koncepti Reģionālās attīstības koordinācijas padomes 2016. gada 8. aprīļa sēdē </w:t>
            </w:r>
            <w:r w:rsidR="002432C8" w:rsidRPr="00FD0708">
              <w:rPr>
                <w:rFonts w:ascii="Times New Roman" w:hAnsi="Times New Roman"/>
                <w:sz w:val="24"/>
                <w:szCs w:val="24"/>
              </w:rPr>
              <w:lastRenderedPageBreak/>
              <w:t xml:space="preserve">tika saskaņoti, jo pēc būtības atbilda 3.3.1. SAM trešās atlases kārtas projektu ideju konceptu </w:t>
            </w:r>
            <w:proofErr w:type="spellStart"/>
            <w:r w:rsidR="002432C8" w:rsidRPr="00FD0708">
              <w:rPr>
                <w:rFonts w:ascii="Times New Roman" w:hAnsi="Times New Roman"/>
                <w:sz w:val="24"/>
                <w:szCs w:val="24"/>
              </w:rPr>
              <w:t>priekšatlases</w:t>
            </w:r>
            <w:proofErr w:type="spellEnd"/>
            <w:r w:rsidR="002432C8" w:rsidRPr="00FD0708">
              <w:rPr>
                <w:rFonts w:ascii="Times New Roman" w:hAnsi="Times New Roman"/>
                <w:sz w:val="24"/>
                <w:szCs w:val="24"/>
              </w:rPr>
              <w:t xml:space="preserve"> kritērijiem, bet netika virzīti tālāk projektu iesniegšanai CFLA nepietiekamā ERAF finansējuma dēļ. Piecas (Amata, Ādaži, Grobiņa, Ķekava, Vaiņode) no deviņām novadu pašvaldībām apliecināja, ka to projektu ideju koncepti joprojām ir aktuāli un ka tās ir gatavas iesniegt projektu iesniegumus CFLA kopumā par 3 884 736 </w:t>
            </w:r>
            <w:proofErr w:type="spellStart"/>
            <w:r w:rsidR="002432C8" w:rsidRPr="00FD0708">
              <w:rPr>
                <w:rFonts w:ascii="Times New Roman" w:hAnsi="Times New Roman"/>
                <w:i/>
                <w:sz w:val="24"/>
                <w:szCs w:val="24"/>
              </w:rPr>
              <w:t>euro</w:t>
            </w:r>
            <w:proofErr w:type="spellEnd"/>
            <w:r w:rsidR="002432C8" w:rsidRPr="00FD0708">
              <w:rPr>
                <w:rFonts w:ascii="Times New Roman" w:hAnsi="Times New Roman"/>
                <w:sz w:val="24"/>
                <w:szCs w:val="24"/>
              </w:rPr>
              <w:t xml:space="preserve">. Attiecīgi MK rīkojuma Nr. 314 pielikums tika papildināts ar piecām novadu pašvaldībām (Amata, Ādaži, Grobiņa, Ķekava, Vaiņode) un to projektu ideju konceptiem, par kuriem projektu iesniegumus īstenošanai 3.3.1. SAM trešās atlases kārtas ietvaros attiecīgās pašvaldības bija gatavas </w:t>
            </w:r>
            <w:r w:rsidR="002432C8" w:rsidRPr="00FD0708">
              <w:rPr>
                <w:rFonts w:ascii="Times New Roman" w:hAnsi="Times New Roman"/>
                <w:sz w:val="24"/>
                <w:szCs w:val="24"/>
              </w:rPr>
              <w:lastRenderedPageBreak/>
              <w:t>iesniegt CFLA līdz 2018. gada beigām.</w:t>
            </w:r>
          </w:p>
          <w:p w14:paraId="1AC341FD" w14:textId="1CB2874E" w:rsidR="002432C8" w:rsidRPr="00FD0708" w:rsidRDefault="002432C8" w:rsidP="002432C8">
            <w:pPr>
              <w:spacing w:after="120"/>
              <w:jc w:val="both"/>
            </w:pPr>
            <w:r w:rsidRPr="00FD0708">
              <w:t xml:space="preserve">Papildu norādām, ka četri (Ādaži, Ķekava, Rēzekne, Amata) no pieciem LPS iebildumā norādītajiem pašvaldību projektu ideju konceptiem nemaz nepiedalījās 2016. gada rīkotajā 3.3.1. SAM trešās projektu atlases kārtas </w:t>
            </w:r>
            <w:proofErr w:type="spellStart"/>
            <w:r w:rsidRPr="00FD0708">
              <w:t>priekšatlasē</w:t>
            </w:r>
            <w:proofErr w:type="spellEnd"/>
            <w:r w:rsidRPr="00FD0708">
              <w:t>. Savukārt Salaspils projekt</w:t>
            </w:r>
            <w:r w:rsidR="000C6A78" w:rsidRPr="00FD0708">
              <w:t>a</w:t>
            </w:r>
            <w:r w:rsidRPr="00FD0708">
              <w:t xml:space="preserve"> idej</w:t>
            </w:r>
            <w:r w:rsidR="000C6A78" w:rsidRPr="00FD0708">
              <w:t>as</w:t>
            </w:r>
            <w:r w:rsidRPr="00FD0708">
              <w:t xml:space="preserve"> koncepts ierindojās 74. vietā</w:t>
            </w:r>
            <w:r w:rsidR="000C6A78" w:rsidRPr="00FD0708">
              <w:t>.</w:t>
            </w:r>
          </w:p>
        </w:tc>
        <w:tc>
          <w:tcPr>
            <w:tcW w:w="1141" w:type="pct"/>
            <w:tcBorders>
              <w:top w:val="single" w:sz="4" w:space="0" w:color="auto"/>
              <w:left w:val="single" w:sz="4" w:space="0" w:color="auto"/>
              <w:bottom w:val="single" w:sz="4" w:space="0" w:color="auto"/>
            </w:tcBorders>
            <w:shd w:val="clear" w:color="auto" w:fill="auto"/>
          </w:tcPr>
          <w:p w14:paraId="4FC734EA" w14:textId="088EE939" w:rsidR="002432C8" w:rsidRPr="00FD0708" w:rsidRDefault="002432C8" w:rsidP="002432C8">
            <w:pPr>
              <w:autoSpaceDE w:val="0"/>
              <w:autoSpaceDN w:val="0"/>
              <w:ind w:left="137" w:right="62"/>
              <w:jc w:val="both"/>
            </w:pPr>
            <w:r w:rsidRPr="00FD0708">
              <w:lastRenderedPageBreak/>
              <w:t>-</w:t>
            </w:r>
          </w:p>
        </w:tc>
      </w:tr>
      <w:tr w:rsidR="002432C8" w:rsidRPr="00FD0708" w14:paraId="044D0103" w14:textId="77777777" w:rsidTr="00C93B46">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335173EF" w14:textId="2323D056" w:rsidR="002432C8" w:rsidRPr="00FD0708" w:rsidRDefault="002432C8" w:rsidP="002432C8">
            <w:pPr>
              <w:pStyle w:val="naisc"/>
              <w:numPr>
                <w:ilvl w:val="0"/>
                <w:numId w:val="2"/>
              </w:numPr>
              <w:spacing w:before="0" w:after="0"/>
              <w:rPr>
                <w:sz w:val="22"/>
                <w:szCs w:val="22"/>
              </w:rPr>
            </w:pPr>
          </w:p>
        </w:tc>
        <w:tc>
          <w:tcPr>
            <w:tcW w:w="1404" w:type="pct"/>
            <w:vMerge w:val="restart"/>
            <w:tcBorders>
              <w:top w:val="single" w:sz="6" w:space="0" w:color="000000"/>
              <w:left w:val="single" w:sz="6" w:space="0" w:color="000000"/>
              <w:right w:val="single" w:sz="6" w:space="0" w:color="000000"/>
            </w:tcBorders>
            <w:shd w:val="clear" w:color="auto" w:fill="auto"/>
          </w:tcPr>
          <w:p w14:paraId="56D9758F" w14:textId="14E8D56E" w:rsidR="002432C8" w:rsidRPr="00FD0708" w:rsidRDefault="002432C8" w:rsidP="002432C8">
            <w:pPr>
              <w:jc w:val="both"/>
              <w:outlineLvl w:val="0"/>
            </w:pPr>
            <w:r w:rsidRPr="00FD0708">
              <w:t>Noteikumu projekts</w:t>
            </w: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02CD73F6" w14:textId="08EEC301" w:rsidR="002432C8" w:rsidRPr="00FD0708" w:rsidRDefault="002432C8" w:rsidP="002432C8">
            <w:pPr>
              <w:spacing w:after="120"/>
              <w:jc w:val="both"/>
              <w:rPr>
                <w:b/>
              </w:rPr>
            </w:pPr>
            <w:r w:rsidRPr="00FD0708">
              <w:rPr>
                <w:b/>
                <w:lang w:eastAsia="en-US"/>
              </w:rPr>
              <w:t xml:space="preserve">Tieslietu ministrija </w:t>
            </w:r>
            <w:r w:rsidRPr="00FD0708">
              <w:rPr>
                <w:b/>
              </w:rPr>
              <w:t>(31.01.2020. atzinums)</w:t>
            </w:r>
          </w:p>
          <w:p w14:paraId="6596053D" w14:textId="373CB786" w:rsidR="002432C8" w:rsidRPr="00FD0708" w:rsidRDefault="002432C8" w:rsidP="002432C8">
            <w:pPr>
              <w:tabs>
                <w:tab w:val="left" w:pos="720"/>
                <w:tab w:val="left" w:pos="993"/>
              </w:tabs>
              <w:jc w:val="both"/>
            </w:pPr>
            <w:r w:rsidRPr="00FD0708">
              <w:t xml:space="preserve">Ņemot vērā, ka ar noteikumu projektu cita starpā paredzēti nosacījumi 3.3.1. specifiskā atbalsta mērķa snieguma rezerves finansējuma izmantošanai, kā arī šobrīd noteikumu Nr. 593 14. punkts pēc būtības paredz norādītajam specifiskā atbalsta mērķa atlases kārtās pieejamo Eiropas Reģionālās attīstības fonda finansējumu, lūdzam izvērtēt un skaidrot, vai ir aktuāli un nepieciešams noteikumos Nr. 593 saglabāt tiesību normas, kas saistās ar snieguma rezerves nosacījuma ierobežojumu, piemēram, minēto noteikumu 15. punktu, kas paredz plānoto finansējuma apmēru 3.1.1. specifiskā atbalsta mērķa atlases kārtām līdz 2018. gada 31. decembrim. </w:t>
            </w:r>
            <w:r w:rsidRPr="00FD0708">
              <w:lastRenderedPageBreak/>
              <w:t>Nepieciešamības gadījumā lūdzam precizēt noteikumu projektu.</w:t>
            </w:r>
          </w:p>
        </w:tc>
        <w:tc>
          <w:tcPr>
            <w:tcW w:w="923" w:type="pct"/>
            <w:vMerge w:val="restart"/>
            <w:tcBorders>
              <w:top w:val="single" w:sz="6" w:space="0" w:color="000000"/>
              <w:left w:val="single" w:sz="6" w:space="0" w:color="000000"/>
              <w:right w:val="single" w:sz="6" w:space="0" w:color="000000"/>
            </w:tcBorders>
            <w:shd w:val="clear" w:color="auto" w:fill="auto"/>
          </w:tcPr>
          <w:p w14:paraId="67AC15A2" w14:textId="3D4992B7" w:rsidR="002432C8" w:rsidRPr="00FD0708" w:rsidRDefault="002432C8" w:rsidP="002432C8">
            <w:pPr>
              <w:spacing w:after="120"/>
              <w:jc w:val="both"/>
            </w:pPr>
            <w:r w:rsidRPr="00FD0708">
              <w:rPr>
                <w:b/>
                <w:lang w:eastAsia="en-US"/>
              </w:rPr>
              <w:lastRenderedPageBreak/>
              <w:t>Ņemts vērā</w:t>
            </w:r>
          </w:p>
        </w:tc>
        <w:tc>
          <w:tcPr>
            <w:tcW w:w="1141" w:type="pct"/>
            <w:vMerge w:val="restart"/>
            <w:tcBorders>
              <w:top w:val="single" w:sz="4" w:space="0" w:color="auto"/>
              <w:left w:val="single" w:sz="4" w:space="0" w:color="auto"/>
            </w:tcBorders>
            <w:shd w:val="clear" w:color="auto" w:fill="auto"/>
          </w:tcPr>
          <w:p w14:paraId="126BE65D" w14:textId="4E381A73" w:rsidR="002432C8" w:rsidRPr="00802D9E" w:rsidRDefault="00D36822" w:rsidP="002432C8">
            <w:pPr>
              <w:tabs>
                <w:tab w:val="left" w:pos="1134"/>
              </w:tabs>
              <w:jc w:val="both"/>
              <w:rPr>
                <w:bCs/>
                <w:shd w:val="clear" w:color="auto" w:fill="FFFFFF"/>
              </w:rPr>
            </w:pPr>
            <w:r w:rsidRPr="00802D9E">
              <w:rPr>
                <w:bCs/>
                <w:shd w:val="clear" w:color="auto" w:fill="FFFFFF"/>
              </w:rPr>
              <w:t>3</w:t>
            </w:r>
            <w:r w:rsidR="002432C8" w:rsidRPr="00802D9E">
              <w:rPr>
                <w:bCs/>
                <w:shd w:val="clear" w:color="auto" w:fill="FFFFFF"/>
              </w:rPr>
              <w:t>. Svītrot 15., 16. un 17. punktu.</w:t>
            </w:r>
          </w:p>
          <w:p w14:paraId="0DA6AC92" w14:textId="77777777" w:rsidR="002432C8" w:rsidRPr="00802D9E" w:rsidRDefault="002432C8" w:rsidP="002432C8">
            <w:pPr>
              <w:autoSpaceDE w:val="0"/>
              <w:autoSpaceDN w:val="0"/>
              <w:adjustRightInd w:val="0"/>
              <w:ind w:right="141"/>
              <w:jc w:val="both"/>
            </w:pPr>
          </w:p>
          <w:p w14:paraId="18BC210F" w14:textId="33F4F087" w:rsidR="002432C8" w:rsidRPr="00802D9E" w:rsidRDefault="002432C8" w:rsidP="002432C8">
            <w:pPr>
              <w:autoSpaceDE w:val="0"/>
              <w:autoSpaceDN w:val="0"/>
              <w:adjustRightInd w:val="0"/>
              <w:ind w:right="141"/>
              <w:jc w:val="both"/>
            </w:pPr>
          </w:p>
        </w:tc>
      </w:tr>
      <w:tr w:rsidR="002432C8" w:rsidRPr="00FD0708" w14:paraId="0DA63A28" w14:textId="77777777" w:rsidTr="00C93B46">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4076C150" w14:textId="77777777" w:rsidR="002432C8" w:rsidRPr="00FD0708" w:rsidRDefault="002432C8" w:rsidP="002432C8">
            <w:pPr>
              <w:pStyle w:val="naisc"/>
              <w:numPr>
                <w:ilvl w:val="0"/>
                <w:numId w:val="2"/>
              </w:numPr>
              <w:spacing w:before="0" w:after="0"/>
              <w:rPr>
                <w:sz w:val="22"/>
                <w:szCs w:val="22"/>
              </w:rPr>
            </w:pPr>
          </w:p>
        </w:tc>
        <w:tc>
          <w:tcPr>
            <w:tcW w:w="1404" w:type="pct"/>
            <w:vMerge/>
            <w:tcBorders>
              <w:left w:val="single" w:sz="6" w:space="0" w:color="000000"/>
              <w:bottom w:val="single" w:sz="6" w:space="0" w:color="000000"/>
              <w:right w:val="single" w:sz="6" w:space="0" w:color="000000"/>
            </w:tcBorders>
            <w:shd w:val="clear" w:color="auto" w:fill="auto"/>
          </w:tcPr>
          <w:p w14:paraId="26E2E91D" w14:textId="77777777" w:rsidR="002432C8" w:rsidRPr="00FD0708" w:rsidRDefault="002432C8" w:rsidP="002432C8">
            <w:pPr>
              <w:jc w:val="both"/>
              <w:outlineLvl w:val="0"/>
              <w:rPr>
                <w:sz w:val="22"/>
                <w:szCs w:val="22"/>
              </w:rPr>
            </w:pP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3BF29C8A" w14:textId="77777777" w:rsidR="002432C8" w:rsidRPr="00FD0708" w:rsidRDefault="002432C8" w:rsidP="002432C8">
            <w:pPr>
              <w:spacing w:after="120"/>
              <w:jc w:val="both"/>
              <w:rPr>
                <w:b/>
              </w:rPr>
            </w:pPr>
            <w:r w:rsidRPr="00FD0708">
              <w:rPr>
                <w:b/>
                <w:lang w:eastAsia="en-US"/>
              </w:rPr>
              <w:t xml:space="preserve">Finanšu ministrija </w:t>
            </w:r>
            <w:r w:rsidRPr="00FD0708">
              <w:rPr>
                <w:b/>
              </w:rPr>
              <w:t>(31.01.2020. atzinums)</w:t>
            </w:r>
          </w:p>
          <w:p w14:paraId="6A15C936" w14:textId="3406D88A" w:rsidR="002432C8" w:rsidRPr="00FD0708" w:rsidRDefault="002432C8" w:rsidP="002432C8">
            <w:pPr>
              <w:jc w:val="both"/>
            </w:pPr>
            <w:r w:rsidRPr="00FD0708">
              <w:rPr>
                <w:shd w:val="clear" w:color="auto" w:fill="FFFFFF"/>
              </w:rPr>
              <w:t xml:space="preserve">Lūdzam izvērtēt iespēju papildināt noteikumu projektu, paredzot svītrot MK noteikumu Nr. 593 15., 16. un 17.punktu </w:t>
            </w:r>
            <w:r w:rsidRPr="00FD0708">
              <w:t>ņemot vērā, ka ar MK 2019.gada 11.oktobra lēmumu tika atbalstīta 3.3.1.SAM snieguma rezerves finansējuma izmantošana 3.3.1.SAM ietvaros.</w:t>
            </w:r>
          </w:p>
        </w:tc>
        <w:tc>
          <w:tcPr>
            <w:tcW w:w="923" w:type="pct"/>
            <w:vMerge/>
            <w:tcBorders>
              <w:left w:val="single" w:sz="6" w:space="0" w:color="000000"/>
              <w:bottom w:val="single" w:sz="6" w:space="0" w:color="000000"/>
              <w:right w:val="single" w:sz="6" w:space="0" w:color="000000"/>
            </w:tcBorders>
            <w:shd w:val="clear" w:color="auto" w:fill="auto"/>
          </w:tcPr>
          <w:p w14:paraId="60D507FD" w14:textId="77777777" w:rsidR="002432C8" w:rsidRPr="00FD0708" w:rsidRDefault="002432C8" w:rsidP="002432C8">
            <w:pPr>
              <w:spacing w:after="120"/>
              <w:ind w:left="-111"/>
              <w:jc w:val="both"/>
            </w:pPr>
          </w:p>
        </w:tc>
        <w:tc>
          <w:tcPr>
            <w:tcW w:w="1141" w:type="pct"/>
            <w:vMerge/>
            <w:tcBorders>
              <w:left w:val="single" w:sz="4" w:space="0" w:color="auto"/>
              <w:bottom w:val="single" w:sz="4" w:space="0" w:color="auto"/>
            </w:tcBorders>
            <w:shd w:val="clear" w:color="auto" w:fill="auto"/>
          </w:tcPr>
          <w:p w14:paraId="67A059E9" w14:textId="77777777" w:rsidR="002432C8" w:rsidRPr="00FD0708" w:rsidRDefault="002432C8" w:rsidP="002432C8">
            <w:pPr>
              <w:autoSpaceDE w:val="0"/>
              <w:autoSpaceDN w:val="0"/>
              <w:adjustRightInd w:val="0"/>
              <w:ind w:left="137" w:right="141"/>
              <w:jc w:val="both"/>
            </w:pPr>
          </w:p>
        </w:tc>
      </w:tr>
      <w:tr w:rsidR="002432C8" w:rsidRPr="00FD0708" w14:paraId="4AD9CFD9" w14:textId="77777777" w:rsidTr="00BB3C79">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23364927" w14:textId="77777777" w:rsidR="002432C8" w:rsidRPr="00FD0708" w:rsidRDefault="002432C8" w:rsidP="002432C8">
            <w:pPr>
              <w:pStyle w:val="naisc"/>
              <w:numPr>
                <w:ilvl w:val="0"/>
                <w:numId w:val="2"/>
              </w:numPr>
              <w:spacing w:before="0" w:after="0"/>
              <w:rPr>
                <w:sz w:val="22"/>
                <w:szCs w:val="22"/>
              </w:rPr>
            </w:pPr>
          </w:p>
        </w:tc>
        <w:tc>
          <w:tcPr>
            <w:tcW w:w="1404" w:type="pct"/>
            <w:tcBorders>
              <w:top w:val="single" w:sz="6" w:space="0" w:color="000000"/>
              <w:left w:val="single" w:sz="6" w:space="0" w:color="000000"/>
              <w:bottom w:val="single" w:sz="6" w:space="0" w:color="000000"/>
              <w:right w:val="single" w:sz="6" w:space="0" w:color="000000"/>
            </w:tcBorders>
            <w:shd w:val="clear" w:color="auto" w:fill="auto"/>
          </w:tcPr>
          <w:p w14:paraId="74A12300" w14:textId="2107A1C8" w:rsidR="002432C8" w:rsidRPr="00FD0708" w:rsidRDefault="002432C8" w:rsidP="002432C8">
            <w:pPr>
              <w:jc w:val="both"/>
              <w:outlineLvl w:val="0"/>
            </w:pPr>
            <w:r w:rsidRPr="00FD0708">
              <w:t>Noteikumu projekts</w:t>
            </w: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03C8D76B" w14:textId="77777777" w:rsidR="002432C8" w:rsidRPr="00FD0708" w:rsidRDefault="002432C8" w:rsidP="002432C8">
            <w:pPr>
              <w:spacing w:after="120"/>
              <w:jc w:val="both"/>
              <w:rPr>
                <w:b/>
              </w:rPr>
            </w:pPr>
            <w:r w:rsidRPr="00FD0708">
              <w:rPr>
                <w:b/>
                <w:lang w:eastAsia="en-US"/>
              </w:rPr>
              <w:t xml:space="preserve">Finanšu ministrija </w:t>
            </w:r>
            <w:r w:rsidRPr="00FD0708">
              <w:rPr>
                <w:b/>
              </w:rPr>
              <w:t>(31.01.2020. atzinums)</w:t>
            </w:r>
          </w:p>
          <w:p w14:paraId="64C89BED" w14:textId="1C297792" w:rsidR="002432C8" w:rsidRPr="00FD0708" w:rsidRDefault="002432C8" w:rsidP="002432C8">
            <w:pPr>
              <w:jc w:val="both"/>
            </w:pPr>
            <w:r w:rsidRPr="00FD0708">
              <w:t>Lūdzam pārskatīt MK noteikumu Nr.593</w:t>
            </w:r>
            <w:r w:rsidRPr="00FD0708">
              <w:rPr>
                <w:rStyle w:val="FootnoteReference"/>
              </w:rPr>
              <w:footnoteReference w:id="9"/>
            </w:r>
            <w:r w:rsidRPr="00FD0708">
              <w:t xml:space="preserve"> 42.punktu, kas nosaka projekta neattiecināmās izmaksas, ar mērķi samazināt negatīvo ietekmi uz vispārējās valdības budžetu, ņemot vērā ierobežotās finansējuma iespējas neattiecināmo izmaksu segšanai, kā arī līdz šim FM pausto viedokli neattiecināmo izmaksu ierobežošanai un FM 2019.gada 19.jūnija vēstulē</w:t>
            </w:r>
            <w:r w:rsidRPr="00FD0708">
              <w:rPr>
                <w:vertAlign w:val="superscript"/>
              </w:rPr>
              <w:footnoteReference w:id="10"/>
            </w:r>
            <w:r w:rsidRPr="00FD0708">
              <w:t xml:space="preserve"> norādīto, ka neattiecināmo izmaksu nepieļaušanas/ierobežošanas princips attiecas arī uz turpmākiem investīciju plāniem. Atbilstoši lūdzam precizēt arī anotāciju.</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42F52274" w14:textId="77777777" w:rsidR="00802D9E" w:rsidRPr="00FD0708" w:rsidRDefault="00802D9E" w:rsidP="00802D9E">
            <w:pPr>
              <w:spacing w:after="120"/>
              <w:jc w:val="both"/>
              <w:rPr>
                <w:b/>
                <w:lang w:eastAsia="en-US"/>
              </w:rPr>
            </w:pPr>
            <w:r>
              <w:rPr>
                <w:b/>
                <w:lang w:eastAsia="en-US"/>
              </w:rPr>
              <w:t>Panākta vienošanās noteikumu projekta skaņošanas laikā</w:t>
            </w:r>
          </w:p>
          <w:p w14:paraId="1FB30A96" w14:textId="313E0299" w:rsidR="002432C8" w:rsidRPr="00FD0708" w:rsidRDefault="002432C8" w:rsidP="002432C8">
            <w:pPr>
              <w:tabs>
                <w:tab w:val="left" w:pos="567"/>
              </w:tabs>
              <w:spacing w:after="120"/>
              <w:jc w:val="both"/>
            </w:pPr>
            <w:r w:rsidRPr="00FD0708">
              <w:rPr>
                <w:lang w:eastAsia="en-US"/>
              </w:rPr>
              <w:t>Vēršam uzmanību, ka VARAM savas kompetences ietvaros atbilstoši Finanšu ministrijas aicinājumam jau 2019. gada vasarā izskatīja un izvērtēja neattiecināmās izmaksas specifisko atbalsta mērķos, tai skaitā 3.3.1. SAM un pauda viedokli</w:t>
            </w:r>
            <w:r w:rsidRPr="00FD0708">
              <w:rPr>
                <w:rStyle w:val="FootnoteReference"/>
                <w:lang w:eastAsia="en-US"/>
              </w:rPr>
              <w:footnoteReference w:id="11"/>
            </w:r>
            <w:r w:rsidRPr="00FD0708">
              <w:rPr>
                <w:lang w:eastAsia="en-US"/>
              </w:rPr>
              <w:t xml:space="preserve">, ka neattiecināmo izmaksu izslēgšana no projektiem nav pieļaujama </w:t>
            </w:r>
            <w:r w:rsidRPr="00FD0708">
              <w:rPr>
                <w:lang w:eastAsia="en-US"/>
              </w:rPr>
              <w:lastRenderedPageBreak/>
              <w:t>tajos specifisk</w:t>
            </w:r>
            <w:r w:rsidR="00CC009D" w:rsidRPr="00FD0708">
              <w:rPr>
                <w:lang w:eastAsia="en-US"/>
              </w:rPr>
              <w:t>ajos</w:t>
            </w:r>
            <w:r w:rsidRPr="00FD0708">
              <w:rPr>
                <w:lang w:eastAsia="en-US"/>
              </w:rPr>
              <w:t xml:space="preserve"> atbalsta mērķos, kuros neattiecināmās izmaksas ir tieši saistītas ar projektu un ir nepieciešamas mērķa sasniegšanai. VARAM pauda arī viedokli, ka </w:t>
            </w:r>
            <w:r w:rsidRPr="00FD0708">
              <w:t>liela daļa projektu neattiecināmās izmaksas VARAM specifisko atbalsta mērķ</w:t>
            </w:r>
            <w:r w:rsidR="00CC009D" w:rsidRPr="00FD0708">
              <w:t>u</w:t>
            </w:r>
            <w:r w:rsidRPr="00FD0708">
              <w:t xml:space="preserve"> ietvaros, tai skaitā 3.3.1. SAM, pēc būtības ir uzskatāmas par projekt</w:t>
            </w:r>
            <w:r w:rsidR="00CC009D" w:rsidRPr="00FD0708">
              <w:t>u</w:t>
            </w:r>
            <w:r w:rsidRPr="00FD0708">
              <w:t xml:space="preserve"> attiecināmajām izmaksām, un tās ir nepieciešamas projekt</w:t>
            </w:r>
            <w:r w:rsidR="00CC009D" w:rsidRPr="00FD0708">
              <w:t>u</w:t>
            </w:r>
            <w:r w:rsidRPr="00FD0708">
              <w:t xml:space="preserve"> mērķu sasniegšanai un objektu nodošanai ekspluatācijā. Piemēram:</w:t>
            </w:r>
          </w:p>
          <w:p w14:paraId="32A9ED1E" w14:textId="77777777" w:rsidR="002432C8" w:rsidRPr="00FD0708" w:rsidRDefault="002432C8" w:rsidP="002432C8">
            <w:pPr>
              <w:pStyle w:val="ListParagraph"/>
              <w:widowControl w:val="0"/>
              <w:numPr>
                <w:ilvl w:val="0"/>
                <w:numId w:val="16"/>
              </w:numPr>
              <w:spacing w:after="120" w:line="240" w:lineRule="auto"/>
              <w:ind w:left="352"/>
              <w:jc w:val="both"/>
              <w:rPr>
                <w:rFonts w:ascii="Times New Roman" w:hAnsi="Times New Roman"/>
                <w:sz w:val="24"/>
                <w:szCs w:val="24"/>
              </w:rPr>
            </w:pPr>
            <w:r w:rsidRPr="00FD0708">
              <w:rPr>
                <w:rFonts w:ascii="Times New Roman" w:hAnsi="Times New Roman"/>
                <w:sz w:val="24"/>
                <w:szCs w:val="24"/>
              </w:rPr>
              <w:t xml:space="preserve">neattiecināmās izmaksas veidojas, attiecināmajām izmaksām pārsniedzot attiecināmo izmaksu apmēru ierobežojumus, kas noteikti attiecīgajos Ministru kabineta noteikumos par specifiskā atbalsta mērķa īstenošanu un Finanšu ministrijas izstrādātajās vadlīnijās par attiecināmo un neattiecināmo izmaksu noteikšanu 2014.-2020. gada plānošanas </w:t>
            </w:r>
            <w:r w:rsidRPr="00FD0708">
              <w:rPr>
                <w:rFonts w:ascii="Times New Roman" w:hAnsi="Times New Roman"/>
                <w:sz w:val="24"/>
                <w:szCs w:val="24"/>
              </w:rPr>
              <w:lastRenderedPageBreak/>
              <w:t>periodā;</w:t>
            </w:r>
          </w:p>
          <w:p w14:paraId="4CC1F9F6" w14:textId="77777777" w:rsidR="002432C8" w:rsidRPr="00FD0708" w:rsidRDefault="002432C8" w:rsidP="002432C8">
            <w:pPr>
              <w:pStyle w:val="ListParagraph"/>
              <w:widowControl w:val="0"/>
              <w:numPr>
                <w:ilvl w:val="0"/>
                <w:numId w:val="16"/>
              </w:numPr>
              <w:spacing w:after="120" w:line="240" w:lineRule="auto"/>
              <w:ind w:left="352"/>
              <w:jc w:val="both"/>
              <w:rPr>
                <w:rFonts w:ascii="Times New Roman" w:hAnsi="Times New Roman"/>
                <w:sz w:val="24"/>
                <w:szCs w:val="24"/>
              </w:rPr>
            </w:pPr>
            <w:r w:rsidRPr="00FD0708">
              <w:rPr>
                <w:rFonts w:ascii="Times New Roman" w:hAnsi="Times New Roman"/>
                <w:sz w:val="24"/>
                <w:szCs w:val="24"/>
              </w:rPr>
              <w:t>neattiecināmās izmaksas veidojas rodoties attiecināmo izmaksu sadārdzinājumam.</w:t>
            </w:r>
          </w:p>
          <w:p w14:paraId="7F12C6B5" w14:textId="32F6749C" w:rsidR="002432C8" w:rsidRPr="00FD0708" w:rsidRDefault="002432C8" w:rsidP="002432C8">
            <w:pPr>
              <w:widowControl w:val="0"/>
              <w:spacing w:after="120"/>
              <w:ind w:left="-8"/>
              <w:jc w:val="both"/>
            </w:pPr>
            <w:r w:rsidRPr="00FD0708">
              <w:t>Attiecīgi noteikumu 68. punkts, kas regulē neattiecināmās izmaksas</w:t>
            </w:r>
            <w:r w:rsidR="00CC009D" w:rsidRPr="00FD0708">
              <w:t>,</w:t>
            </w:r>
            <w:r w:rsidRPr="00FD0708">
              <w:t xml:space="preserve"> netiek mainīts.</w:t>
            </w:r>
          </w:p>
        </w:tc>
        <w:tc>
          <w:tcPr>
            <w:tcW w:w="1141" w:type="pct"/>
            <w:tcBorders>
              <w:top w:val="single" w:sz="4" w:space="0" w:color="auto"/>
              <w:left w:val="single" w:sz="4" w:space="0" w:color="auto"/>
              <w:bottom w:val="single" w:sz="4" w:space="0" w:color="auto"/>
            </w:tcBorders>
            <w:shd w:val="clear" w:color="auto" w:fill="auto"/>
          </w:tcPr>
          <w:p w14:paraId="0E5E1860" w14:textId="4050C4AA" w:rsidR="002432C8" w:rsidRPr="00FD0708" w:rsidRDefault="002432C8" w:rsidP="002432C8">
            <w:pPr>
              <w:autoSpaceDE w:val="0"/>
              <w:autoSpaceDN w:val="0"/>
              <w:ind w:left="137" w:right="62"/>
              <w:jc w:val="both"/>
            </w:pPr>
            <w:r w:rsidRPr="00FD0708">
              <w:lastRenderedPageBreak/>
              <w:t>-</w:t>
            </w:r>
          </w:p>
        </w:tc>
      </w:tr>
      <w:tr w:rsidR="002432C8" w:rsidRPr="00FD0708" w14:paraId="46057BB4" w14:textId="77777777" w:rsidTr="00F52126">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538CA5B3" w14:textId="3B8C4533" w:rsidR="002432C8" w:rsidRPr="00FD0708" w:rsidRDefault="002432C8" w:rsidP="002432C8">
            <w:pPr>
              <w:pStyle w:val="naisc"/>
              <w:numPr>
                <w:ilvl w:val="0"/>
                <w:numId w:val="2"/>
              </w:numPr>
              <w:spacing w:before="0" w:after="0"/>
              <w:rPr>
                <w:sz w:val="22"/>
                <w:szCs w:val="22"/>
              </w:rPr>
            </w:pPr>
          </w:p>
        </w:tc>
        <w:tc>
          <w:tcPr>
            <w:tcW w:w="1404" w:type="pct"/>
            <w:tcBorders>
              <w:top w:val="single" w:sz="6" w:space="0" w:color="000000"/>
              <w:left w:val="single" w:sz="6" w:space="0" w:color="000000"/>
              <w:bottom w:val="single" w:sz="6" w:space="0" w:color="000000"/>
              <w:right w:val="single" w:sz="6" w:space="0" w:color="000000"/>
            </w:tcBorders>
            <w:shd w:val="clear" w:color="auto" w:fill="auto"/>
          </w:tcPr>
          <w:p w14:paraId="55BDAEE0" w14:textId="12C612E2" w:rsidR="002432C8" w:rsidRPr="00FD0708" w:rsidRDefault="002432C8" w:rsidP="002432C8">
            <w:pPr>
              <w:jc w:val="both"/>
              <w:outlineLvl w:val="0"/>
            </w:pPr>
            <w:r w:rsidRPr="00FD0708">
              <w:t>Noteikumu projekts</w:t>
            </w: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4A36DBE3" w14:textId="77777777" w:rsidR="002432C8" w:rsidRPr="00FD0708" w:rsidRDefault="002432C8" w:rsidP="002432C8">
            <w:pPr>
              <w:spacing w:after="120"/>
              <w:jc w:val="both"/>
              <w:rPr>
                <w:b/>
              </w:rPr>
            </w:pPr>
            <w:r w:rsidRPr="00FD0708">
              <w:rPr>
                <w:b/>
                <w:lang w:eastAsia="en-US"/>
              </w:rPr>
              <w:t xml:space="preserve">Finanšu ministrija </w:t>
            </w:r>
            <w:r w:rsidRPr="00FD0708">
              <w:rPr>
                <w:b/>
              </w:rPr>
              <w:t>(31.01.2020. atzinums)</w:t>
            </w:r>
          </w:p>
          <w:p w14:paraId="68EAA1F6" w14:textId="41F60464" w:rsidR="002432C8" w:rsidRPr="00FD0708" w:rsidRDefault="002432C8" w:rsidP="002432C8">
            <w:pPr>
              <w:jc w:val="both"/>
            </w:pPr>
            <w:r w:rsidRPr="00FD0708">
              <w:t xml:space="preserve">Ievērojot, ka komercdarbības atbalsts MK noteikumu Nr.593 ietvaros tiek sniegts saskaņā ar </w:t>
            </w:r>
            <w:r w:rsidRPr="00FD0708">
              <w:rPr>
                <w:shd w:val="clear" w:color="auto" w:fill="FFFFFF"/>
              </w:rPr>
              <w:t> Komisijas 2014.gada 17.jūnija Regulu (ES) Nr.651/2014, ar ko noteiktas atbalsta kategorijas atzīst par saderīgām ar iekšējo tirgu, piemērojot Līguma 107. un 108.pantu (turpmāk – Komisijas regula Nr.651/2014), kā arī Komisijas 2013.gada 18.decembra Regulu (ES) Nr.1407/2013 par Līguma par ES darbību 107. un 108.panta piemērošanu </w:t>
            </w:r>
            <w:proofErr w:type="spellStart"/>
            <w:r w:rsidRPr="00FD0708">
              <w:rPr>
                <w:i/>
                <w:iCs/>
                <w:shd w:val="clear" w:color="auto" w:fill="FFFFFF"/>
              </w:rPr>
              <w:t>de</w:t>
            </w:r>
            <w:proofErr w:type="spellEnd"/>
            <w:r w:rsidRPr="00FD0708">
              <w:rPr>
                <w:i/>
                <w:iCs/>
                <w:shd w:val="clear" w:color="auto" w:fill="FFFFFF"/>
              </w:rPr>
              <w:t xml:space="preserve"> </w:t>
            </w:r>
            <w:proofErr w:type="spellStart"/>
            <w:r w:rsidRPr="00FD0708">
              <w:rPr>
                <w:i/>
                <w:iCs/>
                <w:shd w:val="clear" w:color="auto" w:fill="FFFFFF"/>
              </w:rPr>
              <w:t>minimis</w:t>
            </w:r>
            <w:proofErr w:type="spellEnd"/>
            <w:r w:rsidRPr="00FD0708">
              <w:rPr>
                <w:shd w:val="clear" w:color="auto" w:fill="FFFFFF"/>
              </w:rPr>
              <w:t> atbalstam (turpmāk – Komisijas regula Nr. 1407/2013)</w:t>
            </w:r>
            <w:r w:rsidRPr="00FD0708">
              <w:t xml:space="preserve"> un, ņemot vērā aktuālāko Eiropas Savienības tiesas judikatūru (sk. Eiropas Savienības Tiesas 2019.gada 5.marta spriedumu lietā Nr.C-349/17 (ECLI:EU:C:2019:172)), lūdzam papildināt noteikumu projektu ar punktu, kas nosaka, ka gadījumos, ja CFLA kā sadarbības iestāde konstatēs, ka piešķirtais atbalsts kvalificējams kā nelikumīgs, proti, konstatēs, ka komercdarbības atbalsta saņēmējs ir pārkāpis  </w:t>
            </w:r>
            <w:r w:rsidRPr="00FD0708">
              <w:rPr>
                <w:shd w:val="clear" w:color="auto" w:fill="FFFFFF"/>
              </w:rPr>
              <w:t xml:space="preserve">Komisijas regulas </w:t>
            </w:r>
            <w:r w:rsidRPr="00FD0708">
              <w:rPr>
                <w:shd w:val="clear" w:color="auto" w:fill="FFFFFF"/>
              </w:rPr>
              <w:lastRenderedPageBreak/>
              <w:t>Nr. 651/2014</w:t>
            </w:r>
            <w:r w:rsidRPr="00FD0708">
              <w:t xml:space="preserve"> vai Komisijas regulas Nr. 1407/2013 prasības, tā uzliks par pienākumu atbalsta saņēmējam atmaksāt sadarbības iestādei saņemto nelikumīgo komercdarbības atbalstu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0C544B5D" w14:textId="23C0CD94" w:rsidR="002432C8" w:rsidRPr="00FD0708" w:rsidRDefault="002432C8" w:rsidP="002432C8">
            <w:pPr>
              <w:spacing w:after="120"/>
              <w:jc w:val="both"/>
              <w:rPr>
                <w:b/>
                <w:lang w:eastAsia="en-US"/>
              </w:rPr>
            </w:pPr>
            <w:r w:rsidRPr="00FD0708">
              <w:rPr>
                <w:b/>
                <w:lang w:eastAsia="en-US"/>
              </w:rPr>
              <w:lastRenderedPageBreak/>
              <w:t>Ņemts vērā</w:t>
            </w:r>
          </w:p>
        </w:tc>
        <w:tc>
          <w:tcPr>
            <w:tcW w:w="1141" w:type="pct"/>
            <w:tcBorders>
              <w:top w:val="single" w:sz="4" w:space="0" w:color="auto"/>
              <w:left w:val="single" w:sz="4" w:space="0" w:color="auto"/>
              <w:bottom w:val="single" w:sz="4" w:space="0" w:color="auto"/>
            </w:tcBorders>
            <w:shd w:val="clear" w:color="auto" w:fill="auto"/>
          </w:tcPr>
          <w:p w14:paraId="0C7DE94E" w14:textId="5357DDE9" w:rsidR="00D36822" w:rsidRPr="00802D9E" w:rsidRDefault="007E0252" w:rsidP="00D36822">
            <w:pPr>
              <w:tabs>
                <w:tab w:val="left" w:pos="1134"/>
              </w:tabs>
              <w:jc w:val="both"/>
            </w:pPr>
            <w:r w:rsidRPr="00802D9E">
              <w:t>8</w:t>
            </w:r>
            <w:r w:rsidR="00D36822" w:rsidRPr="00802D9E">
              <w:t>. Papildināt noteikumus ar 72. un 73. punktu šādā redakcijā:</w:t>
            </w:r>
          </w:p>
          <w:p w14:paraId="556C1C4B" w14:textId="77777777" w:rsidR="00D36822" w:rsidRPr="00802D9E" w:rsidRDefault="00D36822" w:rsidP="00D36822">
            <w:pPr>
              <w:pStyle w:val="ListParagraph"/>
              <w:tabs>
                <w:tab w:val="left" w:pos="1134"/>
              </w:tabs>
              <w:spacing w:after="0" w:line="240" w:lineRule="auto"/>
              <w:ind w:left="709"/>
              <w:jc w:val="both"/>
              <w:rPr>
                <w:rFonts w:ascii="Times New Roman" w:hAnsi="Times New Roman"/>
                <w:sz w:val="24"/>
                <w:szCs w:val="24"/>
              </w:rPr>
            </w:pPr>
          </w:p>
          <w:p w14:paraId="2F86439C" w14:textId="77777777" w:rsidR="00D36822" w:rsidRPr="00802D9E" w:rsidRDefault="00D36822" w:rsidP="00D36822">
            <w:pPr>
              <w:pStyle w:val="ListParagraph"/>
              <w:tabs>
                <w:tab w:val="left" w:pos="1134"/>
              </w:tabs>
              <w:spacing w:after="0" w:line="240" w:lineRule="auto"/>
              <w:ind w:left="0" w:firstLine="709"/>
              <w:jc w:val="both"/>
              <w:rPr>
                <w:rFonts w:ascii="Times New Roman" w:hAnsi="Times New Roman"/>
                <w:sz w:val="24"/>
                <w:szCs w:val="24"/>
                <w:shd w:val="clear" w:color="auto" w:fill="FFFFFF"/>
              </w:rPr>
            </w:pPr>
            <w:r w:rsidRPr="00802D9E">
              <w:rPr>
                <w:rFonts w:ascii="Times New Roman" w:hAnsi="Times New Roman"/>
                <w:sz w:val="24"/>
                <w:szCs w:val="24"/>
                <w:shd w:val="clear" w:color="auto" w:fill="FFFFFF"/>
              </w:rPr>
              <w:t xml:space="preserve">"72. Valsts atbalsta piešķiršanas brīdis ir diena, kad tiek pieņemts lēmums par projekta iesnieguma apstiprināšanu vai izdots atzinums par lēmumā noteikto nosacījumu izpildi, ja iepriekš pieņemts lēmums par projekta iesnieguma apstiprināšanu ar nosacījumu. </w:t>
            </w:r>
          </w:p>
          <w:p w14:paraId="4CDC93C2" w14:textId="77777777" w:rsidR="00D36822" w:rsidRPr="00802D9E" w:rsidRDefault="00D36822" w:rsidP="00D36822">
            <w:pPr>
              <w:tabs>
                <w:tab w:val="left" w:pos="1134"/>
              </w:tabs>
              <w:jc w:val="both"/>
            </w:pPr>
          </w:p>
          <w:p w14:paraId="451D5C62" w14:textId="77777777" w:rsidR="00D36822" w:rsidRPr="00802D9E" w:rsidRDefault="00D36822" w:rsidP="00D36822">
            <w:pPr>
              <w:pStyle w:val="ListParagraph"/>
              <w:tabs>
                <w:tab w:val="left" w:pos="1134"/>
              </w:tabs>
              <w:spacing w:after="0" w:line="240" w:lineRule="auto"/>
              <w:ind w:left="0" w:firstLine="709"/>
              <w:jc w:val="both"/>
              <w:rPr>
                <w:rFonts w:ascii="Times New Roman" w:hAnsi="Times New Roman"/>
                <w:sz w:val="24"/>
                <w:szCs w:val="24"/>
                <w:shd w:val="clear" w:color="auto" w:fill="FFFFFF"/>
              </w:rPr>
            </w:pPr>
            <w:r w:rsidRPr="00802D9E">
              <w:rPr>
                <w:rFonts w:ascii="Times New Roman" w:hAnsi="Times New Roman"/>
                <w:sz w:val="24"/>
                <w:szCs w:val="24"/>
              </w:rPr>
              <w:t xml:space="preserve">"73. Ja tiek konstatēts, ka piešķirtais valsts atbalsts kvalificējams kā nelikumīgs un valsts atbalsta saņēmējs ir pārkāpis Komisijas regulas Nr.  651/2014 vai Komisijas regulas Nr. 1407/2013 prasības, sadarbības iestāde valsts atbalsta saņēmējam uzliek par pienākumu atmaksāt sadarbības iestādei saņemto nelikumīgo valsts atbalstu kopā ar procentiem, ko publicē Eiropas </w:t>
            </w:r>
            <w:r w:rsidRPr="00802D9E">
              <w:rPr>
                <w:rFonts w:ascii="Times New Roman" w:hAnsi="Times New Roman"/>
                <w:sz w:val="24"/>
                <w:szCs w:val="24"/>
              </w:rPr>
              <w:lastRenderedPageBreak/>
              <w:t>Komisija saskaņā ar Komisijas 2004. gada 21. aprīļa regulas (EK) Nr. 794/2004, ar ko īsteno Padomes Regulu (ES) 2015/1589, ar ko nosaka sīki izstrādātus noteikumus Līguma par Eiropas Savienības darbību 108. panta piemērošana (turpmāk – Komisijas regula Nr. 794/2004) 10. pantu, tiem pieskaitot 100 bāzes punktus, no dienas, kad valsts atbalsts tika izmaksāts finansējuma saņēmējam līdz tā atgūšanas dienai, ievērojot Komisijas regulas 794/2004 11. pantā noteikto procentu likmes piemērošanas metodi."</w:t>
            </w:r>
            <w:r w:rsidRPr="00802D9E">
              <w:rPr>
                <w:rFonts w:ascii="Times New Roman" w:hAnsi="Times New Roman"/>
                <w:sz w:val="24"/>
                <w:szCs w:val="24"/>
                <w:shd w:val="clear" w:color="auto" w:fill="FFFFFF"/>
              </w:rPr>
              <w:t xml:space="preserve"> </w:t>
            </w:r>
          </w:p>
          <w:p w14:paraId="18DBDEF7" w14:textId="33B6F265" w:rsidR="002432C8" w:rsidRPr="00802D9E" w:rsidRDefault="002432C8" w:rsidP="002432C8">
            <w:pPr>
              <w:autoSpaceDE w:val="0"/>
              <w:autoSpaceDN w:val="0"/>
              <w:ind w:right="62"/>
              <w:jc w:val="both"/>
            </w:pPr>
          </w:p>
        </w:tc>
      </w:tr>
      <w:tr w:rsidR="002432C8" w:rsidRPr="00FD0708" w14:paraId="24F5240C" w14:textId="77777777" w:rsidTr="00D718B4">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3AEDDB8B" w14:textId="77777777" w:rsidR="002432C8" w:rsidRPr="00FD0708" w:rsidRDefault="002432C8" w:rsidP="002432C8">
            <w:pPr>
              <w:pStyle w:val="naisc"/>
              <w:numPr>
                <w:ilvl w:val="0"/>
                <w:numId w:val="2"/>
              </w:numPr>
              <w:spacing w:before="0" w:after="0"/>
              <w:rPr>
                <w:sz w:val="22"/>
                <w:szCs w:val="22"/>
              </w:rPr>
            </w:pPr>
          </w:p>
        </w:tc>
        <w:tc>
          <w:tcPr>
            <w:tcW w:w="1404" w:type="pct"/>
            <w:tcBorders>
              <w:top w:val="single" w:sz="6" w:space="0" w:color="000000"/>
              <w:left w:val="single" w:sz="6" w:space="0" w:color="000000"/>
              <w:bottom w:val="single" w:sz="6" w:space="0" w:color="000000"/>
              <w:right w:val="single" w:sz="6" w:space="0" w:color="000000"/>
            </w:tcBorders>
            <w:shd w:val="clear" w:color="auto" w:fill="auto"/>
          </w:tcPr>
          <w:p w14:paraId="520C33D2" w14:textId="46B1AFEA" w:rsidR="002432C8" w:rsidRPr="00FD0708" w:rsidRDefault="002432C8" w:rsidP="002432C8">
            <w:pPr>
              <w:jc w:val="both"/>
              <w:outlineLvl w:val="0"/>
            </w:pPr>
            <w:r w:rsidRPr="00FD0708">
              <w:t>Noteikumu projekts</w:t>
            </w: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01057A00" w14:textId="30E35D07" w:rsidR="002432C8" w:rsidRPr="00FD0708" w:rsidRDefault="002432C8" w:rsidP="002432C8">
            <w:pPr>
              <w:spacing w:after="120"/>
              <w:jc w:val="both"/>
              <w:rPr>
                <w:b/>
              </w:rPr>
            </w:pPr>
            <w:r w:rsidRPr="00FD0708">
              <w:rPr>
                <w:b/>
                <w:lang w:eastAsia="en-US"/>
              </w:rPr>
              <w:t xml:space="preserve">Finanšu ministrija </w:t>
            </w:r>
            <w:r w:rsidRPr="00FD0708">
              <w:rPr>
                <w:b/>
              </w:rPr>
              <w:t>(31.01.2020. atzinums)</w:t>
            </w:r>
          </w:p>
          <w:p w14:paraId="392CCE57" w14:textId="1D74A352" w:rsidR="002432C8" w:rsidRPr="00FD0708" w:rsidRDefault="002432C8" w:rsidP="002432C8">
            <w:pPr>
              <w:jc w:val="both"/>
            </w:pPr>
            <w:r w:rsidRPr="00FD0708">
              <w:t xml:space="preserve">Ievērojot, ka </w:t>
            </w:r>
            <w:proofErr w:type="spellStart"/>
            <w:r w:rsidRPr="00FD0708">
              <w:rPr>
                <w:i/>
              </w:rPr>
              <w:t>de</w:t>
            </w:r>
            <w:proofErr w:type="spellEnd"/>
            <w:r w:rsidRPr="00FD0708">
              <w:rPr>
                <w:i/>
              </w:rPr>
              <w:t xml:space="preserve"> </w:t>
            </w:r>
            <w:proofErr w:type="spellStart"/>
            <w:r w:rsidRPr="00FD0708">
              <w:rPr>
                <w:i/>
              </w:rPr>
              <w:t>minimis</w:t>
            </w:r>
            <w:proofErr w:type="spellEnd"/>
            <w:r w:rsidRPr="00FD0708">
              <w:t xml:space="preserve"> atbalsta uzskaitei tiek piemēroti MK noteikumi Nr.715</w:t>
            </w:r>
            <w:r w:rsidRPr="00FD0708">
              <w:rPr>
                <w:rStyle w:val="FootnoteReference"/>
              </w:rPr>
              <w:footnoteReference w:id="12"/>
            </w:r>
            <w:r w:rsidRPr="00FD0708">
              <w:t xml:space="preserve">, kas attiecināmi arī uz </w:t>
            </w:r>
            <w:proofErr w:type="spellStart"/>
            <w:r w:rsidRPr="00FD0708">
              <w:rPr>
                <w:i/>
              </w:rPr>
              <w:t>de</w:t>
            </w:r>
            <w:proofErr w:type="spellEnd"/>
            <w:r w:rsidRPr="00FD0708">
              <w:rPr>
                <w:i/>
              </w:rPr>
              <w:t xml:space="preserve"> </w:t>
            </w:r>
            <w:proofErr w:type="spellStart"/>
            <w:r w:rsidRPr="00FD0708">
              <w:rPr>
                <w:i/>
              </w:rPr>
              <w:t>minimis</w:t>
            </w:r>
            <w:proofErr w:type="spellEnd"/>
            <w:r w:rsidRPr="00FD0708">
              <w:t xml:space="preserve"> atbalsta uzskaiti lauksaimniecības un zivsaimniecības jomā, lūdzam papildināt noteikumu projektu ar jaunu punktu, kas paredz precizēt MK noteikumu Nr.593 65.punktu, ietverot korektu atsauci uz piemērojamo normatīvo aktu.</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06F4AB49" w14:textId="1A1D0F07" w:rsidR="002432C8" w:rsidRPr="00FD0708" w:rsidRDefault="002432C8" w:rsidP="002432C8">
            <w:pPr>
              <w:spacing w:after="120"/>
              <w:jc w:val="both"/>
              <w:rPr>
                <w:b/>
                <w:lang w:eastAsia="en-US"/>
              </w:rPr>
            </w:pPr>
            <w:r w:rsidRPr="00FD0708">
              <w:rPr>
                <w:b/>
                <w:lang w:eastAsia="en-US"/>
              </w:rPr>
              <w:t>Ņemts vērā</w:t>
            </w:r>
          </w:p>
        </w:tc>
        <w:tc>
          <w:tcPr>
            <w:tcW w:w="1141" w:type="pct"/>
            <w:tcBorders>
              <w:top w:val="single" w:sz="4" w:space="0" w:color="auto"/>
              <w:left w:val="single" w:sz="4" w:space="0" w:color="auto"/>
              <w:bottom w:val="single" w:sz="4" w:space="0" w:color="auto"/>
            </w:tcBorders>
            <w:shd w:val="clear" w:color="auto" w:fill="auto"/>
          </w:tcPr>
          <w:p w14:paraId="2185944F" w14:textId="46F5DA58" w:rsidR="002432C8" w:rsidRPr="00802D9E" w:rsidRDefault="007E0252" w:rsidP="002432C8">
            <w:pPr>
              <w:tabs>
                <w:tab w:val="left" w:pos="1134"/>
              </w:tabs>
              <w:jc w:val="both"/>
            </w:pPr>
            <w:r w:rsidRPr="00802D9E">
              <w:t>7</w:t>
            </w:r>
            <w:r w:rsidR="002432C8" w:rsidRPr="00802D9E">
              <w:t>. Izteikt 65. punktu šādā redakcijā:</w:t>
            </w:r>
          </w:p>
          <w:p w14:paraId="1C9769D3" w14:textId="77777777" w:rsidR="002432C8" w:rsidRPr="00802D9E" w:rsidRDefault="002432C8" w:rsidP="002432C8">
            <w:pPr>
              <w:pStyle w:val="ListParagraph"/>
              <w:tabs>
                <w:tab w:val="left" w:pos="1134"/>
              </w:tabs>
              <w:ind w:left="709"/>
              <w:jc w:val="both"/>
              <w:rPr>
                <w:rFonts w:ascii="Times New Roman" w:hAnsi="Times New Roman"/>
                <w:sz w:val="24"/>
                <w:szCs w:val="24"/>
              </w:rPr>
            </w:pPr>
          </w:p>
          <w:p w14:paraId="77C3964C" w14:textId="77777777" w:rsidR="002432C8" w:rsidRPr="00802D9E" w:rsidRDefault="002432C8" w:rsidP="002432C8">
            <w:pPr>
              <w:pStyle w:val="ListParagraph"/>
              <w:spacing w:line="240" w:lineRule="auto"/>
              <w:ind w:left="0"/>
              <w:jc w:val="both"/>
              <w:rPr>
                <w:rFonts w:ascii="Times New Roman" w:hAnsi="Times New Roman"/>
                <w:sz w:val="24"/>
                <w:szCs w:val="24"/>
              </w:rPr>
            </w:pPr>
            <w:r w:rsidRPr="00802D9E">
              <w:rPr>
                <w:rFonts w:ascii="Times New Roman" w:eastAsia="Calibri" w:hAnsi="Times New Roman"/>
                <w:bCs/>
                <w:sz w:val="24"/>
                <w:szCs w:val="24"/>
                <w:shd w:val="clear" w:color="auto" w:fill="FFFFFF"/>
              </w:rPr>
              <w:t>"</w:t>
            </w:r>
            <w:r w:rsidRPr="00802D9E">
              <w:rPr>
                <w:rFonts w:ascii="Times New Roman" w:hAnsi="Times New Roman"/>
                <w:bCs/>
                <w:sz w:val="24"/>
                <w:szCs w:val="24"/>
                <w:shd w:val="clear" w:color="auto" w:fill="FFFFFF"/>
              </w:rPr>
              <w:t>65. </w:t>
            </w:r>
            <w:r w:rsidRPr="00802D9E">
              <w:rPr>
                <w:rFonts w:ascii="Times New Roman" w:hAnsi="Times New Roman"/>
                <w:color w:val="414142"/>
                <w:sz w:val="24"/>
                <w:szCs w:val="24"/>
                <w:shd w:val="clear" w:color="auto" w:fill="FFFFFF"/>
              </w:rPr>
              <w:t> </w:t>
            </w:r>
            <w:proofErr w:type="spellStart"/>
            <w:r w:rsidRPr="00802D9E">
              <w:rPr>
                <w:rFonts w:ascii="Times New Roman" w:hAnsi="Times New Roman"/>
                <w:i/>
                <w:iCs/>
                <w:color w:val="414142"/>
                <w:sz w:val="24"/>
                <w:szCs w:val="24"/>
                <w:shd w:val="clear" w:color="auto" w:fill="FFFFFF"/>
              </w:rPr>
              <w:t>De</w:t>
            </w:r>
            <w:proofErr w:type="spellEnd"/>
            <w:r w:rsidRPr="00802D9E">
              <w:rPr>
                <w:rFonts w:ascii="Times New Roman" w:hAnsi="Times New Roman"/>
                <w:i/>
                <w:iCs/>
                <w:color w:val="414142"/>
                <w:sz w:val="24"/>
                <w:szCs w:val="24"/>
                <w:shd w:val="clear" w:color="auto" w:fill="FFFFFF"/>
              </w:rPr>
              <w:t xml:space="preserve"> </w:t>
            </w:r>
            <w:proofErr w:type="spellStart"/>
            <w:r w:rsidRPr="00802D9E">
              <w:rPr>
                <w:rFonts w:ascii="Times New Roman" w:hAnsi="Times New Roman"/>
                <w:i/>
                <w:iCs/>
                <w:color w:val="414142"/>
                <w:sz w:val="24"/>
                <w:szCs w:val="24"/>
                <w:shd w:val="clear" w:color="auto" w:fill="FFFFFF"/>
              </w:rPr>
              <w:t>minimis</w:t>
            </w:r>
            <w:proofErr w:type="spellEnd"/>
            <w:r w:rsidRPr="00802D9E">
              <w:rPr>
                <w:rFonts w:ascii="Times New Roman" w:hAnsi="Times New Roman"/>
                <w:color w:val="414142"/>
                <w:sz w:val="24"/>
                <w:szCs w:val="24"/>
                <w:shd w:val="clear" w:color="auto" w:fill="FFFFFF"/>
              </w:rPr>
              <w:t> atbalsta uzskaiti veic saskaņā ar normatīvo aktu par </w:t>
            </w:r>
            <w:proofErr w:type="spellStart"/>
            <w:r w:rsidRPr="00802D9E">
              <w:rPr>
                <w:rFonts w:ascii="Times New Roman" w:hAnsi="Times New Roman"/>
                <w:i/>
                <w:iCs/>
                <w:color w:val="414142"/>
                <w:sz w:val="24"/>
                <w:szCs w:val="24"/>
                <w:shd w:val="clear" w:color="auto" w:fill="FFFFFF"/>
              </w:rPr>
              <w:t>de</w:t>
            </w:r>
            <w:proofErr w:type="spellEnd"/>
            <w:r w:rsidRPr="00802D9E">
              <w:rPr>
                <w:rFonts w:ascii="Times New Roman" w:hAnsi="Times New Roman"/>
                <w:i/>
                <w:iCs/>
                <w:color w:val="414142"/>
                <w:sz w:val="24"/>
                <w:szCs w:val="24"/>
                <w:shd w:val="clear" w:color="auto" w:fill="FFFFFF"/>
              </w:rPr>
              <w:t> </w:t>
            </w:r>
            <w:proofErr w:type="spellStart"/>
            <w:r w:rsidRPr="00802D9E">
              <w:rPr>
                <w:rFonts w:ascii="Times New Roman" w:hAnsi="Times New Roman"/>
                <w:i/>
                <w:iCs/>
                <w:color w:val="414142"/>
                <w:sz w:val="24"/>
                <w:szCs w:val="24"/>
                <w:shd w:val="clear" w:color="auto" w:fill="FFFFFF"/>
              </w:rPr>
              <w:t>minimis</w:t>
            </w:r>
            <w:proofErr w:type="spellEnd"/>
            <w:r w:rsidRPr="00802D9E">
              <w:rPr>
                <w:rFonts w:ascii="Times New Roman" w:hAnsi="Times New Roman"/>
                <w:color w:val="414142"/>
                <w:sz w:val="24"/>
                <w:szCs w:val="24"/>
                <w:shd w:val="clear" w:color="auto" w:fill="FFFFFF"/>
              </w:rPr>
              <w:t> atbalsta uzskaites un piešķiršanas kārtību un </w:t>
            </w:r>
            <w:proofErr w:type="spellStart"/>
            <w:r w:rsidRPr="00802D9E">
              <w:rPr>
                <w:rFonts w:ascii="Times New Roman" w:hAnsi="Times New Roman"/>
                <w:i/>
                <w:iCs/>
                <w:color w:val="414142"/>
                <w:sz w:val="24"/>
                <w:szCs w:val="24"/>
                <w:shd w:val="clear" w:color="auto" w:fill="FFFFFF"/>
              </w:rPr>
              <w:t>de</w:t>
            </w:r>
            <w:proofErr w:type="spellEnd"/>
            <w:r w:rsidRPr="00802D9E">
              <w:rPr>
                <w:rFonts w:ascii="Times New Roman" w:hAnsi="Times New Roman"/>
                <w:i/>
                <w:iCs/>
                <w:color w:val="414142"/>
                <w:sz w:val="24"/>
                <w:szCs w:val="24"/>
                <w:shd w:val="clear" w:color="auto" w:fill="FFFFFF"/>
              </w:rPr>
              <w:t xml:space="preserve"> </w:t>
            </w:r>
            <w:proofErr w:type="spellStart"/>
            <w:r w:rsidRPr="00802D9E">
              <w:rPr>
                <w:rFonts w:ascii="Times New Roman" w:hAnsi="Times New Roman"/>
                <w:i/>
                <w:iCs/>
                <w:color w:val="414142"/>
                <w:sz w:val="24"/>
                <w:szCs w:val="24"/>
                <w:shd w:val="clear" w:color="auto" w:fill="FFFFFF"/>
              </w:rPr>
              <w:t>minimis</w:t>
            </w:r>
            <w:proofErr w:type="spellEnd"/>
            <w:r w:rsidRPr="00802D9E">
              <w:rPr>
                <w:rFonts w:ascii="Times New Roman" w:hAnsi="Times New Roman"/>
                <w:color w:val="414142"/>
                <w:sz w:val="24"/>
                <w:szCs w:val="24"/>
                <w:shd w:val="clear" w:color="auto" w:fill="FFFFFF"/>
              </w:rPr>
              <w:t> atbalsta uzskaites veidlapu paraugiem.</w:t>
            </w:r>
            <w:r w:rsidRPr="00802D9E">
              <w:rPr>
                <w:rFonts w:ascii="Times New Roman" w:eastAsia="Calibri" w:hAnsi="Times New Roman"/>
                <w:bCs/>
                <w:sz w:val="24"/>
                <w:szCs w:val="24"/>
                <w:shd w:val="clear" w:color="auto" w:fill="FFFFFF"/>
              </w:rPr>
              <w:t>"</w:t>
            </w:r>
          </w:p>
          <w:p w14:paraId="735BD487" w14:textId="77777777" w:rsidR="002432C8" w:rsidRPr="00802D9E" w:rsidRDefault="002432C8" w:rsidP="002432C8">
            <w:pPr>
              <w:autoSpaceDE w:val="0"/>
              <w:autoSpaceDN w:val="0"/>
              <w:ind w:left="137" w:right="62"/>
              <w:jc w:val="both"/>
            </w:pPr>
          </w:p>
        </w:tc>
      </w:tr>
      <w:tr w:rsidR="002432C8" w:rsidRPr="00FD0708" w14:paraId="1F1F1294" w14:textId="77777777" w:rsidTr="00873A51">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3CE405DC" w14:textId="77777777" w:rsidR="002432C8" w:rsidRPr="00FD0708" w:rsidRDefault="002432C8" w:rsidP="002432C8">
            <w:pPr>
              <w:pStyle w:val="naisc"/>
              <w:numPr>
                <w:ilvl w:val="0"/>
                <w:numId w:val="2"/>
              </w:numPr>
              <w:spacing w:before="0" w:after="0"/>
              <w:rPr>
                <w:sz w:val="22"/>
                <w:szCs w:val="22"/>
              </w:rPr>
            </w:pPr>
          </w:p>
        </w:tc>
        <w:tc>
          <w:tcPr>
            <w:tcW w:w="1404" w:type="pct"/>
            <w:tcBorders>
              <w:top w:val="single" w:sz="6" w:space="0" w:color="000000"/>
              <w:left w:val="single" w:sz="6" w:space="0" w:color="000000"/>
              <w:bottom w:val="single" w:sz="6" w:space="0" w:color="000000"/>
              <w:right w:val="single" w:sz="6" w:space="0" w:color="000000"/>
            </w:tcBorders>
            <w:shd w:val="clear" w:color="auto" w:fill="auto"/>
          </w:tcPr>
          <w:p w14:paraId="12C1A217" w14:textId="48083E2F" w:rsidR="002432C8" w:rsidRPr="00FD0708" w:rsidRDefault="002432C8" w:rsidP="002432C8">
            <w:pPr>
              <w:jc w:val="both"/>
              <w:outlineLvl w:val="0"/>
            </w:pPr>
            <w:r w:rsidRPr="00FD0708">
              <w:t>Noteikumu projekts</w:t>
            </w: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4922C4DF" w14:textId="2ED4552F" w:rsidR="002432C8" w:rsidRPr="00FD0708" w:rsidRDefault="002432C8" w:rsidP="002432C8">
            <w:pPr>
              <w:spacing w:after="120"/>
              <w:jc w:val="both"/>
              <w:rPr>
                <w:b/>
              </w:rPr>
            </w:pPr>
            <w:r w:rsidRPr="00FD0708">
              <w:rPr>
                <w:b/>
                <w:lang w:eastAsia="en-US"/>
              </w:rPr>
              <w:t xml:space="preserve">Finanšu ministrija </w:t>
            </w:r>
            <w:r w:rsidRPr="00FD0708">
              <w:rPr>
                <w:b/>
              </w:rPr>
              <w:t>(31.01.2020. atzinums)</w:t>
            </w:r>
          </w:p>
          <w:p w14:paraId="297405AD" w14:textId="6DBCDB60" w:rsidR="002432C8" w:rsidRPr="00FD0708" w:rsidRDefault="002432C8" w:rsidP="002432C8">
            <w:pPr>
              <w:jc w:val="both"/>
            </w:pPr>
            <w:r w:rsidRPr="00FD0708">
              <w:t>Ievērojot, ka komercdarbības atbalsts MK noteikumu Nr.593 ietvaros tiek sniegts vispārējas tautsaimnieciskas nozīmes pakalpojumu sniedzējiem, ievērojot </w:t>
            </w:r>
            <w:r w:rsidRPr="00FD0708">
              <w:rPr>
                <w:iCs/>
              </w:rPr>
              <w:t>Eiropas Komisijas 2011.gada 20.decembra lēmuma Nr. 2012/21/ES par Līguma par Eiropas Savienības darbību 106.panta 2.punkta piemērošanu valsts atbalstam attiecībā uz kompensāciju par sabiedriskajiem pakalpojumiem dažiem uzņēmumiem, kuriem uzticēts sniegt pakalpojumus ar vispārēju tautsaimniecisku nozīmi</w:t>
            </w:r>
            <w:r w:rsidRPr="00FD0708">
              <w:t xml:space="preserve"> (turpmāk – EK lēmums Nr.2012/21/ES) nosacījumus un pamatojoties uz noslēgtu pilnvarojuma aktu (vai aktiem) par vispārējas tautsaimnieciskas nozīmes pakalpojumu sniegšanu, lūdzam papildināt noteikumu projektu ar jaunu punktu/punktiem, kas paredzētu finansējuma saņēmēja pienākumu iesniegt sadarbības iestādei vispārējas tautsaimnieciskas nozīmes pakalpojuma pilnvarojuma uzlicēja apliecinājumu, ka tas nodrošina EK lēmuma Nr.2012/21/ES 6.pantā noteikto pārmērīgas kompensācijas kontroli. Vienlaikus lūdzam anotācijā ietvert skaidrojumu par to, ka finansējuma saņēmējs sadarbībā ar vispārējas tautsaimnieciskas nozīmes pakalpojuma pilnvarojuma uzlicēju nodrošina EK lēmuma Nr.2012/21/ES 6.pantā noteiktās uzraudzības veikšanas faktu apliecinošas </w:t>
            </w:r>
            <w:r w:rsidRPr="00FD0708">
              <w:lastRenderedPageBreak/>
              <w:t>dokumentācijas saglabāšanu un pieejamību saskaņā ar EK lēmuma Nr. 2012/21/ES 8.pantā noteikto, tostarp pieejamību Eiropas Savienības fondu un Kohēzijas fonda vadībā un kontrolē iesaistītajām iestādēm.</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7053B601" w14:textId="77777777" w:rsidR="002432C8" w:rsidRPr="00FD0708" w:rsidRDefault="002432C8" w:rsidP="00873A51">
            <w:pPr>
              <w:spacing w:after="120"/>
              <w:jc w:val="both"/>
              <w:rPr>
                <w:b/>
                <w:lang w:eastAsia="en-US"/>
              </w:rPr>
            </w:pPr>
            <w:r w:rsidRPr="00FD0708">
              <w:rPr>
                <w:b/>
                <w:lang w:eastAsia="en-US"/>
              </w:rPr>
              <w:lastRenderedPageBreak/>
              <w:t>Ņemts vērā</w:t>
            </w:r>
          </w:p>
          <w:p w14:paraId="264D618E" w14:textId="77777777" w:rsidR="00873A51" w:rsidRPr="00FD0708" w:rsidRDefault="00873A51" w:rsidP="00873A51">
            <w:pPr>
              <w:jc w:val="both"/>
              <w:rPr>
                <w:lang w:eastAsia="en-US"/>
              </w:rPr>
            </w:pPr>
          </w:p>
          <w:p w14:paraId="713348F5" w14:textId="330A33CF" w:rsidR="00873A51" w:rsidRPr="00FD0708" w:rsidRDefault="00873A51" w:rsidP="00873A51">
            <w:pPr>
              <w:jc w:val="both"/>
              <w:rPr>
                <w:sz w:val="22"/>
                <w:szCs w:val="22"/>
              </w:rPr>
            </w:pPr>
            <w:r w:rsidRPr="00FD0708">
              <w:rPr>
                <w:lang w:eastAsia="en-US"/>
              </w:rPr>
              <w:t xml:space="preserve">Vienlaikus </w:t>
            </w:r>
            <w:r w:rsidR="00CC009D" w:rsidRPr="00FD0708">
              <w:rPr>
                <w:lang w:eastAsia="en-US"/>
              </w:rPr>
              <w:t>norādām</w:t>
            </w:r>
            <w:r w:rsidRPr="00FD0708">
              <w:t xml:space="preserve">, ka MK noteikumos Nr. 593 jau ir atsauce uz Eiropas Komisijas 2011. gada 20. decembra Lēmumu Nr. 2012/21/ES </w:t>
            </w:r>
            <w:r w:rsidRPr="00FD0708">
              <w:rPr>
                <w:i/>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FD0708">
              <w:t>, kas arī ietver to, ka projekta iesniedzējam jānodrošina Eiropas Komisijas 2011. gada 20. decembra lēmuma Nr. 2012/21/ES  6. pantā noteikto pārmērīgas kompensācijas kontroli.</w:t>
            </w:r>
          </w:p>
          <w:p w14:paraId="630A95F6" w14:textId="11A32117" w:rsidR="00873A51" w:rsidRPr="00FD0708" w:rsidRDefault="00873A51" w:rsidP="00873A51">
            <w:pPr>
              <w:spacing w:after="120"/>
              <w:jc w:val="both"/>
              <w:rPr>
                <w:lang w:eastAsia="en-US"/>
              </w:rPr>
            </w:pPr>
          </w:p>
        </w:tc>
        <w:tc>
          <w:tcPr>
            <w:tcW w:w="1141" w:type="pct"/>
            <w:tcBorders>
              <w:top w:val="single" w:sz="4" w:space="0" w:color="auto"/>
              <w:left w:val="single" w:sz="4" w:space="0" w:color="auto"/>
              <w:bottom w:val="single" w:sz="4" w:space="0" w:color="auto"/>
            </w:tcBorders>
            <w:shd w:val="clear" w:color="auto" w:fill="auto"/>
          </w:tcPr>
          <w:p w14:paraId="4B5D9625" w14:textId="166839B3" w:rsidR="00D36822" w:rsidRPr="00802D9E" w:rsidRDefault="00D36822" w:rsidP="00D36822">
            <w:pPr>
              <w:tabs>
                <w:tab w:val="left" w:pos="1134"/>
              </w:tabs>
              <w:jc w:val="both"/>
            </w:pPr>
            <w:r w:rsidRPr="00802D9E">
              <w:t>4. Papildināt noteikumus ar 32.</w:t>
            </w:r>
            <w:r w:rsidRPr="00802D9E">
              <w:rPr>
                <w:vertAlign w:val="superscript"/>
              </w:rPr>
              <w:t>3</w:t>
            </w:r>
            <w:r w:rsidRPr="00802D9E">
              <w:t> punktu šādā redakcijā:</w:t>
            </w:r>
          </w:p>
          <w:p w14:paraId="69FC7D85" w14:textId="77777777" w:rsidR="00D36822" w:rsidRPr="00802D9E" w:rsidRDefault="00D36822" w:rsidP="00D36822">
            <w:pPr>
              <w:tabs>
                <w:tab w:val="left" w:pos="1134"/>
              </w:tabs>
              <w:jc w:val="both"/>
              <w:rPr>
                <w:bCs/>
                <w:shd w:val="clear" w:color="auto" w:fill="FFFFFF"/>
              </w:rPr>
            </w:pPr>
          </w:p>
          <w:p w14:paraId="6055E4DA" w14:textId="77777777" w:rsidR="00D36822" w:rsidRPr="00802D9E" w:rsidRDefault="00D36822" w:rsidP="00D36822">
            <w:pPr>
              <w:tabs>
                <w:tab w:val="left" w:pos="1134"/>
              </w:tabs>
              <w:ind w:firstLine="709"/>
              <w:jc w:val="both"/>
              <w:rPr>
                <w:bCs/>
                <w:shd w:val="clear" w:color="auto" w:fill="FFFFFF"/>
              </w:rPr>
            </w:pPr>
            <w:r w:rsidRPr="00802D9E">
              <w:rPr>
                <w:rFonts w:eastAsia="Calibri"/>
                <w:bCs/>
                <w:shd w:val="clear" w:color="auto" w:fill="FFFFFF"/>
              </w:rPr>
              <w:t>"</w:t>
            </w:r>
            <w:r w:rsidRPr="00802D9E">
              <w:t>32.</w:t>
            </w:r>
            <w:r w:rsidRPr="00802D9E">
              <w:rPr>
                <w:vertAlign w:val="superscript"/>
              </w:rPr>
              <w:t>3</w:t>
            </w:r>
            <w:r w:rsidRPr="00802D9E">
              <w:t> Ja projektu īsteno atbilstoši šo noteikumu 19.1.2. apakšpunktam, projekta iesniedzējs iesniedz sadarbības iestādei vispārējas tautsaimnieciskas nozīmes pakalpojuma pilnvarojuma uzlicēja apliecinājumu, ka tas nodrošina Eiropas Komisijas 2011. gada 20. decembra lēmuma Nr. </w:t>
            </w:r>
            <w:hyperlink r:id="rId8" w:tgtFrame="_blank" w:history="1">
              <w:r w:rsidRPr="00802D9E">
                <w:t>2012/21/ES</w:t>
              </w:r>
            </w:hyperlink>
            <w:r w:rsidRPr="00802D9E">
              <w:t> par Līguma par Eiropas Savienības darbību </w:t>
            </w:r>
            <w:hyperlink r:id="rId9" w:anchor="p106" w:history="1">
              <w:r w:rsidRPr="00802D9E">
                <w:t>106. panta</w:t>
              </w:r>
            </w:hyperlink>
            <w:r w:rsidRPr="00802D9E">
              <w:t> 2. punkta piemērošanu valsts atbalstam attiecībā uz kompensāciju par sabiedriskajiem pakalpojumiem dažiem uzņēmumiem, kuriem uzticēts sniegt pakalpojumus ar vispārēju tautsaimniecisku nozīmi 6. pantā noteikto pārmērīgas kompensācijas kontroli.</w:t>
            </w:r>
            <w:r w:rsidRPr="00802D9E">
              <w:rPr>
                <w:rFonts w:eastAsia="Calibri"/>
                <w:bCs/>
                <w:shd w:val="clear" w:color="auto" w:fill="FFFFFF"/>
              </w:rPr>
              <w:t>"</w:t>
            </w:r>
          </w:p>
          <w:p w14:paraId="7CBF5D41" w14:textId="3AC43EE7" w:rsidR="002432C8" w:rsidRPr="00802D9E" w:rsidRDefault="002432C8" w:rsidP="002432C8">
            <w:pPr>
              <w:tabs>
                <w:tab w:val="left" w:pos="1134"/>
              </w:tabs>
              <w:jc w:val="both"/>
              <w:rPr>
                <w:bCs/>
                <w:shd w:val="clear" w:color="auto" w:fill="FFFFFF"/>
              </w:rPr>
            </w:pPr>
          </w:p>
          <w:p w14:paraId="2827EF96" w14:textId="2D706F2E" w:rsidR="002432C8" w:rsidRPr="00802D9E" w:rsidRDefault="002432C8" w:rsidP="00D36822">
            <w:pPr>
              <w:tabs>
                <w:tab w:val="left" w:pos="1134"/>
              </w:tabs>
              <w:jc w:val="both"/>
            </w:pPr>
          </w:p>
        </w:tc>
      </w:tr>
      <w:tr w:rsidR="00504589" w:rsidRPr="00FD0708" w14:paraId="55AA8FD7" w14:textId="77777777" w:rsidTr="00BB78F2">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24DCA7F9" w14:textId="77777777" w:rsidR="00504589" w:rsidRPr="00FD0708" w:rsidRDefault="00504589" w:rsidP="00504589">
            <w:pPr>
              <w:pStyle w:val="naisc"/>
              <w:numPr>
                <w:ilvl w:val="0"/>
                <w:numId w:val="2"/>
              </w:numPr>
              <w:spacing w:before="0" w:after="0"/>
              <w:rPr>
                <w:sz w:val="22"/>
                <w:szCs w:val="22"/>
              </w:rPr>
            </w:pPr>
          </w:p>
        </w:tc>
        <w:tc>
          <w:tcPr>
            <w:tcW w:w="1404" w:type="pct"/>
            <w:tcBorders>
              <w:top w:val="single" w:sz="6" w:space="0" w:color="000000"/>
              <w:left w:val="single" w:sz="6" w:space="0" w:color="000000"/>
              <w:bottom w:val="single" w:sz="6" w:space="0" w:color="000000"/>
              <w:right w:val="single" w:sz="6" w:space="0" w:color="000000"/>
            </w:tcBorders>
            <w:shd w:val="clear" w:color="auto" w:fill="auto"/>
          </w:tcPr>
          <w:p w14:paraId="4024D419" w14:textId="0B5D0DDD" w:rsidR="00504589" w:rsidRPr="00FD0708" w:rsidRDefault="00504589" w:rsidP="00504589">
            <w:pPr>
              <w:jc w:val="both"/>
              <w:outlineLvl w:val="0"/>
            </w:pPr>
            <w:r>
              <w:t>Noteikumu projekts</w:t>
            </w: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1BCD51E0" w14:textId="3046D32E" w:rsidR="00504589" w:rsidRPr="00FD0708" w:rsidRDefault="00504589" w:rsidP="00504589">
            <w:pPr>
              <w:spacing w:after="120"/>
              <w:jc w:val="both"/>
              <w:rPr>
                <w:b/>
              </w:rPr>
            </w:pPr>
            <w:r w:rsidRPr="00FD0708">
              <w:rPr>
                <w:b/>
                <w:lang w:eastAsia="en-US"/>
              </w:rPr>
              <w:t xml:space="preserve">Finanšu ministrija </w:t>
            </w:r>
            <w:r w:rsidRPr="00FD0708">
              <w:rPr>
                <w:b/>
              </w:rPr>
              <w:t>(</w:t>
            </w:r>
            <w:r>
              <w:rPr>
                <w:b/>
              </w:rPr>
              <w:t>27.02</w:t>
            </w:r>
            <w:r w:rsidRPr="00FD0708">
              <w:rPr>
                <w:b/>
              </w:rPr>
              <w:t>.2020. atzinums)</w:t>
            </w:r>
          </w:p>
          <w:p w14:paraId="5FE99859" w14:textId="1C61A51C" w:rsidR="00504589" w:rsidRPr="00235911" w:rsidRDefault="00504589" w:rsidP="00504589">
            <w:pPr>
              <w:contextualSpacing/>
              <w:jc w:val="both"/>
            </w:pPr>
            <w:r w:rsidRPr="00B24778">
              <w:t>Lūdzam papildināt noteikumu projektu ar jaunu punktu, kas paredz papildinā</w:t>
            </w:r>
            <w:r>
              <w:t>t MK noteikumu Nr.593 42.punktu</w:t>
            </w:r>
            <w:r w:rsidRPr="00B24778">
              <w:t xml:space="preserve"> ar nosacījumu, ka </w:t>
            </w:r>
            <w:r w:rsidRPr="00B24778">
              <w:rPr>
                <w:shd w:val="clear" w:color="auto" w:fill="FFFFFF"/>
              </w:rPr>
              <w:t>g</w:t>
            </w:r>
            <w:r w:rsidRPr="00B24778">
              <w:t xml:space="preserve">adījumos, kad atbalstu sniedz saskaņā ar Eiropas Komisijas 2011.gada 20.decembra lēmumu </w:t>
            </w:r>
            <w:r w:rsidRPr="00B24778">
              <w:rPr>
                <w:i/>
                <w:iCs/>
              </w:rPr>
              <w:t xml:space="preserve">par Līguma par Eiropas Savienības darbību 106.panta 2.punkta piemērošanu valsts atbalstam attiecībā uz kompensāciju par sabiedriskajiem pakalpojumiem dažiem uzņēmumiem, kuriem uzticēts sniegt pakalpojumus ar vispārēju tautsaimniecisku nozīmi </w:t>
            </w:r>
            <w:r w:rsidRPr="00B24778">
              <w:rPr>
                <w:i/>
                <w:iCs/>
              </w:rPr>
              <w:br/>
            </w:r>
            <w:r w:rsidRPr="00A36929">
              <w:rPr>
                <w:iCs/>
              </w:rPr>
              <w:t>(turpmāk – EK lēmums)</w:t>
            </w:r>
            <w:r w:rsidRPr="00A36929">
              <w:t>, pilnvarojuma</w:t>
            </w:r>
            <w:r w:rsidRPr="00B24778">
              <w:t xml:space="preserve"> uzlicējam un </w:t>
            </w:r>
            <w:r w:rsidRPr="00B24778">
              <w:rPr>
                <w:shd w:val="clear" w:color="auto" w:fill="FFFFFF"/>
              </w:rPr>
              <w:t xml:space="preserve">atbalsta saņēmējam ir pienākums </w:t>
            </w:r>
            <w:r w:rsidRPr="00B24778">
              <w:t>nodrošināt dokumentācijas glabāšanu atbilstoši EK lēmuma 8.pantā norādītajam</w:t>
            </w:r>
            <w:r w:rsidRPr="00B24778">
              <w:rPr>
                <w:shd w:val="clear" w:color="auto" w:fill="FFFFFF"/>
              </w:rPr>
              <w:t xml:space="preserve">. </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2C99C44B" w14:textId="77777777" w:rsidR="00504589" w:rsidRPr="00FD0708" w:rsidRDefault="00504589" w:rsidP="00504589">
            <w:pPr>
              <w:spacing w:after="120"/>
              <w:jc w:val="both"/>
              <w:rPr>
                <w:b/>
                <w:lang w:eastAsia="en-US"/>
              </w:rPr>
            </w:pPr>
            <w:r w:rsidRPr="00FD0708">
              <w:rPr>
                <w:b/>
                <w:lang w:eastAsia="en-US"/>
              </w:rPr>
              <w:t>Ņemts vērā</w:t>
            </w:r>
          </w:p>
          <w:p w14:paraId="220C44B8" w14:textId="77777777" w:rsidR="00504589" w:rsidRPr="00FD0708" w:rsidRDefault="00504589" w:rsidP="00504589">
            <w:pPr>
              <w:spacing w:after="120"/>
              <w:jc w:val="both"/>
              <w:rPr>
                <w:b/>
                <w:lang w:eastAsia="en-US"/>
              </w:rPr>
            </w:pPr>
          </w:p>
          <w:p w14:paraId="1F86834C" w14:textId="77777777" w:rsidR="00504589" w:rsidRPr="00FD0708" w:rsidRDefault="00504589" w:rsidP="00504589">
            <w:pPr>
              <w:spacing w:after="120"/>
              <w:jc w:val="both"/>
              <w:rPr>
                <w:b/>
                <w:lang w:eastAsia="en-US"/>
              </w:rPr>
            </w:pPr>
          </w:p>
        </w:tc>
        <w:tc>
          <w:tcPr>
            <w:tcW w:w="1141" w:type="pct"/>
            <w:tcBorders>
              <w:top w:val="single" w:sz="4" w:space="0" w:color="auto"/>
              <w:left w:val="single" w:sz="4" w:space="0" w:color="auto"/>
              <w:bottom w:val="single" w:sz="4" w:space="0" w:color="auto"/>
            </w:tcBorders>
            <w:shd w:val="clear" w:color="auto" w:fill="auto"/>
          </w:tcPr>
          <w:p w14:paraId="58BE6D44" w14:textId="2EB56617" w:rsidR="00DE28EB" w:rsidRPr="00802D9E" w:rsidRDefault="00DE28EB" w:rsidP="00DE28EB">
            <w:pPr>
              <w:tabs>
                <w:tab w:val="left" w:pos="1134"/>
              </w:tabs>
              <w:jc w:val="both"/>
              <w:rPr>
                <w:bCs/>
                <w:shd w:val="clear" w:color="auto" w:fill="FFFFFF"/>
              </w:rPr>
            </w:pPr>
            <w:r w:rsidRPr="00802D9E">
              <w:rPr>
                <w:color w:val="333333"/>
                <w:shd w:val="clear" w:color="auto" w:fill="FFFFFF"/>
              </w:rPr>
              <w:t>5. Papildināt 42. punktu ar trešo teikumu šādā redakcijā:</w:t>
            </w:r>
          </w:p>
          <w:p w14:paraId="1C72B1C8" w14:textId="77777777" w:rsidR="00DE28EB" w:rsidRPr="00802D9E" w:rsidRDefault="00DE28EB" w:rsidP="00DE28EB">
            <w:pPr>
              <w:tabs>
                <w:tab w:val="left" w:pos="1134"/>
              </w:tabs>
              <w:ind w:firstLine="709"/>
              <w:jc w:val="both"/>
              <w:rPr>
                <w:bCs/>
                <w:shd w:val="clear" w:color="auto" w:fill="FFFFFF"/>
              </w:rPr>
            </w:pPr>
            <w:r w:rsidRPr="00802D9E">
              <w:rPr>
                <w:rFonts w:eastAsia="Calibri"/>
                <w:bCs/>
                <w:shd w:val="clear" w:color="auto" w:fill="FFFFFF"/>
              </w:rPr>
              <w:t xml:space="preserve">"Ja valsts atbalstu sniedz saskaņā ar </w:t>
            </w:r>
            <w:r w:rsidRPr="00802D9E">
              <w:t>Eiropas Komisijas 2011. gada 20. decembra lēmumu Nr. </w:t>
            </w:r>
            <w:hyperlink r:id="rId10" w:tgtFrame="_blank" w:history="1">
              <w:r w:rsidRPr="00802D9E">
                <w:t>2012/21/ES</w:t>
              </w:r>
            </w:hyperlink>
            <w:r w:rsidRPr="00802D9E">
              <w:t> par Līguma par Eiropas Savienības darbību </w:t>
            </w:r>
            <w:hyperlink r:id="rId11" w:anchor="p106" w:history="1">
              <w:r w:rsidRPr="00802D9E">
                <w:t>106. panta</w:t>
              </w:r>
            </w:hyperlink>
            <w:r w:rsidRPr="00802D9E">
              <w:t> 2. punkta piemērošanu valsts atbalstam attiecībā uz kompensāciju par sabiedriskajiem pakalpojumiem dažiem uzņēmumiem, kuriem uzticēts sniegt pakalpojumus ar vispārēju tautsaimniecisku nozīmi</w:t>
            </w:r>
            <w:r w:rsidRPr="00802D9E">
              <w:rPr>
                <w:rFonts w:eastAsia="Calibri"/>
                <w:bCs/>
                <w:shd w:val="clear" w:color="auto" w:fill="FFFFFF"/>
              </w:rPr>
              <w:t>, valsts atbalsta saņēmējs un vispārējas tautsaimnieciskas nozīmes pakalpojuma pilnvarojuma uzlicējs nodrošina</w:t>
            </w:r>
            <w:r w:rsidRPr="00802D9E">
              <w:t xml:space="preserve"> šī lēmuma 8. pantā noteikto informācijas pieejamību.</w:t>
            </w:r>
            <w:r w:rsidRPr="00802D9E">
              <w:rPr>
                <w:rFonts w:eastAsia="Calibri"/>
                <w:bCs/>
                <w:shd w:val="clear" w:color="auto" w:fill="FFFFFF"/>
              </w:rPr>
              <w:t>"</w:t>
            </w:r>
          </w:p>
          <w:p w14:paraId="0667C2D8" w14:textId="77777777" w:rsidR="00504589" w:rsidRPr="00802D9E" w:rsidRDefault="00504589" w:rsidP="00504589">
            <w:pPr>
              <w:autoSpaceDE w:val="0"/>
              <w:autoSpaceDN w:val="0"/>
              <w:ind w:left="137" w:right="62"/>
              <w:jc w:val="both"/>
            </w:pPr>
          </w:p>
        </w:tc>
      </w:tr>
      <w:tr w:rsidR="00504589" w:rsidRPr="00FD0708" w14:paraId="32994C5F" w14:textId="77777777" w:rsidTr="00BB78F2">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7F5E63E4" w14:textId="77777777" w:rsidR="00504589" w:rsidRPr="00FD0708" w:rsidRDefault="00504589" w:rsidP="00504589">
            <w:pPr>
              <w:pStyle w:val="naisc"/>
              <w:numPr>
                <w:ilvl w:val="0"/>
                <w:numId w:val="2"/>
              </w:numPr>
              <w:spacing w:before="0" w:after="0"/>
              <w:rPr>
                <w:sz w:val="22"/>
                <w:szCs w:val="22"/>
              </w:rPr>
            </w:pPr>
          </w:p>
        </w:tc>
        <w:tc>
          <w:tcPr>
            <w:tcW w:w="1404" w:type="pct"/>
            <w:tcBorders>
              <w:top w:val="single" w:sz="6" w:space="0" w:color="000000"/>
              <w:left w:val="single" w:sz="6" w:space="0" w:color="000000"/>
              <w:bottom w:val="single" w:sz="6" w:space="0" w:color="000000"/>
              <w:right w:val="single" w:sz="6" w:space="0" w:color="000000"/>
            </w:tcBorders>
            <w:shd w:val="clear" w:color="auto" w:fill="auto"/>
          </w:tcPr>
          <w:p w14:paraId="632B142B" w14:textId="401D99D4" w:rsidR="00504589" w:rsidRPr="00FD0708" w:rsidRDefault="00504589" w:rsidP="00504589">
            <w:pPr>
              <w:jc w:val="both"/>
              <w:outlineLvl w:val="0"/>
            </w:pPr>
            <w:r w:rsidRPr="00FD0708">
              <w:t>Anotācija</w:t>
            </w: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6A905DDA" w14:textId="60DB8F7B" w:rsidR="00504589" w:rsidRPr="00FD0708" w:rsidRDefault="00504589" w:rsidP="00504589">
            <w:pPr>
              <w:spacing w:after="120"/>
              <w:jc w:val="both"/>
              <w:rPr>
                <w:b/>
              </w:rPr>
            </w:pPr>
            <w:r w:rsidRPr="00FD0708">
              <w:rPr>
                <w:b/>
                <w:lang w:eastAsia="en-US"/>
              </w:rPr>
              <w:t xml:space="preserve">Finanšu ministrija </w:t>
            </w:r>
            <w:r w:rsidRPr="00FD0708">
              <w:rPr>
                <w:b/>
              </w:rPr>
              <w:t>(31.01.2020. atzinums)</w:t>
            </w:r>
          </w:p>
          <w:p w14:paraId="06B196A8" w14:textId="621C4E2E" w:rsidR="00504589" w:rsidRPr="00FD0708" w:rsidRDefault="00504589" w:rsidP="00504589">
            <w:pPr>
              <w:jc w:val="both"/>
            </w:pPr>
            <w:r w:rsidRPr="00FD0708">
              <w:t xml:space="preserve">Lūdzam papildināt anotāciju ar informāciju par noteikumu projekta ietekmi uz DP 3.prioritārā virziena “Mazo un vidējo komersantu konkurētspēja” intervences kodiem, proti, 3.3.1.SAM Eiropas Reģionālās attīstības fonda </w:t>
            </w:r>
            <w:r w:rsidRPr="00FD0708">
              <w:lastRenderedPageBreak/>
              <w:t>finansējuma sadalījumu pa intervences kodiem.</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2A3351EF" w14:textId="77777777" w:rsidR="00504589" w:rsidRPr="00FD0708" w:rsidRDefault="00504589" w:rsidP="00504589">
            <w:pPr>
              <w:spacing w:after="120"/>
              <w:jc w:val="both"/>
              <w:rPr>
                <w:b/>
                <w:lang w:eastAsia="en-US"/>
              </w:rPr>
            </w:pPr>
            <w:r w:rsidRPr="00FD0708">
              <w:rPr>
                <w:b/>
                <w:lang w:eastAsia="en-US"/>
              </w:rPr>
              <w:lastRenderedPageBreak/>
              <w:t>Ņemts vērā</w:t>
            </w:r>
          </w:p>
          <w:p w14:paraId="0DDB14D2" w14:textId="77777777" w:rsidR="00504589" w:rsidRPr="00FD0708" w:rsidRDefault="00504589" w:rsidP="00504589">
            <w:pPr>
              <w:spacing w:after="120"/>
              <w:jc w:val="both"/>
              <w:rPr>
                <w:b/>
                <w:lang w:eastAsia="en-US"/>
              </w:rPr>
            </w:pPr>
          </w:p>
          <w:p w14:paraId="65ED671F" w14:textId="77777777" w:rsidR="00504589" w:rsidRPr="00FD0708" w:rsidRDefault="00504589" w:rsidP="00504589">
            <w:pPr>
              <w:spacing w:after="120"/>
              <w:jc w:val="both"/>
              <w:rPr>
                <w:b/>
                <w:lang w:eastAsia="en-US"/>
              </w:rPr>
            </w:pPr>
          </w:p>
        </w:tc>
        <w:tc>
          <w:tcPr>
            <w:tcW w:w="1141" w:type="pct"/>
            <w:tcBorders>
              <w:top w:val="single" w:sz="4" w:space="0" w:color="auto"/>
              <w:left w:val="single" w:sz="4" w:space="0" w:color="auto"/>
              <w:bottom w:val="single" w:sz="4" w:space="0" w:color="auto"/>
            </w:tcBorders>
            <w:shd w:val="clear" w:color="auto" w:fill="auto"/>
          </w:tcPr>
          <w:p w14:paraId="5F9A0406" w14:textId="331BFA06" w:rsidR="00504589" w:rsidRPr="00FD0708" w:rsidRDefault="00504589" w:rsidP="00504589">
            <w:pPr>
              <w:autoSpaceDE w:val="0"/>
              <w:autoSpaceDN w:val="0"/>
              <w:ind w:left="137" w:right="62"/>
              <w:jc w:val="both"/>
            </w:pPr>
            <w:r w:rsidRPr="00FD0708">
              <w:t>Skat. precizēto anotāciju.</w:t>
            </w:r>
          </w:p>
        </w:tc>
      </w:tr>
      <w:tr w:rsidR="00504589" w:rsidRPr="00FD0708" w14:paraId="3566FF30" w14:textId="77777777" w:rsidTr="00CA48D7">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3A6D9354" w14:textId="77777777" w:rsidR="00504589" w:rsidRPr="00FD0708" w:rsidRDefault="00504589" w:rsidP="00504589">
            <w:pPr>
              <w:pStyle w:val="naisc"/>
              <w:numPr>
                <w:ilvl w:val="0"/>
                <w:numId w:val="2"/>
              </w:numPr>
              <w:spacing w:before="0" w:after="0"/>
              <w:rPr>
                <w:sz w:val="22"/>
                <w:szCs w:val="22"/>
              </w:rPr>
            </w:pPr>
          </w:p>
        </w:tc>
        <w:tc>
          <w:tcPr>
            <w:tcW w:w="1404" w:type="pct"/>
            <w:tcBorders>
              <w:top w:val="single" w:sz="6" w:space="0" w:color="000000"/>
              <w:left w:val="single" w:sz="6" w:space="0" w:color="000000"/>
              <w:bottom w:val="single" w:sz="6" w:space="0" w:color="000000"/>
              <w:right w:val="single" w:sz="6" w:space="0" w:color="000000"/>
            </w:tcBorders>
            <w:shd w:val="clear" w:color="auto" w:fill="auto"/>
          </w:tcPr>
          <w:p w14:paraId="18B9D03E" w14:textId="3544619C" w:rsidR="00504589" w:rsidRPr="00FD0708" w:rsidRDefault="00504589" w:rsidP="00504589">
            <w:pPr>
              <w:jc w:val="both"/>
              <w:outlineLvl w:val="0"/>
            </w:pPr>
            <w:r w:rsidRPr="00FD0708">
              <w:t>Anotācija</w:t>
            </w: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02ABEB5D" w14:textId="77777777" w:rsidR="00504589" w:rsidRPr="00FD0708" w:rsidRDefault="00504589" w:rsidP="00504589">
            <w:pPr>
              <w:spacing w:after="120"/>
              <w:jc w:val="both"/>
              <w:rPr>
                <w:b/>
              </w:rPr>
            </w:pPr>
            <w:r w:rsidRPr="00FD0708">
              <w:rPr>
                <w:b/>
                <w:lang w:eastAsia="en-US"/>
              </w:rPr>
              <w:t xml:space="preserve">Finanšu ministrija </w:t>
            </w:r>
            <w:r w:rsidRPr="00FD0708">
              <w:rPr>
                <w:b/>
              </w:rPr>
              <w:t>(31.01.2020. atzinums)</w:t>
            </w:r>
          </w:p>
          <w:p w14:paraId="2B769305" w14:textId="29FFFCF4" w:rsidR="00504589" w:rsidRPr="00FD0708" w:rsidRDefault="00504589" w:rsidP="00504589">
            <w:pPr>
              <w:jc w:val="both"/>
            </w:pPr>
            <w:r w:rsidRPr="00FD0708">
              <w:t>Lūdzam papildināt anotāciju ar informāciju par papildus piešķirtā finansējuma novirzīšanas mehānismu, skaidrojot, kurām reģionālo attīstības centru pašvaldībām un pēc kādiem kritērijiem un apsvērumiem tiks novirzīts papildu finansējums.</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640FD83D" w14:textId="3E2AF9B8" w:rsidR="00504589" w:rsidRPr="00FD0708" w:rsidRDefault="00504589" w:rsidP="00504589">
            <w:pPr>
              <w:spacing w:after="120"/>
              <w:jc w:val="both"/>
              <w:rPr>
                <w:b/>
                <w:lang w:eastAsia="en-US"/>
              </w:rPr>
            </w:pPr>
            <w:r w:rsidRPr="00FD0708">
              <w:rPr>
                <w:b/>
                <w:lang w:eastAsia="en-US"/>
              </w:rPr>
              <w:t>Ņemts vērā</w:t>
            </w:r>
          </w:p>
          <w:p w14:paraId="4EE79A6A" w14:textId="77777777" w:rsidR="00504589" w:rsidRPr="00FD0708" w:rsidRDefault="00504589" w:rsidP="00504589">
            <w:pPr>
              <w:spacing w:after="120"/>
              <w:jc w:val="both"/>
              <w:rPr>
                <w:b/>
                <w:lang w:eastAsia="en-US"/>
              </w:rPr>
            </w:pPr>
          </w:p>
          <w:p w14:paraId="7EF2FF01" w14:textId="77777777" w:rsidR="00504589" w:rsidRPr="00FD0708" w:rsidRDefault="00504589" w:rsidP="00504589">
            <w:pPr>
              <w:pStyle w:val="ListParagraph"/>
              <w:spacing w:after="120"/>
              <w:ind w:left="0"/>
              <w:contextualSpacing w:val="0"/>
              <w:jc w:val="both"/>
              <w:rPr>
                <w:b/>
              </w:rPr>
            </w:pPr>
          </w:p>
        </w:tc>
        <w:tc>
          <w:tcPr>
            <w:tcW w:w="1141" w:type="pct"/>
            <w:tcBorders>
              <w:top w:val="single" w:sz="4" w:space="0" w:color="auto"/>
              <w:left w:val="single" w:sz="4" w:space="0" w:color="auto"/>
              <w:bottom w:val="single" w:sz="4" w:space="0" w:color="auto"/>
            </w:tcBorders>
            <w:shd w:val="clear" w:color="auto" w:fill="auto"/>
          </w:tcPr>
          <w:p w14:paraId="4B2DC18C" w14:textId="18596B48" w:rsidR="00504589" w:rsidRPr="00FD0708" w:rsidRDefault="00504589" w:rsidP="00504589">
            <w:pPr>
              <w:autoSpaceDE w:val="0"/>
              <w:autoSpaceDN w:val="0"/>
              <w:ind w:left="137" w:right="62"/>
              <w:jc w:val="both"/>
            </w:pPr>
            <w:r w:rsidRPr="00FD0708">
              <w:t>Skat. precizēto anotāciju.</w:t>
            </w:r>
          </w:p>
        </w:tc>
      </w:tr>
      <w:tr w:rsidR="00504589" w:rsidRPr="00FD0708" w14:paraId="03FCD33F" w14:textId="77777777" w:rsidTr="000A282D">
        <w:trPr>
          <w:trHeight w:val="547"/>
        </w:trPr>
        <w:tc>
          <w:tcPr>
            <w:tcW w:w="170" w:type="pct"/>
            <w:tcBorders>
              <w:top w:val="single" w:sz="6" w:space="0" w:color="000000"/>
              <w:left w:val="single" w:sz="6" w:space="0" w:color="000000"/>
              <w:bottom w:val="single" w:sz="6" w:space="0" w:color="000000"/>
              <w:right w:val="single" w:sz="6" w:space="0" w:color="000000"/>
            </w:tcBorders>
            <w:shd w:val="clear" w:color="auto" w:fill="auto"/>
          </w:tcPr>
          <w:p w14:paraId="05566379" w14:textId="77777777" w:rsidR="00504589" w:rsidRPr="00FD0708" w:rsidRDefault="00504589" w:rsidP="00504589">
            <w:pPr>
              <w:pStyle w:val="naisc"/>
              <w:numPr>
                <w:ilvl w:val="0"/>
                <w:numId w:val="2"/>
              </w:numPr>
              <w:spacing w:before="0" w:after="0"/>
              <w:rPr>
                <w:sz w:val="22"/>
                <w:szCs w:val="22"/>
              </w:rPr>
            </w:pPr>
          </w:p>
        </w:tc>
        <w:tc>
          <w:tcPr>
            <w:tcW w:w="1404" w:type="pct"/>
            <w:tcBorders>
              <w:top w:val="single" w:sz="6" w:space="0" w:color="000000"/>
              <w:left w:val="single" w:sz="6" w:space="0" w:color="000000"/>
              <w:right w:val="single" w:sz="6" w:space="0" w:color="000000"/>
            </w:tcBorders>
            <w:shd w:val="clear" w:color="auto" w:fill="auto"/>
          </w:tcPr>
          <w:p w14:paraId="5E32DEDD" w14:textId="710BA8DC" w:rsidR="00504589" w:rsidRPr="00FD0708" w:rsidRDefault="00504589" w:rsidP="00504589">
            <w:pPr>
              <w:jc w:val="both"/>
              <w:outlineLvl w:val="0"/>
            </w:pPr>
            <w:r w:rsidRPr="00FD0708">
              <w:t>Anotācija</w:t>
            </w:r>
          </w:p>
        </w:tc>
        <w:tc>
          <w:tcPr>
            <w:tcW w:w="1362" w:type="pct"/>
            <w:tcBorders>
              <w:top w:val="single" w:sz="6" w:space="0" w:color="000000"/>
              <w:left w:val="single" w:sz="6" w:space="0" w:color="000000"/>
              <w:bottom w:val="single" w:sz="6" w:space="0" w:color="000000"/>
              <w:right w:val="single" w:sz="6" w:space="0" w:color="000000"/>
            </w:tcBorders>
            <w:shd w:val="clear" w:color="auto" w:fill="auto"/>
          </w:tcPr>
          <w:p w14:paraId="7F10A572" w14:textId="77777777" w:rsidR="00504589" w:rsidRPr="00FD0708" w:rsidRDefault="00504589" w:rsidP="00504589">
            <w:pPr>
              <w:spacing w:after="120"/>
              <w:jc w:val="both"/>
              <w:rPr>
                <w:b/>
              </w:rPr>
            </w:pPr>
            <w:r w:rsidRPr="00FD0708">
              <w:rPr>
                <w:b/>
                <w:lang w:eastAsia="en-US"/>
              </w:rPr>
              <w:t xml:space="preserve">Tieslietu ministrija </w:t>
            </w:r>
            <w:r w:rsidRPr="00FD0708">
              <w:rPr>
                <w:b/>
              </w:rPr>
              <w:t>(31.01.2020. atzinums)</w:t>
            </w:r>
          </w:p>
          <w:p w14:paraId="609CB02E" w14:textId="1D6C55E1" w:rsidR="00504589" w:rsidRPr="00FD0708" w:rsidRDefault="00504589" w:rsidP="00504589">
            <w:pPr>
              <w:jc w:val="both"/>
              <w:rPr>
                <w:b/>
              </w:rPr>
            </w:pPr>
            <w:r w:rsidRPr="00FD0708">
              <w:t xml:space="preserve">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ja ar noteikumu projektu ir paredzēts ieviest vai pārņemt prasības, kas izriet no noteikumu projekta anotācijas I sadaļas 2. punktā norādītajiem </w:t>
            </w:r>
            <w:bookmarkStart w:id="8" w:name="_Hlk28339410"/>
            <w:r w:rsidRPr="00FD0708">
              <w:t>Eiropas Savienības tiesību aktiem – regulām</w:t>
            </w:r>
            <w:bookmarkEnd w:id="8"/>
            <w:r w:rsidRPr="00FD0708">
              <w:t xml:space="preserve"> un lēmuma – saistībā ar noteikumu projekta 4. punktā paredzēto grozījumu, lūdzam saskaņā ar Ministru kabineta 2009. gada 15. decembra instrukcijas Nr. 19 "Tiesību </w:t>
            </w:r>
            <w:r w:rsidRPr="00FD0708">
              <w:lastRenderedPageBreak/>
              <w:t xml:space="preserve">akta projekta sākotnējās ietekmes izvērtēšanas kārtība" (turpmāk – instrukcija Nr. 19) 55. un 56. punktu aizpildīt noteikumu projekta anotācijas V sadaļas 1. punktu un 1. tabulu (uzskatām, ka, piemēram, ar noteikumu projekta 4. punktu varētu būt ieviesta prasība, kas izriet no Komisijas 2013. gada 18. decembra Regulas (ES) Nr. 1407/2013 par Līguma par Eiropas Savienības darbību 107. un 108. panta piemērošanu </w:t>
            </w:r>
            <w:proofErr w:type="spellStart"/>
            <w:r w:rsidRPr="00FD0708">
              <w:rPr>
                <w:i/>
                <w:iCs/>
              </w:rPr>
              <w:t>de</w:t>
            </w:r>
            <w:proofErr w:type="spellEnd"/>
            <w:r w:rsidRPr="00FD0708">
              <w:rPr>
                <w:i/>
                <w:iCs/>
              </w:rPr>
              <w:t xml:space="preserve"> </w:t>
            </w:r>
            <w:proofErr w:type="spellStart"/>
            <w:r w:rsidRPr="00FD0708">
              <w:rPr>
                <w:i/>
                <w:iCs/>
              </w:rPr>
              <w:t>minimis</w:t>
            </w:r>
            <w:proofErr w:type="spellEnd"/>
            <w:r w:rsidRPr="00FD0708">
              <w:t xml:space="preserve"> atbalstam 3. panta 4. punkta).</w:t>
            </w:r>
          </w:p>
        </w:tc>
        <w:tc>
          <w:tcPr>
            <w:tcW w:w="923" w:type="pct"/>
            <w:tcBorders>
              <w:top w:val="single" w:sz="6" w:space="0" w:color="000000"/>
              <w:left w:val="single" w:sz="6" w:space="0" w:color="000000"/>
              <w:bottom w:val="single" w:sz="6" w:space="0" w:color="000000"/>
              <w:right w:val="single" w:sz="6" w:space="0" w:color="000000"/>
            </w:tcBorders>
            <w:shd w:val="clear" w:color="auto" w:fill="auto"/>
          </w:tcPr>
          <w:p w14:paraId="21B60665" w14:textId="6540F09E" w:rsidR="00504589" w:rsidRPr="00FD0708" w:rsidRDefault="00504589" w:rsidP="00504589">
            <w:pPr>
              <w:spacing w:after="120"/>
              <w:jc w:val="both"/>
              <w:rPr>
                <w:b/>
                <w:lang w:eastAsia="en-US"/>
              </w:rPr>
            </w:pPr>
            <w:r w:rsidRPr="00FD0708">
              <w:rPr>
                <w:b/>
                <w:lang w:eastAsia="en-US"/>
              </w:rPr>
              <w:lastRenderedPageBreak/>
              <w:t>Ņemts vērā</w:t>
            </w:r>
          </w:p>
          <w:p w14:paraId="5DBFACC9" w14:textId="0E7D3FEE" w:rsidR="00504589" w:rsidRPr="00FD0708" w:rsidRDefault="00504589" w:rsidP="00504589">
            <w:pPr>
              <w:jc w:val="both"/>
            </w:pPr>
            <w:r w:rsidRPr="00FD0708">
              <w:t xml:space="preserve">Vienlaikus skaidrojam, ka Komisijas 2013. gada 18. decembra Regulas (ES) Nr. 1407/2013 </w:t>
            </w:r>
            <w:r w:rsidRPr="00FD0708">
              <w:rPr>
                <w:i/>
              </w:rPr>
              <w:t xml:space="preserve">par Līguma par Eiropas Savienības darbību 107. un 108. panta piemērošanu </w:t>
            </w:r>
            <w:proofErr w:type="spellStart"/>
            <w:r w:rsidRPr="00FD0708">
              <w:rPr>
                <w:i/>
                <w:iCs/>
              </w:rPr>
              <w:t>de</w:t>
            </w:r>
            <w:proofErr w:type="spellEnd"/>
            <w:r w:rsidRPr="00FD0708">
              <w:rPr>
                <w:i/>
                <w:iCs/>
              </w:rPr>
              <w:t xml:space="preserve"> </w:t>
            </w:r>
            <w:proofErr w:type="spellStart"/>
            <w:r w:rsidRPr="00FD0708">
              <w:rPr>
                <w:i/>
                <w:iCs/>
              </w:rPr>
              <w:t>minimis</w:t>
            </w:r>
            <w:proofErr w:type="spellEnd"/>
            <w:r w:rsidRPr="00FD0708">
              <w:rPr>
                <w:i/>
              </w:rPr>
              <w:t xml:space="preserve"> atbalstam</w:t>
            </w:r>
            <w:r w:rsidRPr="00FD0708">
              <w:t xml:space="preserve"> 3. panta 4. punkts tika ieviests pilnībā, kad 2015. gada 13. oktobrī tika apstiprināti MK noteikumi Nr. 593.</w:t>
            </w:r>
          </w:p>
          <w:p w14:paraId="1D5479CE" w14:textId="77777777" w:rsidR="00504589" w:rsidRPr="00FD0708" w:rsidRDefault="00504589" w:rsidP="00504589">
            <w:pPr>
              <w:ind w:left="57" w:right="113"/>
              <w:jc w:val="both"/>
            </w:pPr>
          </w:p>
          <w:p w14:paraId="761FC420" w14:textId="77777777" w:rsidR="00504589" w:rsidRPr="00FD0708" w:rsidRDefault="00504589" w:rsidP="00504589">
            <w:pPr>
              <w:ind w:left="57" w:right="113"/>
              <w:jc w:val="both"/>
              <w:rPr>
                <w:b/>
                <w:lang w:eastAsia="en-US"/>
              </w:rPr>
            </w:pPr>
          </w:p>
        </w:tc>
        <w:tc>
          <w:tcPr>
            <w:tcW w:w="1141" w:type="pct"/>
            <w:tcBorders>
              <w:top w:val="single" w:sz="4" w:space="0" w:color="auto"/>
              <w:left w:val="single" w:sz="4" w:space="0" w:color="auto"/>
            </w:tcBorders>
            <w:shd w:val="clear" w:color="auto" w:fill="auto"/>
          </w:tcPr>
          <w:p w14:paraId="3BB403A6" w14:textId="0043C58B" w:rsidR="00504589" w:rsidRPr="00FD0708" w:rsidRDefault="00504589" w:rsidP="00504589">
            <w:pPr>
              <w:autoSpaceDE w:val="0"/>
              <w:autoSpaceDN w:val="0"/>
              <w:adjustRightInd w:val="0"/>
              <w:ind w:left="137" w:right="141"/>
              <w:jc w:val="both"/>
            </w:pPr>
            <w:r w:rsidRPr="00FD0708">
              <w:t>Skat. precizēto anotāciju.</w:t>
            </w:r>
          </w:p>
        </w:tc>
      </w:tr>
    </w:tbl>
    <w:p w14:paraId="192C8B49" w14:textId="4D39FAF9" w:rsidR="00905305" w:rsidRPr="00FD0708" w:rsidRDefault="00905305" w:rsidP="00905305">
      <w:pPr>
        <w:pStyle w:val="naisf"/>
        <w:spacing w:before="0" w:after="0"/>
        <w:ind w:firstLine="0"/>
        <w:rPr>
          <w:sz w:val="22"/>
          <w:szCs w:val="22"/>
        </w:rPr>
      </w:pPr>
    </w:p>
    <w:p w14:paraId="5CE83607" w14:textId="77777777" w:rsidR="00905305" w:rsidRPr="00FD0708" w:rsidRDefault="002F7A75" w:rsidP="00905305">
      <w:pPr>
        <w:pStyle w:val="naisf"/>
        <w:spacing w:before="0" w:after="0"/>
        <w:ind w:firstLine="0"/>
        <w:rPr>
          <w:sz w:val="22"/>
          <w:szCs w:val="22"/>
        </w:rPr>
      </w:pPr>
      <w:r w:rsidRPr="00FD0708">
        <w:rPr>
          <w:sz w:val="22"/>
          <w:szCs w:val="22"/>
        </w:rPr>
        <w:t>Atbildīgā amatpersona</w:t>
      </w:r>
    </w:p>
    <w:p w14:paraId="536D8175" w14:textId="77777777" w:rsidR="00905305" w:rsidRPr="00FD0708" w:rsidRDefault="00905305" w:rsidP="00905305">
      <w:pPr>
        <w:pStyle w:val="naisf"/>
        <w:spacing w:before="0" w:after="0"/>
        <w:ind w:firstLine="0"/>
        <w:rPr>
          <w:sz w:val="22"/>
          <w:szCs w:val="22"/>
        </w:rPr>
      </w:pPr>
    </w:p>
    <w:p w14:paraId="2B0C5A52" w14:textId="77777777" w:rsidR="00905305" w:rsidRPr="00FD0708" w:rsidRDefault="002F7A75" w:rsidP="00905305">
      <w:pPr>
        <w:pStyle w:val="naisf"/>
        <w:pBdr>
          <w:bottom w:val="single" w:sz="4" w:space="0" w:color="auto"/>
        </w:pBdr>
        <w:spacing w:before="0" w:after="60"/>
        <w:ind w:right="4647" w:firstLine="0"/>
        <w:rPr>
          <w:sz w:val="22"/>
          <w:szCs w:val="22"/>
        </w:rPr>
      </w:pPr>
      <w:r w:rsidRPr="00FD0708">
        <w:rPr>
          <w:sz w:val="22"/>
          <w:szCs w:val="22"/>
        </w:rPr>
        <w:t>Evija Bistere</w:t>
      </w:r>
    </w:p>
    <w:tbl>
      <w:tblPr>
        <w:tblW w:w="0" w:type="auto"/>
        <w:tblBorders>
          <w:bottom w:val="single" w:sz="4" w:space="0" w:color="auto"/>
        </w:tblBorders>
        <w:tblLook w:val="00A0" w:firstRow="1" w:lastRow="0" w:firstColumn="1" w:lastColumn="0" w:noHBand="0" w:noVBand="0"/>
      </w:tblPr>
      <w:tblGrid>
        <w:gridCol w:w="9461"/>
      </w:tblGrid>
      <w:tr w:rsidR="00BF7742" w:rsidRPr="00FD0708" w14:paraId="3AE3299B" w14:textId="77777777" w:rsidTr="00905305">
        <w:trPr>
          <w:trHeight w:val="274"/>
        </w:trPr>
        <w:tc>
          <w:tcPr>
            <w:tcW w:w="9461" w:type="dxa"/>
            <w:tcBorders>
              <w:bottom w:val="single" w:sz="4" w:space="0" w:color="auto"/>
            </w:tcBorders>
          </w:tcPr>
          <w:p w14:paraId="13F1B616" w14:textId="77777777" w:rsidR="00905305" w:rsidRPr="00FD0708" w:rsidRDefault="002F7A75" w:rsidP="00905305">
            <w:pPr>
              <w:spacing w:after="60"/>
              <w:jc w:val="center"/>
            </w:pPr>
            <w:r w:rsidRPr="00FD0708">
              <w:rPr>
                <w:sz w:val="22"/>
                <w:szCs w:val="22"/>
              </w:rPr>
              <w:t>(par projektu atbildīgās amatpersonas vārds un uzvārds)</w:t>
            </w:r>
          </w:p>
        </w:tc>
      </w:tr>
      <w:tr w:rsidR="00BF7742" w:rsidRPr="00FD0708" w14:paraId="6BD54FCA" w14:textId="77777777" w:rsidTr="00905305">
        <w:trPr>
          <w:trHeight w:val="260"/>
        </w:trPr>
        <w:tc>
          <w:tcPr>
            <w:tcW w:w="9461" w:type="dxa"/>
            <w:tcBorders>
              <w:top w:val="single" w:sz="4" w:space="0" w:color="auto"/>
              <w:bottom w:val="single" w:sz="4" w:space="0" w:color="auto"/>
            </w:tcBorders>
          </w:tcPr>
          <w:p w14:paraId="5BFF4A61" w14:textId="03629858" w:rsidR="00905305" w:rsidRPr="00FD0708" w:rsidRDefault="002F7A75" w:rsidP="002F5318">
            <w:pPr>
              <w:spacing w:after="60"/>
              <w:rPr>
                <w:sz w:val="22"/>
                <w:szCs w:val="22"/>
              </w:rPr>
            </w:pPr>
            <w:r w:rsidRPr="00FD0708">
              <w:rPr>
                <w:sz w:val="22"/>
                <w:szCs w:val="22"/>
              </w:rPr>
              <w:t>Vides aizsardzības un reģionālās attīstības ministrijas Investīciju politikas departamenta direktora vietniece reģionālo un informācijas un komunikācijas tehnoloģiju investīciju jautājumos</w:t>
            </w:r>
          </w:p>
        </w:tc>
      </w:tr>
      <w:tr w:rsidR="00BF7742" w:rsidRPr="00FD0708" w14:paraId="7B88B403" w14:textId="77777777" w:rsidTr="00905305">
        <w:trPr>
          <w:trHeight w:val="260"/>
        </w:trPr>
        <w:tc>
          <w:tcPr>
            <w:tcW w:w="9461" w:type="dxa"/>
            <w:tcBorders>
              <w:top w:val="single" w:sz="4" w:space="0" w:color="auto"/>
              <w:bottom w:val="nil"/>
            </w:tcBorders>
          </w:tcPr>
          <w:p w14:paraId="7162EF71" w14:textId="77777777" w:rsidR="00905305" w:rsidRPr="00FD0708" w:rsidRDefault="002F7A75" w:rsidP="00905305">
            <w:pPr>
              <w:spacing w:after="60"/>
              <w:jc w:val="center"/>
            </w:pPr>
            <w:r w:rsidRPr="00FD0708">
              <w:rPr>
                <w:sz w:val="22"/>
                <w:szCs w:val="22"/>
              </w:rPr>
              <w:t>(amats)</w:t>
            </w:r>
          </w:p>
        </w:tc>
      </w:tr>
      <w:tr w:rsidR="00BF7742" w:rsidRPr="00FD0708" w14:paraId="26DE57A1" w14:textId="77777777" w:rsidTr="00905305">
        <w:trPr>
          <w:trHeight w:val="274"/>
        </w:trPr>
        <w:tc>
          <w:tcPr>
            <w:tcW w:w="9461" w:type="dxa"/>
            <w:tcBorders>
              <w:bottom w:val="single" w:sz="4" w:space="0" w:color="auto"/>
            </w:tcBorders>
          </w:tcPr>
          <w:p w14:paraId="466EE1EF" w14:textId="77777777" w:rsidR="00905305" w:rsidRPr="00FD0708" w:rsidRDefault="002F7A75" w:rsidP="00905305">
            <w:pPr>
              <w:spacing w:after="60"/>
            </w:pPr>
            <w:r w:rsidRPr="00FD0708">
              <w:rPr>
                <w:sz w:val="22"/>
                <w:szCs w:val="22"/>
              </w:rPr>
              <w:t>tālr., fakss: 66016714</w:t>
            </w:r>
          </w:p>
        </w:tc>
      </w:tr>
      <w:tr w:rsidR="00BF7742" w:rsidRPr="00FD0708" w14:paraId="07F5EEC1" w14:textId="77777777" w:rsidTr="00905305">
        <w:trPr>
          <w:trHeight w:val="260"/>
        </w:trPr>
        <w:tc>
          <w:tcPr>
            <w:tcW w:w="9461" w:type="dxa"/>
            <w:tcBorders>
              <w:top w:val="single" w:sz="4" w:space="0" w:color="auto"/>
              <w:bottom w:val="nil"/>
            </w:tcBorders>
          </w:tcPr>
          <w:p w14:paraId="3AD4921B" w14:textId="77777777" w:rsidR="00905305" w:rsidRPr="00FD0708" w:rsidRDefault="002F7A75" w:rsidP="00905305">
            <w:pPr>
              <w:spacing w:after="60"/>
              <w:jc w:val="center"/>
            </w:pPr>
            <w:r w:rsidRPr="00FD0708">
              <w:rPr>
                <w:sz w:val="22"/>
                <w:szCs w:val="22"/>
              </w:rPr>
              <w:t>(tālruņa un faksa numurs)</w:t>
            </w:r>
          </w:p>
        </w:tc>
      </w:tr>
      <w:tr w:rsidR="00BF7742" w:rsidRPr="00FD0708" w14:paraId="07684D87" w14:textId="77777777" w:rsidTr="00905305">
        <w:trPr>
          <w:trHeight w:val="260"/>
        </w:trPr>
        <w:tc>
          <w:tcPr>
            <w:tcW w:w="9461" w:type="dxa"/>
            <w:tcBorders>
              <w:bottom w:val="single" w:sz="4" w:space="0" w:color="auto"/>
            </w:tcBorders>
          </w:tcPr>
          <w:p w14:paraId="00D50688" w14:textId="6CB10D4E" w:rsidR="00905305" w:rsidRPr="00FD0708" w:rsidRDefault="00802D9E" w:rsidP="00905305">
            <w:pPr>
              <w:spacing w:after="60"/>
            </w:pPr>
            <w:hyperlink r:id="rId12" w:history="1">
              <w:r w:rsidR="007933DA" w:rsidRPr="00FD0708">
                <w:rPr>
                  <w:rStyle w:val="Hyperlink"/>
                  <w:sz w:val="22"/>
                  <w:szCs w:val="22"/>
                </w:rPr>
                <w:t>evija.bistere@varam.gov.lv</w:t>
              </w:r>
            </w:hyperlink>
            <w:r w:rsidR="002F7A75" w:rsidRPr="00FD0708">
              <w:rPr>
                <w:sz w:val="22"/>
                <w:szCs w:val="22"/>
              </w:rPr>
              <w:t xml:space="preserve"> </w:t>
            </w:r>
          </w:p>
        </w:tc>
      </w:tr>
      <w:tr w:rsidR="00BF7742" w:rsidRPr="00FD0708" w14:paraId="1BBEB24C" w14:textId="77777777" w:rsidTr="00905305">
        <w:trPr>
          <w:trHeight w:val="119"/>
        </w:trPr>
        <w:tc>
          <w:tcPr>
            <w:tcW w:w="9461" w:type="dxa"/>
            <w:tcBorders>
              <w:top w:val="single" w:sz="4" w:space="0" w:color="auto"/>
              <w:bottom w:val="nil"/>
            </w:tcBorders>
          </w:tcPr>
          <w:p w14:paraId="4772D769" w14:textId="77777777" w:rsidR="00905305" w:rsidRPr="00FD0708" w:rsidRDefault="002F7A75" w:rsidP="00905305">
            <w:pPr>
              <w:spacing w:after="60"/>
              <w:jc w:val="center"/>
            </w:pPr>
            <w:r w:rsidRPr="00FD0708">
              <w:rPr>
                <w:sz w:val="22"/>
                <w:szCs w:val="22"/>
              </w:rPr>
              <w:t>(e-pasta adrese)</w:t>
            </w:r>
          </w:p>
        </w:tc>
      </w:tr>
    </w:tbl>
    <w:p w14:paraId="690D3BC1" w14:textId="77777777" w:rsidR="00905305" w:rsidRPr="00FD0708" w:rsidRDefault="002F7A75" w:rsidP="00905305">
      <w:pPr>
        <w:tabs>
          <w:tab w:val="left" w:pos="2490"/>
        </w:tabs>
        <w:jc w:val="both"/>
        <w:rPr>
          <w:sz w:val="22"/>
          <w:szCs w:val="22"/>
        </w:rPr>
      </w:pPr>
      <w:r w:rsidRPr="00FD0708">
        <w:rPr>
          <w:sz w:val="22"/>
          <w:szCs w:val="22"/>
        </w:rPr>
        <w:tab/>
      </w:r>
    </w:p>
    <w:p w14:paraId="252387DF" w14:textId="77777777" w:rsidR="00802D9E" w:rsidRDefault="00802D9E" w:rsidP="00905305">
      <w:pPr>
        <w:jc w:val="both"/>
        <w:rPr>
          <w:sz w:val="20"/>
          <w:szCs w:val="20"/>
        </w:rPr>
      </w:pPr>
      <w:r>
        <w:rPr>
          <w:sz w:val="20"/>
          <w:szCs w:val="20"/>
        </w:rPr>
        <w:t>02.03.2020 15:55</w:t>
      </w:r>
    </w:p>
    <w:p w14:paraId="735FF15C" w14:textId="0BBE7491" w:rsidR="00905305" w:rsidRPr="00FD0708" w:rsidRDefault="00F67D66" w:rsidP="00905305">
      <w:pPr>
        <w:jc w:val="both"/>
        <w:rPr>
          <w:sz w:val="20"/>
          <w:szCs w:val="20"/>
        </w:rPr>
      </w:pPr>
      <w:r w:rsidRPr="00FD0708">
        <w:rPr>
          <w:sz w:val="20"/>
          <w:szCs w:val="20"/>
        </w:rPr>
        <w:t>4</w:t>
      </w:r>
      <w:r w:rsidR="007E0252">
        <w:rPr>
          <w:sz w:val="20"/>
          <w:szCs w:val="20"/>
        </w:rPr>
        <w:t>6</w:t>
      </w:r>
      <w:r w:rsidR="00802D9E">
        <w:rPr>
          <w:sz w:val="20"/>
          <w:szCs w:val="20"/>
        </w:rPr>
        <w:t>68</w:t>
      </w:r>
    </w:p>
    <w:p w14:paraId="42BB46BD" w14:textId="77777777" w:rsidR="00905305" w:rsidRPr="00FD0708" w:rsidRDefault="002F7A75" w:rsidP="00905305">
      <w:pPr>
        <w:jc w:val="both"/>
        <w:rPr>
          <w:sz w:val="20"/>
          <w:szCs w:val="20"/>
        </w:rPr>
      </w:pPr>
      <w:r w:rsidRPr="00FD0708">
        <w:rPr>
          <w:sz w:val="20"/>
          <w:szCs w:val="20"/>
        </w:rPr>
        <w:t>L. Dorbe 66016767</w:t>
      </w:r>
    </w:p>
    <w:p w14:paraId="2595A54A" w14:textId="77777777" w:rsidR="00905305" w:rsidRPr="005501AE" w:rsidRDefault="00802D9E" w:rsidP="00905305">
      <w:pPr>
        <w:jc w:val="both"/>
        <w:rPr>
          <w:sz w:val="20"/>
          <w:szCs w:val="20"/>
        </w:rPr>
      </w:pPr>
      <w:hyperlink r:id="rId13" w:history="1">
        <w:r w:rsidR="002F7A75" w:rsidRPr="00FD0708">
          <w:rPr>
            <w:rStyle w:val="Hyperlink"/>
            <w:sz w:val="20"/>
            <w:szCs w:val="20"/>
          </w:rPr>
          <w:t>liene.dorbe@varam.gov.lv</w:t>
        </w:r>
      </w:hyperlink>
      <w:bookmarkStart w:id="9" w:name="_GoBack"/>
      <w:bookmarkEnd w:id="9"/>
    </w:p>
    <w:sectPr w:rsidR="00905305" w:rsidRPr="005501AE" w:rsidSect="00FD0708">
      <w:headerReference w:type="even" r:id="rId14"/>
      <w:headerReference w:type="default" r:id="rId15"/>
      <w:footerReference w:type="default" r:id="rId16"/>
      <w:footerReference w:type="first" r:id="rId17"/>
      <w:pgSz w:w="16838" w:h="11906" w:orient="landscape" w:code="9"/>
      <w:pgMar w:top="851" w:right="1134" w:bottom="993" w:left="1701" w:header="709" w:footer="4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91C4F" w14:textId="77777777" w:rsidR="009340A7" w:rsidRDefault="009340A7">
      <w:r>
        <w:separator/>
      </w:r>
    </w:p>
  </w:endnote>
  <w:endnote w:type="continuationSeparator" w:id="0">
    <w:p w14:paraId="5936955B" w14:textId="77777777" w:rsidR="009340A7" w:rsidRDefault="0093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45F6" w14:textId="4369E962" w:rsidR="00905305" w:rsidRPr="004C0906" w:rsidRDefault="00905305" w:rsidP="00905305">
    <w:pPr>
      <w:jc w:val="both"/>
      <w:rPr>
        <w:sz w:val="20"/>
        <w:szCs w:val="20"/>
      </w:rPr>
    </w:pPr>
    <w:r w:rsidRPr="00C6256C">
      <w:rPr>
        <w:sz w:val="20"/>
        <w:szCs w:val="20"/>
      </w:rPr>
      <w:t>VARAMIzz_</w:t>
    </w:r>
    <w:r w:rsidR="00234407">
      <w:rPr>
        <w:sz w:val="20"/>
        <w:szCs w:val="20"/>
      </w:rPr>
      <w:t>0302</w:t>
    </w:r>
    <w:r>
      <w:rPr>
        <w:sz w:val="20"/>
        <w:szCs w:val="20"/>
      </w:rPr>
      <w:t>20_groz593</w:t>
    </w:r>
  </w:p>
  <w:p w14:paraId="72A7B027" w14:textId="012AEB54" w:rsidR="00905305" w:rsidRPr="006263FA" w:rsidRDefault="00905305" w:rsidP="00701044">
    <w:pPr>
      <w:pStyle w:val="Footer"/>
      <w:tabs>
        <w:tab w:val="clear" w:pos="4153"/>
        <w:tab w:val="clear" w:pos="8306"/>
        <w:tab w:val="left" w:pos="39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18A8" w14:textId="02EA449A" w:rsidR="00905305" w:rsidRPr="004C0906" w:rsidRDefault="00905305" w:rsidP="00905305">
    <w:pPr>
      <w:jc w:val="both"/>
      <w:rPr>
        <w:sz w:val="20"/>
        <w:szCs w:val="20"/>
      </w:rPr>
    </w:pPr>
    <w:r w:rsidRPr="00C6256C">
      <w:rPr>
        <w:sz w:val="20"/>
        <w:szCs w:val="20"/>
      </w:rPr>
      <w:t>VARAMIzz_</w:t>
    </w:r>
    <w:r w:rsidR="00234407">
      <w:rPr>
        <w:sz w:val="20"/>
        <w:szCs w:val="20"/>
      </w:rPr>
      <w:t>0302</w:t>
    </w:r>
    <w:r>
      <w:rPr>
        <w:sz w:val="20"/>
        <w:szCs w:val="20"/>
      </w:rPr>
      <w:t>20_groz593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2A44F" w14:textId="77777777" w:rsidR="009340A7" w:rsidRDefault="009340A7">
      <w:r>
        <w:separator/>
      </w:r>
    </w:p>
  </w:footnote>
  <w:footnote w:type="continuationSeparator" w:id="0">
    <w:p w14:paraId="17A0A3F5" w14:textId="77777777" w:rsidR="009340A7" w:rsidRDefault="009340A7">
      <w:r>
        <w:continuationSeparator/>
      </w:r>
    </w:p>
  </w:footnote>
  <w:footnote w:type="continuationNotice" w:id="1">
    <w:p w14:paraId="18C66980" w14:textId="77777777" w:rsidR="009340A7" w:rsidRDefault="009340A7"/>
  </w:footnote>
  <w:footnote w:id="2">
    <w:p w14:paraId="48E63985" w14:textId="77777777" w:rsidR="007606B8" w:rsidRDefault="007606B8" w:rsidP="00F86C7D">
      <w:pPr>
        <w:pStyle w:val="FootnoteText"/>
      </w:pPr>
      <w:r>
        <w:rPr>
          <w:rStyle w:val="FootnoteReference"/>
        </w:rPr>
        <w:footnoteRef/>
      </w:r>
      <w:r>
        <w:t xml:space="preserve"> </w:t>
      </w:r>
      <w:r w:rsidRPr="000E44DC">
        <w:t xml:space="preserve">MK 2019.gada 11.oktobra sēdes </w:t>
      </w:r>
      <w:proofErr w:type="spellStart"/>
      <w:r w:rsidRPr="000E44DC">
        <w:t>protokollēmum</w:t>
      </w:r>
      <w:r>
        <w:t>s</w:t>
      </w:r>
      <w:proofErr w:type="spellEnd"/>
      <w:r w:rsidRPr="000E44DC">
        <w:t xml:space="preserve"> (prot. Nr.47 3.§) </w:t>
      </w:r>
      <w:r>
        <w:t>“</w:t>
      </w:r>
      <w:r w:rsidRPr="000E44DC">
        <w:t xml:space="preserve">Informatīvais ziņojums </w:t>
      </w:r>
      <w:r>
        <w:t>“</w:t>
      </w:r>
      <w:r w:rsidRPr="000E44DC">
        <w:t xml:space="preserve">Par Eiropas Savienības struktūrfondu un Kohēzijas fonda 2014.–2020.gada plānošanas perioda darbības programmas </w:t>
      </w:r>
      <w:r>
        <w:t>“</w:t>
      </w:r>
      <w:r w:rsidRPr="000E44DC">
        <w:t>Izaugsme un nodarbinātība” snieguma ietvarā noteikto mērķu sasniegšanas progresu un snieguma rezerves finansējuma tālāku izmantošanu””</w:t>
      </w:r>
      <w:r>
        <w:t>.</w:t>
      </w:r>
    </w:p>
  </w:footnote>
  <w:footnote w:id="3">
    <w:p w14:paraId="30896A54" w14:textId="77777777" w:rsidR="002432C8" w:rsidRDefault="002432C8" w:rsidP="00E215CD">
      <w:pPr>
        <w:pStyle w:val="FootnoteText"/>
      </w:pPr>
      <w:r>
        <w:rPr>
          <w:rStyle w:val="FootnoteReference"/>
        </w:rPr>
        <w:footnoteRef/>
      </w:r>
      <w:r>
        <w:t xml:space="preserve"> </w:t>
      </w:r>
      <w:r w:rsidRPr="000E44DC">
        <w:t xml:space="preserve">MK 2019.gada 11.oktobra sēdes </w:t>
      </w:r>
      <w:proofErr w:type="spellStart"/>
      <w:r w:rsidRPr="000E44DC">
        <w:t>protokollēmum</w:t>
      </w:r>
      <w:r>
        <w:t>s</w:t>
      </w:r>
      <w:proofErr w:type="spellEnd"/>
      <w:r w:rsidRPr="000E44DC">
        <w:t xml:space="preserve"> (prot. Nr.47 3.§) </w:t>
      </w:r>
      <w:r>
        <w:t>“</w:t>
      </w:r>
      <w:r w:rsidRPr="000E44DC">
        <w:t xml:space="preserve">Informatīvais ziņojums </w:t>
      </w:r>
      <w:r>
        <w:t>“</w:t>
      </w:r>
      <w:r w:rsidRPr="000E44DC">
        <w:t xml:space="preserve">Par Eiropas Savienības struktūrfondu un Kohēzijas fonda 2014.–2020.gada plānošanas perioda darbības programmas </w:t>
      </w:r>
      <w:r>
        <w:t>“</w:t>
      </w:r>
      <w:r w:rsidRPr="000E44DC">
        <w:t>Izaugsme un nodarbinātība” snieguma ietvarā noteikto mērķu sasniegšanas progresu un snieguma rezerves finansējuma tālāku izmantošanu””</w:t>
      </w:r>
      <w:r>
        <w:t>.</w:t>
      </w:r>
    </w:p>
  </w:footnote>
  <w:footnote w:id="4">
    <w:p w14:paraId="522F8056" w14:textId="1CF5251A" w:rsidR="002432C8" w:rsidRDefault="002432C8">
      <w:pPr>
        <w:pStyle w:val="FootnoteText"/>
      </w:pPr>
      <w:r>
        <w:rPr>
          <w:rStyle w:val="FootnoteReference"/>
        </w:rPr>
        <w:footnoteRef/>
      </w:r>
      <w:r>
        <w:t xml:space="preserve"> </w:t>
      </w:r>
      <w:r w:rsidRPr="000E44DC">
        <w:t xml:space="preserve">MK 2019.gada 11.oktobra sēdes </w:t>
      </w:r>
      <w:proofErr w:type="spellStart"/>
      <w:r w:rsidRPr="000E44DC">
        <w:t>protokollēmum</w:t>
      </w:r>
      <w:r>
        <w:t>s</w:t>
      </w:r>
      <w:proofErr w:type="spellEnd"/>
      <w:r w:rsidRPr="000E44DC">
        <w:t xml:space="preserve"> (prot. Nr.47 3.§) </w:t>
      </w:r>
      <w:r>
        <w:t>“</w:t>
      </w:r>
      <w:r w:rsidRPr="000E44DC">
        <w:t xml:space="preserve">Informatīvais ziņojums </w:t>
      </w:r>
      <w:r>
        <w:t>“</w:t>
      </w:r>
      <w:r w:rsidRPr="000E44DC">
        <w:t xml:space="preserve">Par Eiropas Savienības struktūrfondu un Kohēzijas fonda 2014.–2020.gada plānošanas perioda darbības programmas </w:t>
      </w:r>
      <w:r>
        <w:t>“</w:t>
      </w:r>
      <w:r w:rsidRPr="000E44DC">
        <w:t>Izaugsme un nodarbinātība” snieguma ietvarā noteikto mērķu sasniegšanas progresu un snieguma rezerves finansējuma tālāku izmantošanu””</w:t>
      </w:r>
      <w:r>
        <w:t>.</w:t>
      </w:r>
    </w:p>
  </w:footnote>
  <w:footnote w:id="5">
    <w:p w14:paraId="32B711DB" w14:textId="77777777" w:rsidR="00902A64" w:rsidRDefault="00902A64" w:rsidP="00902A64">
      <w:pPr>
        <w:pStyle w:val="FootnoteText"/>
      </w:pPr>
      <w:r>
        <w:rPr>
          <w:rStyle w:val="FootnoteReference"/>
        </w:rPr>
        <w:footnoteRef/>
      </w:r>
      <w:r>
        <w:t xml:space="preserve"> </w:t>
      </w:r>
      <w:r w:rsidRPr="000E44DC">
        <w:t xml:space="preserve">MK 2019.gada 11.oktobra sēdes </w:t>
      </w:r>
      <w:proofErr w:type="spellStart"/>
      <w:r w:rsidRPr="000E44DC">
        <w:t>protokollēmum</w:t>
      </w:r>
      <w:r>
        <w:t>s</w:t>
      </w:r>
      <w:proofErr w:type="spellEnd"/>
      <w:r w:rsidRPr="000E44DC">
        <w:t xml:space="preserve"> (prot. Nr.47 3.§) </w:t>
      </w:r>
      <w:r>
        <w:t>“</w:t>
      </w:r>
      <w:r w:rsidRPr="000E44DC">
        <w:t xml:space="preserve">Informatīvais ziņojums </w:t>
      </w:r>
      <w:r>
        <w:t>“</w:t>
      </w:r>
      <w:r w:rsidRPr="000E44DC">
        <w:t xml:space="preserve">Par Eiropas Savienības struktūrfondu un Kohēzijas fonda 2014.–2020.gada plānošanas perioda darbības programmas </w:t>
      </w:r>
      <w:r>
        <w:t>“</w:t>
      </w:r>
      <w:r w:rsidRPr="000E44DC">
        <w:t>Izaugsme un nodarbinātība” snieguma ietvarā noteikto mērķu sasniegšanas progresu un snieguma rezerves finansējuma tālāku izmantošanu””</w:t>
      </w:r>
      <w:r>
        <w:t>.</w:t>
      </w:r>
    </w:p>
  </w:footnote>
  <w:footnote w:id="6">
    <w:p w14:paraId="36C1E892" w14:textId="77777777" w:rsidR="00902A64" w:rsidRDefault="00902A64" w:rsidP="00902A64">
      <w:pPr>
        <w:pStyle w:val="FootnoteText"/>
      </w:pPr>
      <w:r>
        <w:rPr>
          <w:rStyle w:val="FootnoteReference"/>
        </w:rPr>
        <w:footnoteRef/>
      </w:r>
      <w:r>
        <w:t xml:space="preserve"> </w:t>
      </w:r>
      <w:r w:rsidRPr="000E44DC">
        <w:t xml:space="preserve">MK 2019.gada 11.oktobra sēdes </w:t>
      </w:r>
      <w:proofErr w:type="spellStart"/>
      <w:r w:rsidRPr="000E44DC">
        <w:t>protokollēmum</w:t>
      </w:r>
      <w:r>
        <w:t>s</w:t>
      </w:r>
      <w:proofErr w:type="spellEnd"/>
      <w:r w:rsidRPr="000E44DC">
        <w:t xml:space="preserve"> (prot. Nr.47 3.§) </w:t>
      </w:r>
      <w:r>
        <w:t>“</w:t>
      </w:r>
      <w:r w:rsidRPr="000E44DC">
        <w:t xml:space="preserve">Informatīvais ziņojums </w:t>
      </w:r>
      <w:r>
        <w:t>“</w:t>
      </w:r>
      <w:r w:rsidRPr="000E44DC">
        <w:t xml:space="preserve">Par Eiropas Savienības struktūrfondu un Kohēzijas fonda 2014.–2020.gada plānošanas perioda darbības programmas </w:t>
      </w:r>
      <w:r>
        <w:t>“</w:t>
      </w:r>
      <w:r w:rsidRPr="000E44DC">
        <w:t>Izaugsme un nodarbinātība” snieguma ietvarā noteikto mērķu sasniegšanas progresu un snieguma rezerves finansējuma tālāku izmantošanu””</w:t>
      </w:r>
      <w:r>
        <w:t>.</w:t>
      </w:r>
    </w:p>
  </w:footnote>
  <w:footnote w:id="7">
    <w:p w14:paraId="095C7AB6" w14:textId="2646CDB3" w:rsidR="002432C8" w:rsidRDefault="002432C8">
      <w:pPr>
        <w:pStyle w:val="FootnoteText"/>
      </w:pPr>
      <w:r>
        <w:rPr>
          <w:rStyle w:val="FootnoteReference"/>
        </w:rPr>
        <w:footnoteRef/>
      </w:r>
      <w:r>
        <w:t xml:space="preserve"> </w:t>
      </w:r>
      <w:r w:rsidRPr="000E44DC">
        <w:t xml:space="preserve">MK 2019.gada 11.oktobra sēdes </w:t>
      </w:r>
      <w:proofErr w:type="spellStart"/>
      <w:r w:rsidRPr="000E44DC">
        <w:t>protokollēmum</w:t>
      </w:r>
      <w:r>
        <w:t>s</w:t>
      </w:r>
      <w:proofErr w:type="spellEnd"/>
      <w:r w:rsidRPr="000E44DC">
        <w:t xml:space="preserve"> (prot. Nr.47 3.§) </w:t>
      </w:r>
      <w:r>
        <w:t>“</w:t>
      </w:r>
      <w:r w:rsidRPr="000E44DC">
        <w:t xml:space="preserve">Informatīvais ziņojums </w:t>
      </w:r>
      <w:r>
        <w:t>“</w:t>
      </w:r>
      <w:r w:rsidRPr="000E44DC">
        <w:t xml:space="preserve">Par Eiropas Savienības struktūrfondu un Kohēzijas fonda 2014.–2020.gada plānošanas perioda darbības programmas </w:t>
      </w:r>
      <w:r>
        <w:t>“</w:t>
      </w:r>
      <w:r w:rsidRPr="000E44DC">
        <w:t>Izaugsme un nodarbinātība” snieguma ietvarā noteikto mērķu sasniegšanas progresu un snieguma rezerves finansējuma tālāku izmantošanu””</w:t>
      </w:r>
      <w:r>
        <w:t>.</w:t>
      </w:r>
    </w:p>
  </w:footnote>
  <w:footnote w:id="8">
    <w:p w14:paraId="1DDCC0A8" w14:textId="636B4D51" w:rsidR="002432C8" w:rsidRDefault="002432C8" w:rsidP="001E451C">
      <w:pPr>
        <w:pStyle w:val="FootnoteText"/>
        <w:jc w:val="both"/>
      </w:pPr>
      <w:r>
        <w:rPr>
          <w:rStyle w:val="FootnoteReference"/>
        </w:rPr>
        <w:footnoteRef/>
      </w:r>
      <w:r>
        <w:t xml:space="preserve"> </w:t>
      </w:r>
      <w:r w:rsidRPr="001E451C">
        <w:t xml:space="preserve">Ministru kabineta 2018. gada 24. jūlija rīkojums Nr. 353 "Grozījumi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w:t>
      </w:r>
    </w:p>
  </w:footnote>
  <w:footnote w:id="9">
    <w:p w14:paraId="4F788689" w14:textId="77777777" w:rsidR="002432C8" w:rsidRDefault="002432C8" w:rsidP="00E57A9B">
      <w:pPr>
        <w:pStyle w:val="FootnoteText"/>
        <w:jc w:val="both"/>
      </w:pPr>
      <w:r>
        <w:rPr>
          <w:rStyle w:val="FootnoteReference"/>
        </w:rPr>
        <w:footnoteRef/>
      </w:r>
      <w:r>
        <w:t xml:space="preserve"> </w:t>
      </w:r>
      <w:r>
        <w:rPr>
          <w:szCs w:val="24"/>
        </w:rPr>
        <w:t xml:space="preserve">MK 2015.gada 13.oktobra noteikumi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p>
  </w:footnote>
  <w:footnote w:id="10">
    <w:p w14:paraId="5DCE19DF" w14:textId="77777777" w:rsidR="002432C8" w:rsidRDefault="002432C8" w:rsidP="00E57A9B">
      <w:pPr>
        <w:pStyle w:val="FootnoteText"/>
        <w:jc w:val="both"/>
      </w:pPr>
      <w:r>
        <w:rPr>
          <w:rStyle w:val="FootnoteReference"/>
        </w:rPr>
        <w:footnoteRef/>
      </w:r>
      <w:r>
        <w:t xml:space="preserve"> </w:t>
      </w:r>
      <w:r>
        <w:t>2019.gada 19.jūnija vēstule Nr.5.1-24/21/2846 “</w:t>
      </w:r>
      <w:r w:rsidRPr="00FE449F">
        <w:t>Par turpmāko rīcību ar neattiecināmajām izmaksām Eiropas Savienības struktūrfondu un Kohēzijas fonda 2014.–2020.gada plānošanas perioda īstenošanā</w:t>
      </w:r>
      <w:r>
        <w:t>”.</w:t>
      </w:r>
    </w:p>
  </w:footnote>
  <w:footnote w:id="11">
    <w:p w14:paraId="5BCA7085" w14:textId="7B5A9CC0" w:rsidR="002432C8" w:rsidRPr="00E57A9B" w:rsidRDefault="002432C8" w:rsidP="00E57A9B">
      <w:pPr>
        <w:pStyle w:val="Atklasts"/>
        <w:rPr>
          <w:b w:val="0"/>
          <w:bCs w:val="0"/>
          <w:sz w:val="20"/>
          <w:szCs w:val="20"/>
          <w:lang w:eastAsia="lv-LV"/>
        </w:rPr>
      </w:pPr>
      <w:r w:rsidRPr="00E57A9B">
        <w:rPr>
          <w:b w:val="0"/>
          <w:bCs w:val="0"/>
          <w:sz w:val="20"/>
          <w:szCs w:val="20"/>
          <w:vertAlign w:val="superscript"/>
          <w:lang w:eastAsia="lv-LV"/>
        </w:rPr>
        <w:footnoteRef/>
      </w:r>
      <w:r w:rsidRPr="00E57A9B">
        <w:rPr>
          <w:b w:val="0"/>
          <w:bCs w:val="0"/>
          <w:sz w:val="20"/>
          <w:szCs w:val="20"/>
          <w:vertAlign w:val="superscript"/>
          <w:lang w:eastAsia="lv-LV"/>
        </w:rPr>
        <w:t xml:space="preserve"> </w:t>
      </w:r>
      <w:r>
        <w:rPr>
          <w:b w:val="0"/>
          <w:bCs w:val="0"/>
          <w:sz w:val="20"/>
          <w:szCs w:val="20"/>
          <w:lang w:eastAsia="lv-LV"/>
        </w:rPr>
        <w:t xml:space="preserve">VARAM </w:t>
      </w:r>
      <w:r w:rsidRPr="00E57A9B">
        <w:rPr>
          <w:b w:val="0"/>
          <w:bCs w:val="0"/>
          <w:sz w:val="20"/>
          <w:szCs w:val="20"/>
          <w:lang w:eastAsia="lv-LV"/>
        </w:rPr>
        <w:t xml:space="preserve">2019. gada 28. jūnija vēstule Nr. 4-4/6228 </w:t>
      </w:r>
      <w:r>
        <w:rPr>
          <w:b w:val="0"/>
          <w:bCs w:val="0"/>
          <w:sz w:val="20"/>
          <w:szCs w:val="20"/>
          <w:lang w:eastAsia="lv-LV"/>
        </w:rPr>
        <w:t>“</w:t>
      </w:r>
      <w:r w:rsidRPr="00E57A9B">
        <w:rPr>
          <w:b w:val="0"/>
          <w:bCs w:val="0"/>
          <w:sz w:val="20"/>
          <w:szCs w:val="20"/>
          <w:lang w:eastAsia="lv-LV"/>
        </w:rPr>
        <w:t>Par turpmāko rīcību ar neattiecināmajām izmaksām Eiropas Savienības struktūrfondu un Kohēzijas fonda 2014.-2020. gada plānošanas perioda īstenošanā</w:t>
      </w:r>
      <w:r>
        <w:rPr>
          <w:b w:val="0"/>
          <w:bCs w:val="0"/>
          <w:sz w:val="20"/>
          <w:szCs w:val="20"/>
          <w:lang w:eastAsia="lv-LV"/>
        </w:rPr>
        <w:t>” un VARAM 2019. gada 15. augusta vēstule Nr. 4-4/7795 “</w:t>
      </w:r>
      <w:r w:rsidRPr="00E57A9B">
        <w:rPr>
          <w:b w:val="0"/>
          <w:bCs w:val="0"/>
          <w:sz w:val="20"/>
          <w:szCs w:val="20"/>
          <w:lang w:eastAsia="lv-LV"/>
        </w:rPr>
        <w:t>Par turpmāko rīcību ar neattiecināmajām izmaksām Eiropas Savienības struktūrfondu un Kohēzijas fonda 2014.-2020. gada plānošanas perioda īstenošanā</w:t>
      </w:r>
      <w:r>
        <w:rPr>
          <w:b w:val="0"/>
          <w:bCs w:val="0"/>
          <w:sz w:val="20"/>
          <w:szCs w:val="20"/>
          <w:lang w:eastAsia="lv-LV"/>
        </w:rPr>
        <w:t>”.</w:t>
      </w:r>
    </w:p>
  </w:footnote>
  <w:footnote w:id="12">
    <w:p w14:paraId="65604E0B" w14:textId="77777777" w:rsidR="002432C8" w:rsidRDefault="002432C8" w:rsidP="00CE6C3D">
      <w:pPr>
        <w:pStyle w:val="FootnoteText"/>
      </w:pPr>
      <w:r>
        <w:rPr>
          <w:rStyle w:val="FootnoteReference"/>
        </w:rPr>
        <w:footnoteRef/>
      </w:r>
      <w:r>
        <w:t xml:space="preserve"> </w:t>
      </w:r>
      <w:r>
        <w:t>MK 2018.gada 21.novembra noteikumi Nr.</w:t>
      </w:r>
      <w:r w:rsidRPr="00283C45">
        <w:t xml:space="preserve">715 “Noteikumi par </w:t>
      </w:r>
      <w:proofErr w:type="spellStart"/>
      <w:r w:rsidRPr="000C41C3">
        <w:rPr>
          <w:i/>
        </w:rPr>
        <w:t>de</w:t>
      </w:r>
      <w:proofErr w:type="spellEnd"/>
      <w:r w:rsidRPr="000C41C3">
        <w:rPr>
          <w:i/>
        </w:rPr>
        <w:t xml:space="preserve"> </w:t>
      </w:r>
      <w:proofErr w:type="spellStart"/>
      <w:r w:rsidRPr="000C41C3">
        <w:rPr>
          <w:i/>
        </w:rPr>
        <w:t>minimis</w:t>
      </w:r>
      <w:proofErr w:type="spellEnd"/>
      <w:r w:rsidRPr="00283C45">
        <w:t xml:space="preserve"> atbalsta uzskaites un piešķiršanas kārtību un </w:t>
      </w:r>
      <w:proofErr w:type="spellStart"/>
      <w:r w:rsidRPr="000C41C3">
        <w:rPr>
          <w:i/>
        </w:rPr>
        <w:t>de</w:t>
      </w:r>
      <w:proofErr w:type="spellEnd"/>
      <w:r w:rsidRPr="000C41C3">
        <w:rPr>
          <w:i/>
        </w:rPr>
        <w:t xml:space="preserve"> </w:t>
      </w:r>
      <w:proofErr w:type="spellStart"/>
      <w:r w:rsidRPr="000C41C3">
        <w:rPr>
          <w:i/>
        </w:rPr>
        <w:t>minimis</w:t>
      </w:r>
      <w:proofErr w:type="spellEnd"/>
      <w:r w:rsidRPr="00283C45">
        <w:t xml:space="preserve"> atbalsta uzskaites veidlapu paraugiem”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ECEF" w14:textId="77777777" w:rsidR="00905305" w:rsidRDefault="00905305" w:rsidP="009053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184F0" w14:textId="77777777" w:rsidR="00905305" w:rsidRDefault="00905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A60C" w14:textId="77777777" w:rsidR="00905305" w:rsidRDefault="00905305" w:rsidP="009053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D9E">
      <w:rPr>
        <w:rStyle w:val="PageNumber"/>
        <w:noProof/>
      </w:rPr>
      <w:t>24</w:t>
    </w:r>
    <w:r>
      <w:rPr>
        <w:rStyle w:val="PageNumber"/>
      </w:rPr>
      <w:fldChar w:fldCharType="end"/>
    </w:r>
  </w:p>
  <w:p w14:paraId="50CC08BA" w14:textId="77777777" w:rsidR="00905305" w:rsidRDefault="00905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pPr>
      <w:rPr>
        <w:rFonts w:cs="Times New Roman"/>
        <w:b w:val="0"/>
        <w:color w:val="auto"/>
      </w:rPr>
    </w:lvl>
    <w:lvl w:ilvl="1">
      <w:start w:val="1"/>
      <w:numFmt w:val="decimal"/>
      <w:lvlText w:val="%1.%2."/>
      <w:lvlJc w:val="left"/>
      <w:pPr>
        <w:tabs>
          <w:tab w:val="num" w:pos="3515"/>
        </w:tabs>
        <w:ind w:left="2835"/>
      </w:pPr>
      <w:rPr>
        <w:rFonts w:cs="Times New Roman"/>
        <w:b w:val="0"/>
        <w:color w:val="auto"/>
      </w:rPr>
    </w:lvl>
    <w:lvl w:ilvl="2">
      <w:start w:val="1"/>
      <w:numFmt w:val="decimal"/>
      <w:lvlText w:val="%1.%2.%3."/>
      <w:lvlJc w:val="left"/>
      <w:pPr>
        <w:tabs>
          <w:tab w:val="num" w:pos="851"/>
        </w:tabs>
      </w:pPr>
      <w:rPr>
        <w:rFonts w:cs="Times New Roman"/>
        <w:b w:val="0"/>
        <w:color w:val="auto"/>
      </w:rPr>
    </w:lvl>
    <w:lvl w:ilvl="3">
      <w:start w:val="1"/>
      <w:numFmt w:val="decimal"/>
      <w:lvlText w:val="%1.%2.%3.%4."/>
      <w:lvlJc w:val="left"/>
      <w:pPr>
        <w:tabs>
          <w:tab w:val="num" w:pos="1134"/>
        </w:tabs>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rPr>
        <w:rFonts w:cs="Times New Roman"/>
      </w:rPr>
    </w:lvl>
  </w:abstractNum>
  <w:abstractNum w:abstractNumId="3"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0413C7"/>
    <w:multiLevelType w:val="multilevel"/>
    <w:tmpl w:val="4760B2A8"/>
    <w:lvl w:ilvl="0">
      <w:start w:val="1"/>
      <w:numFmt w:val="upperRoman"/>
      <w:lvlText w:val="%1."/>
      <w:lvlJc w:val="left"/>
      <w:pPr>
        <w:ind w:left="1080" w:hanging="72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F846152"/>
    <w:multiLevelType w:val="hybridMultilevel"/>
    <w:tmpl w:val="C6DA2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1C3496"/>
    <w:multiLevelType w:val="hybridMultilevel"/>
    <w:tmpl w:val="5014A2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E0560A"/>
    <w:multiLevelType w:val="hybridMultilevel"/>
    <w:tmpl w:val="1688C9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F5F3262"/>
    <w:multiLevelType w:val="hybridMultilevel"/>
    <w:tmpl w:val="B47C870E"/>
    <w:lvl w:ilvl="0" w:tplc="2B14015C">
      <w:start w:val="1"/>
      <w:numFmt w:val="decimal"/>
      <w:lvlText w:val="%1."/>
      <w:lvlJc w:val="left"/>
      <w:pPr>
        <w:ind w:left="360" w:hanging="360"/>
      </w:pPr>
      <w:rPr>
        <w:sz w:val="24"/>
        <w:szCs w:val="24"/>
      </w:rPr>
    </w:lvl>
    <w:lvl w:ilvl="1" w:tplc="7DD86F34">
      <w:start w:val="1"/>
      <w:numFmt w:val="lowerLetter"/>
      <w:lvlText w:val="%2."/>
      <w:lvlJc w:val="left"/>
      <w:pPr>
        <w:ind w:left="1080" w:hanging="360"/>
      </w:pPr>
    </w:lvl>
    <w:lvl w:ilvl="2" w:tplc="757C801A">
      <w:start w:val="1"/>
      <w:numFmt w:val="lowerRoman"/>
      <w:lvlText w:val="%3."/>
      <w:lvlJc w:val="right"/>
      <w:pPr>
        <w:ind w:left="1800" w:hanging="180"/>
      </w:pPr>
    </w:lvl>
    <w:lvl w:ilvl="3" w:tplc="0CDE0C0C" w:tentative="1">
      <w:start w:val="1"/>
      <w:numFmt w:val="decimal"/>
      <w:lvlText w:val="%4."/>
      <w:lvlJc w:val="left"/>
      <w:pPr>
        <w:ind w:left="2520" w:hanging="360"/>
      </w:pPr>
    </w:lvl>
    <w:lvl w:ilvl="4" w:tplc="A96405AE" w:tentative="1">
      <w:start w:val="1"/>
      <w:numFmt w:val="lowerLetter"/>
      <w:lvlText w:val="%5."/>
      <w:lvlJc w:val="left"/>
      <w:pPr>
        <w:ind w:left="3240" w:hanging="360"/>
      </w:pPr>
    </w:lvl>
    <w:lvl w:ilvl="5" w:tplc="66007710" w:tentative="1">
      <w:start w:val="1"/>
      <w:numFmt w:val="lowerRoman"/>
      <w:lvlText w:val="%6."/>
      <w:lvlJc w:val="right"/>
      <w:pPr>
        <w:ind w:left="3960" w:hanging="180"/>
      </w:pPr>
    </w:lvl>
    <w:lvl w:ilvl="6" w:tplc="08B0B118" w:tentative="1">
      <w:start w:val="1"/>
      <w:numFmt w:val="decimal"/>
      <w:lvlText w:val="%7."/>
      <w:lvlJc w:val="left"/>
      <w:pPr>
        <w:ind w:left="4680" w:hanging="360"/>
      </w:pPr>
    </w:lvl>
    <w:lvl w:ilvl="7" w:tplc="73E6B7F0" w:tentative="1">
      <w:start w:val="1"/>
      <w:numFmt w:val="lowerLetter"/>
      <w:lvlText w:val="%8."/>
      <w:lvlJc w:val="left"/>
      <w:pPr>
        <w:ind w:left="5400" w:hanging="360"/>
      </w:pPr>
    </w:lvl>
    <w:lvl w:ilvl="8" w:tplc="F35215C6" w:tentative="1">
      <w:start w:val="1"/>
      <w:numFmt w:val="lowerRoman"/>
      <w:lvlText w:val="%9."/>
      <w:lvlJc w:val="right"/>
      <w:pPr>
        <w:ind w:left="6120" w:hanging="180"/>
      </w:pPr>
    </w:lvl>
  </w:abstractNum>
  <w:abstractNum w:abstractNumId="9" w15:restartNumberingAfterBreak="0">
    <w:nsid w:val="54B84B73"/>
    <w:multiLevelType w:val="multilevel"/>
    <w:tmpl w:val="63D2FBD0"/>
    <w:numStyleLink w:val="ISBullets"/>
  </w:abstractNum>
  <w:abstractNum w:abstractNumId="10" w15:restartNumberingAfterBreak="0">
    <w:nsid w:val="55765295"/>
    <w:multiLevelType w:val="hybridMultilevel"/>
    <w:tmpl w:val="B3FC6A86"/>
    <w:lvl w:ilvl="0" w:tplc="573E4DC0">
      <w:start w:val="1"/>
      <w:numFmt w:val="bullet"/>
      <w:lvlText w:val=""/>
      <w:lvlJc w:val="left"/>
      <w:pPr>
        <w:ind w:left="1440" w:hanging="360"/>
      </w:pPr>
      <w:rPr>
        <w:rFonts w:ascii="Symbol" w:hAnsi="Symbol" w:hint="default"/>
      </w:rPr>
    </w:lvl>
    <w:lvl w:ilvl="1" w:tplc="58B45A46">
      <w:start w:val="1"/>
      <w:numFmt w:val="bullet"/>
      <w:lvlText w:val="o"/>
      <w:lvlJc w:val="left"/>
      <w:pPr>
        <w:ind w:left="2160" w:hanging="360"/>
      </w:pPr>
      <w:rPr>
        <w:rFonts w:ascii="Courier New" w:hAnsi="Courier New" w:cs="Courier New" w:hint="default"/>
      </w:rPr>
    </w:lvl>
    <w:lvl w:ilvl="2" w:tplc="B41C1908">
      <w:start w:val="1"/>
      <w:numFmt w:val="bullet"/>
      <w:lvlText w:val=""/>
      <w:lvlJc w:val="left"/>
      <w:pPr>
        <w:ind w:left="2880" w:hanging="360"/>
      </w:pPr>
      <w:rPr>
        <w:rFonts w:ascii="Wingdings" w:hAnsi="Wingdings" w:hint="default"/>
      </w:rPr>
    </w:lvl>
    <w:lvl w:ilvl="3" w:tplc="D07CDFBE">
      <w:start w:val="1"/>
      <w:numFmt w:val="bullet"/>
      <w:lvlText w:val=""/>
      <w:lvlJc w:val="left"/>
      <w:pPr>
        <w:ind w:left="3600" w:hanging="360"/>
      </w:pPr>
      <w:rPr>
        <w:rFonts w:ascii="Symbol" w:hAnsi="Symbol" w:hint="default"/>
      </w:rPr>
    </w:lvl>
    <w:lvl w:ilvl="4" w:tplc="15AA7004">
      <w:start w:val="1"/>
      <w:numFmt w:val="bullet"/>
      <w:lvlText w:val="o"/>
      <w:lvlJc w:val="left"/>
      <w:pPr>
        <w:ind w:left="4320" w:hanging="360"/>
      </w:pPr>
      <w:rPr>
        <w:rFonts w:ascii="Courier New" w:hAnsi="Courier New" w:cs="Courier New" w:hint="default"/>
      </w:rPr>
    </w:lvl>
    <w:lvl w:ilvl="5" w:tplc="B98A7C20">
      <w:start w:val="1"/>
      <w:numFmt w:val="bullet"/>
      <w:lvlText w:val=""/>
      <w:lvlJc w:val="left"/>
      <w:pPr>
        <w:ind w:left="5040" w:hanging="360"/>
      </w:pPr>
      <w:rPr>
        <w:rFonts w:ascii="Wingdings" w:hAnsi="Wingdings" w:hint="default"/>
      </w:rPr>
    </w:lvl>
    <w:lvl w:ilvl="6" w:tplc="54C43562">
      <w:start w:val="1"/>
      <w:numFmt w:val="bullet"/>
      <w:lvlText w:val=""/>
      <w:lvlJc w:val="left"/>
      <w:pPr>
        <w:ind w:left="5760" w:hanging="360"/>
      </w:pPr>
      <w:rPr>
        <w:rFonts w:ascii="Symbol" w:hAnsi="Symbol" w:hint="default"/>
      </w:rPr>
    </w:lvl>
    <w:lvl w:ilvl="7" w:tplc="7D720F60">
      <w:start w:val="1"/>
      <w:numFmt w:val="bullet"/>
      <w:lvlText w:val="o"/>
      <w:lvlJc w:val="left"/>
      <w:pPr>
        <w:ind w:left="6480" w:hanging="360"/>
      </w:pPr>
      <w:rPr>
        <w:rFonts w:ascii="Courier New" w:hAnsi="Courier New" w:cs="Courier New" w:hint="default"/>
      </w:rPr>
    </w:lvl>
    <w:lvl w:ilvl="8" w:tplc="1CB22E50">
      <w:start w:val="1"/>
      <w:numFmt w:val="bullet"/>
      <w:lvlText w:val=""/>
      <w:lvlJc w:val="left"/>
      <w:pPr>
        <w:ind w:left="7200" w:hanging="360"/>
      </w:pPr>
      <w:rPr>
        <w:rFonts w:ascii="Wingdings" w:hAnsi="Wingdings" w:hint="default"/>
      </w:rPr>
    </w:lvl>
  </w:abstractNum>
  <w:abstractNum w:abstractNumId="11" w15:restartNumberingAfterBreak="0">
    <w:nsid w:val="56012661"/>
    <w:multiLevelType w:val="hybridMultilevel"/>
    <w:tmpl w:val="C4A69656"/>
    <w:lvl w:ilvl="0" w:tplc="10224A5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D20736"/>
    <w:multiLevelType w:val="hybridMultilevel"/>
    <w:tmpl w:val="D0D03944"/>
    <w:lvl w:ilvl="0" w:tplc="7A2C7C8C">
      <w:start w:val="1"/>
      <w:numFmt w:val="bullet"/>
      <w:lvlText w:val=""/>
      <w:lvlJc w:val="left"/>
      <w:pPr>
        <w:ind w:left="1800" w:hanging="360"/>
      </w:pPr>
      <w:rPr>
        <w:rFonts w:ascii="Symbol" w:hAnsi="Symbol" w:hint="default"/>
      </w:rPr>
    </w:lvl>
    <w:lvl w:ilvl="1" w:tplc="7BEA32E0">
      <w:start w:val="1"/>
      <w:numFmt w:val="bullet"/>
      <w:lvlText w:val="o"/>
      <w:lvlJc w:val="left"/>
      <w:pPr>
        <w:ind w:left="2520" w:hanging="360"/>
      </w:pPr>
      <w:rPr>
        <w:rFonts w:ascii="Courier New" w:hAnsi="Courier New" w:cs="Courier New" w:hint="default"/>
      </w:rPr>
    </w:lvl>
    <w:lvl w:ilvl="2" w:tplc="1BB8B466">
      <w:start w:val="1"/>
      <w:numFmt w:val="bullet"/>
      <w:lvlText w:val=""/>
      <w:lvlJc w:val="left"/>
      <w:pPr>
        <w:ind w:left="3240" w:hanging="360"/>
      </w:pPr>
      <w:rPr>
        <w:rFonts w:ascii="Wingdings" w:hAnsi="Wingdings" w:hint="default"/>
      </w:rPr>
    </w:lvl>
    <w:lvl w:ilvl="3" w:tplc="610C88CA">
      <w:start w:val="1"/>
      <w:numFmt w:val="bullet"/>
      <w:lvlText w:val=""/>
      <w:lvlJc w:val="left"/>
      <w:pPr>
        <w:ind w:left="3960" w:hanging="360"/>
      </w:pPr>
      <w:rPr>
        <w:rFonts w:ascii="Symbol" w:hAnsi="Symbol" w:hint="default"/>
      </w:rPr>
    </w:lvl>
    <w:lvl w:ilvl="4" w:tplc="3BB02688">
      <w:start w:val="1"/>
      <w:numFmt w:val="bullet"/>
      <w:lvlText w:val="o"/>
      <w:lvlJc w:val="left"/>
      <w:pPr>
        <w:ind w:left="4680" w:hanging="360"/>
      </w:pPr>
      <w:rPr>
        <w:rFonts w:ascii="Courier New" w:hAnsi="Courier New" w:cs="Courier New" w:hint="default"/>
      </w:rPr>
    </w:lvl>
    <w:lvl w:ilvl="5" w:tplc="B202908E">
      <w:start w:val="1"/>
      <w:numFmt w:val="bullet"/>
      <w:lvlText w:val=""/>
      <w:lvlJc w:val="left"/>
      <w:pPr>
        <w:ind w:left="5400" w:hanging="360"/>
      </w:pPr>
      <w:rPr>
        <w:rFonts w:ascii="Wingdings" w:hAnsi="Wingdings" w:hint="default"/>
      </w:rPr>
    </w:lvl>
    <w:lvl w:ilvl="6" w:tplc="0AEEA1A0">
      <w:start w:val="1"/>
      <w:numFmt w:val="bullet"/>
      <w:lvlText w:val=""/>
      <w:lvlJc w:val="left"/>
      <w:pPr>
        <w:ind w:left="6120" w:hanging="360"/>
      </w:pPr>
      <w:rPr>
        <w:rFonts w:ascii="Symbol" w:hAnsi="Symbol" w:hint="default"/>
      </w:rPr>
    </w:lvl>
    <w:lvl w:ilvl="7" w:tplc="F7006F5C">
      <w:start w:val="1"/>
      <w:numFmt w:val="bullet"/>
      <w:lvlText w:val="o"/>
      <w:lvlJc w:val="left"/>
      <w:pPr>
        <w:ind w:left="6840" w:hanging="360"/>
      </w:pPr>
      <w:rPr>
        <w:rFonts w:ascii="Courier New" w:hAnsi="Courier New" w:cs="Courier New" w:hint="default"/>
      </w:rPr>
    </w:lvl>
    <w:lvl w:ilvl="8" w:tplc="A4E68A84">
      <w:start w:val="1"/>
      <w:numFmt w:val="bullet"/>
      <w:lvlText w:val=""/>
      <w:lvlJc w:val="left"/>
      <w:pPr>
        <w:ind w:left="7560" w:hanging="360"/>
      </w:pPr>
      <w:rPr>
        <w:rFonts w:ascii="Wingdings" w:hAnsi="Wingdings" w:hint="default"/>
      </w:rPr>
    </w:lvl>
  </w:abstractNum>
  <w:abstractNum w:abstractNumId="13" w15:restartNumberingAfterBreak="0">
    <w:nsid w:val="60B25EDA"/>
    <w:multiLevelType w:val="hybridMultilevel"/>
    <w:tmpl w:val="E070A6F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15:restartNumberingAfterBreak="0">
    <w:nsid w:val="62D25F1D"/>
    <w:multiLevelType w:val="hybridMultilevel"/>
    <w:tmpl w:val="D6B6A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1A5D07"/>
    <w:multiLevelType w:val="hybridMultilevel"/>
    <w:tmpl w:val="012087C6"/>
    <w:lvl w:ilvl="0" w:tplc="92E023F8">
      <w:start w:val="1"/>
      <w:numFmt w:val="decimal"/>
      <w:lvlText w:val="%1."/>
      <w:lvlJc w:val="left"/>
      <w:pPr>
        <w:ind w:left="720" w:hanging="360"/>
      </w:pPr>
      <w:rPr>
        <w:rFonts w:hint="default"/>
      </w:rPr>
    </w:lvl>
    <w:lvl w:ilvl="1" w:tplc="676035D0" w:tentative="1">
      <w:start w:val="1"/>
      <w:numFmt w:val="lowerLetter"/>
      <w:lvlText w:val="%2."/>
      <w:lvlJc w:val="left"/>
      <w:pPr>
        <w:ind w:left="1440" w:hanging="360"/>
      </w:pPr>
    </w:lvl>
    <w:lvl w:ilvl="2" w:tplc="BDA61FD0" w:tentative="1">
      <w:start w:val="1"/>
      <w:numFmt w:val="lowerRoman"/>
      <w:lvlText w:val="%3."/>
      <w:lvlJc w:val="right"/>
      <w:pPr>
        <w:ind w:left="2160" w:hanging="180"/>
      </w:pPr>
    </w:lvl>
    <w:lvl w:ilvl="3" w:tplc="BFFE103C" w:tentative="1">
      <w:start w:val="1"/>
      <w:numFmt w:val="decimal"/>
      <w:lvlText w:val="%4."/>
      <w:lvlJc w:val="left"/>
      <w:pPr>
        <w:ind w:left="2880" w:hanging="360"/>
      </w:pPr>
    </w:lvl>
    <w:lvl w:ilvl="4" w:tplc="51F0FC52" w:tentative="1">
      <w:start w:val="1"/>
      <w:numFmt w:val="lowerLetter"/>
      <w:lvlText w:val="%5."/>
      <w:lvlJc w:val="left"/>
      <w:pPr>
        <w:ind w:left="3600" w:hanging="360"/>
      </w:pPr>
    </w:lvl>
    <w:lvl w:ilvl="5" w:tplc="7A628194" w:tentative="1">
      <w:start w:val="1"/>
      <w:numFmt w:val="lowerRoman"/>
      <w:lvlText w:val="%6."/>
      <w:lvlJc w:val="right"/>
      <w:pPr>
        <w:ind w:left="4320" w:hanging="180"/>
      </w:pPr>
    </w:lvl>
    <w:lvl w:ilvl="6" w:tplc="89B45184" w:tentative="1">
      <w:start w:val="1"/>
      <w:numFmt w:val="decimal"/>
      <w:lvlText w:val="%7."/>
      <w:lvlJc w:val="left"/>
      <w:pPr>
        <w:ind w:left="5040" w:hanging="360"/>
      </w:pPr>
    </w:lvl>
    <w:lvl w:ilvl="7" w:tplc="B33A6614" w:tentative="1">
      <w:start w:val="1"/>
      <w:numFmt w:val="lowerLetter"/>
      <w:lvlText w:val="%8."/>
      <w:lvlJc w:val="left"/>
      <w:pPr>
        <w:ind w:left="5760" w:hanging="360"/>
      </w:pPr>
    </w:lvl>
    <w:lvl w:ilvl="8" w:tplc="8068B852" w:tentative="1">
      <w:start w:val="1"/>
      <w:numFmt w:val="lowerRoman"/>
      <w:lvlText w:val="%9."/>
      <w:lvlJc w:val="right"/>
      <w:pPr>
        <w:ind w:left="6480" w:hanging="180"/>
      </w:pPr>
    </w:lvl>
  </w:abstractNum>
  <w:abstractNum w:abstractNumId="16" w15:restartNumberingAfterBreak="0">
    <w:nsid w:val="69F77636"/>
    <w:multiLevelType w:val="hybridMultilevel"/>
    <w:tmpl w:val="AB00D4FA"/>
    <w:lvl w:ilvl="0" w:tplc="24402C44">
      <w:start w:val="1"/>
      <w:numFmt w:val="decimal"/>
      <w:lvlText w:val="%1."/>
      <w:lvlJc w:val="left"/>
      <w:pPr>
        <w:ind w:left="720" w:hanging="360"/>
      </w:pPr>
      <w:rPr>
        <w:rFonts w:ascii="Times New Roman" w:hAnsi="Times New Roman" w:cs="Times New Roman" w:hint="default"/>
      </w:rPr>
    </w:lvl>
    <w:lvl w:ilvl="1" w:tplc="9FA859E6" w:tentative="1">
      <w:start w:val="1"/>
      <w:numFmt w:val="lowerLetter"/>
      <w:lvlText w:val="%2."/>
      <w:lvlJc w:val="left"/>
      <w:pPr>
        <w:ind w:left="1440" w:hanging="360"/>
      </w:pPr>
    </w:lvl>
    <w:lvl w:ilvl="2" w:tplc="6610DE34" w:tentative="1">
      <w:start w:val="1"/>
      <w:numFmt w:val="lowerRoman"/>
      <w:lvlText w:val="%3."/>
      <w:lvlJc w:val="right"/>
      <w:pPr>
        <w:ind w:left="2160" w:hanging="180"/>
      </w:pPr>
    </w:lvl>
    <w:lvl w:ilvl="3" w:tplc="06AA20E8" w:tentative="1">
      <w:start w:val="1"/>
      <w:numFmt w:val="decimal"/>
      <w:lvlText w:val="%4."/>
      <w:lvlJc w:val="left"/>
      <w:pPr>
        <w:ind w:left="2880" w:hanging="360"/>
      </w:pPr>
    </w:lvl>
    <w:lvl w:ilvl="4" w:tplc="CF6E2C3A" w:tentative="1">
      <w:start w:val="1"/>
      <w:numFmt w:val="lowerLetter"/>
      <w:lvlText w:val="%5."/>
      <w:lvlJc w:val="left"/>
      <w:pPr>
        <w:ind w:left="3600" w:hanging="360"/>
      </w:pPr>
    </w:lvl>
    <w:lvl w:ilvl="5" w:tplc="39C46320" w:tentative="1">
      <w:start w:val="1"/>
      <w:numFmt w:val="lowerRoman"/>
      <w:lvlText w:val="%6."/>
      <w:lvlJc w:val="right"/>
      <w:pPr>
        <w:ind w:left="4320" w:hanging="180"/>
      </w:pPr>
    </w:lvl>
    <w:lvl w:ilvl="6" w:tplc="1EE23512" w:tentative="1">
      <w:start w:val="1"/>
      <w:numFmt w:val="decimal"/>
      <w:lvlText w:val="%7."/>
      <w:lvlJc w:val="left"/>
      <w:pPr>
        <w:ind w:left="5040" w:hanging="360"/>
      </w:pPr>
    </w:lvl>
    <w:lvl w:ilvl="7" w:tplc="5BB20D8C" w:tentative="1">
      <w:start w:val="1"/>
      <w:numFmt w:val="lowerLetter"/>
      <w:lvlText w:val="%8."/>
      <w:lvlJc w:val="left"/>
      <w:pPr>
        <w:ind w:left="5760" w:hanging="360"/>
      </w:pPr>
    </w:lvl>
    <w:lvl w:ilvl="8" w:tplc="097C246E" w:tentative="1">
      <w:start w:val="1"/>
      <w:numFmt w:val="lowerRoman"/>
      <w:lvlText w:val="%9."/>
      <w:lvlJc w:val="right"/>
      <w:pPr>
        <w:ind w:left="6480" w:hanging="180"/>
      </w:pPr>
    </w:lvl>
  </w:abstractNum>
  <w:abstractNum w:abstractNumId="17" w15:restartNumberingAfterBreak="0">
    <w:nsid w:val="72091DB4"/>
    <w:multiLevelType w:val="hybridMultilevel"/>
    <w:tmpl w:val="2DE871D0"/>
    <w:lvl w:ilvl="0" w:tplc="1C40073A">
      <w:start w:val="1"/>
      <w:numFmt w:val="decimal"/>
      <w:lvlText w:val="%1)"/>
      <w:lvlJc w:val="left"/>
      <w:pPr>
        <w:ind w:left="720" w:hanging="360"/>
      </w:pPr>
      <w:rPr>
        <w:rFonts w:hint="default"/>
      </w:rPr>
    </w:lvl>
    <w:lvl w:ilvl="1" w:tplc="8D92A6BC" w:tentative="1">
      <w:start w:val="1"/>
      <w:numFmt w:val="lowerLetter"/>
      <w:lvlText w:val="%2."/>
      <w:lvlJc w:val="left"/>
      <w:pPr>
        <w:ind w:left="1440" w:hanging="360"/>
      </w:pPr>
    </w:lvl>
    <w:lvl w:ilvl="2" w:tplc="E7F432B2" w:tentative="1">
      <w:start w:val="1"/>
      <w:numFmt w:val="lowerRoman"/>
      <w:lvlText w:val="%3."/>
      <w:lvlJc w:val="right"/>
      <w:pPr>
        <w:ind w:left="2160" w:hanging="180"/>
      </w:pPr>
    </w:lvl>
    <w:lvl w:ilvl="3" w:tplc="5C1CFE6C" w:tentative="1">
      <w:start w:val="1"/>
      <w:numFmt w:val="decimal"/>
      <w:lvlText w:val="%4."/>
      <w:lvlJc w:val="left"/>
      <w:pPr>
        <w:ind w:left="2880" w:hanging="360"/>
      </w:pPr>
    </w:lvl>
    <w:lvl w:ilvl="4" w:tplc="4168983A" w:tentative="1">
      <w:start w:val="1"/>
      <w:numFmt w:val="lowerLetter"/>
      <w:lvlText w:val="%5."/>
      <w:lvlJc w:val="left"/>
      <w:pPr>
        <w:ind w:left="3600" w:hanging="360"/>
      </w:pPr>
    </w:lvl>
    <w:lvl w:ilvl="5" w:tplc="77B4AAE6" w:tentative="1">
      <w:start w:val="1"/>
      <w:numFmt w:val="lowerRoman"/>
      <w:lvlText w:val="%6."/>
      <w:lvlJc w:val="right"/>
      <w:pPr>
        <w:ind w:left="4320" w:hanging="180"/>
      </w:pPr>
    </w:lvl>
    <w:lvl w:ilvl="6" w:tplc="E7541C86" w:tentative="1">
      <w:start w:val="1"/>
      <w:numFmt w:val="decimal"/>
      <w:lvlText w:val="%7."/>
      <w:lvlJc w:val="left"/>
      <w:pPr>
        <w:ind w:left="5040" w:hanging="360"/>
      </w:pPr>
    </w:lvl>
    <w:lvl w:ilvl="7" w:tplc="AA4EE1DC" w:tentative="1">
      <w:start w:val="1"/>
      <w:numFmt w:val="lowerLetter"/>
      <w:lvlText w:val="%8."/>
      <w:lvlJc w:val="left"/>
      <w:pPr>
        <w:ind w:left="5760" w:hanging="360"/>
      </w:pPr>
    </w:lvl>
    <w:lvl w:ilvl="8" w:tplc="41DC1558" w:tentative="1">
      <w:start w:val="1"/>
      <w:numFmt w:val="lowerRoman"/>
      <w:lvlText w:val="%9."/>
      <w:lvlJc w:val="right"/>
      <w:pPr>
        <w:ind w:left="6480" w:hanging="180"/>
      </w:pPr>
    </w:lvl>
  </w:abstractNum>
  <w:abstractNum w:abstractNumId="18" w15:restartNumberingAfterBreak="0">
    <w:nsid w:val="78983F18"/>
    <w:multiLevelType w:val="hybridMultilevel"/>
    <w:tmpl w:val="24A43166"/>
    <w:lvl w:ilvl="0" w:tplc="48A2D1B4">
      <w:start w:val="1"/>
      <w:numFmt w:val="decimal"/>
      <w:lvlText w:val="%1)"/>
      <w:lvlJc w:val="left"/>
      <w:pPr>
        <w:ind w:left="720" w:hanging="360"/>
      </w:pPr>
      <w:rPr>
        <w:rFonts w:hint="default"/>
      </w:rPr>
    </w:lvl>
    <w:lvl w:ilvl="1" w:tplc="902EB83A" w:tentative="1">
      <w:start w:val="1"/>
      <w:numFmt w:val="lowerLetter"/>
      <w:lvlText w:val="%2."/>
      <w:lvlJc w:val="left"/>
      <w:pPr>
        <w:ind w:left="1440" w:hanging="360"/>
      </w:pPr>
    </w:lvl>
    <w:lvl w:ilvl="2" w:tplc="2F006C5C" w:tentative="1">
      <w:start w:val="1"/>
      <w:numFmt w:val="lowerRoman"/>
      <w:lvlText w:val="%3."/>
      <w:lvlJc w:val="right"/>
      <w:pPr>
        <w:ind w:left="2160" w:hanging="180"/>
      </w:pPr>
    </w:lvl>
    <w:lvl w:ilvl="3" w:tplc="78B89FCC" w:tentative="1">
      <w:start w:val="1"/>
      <w:numFmt w:val="decimal"/>
      <w:lvlText w:val="%4."/>
      <w:lvlJc w:val="left"/>
      <w:pPr>
        <w:ind w:left="2880" w:hanging="360"/>
      </w:pPr>
    </w:lvl>
    <w:lvl w:ilvl="4" w:tplc="DFCA0AB6" w:tentative="1">
      <w:start w:val="1"/>
      <w:numFmt w:val="lowerLetter"/>
      <w:lvlText w:val="%5."/>
      <w:lvlJc w:val="left"/>
      <w:pPr>
        <w:ind w:left="3600" w:hanging="360"/>
      </w:pPr>
    </w:lvl>
    <w:lvl w:ilvl="5" w:tplc="2E2E131A" w:tentative="1">
      <w:start w:val="1"/>
      <w:numFmt w:val="lowerRoman"/>
      <w:lvlText w:val="%6."/>
      <w:lvlJc w:val="right"/>
      <w:pPr>
        <w:ind w:left="4320" w:hanging="180"/>
      </w:pPr>
    </w:lvl>
    <w:lvl w:ilvl="6" w:tplc="489A9F6E" w:tentative="1">
      <w:start w:val="1"/>
      <w:numFmt w:val="decimal"/>
      <w:lvlText w:val="%7."/>
      <w:lvlJc w:val="left"/>
      <w:pPr>
        <w:ind w:left="5040" w:hanging="360"/>
      </w:pPr>
    </w:lvl>
    <w:lvl w:ilvl="7" w:tplc="DC008AD8" w:tentative="1">
      <w:start w:val="1"/>
      <w:numFmt w:val="lowerLetter"/>
      <w:lvlText w:val="%8."/>
      <w:lvlJc w:val="left"/>
      <w:pPr>
        <w:ind w:left="5760" w:hanging="360"/>
      </w:pPr>
    </w:lvl>
    <w:lvl w:ilvl="8" w:tplc="0688ED6E" w:tentative="1">
      <w:start w:val="1"/>
      <w:numFmt w:val="lowerRoman"/>
      <w:lvlText w:val="%9."/>
      <w:lvlJc w:val="right"/>
      <w:pPr>
        <w:ind w:left="6480" w:hanging="180"/>
      </w:pPr>
    </w:lvl>
  </w:abstractNum>
  <w:abstractNum w:abstractNumId="19" w15:restartNumberingAfterBreak="0">
    <w:nsid w:val="793B135F"/>
    <w:multiLevelType w:val="hybridMultilevel"/>
    <w:tmpl w:val="A948D3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A613DA5"/>
    <w:multiLevelType w:val="hybridMultilevel"/>
    <w:tmpl w:val="55506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AC62C0"/>
    <w:multiLevelType w:val="hybridMultilevel"/>
    <w:tmpl w:val="500E8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10"/>
  </w:num>
  <w:num w:numId="6">
    <w:abstractNumId w:val="12"/>
  </w:num>
  <w:num w:numId="7">
    <w:abstractNumId w:val="18"/>
  </w:num>
  <w:num w:numId="8">
    <w:abstractNumId w:val="17"/>
  </w:num>
  <w:num w:numId="9">
    <w:abstractNumId w:val="16"/>
  </w:num>
  <w:num w:numId="10">
    <w:abstractNumId w:val="15"/>
  </w:num>
  <w:num w:numId="11">
    <w:abstractNumId w:val="6"/>
  </w:num>
  <w:num w:numId="12">
    <w:abstractNumId w:val="21"/>
  </w:num>
  <w:num w:numId="13">
    <w:abstractNumId w:val="5"/>
  </w:num>
  <w:num w:numId="14">
    <w:abstractNumId w:val="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11"/>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doNotShadeFormData/>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42"/>
    <w:rsid w:val="00003C1D"/>
    <w:rsid w:val="00004152"/>
    <w:rsid w:val="00004692"/>
    <w:rsid w:val="00006EF8"/>
    <w:rsid w:val="000108B2"/>
    <w:rsid w:val="0001178F"/>
    <w:rsid w:val="000303E5"/>
    <w:rsid w:val="00044049"/>
    <w:rsid w:val="000552B8"/>
    <w:rsid w:val="00056CFC"/>
    <w:rsid w:val="0006211E"/>
    <w:rsid w:val="0006318C"/>
    <w:rsid w:val="00074497"/>
    <w:rsid w:val="00080355"/>
    <w:rsid w:val="00082262"/>
    <w:rsid w:val="000865F5"/>
    <w:rsid w:val="00091B69"/>
    <w:rsid w:val="000955EE"/>
    <w:rsid w:val="000A282D"/>
    <w:rsid w:val="000C4F76"/>
    <w:rsid w:val="000C623A"/>
    <w:rsid w:val="000C6A78"/>
    <w:rsid w:val="000F068B"/>
    <w:rsid w:val="000F175E"/>
    <w:rsid w:val="000F44B7"/>
    <w:rsid w:val="00100DC2"/>
    <w:rsid w:val="0010266B"/>
    <w:rsid w:val="00107CFD"/>
    <w:rsid w:val="00134823"/>
    <w:rsid w:val="00157897"/>
    <w:rsid w:val="0016082D"/>
    <w:rsid w:val="001717AE"/>
    <w:rsid w:val="0017738C"/>
    <w:rsid w:val="00177ED0"/>
    <w:rsid w:val="001813BF"/>
    <w:rsid w:val="00181FB4"/>
    <w:rsid w:val="001828AE"/>
    <w:rsid w:val="001847BD"/>
    <w:rsid w:val="001918AA"/>
    <w:rsid w:val="00195E87"/>
    <w:rsid w:val="001A43FD"/>
    <w:rsid w:val="001A727B"/>
    <w:rsid w:val="001B0AAA"/>
    <w:rsid w:val="001B11E1"/>
    <w:rsid w:val="001B2970"/>
    <w:rsid w:val="001B5FE8"/>
    <w:rsid w:val="001B77DD"/>
    <w:rsid w:val="001C0374"/>
    <w:rsid w:val="001C793C"/>
    <w:rsid w:val="001E451C"/>
    <w:rsid w:val="001F3B4B"/>
    <w:rsid w:val="001F6748"/>
    <w:rsid w:val="00205A24"/>
    <w:rsid w:val="00212731"/>
    <w:rsid w:val="002165B2"/>
    <w:rsid w:val="002235FF"/>
    <w:rsid w:val="002238EC"/>
    <w:rsid w:val="0023313C"/>
    <w:rsid w:val="00234407"/>
    <w:rsid w:val="00235911"/>
    <w:rsid w:val="002432C8"/>
    <w:rsid w:val="0025044C"/>
    <w:rsid w:val="00250B6B"/>
    <w:rsid w:val="00251F57"/>
    <w:rsid w:val="002573CD"/>
    <w:rsid w:val="002635B8"/>
    <w:rsid w:val="00264384"/>
    <w:rsid w:val="00264C93"/>
    <w:rsid w:val="00265E2C"/>
    <w:rsid w:val="00267D26"/>
    <w:rsid w:val="00284FEB"/>
    <w:rsid w:val="0028655B"/>
    <w:rsid w:val="0028675A"/>
    <w:rsid w:val="0029382D"/>
    <w:rsid w:val="002A1E65"/>
    <w:rsid w:val="002A257D"/>
    <w:rsid w:val="002A6878"/>
    <w:rsid w:val="002A7410"/>
    <w:rsid w:val="002A74FB"/>
    <w:rsid w:val="002C1EEF"/>
    <w:rsid w:val="002C6F48"/>
    <w:rsid w:val="002C79D4"/>
    <w:rsid w:val="002D1326"/>
    <w:rsid w:val="002D4C58"/>
    <w:rsid w:val="002D61C6"/>
    <w:rsid w:val="002E25FB"/>
    <w:rsid w:val="002E282E"/>
    <w:rsid w:val="002E6C71"/>
    <w:rsid w:val="002F5318"/>
    <w:rsid w:val="002F7A75"/>
    <w:rsid w:val="00303153"/>
    <w:rsid w:val="003036D5"/>
    <w:rsid w:val="00303A24"/>
    <w:rsid w:val="003067D8"/>
    <w:rsid w:val="003123C8"/>
    <w:rsid w:val="0031362C"/>
    <w:rsid w:val="003160D1"/>
    <w:rsid w:val="00317A0C"/>
    <w:rsid w:val="003217FF"/>
    <w:rsid w:val="00325CE6"/>
    <w:rsid w:val="003304DC"/>
    <w:rsid w:val="00345DA5"/>
    <w:rsid w:val="00347C40"/>
    <w:rsid w:val="00362CE1"/>
    <w:rsid w:val="00370D1A"/>
    <w:rsid w:val="00372062"/>
    <w:rsid w:val="00380EE9"/>
    <w:rsid w:val="0038685B"/>
    <w:rsid w:val="0039049A"/>
    <w:rsid w:val="0039058C"/>
    <w:rsid w:val="003940D5"/>
    <w:rsid w:val="0039495A"/>
    <w:rsid w:val="003959F0"/>
    <w:rsid w:val="003D3C98"/>
    <w:rsid w:val="003E098A"/>
    <w:rsid w:val="003F1D7F"/>
    <w:rsid w:val="003F2440"/>
    <w:rsid w:val="003F3FB7"/>
    <w:rsid w:val="003F6AC4"/>
    <w:rsid w:val="003F78C2"/>
    <w:rsid w:val="0040413F"/>
    <w:rsid w:val="004111E4"/>
    <w:rsid w:val="00412C21"/>
    <w:rsid w:val="00413F1E"/>
    <w:rsid w:val="004213E2"/>
    <w:rsid w:val="00463968"/>
    <w:rsid w:val="004676DB"/>
    <w:rsid w:val="004704CC"/>
    <w:rsid w:val="00480A3B"/>
    <w:rsid w:val="0048361B"/>
    <w:rsid w:val="00483CC0"/>
    <w:rsid w:val="004966BB"/>
    <w:rsid w:val="00497A44"/>
    <w:rsid w:val="004B2446"/>
    <w:rsid w:val="004B5F64"/>
    <w:rsid w:val="004C079F"/>
    <w:rsid w:val="004C7F79"/>
    <w:rsid w:val="004D27B4"/>
    <w:rsid w:val="004D6E40"/>
    <w:rsid w:val="00504589"/>
    <w:rsid w:val="00507499"/>
    <w:rsid w:val="00510511"/>
    <w:rsid w:val="00510CD8"/>
    <w:rsid w:val="00525278"/>
    <w:rsid w:val="0053039A"/>
    <w:rsid w:val="005320A4"/>
    <w:rsid w:val="00533A5C"/>
    <w:rsid w:val="0053617E"/>
    <w:rsid w:val="00555441"/>
    <w:rsid w:val="00555941"/>
    <w:rsid w:val="00560A7F"/>
    <w:rsid w:val="00571181"/>
    <w:rsid w:val="005728D5"/>
    <w:rsid w:val="005A1DAD"/>
    <w:rsid w:val="005A7D86"/>
    <w:rsid w:val="005B6AFD"/>
    <w:rsid w:val="005D3FC2"/>
    <w:rsid w:val="005E58ED"/>
    <w:rsid w:val="005F2375"/>
    <w:rsid w:val="005F3785"/>
    <w:rsid w:val="00602317"/>
    <w:rsid w:val="0060631A"/>
    <w:rsid w:val="00612A98"/>
    <w:rsid w:val="006207B7"/>
    <w:rsid w:val="0063072D"/>
    <w:rsid w:val="0064139E"/>
    <w:rsid w:val="00650274"/>
    <w:rsid w:val="006577C8"/>
    <w:rsid w:val="006645A0"/>
    <w:rsid w:val="006658DB"/>
    <w:rsid w:val="00672561"/>
    <w:rsid w:val="00686C43"/>
    <w:rsid w:val="00691112"/>
    <w:rsid w:val="006924E2"/>
    <w:rsid w:val="006A213C"/>
    <w:rsid w:val="006B1D2A"/>
    <w:rsid w:val="006D1988"/>
    <w:rsid w:val="006D31D1"/>
    <w:rsid w:val="006D5318"/>
    <w:rsid w:val="006D79F7"/>
    <w:rsid w:val="006F0CCA"/>
    <w:rsid w:val="006F564C"/>
    <w:rsid w:val="007009C1"/>
    <w:rsid w:val="00701044"/>
    <w:rsid w:val="00702F21"/>
    <w:rsid w:val="00717231"/>
    <w:rsid w:val="00717C64"/>
    <w:rsid w:val="00721409"/>
    <w:rsid w:val="00726489"/>
    <w:rsid w:val="0073083B"/>
    <w:rsid w:val="0073213A"/>
    <w:rsid w:val="00736428"/>
    <w:rsid w:val="00737439"/>
    <w:rsid w:val="007469A2"/>
    <w:rsid w:val="00750A50"/>
    <w:rsid w:val="007569DA"/>
    <w:rsid w:val="007606B8"/>
    <w:rsid w:val="00761BBF"/>
    <w:rsid w:val="00761DED"/>
    <w:rsid w:val="007623ED"/>
    <w:rsid w:val="00764076"/>
    <w:rsid w:val="00764D9F"/>
    <w:rsid w:val="00765BAF"/>
    <w:rsid w:val="00780CAA"/>
    <w:rsid w:val="00783189"/>
    <w:rsid w:val="007933DA"/>
    <w:rsid w:val="007948E4"/>
    <w:rsid w:val="00794EA2"/>
    <w:rsid w:val="007A0C93"/>
    <w:rsid w:val="007A0F0F"/>
    <w:rsid w:val="007B0318"/>
    <w:rsid w:val="007B2144"/>
    <w:rsid w:val="007B2D4E"/>
    <w:rsid w:val="007C0B00"/>
    <w:rsid w:val="007D363A"/>
    <w:rsid w:val="007E0252"/>
    <w:rsid w:val="007E3824"/>
    <w:rsid w:val="007E7D87"/>
    <w:rsid w:val="007F61C8"/>
    <w:rsid w:val="0080063E"/>
    <w:rsid w:val="00802D9E"/>
    <w:rsid w:val="00810650"/>
    <w:rsid w:val="00812BF5"/>
    <w:rsid w:val="0082200D"/>
    <w:rsid w:val="0083032B"/>
    <w:rsid w:val="0084272E"/>
    <w:rsid w:val="00870BF5"/>
    <w:rsid w:val="0087190D"/>
    <w:rsid w:val="00872ABF"/>
    <w:rsid w:val="00873A51"/>
    <w:rsid w:val="00877526"/>
    <w:rsid w:val="008814C7"/>
    <w:rsid w:val="00881DE5"/>
    <w:rsid w:val="008934EE"/>
    <w:rsid w:val="00896414"/>
    <w:rsid w:val="008A335B"/>
    <w:rsid w:val="008B27B2"/>
    <w:rsid w:val="008C4A0E"/>
    <w:rsid w:val="008C510F"/>
    <w:rsid w:val="008D2813"/>
    <w:rsid w:val="008E43C3"/>
    <w:rsid w:val="008E6BE4"/>
    <w:rsid w:val="008F08FC"/>
    <w:rsid w:val="008F6704"/>
    <w:rsid w:val="00902A64"/>
    <w:rsid w:val="00905305"/>
    <w:rsid w:val="00905660"/>
    <w:rsid w:val="0091021E"/>
    <w:rsid w:val="00911EF6"/>
    <w:rsid w:val="00912049"/>
    <w:rsid w:val="009143CA"/>
    <w:rsid w:val="0093399F"/>
    <w:rsid w:val="009340A7"/>
    <w:rsid w:val="00935305"/>
    <w:rsid w:val="00954710"/>
    <w:rsid w:val="00955F33"/>
    <w:rsid w:val="00960387"/>
    <w:rsid w:val="00960E10"/>
    <w:rsid w:val="00963140"/>
    <w:rsid w:val="0096327B"/>
    <w:rsid w:val="0096392A"/>
    <w:rsid w:val="009829D5"/>
    <w:rsid w:val="009907C8"/>
    <w:rsid w:val="009966E6"/>
    <w:rsid w:val="009A7F55"/>
    <w:rsid w:val="009B2677"/>
    <w:rsid w:val="009C3F53"/>
    <w:rsid w:val="009C5CFE"/>
    <w:rsid w:val="009C5DA6"/>
    <w:rsid w:val="009E4C99"/>
    <w:rsid w:val="009E5A0D"/>
    <w:rsid w:val="009E5E66"/>
    <w:rsid w:val="009E6037"/>
    <w:rsid w:val="009F0ACA"/>
    <w:rsid w:val="00A005FF"/>
    <w:rsid w:val="00A050B3"/>
    <w:rsid w:val="00A10706"/>
    <w:rsid w:val="00A11FDE"/>
    <w:rsid w:val="00A128FF"/>
    <w:rsid w:val="00A178C7"/>
    <w:rsid w:val="00A17A09"/>
    <w:rsid w:val="00A2313D"/>
    <w:rsid w:val="00A27C21"/>
    <w:rsid w:val="00A443D0"/>
    <w:rsid w:val="00A456B1"/>
    <w:rsid w:val="00A51236"/>
    <w:rsid w:val="00A51ED8"/>
    <w:rsid w:val="00A52039"/>
    <w:rsid w:val="00A642A7"/>
    <w:rsid w:val="00A64F49"/>
    <w:rsid w:val="00A6795B"/>
    <w:rsid w:val="00A70BB5"/>
    <w:rsid w:val="00A76107"/>
    <w:rsid w:val="00A84245"/>
    <w:rsid w:val="00A9085D"/>
    <w:rsid w:val="00A92AAD"/>
    <w:rsid w:val="00AC0ADE"/>
    <w:rsid w:val="00AC0D97"/>
    <w:rsid w:val="00AC7C5B"/>
    <w:rsid w:val="00AF566D"/>
    <w:rsid w:val="00AF6ACF"/>
    <w:rsid w:val="00AF6D2D"/>
    <w:rsid w:val="00B025E5"/>
    <w:rsid w:val="00B3715A"/>
    <w:rsid w:val="00B5080C"/>
    <w:rsid w:val="00B52C32"/>
    <w:rsid w:val="00B534A0"/>
    <w:rsid w:val="00B64601"/>
    <w:rsid w:val="00B65DBE"/>
    <w:rsid w:val="00B76596"/>
    <w:rsid w:val="00B77922"/>
    <w:rsid w:val="00B86156"/>
    <w:rsid w:val="00B86B3C"/>
    <w:rsid w:val="00B91DC0"/>
    <w:rsid w:val="00BB34A0"/>
    <w:rsid w:val="00BB3C79"/>
    <w:rsid w:val="00BB78F2"/>
    <w:rsid w:val="00BC458C"/>
    <w:rsid w:val="00BD200E"/>
    <w:rsid w:val="00BE4CF4"/>
    <w:rsid w:val="00BF36EC"/>
    <w:rsid w:val="00BF5FC2"/>
    <w:rsid w:val="00BF7742"/>
    <w:rsid w:val="00C13272"/>
    <w:rsid w:val="00C21EC3"/>
    <w:rsid w:val="00C23BE5"/>
    <w:rsid w:val="00C30BAC"/>
    <w:rsid w:val="00C36A7D"/>
    <w:rsid w:val="00C55C88"/>
    <w:rsid w:val="00C619B2"/>
    <w:rsid w:val="00C62C99"/>
    <w:rsid w:val="00C65049"/>
    <w:rsid w:val="00C72FE4"/>
    <w:rsid w:val="00C76F44"/>
    <w:rsid w:val="00C821D7"/>
    <w:rsid w:val="00C86BF2"/>
    <w:rsid w:val="00C92AAC"/>
    <w:rsid w:val="00C92EC9"/>
    <w:rsid w:val="00C93B46"/>
    <w:rsid w:val="00C95DAD"/>
    <w:rsid w:val="00CA48D7"/>
    <w:rsid w:val="00CC009D"/>
    <w:rsid w:val="00CC6456"/>
    <w:rsid w:val="00CC6D74"/>
    <w:rsid w:val="00CD2CBA"/>
    <w:rsid w:val="00CE1E80"/>
    <w:rsid w:val="00CE321C"/>
    <w:rsid w:val="00CE4401"/>
    <w:rsid w:val="00CE581A"/>
    <w:rsid w:val="00CE6C3D"/>
    <w:rsid w:val="00CF305A"/>
    <w:rsid w:val="00CF7899"/>
    <w:rsid w:val="00D0388D"/>
    <w:rsid w:val="00D12E89"/>
    <w:rsid w:val="00D14662"/>
    <w:rsid w:val="00D1564B"/>
    <w:rsid w:val="00D26AC2"/>
    <w:rsid w:val="00D26FCE"/>
    <w:rsid w:val="00D34280"/>
    <w:rsid w:val="00D36822"/>
    <w:rsid w:val="00D558AC"/>
    <w:rsid w:val="00D57B5C"/>
    <w:rsid w:val="00D63D59"/>
    <w:rsid w:val="00D64F8A"/>
    <w:rsid w:val="00D67A8A"/>
    <w:rsid w:val="00D718B4"/>
    <w:rsid w:val="00D76644"/>
    <w:rsid w:val="00D76ABF"/>
    <w:rsid w:val="00D80D08"/>
    <w:rsid w:val="00D81172"/>
    <w:rsid w:val="00DA5800"/>
    <w:rsid w:val="00DB0832"/>
    <w:rsid w:val="00DB0BB8"/>
    <w:rsid w:val="00DB1BE2"/>
    <w:rsid w:val="00DB7135"/>
    <w:rsid w:val="00DC244B"/>
    <w:rsid w:val="00DC4651"/>
    <w:rsid w:val="00DD5971"/>
    <w:rsid w:val="00DE1EAE"/>
    <w:rsid w:val="00DE2627"/>
    <w:rsid w:val="00DE28EB"/>
    <w:rsid w:val="00DF19A8"/>
    <w:rsid w:val="00E013CB"/>
    <w:rsid w:val="00E015C2"/>
    <w:rsid w:val="00E05876"/>
    <w:rsid w:val="00E102C1"/>
    <w:rsid w:val="00E15B22"/>
    <w:rsid w:val="00E215CD"/>
    <w:rsid w:val="00E2610D"/>
    <w:rsid w:val="00E32AF4"/>
    <w:rsid w:val="00E330FC"/>
    <w:rsid w:val="00E42116"/>
    <w:rsid w:val="00E5103F"/>
    <w:rsid w:val="00E54F99"/>
    <w:rsid w:val="00E5583E"/>
    <w:rsid w:val="00E57A9B"/>
    <w:rsid w:val="00E61D1A"/>
    <w:rsid w:val="00E622C5"/>
    <w:rsid w:val="00E63FA7"/>
    <w:rsid w:val="00E64B8A"/>
    <w:rsid w:val="00E73477"/>
    <w:rsid w:val="00E809C7"/>
    <w:rsid w:val="00E91522"/>
    <w:rsid w:val="00EB1843"/>
    <w:rsid w:val="00EB6564"/>
    <w:rsid w:val="00EB7314"/>
    <w:rsid w:val="00EC51B0"/>
    <w:rsid w:val="00ED5D23"/>
    <w:rsid w:val="00ED71C1"/>
    <w:rsid w:val="00EE247B"/>
    <w:rsid w:val="00EF28D9"/>
    <w:rsid w:val="00EF34E8"/>
    <w:rsid w:val="00F0177C"/>
    <w:rsid w:val="00F02707"/>
    <w:rsid w:val="00F0652C"/>
    <w:rsid w:val="00F22A89"/>
    <w:rsid w:val="00F33B8A"/>
    <w:rsid w:val="00F41D6E"/>
    <w:rsid w:val="00F51B3B"/>
    <w:rsid w:val="00F52126"/>
    <w:rsid w:val="00F53F2C"/>
    <w:rsid w:val="00F67D66"/>
    <w:rsid w:val="00F70266"/>
    <w:rsid w:val="00F72118"/>
    <w:rsid w:val="00F7301A"/>
    <w:rsid w:val="00F86C7D"/>
    <w:rsid w:val="00FA255D"/>
    <w:rsid w:val="00FA2F51"/>
    <w:rsid w:val="00FB379C"/>
    <w:rsid w:val="00FB60EA"/>
    <w:rsid w:val="00FD0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634B3"/>
  <w15:docId w15:val="{5A698DA5-FAB8-4AC3-875A-D82E1AAE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E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b/>
      <w:color w:val="365F91"/>
      <w:sz w:val="28"/>
    </w:rPr>
  </w:style>
  <w:style w:type="character" w:customStyle="1" w:styleId="Heading2Char">
    <w:name w:val="Heading 2 Char"/>
    <w:basedOn w:val="DefaultParagraphFont"/>
    <w:link w:val="Heading2"/>
    <w:uiPriority w:val="99"/>
    <w:locked/>
    <w:rsid w:val="00065A0D"/>
    <w:rPr>
      <w:rFonts w:ascii="Cambria" w:hAnsi="Cambria"/>
      <w:b/>
      <w:i/>
      <w:sz w:val="28"/>
    </w:rPr>
  </w:style>
  <w:style w:type="character" w:customStyle="1" w:styleId="Heading3Char">
    <w:name w:val="Heading 3 Char"/>
    <w:basedOn w:val="DefaultParagraphFont"/>
    <w:link w:val="Heading3"/>
    <w:uiPriority w:val="99"/>
    <w:semiHidden/>
    <w:locked/>
    <w:rsid w:val="002D2707"/>
    <w:rPr>
      <w:rFonts w:ascii="Cambria" w:hAnsi="Cambria"/>
      <w:color w:val="243F60"/>
      <w:sz w:val="24"/>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vanish/>
      <w:sz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vanish/>
      <w:sz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rPr>
  </w:style>
  <w:style w:type="character" w:customStyle="1" w:styleId="th1">
    <w:name w:val="th1"/>
    <w:uiPriority w:val="99"/>
    <w:rsid w:val="00944826"/>
    <w:rPr>
      <w:b/>
      <w:color w:val="333333"/>
    </w:rPr>
  </w:style>
  <w:style w:type="character" w:styleId="Emphasis">
    <w:name w:val="Emphasis"/>
    <w:basedOn w:val="DefaultParagraphFont"/>
    <w:uiPriority w:val="20"/>
    <w:qFormat/>
    <w:rsid w:val="00944826"/>
    <w:rPr>
      <w:rFonts w:cs="Times New Roman"/>
      <w:i/>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sz w:val="16"/>
    </w:rPr>
  </w:style>
  <w:style w:type="table" w:styleId="TableGrid">
    <w:name w:val="Table Grid"/>
    <w:basedOn w:val="TableNormal"/>
    <w:uiPriority w:val="99"/>
    <w:locked/>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basedOn w:val="DefaultParagraphFont"/>
    <w:link w:val="BodyTextIndent3"/>
    <w:uiPriority w:val="99"/>
    <w:locked/>
    <w:rsid w:val="006D24A9"/>
    <w:rPr>
      <w:sz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sz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sz w:val="24"/>
      <w:lang w:val="lv-LV" w:eastAsia="lv-LV"/>
    </w:rPr>
  </w:style>
  <w:style w:type="paragraph" w:styleId="ListParagraph">
    <w:name w:val="List Paragraph"/>
    <w:aliases w:val="2,H&amp;P List Paragraph,List Paragraph1,Strip,Saraksta rindkopa1,Normal bullet 2,Bullet list,Colorful List - Accent 12,Bullet 1,Bullet Points,Colorful List - Accent 11,Dot pt,F5 List Paragraph,Indicator Text,List Paragraph1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FE43E7"/>
    <w:rPr>
      <w:rFonts w:cs="Times New Roman"/>
      <w:sz w:val="16"/>
    </w:rPr>
  </w:style>
  <w:style w:type="paragraph" w:styleId="CommentText">
    <w:name w:val="annotation text"/>
    <w:basedOn w:val="Normal"/>
    <w:link w:val="CommentTextChar"/>
    <w:uiPriority w:val="99"/>
    <w:rsid w:val="00FE43E7"/>
    <w:rPr>
      <w:sz w:val="20"/>
      <w:szCs w:val="20"/>
    </w:rPr>
  </w:style>
  <w:style w:type="character" w:customStyle="1" w:styleId="CommentTextChar">
    <w:name w:val="Comment Text Char"/>
    <w:basedOn w:val="DefaultParagraphFont"/>
    <w:link w:val="CommentText"/>
    <w:uiPriority w:val="99"/>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rPr>
  </w:style>
  <w:style w:type="character" w:customStyle="1" w:styleId="NoteikumutekstamRakstz">
    <w:name w:val="Noteikumu tekstam Rakstz."/>
    <w:uiPriority w:val="99"/>
    <w:rsid w:val="001E6FD8"/>
    <w:rPr>
      <w:color w:val="000000"/>
      <w:sz w:val="24"/>
      <w:lang w:val="lv-LV" w:eastAsia="lv-LV"/>
    </w:rPr>
  </w:style>
  <w:style w:type="paragraph" w:styleId="BodyText2">
    <w:name w:val="Body Text 2"/>
    <w:basedOn w:val="Normal"/>
    <w:link w:val="BodyText2Char"/>
    <w:uiPriority w:val="99"/>
    <w:rsid w:val="004D069B"/>
    <w:pPr>
      <w:spacing w:after="120" w:line="480" w:lineRule="auto"/>
    </w:pPr>
  </w:style>
  <w:style w:type="character" w:customStyle="1" w:styleId="BodyText2Char">
    <w:name w:val="Body Text 2 Char"/>
    <w:basedOn w:val="DefaultParagraphFont"/>
    <w:link w:val="BodyText2"/>
    <w:uiPriority w:val="99"/>
    <w:locked/>
    <w:rsid w:val="004D069B"/>
    <w:rPr>
      <w:sz w:val="24"/>
    </w:rPr>
  </w:style>
  <w:style w:type="paragraph" w:customStyle="1" w:styleId="Noteikumutekstam">
    <w:name w:val="Noteikumu tekstam"/>
    <w:basedOn w:val="Normal"/>
    <w:autoRedefine/>
    <w:uiPriority w:val="99"/>
    <w:rsid w:val="00992BF0"/>
    <w:pPr>
      <w:tabs>
        <w:tab w:val="left" w:pos="709"/>
      </w:tabs>
      <w:jc w:val="both"/>
    </w:pPr>
    <w:rPr>
      <w:color w:val="000000"/>
      <w:sz w:val="28"/>
      <w:szCs w:val="28"/>
    </w:rPr>
  </w:style>
  <w:style w:type="paragraph" w:customStyle="1" w:styleId="Noteikumuapakpunkti">
    <w:name w:val="Noteikumu apakšpunkti"/>
    <w:basedOn w:val="Noteikumutekstam"/>
    <w:uiPriority w:val="99"/>
    <w:rsid w:val="00BD6A67"/>
    <w:pPr>
      <w:numPr>
        <w:ilvl w:val="1"/>
      </w:numPr>
    </w:pPr>
  </w:style>
  <w:style w:type="paragraph" w:customStyle="1" w:styleId="Noteikumuapakpunkti2">
    <w:name w:val="Noteikumu apakšpunkti_2"/>
    <w:basedOn w:val="Noteikumuapakpunkti"/>
    <w:uiPriority w:val="99"/>
    <w:rsid w:val="00BD6A67"/>
    <w:pPr>
      <w:numPr>
        <w:ilvl w:val="2"/>
      </w:numPr>
    </w:pPr>
  </w:style>
  <w:style w:type="paragraph" w:customStyle="1" w:styleId="Noteikumuapakpunkt3">
    <w:name w:val="Noteikumu apakšpunkt_3"/>
    <w:basedOn w:val="Noteikumuapakpunkti2"/>
    <w:uiPriority w:val="99"/>
    <w:rsid w:val="00BD6A67"/>
    <w:pPr>
      <w:numPr>
        <w:ilvl w:val="3"/>
      </w:numPr>
    </w:pPr>
  </w:style>
  <w:style w:type="paragraph" w:customStyle="1" w:styleId="RakstzCharCharRakstzCharCharRakstz1">
    <w:name w:val="Rakstz. Char Char Rakstz. Char Char Rakstz.1"/>
    <w:basedOn w:val="Normal"/>
    <w:uiPriority w:val="99"/>
    <w:rsid w:val="006C666E"/>
    <w:pPr>
      <w:spacing w:after="160" w:line="240" w:lineRule="exact"/>
    </w:pPr>
    <w:rPr>
      <w:iCs/>
      <w:sz w:val="20"/>
      <w:szCs w:val="20"/>
      <w:lang w:val="en-US" w:eastAsia="en-US"/>
    </w:rPr>
  </w:style>
  <w:style w:type="character" w:customStyle="1" w:styleId="apple-style-span">
    <w:name w:val="apple-style-span"/>
    <w:basedOn w:val="DefaultParagraphFont"/>
    <w:uiPriority w:val="99"/>
    <w:rsid w:val="00C950E9"/>
    <w:rPr>
      <w:rFonts w:cs="Times New Roman"/>
    </w:rPr>
  </w:style>
  <w:style w:type="paragraph" w:styleId="Revision">
    <w:name w:val="Revision"/>
    <w:hidden/>
    <w:uiPriority w:val="99"/>
    <w:semiHidden/>
    <w:rsid w:val="004C7D72"/>
    <w:rPr>
      <w:sz w:val="24"/>
      <w:szCs w:val="24"/>
    </w:rPr>
  </w:style>
  <w:style w:type="character" w:customStyle="1" w:styleId="apple-converted-space">
    <w:name w:val="apple-converted-space"/>
    <w:basedOn w:val="DefaultParagraphFont"/>
    <w:uiPriority w:val="99"/>
    <w:rsid w:val="00981E2A"/>
    <w:rPr>
      <w:rFonts w:cs="Times New Roman"/>
    </w:rPr>
  </w:style>
  <w:style w:type="paragraph" w:styleId="PlainText">
    <w:name w:val="Plain Text"/>
    <w:basedOn w:val="Normal"/>
    <w:link w:val="PlainTextChar"/>
    <w:uiPriority w:val="99"/>
    <w:rsid w:val="00981E2A"/>
    <w:rPr>
      <w:rFonts w:ascii="Consolas" w:hAnsi="Consolas"/>
      <w:sz w:val="21"/>
      <w:szCs w:val="21"/>
      <w:lang w:eastAsia="en-US"/>
    </w:rPr>
  </w:style>
  <w:style w:type="character" w:customStyle="1" w:styleId="PlainTextChar">
    <w:name w:val="Plain Text Char"/>
    <w:basedOn w:val="DefaultParagraphFont"/>
    <w:link w:val="PlainText"/>
    <w:uiPriority w:val="99"/>
    <w:locked/>
    <w:rsid w:val="00981E2A"/>
    <w:rPr>
      <w:rFonts w:ascii="Consolas" w:eastAsia="Times New Roman" w:hAnsi="Consolas"/>
      <w:sz w:val="21"/>
      <w:lang w:eastAsia="en-US"/>
    </w:rPr>
  </w:style>
  <w:style w:type="paragraph" w:customStyle="1" w:styleId="Default">
    <w:name w:val="Default"/>
    <w:rsid w:val="00813DDB"/>
    <w:pPr>
      <w:autoSpaceDE w:val="0"/>
      <w:autoSpaceDN w:val="0"/>
      <w:adjustRightInd w:val="0"/>
    </w:pPr>
    <w:rPr>
      <w:color w:val="000000"/>
      <w:sz w:val="24"/>
      <w:szCs w:val="24"/>
    </w:rPr>
  </w:style>
  <w:style w:type="paragraph" w:styleId="Subtitle">
    <w:name w:val="Subtitle"/>
    <w:basedOn w:val="Normal"/>
    <w:next w:val="Normal"/>
    <w:link w:val="SubtitleChar"/>
    <w:uiPriority w:val="99"/>
    <w:qFormat/>
    <w:locked/>
    <w:rsid w:val="008C539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C5391"/>
    <w:rPr>
      <w:rFonts w:ascii="Cambria" w:hAnsi="Cambria"/>
      <w:sz w:val="24"/>
    </w:rPr>
  </w:style>
  <w:style w:type="paragraph" w:customStyle="1" w:styleId="tvhtml">
    <w:name w:val="tv_html"/>
    <w:basedOn w:val="Normal"/>
    <w:uiPriority w:val="99"/>
    <w:rsid w:val="002C34C5"/>
    <w:pPr>
      <w:spacing w:before="100" w:beforeAutospacing="1" w:after="100" w:afterAutospacing="1"/>
    </w:pPr>
  </w:style>
  <w:style w:type="character" w:customStyle="1" w:styleId="CharChar4">
    <w:name w:val="Char Char4"/>
    <w:uiPriority w:val="99"/>
    <w:rsid w:val="00F155FC"/>
    <w:rPr>
      <w:sz w:val="24"/>
      <w:lang w:val="lv-LV" w:eastAsia="lv-LV"/>
    </w:rPr>
  </w:style>
  <w:style w:type="paragraph" w:styleId="BodyText">
    <w:name w:val="Body Text"/>
    <w:basedOn w:val="Normal"/>
    <w:link w:val="BodyTextChar"/>
    <w:uiPriority w:val="99"/>
    <w:rsid w:val="00DE3BC7"/>
    <w:pPr>
      <w:spacing w:after="120"/>
    </w:pPr>
  </w:style>
  <w:style w:type="character" w:customStyle="1" w:styleId="BodyTextChar">
    <w:name w:val="Body Text Char"/>
    <w:basedOn w:val="DefaultParagraphFont"/>
    <w:link w:val="BodyText"/>
    <w:uiPriority w:val="99"/>
    <w:locked/>
    <w:rsid w:val="00DE3BC7"/>
    <w:rPr>
      <w:sz w:val="24"/>
    </w:rPr>
  </w:style>
  <w:style w:type="character" w:customStyle="1" w:styleId="EE-paragrCharCharChar1">
    <w:name w:val="EE-paragr Char Char Char1"/>
    <w:link w:val="EE-paragrCharChar"/>
    <w:uiPriority w:val="99"/>
    <w:locked/>
    <w:rsid w:val="00FD417C"/>
    <w:rPr>
      <w:b/>
      <w:sz w:val="24"/>
    </w:rPr>
  </w:style>
  <w:style w:type="paragraph" w:customStyle="1" w:styleId="EE-paragrCharChar">
    <w:name w:val="EE-paragr Char Char"/>
    <w:basedOn w:val="Normal"/>
    <w:link w:val="EE-paragrCharCharChar1"/>
    <w:autoRedefine/>
    <w:uiPriority w:val="99"/>
    <w:rsid w:val="00FD417C"/>
    <w:pPr>
      <w:jc w:val="both"/>
    </w:pPr>
    <w:rPr>
      <w:b/>
      <w:bCs/>
    </w:rPr>
  </w:style>
  <w:style w:type="paragraph" w:styleId="HTMLPreformatted">
    <w:name w:val="HTML Preformatted"/>
    <w:basedOn w:val="Normal"/>
    <w:link w:val="HTMLPreformattedChar"/>
    <w:uiPriority w:val="99"/>
    <w:semiHidden/>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A7DED"/>
    <w:rPr>
      <w:rFonts w:ascii="Courier New" w:hAnsi="Courier New"/>
    </w:rPr>
  </w:style>
  <w:style w:type="paragraph" w:styleId="NoSpacing">
    <w:name w:val="No Spacing"/>
    <w:basedOn w:val="Normal"/>
    <w:uiPriority w:val="1"/>
    <w:qFormat/>
    <w:rsid w:val="00257056"/>
    <w:pPr>
      <w:ind w:firstLine="720"/>
      <w:jc w:val="both"/>
    </w:pPr>
    <w:rPr>
      <w:sz w:val="26"/>
      <w:szCs w:val="26"/>
      <w:lang w:eastAsia="en-US"/>
    </w:rPr>
  </w:style>
  <w:style w:type="paragraph" w:customStyle="1" w:styleId="CM1">
    <w:name w:val="CM1"/>
    <w:basedOn w:val="Normal"/>
    <w:uiPriority w:val="99"/>
    <w:rsid w:val="00C54021"/>
    <w:pPr>
      <w:autoSpaceDE w:val="0"/>
      <w:autoSpaceDN w:val="0"/>
    </w:pPr>
    <w:rPr>
      <w:rFonts w:ascii="EUAlbertina" w:hAnsi="EUAlbertina"/>
      <w:lang w:val="en-US" w:eastAsia="en-US"/>
    </w:rPr>
  </w:style>
  <w:style w:type="paragraph" w:customStyle="1" w:styleId="CM4">
    <w:name w:val="CM4"/>
    <w:basedOn w:val="Normal"/>
    <w:uiPriority w:val="99"/>
    <w:rsid w:val="00C54021"/>
    <w:pPr>
      <w:autoSpaceDE w:val="0"/>
      <w:autoSpaceDN w:val="0"/>
    </w:pPr>
    <w:rPr>
      <w:rFonts w:ascii="EUAlbertina" w:hAnsi="EUAlbertina"/>
      <w:lang w:val="en-US" w:eastAsia="en-US"/>
    </w:rPr>
  </w:style>
  <w:style w:type="character" w:customStyle="1" w:styleId="ListParagraphChar">
    <w:name w:val="List Paragraph Char"/>
    <w:aliases w:val="2 Char,H&amp;P List Paragraph Char,List Paragraph1 Char,Strip Char,Saraksta rindkopa1 Char,Normal bullet 2 Char,Bullet list Char,Colorful List - Accent 12 Char,Bullet 1 Char,Bullet Points Char,Colorful List - Accent 11 Char,Dot pt Char"/>
    <w:link w:val="ListParagraph"/>
    <w:uiPriority w:val="34"/>
    <w:qFormat/>
    <w:locked/>
    <w:rsid w:val="003D5BDA"/>
    <w:rPr>
      <w:rFonts w:ascii="Calibri" w:hAnsi="Calibri"/>
      <w:sz w:val="22"/>
      <w:lang w:eastAsia="en-US"/>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2"/>
    <w:rsid w:val="003D5BDA"/>
    <w:rPr>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rsid w:val="00152D05"/>
    <w:rPr>
      <w:sz w:val="20"/>
      <w:szCs w:val="20"/>
    </w:rPr>
  </w:style>
  <w:style w:type="character" w:customStyle="1" w:styleId="FootnoteTextChar2">
    <w:name w:val="Footnote Text Char2"/>
    <w:aliases w:val="Footnote Char,Footnote Text Char Char Char1,Footnote Text Char Char Char Char Char1,Footnote Text Char Char Char Char Char Char Char1,Footnote Text Char1 Char1,Footnote Text Char1 Char Char Char1,f Char1"/>
    <w:link w:val="FootnoteText"/>
    <w:uiPriority w:val="99"/>
    <w:locked/>
    <w:rsid w:val="003D5BDA"/>
    <w:rPr>
      <w:rFonts w:eastAsia="Times New Roman"/>
    </w:rPr>
  </w:style>
  <w:style w:type="paragraph" w:customStyle="1" w:styleId="tbl-hdr">
    <w:name w:val="tbl-hdr"/>
    <w:basedOn w:val="Normal"/>
    <w:uiPriority w:val="99"/>
    <w:rsid w:val="00E16F3F"/>
    <w:pPr>
      <w:spacing w:before="100" w:beforeAutospacing="1" w:after="100" w:afterAutospacing="1"/>
    </w:pPr>
  </w:style>
  <w:style w:type="paragraph" w:customStyle="1" w:styleId="tbl-txt">
    <w:name w:val="tbl-txt"/>
    <w:basedOn w:val="Normal"/>
    <w:uiPriority w:val="99"/>
    <w:rsid w:val="00E16F3F"/>
    <w:pPr>
      <w:spacing w:before="100" w:beforeAutospacing="1" w:after="100" w:afterAutospacing="1"/>
    </w:p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rsid w:val="007D59E1"/>
    <w:rPr>
      <w:rFonts w:cs="Times New Roman"/>
      <w:vertAlign w:val="superscript"/>
    </w:rPr>
  </w:style>
  <w:style w:type="character" w:customStyle="1" w:styleId="cspklasifikatorscodename">
    <w:name w:val="csp_klasifikators_code_name"/>
    <w:rsid w:val="007D59E1"/>
  </w:style>
  <w:style w:type="paragraph" w:customStyle="1" w:styleId="CM3">
    <w:name w:val="CM3"/>
    <w:basedOn w:val="Default"/>
    <w:next w:val="Default"/>
    <w:uiPriority w:val="99"/>
    <w:rsid w:val="001C3708"/>
    <w:rPr>
      <w:rFonts w:ascii="EUAlbertina" w:hAnsi="EUAlbertina"/>
      <w:color w:val="auto"/>
    </w:rPr>
  </w:style>
  <w:style w:type="paragraph" w:customStyle="1" w:styleId="Vidjsreis21">
    <w:name w:val="Vidējs režģis 21"/>
    <w:uiPriority w:val="1"/>
    <w:qFormat/>
    <w:rsid w:val="00EC67B9"/>
    <w:rPr>
      <w:rFonts w:ascii="Calibri" w:eastAsia="Calibri" w:hAnsi="Calibri"/>
      <w:lang w:eastAsia="en-US"/>
    </w:rPr>
  </w:style>
  <w:style w:type="paragraph" w:customStyle="1" w:styleId="tv213">
    <w:name w:val="tv213"/>
    <w:basedOn w:val="Normal"/>
    <w:rsid w:val="00630914"/>
    <w:pPr>
      <w:spacing w:before="100" w:beforeAutospacing="1" w:after="100" w:afterAutospacing="1"/>
    </w:pPr>
  </w:style>
  <w:style w:type="paragraph" w:customStyle="1" w:styleId="CharCharCharChar">
    <w:name w:val="Char Char Char Char"/>
    <w:aliases w:val="Char2"/>
    <w:basedOn w:val="Normal"/>
    <w:next w:val="Normal"/>
    <w:link w:val="FootnoteReference"/>
    <w:rsid w:val="007B4083"/>
    <w:pPr>
      <w:spacing w:after="160" w:line="240" w:lineRule="exact"/>
      <w:jc w:val="both"/>
      <w:textAlignment w:val="baseline"/>
    </w:pPr>
    <w:rPr>
      <w:sz w:val="22"/>
      <w:szCs w:val="22"/>
      <w:vertAlign w:val="superscript"/>
    </w:rPr>
  </w:style>
  <w:style w:type="paragraph" w:customStyle="1" w:styleId="ISBulletText">
    <w:name w:val="IS Bullet Text"/>
    <w:basedOn w:val="Normal"/>
    <w:link w:val="ISBulletTextChar"/>
    <w:uiPriority w:val="99"/>
    <w:rsid w:val="007B4083"/>
    <w:pPr>
      <w:numPr>
        <w:numId w:val="4"/>
      </w:numPr>
      <w:overflowPunct w:val="0"/>
      <w:autoSpaceDE w:val="0"/>
      <w:autoSpaceDN w:val="0"/>
      <w:adjustRightInd w:val="0"/>
      <w:spacing w:before="60" w:after="60"/>
      <w:jc w:val="both"/>
      <w:textAlignment w:val="baseline"/>
    </w:pPr>
    <w:rPr>
      <w:rFonts w:ascii="Calibri" w:eastAsia="MS Mincho" w:hAnsi="Calibri" w:cs="Arial"/>
      <w:sz w:val="22"/>
      <w:szCs w:val="18"/>
    </w:rPr>
  </w:style>
  <w:style w:type="character" w:customStyle="1" w:styleId="ISBulletTextChar">
    <w:name w:val="IS Bullet Text Char"/>
    <w:link w:val="ISBulletText"/>
    <w:uiPriority w:val="99"/>
    <w:rsid w:val="007B4083"/>
    <w:rPr>
      <w:rFonts w:ascii="Calibri" w:eastAsia="MS Mincho" w:hAnsi="Calibri" w:cs="Arial"/>
      <w:szCs w:val="18"/>
    </w:rPr>
  </w:style>
  <w:style w:type="numbering" w:customStyle="1" w:styleId="ISBullets">
    <w:name w:val="IS Bullets"/>
    <w:uiPriority w:val="99"/>
    <w:rsid w:val="007B4083"/>
    <w:pPr>
      <w:numPr>
        <w:numId w:val="3"/>
      </w:numPr>
    </w:pPr>
  </w:style>
  <w:style w:type="paragraph" w:customStyle="1" w:styleId="VPBody">
    <w:name w:val="VP Body"/>
    <w:basedOn w:val="Normal"/>
    <w:rsid w:val="008D2689"/>
    <w:pPr>
      <w:spacing w:before="80" w:after="80"/>
      <w:jc w:val="both"/>
    </w:pPr>
    <w:rPr>
      <w:rFonts w:eastAsiaTheme="minorHAnsi"/>
    </w:rPr>
  </w:style>
  <w:style w:type="paragraph" w:customStyle="1" w:styleId="Standard">
    <w:name w:val="Standard"/>
    <w:rsid w:val="00D11516"/>
    <w:pPr>
      <w:suppressAutoHyphens/>
      <w:autoSpaceDN w:val="0"/>
    </w:pPr>
    <w:rPr>
      <w:kern w:val="3"/>
      <w:sz w:val="28"/>
      <w:lang w:eastAsia="en-US"/>
    </w:rPr>
  </w:style>
  <w:style w:type="paragraph" w:customStyle="1" w:styleId="yiv5726173640msonormal">
    <w:name w:val="yiv5726173640msonormal"/>
    <w:basedOn w:val="Normal"/>
    <w:rsid w:val="00243D56"/>
    <w:pPr>
      <w:spacing w:before="100" w:beforeAutospacing="1" w:after="100" w:afterAutospacing="1"/>
    </w:pPr>
  </w:style>
  <w:style w:type="character" w:customStyle="1" w:styleId="light1">
    <w:name w:val="light1"/>
    <w:basedOn w:val="DefaultParagraphFont"/>
    <w:rsid w:val="00736B52"/>
    <w:rPr>
      <w:rFonts w:ascii="Tahoma" w:hAnsi="Tahoma" w:cs="Tahoma" w:hint="default"/>
      <w:sz w:val="10"/>
      <w:szCs w:val="10"/>
    </w:rPr>
  </w:style>
  <w:style w:type="paragraph" w:customStyle="1" w:styleId="NoSpacing1">
    <w:name w:val="No Spacing1"/>
    <w:qFormat/>
    <w:rsid w:val="001C4635"/>
    <w:rPr>
      <w:rFonts w:ascii="Calibri" w:eastAsia="Calibri" w:hAnsi="Calibri"/>
      <w:lang w:eastAsia="en-US"/>
    </w:rPr>
  </w:style>
  <w:style w:type="paragraph" w:customStyle="1" w:styleId="Atklasts">
    <w:name w:val="Atklasts"/>
    <w:basedOn w:val="Normal"/>
    <w:rsid w:val="00E57A9B"/>
    <w:pPr>
      <w:jc w:val="both"/>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1496">
      <w:bodyDiv w:val="1"/>
      <w:marLeft w:val="0"/>
      <w:marRight w:val="0"/>
      <w:marTop w:val="0"/>
      <w:marBottom w:val="0"/>
      <w:divBdr>
        <w:top w:val="none" w:sz="0" w:space="0" w:color="auto"/>
        <w:left w:val="none" w:sz="0" w:space="0" w:color="auto"/>
        <w:bottom w:val="none" w:sz="0" w:space="0" w:color="auto"/>
        <w:right w:val="none" w:sz="0" w:space="0" w:color="auto"/>
      </w:divBdr>
    </w:div>
    <w:div w:id="101875292">
      <w:bodyDiv w:val="1"/>
      <w:marLeft w:val="0"/>
      <w:marRight w:val="0"/>
      <w:marTop w:val="0"/>
      <w:marBottom w:val="0"/>
      <w:divBdr>
        <w:top w:val="none" w:sz="0" w:space="0" w:color="auto"/>
        <w:left w:val="none" w:sz="0" w:space="0" w:color="auto"/>
        <w:bottom w:val="none" w:sz="0" w:space="0" w:color="auto"/>
        <w:right w:val="none" w:sz="0" w:space="0" w:color="auto"/>
      </w:divBdr>
    </w:div>
    <w:div w:id="279458340">
      <w:bodyDiv w:val="1"/>
      <w:marLeft w:val="0"/>
      <w:marRight w:val="0"/>
      <w:marTop w:val="0"/>
      <w:marBottom w:val="0"/>
      <w:divBdr>
        <w:top w:val="none" w:sz="0" w:space="0" w:color="auto"/>
        <w:left w:val="none" w:sz="0" w:space="0" w:color="auto"/>
        <w:bottom w:val="none" w:sz="0" w:space="0" w:color="auto"/>
        <w:right w:val="none" w:sz="0" w:space="0" w:color="auto"/>
      </w:divBdr>
    </w:div>
    <w:div w:id="540242348">
      <w:bodyDiv w:val="1"/>
      <w:marLeft w:val="0"/>
      <w:marRight w:val="0"/>
      <w:marTop w:val="0"/>
      <w:marBottom w:val="0"/>
      <w:divBdr>
        <w:top w:val="none" w:sz="0" w:space="0" w:color="auto"/>
        <w:left w:val="none" w:sz="0" w:space="0" w:color="auto"/>
        <w:bottom w:val="none" w:sz="0" w:space="0" w:color="auto"/>
        <w:right w:val="none" w:sz="0" w:space="0" w:color="auto"/>
      </w:divBdr>
    </w:div>
    <w:div w:id="823005850">
      <w:bodyDiv w:val="1"/>
      <w:marLeft w:val="0"/>
      <w:marRight w:val="0"/>
      <w:marTop w:val="0"/>
      <w:marBottom w:val="0"/>
      <w:divBdr>
        <w:top w:val="none" w:sz="0" w:space="0" w:color="auto"/>
        <w:left w:val="none" w:sz="0" w:space="0" w:color="auto"/>
        <w:bottom w:val="none" w:sz="0" w:space="0" w:color="auto"/>
        <w:right w:val="none" w:sz="0" w:space="0" w:color="auto"/>
      </w:divBdr>
    </w:div>
    <w:div w:id="17645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hyperlink" Target="mailto:liene.dorbe@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ja.bistere@vara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795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eli/dec/2012/21/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7795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06F3-D016-49BC-8613-2C9989F7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4668</Words>
  <Characters>32906</Characters>
  <Application>Microsoft Office Word</Application>
  <DocSecurity>0</DocSecurity>
  <Lines>274</Lines>
  <Paragraphs>74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37500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Liene Dorbe</dc:creator>
  <cp:lastModifiedBy>Liene Dorbe</cp:lastModifiedBy>
  <cp:revision>20</cp:revision>
  <cp:lastPrinted>2015-09-29T06:08:00Z</cp:lastPrinted>
  <dcterms:created xsi:type="dcterms:W3CDTF">2020-02-19T07:26:00Z</dcterms:created>
  <dcterms:modified xsi:type="dcterms:W3CDTF">2020-03-02T13:55:00Z</dcterms:modified>
</cp:coreProperties>
</file>