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864D" w14:textId="77777777" w:rsidR="00321BBC" w:rsidRPr="000C2112" w:rsidRDefault="00321BBC" w:rsidP="00321BBC">
      <w:pPr>
        <w:jc w:val="center"/>
        <w:rPr>
          <w:b/>
        </w:rPr>
      </w:pPr>
      <w:r w:rsidRPr="000C2112">
        <w:rPr>
          <w:b/>
        </w:rPr>
        <w:t xml:space="preserve">Izziņa par atzinumos sniegtajiem iebildumiem </w:t>
      </w:r>
      <w:r w:rsidRPr="000C2112">
        <w:rPr>
          <w:b/>
          <w:bCs/>
        </w:rPr>
        <w:t xml:space="preserve">par </w:t>
      </w:r>
      <w:r w:rsidRPr="000C2112">
        <w:rPr>
          <w:b/>
        </w:rPr>
        <w:t>Ministru kabineta noteikumu projektu</w:t>
      </w:r>
    </w:p>
    <w:p w14:paraId="6947864E" w14:textId="77777777" w:rsidR="00321BBC" w:rsidRPr="00752EA6" w:rsidRDefault="00321BBC" w:rsidP="00321BBC">
      <w:pPr>
        <w:jc w:val="center"/>
        <w:rPr>
          <w:b/>
        </w:rPr>
      </w:pPr>
      <w:r w:rsidRPr="00752EA6">
        <w:rPr>
          <w:b/>
        </w:rPr>
        <w:t>“</w:t>
      </w:r>
      <w:r w:rsidRPr="004A3B5C">
        <w:rPr>
          <w:b/>
        </w:rPr>
        <w:t>Grozījumi Ministru kabineta 2013. gada</w:t>
      </w:r>
      <w:r w:rsidR="004A3B5C">
        <w:rPr>
          <w:b/>
        </w:rPr>
        <w:t xml:space="preserve"> 25. jūnija noteikumos Nr. 337 “</w:t>
      </w:r>
      <w:r w:rsidRPr="004A3B5C">
        <w:rPr>
          <w:b/>
        </w:rPr>
        <w:t>Noteikumi par atkritumu apsaimniekošanas reģioniem””</w:t>
      </w:r>
    </w:p>
    <w:p w14:paraId="6947864F" w14:textId="77777777" w:rsidR="00321BBC" w:rsidRPr="000C2112" w:rsidRDefault="00321BBC" w:rsidP="00321BBC">
      <w:pPr>
        <w:jc w:val="center"/>
        <w:rPr>
          <w:b/>
        </w:rPr>
      </w:pPr>
      <w:r>
        <w:rPr>
          <w:b/>
        </w:rPr>
        <w:t>(VSS-179</w:t>
      </w:r>
      <w:r w:rsidRPr="000C2112">
        <w:rPr>
          <w:b/>
        </w:rPr>
        <w:t>)</w:t>
      </w:r>
    </w:p>
    <w:p w14:paraId="69478650" w14:textId="77777777" w:rsidR="00321BBC" w:rsidRPr="000B51DA" w:rsidRDefault="00321BBC" w:rsidP="00321BBC">
      <w:pPr>
        <w:pStyle w:val="naisf"/>
        <w:spacing w:before="0" w:after="0"/>
        <w:ind w:firstLine="720"/>
      </w:pPr>
    </w:p>
    <w:p w14:paraId="69478651" w14:textId="77777777" w:rsidR="00321BBC" w:rsidRPr="000B51DA" w:rsidRDefault="00321BBC" w:rsidP="00321BBC">
      <w:pPr>
        <w:pStyle w:val="naisf"/>
        <w:spacing w:before="0" w:after="0"/>
        <w:ind w:firstLine="0"/>
        <w:jc w:val="center"/>
        <w:outlineLvl w:val="0"/>
        <w:rPr>
          <w:b/>
        </w:rPr>
      </w:pPr>
      <w:r w:rsidRPr="000B51DA">
        <w:rPr>
          <w:b/>
        </w:rPr>
        <w:t>I. Jautājumi, par kuriem saskaņošanā vienošanās nav panākta</w:t>
      </w:r>
    </w:p>
    <w:p w14:paraId="69478652" w14:textId="77777777" w:rsidR="00321BBC" w:rsidRPr="000B51DA" w:rsidRDefault="00321BBC" w:rsidP="00321BB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321BBC" w:rsidRPr="000B51DA" w14:paraId="69478659" w14:textId="77777777" w:rsidTr="00FC17A1">
        <w:tc>
          <w:tcPr>
            <w:tcW w:w="708" w:type="dxa"/>
            <w:tcBorders>
              <w:top w:val="single" w:sz="6" w:space="0" w:color="000000"/>
              <w:left w:val="single" w:sz="6" w:space="0" w:color="000000"/>
              <w:bottom w:val="single" w:sz="6" w:space="0" w:color="000000"/>
              <w:right w:val="single" w:sz="6" w:space="0" w:color="000000"/>
            </w:tcBorders>
            <w:vAlign w:val="center"/>
          </w:tcPr>
          <w:p w14:paraId="69478653" w14:textId="77777777" w:rsidR="00321BBC" w:rsidRPr="000B51DA" w:rsidRDefault="00321BBC" w:rsidP="00FC17A1">
            <w:pPr>
              <w:pStyle w:val="naisc"/>
              <w:spacing w:before="0" w:after="0"/>
            </w:pPr>
            <w:r w:rsidRPr="000B51DA">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69478654" w14:textId="77777777" w:rsidR="00321BBC" w:rsidRPr="000B51DA" w:rsidRDefault="00321BBC" w:rsidP="00FC17A1">
            <w:pPr>
              <w:pStyle w:val="naisc"/>
              <w:spacing w:before="0" w:after="0"/>
              <w:ind w:firstLine="12"/>
            </w:pPr>
            <w:r w:rsidRPr="000B51DA">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9478655" w14:textId="77777777" w:rsidR="00321BBC" w:rsidRPr="000B51DA" w:rsidRDefault="00321BBC" w:rsidP="00FC17A1">
            <w:pPr>
              <w:pStyle w:val="naisc"/>
              <w:spacing w:before="0" w:after="0"/>
              <w:ind w:right="3"/>
            </w:pPr>
            <w:r w:rsidRPr="000B51DA">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69478656" w14:textId="77777777" w:rsidR="00321BBC" w:rsidRPr="000B51DA" w:rsidRDefault="00321BBC" w:rsidP="00FC17A1">
            <w:pPr>
              <w:pStyle w:val="naisc"/>
              <w:spacing w:before="0" w:after="0"/>
              <w:ind w:firstLine="21"/>
            </w:pPr>
            <w:r w:rsidRPr="000B51DA">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69478657" w14:textId="77777777" w:rsidR="00321BBC" w:rsidRPr="000B51DA" w:rsidRDefault="00321BBC" w:rsidP="00FC17A1">
            <w:pPr>
              <w:jc w:val="center"/>
            </w:pPr>
            <w:r w:rsidRPr="000B51D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9478658" w14:textId="77777777" w:rsidR="00321BBC" w:rsidRPr="000B51DA" w:rsidRDefault="00321BBC" w:rsidP="00FC17A1">
            <w:pPr>
              <w:jc w:val="center"/>
            </w:pPr>
            <w:r w:rsidRPr="000B51DA">
              <w:t>Projekta attiecīgā punkta (panta) galīgā redakcija</w:t>
            </w:r>
          </w:p>
        </w:tc>
      </w:tr>
      <w:tr w:rsidR="00321BBC" w:rsidRPr="000B51DA" w14:paraId="69478660" w14:textId="77777777" w:rsidTr="00FC17A1">
        <w:tc>
          <w:tcPr>
            <w:tcW w:w="708" w:type="dxa"/>
            <w:tcBorders>
              <w:left w:val="single" w:sz="6" w:space="0" w:color="000000"/>
              <w:bottom w:val="single" w:sz="4" w:space="0" w:color="auto"/>
              <w:right w:val="single" w:sz="6" w:space="0" w:color="000000"/>
            </w:tcBorders>
          </w:tcPr>
          <w:p w14:paraId="6947865A" w14:textId="77777777" w:rsidR="00321BBC" w:rsidRPr="000B51DA" w:rsidRDefault="00321BBC" w:rsidP="00FC17A1">
            <w:pPr>
              <w:pStyle w:val="naisc"/>
              <w:spacing w:before="0" w:after="0"/>
              <w:ind w:firstLine="720"/>
            </w:pPr>
            <w:r w:rsidRPr="000B51DA">
              <w:t>-</w:t>
            </w:r>
          </w:p>
        </w:tc>
        <w:tc>
          <w:tcPr>
            <w:tcW w:w="2400" w:type="dxa"/>
            <w:tcBorders>
              <w:left w:val="single" w:sz="6" w:space="0" w:color="000000"/>
              <w:bottom w:val="single" w:sz="4" w:space="0" w:color="auto"/>
              <w:right w:val="single" w:sz="6" w:space="0" w:color="000000"/>
            </w:tcBorders>
          </w:tcPr>
          <w:p w14:paraId="6947865B" w14:textId="77777777" w:rsidR="00321BBC" w:rsidRPr="000B51DA" w:rsidRDefault="00321BBC" w:rsidP="00FC17A1">
            <w:pPr>
              <w:pStyle w:val="naisc"/>
              <w:spacing w:before="0" w:after="0"/>
            </w:pPr>
          </w:p>
        </w:tc>
        <w:tc>
          <w:tcPr>
            <w:tcW w:w="3600" w:type="dxa"/>
            <w:tcBorders>
              <w:left w:val="single" w:sz="6" w:space="0" w:color="000000"/>
              <w:bottom w:val="single" w:sz="4" w:space="0" w:color="auto"/>
              <w:right w:val="single" w:sz="6" w:space="0" w:color="000000"/>
            </w:tcBorders>
          </w:tcPr>
          <w:p w14:paraId="6947865C" w14:textId="77777777" w:rsidR="00321BBC" w:rsidRPr="000B51DA" w:rsidRDefault="00321BBC" w:rsidP="00FC17A1">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6947865D" w14:textId="77777777" w:rsidR="00321BBC" w:rsidRPr="000B51DA" w:rsidRDefault="00321BBC" w:rsidP="00FC17A1">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6947865E" w14:textId="77777777" w:rsidR="00321BBC" w:rsidRPr="000B51DA" w:rsidRDefault="00321BBC" w:rsidP="00FC17A1">
            <w:pPr>
              <w:jc w:val="center"/>
            </w:pPr>
          </w:p>
        </w:tc>
        <w:tc>
          <w:tcPr>
            <w:tcW w:w="1920" w:type="dxa"/>
            <w:tcBorders>
              <w:top w:val="single" w:sz="4" w:space="0" w:color="auto"/>
              <w:left w:val="single" w:sz="4" w:space="0" w:color="auto"/>
              <w:bottom w:val="single" w:sz="4" w:space="0" w:color="auto"/>
              <w:right w:val="single" w:sz="4" w:space="0" w:color="auto"/>
            </w:tcBorders>
          </w:tcPr>
          <w:p w14:paraId="6947865F" w14:textId="77777777" w:rsidR="00321BBC" w:rsidRPr="000B51DA" w:rsidRDefault="00321BBC" w:rsidP="00FC17A1">
            <w:pPr>
              <w:jc w:val="center"/>
            </w:pPr>
          </w:p>
        </w:tc>
      </w:tr>
    </w:tbl>
    <w:p w14:paraId="69478661" w14:textId="77777777" w:rsidR="00321BBC" w:rsidRPr="000B51DA" w:rsidRDefault="00321BBC" w:rsidP="00321BBC">
      <w:pPr>
        <w:pStyle w:val="naisf"/>
        <w:spacing w:before="0" w:after="0"/>
        <w:ind w:firstLine="0"/>
        <w:outlineLvl w:val="0"/>
        <w:rPr>
          <w:b/>
        </w:rPr>
      </w:pPr>
    </w:p>
    <w:p w14:paraId="69478662" w14:textId="77777777" w:rsidR="00321BBC" w:rsidRPr="000B51DA" w:rsidRDefault="00321BBC" w:rsidP="00321BBC">
      <w:pPr>
        <w:pStyle w:val="naisf"/>
        <w:spacing w:before="0" w:after="0"/>
        <w:ind w:firstLine="0"/>
        <w:outlineLvl w:val="0"/>
        <w:rPr>
          <w:b/>
        </w:rPr>
      </w:pPr>
      <w:r w:rsidRPr="000B51DA">
        <w:rPr>
          <w:b/>
        </w:rPr>
        <w:t xml:space="preserve">Informācija par </w:t>
      </w:r>
      <w:proofErr w:type="spellStart"/>
      <w:r w:rsidRPr="000B51DA">
        <w:rPr>
          <w:b/>
        </w:rPr>
        <w:t>starpministriju</w:t>
      </w:r>
      <w:proofErr w:type="spellEnd"/>
      <w:r w:rsidRPr="000B51DA">
        <w:rPr>
          <w:b/>
        </w:rPr>
        <w:t xml:space="preserve"> (starpinstitūciju) sanāksmi vai elektronisko saskaņošanu</w:t>
      </w:r>
    </w:p>
    <w:p w14:paraId="69478663" w14:textId="77777777" w:rsidR="00321BBC" w:rsidRPr="000B51DA" w:rsidRDefault="00321BBC" w:rsidP="00321BBC">
      <w:pPr>
        <w:pStyle w:val="naisf"/>
        <w:spacing w:before="0" w:after="0"/>
        <w:ind w:firstLine="0"/>
        <w:rPr>
          <w:b/>
        </w:rPr>
      </w:pPr>
    </w:p>
    <w:tbl>
      <w:tblPr>
        <w:tblW w:w="13908" w:type="dxa"/>
        <w:tblLook w:val="00A0" w:firstRow="1" w:lastRow="0" w:firstColumn="1" w:lastColumn="0" w:noHBand="0" w:noVBand="0"/>
      </w:tblPr>
      <w:tblGrid>
        <w:gridCol w:w="6708"/>
        <w:gridCol w:w="7200"/>
      </w:tblGrid>
      <w:tr w:rsidR="00321BBC" w:rsidRPr="000B51DA" w14:paraId="69478666" w14:textId="77777777" w:rsidTr="00FC17A1">
        <w:tc>
          <w:tcPr>
            <w:tcW w:w="6708" w:type="dxa"/>
          </w:tcPr>
          <w:p w14:paraId="69478664" w14:textId="77777777" w:rsidR="00321BBC" w:rsidRPr="000B51DA" w:rsidRDefault="00321BBC" w:rsidP="00FC17A1">
            <w:pPr>
              <w:pStyle w:val="naisf"/>
              <w:spacing w:before="0" w:after="0"/>
              <w:ind w:firstLine="0"/>
            </w:pPr>
            <w:r w:rsidRPr="000B51DA">
              <w:t>Datums</w:t>
            </w:r>
          </w:p>
        </w:tc>
        <w:tc>
          <w:tcPr>
            <w:tcW w:w="7200" w:type="dxa"/>
            <w:tcBorders>
              <w:bottom w:val="single" w:sz="4" w:space="0" w:color="auto"/>
            </w:tcBorders>
          </w:tcPr>
          <w:p w14:paraId="69478665" w14:textId="617A2E17" w:rsidR="00321BBC" w:rsidRPr="000B51DA" w:rsidRDefault="00321BBC" w:rsidP="00052C53">
            <w:pPr>
              <w:pStyle w:val="NormalWeb"/>
              <w:spacing w:before="0" w:beforeAutospacing="0" w:after="0" w:afterAutospacing="0"/>
            </w:pPr>
            <w:r>
              <w:t>2020.</w:t>
            </w:r>
            <w:r w:rsidR="00052C53">
              <w:t>gada 16.marta elektroniskā saskaņošana</w:t>
            </w:r>
          </w:p>
        </w:tc>
      </w:tr>
      <w:tr w:rsidR="00321BBC" w:rsidRPr="000B51DA" w14:paraId="69478669" w14:textId="77777777" w:rsidTr="00FC17A1">
        <w:tc>
          <w:tcPr>
            <w:tcW w:w="6708" w:type="dxa"/>
          </w:tcPr>
          <w:p w14:paraId="69478667" w14:textId="77777777" w:rsidR="00321BBC" w:rsidRPr="000B51DA" w:rsidRDefault="00321BBC" w:rsidP="00FC17A1">
            <w:pPr>
              <w:pStyle w:val="naisf"/>
              <w:spacing w:before="0" w:after="0"/>
              <w:ind w:firstLine="0"/>
            </w:pPr>
          </w:p>
        </w:tc>
        <w:tc>
          <w:tcPr>
            <w:tcW w:w="7200" w:type="dxa"/>
            <w:tcBorders>
              <w:top w:val="single" w:sz="4" w:space="0" w:color="auto"/>
            </w:tcBorders>
          </w:tcPr>
          <w:p w14:paraId="69478668" w14:textId="77777777" w:rsidR="00321BBC" w:rsidRPr="000B51DA" w:rsidRDefault="00321BBC" w:rsidP="00FC17A1">
            <w:pPr>
              <w:pStyle w:val="NormalWeb"/>
              <w:spacing w:before="0" w:beforeAutospacing="0" w:after="0" w:afterAutospacing="0"/>
              <w:ind w:firstLine="720"/>
            </w:pPr>
          </w:p>
        </w:tc>
      </w:tr>
      <w:tr w:rsidR="00321BBC" w:rsidRPr="000B51DA" w14:paraId="6947866C" w14:textId="77777777" w:rsidTr="00FC17A1">
        <w:tc>
          <w:tcPr>
            <w:tcW w:w="6708" w:type="dxa"/>
          </w:tcPr>
          <w:p w14:paraId="6947866A" w14:textId="77777777" w:rsidR="00321BBC" w:rsidRPr="000B51DA" w:rsidRDefault="00321BBC" w:rsidP="00FC17A1">
            <w:pPr>
              <w:pStyle w:val="naiskr"/>
              <w:spacing w:before="0" w:after="0"/>
            </w:pPr>
            <w:r w:rsidRPr="000B51DA">
              <w:t>Saskaņošanas dalībnieki</w:t>
            </w:r>
          </w:p>
        </w:tc>
        <w:tc>
          <w:tcPr>
            <w:tcW w:w="7200" w:type="dxa"/>
          </w:tcPr>
          <w:p w14:paraId="6947866B" w14:textId="77777777" w:rsidR="00321BBC" w:rsidRPr="000B51DA" w:rsidRDefault="00321BBC" w:rsidP="00321BBC">
            <w:pPr>
              <w:pStyle w:val="naiskr"/>
              <w:spacing w:before="0" w:after="0"/>
              <w:ind w:firstLine="12"/>
              <w:jc w:val="both"/>
            </w:pPr>
            <w:r>
              <w:t>Tieslietu ministrija, Finanšu ministrija, Ekonomikas ministrija, Latvijas Pašvaldību savienība un Sabiedrisko pakalpojumu regulēšanas komisija</w:t>
            </w:r>
          </w:p>
        </w:tc>
      </w:tr>
      <w:tr w:rsidR="00321BBC" w:rsidRPr="000B51DA" w14:paraId="6947866F" w14:textId="77777777" w:rsidTr="00FC17A1">
        <w:trPr>
          <w:trHeight w:val="285"/>
        </w:trPr>
        <w:tc>
          <w:tcPr>
            <w:tcW w:w="6708" w:type="dxa"/>
          </w:tcPr>
          <w:p w14:paraId="6947866D" w14:textId="77777777" w:rsidR="00321BBC" w:rsidRPr="000B51DA" w:rsidRDefault="00321BBC" w:rsidP="00FC17A1">
            <w:pPr>
              <w:pStyle w:val="naiskr"/>
              <w:spacing w:before="0" w:after="0"/>
            </w:pPr>
          </w:p>
        </w:tc>
        <w:tc>
          <w:tcPr>
            <w:tcW w:w="7200" w:type="dxa"/>
          </w:tcPr>
          <w:p w14:paraId="6947866E" w14:textId="77777777" w:rsidR="00321BBC" w:rsidRPr="000B51DA" w:rsidRDefault="00321BBC" w:rsidP="00FC17A1">
            <w:pPr>
              <w:pStyle w:val="naiskr"/>
              <w:spacing w:before="0" w:after="0"/>
              <w:ind w:firstLine="12"/>
              <w:jc w:val="both"/>
            </w:pPr>
          </w:p>
        </w:tc>
      </w:tr>
      <w:tr w:rsidR="00321BBC" w:rsidRPr="000B51DA" w14:paraId="69478672" w14:textId="77777777" w:rsidTr="00FC17A1">
        <w:trPr>
          <w:trHeight w:val="285"/>
        </w:trPr>
        <w:tc>
          <w:tcPr>
            <w:tcW w:w="6708" w:type="dxa"/>
          </w:tcPr>
          <w:p w14:paraId="69478670" w14:textId="77777777" w:rsidR="00321BBC" w:rsidRPr="000B51DA" w:rsidRDefault="00321BBC" w:rsidP="00FC17A1">
            <w:pPr>
              <w:pStyle w:val="naiskr"/>
              <w:spacing w:before="0" w:after="0"/>
              <w:jc w:val="both"/>
            </w:pPr>
            <w:r w:rsidRPr="000B51DA">
              <w:t>Saskaņošanas dalībnieki izskatīja šādu ministriju (citu institūciju) iebildumus</w:t>
            </w:r>
          </w:p>
        </w:tc>
        <w:tc>
          <w:tcPr>
            <w:tcW w:w="7200" w:type="dxa"/>
          </w:tcPr>
          <w:p w14:paraId="69478671" w14:textId="77777777" w:rsidR="00321BBC" w:rsidRPr="000B51DA" w:rsidRDefault="006B23E9" w:rsidP="00321BBC">
            <w:pPr>
              <w:pStyle w:val="naiskr"/>
              <w:spacing w:before="0" w:after="0"/>
              <w:ind w:firstLine="12"/>
              <w:jc w:val="both"/>
            </w:pPr>
            <w:r>
              <w:t>Tieslietu ministrija</w:t>
            </w:r>
          </w:p>
        </w:tc>
      </w:tr>
      <w:tr w:rsidR="00321BBC" w:rsidRPr="000B51DA" w14:paraId="69478676" w14:textId="77777777" w:rsidTr="00FC17A1">
        <w:trPr>
          <w:trHeight w:val="465"/>
        </w:trPr>
        <w:tc>
          <w:tcPr>
            <w:tcW w:w="6708" w:type="dxa"/>
          </w:tcPr>
          <w:p w14:paraId="69478673" w14:textId="77777777" w:rsidR="00321BBC" w:rsidRPr="000B51DA" w:rsidRDefault="00321BBC" w:rsidP="00FC17A1">
            <w:pPr>
              <w:pStyle w:val="naiskr"/>
              <w:spacing w:before="0" w:after="0"/>
              <w:jc w:val="both"/>
            </w:pPr>
          </w:p>
        </w:tc>
        <w:tc>
          <w:tcPr>
            <w:tcW w:w="7200" w:type="dxa"/>
            <w:tcBorders>
              <w:top w:val="single" w:sz="6" w:space="0" w:color="000000"/>
              <w:bottom w:val="single" w:sz="6" w:space="0" w:color="000000"/>
            </w:tcBorders>
          </w:tcPr>
          <w:p w14:paraId="69478674" w14:textId="77777777" w:rsidR="00321BBC" w:rsidRDefault="00321BBC" w:rsidP="00FC17A1">
            <w:pPr>
              <w:pStyle w:val="NormalWeb"/>
              <w:spacing w:before="0" w:beforeAutospacing="0" w:after="0" w:afterAutospacing="0"/>
              <w:jc w:val="both"/>
            </w:pPr>
          </w:p>
          <w:p w14:paraId="69478675" w14:textId="77777777" w:rsidR="00321BBC" w:rsidRPr="000B51DA" w:rsidRDefault="00321BBC" w:rsidP="00FC17A1">
            <w:pPr>
              <w:pStyle w:val="NormalWeb"/>
              <w:spacing w:before="0" w:beforeAutospacing="0" w:after="0" w:afterAutospacing="0"/>
              <w:jc w:val="both"/>
            </w:pPr>
          </w:p>
        </w:tc>
      </w:tr>
      <w:tr w:rsidR="00321BBC" w:rsidRPr="000B51DA" w14:paraId="69478678" w14:textId="77777777" w:rsidTr="00FC17A1">
        <w:trPr>
          <w:gridAfter w:val="1"/>
          <w:wAfter w:w="7200" w:type="dxa"/>
        </w:trPr>
        <w:tc>
          <w:tcPr>
            <w:tcW w:w="6708" w:type="dxa"/>
          </w:tcPr>
          <w:p w14:paraId="69478677" w14:textId="77777777" w:rsidR="00321BBC" w:rsidRPr="000B51DA" w:rsidRDefault="00321BBC" w:rsidP="00FC17A1">
            <w:pPr>
              <w:pStyle w:val="naiskr"/>
              <w:spacing w:before="0" w:after="0"/>
              <w:jc w:val="both"/>
            </w:pPr>
            <w:r w:rsidRPr="000B51DA">
              <w:t>Ministrijas (citas institūcijas), kuras nav ieradušās uz sanāksmi vai kuras nav atbildējušas uz uzaicinājumu piedalīties elektroniskajā saskaņošanā</w:t>
            </w:r>
            <w:bookmarkStart w:id="0" w:name="_GoBack"/>
            <w:bookmarkEnd w:id="0"/>
          </w:p>
        </w:tc>
      </w:tr>
    </w:tbl>
    <w:p w14:paraId="69478679" w14:textId="77777777" w:rsidR="00321BBC" w:rsidRDefault="00321BBC" w:rsidP="00321BBC">
      <w:pPr>
        <w:pStyle w:val="naisf"/>
        <w:spacing w:before="0" w:after="0"/>
        <w:ind w:firstLine="0"/>
        <w:outlineLvl w:val="0"/>
        <w:rPr>
          <w:b/>
        </w:rPr>
      </w:pPr>
    </w:p>
    <w:p w14:paraId="6947867A" w14:textId="77777777" w:rsidR="00321BBC" w:rsidRDefault="00321BBC" w:rsidP="00321BBC">
      <w:pPr>
        <w:pStyle w:val="naisf"/>
        <w:spacing w:before="0" w:after="0"/>
        <w:ind w:firstLine="0"/>
        <w:jc w:val="center"/>
        <w:outlineLvl w:val="0"/>
        <w:rPr>
          <w:b/>
        </w:rPr>
      </w:pPr>
    </w:p>
    <w:p w14:paraId="6947867B" w14:textId="77777777" w:rsidR="00321BBC" w:rsidRPr="000B51DA" w:rsidRDefault="00321BBC" w:rsidP="00321BBC">
      <w:pPr>
        <w:pStyle w:val="naisf"/>
        <w:spacing w:before="0" w:after="0"/>
        <w:ind w:firstLine="0"/>
        <w:jc w:val="center"/>
        <w:outlineLvl w:val="0"/>
        <w:rPr>
          <w:b/>
        </w:rPr>
      </w:pPr>
      <w:r w:rsidRPr="000B51DA">
        <w:rPr>
          <w:b/>
        </w:rPr>
        <w:t>I</w:t>
      </w:r>
      <w:r>
        <w:rPr>
          <w:b/>
        </w:rPr>
        <w:t>I</w:t>
      </w:r>
      <w:r w:rsidRPr="000B51DA">
        <w:rPr>
          <w:b/>
        </w:rPr>
        <w:t>. Jautājumi, par kuriem saskaņošanā vienošanās ir panākta</w:t>
      </w:r>
    </w:p>
    <w:p w14:paraId="6947867C" w14:textId="77777777" w:rsidR="00321BBC" w:rsidRPr="000B51DA" w:rsidRDefault="00321BBC" w:rsidP="00321BBC">
      <w:pPr>
        <w:pStyle w:val="naisf"/>
        <w:spacing w:before="0" w:after="0"/>
        <w:ind w:firstLine="720"/>
      </w:pPr>
    </w:p>
    <w:tbl>
      <w:tblPr>
        <w:tblW w:w="1480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1"/>
        <w:gridCol w:w="2866"/>
        <w:gridCol w:w="3689"/>
        <w:gridCol w:w="3428"/>
        <w:gridCol w:w="4179"/>
      </w:tblGrid>
      <w:tr w:rsidR="00321BBC" w:rsidRPr="000B51DA" w14:paraId="69478682" w14:textId="77777777" w:rsidTr="003E142C">
        <w:tc>
          <w:tcPr>
            <w:tcW w:w="641" w:type="dxa"/>
            <w:tcBorders>
              <w:top w:val="single" w:sz="6" w:space="0" w:color="000000"/>
              <w:left w:val="single" w:sz="6" w:space="0" w:color="000000"/>
              <w:bottom w:val="single" w:sz="6" w:space="0" w:color="000000"/>
              <w:right w:val="single" w:sz="6" w:space="0" w:color="000000"/>
            </w:tcBorders>
          </w:tcPr>
          <w:p w14:paraId="6947867D" w14:textId="77777777" w:rsidR="00321BBC" w:rsidRPr="000B51DA" w:rsidRDefault="00321BBC" w:rsidP="00FC17A1">
            <w:pPr>
              <w:pStyle w:val="naisc"/>
              <w:spacing w:before="0" w:after="0"/>
              <w:jc w:val="both"/>
              <w:rPr>
                <w:b/>
              </w:rPr>
            </w:pPr>
            <w:r w:rsidRPr="000B51DA">
              <w:rPr>
                <w:b/>
              </w:rPr>
              <w:t>Nr. p.k.</w:t>
            </w:r>
          </w:p>
        </w:tc>
        <w:tc>
          <w:tcPr>
            <w:tcW w:w="2866" w:type="dxa"/>
            <w:tcBorders>
              <w:top w:val="single" w:sz="6" w:space="0" w:color="000000"/>
              <w:left w:val="single" w:sz="6" w:space="0" w:color="000000"/>
              <w:bottom w:val="single" w:sz="6" w:space="0" w:color="000000"/>
              <w:right w:val="single" w:sz="6" w:space="0" w:color="000000"/>
            </w:tcBorders>
            <w:vAlign w:val="center"/>
          </w:tcPr>
          <w:p w14:paraId="6947867E" w14:textId="77777777" w:rsidR="00321BBC" w:rsidRPr="000B51DA" w:rsidRDefault="00321BBC" w:rsidP="00FC17A1">
            <w:pPr>
              <w:pStyle w:val="naisc"/>
              <w:spacing w:before="0" w:after="0"/>
              <w:ind w:firstLine="12"/>
              <w:jc w:val="both"/>
              <w:rPr>
                <w:b/>
              </w:rPr>
            </w:pPr>
            <w:r w:rsidRPr="000B51DA">
              <w:rPr>
                <w:b/>
              </w:rPr>
              <w:t>Saskaņošanai nosūtītā projekta redakcija (konkrēta punkta redakcija)</w:t>
            </w:r>
          </w:p>
        </w:tc>
        <w:tc>
          <w:tcPr>
            <w:tcW w:w="3689" w:type="dxa"/>
            <w:tcBorders>
              <w:top w:val="single" w:sz="6" w:space="0" w:color="000000"/>
              <w:left w:val="single" w:sz="6" w:space="0" w:color="000000"/>
              <w:bottom w:val="single" w:sz="6" w:space="0" w:color="000000"/>
              <w:right w:val="single" w:sz="6" w:space="0" w:color="000000"/>
            </w:tcBorders>
            <w:vAlign w:val="center"/>
          </w:tcPr>
          <w:p w14:paraId="6947867F" w14:textId="77777777" w:rsidR="00321BBC" w:rsidRPr="000B51DA" w:rsidRDefault="00321BBC" w:rsidP="00FC17A1">
            <w:pPr>
              <w:pStyle w:val="naisc"/>
              <w:spacing w:before="0" w:after="0"/>
              <w:ind w:right="3"/>
              <w:jc w:val="both"/>
              <w:rPr>
                <w:b/>
              </w:rPr>
            </w:pPr>
            <w:r w:rsidRPr="000B51DA">
              <w:rPr>
                <w:b/>
              </w:rPr>
              <w:t xml:space="preserve">Atzinumā norādītais ministrijas (citas institūcijas) iebildums, kā arī saskaņošanā papildus izteiktais iebildums par projekta konkrēto punktu </w:t>
            </w:r>
          </w:p>
        </w:tc>
        <w:tc>
          <w:tcPr>
            <w:tcW w:w="3428" w:type="dxa"/>
            <w:tcBorders>
              <w:top w:val="single" w:sz="6" w:space="0" w:color="000000"/>
              <w:left w:val="single" w:sz="6" w:space="0" w:color="000000"/>
              <w:bottom w:val="single" w:sz="6" w:space="0" w:color="000000"/>
              <w:right w:val="single" w:sz="6" w:space="0" w:color="000000"/>
            </w:tcBorders>
            <w:vAlign w:val="center"/>
          </w:tcPr>
          <w:p w14:paraId="69478680" w14:textId="77777777" w:rsidR="00321BBC" w:rsidRPr="000B51DA" w:rsidRDefault="00321BBC" w:rsidP="00FC17A1">
            <w:pPr>
              <w:pStyle w:val="naisc"/>
              <w:spacing w:before="0" w:after="0"/>
              <w:ind w:firstLine="21"/>
              <w:jc w:val="both"/>
              <w:rPr>
                <w:b/>
              </w:rPr>
            </w:pPr>
            <w:r w:rsidRPr="000B51DA">
              <w:rPr>
                <w:b/>
              </w:rPr>
              <w:t>Atbildīgās ministrijas norāde par to, ka iebildums ir ņemts vērā, vai informācija par saskaņošanā panākto alternatīvo risinājumu</w:t>
            </w:r>
          </w:p>
        </w:tc>
        <w:tc>
          <w:tcPr>
            <w:tcW w:w="4179" w:type="dxa"/>
            <w:tcBorders>
              <w:top w:val="single" w:sz="4" w:space="0" w:color="auto"/>
              <w:left w:val="single" w:sz="4" w:space="0" w:color="auto"/>
              <w:bottom w:val="single" w:sz="4" w:space="0" w:color="auto"/>
            </w:tcBorders>
            <w:vAlign w:val="center"/>
          </w:tcPr>
          <w:p w14:paraId="69478681" w14:textId="77777777" w:rsidR="00321BBC" w:rsidRPr="000B51DA" w:rsidRDefault="00321BBC" w:rsidP="00FC17A1">
            <w:pPr>
              <w:jc w:val="both"/>
              <w:rPr>
                <w:b/>
              </w:rPr>
            </w:pPr>
            <w:r w:rsidRPr="000B51DA">
              <w:rPr>
                <w:b/>
              </w:rPr>
              <w:t>Projekta attiecīgā punkta galīgā redakcija</w:t>
            </w:r>
          </w:p>
        </w:tc>
      </w:tr>
      <w:tr w:rsidR="00321BBC" w:rsidRPr="000B51DA" w14:paraId="6947868D" w14:textId="77777777" w:rsidTr="003E142C">
        <w:tc>
          <w:tcPr>
            <w:tcW w:w="641" w:type="dxa"/>
            <w:tcBorders>
              <w:top w:val="single" w:sz="6" w:space="0" w:color="000000"/>
              <w:left w:val="single" w:sz="6" w:space="0" w:color="000000"/>
              <w:bottom w:val="single" w:sz="6" w:space="0" w:color="000000"/>
              <w:right w:val="single" w:sz="6" w:space="0" w:color="000000"/>
            </w:tcBorders>
          </w:tcPr>
          <w:p w14:paraId="69478683" w14:textId="77777777" w:rsidR="00321BBC" w:rsidRPr="000B51DA" w:rsidRDefault="00004CE9" w:rsidP="00FC17A1">
            <w:pPr>
              <w:pStyle w:val="naisc"/>
              <w:spacing w:before="0" w:after="0"/>
              <w:jc w:val="both"/>
              <w:rPr>
                <w:b/>
              </w:rPr>
            </w:pPr>
            <w:r>
              <w:rPr>
                <w:b/>
              </w:rPr>
              <w:t>1.</w:t>
            </w:r>
          </w:p>
        </w:tc>
        <w:tc>
          <w:tcPr>
            <w:tcW w:w="2866" w:type="dxa"/>
            <w:tcBorders>
              <w:top w:val="single" w:sz="6" w:space="0" w:color="000000"/>
              <w:left w:val="single" w:sz="6" w:space="0" w:color="000000"/>
              <w:bottom w:val="single" w:sz="6" w:space="0" w:color="000000"/>
              <w:right w:val="single" w:sz="6" w:space="0" w:color="000000"/>
            </w:tcBorders>
          </w:tcPr>
          <w:p w14:paraId="69478684" w14:textId="77777777" w:rsidR="00321BBC" w:rsidRPr="00321BBC" w:rsidRDefault="00321BBC" w:rsidP="00321BBC">
            <w:r w:rsidRPr="00321BBC">
              <w:t>3. Papildināt noteikumus ar noslēguma jautājumu šādā redakcijā:</w:t>
            </w:r>
          </w:p>
          <w:p w14:paraId="69478685" w14:textId="77777777" w:rsidR="00321BBC" w:rsidRPr="00321BBC" w:rsidRDefault="00321BBC" w:rsidP="00321BBC"/>
          <w:p w14:paraId="69478686" w14:textId="77777777" w:rsidR="00321BBC" w:rsidRPr="00321BBC" w:rsidRDefault="00321BBC" w:rsidP="00321BBC">
            <w:pPr>
              <w:pStyle w:val="naisc"/>
              <w:spacing w:before="0" w:after="0"/>
              <w:ind w:firstLine="12"/>
              <w:jc w:val="left"/>
              <w:rPr>
                <w:b/>
              </w:rPr>
            </w:pPr>
            <w:r w:rsidRPr="00321BBC">
              <w:t>“5. Bauskas novadā savāktos sadzīves atkritumus līdz 2021.gada 1.jūlijam nogādā apglabāšanai sadzīves atkritumu poligonā “Getliņi””.</w:t>
            </w:r>
          </w:p>
        </w:tc>
        <w:tc>
          <w:tcPr>
            <w:tcW w:w="3689" w:type="dxa"/>
            <w:tcBorders>
              <w:top w:val="single" w:sz="6" w:space="0" w:color="000000"/>
              <w:left w:val="single" w:sz="6" w:space="0" w:color="000000"/>
              <w:bottom w:val="single" w:sz="6" w:space="0" w:color="000000"/>
              <w:right w:val="single" w:sz="6" w:space="0" w:color="000000"/>
            </w:tcBorders>
            <w:vAlign w:val="center"/>
          </w:tcPr>
          <w:p w14:paraId="69478687" w14:textId="77777777" w:rsidR="00321BBC" w:rsidRDefault="00321BBC" w:rsidP="00FC17A1">
            <w:pPr>
              <w:pStyle w:val="naisc"/>
              <w:spacing w:before="0" w:after="0"/>
              <w:ind w:right="3"/>
              <w:jc w:val="both"/>
              <w:rPr>
                <w:b/>
              </w:rPr>
            </w:pPr>
            <w:r>
              <w:rPr>
                <w:b/>
              </w:rPr>
              <w:t>Tieslietu ministrija:</w:t>
            </w:r>
          </w:p>
          <w:p w14:paraId="69478688" w14:textId="77777777" w:rsidR="00321BBC" w:rsidRPr="000B51DA" w:rsidRDefault="00321BBC" w:rsidP="00FC17A1">
            <w:pPr>
              <w:pStyle w:val="naisc"/>
              <w:spacing w:before="0" w:after="0"/>
              <w:ind w:right="3"/>
              <w:jc w:val="both"/>
              <w:rPr>
                <w:b/>
              </w:rPr>
            </w:pPr>
            <w:r>
              <w:t>Atkritumu apsaimniekošanas likuma 21. panta pirmā daļa paredz, ka t</w:t>
            </w:r>
            <w:r w:rsidRPr="00143E2C">
              <w:t>o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w:t>
            </w:r>
            <w:r>
              <w:t xml:space="preserve"> No minētā izriet, ka Bauskas novadā radītos sadzīves atkritumus, ja Bauskas novads tiek iekļauts Pierīgas atkritumu apsaimniekošanas reģionā, var apglabāt tikai Pierīgas atkritumu apsaimniekošanas reģiona sadzīves atkritumu poligonā "Getliņi". Ņemot vērā minēto, projekta 3. punktā ietvertais Ministru </w:t>
            </w:r>
            <w:r>
              <w:lastRenderedPageBreak/>
              <w:t>kabineta 2013. gada 25. jūnija noteikumu Nr. 337 "Noteikumi par atkritumu apsaimniekošanas reģioniem" (turpmāk – noteikumi) 5. punkts noteic to, kas jau izriet no Atkritumu apsaimniekošanas likuma 21. panta pirmās daļas. Vienlaikus norādām, ka nav pamatots projekta 3. punktā ietvertajā noteikumu 5. punktā noteiktais termiņš. Projekta sākotnējās ietekmes novērtējuma ziņojumā norādīts, ka projekta 3. punktā ietvertais termiņš saistīts ar administratīvi teritoriālo reformu. Vēršam uzmanību, ka administratīvi teritoriālās reformas kontekstā būs nepieciešams pārskatīt visu noteikumos ietverto atkritumu apsaimniekošanas reģionu sadalījumu, līdz ar to nav pamata noteikt termiņu attiecībā uz Bauskas novadā radīto sadzīves atkritumu apglabāšanu. Ņemot vērā minēto, lūdzam svītrot projekta 3. punktu.</w:t>
            </w:r>
          </w:p>
        </w:tc>
        <w:tc>
          <w:tcPr>
            <w:tcW w:w="3428" w:type="dxa"/>
            <w:tcBorders>
              <w:top w:val="single" w:sz="6" w:space="0" w:color="000000"/>
              <w:left w:val="single" w:sz="6" w:space="0" w:color="000000"/>
              <w:bottom w:val="single" w:sz="6" w:space="0" w:color="000000"/>
              <w:right w:val="single" w:sz="6" w:space="0" w:color="000000"/>
            </w:tcBorders>
          </w:tcPr>
          <w:p w14:paraId="69478689" w14:textId="77777777" w:rsidR="00321BBC" w:rsidRPr="000B51DA" w:rsidRDefault="00321BBC" w:rsidP="00321BBC">
            <w:pPr>
              <w:pStyle w:val="naisc"/>
              <w:spacing w:before="0" w:after="0"/>
              <w:ind w:firstLine="21"/>
              <w:jc w:val="left"/>
              <w:rPr>
                <w:b/>
              </w:rPr>
            </w:pPr>
            <w:r>
              <w:rPr>
                <w:b/>
              </w:rPr>
              <w:lastRenderedPageBreak/>
              <w:t xml:space="preserve">Iebildums ir ņemts vērā. </w:t>
            </w:r>
          </w:p>
        </w:tc>
        <w:tc>
          <w:tcPr>
            <w:tcW w:w="4179" w:type="dxa"/>
            <w:tcBorders>
              <w:top w:val="single" w:sz="4" w:space="0" w:color="auto"/>
              <w:left w:val="single" w:sz="4" w:space="0" w:color="auto"/>
              <w:bottom w:val="single" w:sz="4" w:space="0" w:color="auto"/>
            </w:tcBorders>
          </w:tcPr>
          <w:p w14:paraId="6947868A" w14:textId="77777777" w:rsidR="00321BBC" w:rsidRDefault="00321BBC" w:rsidP="00321BBC">
            <w:pPr>
              <w:rPr>
                <w:b/>
              </w:rPr>
            </w:pPr>
            <w:r>
              <w:rPr>
                <w:b/>
              </w:rPr>
              <w:t xml:space="preserve">Noteikumu projekta 3.punkts svītrots. </w:t>
            </w:r>
          </w:p>
          <w:p w14:paraId="6947868B" w14:textId="77777777" w:rsidR="006B2EAF" w:rsidRDefault="006B2EAF" w:rsidP="00321BBC">
            <w:pPr>
              <w:rPr>
                <w:b/>
              </w:rPr>
            </w:pPr>
          </w:p>
          <w:p w14:paraId="6947868C" w14:textId="77777777" w:rsidR="006B2EAF" w:rsidRPr="000B51DA" w:rsidRDefault="006B2EAF" w:rsidP="00321BBC">
            <w:pPr>
              <w:rPr>
                <w:b/>
              </w:rPr>
            </w:pPr>
            <w:r>
              <w:rPr>
                <w:b/>
              </w:rPr>
              <w:t xml:space="preserve">Precizēts noteikumu projekta anotācijas I sadaļas 2.punkts. </w:t>
            </w:r>
          </w:p>
        </w:tc>
      </w:tr>
    </w:tbl>
    <w:p w14:paraId="6947868E" w14:textId="77777777" w:rsidR="003E142C" w:rsidRDefault="003E142C"/>
    <w:p w14:paraId="6947868F" w14:textId="77777777" w:rsidR="0059243D" w:rsidRDefault="003E142C">
      <w:r>
        <w:t>Atbildīgā amatpersona</w:t>
      </w:r>
      <w:r>
        <w:tab/>
      </w:r>
      <w:r>
        <w:tab/>
      </w:r>
      <w:r>
        <w:tab/>
      </w:r>
      <w:r>
        <w:tab/>
      </w:r>
      <w:r>
        <w:tab/>
      </w:r>
      <w:r>
        <w:tab/>
        <w:t>Ilze Doniņa</w:t>
      </w:r>
    </w:p>
    <w:sectPr w:rsidR="0059243D" w:rsidSect="003E142C">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0F37" w14:textId="77777777" w:rsidR="00052C53" w:rsidRDefault="00052C53" w:rsidP="003E142C">
      <w:r>
        <w:separator/>
      </w:r>
    </w:p>
  </w:endnote>
  <w:endnote w:type="continuationSeparator" w:id="0">
    <w:p w14:paraId="1F015E92" w14:textId="77777777" w:rsidR="00052C53" w:rsidRDefault="00052C53" w:rsidP="003E142C">
      <w:r>
        <w:continuationSeparator/>
      </w:r>
    </w:p>
  </w:endnote>
  <w:endnote w:type="continuationNotice" w:id="1">
    <w:p w14:paraId="16C1F8E0" w14:textId="77777777" w:rsidR="00052C53" w:rsidRDefault="0005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8696" w14:textId="77777777" w:rsidR="00052C53" w:rsidRDefault="00052C53">
    <w:pPr>
      <w:pStyle w:val="Footer"/>
    </w:pPr>
    <w:r>
      <w:t>VARAMIzz_100320_grozAAR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8697" w14:textId="77777777" w:rsidR="00052C53" w:rsidRDefault="00052C53">
    <w:pPr>
      <w:pStyle w:val="Footer"/>
    </w:pPr>
    <w:r>
      <w:t>VARAMIzz_100320_grozAAR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7C5B" w14:textId="77777777" w:rsidR="00052C53" w:rsidRDefault="00052C53" w:rsidP="003E142C">
      <w:r>
        <w:separator/>
      </w:r>
    </w:p>
  </w:footnote>
  <w:footnote w:type="continuationSeparator" w:id="0">
    <w:p w14:paraId="6EBD2553" w14:textId="77777777" w:rsidR="00052C53" w:rsidRDefault="00052C53" w:rsidP="003E142C">
      <w:r>
        <w:continuationSeparator/>
      </w:r>
    </w:p>
  </w:footnote>
  <w:footnote w:type="continuationNotice" w:id="1">
    <w:p w14:paraId="6C666AD2" w14:textId="77777777" w:rsidR="00052C53" w:rsidRDefault="00052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629717"/>
      <w:docPartObj>
        <w:docPartGallery w:val="Page Numbers (Top of Page)"/>
        <w:docPartUnique/>
      </w:docPartObj>
    </w:sdtPr>
    <w:sdtEndPr>
      <w:rPr>
        <w:noProof/>
      </w:rPr>
    </w:sdtEndPr>
    <w:sdtContent>
      <w:p w14:paraId="69478694" w14:textId="77777777" w:rsidR="00052C53" w:rsidRDefault="00052C5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478695" w14:textId="77777777" w:rsidR="00052C53" w:rsidRDefault="00052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BC"/>
    <w:rsid w:val="00004CE9"/>
    <w:rsid w:val="00052C53"/>
    <w:rsid w:val="000C0D60"/>
    <w:rsid w:val="00321BBC"/>
    <w:rsid w:val="003825BD"/>
    <w:rsid w:val="003E142C"/>
    <w:rsid w:val="004A3B5C"/>
    <w:rsid w:val="0057444A"/>
    <w:rsid w:val="0059243D"/>
    <w:rsid w:val="006B23E9"/>
    <w:rsid w:val="006B2EAF"/>
    <w:rsid w:val="0072725A"/>
    <w:rsid w:val="008F09EF"/>
    <w:rsid w:val="009C593D"/>
    <w:rsid w:val="00AD520E"/>
    <w:rsid w:val="00ED130D"/>
    <w:rsid w:val="00FC1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864D"/>
  <w15:chartTrackingRefBased/>
  <w15:docId w15:val="{EF93EBEC-9429-4522-9EA0-335D26CA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BB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1BBC"/>
    <w:pPr>
      <w:spacing w:before="100" w:beforeAutospacing="1" w:after="100" w:afterAutospacing="1"/>
    </w:pPr>
  </w:style>
  <w:style w:type="paragraph" w:customStyle="1" w:styleId="naisf">
    <w:name w:val="naisf"/>
    <w:basedOn w:val="Normal"/>
    <w:rsid w:val="00321BBC"/>
    <w:pPr>
      <w:spacing w:before="75" w:after="75"/>
      <w:ind w:firstLine="375"/>
      <w:jc w:val="both"/>
    </w:pPr>
  </w:style>
  <w:style w:type="paragraph" w:customStyle="1" w:styleId="naiskr">
    <w:name w:val="naiskr"/>
    <w:basedOn w:val="Normal"/>
    <w:rsid w:val="00321BBC"/>
    <w:pPr>
      <w:spacing w:before="75" w:after="75"/>
    </w:pPr>
  </w:style>
  <w:style w:type="paragraph" w:customStyle="1" w:styleId="naisc">
    <w:name w:val="naisc"/>
    <w:basedOn w:val="Normal"/>
    <w:rsid w:val="00321BBC"/>
    <w:pPr>
      <w:spacing w:before="75" w:after="75"/>
      <w:jc w:val="center"/>
    </w:pPr>
  </w:style>
  <w:style w:type="paragraph" w:customStyle="1" w:styleId="tvhtml">
    <w:name w:val="tv_html"/>
    <w:basedOn w:val="Normal"/>
    <w:rsid w:val="00321BBC"/>
    <w:pPr>
      <w:spacing w:before="100" w:beforeAutospacing="1" w:after="100" w:afterAutospacing="1"/>
    </w:pPr>
  </w:style>
  <w:style w:type="paragraph" w:styleId="Header">
    <w:name w:val="header"/>
    <w:basedOn w:val="Normal"/>
    <w:link w:val="HeaderChar"/>
    <w:uiPriority w:val="99"/>
    <w:unhideWhenUsed/>
    <w:rsid w:val="003E142C"/>
    <w:pPr>
      <w:tabs>
        <w:tab w:val="center" w:pos="4153"/>
        <w:tab w:val="right" w:pos="8306"/>
      </w:tabs>
    </w:pPr>
  </w:style>
  <w:style w:type="character" w:customStyle="1" w:styleId="HeaderChar">
    <w:name w:val="Header Char"/>
    <w:basedOn w:val="DefaultParagraphFont"/>
    <w:link w:val="Header"/>
    <w:uiPriority w:val="99"/>
    <w:rsid w:val="003E142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142C"/>
    <w:pPr>
      <w:tabs>
        <w:tab w:val="center" w:pos="4153"/>
        <w:tab w:val="right" w:pos="8306"/>
      </w:tabs>
    </w:pPr>
  </w:style>
  <w:style w:type="character" w:customStyle="1" w:styleId="FooterChar">
    <w:name w:val="Footer Char"/>
    <w:basedOn w:val="DefaultParagraphFont"/>
    <w:link w:val="Footer"/>
    <w:uiPriority w:val="99"/>
    <w:rsid w:val="003E142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2289</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projektu“Grozījumi Ministru kabineta 2013. gada 25. jūnija noteikumos Nr. 337 “Noteikumi par atkritumu apsaimniekošanas reģioniem””(VSS-179)</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projektu“Grozījumi Ministru kabineta 2013. gada 25. jūnija noteikumos Nr. 337 “Noteikumi par atkritumu apsaimniekošanas reģioniem””(VSS-179)</dc:title>
  <dc:subject>Izziņa</dc:subject>
  <dc:creator>Ilze Doniņa</dc:creator>
  <cp:keywords/>
  <dc:description>ilze.donina@varam.gov.lv; 
67026515</dc:description>
  <cp:lastModifiedBy>Madara Gaile</cp:lastModifiedBy>
  <cp:revision>6</cp:revision>
  <dcterms:created xsi:type="dcterms:W3CDTF">2020-03-19T10:53:00Z</dcterms:created>
  <dcterms:modified xsi:type="dcterms:W3CDTF">2020-03-19T12:39:00Z</dcterms:modified>
</cp:coreProperties>
</file>