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E97EC" w14:textId="77777777" w:rsidR="003C6FC4" w:rsidRDefault="003C6FC4" w:rsidP="003C6FC4">
      <w:pPr>
        <w:jc w:val="center"/>
        <w:rPr>
          <w:rFonts w:ascii="Times New Roman" w:hAnsi="Times New Roman"/>
          <w:sz w:val="28"/>
          <w:szCs w:val="28"/>
        </w:rPr>
      </w:pPr>
      <w:bookmarkStart w:id="0" w:name="_GoBack"/>
      <w:bookmarkEnd w:id="0"/>
      <w:r>
        <w:rPr>
          <w:rFonts w:ascii="Times New Roman" w:hAnsi="Times New Roman"/>
          <w:sz w:val="28"/>
          <w:szCs w:val="28"/>
        </w:rPr>
        <w:t>LATVIJAS REPUBLIKAS MINISTRU KABINETS</w:t>
      </w:r>
    </w:p>
    <w:p w14:paraId="42070FE0" w14:textId="77777777" w:rsidR="003C6FC4" w:rsidRDefault="003C6FC4" w:rsidP="003C6FC4">
      <w:pPr>
        <w:pStyle w:val="naislab"/>
        <w:spacing w:before="0" w:beforeAutospacing="0" w:after="0" w:afterAutospacing="0"/>
        <w:jc w:val="left"/>
        <w:rPr>
          <w:sz w:val="28"/>
          <w:szCs w:val="28"/>
          <w:lang w:val="lv-LV"/>
        </w:rPr>
      </w:pPr>
      <w:r>
        <w:rPr>
          <w:sz w:val="28"/>
          <w:szCs w:val="28"/>
          <w:lang w:val="lv-LV"/>
        </w:rPr>
        <w:t>2020. gada__________</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Noteikumi Nr._____</w:t>
      </w:r>
    </w:p>
    <w:p w14:paraId="23F8E7BB" w14:textId="77777777" w:rsidR="003C6FC4" w:rsidRDefault="003C6FC4" w:rsidP="003C6FC4">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(prot. Nr.              )</w:t>
      </w:r>
    </w:p>
    <w:p w14:paraId="1EDEC53B" w14:textId="77777777" w:rsidR="003C6FC4" w:rsidRDefault="003C6FC4" w:rsidP="003C6FC4">
      <w:pPr>
        <w:spacing w:after="0" w:line="240" w:lineRule="auto"/>
        <w:jc w:val="both"/>
        <w:rPr>
          <w:rStyle w:val="Strong"/>
          <w:b w:val="0"/>
        </w:rPr>
      </w:pPr>
    </w:p>
    <w:p w14:paraId="6341292B" w14:textId="6BEE1175" w:rsidR="003C6FC4" w:rsidRDefault="003C6FC4" w:rsidP="003C6FC4">
      <w:pPr>
        <w:spacing w:after="0" w:line="240" w:lineRule="auto"/>
        <w:jc w:val="center"/>
        <w:rPr>
          <w:rFonts w:ascii="Times New Roman" w:hAnsi="Times New Roman"/>
          <w:b/>
        </w:rPr>
      </w:pPr>
      <w:r>
        <w:rPr>
          <w:rFonts w:ascii="Times New Roman" w:hAnsi="Times New Roman"/>
          <w:b/>
          <w:sz w:val="28"/>
          <w:szCs w:val="28"/>
        </w:rPr>
        <w:t xml:space="preserve">Grozījumi Ministru kabineta 2013. gada 5. februāra noteikumos Nr. 84 </w:t>
      </w:r>
      <w:r w:rsidR="00BC604C">
        <w:rPr>
          <w:rFonts w:ascii="Times New Roman" w:hAnsi="Times New Roman"/>
          <w:b/>
          <w:sz w:val="28"/>
          <w:szCs w:val="28"/>
        </w:rPr>
        <w:t>“</w:t>
      </w:r>
      <w:r>
        <w:rPr>
          <w:rFonts w:ascii="Times New Roman" w:hAnsi="Times New Roman"/>
          <w:b/>
          <w:sz w:val="28"/>
          <w:szCs w:val="28"/>
        </w:rPr>
        <w:t>Noteikumi par atsevišķu bīstamu ķīmisku vielu lietošanas ierobežojumiem elektriskajās un elektroniskajās iekārtās”</w:t>
      </w:r>
    </w:p>
    <w:p w14:paraId="55D5546D" w14:textId="77777777" w:rsidR="003C6FC4" w:rsidRDefault="003C6FC4" w:rsidP="003C6FC4">
      <w:pPr>
        <w:spacing w:after="0" w:line="240" w:lineRule="auto"/>
        <w:jc w:val="right"/>
        <w:rPr>
          <w:rFonts w:ascii="Times New Roman" w:hAnsi="Times New Roman"/>
          <w:sz w:val="28"/>
          <w:szCs w:val="28"/>
        </w:rPr>
      </w:pPr>
    </w:p>
    <w:p w14:paraId="590F430A" w14:textId="7ECA073F" w:rsidR="003C6FC4" w:rsidRDefault="003C6FC4" w:rsidP="0068480E">
      <w:pPr>
        <w:spacing w:after="0" w:line="240" w:lineRule="auto"/>
        <w:jc w:val="right"/>
        <w:rPr>
          <w:rFonts w:ascii="Times New Roman" w:hAnsi="Times New Roman"/>
          <w:sz w:val="28"/>
          <w:szCs w:val="28"/>
        </w:rPr>
      </w:pPr>
      <w:r>
        <w:rPr>
          <w:rFonts w:ascii="Times New Roman" w:hAnsi="Times New Roman"/>
          <w:sz w:val="28"/>
          <w:szCs w:val="28"/>
        </w:rPr>
        <w:t xml:space="preserve">Izdoti saskaņā ar Ķīmisko vielu likuma 16. panta otro daļu </w:t>
      </w:r>
    </w:p>
    <w:p w14:paraId="41370A06" w14:textId="5A7972F1" w:rsidR="003C6FC4" w:rsidRDefault="004D42A3" w:rsidP="0068480E">
      <w:pPr>
        <w:spacing w:after="0" w:line="240" w:lineRule="auto"/>
        <w:jc w:val="right"/>
        <w:rPr>
          <w:rFonts w:ascii="Times New Roman" w:hAnsi="Times New Roman"/>
          <w:sz w:val="28"/>
          <w:szCs w:val="28"/>
        </w:rPr>
      </w:pPr>
      <w:r>
        <w:rPr>
          <w:rFonts w:ascii="Times New Roman" w:hAnsi="Times New Roman"/>
          <w:sz w:val="28"/>
          <w:szCs w:val="28"/>
        </w:rPr>
        <w:t>u</w:t>
      </w:r>
      <w:r w:rsidR="003C6FC4">
        <w:rPr>
          <w:rFonts w:ascii="Times New Roman" w:hAnsi="Times New Roman"/>
          <w:sz w:val="28"/>
          <w:szCs w:val="28"/>
        </w:rPr>
        <w:t>n</w:t>
      </w:r>
      <w:r w:rsidR="0068480E">
        <w:rPr>
          <w:rFonts w:ascii="Times New Roman" w:hAnsi="Times New Roman"/>
          <w:sz w:val="28"/>
          <w:szCs w:val="28"/>
        </w:rPr>
        <w:t xml:space="preserve"> </w:t>
      </w:r>
      <w:r w:rsidR="003C6FC4">
        <w:rPr>
          <w:rFonts w:ascii="Times New Roman" w:hAnsi="Times New Roman"/>
          <w:sz w:val="28"/>
          <w:szCs w:val="28"/>
        </w:rPr>
        <w:t xml:space="preserve">likuma </w:t>
      </w:r>
      <w:r w:rsidR="00BC604C">
        <w:rPr>
          <w:rFonts w:ascii="Times New Roman" w:hAnsi="Times New Roman"/>
          <w:sz w:val="28"/>
          <w:szCs w:val="28"/>
        </w:rPr>
        <w:t>“</w:t>
      </w:r>
      <w:r w:rsidR="003C6FC4">
        <w:rPr>
          <w:rFonts w:ascii="Times New Roman" w:hAnsi="Times New Roman"/>
          <w:sz w:val="28"/>
          <w:szCs w:val="28"/>
        </w:rPr>
        <w:t>Par atbilstības novērtēšanu”</w:t>
      </w:r>
    </w:p>
    <w:p w14:paraId="7788573A" w14:textId="77777777" w:rsidR="003C6FC4" w:rsidRDefault="003C6FC4" w:rsidP="003C6FC4">
      <w:pPr>
        <w:spacing w:after="0" w:line="240" w:lineRule="auto"/>
        <w:jc w:val="right"/>
        <w:rPr>
          <w:rStyle w:val="Strong"/>
          <w:b w:val="0"/>
          <w:bCs w:val="0"/>
        </w:rPr>
      </w:pPr>
      <w:r>
        <w:rPr>
          <w:rFonts w:ascii="Times New Roman" w:hAnsi="Times New Roman"/>
          <w:sz w:val="28"/>
          <w:szCs w:val="28"/>
        </w:rPr>
        <w:t>7. panta pirmo daļu</w:t>
      </w:r>
    </w:p>
    <w:p w14:paraId="44873E1C" w14:textId="77777777" w:rsidR="003C6FC4" w:rsidRDefault="003C6FC4" w:rsidP="003C6FC4"/>
    <w:p w14:paraId="1366A3B2" w14:textId="05A239C7" w:rsidR="003C6FC4" w:rsidRDefault="003C6FC4" w:rsidP="001F4664">
      <w:pPr>
        <w:spacing w:after="0" w:line="240" w:lineRule="auto"/>
        <w:ind w:firstLine="720"/>
        <w:jc w:val="both"/>
        <w:rPr>
          <w:rFonts w:ascii="Times New Roman" w:hAnsi="Times New Roman"/>
          <w:sz w:val="28"/>
          <w:szCs w:val="28"/>
        </w:rPr>
      </w:pPr>
      <w:r>
        <w:rPr>
          <w:rFonts w:ascii="Times New Roman" w:hAnsi="Times New Roman"/>
          <w:sz w:val="28"/>
          <w:szCs w:val="28"/>
        </w:rPr>
        <w:t xml:space="preserve">Izdarīt Ministru kabineta 2013. gada 5. februāra noteikumos Nr. 84 </w:t>
      </w:r>
      <w:r w:rsidR="00BC604C">
        <w:rPr>
          <w:rFonts w:ascii="Times New Roman" w:hAnsi="Times New Roman"/>
          <w:sz w:val="28"/>
          <w:szCs w:val="28"/>
        </w:rPr>
        <w:t>“</w:t>
      </w:r>
      <w:r>
        <w:rPr>
          <w:rFonts w:ascii="Times New Roman" w:hAnsi="Times New Roman"/>
          <w:sz w:val="28"/>
          <w:szCs w:val="28"/>
        </w:rPr>
        <w:t>Noteikumi par atsevišķu bīstamu ķīmisku vielu lietošanas ierobežojumiem elektriskajās un elektroniskajās iekārtās” (Latvijas Vēstnesis, 20</w:t>
      </w:r>
      <w:r w:rsidR="001F4664">
        <w:rPr>
          <w:rFonts w:ascii="Times New Roman" w:hAnsi="Times New Roman"/>
          <w:sz w:val="28"/>
          <w:szCs w:val="28"/>
        </w:rPr>
        <w:t>13, 47.nr.; 2014, 109.nr.,</w:t>
      </w:r>
      <w:r>
        <w:rPr>
          <w:rFonts w:ascii="Times New Roman" w:hAnsi="Times New Roman"/>
          <w:sz w:val="28"/>
          <w:szCs w:val="28"/>
        </w:rPr>
        <w:t xml:space="preserve"> 210.</w:t>
      </w:r>
      <w:r w:rsidR="001F4664">
        <w:rPr>
          <w:rFonts w:ascii="Times New Roman" w:hAnsi="Times New Roman"/>
          <w:sz w:val="28"/>
          <w:szCs w:val="28"/>
        </w:rPr>
        <w:t>nr.; 2016, 14.nr.; 2017, 56.nr.,</w:t>
      </w:r>
      <w:r>
        <w:rPr>
          <w:rFonts w:ascii="Times New Roman" w:hAnsi="Times New Roman"/>
          <w:sz w:val="28"/>
          <w:szCs w:val="28"/>
        </w:rPr>
        <w:t xml:space="preserve"> 249.</w:t>
      </w:r>
      <w:r w:rsidR="00062C72">
        <w:rPr>
          <w:rFonts w:ascii="Times New Roman" w:hAnsi="Times New Roman"/>
          <w:sz w:val="28"/>
          <w:szCs w:val="28"/>
        </w:rPr>
        <w:t xml:space="preserve">nr.; 2018, 157.nr.; 2019, 7.nr., </w:t>
      </w:r>
      <w:r>
        <w:rPr>
          <w:rFonts w:ascii="Times New Roman" w:hAnsi="Times New Roman"/>
          <w:sz w:val="28"/>
          <w:szCs w:val="28"/>
        </w:rPr>
        <w:t>139.nr</w:t>
      </w:r>
      <w:r w:rsidR="001F4664">
        <w:rPr>
          <w:rFonts w:ascii="Times New Roman" w:hAnsi="Times New Roman"/>
          <w:sz w:val="28"/>
          <w:szCs w:val="28"/>
        </w:rPr>
        <w:t>.</w:t>
      </w:r>
      <w:r>
        <w:rPr>
          <w:rFonts w:ascii="Times New Roman" w:hAnsi="Times New Roman"/>
          <w:sz w:val="28"/>
          <w:szCs w:val="28"/>
        </w:rPr>
        <w:t>) šādus grozījumus:</w:t>
      </w:r>
    </w:p>
    <w:p w14:paraId="63A2B03D" w14:textId="77777777" w:rsidR="003C6FC4" w:rsidRDefault="003C6FC4" w:rsidP="003C6FC4">
      <w:pPr>
        <w:spacing w:after="0" w:line="240" w:lineRule="auto"/>
        <w:ind w:firstLine="720"/>
        <w:jc w:val="both"/>
        <w:rPr>
          <w:rFonts w:ascii="Times New Roman" w:hAnsi="Times New Roman"/>
          <w:sz w:val="28"/>
          <w:szCs w:val="28"/>
        </w:rPr>
      </w:pPr>
    </w:p>
    <w:p w14:paraId="7350066C" w14:textId="77777777" w:rsidR="003C6FC4" w:rsidRPr="003C6FC4" w:rsidRDefault="003C6FC4" w:rsidP="00625CF9">
      <w:pPr>
        <w:spacing w:after="0" w:line="240" w:lineRule="auto"/>
        <w:jc w:val="both"/>
        <w:outlineLvl w:val="2"/>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Pr="003C6FC4">
        <w:rPr>
          <w:rFonts w:ascii="Times New Roman" w:eastAsia="Times New Roman" w:hAnsi="Times New Roman" w:cs="Times New Roman"/>
          <w:bCs/>
          <w:sz w:val="28"/>
          <w:szCs w:val="28"/>
          <w:lang w:eastAsia="lv-LV"/>
        </w:rPr>
        <w:t>Papildināt Informatīvo atsauci uz Eiropas Savienības direktīvām ar 56. punktu šādā redakcijā:</w:t>
      </w:r>
    </w:p>
    <w:p w14:paraId="0FF4ABB1" w14:textId="77777777" w:rsidR="003A70F1" w:rsidRDefault="003A70F1" w:rsidP="003C6FC4">
      <w:pPr>
        <w:spacing w:after="0" w:line="240" w:lineRule="auto"/>
        <w:jc w:val="both"/>
        <w:rPr>
          <w:rFonts w:ascii="Times New Roman" w:hAnsi="Times New Roman"/>
          <w:sz w:val="28"/>
          <w:szCs w:val="28"/>
        </w:rPr>
      </w:pPr>
    </w:p>
    <w:p w14:paraId="60135D83" w14:textId="497B0827" w:rsidR="003C6FC4" w:rsidRDefault="003C6FC4" w:rsidP="003C6FC4">
      <w:pPr>
        <w:spacing w:after="0" w:line="240" w:lineRule="auto"/>
        <w:jc w:val="both"/>
        <w:rPr>
          <w:rStyle w:val="normaltextrun"/>
          <w:rFonts w:ascii="Times New Roman" w:hAnsi="Times New Roman" w:cs="Times New Roman"/>
          <w:sz w:val="28"/>
          <w:szCs w:val="28"/>
          <w:shd w:val="clear" w:color="auto" w:fill="FFFFFF"/>
        </w:rPr>
      </w:pPr>
      <w:r>
        <w:rPr>
          <w:rFonts w:ascii="Times New Roman" w:hAnsi="Times New Roman"/>
          <w:sz w:val="28"/>
          <w:szCs w:val="28"/>
        </w:rPr>
        <w:t xml:space="preserve">“56) </w:t>
      </w:r>
      <w:r w:rsidR="00F51CC2">
        <w:rPr>
          <w:rFonts w:ascii="Times New Roman" w:hAnsi="Times New Roman"/>
          <w:sz w:val="28"/>
          <w:szCs w:val="28"/>
        </w:rPr>
        <w:t xml:space="preserve">Komisijas 2019.gada </w:t>
      </w:r>
      <w:r w:rsidR="00F51CC2" w:rsidRPr="00F51CC2">
        <w:rPr>
          <w:rStyle w:val="normaltextrun"/>
          <w:rFonts w:ascii="Times New Roman" w:hAnsi="Times New Roman" w:cs="Times New Roman"/>
          <w:sz w:val="28"/>
          <w:szCs w:val="28"/>
          <w:shd w:val="clear" w:color="auto" w:fill="FFFFFF"/>
        </w:rPr>
        <w:t xml:space="preserve">8. augusta Deleģētās  direktīvas 2019/1845, ar ko, pielāgojot zinātnes un tehnikas attīstībai, Eiropas Parlamenta un Padomes Direktīvas </w:t>
      </w:r>
      <w:r w:rsidR="00F51CC2" w:rsidRPr="00F51CC2">
        <w:rPr>
          <w:rStyle w:val="findhit"/>
          <w:rFonts w:ascii="Times New Roman" w:hAnsi="Times New Roman" w:cs="Times New Roman"/>
          <w:sz w:val="28"/>
          <w:szCs w:val="28"/>
          <w:shd w:val="clear" w:color="auto" w:fill="FFFFFF"/>
        </w:rPr>
        <w:t>2011/65</w:t>
      </w:r>
      <w:r w:rsidR="00F51CC2" w:rsidRPr="00F51CC2">
        <w:rPr>
          <w:rStyle w:val="normaltextrun"/>
          <w:rFonts w:ascii="Times New Roman" w:hAnsi="Times New Roman" w:cs="Times New Roman"/>
          <w:sz w:val="28"/>
          <w:szCs w:val="28"/>
          <w:shd w:val="clear" w:color="auto" w:fill="FFFFFF"/>
        </w:rPr>
        <w:t xml:space="preserve">/ES III pielikumu groza attiecībā uz atbrīvojumu </w:t>
      </w:r>
      <w:proofErr w:type="spellStart"/>
      <w:r w:rsidR="00F51CC2" w:rsidRPr="00F51CC2">
        <w:rPr>
          <w:rStyle w:val="spellingerror"/>
          <w:rFonts w:ascii="Times New Roman" w:hAnsi="Times New Roman" w:cs="Times New Roman"/>
          <w:sz w:val="28"/>
          <w:szCs w:val="28"/>
          <w:shd w:val="clear" w:color="auto" w:fill="FFFFFF"/>
        </w:rPr>
        <w:t>bis</w:t>
      </w:r>
      <w:proofErr w:type="spellEnd"/>
      <w:r w:rsidR="00F51CC2" w:rsidRPr="00F51CC2">
        <w:rPr>
          <w:rStyle w:val="normaltextrun"/>
          <w:rFonts w:ascii="Times New Roman" w:hAnsi="Times New Roman" w:cs="Times New Roman"/>
          <w:sz w:val="28"/>
          <w:szCs w:val="28"/>
          <w:shd w:val="clear" w:color="auto" w:fill="FFFFFF"/>
        </w:rPr>
        <w:t>(2-etilheksil)</w:t>
      </w:r>
      <w:r w:rsidR="00BC604C">
        <w:rPr>
          <w:rStyle w:val="normaltextrun"/>
          <w:rFonts w:ascii="Times New Roman" w:hAnsi="Times New Roman" w:cs="Times New Roman"/>
          <w:sz w:val="28"/>
          <w:szCs w:val="28"/>
          <w:shd w:val="clear" w:color="auto" w:fill="FFFFFF"/>
        </w:rPr>
        <w:t xml:space="preserve"> </w:t>
      </w:r>
      <w:proofErr w:type="spellStart"/>
      <w:r w:rsidR="00F51CC2" w:rsidRPr="00F51CC2">
        <w:rPr>
          <w:rStyle w:val="spellingerror"/>
          <w:rFonts w:ascii="Times New Roman" w:hAnsi="Times New Roman" w:cs="Times New Roman"/>
          <w:sz w:val="28"/>
          <w:szCs w:val="28"/>
          <w:shd w:val="clear" w:color="auto" w:fill="FFFFFF"/>
        </w:rPr>
        <w:t>ftalāta</w:t>
      </w:r>
      <w:proofErr w:type="spellEnd"/>
      <w:r w:rsidR="00F51CC2" w:rsidRPr="00F51CC2">
        <w:rPr>
          <w:rStyle w:val="normaltextrun"/>
          <w:rFonts w:ascii="Times New Roman" w:hAnsi="Times New Roman" w:cs="Times New Roman"/>
          <w:sz w:val="28"/>
          <w:szCs w:val="28"/>
          <w:shd w:val="clear" w:color="auto" w:fill="FFFFFF"/>
        </w:rPr>
        <w:t xml:space="preserve"> (DEHP) izmantošanai noteiktās gumijas sastāvdaļās, ko izmanto motoru sistēmās.</w:t>
      </w:r>
      <w:r w:rsidR="00F51CC2">
        <w:rPr>
          <w:rStyle w:val="normaltextrun"/>
          <w:rFonts w:ascii="Times New Roman" w:hAnsi="Times New Roman" w:cs="Times New Roman"/>
          <w:sz w:val="28"/>
          <w:szCs w:val="28"/>
          <w:shd w:val="clear" w:color="auto" w:fill="FFFFFF"/>
        </w:rPr>
        <w:t>”</w:t>
      </w:r>
    </w:p>
    <w:p w14:paraId="61F7433A" w14:textId="77777777" w:rsidR="00F51CC2" w:rsidRDefault="00F51CC2" w:rsidP="003C6FC4">
      <w:pPr>
        <w:spacing w:after="0" w:line="240" w:lineRule="auto"/>
        <w:jc w:val="both"/>
        <w:rPr>
          <w:rStyle w:val="normaltextrun"/>
          <w:rFonts w:ascii="Times New Roman" w:hAnsi="Times New Roman" w:cs="Times New Roman"/>
          <w:sz w:val="28"/>
          <w:szCs w:val="28"/>
          <w:shd w:val="clear" w:color="auto" w:fill="FFFFFF"/>
        </w:rPr>
      </w:pPr>
    </w:p>
    <w:p w14:paraId="65DB03B3" w14:textId="77777777" w:rsidR="00F51CC2" w:rsidRDefault="00F51CC2" w:rsidP="003C6FC4">
      <w:pPr>
        <w:spacing w:after="0" w:line="240" w:lineRule="auto"/>
        <w:jc w:val="both"/>
        <w:rPr>
          <w:rFonts w:ascii="Times New Roman" w:hAnsi="Times New Roman"/>
          <w:sz w:val="28"/>
          <w:szCs w:val="28"/>
        </w:rPr>
      </w:pPr>
      <w:r>
        <w:rPr>
          <w:rFonts w:ascii="Times New Roman" w:hAnsi="Times New Roman"/>
          <w:sz w:val="28"/>
          <w:szCs w:val="28"/>
        </w:rPr>
        <w:t>2. Papildināt 3.pielikumu ar 52.punktu šādā redakcijā:</w:t>
      </w:r>
    </w:p>
    <w:p w14:paraId="1E29DEFE" w14:textId="77777777" w:rsidR="00F51CC2" w:rsidRDefault="00F51CC2" w:rsidP="003C6FC4">
      <w:pPr>
        <w:spacing w:after="0" w:line="240" w:lineRule="auto"/>
        <w:jc w:val="both"/>
        <w:rPr>
          <w:rFonts w:ascii="Times New Roman" w:hAnsi="Times New Roman"/>
          <w:sz w:val="28"/>
          <w:szCs w:val="28"/>
        </w:rPr>
      </w:pPr>
    </w:p>
    <w:tbl>
      <w:tblPr>
        <w:tblStyle w:val="TableGrid"/>
        <w:tblW w:w="0" w:type="auto"/>
        <w:tblLook w:val="04A0" w:firstRow="1" w:lastRow="0" w:firstColumn="1" w:lastColumn="0" w:noHBand="0" w:noVBand="1"/>
      </w:tblPr>
      <w:tblGrid>
        <w:gridCol w:w="704"/>
        <w:gridCol w:w="4826"/>
        <w:gridCol w:w="2766"/>
      </w:tblGrid>
      <w:tr w:rsidR="00F51CC2" w:rsidRPr="001F4664" w14:paraId="2ED60A93" w14:textId="77777777" w:rsidTr="00F51CC2">
        <w:tc>
          <w:tcPr>
            <w:tcW w:w="704" w:type="dxa"/>
          </w:tcPr>
          <w:p w14:paraId="475C7E81" w14:textId="2877A85D" w:rsidR="00F51CC2" w:rsidRPr="001F4664" w:rsidRDefault="00870E6A" w:rsidP="003C6FC4">
            <w:pPr>
              <w:jc w:val="both"/>
              <w:rPr>
                <w:rFonts w:ascii="Times New Roman" w:hAnsi="Times New Roman"/>
                <w:sz w:val="28"/>
                <w:szCs w:val="28"/>
              </w:rPr>
            </w:pPr>
            <w:r>
              <w:rPr>
                <w:rFonts w:ascii="Times New Roman" w:hAnsi="Times New Roman"/>
                <w:sz w:val="28"/>
                <w:szCs w:val="28"/>
              </w:rPr>
              <w:t>“</w:t>
            </w:r>
            <w:r w:rsidR="00F51CC2" w:rsidRPr="001F4664">
              <w:rPr>
                <w:rFonts w:ascii="Times New Roman" w:hAnsi="Times New Roman"/>
                <w:sz w:val="28"/>
                <w:szCs w:val="28"/>
              </w:rPr>
              <w:t>52.</w:t>
            </w:r>
          </w:p>
        </w:tc>
        <w:tc>
          <w:tcPr>
            <w:tcW w:w="4826" w:type="dxa"/>
          </w:tcPr>
          <w:p w14:paraId="426DF899" w14:textId="77777777" w:rsidR="00F51CC2" w:rsidRPr="001F4664" w:rsidRDefault="00F51CC2" w:rsidP="00F51CC2">
            <w:pPr>
              <w:jc w:val="both"/>
              <w:rPr>
                <w:rFonts w:ascii="Times New Roman" w:eastAsia="Times New Roman" w:hAnsi="Times New Roman" w:cs="Times New Roman"/>
                <w:sz w:val="28"/>
                <w:szCs w:val="28"/>
                <w:lang w:eastAsia="lv-LV"/>
              </w:rPr>
            </w:pPr>
            <w:proofErr w:type="spellStart"/>
            <w:r w:rsidRPr="001F4664">
              <w:rPr>
                <w:rFonts w:ascii="Times New Roman" w:eastAsia="Times New Roman" w:hAnsi="Times New Roman" w:cs="Times New Roman"/>
                <w:sz w:val="28"/>
                <w:szCs w:val="28"/>
                <w:lang w:eastAsia="lv-LV"/>
              </w:rPr>
              <w:t>Bis</w:t>
            </w:r>
            <w:proofErr w:type="spellEnd"/>
            <w:r w:rsidRPr="001F4664">
              <w:rPr>
                <w:rFonts w:ascii="Times New Roman" w:eastAsia="Times New Roman" w:hAnsi="Times New Roman" w:cs="Times New Roman"/>
                <w:sz w:val="28"/>
                <w:szCs w:val="28"/>
                <w:lang w:eastAsia="lv-LV"/>
              </w:rPr>
              <w:t>(2-etilheksil)</w:t>
            </w:r>
            <w:proofErr w:type="spellStart"/>
            <w:r w:rsidRPr="001F4664">
              <w:rPr>
                <w:rFonts w:ascii="Times New Roman" w:eastAsia="Times New Roman" w:hAnsi="Times New Roman" w:cs="Times New Roman"/>
                <w:sz w:val="28"/>
                <w:szCs w:val="28"/>
                <w:lang w:eastAsia="lv-LV"/>
              </w:rPr>
              <w:t>ftalāts</w:t>
            </w:r>
            <w:proofErr w:type="spellEnd"/>
            <w:r w:rsidRPr="001F4664">
              <w:rPr>
                <w:rFonts w:ascii="Times New Roman" w:eastAsia="Times New Roman" w:hAnsi="Times New Roman" w:cs="Times New Roman"/>
                <w:sz w:val="28"/>
                <w:szCs w:val="28"/>
                <w:lang w:eastAsia="lv-LV"/>
              </w:rPr>
              <w:t xml:space="preserve"> gumijas sastāvdaļās motoru sistēmās, kas paredzētas izmantošanai iekārtās, kuras nav paredzētas tikai izmantošanai patērētājiem, ar noteikumu, ka nekāds </w:t>
            </w:r>
            <w:proofErr w:type="spellStart"/>
            <w:r w:rsidRPr="001F4664">
              <w:rPr>
                <w:rFonts w:ascii="Times New Roman" w:eastAsia="Times New Roman" w:hAnsi="Times New Roman" w:cs="Times New Roman"/>
                <w:sz w:val="28"/>
                <w:szCs w:val="28"/>
                <w:lang w:eastAsia="lv-LV"/>
              </w:rPr>
              <w:t>plastificēts</w:t>
            </w:r>
            <w:proofErr w:type="spellEnd"/>
            <w:r w:rsidRPr="001F4664">
              <w:rPr>
                <w:rFonts w:ascii="Times New Roman" w:eastAsia="Times New Roman" w:hAnsi="Times New Roman" w:cs="Times New Roman"/>
                <w:sz w:val="28"/>
                <w:szCs w:val="28"/>
                <w:lang w:eastAsia="lv-LV"/>
              </w:rPr>
              <w:t xml:space="preserve"> materiāls nenonāk saskarē ar cilvēka gļotādu vai ilgstošā saskarē ar cilvēka ādu (nepārtraukta saskare, kas ilgst vairāk par 10 minūtēm dienā, vai periodiska saskare, kas ilgst vairāk par 30 minūtēm dienā</w:t>
            </w:r>
            <w:r w:rsidR="002B3D3E">
              <w:rPr>
                <w:rFonts w:ascii="Times New Roman" w:eastAsia="Times New Roman" w:hAnsi="Times New Roman" w:cs="Times New Roman"/>
                <w:sz w:val="28"/>
                <w:szCs w:val="28"/>
                <w:lang w:eastAsia="lv-LV"/>
              </w:rPr>
              <w:t>)</w:t>
            </w:r>
            <w:r w:rsidRPr="001F4664">
              <w:rPr>
                <w:rFonts w:ascii="Times New Roman" w:eastAsia="Times New Roman" w:hAnsi="Times New Roman" w:cs="Times New Roman"/>
                <w:sz w:val="28"/>
                <w:szCs w:val="28"/>
                <w:lang w:eastAsia="lv-LV"/>
              </w:rPr>
              <w:t xml:space="preserve"> un ka </w:t>
            </w:r>
            <w:proofErr w:type="spellStart"/>
            <w:r w:rsidRPr="001F4664">
              <w:rPr>
                <w:rFonts w:ascii="Times New Roman" w:eastAsia="Times New Roman" w:hAnsi="Times New Roman" w:cs="Times New Roman"/>
                <w:sz w:val="28"/>
                <w:szCs w:val="28"/>
                <w:lang w:eastAsia="lv-LV"/>
              </w:rPr>
              <w:t>bis</w:t>
            </w:r>
            <w:proofErr w:type="spellEnd"/>
            <w:r w:rsidRPr="001F4664">
              <w:rPr>
                <w:rFonts w:ascii="Times New Roman" w:eastAsia="Times New Roman" w:hAnsi="Times New Roman" w:cs="Times New Roman"/>
                <w:sz w:val="28"/>
                <w:szCs w:val="28"/>
                <w:lang w:eastAsia="lv-LV"/>
              </w:rPr>
              <w:t>(2-etilheksil)</w:t>
            </w:r>
            <w:proofErr w:type="spellStart"/>
            <w:r w:rsidRPr="001F4664">
              <w:rPr>
                <w:rFonts w:ascii="Times New Roman" w:eastAsia="Times New Roman" w:hAnsi="Times New Roman" w:cs="Times New Roman"/>
                <w:sz w:val="28"/>
                <w:szCs w:val="28"/>
                <w:lang w:eastAsia="lv-LV"/>
              </w:rPr>
              <w:t>ftalāta</w:t>
            </w:r>
            <w:proofErr w:type="spellEnd"/>
            <w:r w:rsidRPr="001F4664">
              <w:rPr>
                <w:rFonts w:ascii="Times New Roman" w:eastAsia="Times New Roman" w:hAnsi="Times New Roman" w:cs="Times New Roman"/>
                <w:sz w:val="28"/>
                <w:szCs w:val="28"/>
                <w:lang w:eastAsia="lv-LV"/>
              </w:rPr>
              <w:t xml:space="preserve"> koncentrācijas vērtība nepārsniedz:</w:t>
            </w:r>
          </w:p>
          <w:tbl>
            <w:tblPr>
              <w:tblW w:w="5000" w:type="pct"/>
              <w:tblCellSpacing w:w="0" w:type="dxa"/>
              <w:tblCellMar>
                <w:left w:w="0" w:type="dxa"/>
                <w:right w:w="0" w:type="dxa"/>
              </w:tblCellMar>
              <w:tblLook w:val="04A0" w:firstRow="1" w:lastRow="0" w:firstColumn="1" w:lastColumn="0" w:noHBand="0" w:noVBand="1"/>
            </w:tblPr>
            <w:tblGrid>
              <w:gridCol w:w="218"/>
              <w:gridCol w:w="4392"/>
            </w:tblGrid>
            <w:tr w:rsidR="00F51CC2" w:rsidRPr="001F4664" w14:paraId="516898F3" w14:textId="77777777" w:rsidTr="00F51CC2">
              <w:trPr>
                <w:tblCellSpacing w:w="0" w:type="dxa"/>
              </w:trPr>
              <w:tc>
                <w:tcPr>
                  <w:tcW w:w="0" w:type="auto"/>
                  <w:hideMark/>
                </w:tcPr>
                <w:p w14:paraId="0FE6E857" w14:textId="77777777" w:rsidR="00F51CC2" w:rsidRPr="001F4664" w:rsidRDefault="00F51CC2" w:rsidP="00F51CC2">
                  <w:pPr>
                    <w:spacing w:after="0" w:line="240" w:lineRule="auto"/>
                    <w:rPr>
                      <w:rFonts w:ascii="Times New Roman" w:eastAsia="Times New Roman" w:hAnsi="Times New Roman" w:cs="Times New Roman"/>
                      <w:sz w:val="28"/>
                      <w:szCs w:val="28"/>
                      <w:lang w:eastAsia="lv-LV"/>
                    </w:rPr>
                  </w:pPr>
                  <w:r w:rsidRPr="001F4664">
                    <w:rPr>
                      <w:rFonts w:ascii="Times New Roman" w:eastAsia="Times New Roman" w:hAnsi="Times New Roman" w:cs="Times New Roman"/>
                      <w:sz w:val="28"/>
                      <w:szCs w:val="28"/>
                      <w:lang w:eastAsia="lv-LV"/>
                    </w:rPr>
                    <w:lastRenderedPageBreak/>
                    <w:t>a)</w:t>
                  </w:r>
                </w:p>
              </w:tc>
              <w:tc>
                <w:tcPr>
                  <w:tcW w:w="0" w:type="auto"/>
                  <w:hideMark/>
                </w:tcPr>
                <w:p w14:paraId="286C1485" w14:textId="77777777" w:rsidR="00F51CC2" w:rsidRPr="001F4664" w:rsidRDefault="00F51CC2" w:rsidP="00F51CC2">
                  <w:pPr>
                    <w:spacing w:after="0" w:line="240" w:lineRule="auto"/>
                    <w:rPr>
                      <w:rFonts w:ascii="Times New Roman" w:eastAsia="Times New Roman" w:hAnsi="Times New Roman" w:cs="Times New Roman"/>
                      <w:sz w:val="28"/>
                      <w:szCs w:val="28"/>
                      <w:lang w:eastAsia="lv-LV"/>
                    </w:rPr>
                  </w:pPr>
                  <w:r w:rsidRPr="001F4664">
                    <w:rPr>
                      <w:rFonts w:ascii="Times New Roman" w:eastAsia="Times New Roman" w:hAnsi="Times New Roman" w:cs="Times New Roman"/>
                      <w:sz w:val="28"/>
                      <w:szCs w:val="28"/>
                      <w:lang w:eastAsia="lv-LV"/>
                    </w:rPr>
                    <w:t>30 % no gumijas masas:</w:t>
                  </w:r>
                </w:p>
                <w:tbl>
                  <w:tblPr>
                    <w:tblW w:w="5000" w:type="pct"/>
                    <w:tblCellSpacing w:w="0" w:type="dxa"/>
                    <w:tblCellMar>
                      <w:left w:w="0" w:type="dxa"/>
                      <w:right w:w="0" w:type="dxa"/>
                    </w:tblCellMar>
                    <w:tblLook w:val="04A0" w:firstRow="1" w:lastRow="0" w:firstColumn="1" w:lastColumn="0" w:noHBand="0" w:noVBand="1"/>
                  </w:tblPr>
                  <w:tblGrid>
                    <w:gridCol w:w="8"/>
                    <w:gridCol w:w="4384"/>
                  </w:tblGrid>
                  <w:tr w:rsidR="00F51CC2" w:rsidRPr="001F4664" w14:paraId="57F946C7" w14:textId="77777777">
                    <w:trPr>
                      <w:tblCellSpacing w:w="0" w:type="dxa"/>
                    </w:trPr>
                    <w:tc>
                      <w:tcPr>
                        <w:tcW w:w="0" w:type="auto"/>
                        <w:hideMark/>
                      </w:tcPr>
                      <w:p w14:paraId="555BEDA9" w14:textId="77777777" w:rsidR="00F51CC2" w:rsidRPr="001F4664" w:rsidRDefault="00F51CC2" w:rsidP="00F51CC2">
                        <w:pPr>
                          <w:pStyle w:val="ListParagraph"/>
                          <w:numPr>
                            <w:ilvl w:val="0"/>
                            <w:numId w:val="2"/>
                          </w:numPr>
                          <w:spacing w:after="0" w:line="240" w:lineRule="auto"/>
                          <w:rPr>
                            <w:rFonts w:ascii="Times New Roman" w:eastAsia="Times New Roman" w:hAnsi="Times New Roman" w:cs="Times New Roman"/>
                            <w:sz w:val="28"/>
                            <w:szCs w:val="28"/>
                            <w:lang w:eastAsia="lv-LV"/>
                          </w:rPr>
                        </w:pPr>
                      </w:p>
                    </w:tc>
                    <w:tc>
                      <w:tcPr>
                        <w:tcW w:w="0" w:type="auto"/>
                        <w:hideMark/>
                      </w:tcPr>
                      <w:p w14:paraId="42B940D7" w14:textId="77777777" w:rsidR="00F51CC2" w:rsidRPr="001F4664" w:rsidRDefault="00F51CC2" w:rsidP="00F51CC2">
                        <w:pPr>
                          <w:pStyle w:val="ListParagraph"/>
                          <w:numPr>
                            <w:ilvl w:val="0"/>
                            <w:numId w:val="2"/>
                          </w:numPr>
                          <w:spacing w:after="0" w:line="240" w:lineRule="auto"/>
                          <w:rPr>
                            <w:rFonts w:ascii="Times New Roman" w:eastAsia="Times New Roman" w:hAnsi="Times New Roman" w:cs="Times New Roman"/>
                            <w:sz w:val="28"/>
                            <w:szCs w:val="28"/>
                            <w:lang w:eastAsia="lv-LV"/>
                          </w:rPr>
                        </w:pPr>
                        <w:r w:rsidRPr="001F4664">
                          <w:rPr>
                            <w:rFonts w:ascii="Times New Roman" w:eastAsia="Times New Roman" w:hAnsi="Times New Roman" w:cs="Times New Roman"/>
                            <w:sz w:val="28"/>
                            <w:szCs w:val="28"/>
                            <w:lang w:eastAsia="lv-LV"/>
                          </w:rPr>
                          <w:t>blīvslēgu pārklājumiem;</w:t>
                        </w:r>
                      </w:p>
                    </w:tc>
                  </w:tr>
                </w:tbl>
                <w:p w14:paraId="111D35DC" w14:textId="77777777" w:rsidR="00F51CC2" w:rsidRPr="001F4664" w:rsidRDefault="00F51CC2" w:rsidP="00F51CC2">
                  <w:pPr>
                    <w:spacing w:after="0" w:line="240" w:lineRule="auto"/>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8"/>
                    <w:gridCol w:w="8"/>
                    <w:gridCol w:w="20"/>
                    <w:gridCol w:w="4356"/>
                  </w:tblGrid>
                  <w:tr w:rsidR="00F51CC2" w:rsidRPr="001F4664" w14:paraId="3C0BBDBE" w14:textId="77777777" w:rsidTr="00F51CC2">
                    <w:trPr>
                      <w:tblCellSpacing w:w="0" w:type="dxa"/>
                    </w:trPr>
                    <w:tc>
                      <w:tcPr>
                        <w:tcW w:w="0" w:type="auto"/>
                        <w:hideMark/>
                      </w:tcPr>
                      <w:p w14:paraId="28A7EC2D" w14:textId="77777777" w:rsidR="00F51CC2" w:rsidRPr="001F4664" w:rsidRDefault="00F51CC2" w:rsidP="00F51CC2">
                        <w:pPr>
                          <w:pStyle w:val="ListParagraph"/>
                          <w:numPr>
                            <w:ilvl w:val="0"/>
                            <w:numId w:val="2"/>
                          </w:numPr>
                          <w:spacing w:after="0" w:line="240" w:lineRule="auto"/>
                          <w:rPr>
                            <w:rFonts w:ascii="Times New Roman" w:eastAsia="Times New Roman" w:hAnsi="Times New Roman" w:cs="Times New Roman"/>
                            <w:sz w:val="28"/>
                            <w:szCs w:val="28"/>
                            <w:lang w:eastAsia="lv-LV"/>
                          </w:rPr>
                        </w:pPr>
                      </w:p>
                    </w:tc>
                    <w:tc>
                      <w:tcPr>
                        <w:tcW w:w="0" w:type="auto"/>
                      </w:tcPr>
                      <w:p w14:paraId="4D1C371D" w14:textId="77777777" w:rsidR="00F51CC2" w:rsidRPr="001F4664" w:rsidRDefault="00F51CC2" w:rsidP="00F51CC2">
                        <w:pPr>
                          <w:spacing w:after="0" w:line="240" w:lineRule="auto"/>
                          <w:rPr>
                            <w:rFonts w:ascii="Times New Roman" w:eastAsia="Times New Roman" w:hAnsi="Times New Roman" w:cs="Times New Roman"/>
                            <w:sz w:val="28"/>
                            <w:szCs w:val="28"/>
                            <w:lang w:eastAsia="lv-LV"/>
                          </w:rPr>
                        </w:pPr>
                      </w:p>
                    </w:tc>
                    <w:tc>
                      <w:tcPr>
                        <w:tcW w:w="23" w:type="pct"/>
                      </w:tcPr>
                      <w:p w14:paraId="4E7B394A" w14:textId="77777777" w:rsidR="00F51CC2" w:rsidRPr="001F4664" w:rsidRDefault="00F51CC2" w:rsidP="00F51CC2">
                        <w:pPr>
                          <w:spacing w:after="0" w:line="240" w:lineRule="auto"/>
                          <w:rPr>
                            <w:rFonts w:ascii="Times New Roman" w:eastAsia="Times New Roman" w:hAnsi="Times New Roman" w:cs="Times New Roman"/>
                            <w:sz w:val="28"/>
                            <w:szCs w:val="28"/>
                            <w:lang w:eastAsia="lv-LV"/>
                          </w:rPr>
                        </w:pPr>
                      </w:p>
                    </w:tc>
                    <w:tc>
                      <w:tcPr>
                        <w:tcW w:w="4959" w:type="pct"/>
                        <w:hideMark/>
                      </w:tcPr>
                      <w:p w14:paraId="685198FB" w14:textId="77777777" w:rsidR="00F51CC2" w:rsidRDefault="00F51CC2" w:rsidP="00F51CC2">
                        <w:pPr>
                          <w:pStyle w:val="ListParagraph"/>
                          <w:numPr>
                            <w:ilvl w:val="0"/>
                            <w:numId w:val="2"/>
                          </w:numPr>
                          <w:spacing w:after="0" w:line="240" w:lineRule="auto"/>
                          <w:rPr>
                            <w:rFonts w:ascii="Times New Roman" w:eastAsia="Times New Roman" w:hAnsi="Times New Roman" w:cs="Times New Roman"/>
                            <w:sz w:val="28"/>
                            <w:szCs w:val="28"/>
                            <w:lang w:eastAsia="lv-LV"/>
                          </w:rPr>
                        </w:pPr>
                        <w:r w:rsidRPr="001F4664">
                          <w:rPr>
                            <w:rFonts w:ascii="Times New Roman" w:eastAsia="Times New Roman" w:hAnsi="Times New Roman" w:cs="Times New Roman"/>
                            <w:sz w:val="28"/>
                            <w:szCs w:val="28"/>
                            <w:lang w:eastAsia="lv-LV"/>
                          </w:rPr>
                          <w:t>mo</w:t>
                        </w:r>
                        <w:r w:rsidR="002B3D3E">
                          <w:rPr>
                            <w:rFonts w:ascii="Times New Roman" w:eastAsia="Times New Roman" w:hAnsi="Times New Roman" w:cs="Times New Roman"/>
                            <w:sz w:val="28"/>
                            <w:szCs w:val="28"/>
                            <w:lang w:eastAsia="lv-LV"/>
                          </w:rPr>
                          <w:t>nolītas gumijas blīvslēgiem;</w:t>
                        </w:r>
                      </w:p>
                      <w:p w14:paraId="1D66D1DE" w14:textId="77777777" w:rsidR="002B3D3E" w:rsidRPr="002B3D3E" w:rsidRDefault="002B3D3E" w:rsidP="002B3D3E">
                        <w:pPr>
                          <w:pStyle w:val="ListParagraph"/>
                          <w:numPr>
                            <w:ilvl w:val="0"/>
                            <w:numId w:val="2"/>
                          </w:numPr>
                          <w:spacing w:after="0" w:line="240" w:lineRule="auto"/>
                          <w:jc w:val="both"/>
                          <w:rPr>
                            <w:rFonts w:ascii="Times New Roman" w:hAnsi="Times New Roman"/>
                            <w:sz w:val="28"/>
                            <w:szCs w:val="28"/>
                          </w:rPr>
                        </w:pPr>
                        <w:r w:rsidRPr="002B3D3E">
                          <w:rPr>
                            <w:rFonts w:ascii="Times New Roman" w:eastAsia="Times New Roman" w:hAnsi="Times New Roman" w:cs="Times New Roman"/>
                            <w:sz w:val="28"/>
                            <w:szCs w:val="28"/>
                            <w:lang w:eastAsia="lv-LV"/>
                          </w:rPr>
                          <w:t>gumijas sastāvdaļām, kas iekļautas vismaz no trim sastāvdaļām veidotos mezglos, kuri darba veikšanai izmanto elektrisko, mehānisko vai hidraulisko enerģiju un ir piestiprināti motoram;</w:t>
                        </w:r>
                      </w:p>
                      <w:p w14:paraId="0C8DEEB8" w14:textId="77777777" w:rsidR="002B3D3E" w:rsidRPr="001F4664" w:rsidRDefault="002B3D3E" w:rsidP="002B3D3E">
                        <w:pPr>
                          <w:pStyle w:val="ListParagraph"/>
                          <w:spacing w:after="0" w:line="240" w:lineRule="auto"/>
                          <w:rPr>
                            <w:rFonts w:ascii="Times New Roman" w:eastAsia="Times New Roman" w:hAnsi="Times New Roman" w:cs="Times New Roman"/>
                            <w:sz w:val="28"/>
                            <w:szCs w:val="28"/>
                            <w:lang w:eastAsia="lv-LV"/>
                          </w:rPr>
                        </w:pPr>
                      </w:p>
                    </w:tc>
                  </w:tr>
                </w:tbl>
                <w:p w14:paraId="297B0501" w14:textId="77777777" w:rsidR="00F51CC2" w:rsidRPr="001F4664" w:rsidRDefault="00F51CC2" w:rsidP="00F51CC2">
                  <w:pPr>
                    <w:spacing w:after="0" w:line="240" w:lineRule="auto"/>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196"/>
                    <w:gridCol w:w="2196"/>
                  </w:tblGrid>
                  <w:tr w:rsidR="00F51CC2" w:rsidRPr="001F4664" w14:paraId="3FDE07BB" w14:textId="77777777">
                    <w:trPr>
                      <w:tblCellSpacing w:w="0" w:type="dxa"/>
                    </w:trPr>
                    <w:tc>
                      <w:tcPr>
                        <w:tcW w:w="0" w:type="auto"/>
                        <w:hideMark/>
                      </w:tcPr>
                      <w:p w14:paraId="6F7BCF2D" w14:textId="77777777" w:rsidR="00F51CC2" w:rsidRPr="001F4664" w:rsidRDefault="00F51CC2" w:rsidP="00F51CC2">
                        <w:pPr>
                          <w:spacing w:after="0" w:line="240" w:lineRule="auto"/>
                          <w:rPr>
                            <w:rFonts w:ascii="Times New Roman" w:eastAsia="Times New Roman" w:hAnsi="Times New Roman" w:cs="Times New Roman"/>
                            <w:sz w:val="28"/>
                            <w:szCs w:val="28"/>
                            <w:lang w:eastAsia="lv-LV"/>
                          </w:rPr>
                        </w:pPr>
                      </w:p>
                    </w:tc>
                    <w:tc>
                      <w:tcPr>
                        <w:tcW w:w="0" w:type="auto"/>
                        <w:hideMark/>
                      </w:tcPr>
                      <w:p w14:paraId="7BC7ED0D" w14:textId="77777777" w:rsidR="00F51CC2" w:rsidRPr="001F4664" w:rsidRDefault="00F51CC2" w:rsidP="00F51CC2">
                        <w:pPr>
                          <w:spacing w:after="0" w:line="240" w:lineRule="auto"/>
                          <w:rPr>
                            <w:rFonts w:ascii="Times New Roman" w:eastAsia="Times New Roman" w:hAnsi="Times New Roman" w:cs="Times New Roman"/>
                            <w:sz w:val="28"/>
                            <w:szCs w:val="28"/>
                            <w:lang w:eastAsia="lv-LV"/>
                          </w:rPr>
                        </w:pPr>
                      </w:p>
                    </w:tc>
                  </w:tr>
                </w:tbl>
                <w:p w14:paraId="43DB5C16" w14:textId="77777777" w:rsidR="00F51CC2" w:rsidRPr="001F4664" w:rsidRDefault="00F51CC2" w:rsidP="00F51CC2">
                  <w:pPr>
                    <w:spacing w:after="0" w:line="240" w:lineRule="auto"/>
                    <w:rPr>
                      <w:rFonts w:ascii="Times New Roman" w:eastAsia="Times New Roman" w:hAnsi="Times New Roman" w:cs="Times New Roman"/>
                      <w:sz w:val="28"/>
                      <w:szCs w:val="28"/>
                      <w:lang w:eastAsia="lv-LV"/>
                    </w:rPr>
                  </w:pPr>
                </w:p>
              </w:tc>
            </w:tr>
          </w:tbl>
          <w:p w14:paraId="34C07DC4" w14:textId="77777777" w:rsidR="00F51CC2" w:rsidRPr="001F4664" w:rsidRDefault="00F51CC2" w:rsidP="00F51CC2">
            <w:pPr>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4376"/>
            </w:tblGrid>
            <w:tr w:rsidR="00F51CC2" w:rsidRPr="001F4664" w14:paraId="3C2FFCA6" w14:textId="77777777" w:rsidTr="00F51CC2">
              <w:trPr>
                <w:tblCellSpacing w:w="0" w:type="dxa"/>
              </w:trPr>
              <w:tc>
                <w:tcPr>
                  <w:tcW w:w="0" w:type="auto"/>
                  <w:hideMark/>
                </w:tcPr>
                <w:p w14:paraId="57A599B9" w14:textId="77777777" w:rsidR="00F51CC2" w:rsidRPr="001F4664" w:rsidRDefault="00F51CC2" w:rsidP="00F51CC2">
                  <w:pPr>
                    <w:spacing w:before="100" w:beforeAutospacing="1" w:after="100" w:afterAutospacing="1" w:line="240" w:lineRule="auto"/>
                    <w:rPr>
                      <w:rFonts w:ascii="Times New Roman" w:eastAsia="Times New Roman" w:hAnsi="Times New Roman" w:cs="Times New Roman"/>
                      <w:sz w:val="28"/>
                      <w:szCs w:val="28"/>
                      <w:lang w:eastAsia="lv-LV"/>
                    </w:rPr>
                  </w:pPr>
                  <w:r w:rsidRPr="001F4664">
                    <w:rPr>
                      <w:rFonts w:ascii="Times New Roman" w:eastAsia="Times New Roman" w:hAnsi="Times New Roman" w:cs="Times New Roman"/>
                      <w:sz w:val="28"/>
                      <w:szCs w:val="28"/>
                      <w:lang w:eastAsia="lv-LV"/>
                    </w:rPr>
                    <w:t>b)</w:t>
                  </w:r>
                </w:p>
              </w:tc>
              <w:tc>
                <w:tcPr>
                  <w:tcW w:w="0" w:type="auto"/>
                  <w:hideMark/>
                </w:tcPr>
                <w:p w14:paraId="07074007" w14:textId="77777777" w:rsidR="00F51CC2" w:rsidRPr="001F4664" w:rsidRDefault="00F51CC2" w:rsidP="00F51CC2">
                  <w:pPr>
                    <w:spacing w:before="100" w:beforeAutospacing="1" w:after="100" w:afterAutospacing="1" w:line="240" w:lineRule="auto"/>
                    <w:rPr>
                      <w:rFonts w:ascii="Times New Roman" w:eastAsia="Times New Roman" w:hAnsi="Times New Roman" w:cs="Times New Roman"/>
                      <w:sz w:val="28"/>
                      <w:szCs w:val="28"/>
                      <w:lang w:eastAsia="lv-LV"/>
                    </w:rPr>
                  </w:pPr>
                  <w:r w:rsidRPr="001F4664">
                    <w:rPr>
                      <w:rFonts w:ascii="Times New Roman" w:eastAsia="Times New Roman" w:hAnsi="Times New Roman" w:cs="Times New Roman"/>
                      <w:sz w:val="28"/>
                      <w:szCs w:val="28"/>
                      <w:lang w:eastAsia="lv-LV"/>
                    </w:rPr>
                    <w:t>10 % no gumijas masas gumiju saturošām sastāvdaļām, kuras nav minētas</w:t>
                  </w:r>
                  <w:r w:rsidR="002B3D3E">
                    <w:rPr>
                      <w:rFonts w:ascii="Times New Roman" w:eastAsia="Times New Roman" w:hAnsi="Times New Roman" w:cs="Times New Roman"/>
                      <w:sz w:val="28"/>
                      <w:szCs w:val="28"/>
                      <w:lang w:eastAsia="lv-LV"/>
                    </w:rPr>
                    <w:t xml:space="preserve"> šā punkta</w:t>
                  </w:r>
                  <w:r w:rsidRPr="001F4664">
                    <w:rPr>
                      <w:rFonts w:ascii="Times New Roman" w:eastAsia="Times New Roman" w:hAnsi="Times New Roman" w:cs="Times New Roman"/>
                      <w:sz w:val="28"/>
                      <w:szCs w:val="28"/>
                      <w:lang w:eastAsia="lv-LV"/>
                    </w:rPr>
                    <w:t xml:space="preserve"> a) apakšpunktā.</w:t>
                  </w:r>
                </w:p>
              </w:tc>
            </w:tr>
          </w:tbl>
          <w:p w14:paraId="17FC3750" w14:textId="77777777" w:rsidR="00F51CC2" w:rsidRPr="001F4664" w:rsidRDefault="00F51CC2" w:rsidP="00F51CC2">
            <w:pPr>
              <w:spacing w:before="100" w:beforeAutospacing="1" w:after="100" w:afterAutospacing="1"/>
              <w:rPr>
                <w:rFonts w:ascii="Times New Roman" w:eastAsia="Times New Roman" w:hAnsi="Times New Roman" w:cs="Times New Roman"/>
                <w:sz w:val="28"/>
                <w:szCs w:val="28"/>
                <w:lang w:eastAsia="lv-LV"/>
              </w:rPr>
            </w:pPr>
          </w:p>
        </w:tc>
        <w:tc>
          <w:tcPr>
            <w:tcW w:w="2766" w:type="dxa"/>
          </w:tcPr>
          <w:p w14:paraId="41E2A4B8" w14:textId="477657ED" w:rsidR="00F51CC2" w:rsidRPr="001F4664" w:rsidRDefault="00F51CC2" w:rsidP="00F51CC2">
            <w:pPr>
              <w:jc w:val="both"/>
              <w:rPr>
                <w:rFonts w:ascii="Times New Roman" w:hAnsi="Times New Roman" w:cs="Times New Roman"/>
                <w:sz w:val="28"/>
                <w:szCs w:val="28"/>
              </w:rPr>
            </w:pPr>
            <w:r w:rsidRPr="001F4664">
              <w:rPr>
                <w:rFonts w:ascii="Times New Roman" w:hAnsi="Times New Roman" w:cs="Times New Roman"/>
                <w:sz w:val="28"/>
                <w:szCs w:val="28"/>
              </w:rPr>
              <w:lastRenderedPageBreak/>
              <w:t>Līdz 2024.gada 21.jūlijam piemēro</w:t>
            </w:r>
            <w:r w:rsidRPr="001F4664">
              <w:rPr>
                <w:rFonts w:ascii="Times New Roman" w:eastAsia="Times New Roman" w:hAnsi="Times New Roman" w:cs="Times New Roman"/>
                <w:sz w:val="28"/>
                <w:szCs w:val="28"/>
                <w:lang w:eastAsia="lv-LV"/>
              </w:rPr>
              <w:t xml:space="preserve"> iekārtām, kuras atbilst šo noteikumu 2. pielikuma </w:t>
            </w:r>
            <w:r w:rsidRPr="001F4664">
              <w:rPr>
                <w:rFonts w:ascii="Times New Roman" w:hAnsi="Times New Roman" w:cs="Times New Roman"/>
                <w:sz w:val="28"/>
                <w:szCs w:val="28"/>
              </w:rPr>
              <w:t>11.</w:t>
            </w:r>
            <w:r w:rsidR="003A70F1">
              <w:rPr>
                <w:rFonts w:ascii="Times New Roman" w:hAnsi="Times New Roman" w:cs="Times New Roman"/>
                <w:sz w:val="28"/>
                <w:szCs w:val="28"/>
              </w:rPr>
              <w:t> </w:t>
            </w:r>
            <w:r w:rsidRPr="001F4664">
              <w:rPr>
                <w:rFonts w:ascii="Times New Roman" w:hAnsi="Times New Roman" w:cs="Times New Roman"/>
                <w:sz w:val="28"/>
                <w:szCs w:val="28"/>
              </w:rPr>
              <w:t>kategorijai.</w:t>
            </w:r>
            <w:r w:rsidR="00870E6A">
              <w:rPr>
                <w:rFonts w:ascii="Times New Roman" w:hAnsi="Times New Roman" w:cs="Times New Roman"/>
                <w:sz w:val="28"/>
                <w:szCs w:val="28"/>
              </w:rPr>
              <w:t>”</w:t>
            </w:r>
          </w:p>
        </w:tc>
      </w:tr>
    </w:tbl>
    <w:p w14:paraId="64607A2C" w14:textId="77777777" w:rsidR="003C6FC4" w:rsidRDefault="003C6FC4" w:rsidP="001F4664">
      <w:pPr>
        <w:spacing w:after="0" w:line="240" w:lineRule="auto"/>
        <w:jc w:val="both"/>
        <w:rPr>
          <w:rFonts w:ascii="Times New Roman" w:hAnsi="Times New Roman"/>
          <w:sz w:val="28"/>
          <w:szCs w:val="28"/>
        </w:rPr>
      </w:pPr>
    </w:p>
    <w:p w14:paraId="643BE2D8" w14:textId="77777777" w:rsidR="002B3D3E" w:rsidRDefault="002B3D3E" w:rsidP="001F4664">
      <w:pPr>
        <w:spacing w:after="0" w:line="240" w:lineRule="auto"/>
        <w:jc w:val="both"/>
        <w:rPr>
          <w:rFonts w:ascii="Times New Roman" w:hAnsi="Times New Roman"/>
          <w:sz w:val="28"/>
          <w:szCs w:val="28"/>
        </w:rPr>
      </w:pPr>
    </w:p>
    <w:p w14:paraId="687A51C8" w14:textId="77777777" w:rsidR="0059243D" w:rsidRDefault="001F4664">
      <w:pPr>
        <w:rPr>
          <w:rFonts w:ascii="Times New Roman" w:hAnsi="Times New Roman" w:cs="Times New Roman"/>
          <w:sz w:val="28"/>
          <w:szCs w:val="28"/>
        </w:rPr>
      </w:pPr>
      <w:r w:rsidRPr="001F4664">
        <w:rPr>
          <w:rFonts w:ascii="Times New Roman" w:hAnsi="Times New Roman" w:cs="Times New Roman"/>
          <w:sz w:val="28"/>
          <w:szCs w:val="28"/>
        </w:rPr>
        <w:t xml:space="preserve">3. Noteikumi stājas spēkā 2020.gada 1.maijā. </w:t>
      </w:r>
    </w:p>
    <w:p w14:paraId="37A05347" w14:textId="77777777" w:rsidR="001F4664" w:rsidRDefault="001F4664">
      <w:pPr>
        <w:rPr>
          <w:rFonts w:ascii="Times New Roman" w:hAnsi="Times New Roman" w:cs="Times New Roman"/>
          <w:sz w:val="28"/>
          <w:szCs w:val="28"/>
        </w:rPr>
      </w:pPr>
    </w:p>
    <w:p w14:paraId="1CA79AAB" w14:textId="09465564" w:rsidR="001F4664" w:rsidRDefault="001F4664" w:rsidP="001F4664">
      <w:pPr>
        <w:spacing w:after="0" w:line="240" w:lineRule="auto"/>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sidR="00430005">
        <w:rPr>
          <w:rFonts w:ascii="Times New Roman" w:hAnsi="Times New Roman" w:cs="Times New Roman"/>
          <w:sz w:val="28"/>
          <w:szCs w:val="28"/>
        </w:rPr>
        <w:t>.</w:t>
      </w:r>
      <w:r>
        <w:rPr>
          <w:rFonts w:ascii="Times New Roman" w:hAnsi="Times New Roman" w:cs="Times New Roman"/>
          <w:sz w:val="28"/>
          <w:szCs w:val="28"/>
        </w:rPr>
        <w:t xml:space="preserve"> K</w:t>
      </w:r>
      <w:r w:rsidR="00430005">
        <w:rPr>
          <w:rFonts w:ascii="Times New Roman" w:hAnsi="Times New Roman" w:cs="Times New Roman"/>
          <w:sz w:val="28"/>
          <w:szCs w:val="28"/>
        </w:rPr>
        <w:t xml:space="preserve">. </w:t>
      </w:r>
      <w:r>
        <w:rPr>
          <w:rFonts w:ascii="Times New Roman" w:hAnsi="Times New Roman" w:cs="Times New Roman"/>
          <w:sz w:val="28"/>
          <w:szCs w:val="28"/>
        </w:rPr>
        <w:t>Kariņš</w:t>
      </w:r>
    </w:p>
    <w:p w14:paraId="64E55DB9" w14:textId="06E6E2B1" w:rsidR="001F4664" w:rsidRDefault="001F4664" w:rsidP="001F4664">
      <w:pPr>
        <w:spacing w:after="0" w:line="240" w:lineRule="auto"/>
        <w:rPr>
          <w:rFonts w:ascii="Times New Roman" w:hAnsi="Times New Roman" w:cs="Times New Roman"/>
          <w:sz w:val="28"/>
          <w:szCs w:val="28"/>
        </w:rPr>
      </w:pPr>
    </w:p>
    <w:p w14:paraId="62934D68" w14:textId="77777777" w:rsidR="003A70F1" w:rsidRDefault="003A70F1" w:rsidP="001F4664">
      <w:pPr>
        <w:spacing w:after="0" w:line="240" w:lineRule="auto"/>
        <w:rPr>
          <w:rFonts w:ascii="Times New Roman" w:hAnsi="Times New Roman" w:cs="Times New Roman"/>
          <w:sz w:val="28"/>
          <w:szCs w:val="28"/>
        </w:rPr>
      </w:pPr>
    </w:p>
    <w:p w14:paraId="4E49669C" w14:textId="77777777" w:rsidR="001F4664" w:rsidRDefault="001F4664" w:rsidP="001F4664">
      <w:pPr>
        <w:spacing w:after="0" w:line="240" w:lineRule="auto"/>
        <w:rPr>
          <w:rFonts w:ascii="Times New Roman" w:hAnsi="Times New Roman" w:cs="Times New Roman"/>
          <w:sz w:val="28"/>
          <w:szCs w:val="28"/>
        </w:rPr>
      </w:pPr>
      <w:r>
        <w:rPr>
          <w:rFonts w:ascii="Times New Roman" w:hAnsi="Times New Roman" w:cs="Times New Roman"/>
          <w:sz w:val="28"/>
          <w:szCs w:val="28"/>
        </w:rPr>
        <w:t>Vides aizsardzības un</w:t>
      </w:r>
    </w:p>
    <w:p w14:paraId="70F257CB" w14:textId="331F1EA0" w:rsidR="001F4664" w:rsidRDefault="001F4664" w:rsidP="001F4664">
      <w:pPr>
        <w:spacing w:after="0" w:line="240" w:lineRule="auto"/>
        <w:rPr>
          <w:rFonts w:ascii="Times New Roman" w:hAnsi="Times New Roman" w:cs="Times New Roman"/>
          <w:sz w:val="28"/>
          <w:szCs w:val="28"/>
        </w:rPr>
      </w:pPr>
      <w:r>
        <w:rPr>
          <w:rFonts w:ascii="Times New Roman" w:hAnsi="Times New Roman" w:cs="Times New Roman"/>
          <w:sz w:val="28"/>
          <w:szCs w:val="28"/>
        </w:rPr>
        <w:t>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w:t>
      </w:r>
      <w:r w:rsidR="00430005">
        <w:rPr>
          <w:rFonts w:ascii="Times New Roman" w:hAnsi="Times New Roman" w:cs="Times New Roman"/>
          <w:sz w:val="28"/>
          <w:szCs w:val="28"/>
        </w:rPr>
        <w:t>.</w:t>
      </w:r>
      <w:r>
        <w:rPr>
          <w:rFonts w:ascii="Times New Roman" w:hAnsi="Times New Roman" w:cs="Times New Roman"/>
          <w:sz w:val="28"/>
          <w:szCs w:val="28"/>
        </w:rPr>
        <w:t>Pūce</w:t>
      </w:r>
      <w:proofErr w:type="spellEnd"/>
    </w:p>
    <w:p w14:paraId="1C1F00E2" w14:textId="77777777" w:rsidR="001F4664" w:rsidRDefault="001F4664" w:rsidP="001F4664">
      <w:pPr>
        <w:spacing w:after="0" w:line="240" w:lineRule="auto"/>
        <w:rPr>
          <w:rFonts w:ascii="Times New Roman" w:hAnsi="Times New Roman" w:cs="Times New Roman"/>
          <w:sz w:val="28"/>
          <w:szCs w:val="28"/>
        </w:rPr>
      </w:pPr>
    </w:p>
    <w:p w14:paraId="6C719492" w14:textId="77777777" w:rsidR="001F4664" w:rsidRDefault="001F4664" w:rsidP="001F4664">
      <w:pPr>
        <w:spacing w:after="0" w:line="240" w:lineRule="auto"/>
        <w:rPr>
          <w:rFonts w:ascii="Times New Roman" w:hAnsi="Times New Roman" w:cs="Times New Roman"/>
          <w:sz w:val="28"/>
          <w:szCs w:val="28"/>
        </w:rPr>
      </w:pPr>
    </w:p>
    <w:p w14:paraId="5C5DA743" w14:textId="77777777" w:rsidR="001F4664" w:rsidRDefault="001F4664" w:rsidP="001F4664">
      <w:pPr>
        <w:spacing w:after="0" w:line="240" w:lineRule="auto"/>
        <w:rPr>
          <w:rFonts w:ascii="Times New Roman" w:hAnsi="Times New Roman" w:cs="Times New Roman"/>
          <w:sz w:val="28"/>
          <w:szCs w:val="28"/>
        </w:rPr>
      </w:pPr>
    </w:p>
    <w:p w14:paraId="0FE6A9DB" w14:textId="77777777" w:rsidR="001F4664" w:rsidRPr="001F4664" w:rsidRDefault="001F4664" w:rsidP="001F4664">
      <w:pPr>
        <w:spacing w:after="0" w:line="240" w:lineRule="auto"/>
        <w:rPr>
          <w:rFonts w:ascii="Times New Roman" w:hAnsi="Times New Roman" w:cs="Times New Roman"/>
          <w:sz w:val="20"/>
          <w:szCs w:val="28"/>
        </w:rPr>
      </w:pPr>
      <w:proofErr w:type="spellStart"/>
      <w:r w:rsidRPr="001F4664">
        <w:rPr>
          <w:rFonts w:ascii="Times New Roman" w:hAnsi="Times New Roman" w:cs="Times New Roman"/>
          <w:sz w:val="20"/>
          <w:szCs w:val="28"/>
        </w:rPr>
        <w:t>I.Doniņa</w:t>
      </w:r>
      <w:proofErr w:type="spellEnd"/>
      <w:r w:rsidRPr="001F4664">
        <w:rPr>
          <w:rFonts w:ascii="Times New Roman" w:hAnsi="Times New Roman" w:cs="Times New Roman"/>
          <w:sz w:val="20"/>
          <w:szCs w:val="28"/>
        </w:rPr>
        <w:t>, 67026515</w:t>
      </w:r>
    </w:p>
    <w:p w14:paraId="1F0EFB58" w14:textId="5EF56314" w:rsidR="001F4664" w:rsidRPr="001F4664" w:rsidRDefault="003901AE" w:rsidP="001F4664">
      <w:pPr>
        <w:spacing w:after="0" w:line="240" w:lineRule="auto"/>
        <w:rPr>
          <w:rFonts w:ascii="Times New Roman" w:hAnsi="Times New Roman" w:cs="Times New Roman"/>
          <w:sz w:val="20"/>
          <w:szCs w:val="28"/>
        </w:rPr>
      </w:pPr>
      <w:hyperlink r:id="rId7" w:history="1">
        <w:r w:rsidR="003A70F1" w:rsidRPr="00451E83">
          <w:rPr>
            <w:rStyle w:val="Hyperlink"/>
            <w:rFonts w:ascii="Times New Roman" w:hAnsi="Times New Roman" w:cs="Times New Roman"/>
            <w:sz w:val="20"/>
            <w:szCs w:val="28"/>
          </w:rPr>
          <w:t>Ilze.donina@varam.gov.lv</w:t>
        </w:r>
      </w:hyperlink>
      <w:r w:rsidR="003A70F1">
        <w:rPr>
          <w:rFonts w:ascii="Times New Roman" w:hAnsi="Times New Roman" w:cs="Times New Roman"/>
          <w:sz w:val="20"/>
          <w:szCs w:val="28"/>
        </w:rPr>
        <w:t xml:space="preserve"> </w:t>
      </w:r>
    </w:p>
    <w:sectPr w:rsidR="001F4664" w:rsidRPr="001F4664" w:rsidSect="00625CF9">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E3CF48" w16cid:durableId="2210BA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99F55" w14:textId="77777777" w:rsidR="006B4A70" w:rsidRDefault="006B4A70" w:rsidP="001F4664">
      <w:pPr>
        <w:spacing w:after="0" w:line="240" w:lineRule="auto"/>
      </w:pPr>
      <w:r>
        <w:separator/>
      </w:r>
    </w:p>
  </w:endnote>
  <w:endnote w:type="continuationSeparator" w:id="0">
    <w:p w14:paraId="04A573FA" w14:textId="77777777" w:rsidR="006B4A70" w:rsidRDefault="006B4A70" w:rsidP="001F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14EA" w14:textId="13428365" w:rsidR="001F4664" w:rsidRPr="001F4664" w:rsidRDefault="001F4664">
    <w:pPr>
      <w:pStyle w:val="Footer"/>
      <w:rPr>
        <w:rFonts w:ascii="Times New Roman" w:hAnsi="Times New Roman" w:cs="Times New Roman"/>
        <w:sz w:val="24"/>
        <w:szCs w:val="24"/>
      </w:rPr>
    </w:pPr>
    <w:r w:rsidRPr="001F4664">
      <w:rPr>
        <w:rFonts w:ascii="Times New Roman" w:hAnsi="Times New Roman" w:cs="Times New Roman"/>
        <w:sz w:val="24"/>
        <w:szCs w:val="24"/>
      </w:rPr>
      <w:t>VARAM</w:t>
    </w:r>
    <w:r w:rsidR="00BC604C">
      <w:rPr>
        <w:rFonts w:ascii="Times New Roman" w:hAnsi="Times New Roman" w:cs="Times New Roman"/>
        <w:sz w:val="24"/>
        <w:szCs w:val="24"/>
      </w:rPr>
      <w:t>N</w:t>
    </w:r>
    <w:r w:rsidR="00625CF9">
      <w:rPr>
        <w:rFonts w:ascii="Times New Roman" w:hAnsi="Times New Roman" w:cs="Times New Roman"/>
        <w:sz w:val="24"/>
        <w:szCs w:val="24"/>
      </w:rPr>
      <w:t>ot_0903</w:t>
    </w:r>
    <w:r w:rsidRPr="001F4664">
      <w:rPr>
        <w:rFonts w:ascii="Times New Roman" w:hAnsi="Times New Roman" w:cs="Times New Roman"/>
        <w:sz w:val="24"/>
        <w:szCs w:val="24"/>
      </w:rPr>
      <w:t>20_groz84_ROHS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718B" w14:textId="2F691486" w:rsidR="00BC604C" w:rsidRPr="00B43BF7" w:rsidRDefault="00625CF9" w:rsidP="00B43BF7">
    <w:pPr>
      <w:pStyle w:val="Footer"/>
      <w:rPr>
        <w:rFonts w:ascii="Times New Roman" w:hAnsi="Times New Roman" w:cs="Times New Roman"/>
        <w:sz w:val="24"/>
        <w:szCs w:val="24"/>
      </w:rPr>
    </w:pPr>
    <w:r>
      <w:rPr>
        <w:rFonts w:ascii="Times New Roman" w:hAnsi="Times New Roman" w:cs="Times New Roman"/>
        <w:sz w:val="24"/>
        <w:szCs w:val="24"/>
      </w:rPr>
      <w:t>VARAMNot_0903</w:t>
    </w:r>
    <w:r w:rsidR="00B43BF7" w:rsidRPr="00625CF9">
      <w:rPr>
        <w:rFonts w:ascii="Times New Roman" w:hAnsi="Times New Roman" w:cs="Times New Roman"/>
        <w:sz w:val="24"/>
        <w:szCs w:val="24"/>
      </w:rPr>
      <w:t>20</w:t>
    </w:r>
    <w:r w:rsidR="00B43BF7">
      <w:rPr>
        <w:rFonts w:ascii="Times New Roman" w:hAnsi="Times New Roman" w:cs="Times New Roman"/>
        <w:sz w:val="24"/>
        <w:szCs w:val="24"/>
      </w:rPr>
      <w:t xml:space="preserve">_ </w:t>
    </w:r>
    <w:r w:rsidR="00B43BF7" w:rsidRPr="001F4664">
      <w:rPr>
        <w:rFonts w:ascii="Times New Roman" w:hAnsi="Times New Roman" w:cs="Times New Roman"/>
        <w:sz w:val="24"/>
        <w:szCs w:val="24"/>
      </w:rPr>
      <w:t>groz84</w:t>
    </w:r>
    <w:r w:rsidR="00B43BF7">
      <w:rPr>
        <w:rFonts w:ascii="Times New Roman" w:hAnsi="Times New Roman" w:cs="Times New Roman"/>
        <w:sz w:val="24"/>
        <w:szCs w:val="24"/>
      </w:rPr>
      <w:t>_</w:t>
    </w:r>
    <w:r w:rsidR="00B43BF7" w:rsidRPr="00625CF9">
      <w:rPr>
        <w:rFonts w:ascii="Times New Roman" w:hAnsi="Times New Roman" w:cs="Times New Roman"/>
        <w:sz w:val="24"/>
        <w:szCs w:val="24"/>
      </w:rPr>
      <w:t>ROHS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C0393" w14:textId="77777777" w:rsidR="006B4A70" w:rsidRDefault="006B4A70" w:rsidP="001F4664">
      <w:pPr>
        <w:spacing w:after="0" w:line="240" w:lineRule="auto"/>
      </w:pPr>
      <w:r>
        <w:separator/>
      </w:r>
    </w:p>
  </w:footnote>
  <w:footnote w:type="continuationSeparator" w:id="0">
    <w:p w14:paraId="3928E9AB" w14:textId="77777777" w:rsidR="006B4A70" w:rsidRDefault="006B4A70" w:rsidP="001F4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4582"/>
      <w:docPartObj>
        <w:docPartGallery w:val="Page Numbers (Top of Page)"/>
        <w:docPartUnique/>
      </w:docPartObj>
    </w:sdtPr>
    <w:sdtEndPr>
      <w:rPr>
        <w:rFonts w:ascii="Times" w:hAnsi="Times"/>
        <w:noProof/>
        <w:sz w:val="24"/>
      </w:rPr>
    </w:sdtEndPr>
    <w:sdtContent>
      <w:p w14:paraId="24D474E4" w14:textId="77777777" w:rsidR="001F4664" w:rsidRPr="00625CF9" w:rsidRDefault="001F4664">
        <w:pPr>
          <w:pStyle w:val="Header"/>
          <w:jc w:val="center"/>
          <w:rPr>
            <w:rFonts w:ascii="Times" w:hAnsi="Times"/>
            <w:sz w:val="24"/>
          </w:rPr>
        </w:pPr>
        <w:r w:rsidRPr="00625CF9">
          <w:rPr>
            <w:rFonts w:ascii="Times" w:hAnsi="Times"/>
            <w:sz w:val="24"/>
          </w:rPr>
          <w:fldChar w:fldCharType="begin"/>
        </w:r>
        <w:r w:rsidRPr="00625CF9">
          <w:rPr>
            <w:rFonts w:ascii="Times" w:hAnsi="Times"/>
            <w:sz w:val="24"/>
          </w:rPr>
          <w:instrText xml:space="preserve"> PAGE   \* MERGEFORMAT </w:instrText>
        </w:r>
        <w:r w:rsidRPr="00625CF9">
          <w:rPr>
            <w:rFonts w:ascii="Times" w:hAnsi="Times"/>
            <w:sz w:val="24"/>
          </w:rPr>
          <w:fldChar w:fldCharType="separate"/>
        </w:r>
        <w:r w:rsidR="003901AE">
          <w:rPr>
            <w:rFonts w:ascii="Times" w:hAnsi="Times"/>
            <w:noProof/>
            <w:sz w:val="24"/>
          </w:rPr>
          <w:t>2</w:t>
        </w:r>
        <w:r w:rsidRPr="00625CF9">
          <w:rPr>
            <w:rFonts w:ascii="Times" w:hAnsi="Times"/>
            <w:noProof/>
            <w:sz w:val="24"/>
          </w:rPr>
          <w:fldChar w:fldCharType="end"/>
        </w:r>
      </w:p>
    </w:sdtContent>
  </w:sdt>
  <w:p w14:paraId="05952407" w14:textId="77777777" w:rsidR="001F4664" w:rsidRDefault="001F4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17F3C"/>
    <w:multiLevelType w:val="hybridMultilevel"/>
    <w:tmpl w:val="182C9CA4"/>
    <w:lvl w:ilvl="0" w:tplc="B5004B32">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BF23550"/>
    <w:multiLevelType w:val="hybridMultilevel"/>
    <w:tmpl w:val="2A8CC864"/>
    <w:lvl w:ilvl="0" w:tplc="14708F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4"/>
    <w:rsid w:val="00062C72"/>
    <w:rsid w:val="00143EB0"/>
    <w:rsid w:val="00172AEC"/>
    <w:rsid w:val="001D3D47"/>
    <w:rsid w:val="001F4664"/>
    <w:rsid w:val="002B3D3E"/>
    <w:rsid w:val="003901AE"/>
    <w:rsid w:val="003A70F1"/>
    <w:rsid w:val="003C6FC4"/>
    <w:rsid w:val="00430005"/>
    <w:rsid w:val="004D42A3"/>
    <w:rsid w:val="00581B70"/>
    <w:rsid w:val="0059243D"/>
    <w:rsid w:val="005B28A7"/>
    <w:rsid w:val="00625CF9"/>
    <w:rsid w:val="0068480E"/>
    <w:rsid w:val="006B4A70"/>
    <w:rsid w:val="00870E6A"/>
    <w:rsid w:val="008C4DD7"/>
    <w:rsid w:val="00926119"/>
    <w:rsid w:val="00A84138"/>
    <w:rsid w:val="00B43BF7"/>
    <w:rsid w:val="00BC604C"/>
    <w:rsid w:val="00DF7F25"/>
    <w:rsid w:val="00F51CC2"/>
    <w:rsid w:val="00F95E1D"/>
    <w:rsid w:val="00FD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675D"/>
  <w15:chartTrackingRefBased/>
  <w15:docId w15:val="{CBBE1E58-4098-4C97-94BB-EC592A6F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FC4"/>
    <w:rPr>
      <w:b/>
      <w:bCs/>
    </w:rPr>
  </w:style>
  <w:style w:type="paragraph" w:customStyle="1" w:styleId="naislab">
    <w:name w:val="naislab"/>
    <w:basedOn w:val="Normal"/>
    <w:rsid w:val="003C6FC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C6FC4"/>
    <w:pPr>
      <w:ind w:left="720"/>
      <w:contextualSpacing/>
    </w:pPr>
  </w:style>
  <w:style w:type="character" w:customStyle="1" w:styleId="normaltextrun">
    <w:name w:val="normaltextrun"/>
    <w:rsid w:val="00F51CC2"/>
  </w:style>
  <w:style w:type="character" w:customStyle="1" w:styleId="findhit">
    <w:name w:val="findhit"/>
    <w:rsid w:val="00F51CC2"/>
  </w:style>
  <w:style w:type="character" w:customStyle="1" w:styleId="spellingerror">
    <w:name w:val="spellingerror"/>
    <w:rsid w:val="00F51CC2"/>
  </w:style>
  <w:style w:type="table" w:styleId="TableGrid">
    <w:name w:val="Table Grid"/>
    <w:basedOn w:val="TableNormal"/>
    <w:uiPriority w:val="39"/>
    <w:rsid w:val="00F5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Normal"/>
    <w:rsid w:val="00F51C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F51C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F46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4664"/>
  </w:style>
  <w:style w:type="paragraph" w:styleId="Footer">
    <w:name w:val="footer"/>
    <w:basedOn w:val="Normal"/>
    <w:link w:val="FooterChar"/>
    <w:uiPriority w:val="99"/>
    <w:unhideWhenUsed/>
    <w:rsid w:val="001F46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4664"/>
  </w:style>
  <w:style w:type="paragraph" w:styleId="BalloonText">
    <w:name w:val="Balloon Text"/>
    <w:basedOn w:val="Normal"/>
    <w:link w:val="BalloonTextChar"/>
    <w:uiPriority w:val="99"/>
    <w:semiHidden/>
    <w:unhideWhenUsed/>
    <w:rsid w:val="00BC6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4C"/>
    <w:rPr>
      <w:rFonts w:ascii="Segoe UI" w:hAnsi="Segoe UI" w:cs="Segoe UI"/>
      <w:sz w:val="18"/>
      <w:szCs w:val="18"/>
    </w:rPr>
  </w:style>
  <w:style w:type="character" w:styleId="Hyperlink">
    <w:name w:val="Hyperlink"/>
    <w:basedOn w:val="DefaultParagraphFont"/>
    <w:uiPriority w:val="99"/>
    <w:unhideWhenUsed/>
    <w:rsid w:val="003A70F1"/>
    <w:rPr>
      <w:color w:val="0563C1" w:themeColor="hyperlink"/>
      <w:u w:val="single"/>
    </w:rPr>
  </w:style>
  <w:style w:type="character" w:customStyle="1" w:styleId="UnresolvedMention">
    <w:name w:val="Unresolved Mention"/>
    <w:basedOn w:val="DefaultParagraphFont"/>
    <w:uiPriority w:val="99"/>
    <w:semiHidden/>
    <w:unhideWhenUsed/>
    <w:rsid w:val="003A70F1"/>
    <w:rPr>
      <w:color w:val="605E5C"/>
      <w:shd w:val="clear" w:color="auto" w:fill="E1DFDD"/>
    </w:rPr>
  </w:style>
  <w:style w:type="character" w:styleId="CommentReference">
    <w:name w:val="annotation reference"/>
    <w:basedOn w:val="DefaultParagraphFont"/>
    <w:uiPriority w:val="99"/>
    <w:semiHidden/>
    <w:unhideWhenUsed/>
    <w:rsid w:val="00430005"/>
    <w:rPr>
      <w:sz w:val="16"/>
      <w:szCs w:val="16"/>
    </w:rPr>
  </w:style>
  <w:style w:type="paragraph" w:styleId="CommentText">
    <w:name w:val="annotation text"/>
    <w:basedOn w:val="Normal"/>
    <w:link w:val="CommentTextChar"/>
    <w:uiPriority w:val="99"/>
    <w:semiHidden/>
    <w:unhideWhenUsed/>
    <w:rsid w:val="00430005"/>
    <w:pPr>
      <w:spacing w:line="240" w:lineRule="auto"/>
    </w:pPr>
    <w:rPr>
      <w:sz w:val="20"/>
      <w:szCs w:val="20"/>
    </w:rPr>
  </w:style>
  <w:style w:type="character" w:customStyle="1" w:styleId="CommentTextChar">
    <w:name w:val="Comment Text Char"/>
    <w:basedOn w:val="DefaultParagraphFont"/>
    <w:link w:val="CommentText"/>
    <w:uiPriority w:val="99"/>
    <w:semiHidden/>
    <w:rsid w:val="00430005"/>
    <w:rPr>
      <w:sz w:val="20"/>
      <w:szCs w:val="20"/>
    </w:rPr>
  </w:style>
  <w:style w:type="paragraph" w:styleId="CommentSubject">
    <w:name w:val="annotation subject"/>
    <w:basedOn w:val="CommentText"/>
    <w:next w:val="CommentText"/>
    <w:link w:val="CommentSubjectChar"/>
    <w:uiPriority w:val="99"/>
    <w:semiHidden/>
    <w:unhideWhenUsed/>
    <w:rsid w:val="00430005"/>
    <w:rPr>
      <w:b/>
      <w:bCs/>
    </w:rPr>
  </w:style>
  <w:style w:type="character" w:customStyle="1" w:styleId="CommentSubjectChar">
    <w:name w:val="Comment Subject Char"/>
    <w:basedOn w:val="CommentTextChar"/>
    <w:link w:val="CommentSubject"/>
    <w:uiPriority w:val="99"/>
    <w:semiHidden/>
    <w:rsid w:val="00430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lze.don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1558</Words>
  <Characters>889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5. februāra noteikumos Nr. 84 “Noteikumi par atsevišķu bīstamu ķīmisku vielu lietošanas ierobežojumiem elektriskajās un elektroniskajās iekārtās”</dc:title>
  <dc:subject>MK noteikumu projekts</dc:subject>
  <dc:creator>Ilze Doniņa</dc:creator>
  <cp:keywords/>
  <dc:description>67026515, ilze.donina@varam.gov.lv</dc:description>
  <cp:lastModifiedBy>EU</cp:lastModifiedBy>
  <cp:revision>2</cp:revision>
  <dcterms:created xsi:type="dcterms:W3CDTF">2020-03-23T08:58:00Z</dcterms:created>
  <dcterms:modified xsi:type="dcterms:W3CDTF">2020-03-23T08:58:00Z</dcterms:modified>
</cp:coreProperties>
</file>