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0B7C1" w14:textId="77C04803" w:rsidR="00894C55" w:rsidRPr="008F497F" w:rsidRDefault="00F22689"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8F497F">
        <w:rPr>
          <w:rFonts w:ascii="Times New Roman" w:eastAsia="Times New Roman" w:hAnsi="Times New Roman" w:cs="Times New Roman"/>
          <w:b/>
          <w:bCs/>
          <w:color w:val="414142"/>
          <w:sz w:val="28"/>
          <w:szCs w:val="24"/>
          <w:lang w:eastAsia="lv-LV"/>
        </w:rPr>
        <w:t xml:space="preserve">Ministru kabineta noteikumu </w:t>
      </w:r>
      <w:r w:rsidR="00894C55" w:rsidRPr="008F497F">
        <w:rPr>
          <w:rFonts w:ascii="Times New Roman" w:eastAsia="Times New Roman" w:hAnsi="Times New Roman" w:cs="Times New Roman"/>
          <w:b/>
          <w:bCs/>
          <w:color w:val="414142"/>
          <w:sz w:val="28"/>
          <w:szCs w:val="24"/>
          <w:lang w:eastAsia="lv-LV"/>
        </w:rPr>
        <w:t>projekta</w:t>
      </w:r>
      <w:r w:rsidRPr="008F497F">
        <w:rPr>
          <w:rFonts w:ascii="Times New Roman" w:eastAsia="Times New Roman" w:hAnsi="Times New Roman" w:cs="Times New Roman"/>
          <w:b/>
          <w:bCs/>
          <w:color w:val="414142"/>
          <w:sz w:val="28"/>
          <w:szCs w:val="24"/>
          <w:lang w:eastAsia="lv-LV"/>
        </w:rPr>
        <w:t xml:space="preserve"> </w:t>
      </w:r>
      <w:r w:rsidR="003D0C6F">
        <w:rPr>
          <w:rFonts w:ascii="Times New Roman" w:eastAsia="Times New Roman" w:hAnsi="Times New Roman" w:cs="Times New Roman"/>
          <w:b/>
          <w:bCs/>
          <w:color w:val="414142"/>
          <w:sz w:val="28"/>
          <w:szCs w:val="24"/>
          <w:lang w:eastAsia="lv-LV"/>
        </w:rPr>
        <w:t>"</w:t>
      </w:r>
      <w:r w:rsidR="00AF4117" w:rsidRPr="008F497F">
        <w:rPr>
          <w:rFonts w:ascii="Times New Roman" w:eastAsia="Times New Roman" w:hAnsi="Times New Roman" w:cs="Times New Roman"/>
          <w:b/>
          <w:bCs/>
          <w:color w:val="414142"/>
          <w:sz w:val="28"/>
          <w:szCs w:val="24"/>
          <w:lang w:eastAsia="lv-LV"/>
        </w:rPr>
        <w:t>Prekursoru operatoru un prekursoru lietotāju reģistrēšanas un licencēšanas kārtība</w:t>
      </w:r>
      <w:r w:rsidR="003D0C6F">
        <w:rPr>
          <w:rFonts w:ascii="Times New Roman" w:eastAsia="Times New Roman" w:hAnsi="Times New Roman" w:cs="Times New Roman"/>
          <w:b/>
          <w:bCs/>
          <w:color w:val="414142"/>
          <w:sz w:val="28"/>
          <w:szCs w:val="24"/>
          <w:lang w:eastAsia="lv-LV"/>
        </w:rPr>
        <w:t>"</w:t>
      </w:r>
      <w:r w:rsidRPr="008F497F">
        <w:rPr>
          <w:rFonts w:ascii="Times New Roman" w:eastAsia="Times New Roman" w:hAnsi="Times New Roman" w:cs="Times New Roman"/>
          <w:b/>
          <w:bCs/>
          <w:color w:val="414142"/>
          <w:sz w:val="28"/>
          <w:szCs w:val="24"/>
          <w:lang w:eastAsia="lv-LV"/>
        </w:rPr>
        <w:t xml:space="preserve"> </w:t>
      </w:r>
      <w:r w:rsidR="00894C55" w:rsidRPr="008F497F">
        <w:rPr>
          <w:rFonts w:ascii="Times New Roman" w:eastAsia="Times New Roman" w:hAnsi="Times New Roman" w:cs="Times New Roman"/>
          <w:b/>
          <w:bCs/>
          <w:color w:val="414142"/>
          <w:sz w:val="28"/>
          <w:szCs w:val="24"/>
          <w:lang w:eastAsia="lv-LV"/>
        </w:rPr>
        <w:t>sākotnējās ietekmes novērtējuma ziņojums (anotācija)</w:t>
      </w:r>
    </w:p>
    <w:p w14:paraId="34F63FC1" w14:textId="77777777" w:rsidR="00E5323B" w:rsidRPr="008F497F"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4"/>
        <w:gridCol w:w="85"/>
        <w:gridCol w:w="50"/>
        <w:gridCol w:w="99"/>
        <w:gridCol w:w="851"/>
        <w:gridCol w:w="1667"/>
        <w:gridCol w:w="431"/>
        <w:gridCol w:w="34"/>
        <w:gridCol w:w="35"/>
        <w:gridCol w:w="97"/>
        <w:gridCol w:w="94"/>
        <w:gridCol w:w="149"/>
        <w:gridCol w:w="1601"/>
        <w:gridCol w:w="3368"/>
      </w:tblGrid>
      <w:tr w:rsidR="00E5323B" w:rsidRPr="008F497F" w14:paraId="0EC71234" w14:textId="77777777" w:rsidTr="00E5323B">
        <w:trPr>
          <w:tblCellSpacing w:w="15" w:type="dxa"/>
        </w:trPr>
        <w:tc>
          <w:tcPr>
            <w:tcW w:w="0" w:type="auto"/>
            <w:gridSpan w:val="14"/>
            <w:tcBorders>
              <w:top w:val="outset" w:sz="6" w:space="0" w:color="auto"/>
              <w:left w:val="outset" w:sz="6" w:space="0" w:color="auto"/>
              <w:bottom w:val="outset" w:sz="6" w:space="0" w:color="auto"/>
              <w:right w:val="outset" w:sz="6" w:space="0" w:color="auto"/>
            </w:tcBorders>
            <w:vAlign w:val="center"/>
            <w:hideMark/>
          </w:tcPr>
          <w:p w14:paraId="65F8A461" w14:textId="77777777" w:rsidR="00655F2C" w:rsidRPr="008F497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F497F">
              <w:rPr>
                <w:rFonts w:ascii="Times New Roman" w:eastAsia="Times New Roman" w:hAnsi="Times New Roman" w:cs="Times New Roman"/>
                <w:b/>
                <w:bCs/>
                <w:iCs/>
                <w:color w:val="414142"/>
                <w:sz w:val="24"/>
                <w:szCs w:val="24"/>
                <w:lang w:eastAsia="lv-LV"/>
              </w:rPr>
              <w:t>Tiesību akta projekta anotācijas kopsavilkums</w:t>
            </w:r>
          </w:p>
        </w:tc>
      </w:tr>
      <w:tr w:rsidR="00E5323B" w:rsidRPr="008F497F" w14:paraId="507D1864" w14:textId="77777777" w:rsidTr="000547C8">
        <w:trPr>
          <w:tblCellSpacing w:w="15" w:type="dxa"/>
        </w:trPr>
        <w:tc>
          <w:tcPr>
            <w:tcW w:w="1976" w:type="pct"/>
            <w:gridSpan w:val="7"/>
            <w:tcBorders>
              <w:top w:val="outset" w:sz="6" w:space="0" w:color="auto"/>
              <w:left w:val="outset" w:sz="6" w:space="0" w:color="auto"/>
              <w:bottom w:val="outset" w:sz="6" w:space="0" w:color="auto"/>
              <w:right w:val="outset" w:sz="6" w:space="0" w:color="auto"/>
            </w:tcBorders>
            <w:hideMark/>
          </w:tcPr>
          <w:p w14:paraId="06121D20" w14:textId="77777777" w:rsidR="00E5323B"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4" w:type="pct"/>
            <w:gridSpan w:val="7"/>
            <w:tcBorders>
              <w:top w:val="outset" w:sz="6" w:space="0" w:color="auto"/>
              <w:left w:val="outset" w:sz="6" w:space="0" w:color="auto"/>
              <w:bottom w:val="outset" w:sz="6" w:space="0" w:color="auto"/>
              <w:right w:val="outset" w:sz="6" w:space="0" w:color="auto"/>
            </w:tcBorders>
            <w:hideMark/>
          </w:tcPr>
          <w:p w14:paraId="42D9F087" w14:textId="77777777" w:rsidR="00E5323B" w:rsidRDefault="008B32D8" w:rsidP="00D24A73">
            <w:pPr>
              <w:spacing w:after="0" w:line="240" w:lineRule="auto"/>
              <w:jc w:val="both"/>
              <w:rPr>
                <w:rFonts w:ascii="Times New Roman" w:eastAsia="Times New Roman" w:hAnsi="Times New Roman" w:cs="Times New Roman"/>
                <w:iCs/>
                <w:color w:val="000000" w:themeColor="text1"/>
                <w:sz w:val="24"/>
                <w:szCs w:val="24"/>
                <w:lang w:eastAsia="lv-LV"/>
              </w:rPr>
            </w:pPr>
            <w:r w:rsidRPr="008F497F">
              <w:rPr>
                <w:rFonts w:ascii="Times New Roman" w:eastAsia="Times New Roman" w:hAnsi="Times New Roman" w:cs="Times New Roman"/>
                <w:iCs/>
                <w:color w:val="000000" w:themeColor="text1"/>
                <w:sz w:val="24"/>
                <w:szCs w:val="24"/>
                <w:lang w:eastAsia="lv-LV"/>
              </w:rPr>
              <w:t xml:space="preserve">Projekta mērķis ir </w:t>
            </w:r>
            <w:r w:rsidR="00CA53CD" w:rsidRPr="008F497F">
              <w:rPr>
                <w:rFonts w:ascii="Times New Roman" w:eastAsia="Times New Roman" w:hAnsi="Times New Roman" w:cs="Times New Roman"/>
                <w:iCs/>
                <w:color w:val="000000" w:themeColor="text1"/>
                <w:sz w:val="24"/>
                <w:szCs w:val="24"/>
                <w:lang w:eastAsia="lv-LV"/>
              </w:rPr>
              <w:t>noteikt</w:t>
            </w:r>
            <w:r w:rsidR="00AF4117" w:rsidRPr="008F497F">
              <w:rPr>
                <w:rFonts w:ascii="Times New Roman" w:eastAsia="Times New Roman" w:hAnsi="Times New Roman" w:cs="Times New Roman"/>
                <w:iCs/>
                <w:color w:val="000000" w:themeColor="text1"/>
                <w:sz w:val="24"/>
                <w:szCs w:val="24"/>
                <w:lang w:eastAsia="lv-LV"/>
              </w:rPr>
              <w:t xml:space="preserve"> prekursoru operatoru un prekursoru lietotāju reģistrēšanas un licencēšanas kārtību tiktāl, cik to neregulē</w:t>
            </w:r>
            <w:r w:rsidR="000D0B09" w:rsidRPr="008F497F">
              <w:rPr>
                <w:rFonts w:ascii="Times New Roman" w:eastAsia="Times New Roman" w:hAnsi="Times New Roman" w:cs="Times New Roman"/>
                <w:iCs/>
                <w:color w:val="000000" w:themeColor="text1"/>
                <w:sz w:val="24"/>
                <w:szCs w:val="24"/>
                <w:lang w:eastAsia="lv-LV"/>
              </w:rPr>
              <w:t xml:space="preserve"> Komisijas 2015.gada 24.aprīļa deleģētā regula (ES) Nr.2015/1011, ar kuru papildina Eiropas Parlamenta un Padomes Regulu (EK) Nr.273/2004 par narkotisko vielu prekursoriem un Padomes Regulu (EK) Nr.111/2005, ar ko paredz noteikumus par uzraudzību attiecībā uz narkotisko vielu prekursoru tirdzniecību starp Savienību un trešām valstīm, un ar kuru atceļ Komisijas Regulu (EK) Nr.1277/2005</w:t>
            </w:r>
            <w:r w:rsidR="00AF4117" w:rsidRPr="008F497F">
              <w:rPr>
                <w:rFonts w:ascii="Times New Roman" w:eastAsia="Times New Roman" w:hAnsi="Times New Roman" w:cs="Times New Roman"/>
                <w:iCs/>
                <w:color w:val="000000" w:themeColor="text1"/>
                <w:sz w:val="24"/>
                <w:szCs w:val="24"/>
                <w:lang w:eastAsia="lv-LV"/>
              </w:rPr>
              <w:t xml:space="preserve"> </w:t>
            </w:r>
            <w:r w:rsidR="000D0B09" w:rsidRPr="008F497F">
              <w:rPr>
                <w:rFonts w:ascii="Times New Roman" w:eastAsia="Times New Roman" w:hAnsi="Times New Roman" w:cs="Times New Roman"/>
                <w:iCs/>
                <w:color w:val="000000" w:themeColor="text1"/>
                <w:sz w:val="24"/>
                <w:szCs w:val="24"/>
                <w:lang w:eastAsia="lv-LV"/>
              </w:rPr>
              <w:t>(turpmāk</w:t>
            </w:r>
            <w:r w:rsidR="00CD1FDB">
              <w:rPr>
                <w:rFonts w:ascii="Times New Roman" w:eastAsia="Times New Roman" w:hAnsi="Times New Roman" w:cs="Times New Roman"/>
                <w:iCs/>
                <w:color w:val="000000" w:themeColor="text1"/>
                <w:sz w:val="24"/>
                <w:szCs w:val="24"/>
                <w:lang w:eastAsia="lv-LV"/>
              </w:rPr>
              <w:t> </w:t>
            </w:r>
            <w:r w:rsidR="000D0B09" w:rsidRPr="008F497F">
              <w:rPr>
                <w:rFonts w:ascii="Times New Roman" w:eastAsia="Times New Roman" w:hAnsi="Times New Roman" w:cs="Times New Roman"/>
                <w:iCs/>
                <w:color w:val="000000" w:themeColor="text1"/>
                <w:sz w:val="24"/>
                <w:szCs w:val="24"/>
                <w:lang w:eastAsia="lv-LV"/>
              </w:rPr>
              <w:t>-</w:t>
            </w:r>
            <w:r w:rsidR="00CD1FDB">
              <w:rPr>
                <w:rFonts w:ascii="Times New Roman" w:eastAsia="Times New Roman" w:hAnsi="Times New Roman" w:cs="Times New Roman"/>
                <w:iCs/>
                <w:color w:val="000000" w:themeColor="text1"/>
                <w:sz w:val="24"/>
                <w:szCs w:val="24"/>
                <w:lang w:eastAsia="lv-LV"/>
              </w:rPr>
              <w:t> </w:t>
            </w:r>
            <w:r w:rsidR="00F22353" w:rsidRPr="008F497F">
              <w:rPr>
                <w:rFonts w:ascii="Times New Roman" w:eastAsia="Times New Roman" w:hAnsi="Times New Roman" w:cs="Times New Roman"/>
                <w:iCs/>
                <w:color w:val="000000" w:themeColor="text1"/>
                <w:sz w:val="24"/>
                <w:szCs w:val="24"/>
                <w:lang w:eastAsia="lv-LV"/>
              </w:rPr>
              <w:t>regula</w:t>
            </w:r>
            <w:r w:rsidR="00AF4117" w:rsidRPr="008F497F">
              <w:rPr>
                <w:rFonts w:ascii="Times New Roman" w:eastAsia="Times New Roman" w:hAnsi="Times New Roman" w:cs="Times New Roman"/>
                <w:iCs/>
                <w:color w:val="000000" w:themeColor="text1"/>
                <w:sz w:val="24"/>
                <w:szCs w:val="24"/>
                <w:lang w:eastAsia="lv-LV"/>
              </w:rPr>
              <w:t xml:space="preserve"> Nr.2015/1011</w:t>
            </w:r>
            <w:r w:rsidR="000D0B09" w:rsidRPr="008F497F">
              <w:rPr>
                <w:rFonts w:ascii="Times New Roman" w:eastAsia="Times New Roman" w:hAnsi="Times New Roman" w:cs="Times New Roman"/>
                <w:iCs/>
                <w:color w:val="000000" w:themeColor="text1"/>
                <w:sz w:val="24"/>
                <w:szCs w:val="24"/>
                <w:lang w:eastAsia="lv-LV"/>
              </w:rPr>
              <w:t>)</w:t>
            </w:r>
            <w:r w:rsidR="00F22353" w:rsidRPr="008F497F">
              <w:rPr>
                <w:rFonts w:ascii="Times New Roman" w:eastAsia="Times New Roman" w:hAnsi="Times New Roman" w:cs="Times New Roman"/>
                <w:iCs/>
                <w:color w:val="000000" w:themeColor="text1"/>
                <w:sz w:val="24"/>
                <w:szCs w:val="24"/>
                <w:lang w:eastAsia="lv-LV"/>
              </w:rPr>
              <w:t xml:space="preserve"> un  </w:t>
            </w:r>
            <w:r w:rsidR="000D0B09" w:rsidRPr="008F497F">
              <w:rPr>
                <w:rFonts w:ascii="Times New Roman" w:eastAsia="Times New Roman" w:hAnsi="Times New Roman" w:cs="Times New Roman"/>
                <w:iCs/>
                <w:color w:val="000000" w:themeColor="text1"/>
                <w:sz w:val="24"/>
                <w:szCs w:val="24"/>
                <w:lang w:eastAsia="lv-LV"/>
              </w:rPr>
              <w:t>Komisijas 2015.gada 25.jūnija deleģētā regula (ES) Nr.2015/1013, ar ko paredz noteikumus attiecībā uz Eiropas Parlamenta un Padomes Regulu (EK) Nr. 273/2004 par narkotisko vielu prekursoriem un Padomes Regulu (EK) Nr. 111/2005, ar ko paredz noteikumus par uzraudzību attiecībā uz narkotisko vielu prekursoru tirdzniecības starp Savienību un trešām valstīm (turpmāk</w:t>
            </w:r>
            <w:r w:rsidR="00CD1FDB">
              <w:rPr>
                <w:rFonts w:ascii="Times New Roman" w:eastAsia="Times New Roman" w:hAnsi="Times New Roman" w:cs="Times New Roman"/>
                <w:iCs/>
                <w:color w:val="000000" w:themeColor="text1"/>
                <w:sz w:val="24"/>
                <w:szCs w:val="24"/>
                <w:lang w:eastAsia="lv-LV"/>
              </w:rPr>
              <w:t> - </w:t>
            </w:r>
            <w:r w:rsidR="000D0B09" w:rsidRPr="008F497F">
              <w:rPr>
                <w:rFonts w:ascii="Times New Roman" w:eastAsia="Times New Roman" w:hAnsi="Times New Roman" w:cs="Times New Roman"/>
                <w:iCs/>
                <w:color w:val="000000" w:themeColor="text1"/>
                <w:sz w:val="24"/>
                <w:szCs w:val="24"/>
                <w:lang w:eastAsia="lv-LV"/>
              </w:rPr>
              <w:t>regula Nr.2015/1013)</w:t>
            </w:r>
            <w:r w:rsidR="00AF4117" w:rsidRPr="008F497F">
              <w:rPr>
                <w:rFonts w:ascii="Times New Roman" w:eastAsia="Times New Roman" w:hAnsi="Times New Roman" w:cs="Times New Roman"/>
                <w:iCs/>
                <w:color w:val="000000" w:themeColor="text1"/>
                <w:sz w:val="24"/>
                <w:szCs w:val="24"/>
                <w:lang w:eastAsia="lv-LV"/>
              </w:rPr>
              <w:t xml:space="preserve">, </w:t>
            </w:r>
            <w:r w:rsidR="00F22353" w:rsidRPr="008F497F">
              <w:rPr>
                <w:rFonts w:ascii="Times New Roman" w:eastAsia="Times New Roman" w:hAnsi="Times New Roman" w:cs="Times New Roman"/>
                <w:iCs/>
                <w:color w:val="000000" w:themeColor="text1"/>
                <w:sz w:val="24"/>
                <w:szCs w:val="24"/>
                <w:lang w:eastAsia="lv-LV"/>
              </w:rPr>
              <w:t>prasības prekursoru uzglabāšanai, kā arī</w:t>
            </w:r>
            <w:r w:rsidR="00CA53CD" w:rsidRPr="008F497F">
              <w:rPr>
                <w:rFonts w:ascii="Times New Roman" w:eastAsia="Times New Roman" w:hAnsi="Times New Roman" w:cs="Times New Roman"/>
                <w:iCs/>
                <w:color w:val="000000" w:themeColor="text1"/>
                <w:sz w:val="24"/>
                <w:szCs w:val="24"/>
                <w:lang w:eastAsia="lv-LV"/>
              </w:rPr>
              <w:t xml:space="preserve"> kārtību, kādā </w:t>
            </w:r>
            <w:r w:rsidR="00F22353" w:rsidRPr="008F497F">
              <w:rPr>
                <w:rFonts w:ascii="Times New Roman" w:eastAsia="Times New Roman" w:hAnsi="Times New Roman" w:cs="Times New Roman"/>
                <w:iCs/>
                <w:color w:val="000000" w:themeColor="text1"/>
                <w:sz w:val="24"/>
                <w:szCs w:val="24"/>
                <w:lang w:eastAsia="lv-LV"/>
              </w:rPr>
              <w:t>prekursoru operatori sniedz Zāļu valsts aģentūrai (turpmāk</w:t>
            </w:r>
            <w:r w:rsidR="00CD1FDB">
              <w:rPr>
                <w:rFonts w:ascii="Times New Roman" w:eastAsia="Times New Roman" w:hAnsi="Times New Roman" w:cs="Times New Roman"/>
                <w:iCs/>
                <w:color w:val="000000" w:themeColor="text1"/>
                <w:sz w:val="24"/>
                <w:szCs w:val="24"/>
                <w:lang w:eastAsia="lv-LV"/>
              </w:rPr>
              <w:t> </w:t>
            </w:r>
            <w:r w:rsidR="00F22353" w:rsidRPr="008F497F">
              <w:rPr>
                <w:rFonts w:ascii="Times New Roman" w:eastAsia="Times New Roman" w:hAnsi="Times New Roman" w:cs="Times New Roman"/>
                <w:iCs/>
                <w:color w:val="000000" w:themeColor="text1"/>
                <w:sz w:val="24"/>
                <w:szCs w:val="24"/>
                <w:lang w:eastAsia="lv-LV"/>
              </w:rPr>
              <w:t>-</w:t>
            </w:r>
            <w:r w:rsidR="00CD1FDB">
              <w:rPr>
                <w:rFonts w:ascii="Times New Roman" w:eastAsia="Times New Roman" w:hAnsi="Times New Roman" w:cs="Times New Roman"/>
                <w:iCs/>
                <w:color w:val="000000" w:themeColor="text1"/>
                <w:sz w:val="24"/>
                <w:szCs w:val="24"/>
                <w:lang w:eastAsia="lv-LV"/>
              </w:rPr>
              <w:t> </w:t>
            </w:r>
            <w:r w:rsidR="00F22353" w:rsidRPr="008F497F">
              <w:rPr>
                <w:rFonts w:ascii="Times New Roman" w:eastAsia="Times New Roman" w:hAnsi="Times New Roman" w:cs="Times New Roman"/>
                <w:iCs/>
                <w:color w:val="000000" w:themeColor="text1"/>
                <w:sz w:val="24"/>
                <w:szCs w:val="24"/>
                <w:lang w:eastAsia="lv-LV"/>
              </w:rPr>
              <w:t>aģentūra) informāciju par saviem darījumiem ar prekursoriem, kā arī sniedzamās informācijas saturu</w:t>
            </w:r>
            <w:r w:rsidR="00CA53CD" w:rsidRPr="008F497F">
              <w:rPr>
                <w:rFonts w:ascii="Times New Roman" w:eastAsia="Times New Roman" w:hAnsi="Times New Roman" w:cs="Times New Roman"/>
                <w:iCs/>
                <w:color w:val="000000" w:themeColor="text1"/>
                <w:sz w:val="24"/>
                <w:szCs w:val="24"/>
                <w:lang w:eastAsia="lv-LV"/>
              </w:rPr>
              <w:t xml:space="preserve">. </w:t>
            </w:r>
            <w:r w:rsidR="00F219FE" w:rsidRPr="008F497F">
              <w:rPr>
                <w:rFonts w:ascii="Times New Roman" w:eastAsia="Times New Roman" w:hAnsi="Times New Roman" w:cs="Times New Roman"/>
                <w:iCs/>
                <w:color w:val="000000" w:themeColor="text1"/>
                <w:sz w:val="24"/>
                <w:szCs w:val="24"/>
                <w:lang w:eastAsia="lv-LV"/>
              </w:rPr>
              <w:t>Projekts stā</w:t>
            </w:r>
            <w:r w:rsidR="004B54B4" w:rsidRPr="008F497F">
              <w:rPr>
                <w:rFonts w:ascii="Times New Roman" w:eastAsia="Times New Roman" w:hAnsi="Times New Roman" w:cs="Times New Roman"/>
                <w:iCs/>
                <w:color w:val="000000" w:themeColor="text1"/>
                <w:sz w:val="24"/>
                <w:szCs w:val="24"/>
                <w:lang w:eastAsia="lv-LV"/>
              </w:rPr>
              <w:t xml:space="preserve">jas spēkā </w:t>
            </w:r>
            <w:r w:rsidR="00644B24">
              <w:rPr>
                <w:rFonts w:ascii="Times New Roman" w:eastAsia="Times New Roman" w:hAnsi="Times New Roman" w:cs="Times New Roman"/>
                <w:iCs/>
                <w:color w:val="000000" w:themeColor="text1"/>
                <w:sz w:val="24"/>
                <w:szCs w:val="24"/>
                <w:lang w:eastAsia="lv-LV"/>
              </w:rPr>
              <w:t>vispārējā kārtībā</w:t>
            </w:r>
            <w:r w:rsidR="004B54B4" w:rsidRPr="008F497F">
              <w:rPr>
                <w:rFonts w:ascii="Times New Roman" w:eastAsia="Times New Roman" w:hAnsi="Times New Roman" w:cs="Times New Roman"/>
                <w:iCs/>
                <w:color w:val="000000" w:themeColor="text1"/>
                <w:sz w:val="24"/>
                <w:szCs w:val="24"/>
                <w:lang w:eastAsia="lv-LV"/>
              </w:rPr>
              <w:t>.</w:t>
            </w:r>
          </w:p>
          <w:p w14:paraId="7FF40BFE" w14:textId="45FE2B8F" w:rsidR="00CC6908" w:rsidRPr="008F497F" w:rsidRDefault="00CC6908" w:rsidP="00D24A73">
            <w:pPr>
              <w:spacing w:after="0" w:line="240" w:lineRule="auto"/>
              <w:jc w:val="both"/>
              <w:rPr>
                <w:rFonts w:ascii="Times New Roman" w:eastAsia="Times New Roman" w:hAnsi="Times New Roman" w:cs="Times New Roman"/>
                <w:iCs/>
                <w:color w:val="000000" w:themeColor="text1"/>
                <w:sz w:val="24"/>
                <w:szCs w:val="24"/>
                <w:lang w:eastAsia="lv-LV"/>
              </w:rPr>
            </w:pPr>
          </w:p>
        </w:tc>
      </w:tr>
      <w:tr w:rsidR="00E5323B" w:rsidRPr="008F497F" w14:paraId="7B49F4E4" w14:textId="77777777" w:rsidTr="00E5323B">
        <w:trPr>
          <w:tblCellSpacing w:w="15" w:type="dxa"/>
        </w:trPr>
        <w:tc>
          <w:tcPr>
            <w:tcW w:w="0" w:type="auto"/>
            <w:gridSpan w:val="14"/>
            <w:tcBorders>
              <w:top w:val="outset" w:sz="6" w:space="0" w:color="auto"/>
              <w:left w:val="outset" w:sz="6" w:space="0" w:color="auto"/>
              <w:bottom w:val="outset" w:sz="6" w:space="0" w:color="auto"/>
              <w:right w:val="outset" w:sz="6" w:space="0" w:color="auto"/>
            </w:tcBorders>
            <w:vAlign w:val="center"/>
            <w:hideMark/>
          </w:tcPr>
          <w:p w14:paraId="0D39BE66" w14:textId="09335C1A" w:rsidR="00655F2C" w:rsidRPr="008F497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F497F">
              <w:rPr>
                <w:rFonts w:ascii="Times New Roman" w:eastAsia="Times New Roman" w:hAnsi="Times New Roman" w:cs="Times New Roman"/>
                <w:iCs/>
                <w:color w:val="414142"/>
                <w:sz w:val="24"/>
                <w:szCs w:val="24"/>
                <w:lang w:eastAsia="lv-LV"/>
              </w:rPr>
              <w:t xml:space="preserve">  </w:t>
            </w:r>
            <w:r w:rsidRPr="008F497F">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8F497F" w14:paraId="2D6BFAB9" w14:textId="77777777" w:rsidTr="000547C8">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5F44C49D" w14:textId="77777777" w:rsidR="00655F2C"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1.</w:t>
            </w:r>
          </w:p>
        </w:tc>
        <w:tc>
          <w:tcPr>
            <w:tcW w:w="1871" w:type="pct"/>
            <w:gridSpan w:val="11"/>
            <w:tcBorders>
              <w:top w:val="outset" w:sz="6" w:space="0" w:color="auto"/>
              <w:left w:val="outset" w:sz="6" w:space="0" w:color="auto"/>
              <w:bottom w:val="outset" w:sz="6" w:space="0" w:color="auto"/>
              <w:right w:val="outset" w:sz="6" w:space="0" w:color="auto"/>
            </w:tcBorders>
            <w:hideMark/>
          </w:tcPr>
          <w:p w14:paraId="6C37A98D" w14:textId="77777777" w:rsidR="00E5323B"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Pamatojums</w:t>
            </w:r>
          </w:p>
        </w:tc>
        <w:tc>
          <w:tcPr>
            <w:tcW w:w="2799" w:type="pct"/>
            <w:gridSpan w:val="2"/>
            <w:tcBorders>
              <w:top w:val="outset" w:sz="6" w:space="0" w:color="auto"/>
              <w:left w:val="outset" w:sz="6" w:space="0" w:color="auto"/>
              <w:bottom w:val="outset" w:sz="6" w:space="0" w:color="auto"/>
              <w:right w:val="outset" w:sz="6" w:space="0" w:color="auto"/>
            </w:tcBorders>
          </w:tcPr>
          <w:p w14:paraId="54C5A943" w14:textId="12639B1D" w:rsidR="0068694E" w:rsidRPr="0073650E" w:rsidRDefault="006B70B0" w:rsidP="00B8640A">
            <w:pPr>
              <w:spacing w:after="0" w:line="240" w:lineRule="auto"/>
              <w:jc w:val="both"/>
              <w:rPr>
                <w:rFonts w:ascii="Times New Roman" w:eastAsia="Times New Roman" w:hAnsi="Times New Roman" w:cs="Times New Roman"/>
                <w:iCs/>
                <w:color w:val="000000" w:themeColor="text1"/>
                <w:sz w:val="24"/>
                <w:szCs w:val="24"/>
                <w:lang w:eastAsia="lv-LV"/>
              </w:rPr>
            </w:pPr>
            <w:r w:rsidRPr="008F497F">
              <w:rPr>
                <w:rFonts w:ascii="Times New Roman" w:eastAsia="Times New Roman" w:hAnsi="Times New Roman" w:cs="Times New Roman"/>
                <w:iCs/>
                <w:color w:val="000000" w:themeColor="text1"/>
                <w:sz w:val="24"/>
                <w:szCs w:val="24"/>
                <w:lang w:eastAsia="lv-LV"/>
              </w:rPr>
              <w:t>Narkotisko un psihotropo vielu un zāļu, kā arī prekursoru likumīgās aprites likuma</w:t>
            </w:r>
            <w:r w:rsidR="000D0B09" w:rsidRPr="008F497F">
              <w:rPr>
                <w:rFonts w:ascii="Times New Roman" w:eastAsia="Times New Roman" w:hAnsi="Times New Roman" w:cs="Times New Roman"/>
                <w:iCs/>
                <w:color w:val="000000" w:themeColor="text1"/>
                <w:sz w:val="24"/>
                <w:szCs w:val="24"/>
                <w:lang w:eastAsia="lv-LV"/>
              </w:rPr>
              <w:t xml:space="preserve"> </w:t>
            </w:r>
            <w:r w:rsidR="0073650E">
              <w:rPr>
                <w:rFonts w:ascii="Times New Roman" w:eastAsia="Times New Roman" w:hAnsi="Times New Roman" w:cs="Times New Roman"/>
                <w:iCs/>
                <w:color w:val="000000" w:themeColor="text1"/>
                <w:sz w:val="24"/>
                <w:szCs w:val="24"/>
                <w:lang w:eastAsia="lv-LV"/>
              </w:rPr>
              <w:t>42.</w:t>
            </w:r>
            <w:r w:rsidR="0073650E">
              <w:rPr>
                <w:rFonts w:ascii="Times New Roman" w:eastAsia="Times New Roman" w:hAnsi="Times New Roman" w:cs="Times New Roman"/>
                <w:iCs/>
                <w:color w:val="000000" w:themeColor="text1"/>
                <w:sz w:val="24"/>
                <w:szCs w:val="24"/>
                <w:vertAlign w:val="superscript"/>
                <w:lang w:eastAsia="lv-LV"/>
              </w:rPr>
              <w:t xml:space="preserve">1 </w:t>
            </w:r>
            <w:r w:rsidR="0073650E">
              <w:rPr>
                <w:rFonts w:ascii="Times New Roman" w:eastAsia="Times New Roman" w:hAnsi="Times New Roman" w:cs="Times New Roman"/>
                <w:iCs/>
                <w:color w:val="000000" w:themeColor="text1"/>
                <w:sz w:val="24"/>
                <w:szCs w:val="24"/>
                <w:lang w:eastAsia="lv-LV"/>
              </w:rPr>
              <w:t>panta ceturtā daļa un 42.</w:t>
            </w:r>
            <w:r w:rsidR="0073650E">
              <w:rPr>
                <w:rFonts w:ascii="Times New Roman" w:eastAsia="Times New Roman" w:hAnsi="Times New Roman" w:cs="Times New Roman"/>
                <w:iCs/>
                <w:color w:val="000000" w:themeColor="text1"/>
                <w:sz w:val="24"/>
                <w:szCs w:val="24"/>
                <w:vertAlign w:val="superscript"/>
                <w:lang w:eastAsia="lv-LV"/>
              </w:rPr>
              <w:t xml:space="preserve">2 </w:t>
            </w:r>
            <w:r w:rsidR="0073650E">
              <w:rPr>
                <w:rFonts w:ascii="Times New Roman" w:eastAsia="Times New Roman" w:hAnsi="Times New Roman" w:cs="Times New Roman"/>
                <w:iCs/>
                <w:color w:val="000000" w:themeColor="text1"/>
                <w:sz w:val="24"/>
                <w:szCs w:val="24"/>
                <w:lang w:eastAsia="lv-LV"/>
              </w:rPr>
              <w:t>panta otrā daļa</w:t>
            </w:r>
            <w:bookmarkStart w:id="0" w:name="_GoBack"/>
            <w:bookmarkEnd w:id="0"/>
          </w:p>
          <w:p w14:paraId="2E70835B" w14:textId="3DED543E" w:rsidR="00CC6908" w:rsidRPr="008F497F" w:rsidRDefault="00CC6908" w:rsidP="00B8640A">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CD486E" w:rsidRPr="008F497F" w14:paraId="74D28A23" w14:textId="77777777" w:rsidTr="000547C8">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227E5BAF" w14:textId="77777777" w:rsidR="00CD486E" w:rsidRPr="008F497F" w:rsidRDefault="00CD486E" w:rsidP="00CD486E">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2.</w:t>
            </w:r>
          </w:p>
        </w:tc>
        <w:tc>
          <w:tcPr>
            <w:tcW w:w="1871" w:type="pct"/>
            <w:gridSpan w:val="11"/>
            <w:tcBorders>
              <w:top w:val="outset" w:sz="6" w:space="0" w:color="auto"/>
              <w:left w:val="outset" w:sz="6" w:space="0" w:color="auto"/>
              <w:bottom w:val="outset" w:sz="6" w:space="0" w:color="auto"/>
              <w:right w:val="outset" w:sz="6" w:space="0" w:color="auto"/>
            </w:tcBorders>
            <w:hideMark/>
          </w:tcPr>
          <w:p w14:paraId="648FFF32" w14:textId="77777777" w:rsidR="00824264" w:rsidRPr="008F497F" w:rsidRDefault="00CD486E" w:rsidP="00CD486E">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033E0AF8" w14:textId="77777777" w:rsidR="00824264" w:rsidRPr="008F497F" w:rsidRDefault="00824264" w:rsidP="00824264">
            <w:pPr>
              <w:rPr>
                <w:rFonts w:ascii="Times New Roman" w:eastAsia="Times New Roman" w:hAnsi="Times New Roman" w:cs="Times New Roman"/>
                <w:sz w:val="24"/>
                <w:szCs w:val="24"/>
                <w:lang w:eastAsia="lv-LV"/>
              </w:rPr>
            </w:pPr>
          </w:p>
          <w:p w14:paraId="7E376B7C" w14:textId="77777777" w:rsidR="00824264" w:rsidRPr="008F497F" w:rsidRDefault="00824264" w:rsidP="00824264">
            <w:pPr>
              <w:rPr>
                <w:rFonts w:ascii="Times New Roman" w:eastAsia="Times New Roman" w:hAnsi="Times New Roman" w:cs="Times New Roman"/>
                <w:sz w:val="24"/>
                <w:szCs w:val="24"/>
                <w:lang w:eastAsia="lv-LV"/>
              </w:rPr>
            </w:pPr>
          </w:p>
          <w:p w14:paraId="2F237860" w14:textId="77777777" w:rsidR="00824264" w:rsidRPr="008F497F" w:rsidRDefault="00824264" w:rsidP="00824264">
            <w:pPr>
              <w:rPr>
                <w:rFonts w:ascii="Times New Roman" w:eastAsia="Times New Roman" w:hAnsi="Times New Roman" w:cs="Times New Roman"/>
                <w:sz w:val="24"/>
                <w:szCs w:val="24"/>
                <w:lang w:eastAsia="lv-LV"/>
              </w:rPr>
            </w:pPr>
          </w:p>
          <w:p w14:paraId="7ECDBCE2" w14:textId="77777777" w:rsidR="00824264" w:rsidRPr="008F497F" w:rsidRDefault="00824264" w:rsidP="00824264">
            <w:pPr>
              <w:rPr>
                <w:rFonts w:ascii="Times New Roman" w:eastAsia="Times New Roman" w:hAnsi="Times New Roman" w:cs="Times New Roman"/>
                <w:sz w:val="24"/>
                <w:szCs w:val="24"/>
                <w:lang w:eastAsia="lv-LV"/>
              </w:rPr>
            </w:pPr>
          </w:p>
          <w:p w14:paraId="35D42B47" w14:textId="77777777" w:rsidR="00824264" w:rsidRPr="008F497F" w:rsidRDefault="00824264" w:rsidP="00824264">
            <w:pPr>
              <w:rPr>
                <w:rFonts w:ascii="Times New Roman" w:eastAsia="Times New Roman" w:hAnsi="Times New Roman" w:cs="Times New Roman"/>
                <w:sz w:val="24"/>
                <w:szCs w:val="24"/>
                <w:lang w:eastAsia="lv-LV"/>
              </w:rPr>
            </w:pPr>
          </w:p>
          <w:p w14:paraId="278D2254" w14:textId="77777777" w:rsidR="00824264" w:rsidRPr="008F497F" w:rsidRDefault="00824264" w:rsidP="00824264">
            <w:pPr>
              <w:rPr>
                <w:rFonts w:ascii="Times New Roman" w:eastAsia="Times New Roman" w:hAnsi="Times New Roman" w:cs="Times New Roman"/>
                <w:sz w:val="24"/>
                <w:szCs w:val="24"/>
                <w:lang w:eastAsia="lv-LV"/>
              </w:rPr>
            </w:pPr>
          </w:p>
          <w:p w14:paraId="6C6ABAB1" w14:textId="77777777" w:rsidR="00824264" w:rsidRPr="008F497F" w:rsidRDefault="00824264" w:rsidP="00824264">
            <w:pPr>
              <w:rPr>
                <w:rFonts w:ascii="Times New Roman" w:eastAsia="Times New Roman" w:hAnsi="Times New Roman" w:cs="Times New Roman"/>
                <w:sz w:val="24"/>
                <w:szCs w:val="24"/>
                <w:lang w:eastAsia="lv-LV"/>
              </w:rPr>
            </w:pPr>
          </w:p>
          <w:p w14:paraId="558911C2" w14:textId="77777777" w:rsidR="00824264" w:rsidRPr="008F497F" w:rsidRDefault="00824264" w:rsidP="00824264">
            <w:pPr>
              <w:rPr>
                <w:rFonts w:ascii="Times New Roman" w:eastAsia="Times New Roman" w:hAnsi="Times New Roman" w:cs="Times New Roman"/>
                <w:sz w:val="24"/>
                <w:szCs w:val="24"/>
                <w:lang w:eastAsia="lv-LV"/>
              </w:rPr>
            </w:pPr>
          </w:p>
          <w:p w14:paraId="067B2A41" w14:textId="77777777" w:rsidR="00824264" w:rsidRPr="008F497F" w:rsidRDefault="00824264" w:rsidP="00824264">
            <w:pPr>
              <w:rPr>
                <w:rFonts w:ascii="Times New Roman" w:eastAsia="Times New Roman" w:hAnsi="Times New Roman" w:cs="Times New Roman"/>
                <w:sz w:val="24"/>
                <w:szCs w:val="24"/>
                <w:lang w:eastAsia="lv-LV"/>
              </w:rPr>
            </w:pPr>
          </w:p>
          <w:p w14:paraId="3E10ACDF" w14:textId="77777777" w:rsidR="00824264" w:rsidRPr="008F497F" w:rsidRDefault="00824264" w:rsidP="00824264">
            <w:pPr>
              <w:rPr>
                <w:rFonts w:ascii="Times New Roman" w:eastAsia="Times New Roman" w:hAnsi="Times New Roman" w:cs="Times New Roman"/>
                <w:sz w:val="24"/>
                <w:szCs w:val="24"/>
                <w:lang w:eastAsia="lv-LV"/>
              </w:rPr>
            </w:pPr>
          </w:p>
          <w:p w14:paraId="20C4B5C3" w14:textId="77777777" w:rsidR="00824264" w:rsidRPr="008F497F" w:rsidRDefault="00824264" w:rsidP="00824264">
            <w:pPr>
              <w:rPr>
                <w:rFonts w:ascii="Times New Roman" w:eastAsia="Times New Roman" w:hAnsi="Times New Roman" w:cs="Times New Roman"/>
                <w:sz w:val="24"/>
                <w:szCs w:val="24"/>
                <w:lang w:eastAsia="lv-LV"/>
              </w:rPr>
            </w:pPr>
          </w:p>
          <w:p w14:paraId="357DD002" w14:textId="77777777" w:rsidR="00CD486E" w:rsidRPr="008F497F" w:rsidRDefault="00CD486E" w:rsidP="00824264">
            <w:pPr>
              <w:ind w:firstLine="720"/>
              <w:rPr>
                <w:rFonts w:ascii="Times New Roman" w:eastAsia="Times New Roman" w:hAnsi="Times New Roman" w:cs="Times New Roman"/>
                <w:sz w:val="24"/>
                <w:szCs w:val="24"/>
                <w:lang w:eastAsia="lv-LV"/>
              </w:rPr>
            </w:pPr>
          </w:p>
        </w:tc>
        <w:tc>
          <w:tcPr>
            <w:tcW w:w="2799" w:type="pct"/>
            <w:gridSpan w:val="2"/>
            <w:tcBorders>
              <w:top w:val="outset" w:sz="6" w:space="0" w:color="auto"/>
              <w:left w:val="outset" w:sz="6" w:space="0" w:color="auto"/>
              <w:bottom w:val="outset" w:sz="6" w:space="0" w:color="auto"/>
              <w:right w:val="outset" w:sz="6" w:space="0" w:color="auto"/>
            </w:tcBorders>
          </w:tcPr>
          <w:p w14:paraId="36A1B238" w14:textId="77777777" w:rsidR="00B37CD4" w:rsidRPr="008F497F" w:rsidRDefault="00F638A5" w:rsidP="00B8640A">
            <w:pPr>
              <w:spacing w:after="0" w:line="240" w:lineRule="auto"/>
              <w:jc w:val="both"/>
              <w:rPr>
                <w:rFonts w:ascii="Times New Roman" w:eastAsia="Times New Roman" w:hAnsi="Times New Roman" w:cs="Times New Roman"/>
                <w:iCs/>
                <w:color w:val="000000" w:themeColor="text1"/>
                <w:sz w:val="24"/>
                <w:szCs w:val="24"/>
                <w:lang w:eastAsia="lv-LV"/>
              </w:rPr>
            </w:pPr>
            <w:r w:rsidRPr="008F497F">
              <w:rPr>
                <w:rFonts w:ascii="Times New Roman" w:eastAsia="Times New Roman" w:hAnsi="Times New Roman" w:cs="Times New Roman"/>
                <w:iCs/>
                <w:color w:val="000000" w:themeColor="text1"/>
                <w:sz w:val="24"/>
                <w:szCs w:val="24"/>
                <w:lang w:eastAsia="lv-LV"/>
              </w:rPr>
              <w:lastRenderedPageBreak/>
              <w:t>Prekursoru apriti Eiropas Savienībā jau vairāk kā desmit gadus reglamentē šādi divi galvenie Eiropas Savienības tiesību akti – Eiropas Parlamenta un Padomes 2004.gada 11.februāra Regula (EK) Nr.273/2004 par narkotisko vielu prekursoriem (turpmāk – regula Nr.273/2004) un Padomes 2004.gada 22.decembra Regula (EK) Nr.111/2005, ar ko paredz noteikumus par uzraudzību attiecībā uz narkotisko vielu prekursoru tirdzniecību starp Kopienu un trešajām valstīm (turpmāk – regula Nr.111/2005). Ir pieņemta</w:t>
            </w:r>
            <w:r w:rsidR="00C30D05" w:rsidRPr="008F497F">
              <w:rPr>
                <w:rFonts w:ascii="Times New Roman" w:eastAsia="Times New Roman" w:hAnsi="Times New Roman" w:cs="Times New Roman"/>
                <w:iCs/>
                <w:color w:val="000000" w:themeColor="text1"/>
                <w:sz w:val="24"/>
                <w:szCs w:val="24"/>
                <w:lang w:eastAsia="lv-LV"/>
              </w:rPr>
              <w:t>s</w:t>
            </w:r>
            <w:r w:rsidRPr="008F497F">
              <w:rPr>
                <w:rFonts w:ascii="Times New Roman" w:eastAsia="Times New Roman" w:hAnsi="Times New Roman" w:cs="Times New Roman"/>
                <w:iCs/>
                <w:color w:val="000000" w:themeColor="text1"/>
                <w:sz w:val="24"/>
                <w:szCs w:val="24"/>
                <w:lang w:eastAsia="lv-LV"/>
              </w:rPr>
              <w:t xml:space="preserve"> arī </w:t>
            </w:r>
            <w:r w:rsidR="00C30D05" w:rsidRPr="008F497F">
              <w:rPr>
                <w:rFonts w:ascii="Times New Roman" w:eastAsia="Times New Roman" w:hAnsi="Times New Roman" w:cs="Times New Roman"/>
                <w:iCs/>
                <w:color w:val="000000" w:themeColor="text1"/>
                <w:sz w:val="24"/>
                <w:szCs w:val="24"/>
                <w:lang w:eastAsia="lv-LV"/>
              </w:rPr>
              <w:t>divas</w:t>
            </w:r>
            <w:r w:rsidRPr="008F497F">
              <w:rPr>
                <w:rFonts w:ascii="Times New Roman" w:eastAsia="Times New Roman" w:hAnsi="Times New Roman" w:cs="Times New Roman"/>
                <w:iCs/>
                <w:color w:val="000000" w:themeColor="text1"/>
                <w:sz w:val="24"/>
                <w:szCs w:val="24"/>
                <w:lang w:eastAsia="lv-LV"/>
              </w:rPr>
              <w:t xml:space="preserve"> deleģētā</w:t>
            </w:r>
            <w:r w:rsidR="00C30D05" w:rsidRPr="008F497F">
              <w:rPr>
                <w:rFonts w:ascii="Times New Roman" w:eastAsia="Times New Roman" w:hAnsi="Times New Roman" w:cs="Times New Roman"/>
                <w:iCs/>
                <w:color w:val="000000" w:themeColor="text1"/>
                <w:sz w:val="24"/>
                <w:szCs w:val="24"/>
                <w:lang w:eastAsia="lv-LV"/>
              </w:rPr>
              <w:t>s</w:t>
            </w:r>
            <w:r w:rsidRPr="008F497F">
              <w:rPr>
                <w:rFonts w:ascii="Times New Roman" w:eastAsia="Times New Roman" w:hAnsi="Times New Roman" w:cs="Times New Roman"/>
                <w:iCs/>
                <w:color w:val="000000" w:themeColor="text1"/>
                <w:sz w:val="24"/>
                <w:szCs w:val="24"/>
                <w:lang w:eastAsia="lv-LV"/>
              </w:rPr>
              <w:t xml:space="preserve"> regula</w:t>
            </w:r>
            <w:r w:rsidR="00C30D05" w:rsidRPr="008F497F">
              <w:rPr>
                <w:rFonts w:ascii="Times New Roman" w:eastAsia="Times New Roman" w:hAnsi="Times New Roman" w:cs="Times New Roman"/>
                <w:iCs/>
                <w:color w:val="000000" w:themeColor="text1"/>
                <w:sz w:val="24"/>
                <w:szCs w:val="24"/>
                <w:lang w:eastAsia="lv-LV"/>
              </w:rPr>
              <w:t>s</w:t>
            </w:r>
            <w:r w:rsidRPr="008F497F">
              <w:rPr>
                <w:rFonts w:ascii="Times New Roman" w:eastAsia="Times New Roman" w:hAnsi="Times New Roman" w:cs="Times New Roman"/>
                <w:iCs/>
                <w:color w:val="000000" w:themeColor="text1"/>
                <w:sz w:val="24"/>
                <w:szCs w:val="24"/>
                <w:lang w:eastAsia="lv-LV"/>
              </w:rPr>
              <w:t xml:space="preserve"> –</w:t>
            </w:r>
            <w:r w:rsidR="00C30D05" w:rsidRPr="008F497F">
              <w:rPr>
                <w:rFonts w:ascii="Times New Roman" w:eastAsia="Times New Roman" w:hAnsi="Times New Roman" w:cs="Times New Roman"/>
                <w:iCs/>
                <w:color w:val="000000" w:themeColor="text1"/>
                <w:sz w:val="24"/>
                <w:szCs w:val="24"/>
                <w:lang w:eastAsia="lv-LV"/>
              </w:rPr>
              <w:t xml:space="preserve"> </w:t>
            </w:r>
            <w:r w:rsidRPr="008F497F">
              <w:rPr>
                <w:rFonts w:ascii="Times New Roman" w:eastAsia="Times New Roman" w:hAnsi="Times New Roman" w:cs="Times New Roman"/>
                <w:iCs/>
                <w:color w:val="000000" w:themeColor="text1"/>
                <w:sz w:val="24"/>
                <w:szCs w:val="24"/>
                <w:lang w:eastAsia="lv-LV"/>
              </w:rPr>
              <w:t>regula Nr.2015/1011 un regula Nr.2015/1013.</w:t>
            </w:r>
          </w:p>
          <w:p w14:paraId="743EF1D8" w14:textId="77777777" w:rsidR="00F638A5" w:rsidRPr="008F497F" w:rsidRDefault="00F638A5" w:rsidP="00B8640A">
            <w:pPr>
              <w:spacing w:after="0" w:line="240" w:lineRule="auto"/>
              <w:jc w:val="both"/>
              <w:rPr>
                <w:rFonts w:ascii="Times New Roman" w:eastAsia="Times New Roman" w:hAnsi="Times New Roman" w:cs="Times New Roman"/>
                <w:iCs/>
                <w:color w:val="000000" w:themeColor="text1"/>
                <w:sz w:val="24"/>
                <w:szCs w:val="24"/>
                <w:lang w:eastAsia="lv-LV"/>
              </w:rPr>
            </w:pPr>
          </w:p>
          <w:p w14:paraId="2DD0F411" w14:textId="1960ACF3" w:rsidR="00F638A5" w:rsidRPr="008F497F" w:rsidRDefault="00F638A5" w:rsidP="00B8640A">
            <w:pPr>
              <w:spacing w:after="0" w:line="240" w:lineRule="auto"/>
              <w:jc w:val="both"/>
              <w:rPr>
                <w:rFonts w:ascii="Times New Roman" w:eastAsia="Times New Roman" w:hAnsi="Times New Roman" w:cs="Times New Roman"/>
                <w:iCs/>
                <w:color w:val="000000" w:themeColor="text1"/>
                <w:sz w:val="24"/>
                <w:szCs w:val="24"/>
                <w:lang w:eastAsia="lv-LV"/>
              </w:rPr>
            </w:pPr>
            <w:r w:rsidRPr="008F497F">
              <w:rPr>
                <w:rFonts w:ascii="Times New Roman" w:eastAsia="Times New Roman" w:hAnsi="Times New Roman" w:cs="Times New Roman"/>
                <w:iCs/>
                <w:color w:val="000000" w:themeColor="text1"/>
                <w:sz w:val="24"/>
                <w:szCs w:val="24"/>
                <w:lang w:eastAsia="lv-LV"/>
              </w:rPr>
              <w:t>Tā kā šobrīd spēkā esošie Eiropas Savienības sekundārie tiesību akti jau daudz detalizētāk regulē prekursoru apriti, daudzas Ministru kabineta 2010.gada 21.decembra noteikumu Nr.1142 “Operatoru reģistrēšanas un licencēšanas kārtība”</w:t>
            </w:r>
            <w:r w:rsidR="007538CF" w:rsidRPr="008F497F">
              <w:rPr>
                <w:rFonts w:ascii="Times New Roman" w:eastAsia="Times New Roman" w:hAnsi="Times New Roman" w:cs="Times New Roman"/>
                <w:iCs/>
                <w:color w:val="000000" w:themeColor="text1"/>
                <w:sz w:val="24"/>
                <w:szCs w:val="24"/>
                <w:lang w:eastAsia="lv-LV"/>
              </w:rPr>
              <w:t xml:space="preserve"> (turpmāk – MK noteikumi),</w:t>
            </w:r>
            <w:r w:rsidRPr="008F497F">
              <w:rPr>
                <w:rFonts w:ascii="Times New Roman" w:eastAsia="Times New Roman" w:hAnsi="Times New Roman" w:cs="Times New Roman"/>
                <w:iCs/>
                <w:color w:val="000000" w:themeColor="text1"/>
                <w:sz w:val="24"/>
                <w:szCs w:val="24"/>
                <w:lang w:eastAsia="lv-LV"/>
              </w:rPr>
              <w:t xml:space="preserve"> </w:t>
            </w:r>
            <w:r w:rsidR="00262926" w:rsidRPr="008F497F">
              <w:rPr>
                <w:rFonts w:ascii="Times New Roman" w:eastAsia="Times New Roman" w:hAnsi="Times New Roman" w:cs="Times New Roman"/>
                <w:iCs/>
                <w:color w:val="000000" w:themeColor="text1"/>
                <w:sz w:val="24"/>
                <w:szCs w:val="24"/>
                <w:lang w:eastAsia="lv-LV"/>
              </w:rPr>
              <w:t>kuri zaudē</w:t>
            </w:r>
            <w:r w:rsidR="00F30E70">
              <w:rPr>
                <w:rFonts w:ascii="Times New Roman" w:eastAsia="Times New Roman" w:hAnsi="Times New Roman" w:cs="Times New Roman"/>
                <w:iCs/>
                <w:color w:val="000000" w:themeColor="text1"/>
                <w:sz w:val="24"/>
                <w:szCs w:val="24"/>
                <w:lang w:eastAsia="lv-LV"/>
              </w:rPr>
              <w:t>ja</w:t>
            </w:r>
            <w:r w:rsidR="00262926" w:rsidRPr="008F497F">
              <w:rPr>
                <w:rFonts w:ascii="Times New Roman" w:eastAsia="Times New Roman" w:hAnsi="Times New Roman" w:cs="Times New Roman"/>
                <w:iCs/>
                <w:color w:val="000000" w:themeColor="text1"/>
                <w:sz w:val="24"/>
                <w:szCs w:val="24"/>
                <w:lang w:eastAsia="lv-LV"/>
              </w:rPr>
              <w:t xml:space="preserve"> spēku tad, kad spēku zaudē</w:t>
            </w:r>
            <w:r w:rsidR="00F30E70">
              <w:rPr>
                <w:rFonts w:ascii="Times New Roman" w:eastAsia="Times New Roman" w:hAnsi="Times New Roman" w:cs="Times New Roman"/>
                <w:iCs/>
                <w:color w:val="000000" w:themeColor="text1"/>
                <w:sz w:val="24"/>
                <w:szCs w:val="24"/>
                <w:lang w:eastAsia="lv-LV"/>
              </w:rPr>
              <w:t>ja</w:t>
            </w:r>
            <w:r w:rsidR="00262926" w:rsidRPr="008F497F">
              <w:rPr>
                <w:rFonts w:ascii="Times New Roman" w:eastAsia="Times New Roman" w:hAnsi="Times New Roman" w:cs="Times New Roman"/>
                <w:iCs/>
                <w:color w:val="000000" w:themeColor="text1"/>
                <w:sz w:val="24"/>
                <w:szCs w:val="24"/>
                <w:lang w:eastAsia="lv-LV"/>
              </w:rPr>
              <w:t xml:space="preserve"> likums “Par prekursoriem”</w:t>
            </w:r>
            <w:r w:rsidR="00F30E70">
              <w:rPr>
                <w:rFonts w:ascii="Times New Roman" w:eastAsia="Times New Roman" w:hAnsi="Times New Roman" w:cs="Times New Roman"/>
                <w:iCs/>
                <w:color w:val="000000" w:themeColor="text1"/>
                <w:sz w:val="24"/>
                <w:szCs w:val="24"/>
                <w:lang w:eastAsia="lv-LV"/>
              </w:rPr>
              <w:t xml:space="preserve"> (2019.gada 3.jūlijā)</w:t>
            </w:r>
            <w:r w:rsidR="007538CF" w:rsidRPr="008F497F">
              <w:rPr>
                <w:rFonts w:ascii="Times New Roman" w:eastAsia="Times New Roman" w:hAnsi="Times New Roman" w:cs="Times New Roman"/>
                <w:iCs/>
                <w:color w:val="000000" w:themeColor="text1"/>
                <w:sz w:val="24"/>
                <w:szCs w:val="24"/>
                <w:lang w:eastAsia="lv-LV"/>
              </w:rPr>
              <w:t>,</w:t>
            </w:r>
            <w:r w:rsidR="00262926" w:rsidRPr="008F497F">
              <w:rPr>
                <w:rFonts w:ascii="Times New Roman" w:eastAsia="Times New Roman" w:hAnsi="Times New Roman" w:cs="Times New Roman"/>
                <w:iCs/>
                <w:color w:val="000000" w:themeColor="text1"/>
                <w:sz w:val="24"/>
                <w:szCs w:val="24"/>
                <w:lang w:eastAsia="lv-LV"/>
              </w:rPr>
              <w:t xml:space="preserve"> </w:t>
            </w:r>
            <w:r w:rsidRPr="008F497F">
              <w:rPr>
                <w:rFonts w:ascii="Times New Roman" w:eastAsia="Times New Roman" w:hAnsi="Times New Roman" w:cs="Times New Roman"/>
                <w:iCs/>
                <w:color w:val="000000" w:themeColor="text1"/>
                <w:sz w:val="24"/>
                <w:szCs w:val="24"/>
                <w:lang w:eastAsia="lv-LV"/>
              </w:rPr>
              <w:t xml:space="preserve">normas dublē šo regulu normas. Tādēļ šajā projektā ir nepieciešams noregulēt tikai jautājumus, kuri netiek aptverti ar minētajām regulām vai kuros minētās regulas tieši paredz dalībvalstīm izvēles brīvību noregulēt jautājumu nacionālajā normatīvajā aktā. </w:t>
            </w:r>
          </w:p>
          <w:p w14:paraId="442FE8BF" w14:textId="77777777" w:rsidR="00F638A5" w:rsidRPr="008F497F" w:rsidRDefault="00F638A5" w:rsidP="00B8640A">
            <w:pPr>
              <w:spacing w:after="0" w:line="240" w:lineRule="auto"/>
              <w:jc w:val="both"/>
              <w:rPr>
                <w:rFonts w:ascii="Times New Roman" w:eastAsia="Times New Roman" w:hAnsi="Times New Roman" w:cs="Times New Roman"/>
                <w:iCs/>
                <w:color w:val="000000" w:themeColor="text1"/>
                <w:sz w:val="24"/>
                <w:szCs w:val="24"/>
                <w:lang w:eastAsia="lv-LV"/>
              </w:rPr>
            </w:pPr>
          </w:p>
          <w:p w14:paraId="7D00C68B" w14:textId="223F84DB" w:rsidR="00F82CFE" w:rsidRDefault="007538CF" w:rsidP="00B8640A">
            <w:pPr>
              <w:spacing w:after="0" w:line="240" w:lineRule="auto"/>
              <w:jc w:val="both"/>
              <w:rPr>
                <w:rFonts w:ascii="Times New Roman" w:eastAsia="Times New Roman" w:hAnsi="Times New Roman" w:cs="Times New Roman"/>
                <w:iCs/>
                <w:color w:val="000000" w:themeColor="text1"/>
                <w:sz w:val="24"/>
                <w:szCs w:val="24"/>
                <w:lang w:eastAsia="lv-LV"/>
              </w:rPr>
            </w:pPr>
            <w:r w:rsidRPr="008F497F">
              <w:rPr>
                <w:rFonts w:ascii="Times New Roman" w:eastAsia="Times New Roman" w:hAnsi="Times New Roman" w:cs="Times New Roman"/>
                <w:iCs/>
                <w:color w:val="000000" w:themeColor="text1"/>
                <w:sz w:val="24"/>
                <w:szCs w:val="24"/>
                <w:lang w:eastAsia="lv-LV"/>
              </w:rPr>
              <w:t>Projekts tāpat kā MK noteikumi regulē kārtību, kādā reģistrē un licencē prekursoru operatoru, kārtību, kādā aptur un anulē speciālo atļauju (licenci) vai reģistrāciju, kārtību, kādā prekursoru operatori sniedz Zāļu valsts aģentūrai informāciju par saviem darījumiem ar prekursoriem, kā arī sniedzamās informācijas saturu</w:t>
            </w:r>
            <w:r w:rsidR="00850789" w:rsidRPr="008F497F">
              <w:rPr>
                <w:rFonts w:ascii="Times New Roman" w:eastAsia="Times New Roman" w:hAnsi="Times New Roman" w:cs="Times New Roman"/>
                <w:iCs/>
                <w:color w:val="000000" w:themeColor="text1"/>
                <w:sz w:val="24"/>
                <w:szCs w:val="24"/>
                <w:lang w:eastAsia="lv-LV"/>
              </w:rPr>
              <w:t>. Papildus tam projekts paredz reģistrēt arī prekursoru lietotājus, kā arī nosaka</w:t>
            </w:r>
            <w:r w:rsidRPr="008F497F">
              <w:rPr>
                <w:rFonts w:ascii="Times New Roman" w:eastAsia="Times New Roman" w:hAnsi="Times New Roman" w:cs="Times New Roman"/>
                <w:iCs/>
                <w:color w:val="000000" w:themeColor="text1"/>
                <w:sz w:val="24"/>
                <w:szCs w:val="24"/>
                <w:lang w:eastAsia="lv-LV"/>
              </w:rPr>
              <w:t xml:space="preserve"> prasības prekursoru uzglabāšanai</w:t>
            </w:r>
            <w:r w:rsidR="00850789" w:rsidRPr="008F497F">
              <w:rPr>
                <w:rFonts w:ascii="Times New Roman" w:eastAsia="Times New Roman" w:hAnsi="Times New Roman" w:cs="Times New Roman"/>
                <w:iCs/>
                <w:color w:val="000000" w:themeColor="text1"/>
                <w:sz w:val="24"/>
                <w:szCs w:val="24"/>
                <w:lang w:eastAsia="lv-LV"/>
              </w:rPr>
              <w:t>.</w:t>
            </w:r>
          </w:p>
          <w:p w14:paraId="79D8816C" w14:textId="1EEC7F91" w:rsidR="00DD3061" w:rsidRDefault="00DD3061" w:rsidP="00B8640A">
            <w:pPr>
              <w:spacing w:after="0" w:line="240" w:lineRule="auto"/>
              <w:jc w:val="both"/>
              <w:rPr>
                <w:rFonts w:ascii="Times New Roman" w:eastAsia="Times New Roman" w:hAnsi="Times New Roman" w:cs="Times New Roman"/>
                <w:iCs/>
                <w:color w:val="000000" w:themeColor="text1"/>
                <w:sz w:val="24"/>
                <w:szCs w:val="24"/>
                <w:lang w:eastAsia="lv-LV"/>
              </w:rPr>
            </w:pPr>
          </w:p>
          <w:p w14:paraId="2664390A" w14:textId="77777777" w:rsidR="00F524E8" w:rsidRDefault="00F524E8" w:rsidP="00F524E8">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Projekts paredz pilnveidot Zāļu valsts aģentūras sniegtos pakalpojumus, precizējot arī to nosaukumus:</w:t>
            </w:r>
          </w:p>
          <w:p w14:paraId="5B303A78" w14:textId="4D20C524" w:rsidR="00F524E8" w:rsidRPr="00F524E8" w:rsidRDefault="00F524E8" w:rsidP="00F524E8">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 </w:t>
            </w:r>
            <w:r w:rsidRPr="00F524E8">
              <w:rPr>
                <w:rFonts w:ascii="Times New Roman" w:eastAsia="Times New Roman" w:hAnsi="Times New Roman" w:cs="Times New Roman"/>
                <w:iCs/>
                <w:color w:val="000000" w:themeColor="text1"/>
                <w:sz w:val="24"/>
                <w:szCs w:val="24"/>
                <w:lang w:eastAsia="lv-LV"/>
              </w:rPr>
              <w:t>Iesnieguma un dokumentācijas ekspertīze prekursoru operatoru   reģistrācijai</w:t>
            </w:r>
            <w:r>
              <w:rPr>
                <w:rFonts w:ascii="Times New Roman" w:eastAsia="Times New Roman" w:hAnsi="Times New Roman" w:cs="Times New Roman"/>
                <w:iCs/>
                <w:color w:val="000000" w:themeColor="text1"/>
                <w:sz w:val="24"/>
                <w:szCs w:val="24"/>
                <w:lang w:eastAsia="lv-LV"/>
              </w:rPr>
              <w:t>;</w:t>
            </w:r>
          </w:p>
          <w:p w14:paraId="643FE795" w14:textId="2AD728E8" w:rsidR="00F524E8" w:rsidRPr="00F524E8" w:rsidRDefault="00F524E8" w:rsidP="00F524E8">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 </w:t>
            </w:r>
            <w:r w:rsidRPr="00F524E8">
              <w:rPr>
                <w:rFonts w:ascii="Times New Roman" w:eastAsia="Times New Roman" w:hAnsi="Times New Roman" w:cs="Times New Roman"/>
                <w:iCs/>
                <w:color w:val="000000" w:themeColor="text1"/>
                <w:sz w:val="24"/>
                <w:szCs w:val="24"/>
                <w:lang w:eastAsia="lv-LV"/>
              </w:rPr>
              <w:t>Iesnieguma un dokumentācijas ekspertīze licences saņemšanai darbam ar prekursoriem</w:t>
            </w:r>
            <w:r>
              <w:rPr>
                <w:rFonts w:ascii="Times New Roman" w:eastAsia="Times New Roman" w:hAnsi="Times New Roman" w:cs="Times New Roman"/>
                <w:iCs/>
                <w:color w:val="000000" w:themeColor="text1"/>
                <w:sz w:val="24"/>
                <w:szCs w:val="24"/>
                <w:lang w:eastAsia="lv-LV"/>
              </w:rPr>
              <w:t>;</w:t>
            </w:r>
          </w:p>
          <w:p w14:paraId="02A41EBE" w14:textId="7A916461" w:rsidR="00F524E8" w:rsidRPr="00F524E8" w:rsidRDefault="00F524E8" w:rsidP="00F524E8">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 </w:t>
            </w:r>
            <w:r w:rsidRPr="00F524E8">
              <w:rPr>
                <w:rFonts w:ascii="Times New Roman" w:eastAsia="Times New Roman" w:hAnsi="Times New Roman" w:cs="Times New Roman"/>
                <w:iCs/>
                <w:color w:val="000000" w:themeColor="text1"/>
                <w:sz w:val="24"/>
                <w:szCs w:val="24"/>
                <w:lang w:eastAsia="lv-LV"/>
              </w:rPr>
              <w:t>Dokumentācijas ekspertīze izmaiņām prekursoru operatoru  reģistrācijai</w:t>
            </w:r>
            <w:r>
              <w:rPr>
                <w:rFonts w:ascii="Times New Roman" w:eastAsia="Times New Roman" w:hAnsi="Times New Roman" w:cs="Times New Roman"/>
                <w:iCs/>
                <w:color w:val="000000" w:themeColor="text1"/>
                <w:sz w:val="24"/>
                <w:szCs w:val="24"/>
                <w:lang w:eastAsia="lv-LV"/>
              </w:rPr>
              <w:t>;</w:t>
            </w:r>
          </w:p>
          <w:p w14:paraId="71E69B1D" w14:textId="17358AF3" w:rsidR="00F524E8" w:rsidRDefault="00F524E8" w:rsidP="00F524E8">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 </w:t>
            </w:r>
            <w:r w:rsidRPr="00F524E8">
              <w:rPr>
                <w:rFonts w:ascii="Times New Roman" w:eastAsia="Times New Roman" w:hAnsi="Times New Roman" w:cs="Times New Roman"/>
                <w:iCs/>
                <w:color w:val="000000" w:themeColor="text1"/>
                <w:sz w:val="24"/>
                <w:szCs w:val="24"/>
                <w:lang w:eastAsia="lv-LV"/>
              </w:rPr>
              <w:t>Dokumentācijas ekspertīze izmaiņām licencē darbam ar prekursoriem</w:t>
            </w:r>
            <w:r>
              <w:rPr>
                <w:rFonts w:ascii="Times New Roman" w:eastAsia="Times New Roman" w:hAnsi="Times New Roman" w:cs="Times New Roman"/>
                <w:iCs/>
                <w:color w:val="000000" w:themeColor="text1"/>
                <w:sz w:val="24"/>
                <w:szCs w:val="24"/>
                <w:lang w:eastAsia="lv-LV"/>
              </w:rPr>
              <w:t>.</w:t>
            </w:r>
          </w:p>
          <w:p w14:paraId="7C203C14" w14:textId="2C58609C" w:rsidR="00C81B65" w:rsidRDefault="001F3E19" w:rsidP="00F524E8">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Turpmāk šie pakalpojumi būs pieejami gan klātienē, gan neklātienē (elektroniski). </w:t>
            </w:r>
            <w:r w:rsidR="00C81B65">
              <w:rPr>
                <w:rFonts w:ascii="Times New Roman" w:eastAsia="Times New Roman" w:hAnsi="Times New Roman" w:cs="Times New Roman"/>
                <w:iCs/>
                <w:color w:val="000000" w:themeColor="text1"/>
                <w:sz w:val="24"/>
                <w:szCs w:val="24"/>
                <w:lang w:eastAsia="lv-LV"/>
              </w:rPr>
              <w:t>Zāļu valsts aģentūra</w:t>
            </w:r>
            <w:r w:rsidR="00C81B65" w:rsidRPr="00C81B65">
              <w:rPr>
                <w:rFonts w:ascii="Times New Roman" w:eastAsia="Times New Roman" w:hAnsi="Times New Roman" w:cs="Times New Roman"/>
                <w:iCs/>
                <w:color w:val="000000" w:themeColor="text1"/>
                <w:sz w:val="24"/>
                <w:szCs w:val="24"/>
                <w:lang w:eastAsia="lv-LV"/>
              </w:rPr>
              <w:t xml:space="preserve"> nodrošinās, ka pēc noteikumu pieņemšanas tiks </w:t>
            </w:r>
            <w:r w:rsidR="00C81B65">
              <w:rPr>
                <w:rFonts w:ascii="Times New Roman" w:eastAsia="Times New Roman" w:hAnsi="Times New Roman" w:cs="Times New Roman"/>
                <w:iCs/>
                <w:color w:val="000000" w:themeColor="text1"/>
                <w:sz w:val="24"/>
                <w:szCs w:val="24"/>
                <w:lang w:eastAsia="lv-LV"/>
              </w:rPr>
              <w:t>atjaunota</w:t>
            </w:r>
            <w:r w:rsidR="00C81B65" w:rsidRPr="00C81B65">
              <w:rPr>
                <w:rFonts w:ascii="Times New Roman" w:eastAsia="Times New Roman" w:hAnsi="Times New Roman" w:cs="Times New Roman"/>
                <w:iCs/>
                <w:color w:val="000000" w:themeColor="text1"/>
                <w:sz w:val="24"/>
                <w:szCs w:val="24"/>
                <w:lang w:eastAsia="lv-LV"/>
              </w:rPr>
              <w:t xml:space="preserve"> ar</w:t>
            </w:r>
            <w:r w:rsidR="00C81B65">
              <w:rPr>
                <w:rFonts w:ascii="Times New Roman" w:eastAsia="Times New Roman" w:hAnsi="Times New Roman" w:cs="Times New Roman"/>
                <w:iCs/>
                <w:color w:val="000000" w:themeColor="text1"/>
                <w:sz w:val="24"/>
                <w:szCs w:val="24"/>
                <w:lang w:eastAsia="lv-LV"/>
              </w:rPr>
              <w:t>ī</w:t>
            </w:r>
            <w:r w:rsidR="00C81B65" w:rsidRPr="00C81B65">
              <w:rPr>
                <w:rFonts w:ascii="Times New Roman" w:eastAsia="Times New Roman" w:hAnsi="Times New Roman" w:cs="Times New Roman"/>
                <w:iCs/>
                <w:color w:val="000000" w:themeColor="text1"/>
                <w:sz w:val="24"/>
                <w:szCs w:val="24"/>
                <w:lang w:eastAsia="lv-LV"/>
              </w:rPr>
              <w:t xml:space="preserve"> informācija portālā </w:t>
            </w:r>
            <w:r w:rsidR="00C81B65">
              <w:rPr>
                <w:rFonts w:ascii="Times New Roman" w:eastAsia="Times New Roman" w:hAnsi="Times New Roman" w:cs="Times New Roman"/>
                <w:iCs/>
                <w:color w:val="000000" w:themeColor="text1"/>
                <w:sz w:val="24"/>
                <w:szCs w:val="24"/>
                <w:lang w:eastAsia="lv-LV"/>
              </w:rPr>
              <w:t>www.l</w:t>
            </w:r>
            <w:r w:rsidR="00C81B65" w:rsidRPr="00C81B65">
              <w:rPr>
                <w:rFonts w:ascii="Times New Roman" w:eastAsia="Times New Roman" w:hAnsi="Times New Roman" w:cs="Times New Roman"/>
                <w:iCs/>
                <w:color w:val="000000" w:themeColor="text1"/>
                <w:sz w:val="24"/>
                <w:szCs w:val="24"/>
                <w:lang w:eastAsia="lv-LV"/>
              </w:rPr>
              <w:t>atvija.lv</w:t>
            </w:r>
            <w:r w:rsidR="00C81B65">
              <w:rPr>
                <w:rFonts w:ascii="Times New Roman" w:eastAsia="Times New Roman" w:hAnsi="Times New Roman" w:cs="Times New Roman"/>
                <w:iCs/>
                <w:color w:val="000000" w:themeColor="text1"/>
                <w:sz w:val="24"/>
                <w:szCs w:val="24"/>
                <w:lang w:eastAsia="lv-LV"/>
              </w:rPr>
              <w:t>.</w:t>
            </w:r>
          </w:p>
          <w:p w14:paraId="56B45307" w14:textId="77777777" w:rsidR="00F524E8" w:rsidRDefault="00F524E8" w:rsidP="00B8640A">
            <w:pPr>
              <w:spacing w:after="0" w:line="240" w:lineRule="auto"/>
              <w:jc w:val="both"/>
              <w:rPr>
                <w:rFonts w:ascii="Times New Roman" w:eastAsia="Times New Roman" w:hAnsi="Times New Roman" w:cs="Times New Roman"/>
                <w:iCs/>
                <w:color w:val="000000" w:themeColor="text1"/>
                <w:sz w:val="24"/>
                <w:szCs w:val="24"/>
                <w:lang w:eastAsia="lv-LV"/>
              </w:rPr>
            </w:pPr>
          </w:p>
          <w:p w14:paraId="5A6C67C6" w14:textId="00D042F5" w:rsidR="00DD3061" w:rsidRDefault="00DD3061" w:rsidP="00D4299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Projekts </w:t>
            </w:r>
            <w:r w:rsidR="0014717A">
              <w:rPr>
                <w:rFonts w:ascii="Times New Roman" w:eastAsia="Times New Roman" w:hAnsi="Times New Roman" w:cs="Times New Roman"/>
                <w:iCs/>
                <w:color w:val="000000" w:themeColor="text1"/>
                <w:sz w:val="24"/>
                <w:szCs w:val="24"/>
                <w:lang w:eastAsia="lv-LV"/>
              </w:rPr>
              <w:t>paredz</w:t>
            </w:r>
            <w:r w:rsidR="00D42991">
              <w:rPr>
                <w:rFonts w:ascii="Times New Roman" w:eastAsia="Times New Roman" w:hAnsi="Times New Roman" w:cs="Times New Roman"/>
                <w:iCs/>
                <w:color w:val="000000" w:themeColor="text1"/>
                <w:sz w:val="24"/>
                <w:szCs w:val="24"/>
                <w:lang w:eastAsia="lv-LV"/>
              </w:rPr>
              <w:t xml:space="preserve">, ka </w:t>
            </w:r>
            <w:r w:rsidR="00D42991" w:rsidRPr="00D42991">
              <w:rPr>
                <w:rFonts w:ascii="Times New Roman" w:eastAsia="Times New Roman" w:hAnsi="Times New Roman" w:cs="Times New Roman"/>
                <w:iCs/>
                <w:color w:val="000000" w:themeColor="text1"/>
                <w:sz w:val="24"/>
                <w:szCs w:val="24"/>
                <w:lang w:eastAsia="lv-LV"/>
              </w:rPr>
              <w:t>darbībai ar 2.</w:t>
            </w:r>
            <w:r w:rsidR="007C17FE">
              <w:rPr>
                <w:rFonts w:ascii="Times New Roman" w:eastAsia="Times New Roman" w:hAnsi="Times New Roman" w:cs="Times New Roman"/>
                <w:iCs/>
                <w:color w:val="000000" w:themeColor="text1"/>
                <w:sz w:val="24"/>
                <w:szCs w:val="24"/>
                <w:lang w:eastAsia="lv-LV"/>
              </w:rPr>
              <w:t xml:space="preserve"> </w:t>
            </w:r>
            <w:r w:rsidR="00D42991" w:rsidRPr="00D42991">
              <w:rPr>
                <w:rFonts w:ascii="Times New Roman" w:eastAsia="Times New Roman" w:hAnsi="Times New Roman" w:cs="Times New Roman"/>
                <w:iCs/>
                <w:color w:val="000000" w:themeColor="text1"/>
                <w:sz w:val="24"/>
                <w:szCs w:val="24"/>
                <w:lang w:eastAsia="lv-LV"/>
              </w:rPr>
              <w:t>kategorijas prekursoriem</w:t>
            </w:r>
            <w:r w:rsidR="00D42991">
              <w:rPr>
                <w:rFonts w:ascii="Times New Roman" w:eastAsia="Times New Roman" w:hAnsi="Times New Roman" w:cs="Times New Roman"/>
                <w:iCs/>
                <w:color w:val="000000" w:themeColor="text1"/>
                <w:sz w:val="24"/>
                <w:szCs w:val="24"/>
                <w:lang w:eastAsia="lv-LV"/>
              </w:rPr>
              <w:t xml:space="preserve"> ir nepieciešama reģistrācija </w:t>
            </w:r>
            <w:r w:rsidR="005F481A">
              <w:rPr>
                <w:rFonts w:ascii="Times New Roman" w:eastAsia="Times New Roman" w:hAnsi="Times New Roman" w:cs="Times New Roman"/>
                <w:iCs/>
                <w:color w:val="000000" w:themeColor="text1"/>
                <w:sz w:val="24"/>
                <w:szCs w:val="24"/>
                <w:lang w:eastAsia="lv-LV"/>
              </w:rPr>
              <w:t>arī tiem</w:t>
            </w:r>
            <w:r w:rsidR="00D42991">
              <w:rPr>
                <w:rFonts w:ascii="Times New Roman" w:eastAsia="Times New Roman" w:hAnsi="Times New Roman" w:cs="Times New Roman"/>
                <w:iCs/>
                <w:color w:val="000000" w:themeColor="text1"/>
                <w:sz w:val="24"/>
                <w:szCs w:val="24"/>
                <w:lang w:eastAsia="lv-LV"/>
              </w:rPr>
              <w:t xml:space="preserve">: 1) </w:t>
            </w:r>
            <w:r w:rsidR="00D42991" w:rsidRPr="00D42991">
              <w:rPr>
                <w:rFonts w:ascii="Times New Roman" w:eastAsia="Times New Roman" w:hAnsi="Times New Roman" w:cs="Times New Roman"/>
                <w:iCs/>
                <w:color w:val="000000" w:themeColor="text1"/>
                <w:sz w:val="24"/>
                <w:szCs w:val="24"/>
                <w:lang w:eastAsia="lv-LV"/>
              </w:rPr>
              <w:t xml:space="preserve"> kur</w:t>
            </w:r>
            <w:r w:rsidR="00D42991">
              <w:rPr>
                <w:rFonts w:ascii="Times New Roman" w:eastAsia="Times New Roman" w:hAnsi="Times New Roman" w:cs="Times New Roman"/>
                <w:iCs/>
                <w:color w:val="000000" w:themeColor="text1"/>
                <w:sz w:val="24"/>
                <w:szCs w:val="24"/>
                <w:lang w:eastAsia="lv-LV"/>
              </w:rPr>
              <w:t>i</w:t>
            </w:r>
            <w:r w:rsidR="00D42991" w:rsidRPr="00D42991">
              <w:rPr>
                <w:rFonts w:ascii="Times New Roman" w:eastAsia="Times New Roman" w:hAnsi="Times New Roman" w:cs="Times New Roman"/>
                <w:iCs/>
                <w:color w:val="000000" w:themeColor="text1"/>
                <w:sz w:val="24"/>
                <w:szCs w:val="24"/>
                <w:lang w:eastAsia="lv-LV"/>
              </w:rPr>
              <w:t xml:space="preserve"> ir iesaistīt</w:t>
            </w:r>
            <w:r w:rsidR="00D42991">
              <w:rPr>
                <w:rFonts w:ascii="Times New Roman" w:eastAsia="Times New Roman" w:hAnsi="Times New Roman" w:cs="Times New Roman"/>
                <w:iCs/>
                <w:color w:val="000000" w:themeColor="text1"/>
                <w:sz w:val="24"/>
                <w:szCs w:val="24"/>
                <w:lang w:eastAsia="lv-LV"/>
              </w:rPr>
              <w:t>i</w:t>
            </w:r>
            <w:r w:rsidR="00D42991" w:rsidRPr="00D42991">
              <w:rPr>
                <w:rFonts w:ascii="Times New Roman" w:eastAsia="Times New Roman" w:hAnsi="Times New Roman" w:cs="Times New Roman"/>
                <w:iCs/>
                <w:color w:val="000000" w:themeColor="text1"/>
                <w:sz w:val="24"/>
                <w:szCs w:val="24"/>
                <w:lang w:eastAsia="lv-LV"/>
              </w:rPr>
              <w:t xml:space="preserve"> regula</w:t>
            </w:r>
            <w:r w:rsidR="00D42991">
              <w:rPr>
                <w:rFonts w:ascii="Times New Roman" w:eastAsia="Times New Roman" w:hAnsi="Times New Roman" w:cs="Times New Roman"/>
                <w:iCs/>
                <w:color w:val="000000" w:themeColor="text1"/>
                <w:sz w:val="24"/>
                <w:szCs w:val="24"/>
                <w:lang w:eastAsia="lv-LV"/>
              </w:rPr>
              <w:t>s</w:t>
            </w:r>
            <w:r w:rsidR="00D42991" w:rsidRPr="00D42991">
              <w:rPr>
                <w:rFonts w:ascii="Times New Roman" w:eastAsia="Times New Roman" w:hAnsi="Times New Roman" w:cs="Times New Roman"/>
                <w:iCs/>
                <w:color w:val="000000" w:themeColor="text1"/>
                <w:sz w:val="24"/>
                <w:szCs w:val="24"/>
                <w:lang w:eastAsia="lv-LV"/>
              </w:rPr>
              <w:t xml:space="preserve"> Nr.111/2005 pielikuma 3.kategorijā uzskaitīto prekursoru eksportā, ja kopējais to eksportētais daudzums iepriekšējā kalendārajā gadā pārsniedz regulas 2015/1011 1.pielikumā noteiktos daudzumus</w:t>
            </w:r>
            <w:r w:rsidR="00D42991">
              <w:rPr>
                <w:rFonts w:ascii="Times New Roman" w:eastAsia="Times New Roman" w:hAnsi="Times New Roman" w:cs="Times New Roman"/>
                <w:iCs/>
                <w:color w:val="000000" w:themeColor="text1"/>
                <w:sz w:val="24"/>
                <w:szCs w:val="24"/>
                <w:lang w:eastAsia="lv-LV"/>
              </w:rPr>
              <w:t xml:space="preserve">; </w:t>
            </w:r>
            <w:r w:rsidR="005F481A">
              <w:rPr>
                <w:rFonts w:ascii="Times New Roman" w:eastAsia="Times New Roman" w:hAnsi="Times New Roman" w:cs="Times New Roman"/>
                <w:iCs/>
                <w:color w:val="000000" w:themeColor="text1"/>
                <w:sz w:val="24"/>
                <w:szCs w:val="24"/>
                <w:lang w:eastAsia="lv-LV"/>
              </w:rPr>
              <w:t>2</w:t>
            </w:r>
            <w:r w:rsidR="00D42991">
              <w:rPr>
                <w:rFonts w:ascii="Times New Roman" w:eastAsia="Times New Roman" w:hAnsi="Times New Roman" w:cs="Times New Roman"/>
                <w:iCs/>
                <w:color w:val="000000" w:themeColor="text1"/>
                <w:sz w:val="24"/>
                <w:szCs w:val="24"/>
                <w:lang w:eastAsia="lv-LV"/>
              </w:rPr>
              <w:t>)</w:t>
            </w:r>
            <w:r w:rsidR="00D42991" w:rsidRPr="00D42991">
              <w:rPr>
                <w:rFonts w:ascii="Times New Roman" w:eastAsia="Times New Roman" w:hAnsi="Times New Roman" w:cs="Times New Roman"/>
                <w:iCs/>
                <w:color w:val="000000" w:themeColor="text1"/>
                <w:sz w:val="24"/>
                <w:szCs w:val="24"/>
                <w:lang w:eastAsia="lv-LV"/>
              </w:rPr>
              <w:t xml:space="preserve"> kur</w:t>
            </w:r>
            <w:r w:rsidR="005F481A">
              <w:rPr>
                <w:rFonts w:ascii="Times New Roman" w:eastAsia="Times New Roman" w:hAnsi="Times New Roman" w:cs="Times New Roman"/>
                <w:iCs/>
                <w:color w:val="000000" w:themeColor="text1"/>
                <w:sz w:val="24"/>
                <w:szCs w:val="24"/>
                <w:lang w:eastAsia="lv-LV"/>
              </w:rPr>
              <w:t>i</w:t>
            </w:r>
            <w:r w:rsidR="00D42991" w:rsidRPr="00D42991">
              <w:rPr>
                <w:rFonts w:ascii="Times New Roman" w:eastAsia="Times New Roman" w:hAnsi="Times New Roman" w:cs="Times New Roman"/>
                <w:iCs/>
                <w:color w:val="000000" w:themeColor="text1"/>
                <w:sz w:val="24"/>
                <w:szCs w:val="24"/>
                <w:lang w:eastAsia="lv-LV"/>
              </w:rPr>
              <w:t xml:space="preserve"> ir iesaistīt</w:t>
            </w:r>
            <w:r w:rsidR="005F481A">
              <w:rPr>
                <w:rFonts w:ascii="Times New Roman" w:eastAsia="Times New Roman" w:hAnsi="Times New Roman" w:cs="Times New Roman"/>
                <w:iCs/>
                <w:color w:val="000000" w:themeColor="text1"/>
                <w:sz w:val="24"/>
                <w:szCs w:val="24"/>
                <w:lang w:eastAsia="lv-LV"/>
              </w:rPr>
              <w:t>i</w:t>
            </w:r>
            <w:r w:rsidR="00D42991" w:rsidRPr="00D42991">
              <w:rPr>
                <w:rFonts w:ascii="Times New Roman" w:eastAsia="Times New Roman" w:hAnsi="Times New Roman" w:cs="Times New Roman"/>
                <w:iCs/>
                <w:color w:val="000000" w:themeColor="text1"/>
                <w:sz w:val="24"/>
                <w:szCs w:val="24"/>
                <w:lang w:eastAsia="lv-LV"/>
              </w:rPr>
              <w:t xml:space="preserve"> tādu maisījumu eksportā, kuri satur regulas Nr.111/2005 pielikuma 3.kategorijā </w:t>
            </w:r>
            <w:r w:rsidR="00D42991" w:rsidRPr="00D42991">
              <w:rPr>
                <w:rFonts w:ascii="Times New Roman" w:eastAsia="Times New Roman" w:hAnsi="Times New Roman" w:cs="Times New Roman"/>
                <w:iCs/>
                <w:color w:val="000000" w:themeColor="text1"/>
                <w:sz w:val="24"/>
                <w:szCs w:val="24"/>
                <w:lang w:eastAsia="lv-LV"/>
              </w:rPr>
              <w:lastRenderedPageBreak/>
              <w:t xml:space="preserve">uzskaitītos prekursorus, ja maisījumos ietvertais kopējais </w:t>
            </w:r>
            <w:r w:rsidR="00D42991">
              <w:rPr>
                <w:rFonts w:ascii="Times New Roman" w:eastAsia="Times New Roman" w:hAnsi="Times New Roman" w:cs="Times New Roman"/>
                <w:iCs/>
                <w:color w:val="000000" w:themeColor="text1"/>
                <w:sz w:val="24"/>
                <w:szCs w:val="24"/>
                <w:lang w:eastAsia="lv-LV"/>
              </w:rPr>
              <w:t>prekursoru</w:t>
            </w:r>
            <w:r w:rsidR="00D42991" w:rsidRPr="00D42991">
              <w:rPr>
                <w:rFonts w:ascii="Times New Roman" w:eastAsia="Times New Roman" w:hAnsi="Times New Roman" w:cs="Times New Roman"/>
                <w:iCs/>
                <w:color w:val="000000" w:themeColor="text1"/>
                <w:sz w:val="24"/>
                <w:szCs w:val="24"/>
                <w:lang w:eastAsia="lv-LV"/>
              </w:rPr>
              <w:t xml:space="preserve"> daudzums iepriekšējā kalendārajā gadā pārsniedz regulas 2015/1011 1.pielikumā noteiktos daudzumus.</w:t>
            </w:r>
          </w:p>
          <w:p w14:paraId="7EDBA624" w14:textId="4B81C21E" w:rsidR="00D42991" w:rsidRDefault="00D42991" w:rsidP="00D42991">
            <w:pPr>
              <w:spacing w:after="0" w:line="240" w:lineRule="auto"/>
              <w:jc w:val="both"/>
              <w:rPr>
                <w:rFonts w:ascii="Times New Roman" w:eastAsia="Times New Roman" w:hAnsi="Times New Roman" w:cs="Times New Roman"/>
                <w:iCs/>
                <w:color w:val="000000" w:themeColor="text1"/>
                <w:sz w:val="24"/>
                <w:szCs w:val="24"/>
                <w:lang w:eastAsia="lv-LV"/>
              </w:rPr>
            </w:pPr>
          </w:p>
          <w:p w14:paraId="4C00C94C" w14:textId="53A0912F" w:rsidR="00D42991" w:rsidRPr="008F497F" w:rsidRDefault="00D42991" w:rsidP="00D42991">
            <w:pPr>
              <w:spacing w:after="0" w:line="240" w:lineRule="auto"/>
              <w:jc w:val="both"/>
              <w:rPr>
                <w:rFonts w:ascii="Times New Roman" w:eastAsia="Times New Roman" w:hAnsi="Times New Roman" w:cs="Times New Roman"/>
                <w:iCs/>
                <w:color w:val="000000" w:themeColor="text1"/>
                <w:sz w:val="24"/>
                <w:szCs w:val="24"/>
                <w:lang w:eastAsia="lv-LV"/>
              </w:rPr>
            </w:pPr>
            <w:r w:rsidRPr="00D42991">
              <w:rPr>
                <w:rFonts w:ascii="Times New Roman" w:eastAsia="Times New Roman" w:hAnsi="Times New Roman" w:cs="Times New Roman"/>
                <w:iCs/>
                <w:color w:val="000000" w:themeColor="text1"/>
                <w:sz w:val="24"/>
                <w:szCs w:val="24"/>
                <w:lang w:eastAsia="lv-LV"/>
              </w:rPr>
              <w:t xml:space="preserve">Lai pārliecinātos par prekursoru operatoru atbilstību </w:t>
            </w:r>
            <w:r>
              <w:rPr>
                <w:rFonts w:ascii="Times New Roman" w:eastAsia="Times New Roman" w:hAnsi="Times New Roman" w:cs="Times New Roman"/>
                <w:iCs/>
                <w:color w:val="000000" w:themeColor="text1"/>
                <w:sz w:val="24"/>
                <w:szCs w:val="24"/>
                <w:lang w:eastAsia="lv-LV"/>
              </w:rPr>
              <w:t>projektā ietvertajām</w:t>
            </w:r>
            <w:r w:rsidRPr="00D42991">
              <w:rPr>
                <w:rFonts w:ascii="Times New Roman" w:eastAsia="Times New Roman" w:hAnsi="Times New Roman" w:cs="Times New Roman"/>
                <w:iCs/>
                <w:color w:val="000000" w:themeColor="text1"/>
                <w:sz w:val="24"/>
                <w:szCs w:val="24"/>
                <w:lang w:eastAsia="lv-LV"/>
              </w:rPr>
              <w:t xml:space="preserve"> prasībām, Veselības inspekcija pirms licences izsniegšanas veic pārbaudi attiecīgajā objektā.</w:t>
            </w:r>
            <w:r>
              <w:rPr>
                <w:rFonts w:ascii="Times New Roman" w:eastAsia="Times New Roman" w:hAnsi="Times New Roman" w:cs="Times New Roman"/>
                <w:iCs/>
                <w:color w:val="000000" w:themeColor="text1"/>
                <w:sz w:val="24"/>
                <w:szCs w:val="24"/>
                <w:lang w:eastAsia="lv-LV"/>
              </w:rPr>
              <w:t xml:space="preserve"> Līdzīgi kā līdz šim, šī procedūra neattiecas uz reģistrāciju un darbībām ar 2.</w:t>
            </w:r>
            <w:r w:rsidRPr="0030149A">
              <w:rPr>
                <w:rFonts w:ascii="Times New Roman" w:eastAsia="Times New Roman" w:hAnsi="Times New Roman" w:cs="Times New Roman"/>
                <w:iCs/>
                <w:color w:val="000000" w:themeColor="text1"/>
                <w:sz w:val="24"/>
                <w:szCs w:val="24"/>
                <w:lang w:eastAsia="lv-LV"/>
              </w:rPr>
              <w:t>kategorijas</w:t>
            </w:r>
            <w:r>
              <w:rPr>
                <w:rFonts w:ascii="Times New Roman" w:eastAsia="Times New Roman" w:hAnsi="Times New Roman" w:cs="Times New Roman"/>
                <w:iCs/>
                <w:color w:val="000000" w:themeColor="text1"/>
                <w:sz w:val="24"/>
                <w:szCs w:val="24"/>
                <w:lang w:eastAsia="lv-LV"/>
              </w:rPr>
              <w:t xml:space="preserve"> prekursoriem</w:t>
            </w:r>
            <w:r w:rsidR="00C97DD1">
              <w:rPr>
                <w:rFonts w:ascii="Times New Roman" w:eastAsia="Times New Roman" w:hAnsi="Times New Roman" w:cs="Times New Roman"/>
                <w:iCs/>
                <w:color w:val="000000" w:themeColor="text1"/>
                <w:sz w:val="24"/>
                <w:szCs w:val="24"/>
                <w:lang w:eastAsia="lv-LV"/>
              </w:rPr>
              <w:t>, jo tās ietver daudz mazākus riskus nekā darbības ar 1.kategorijas prekursoriem</w:t>
            </w:r>
            <w:r>
              <w:rPr>
                <w:rFonts w:ascii="Times New Roman" w:eastAsia="Times New Roman" w:hAnsi="Times New Roman" w:cs="Times New Roman"/>
                <w:iCs/>
                <w:color w:val="000000" w:themeColor="text1"/>
                <w:sz w:val="24"/>
                <w:szCs w:val="24"/>
                <w:lang w:eastAsia="lv-LV"/>
              </w:rPr>
              <w:t>.</w:t>
            </w:r>
          </w:p>
          <w:p w14:paraId="21CDB690" w14:textId="77777777" w:rsidR="00327448" w:rsidRPr="008F497F" w:rsidRDefault="00327448" w:rsidP="00B8640A">
            <w:pPr>
              <w:spacing w:after="0" w:line="240" w:lineRule="auto"/>
              <w:jc w:val="both"/>
              <w:rPr>
                <w:rFonts w:ascii="Times New Roman" w:eastAsia="Times New Roman" w:hAnsi="Times New Roman" w:cs="Times New Roman"/>
                <w:iCs/>
                <w:color w:val="000000" w:themeColor="text1"/>
                <w:sz w:val="24"/>
                <w:szCs w:val="24"/>
                <w:lang w:eastAsia="lv-LV"/>
              </w:rPr>
            </w:pPr>
          </w:p>
          <w:p w14:paraId="41B756A4" w14:textId="77777777" w:rsidR="00BD6AC0" w:rsidRDefault="00C97DD1" w:rsidP="00C97DD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Zāļu valsts a</w:t>
            </w:r>
            <w:r w:rsidRPr="00C97DD1">
              <w:rPr>
                <w:rFonts w:ascii="Times New Roman" w:eastAsia="Times New Roman" w:hAnsi="Times New Roman" w:cs="Times New Roman"/>
                <w:iCs/>
                <w:color w:val="000000" w:themeColor="text1"/>
                <w:sz w:val="24"/>
                <w:szCs w:val="24"/>
                <w:lang w:eastAsia="lv-LV"/>
              </w:rPr>
              <w:t>ģentūra</w:t>
            </w:r>
            <w:r w:rsidR="00A37276">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 pirms </w:t>
            </w:r>
            <w:r w:rsidRPr="00C97DD1">
              <w:rPr>
                <w:rFonts w:ascii="Times New Roman" w:eastAsia="Times New Roman" w:hAnsi="Times New Roman" w:cs="Times New Roman"/>
                <w:iCs/>
                <w:color w:val="000000" w:themeColor="text1"/>
                <w:sz w:val="24"/>
                <w:szCs w:val="24"/>
                <w:lang w:eastAsia="lv-LV"/>
              </w:rPr>
              <w:t>pieņem</w:t>
            </w:r>
            <w:r>
              <w:rPr>
                <w:rFonts w:ascii="Times New Roman" w:eastAsia="Times New Roman" w:hAnsi="Times New Roman" w:cs="Times New Roman"/>
                <w:iCs/>
                <w:color w:val="000000" w:themeColor="text1"/>
                <w:sz w:val="24"/>
                <w:szCs w:val="24"/>
                <w:lang w:eastAsia="lv-LV"/>
              </w:rPr>
              <w:t>t</w:t>
            </w:r>
            <w:r w:rsidRPr="00C97DD1">
              <w:rPr>
                <w:rFonts w:ascii="Times New Roman" w:eastAsia="Times New Roman" w:hAnsi="Times New Roman" w:cs="Times New Roman"/>
                <w:iCs/>
                <w:color w:val="000000" w:themeColor="text1"/>
                <w:sz w:val="24"/>
                <w:szCs w:val="24"/>
                <w:lang w:eastAsia="lv-LV"/>
              </w:rPr>
              <w:t xml:space="preserve"> lēmumu par licences  izsniegšanu vai par atteikumu izsniegt licenci</w:t>
            </w:r>
            <w:r>
              <w:rPr>
                <w:rFonts w:ascii="Times New Roman" w:eastAsia="Times New Roman" w:hAnsi="Times New Roman" w:cs="Times New Roman"/>
                <w:iCs/>
                <w:color w:val="000000" w:themeColor="text1"/>
                <w:sz w:val="24"/>
                <w:szCs w:val="24"/>
                <w:lang w:eastAsia="lv-LV"/>
              </w:rPr>
              <w:t xml:space="preserve"> un </w:t>
            </w:r>
            <w:r w:rsidRPr="00C97DD1">
              <w:rPr>
                <w:rFonts w:ascii="Times New Roman" w:eastAsia="Times New Roman" w:hAnsi="Times New Roman" w:cs="Times New Roman"/>
                <w:iCs/>
                <w:color w:val="000000" w:themeColor="text1"/>
                <w:sz w:val="24"/>
                <w:szCs w:val="24"/>
                <w:lang w:eastAsia="lv-LV"/>
              </w:rPr>
              <w:t>par personas reģistrāciju vai par atteikumu reģistrēt personu</w:t>
            </w:r>
            <w:r w:rsidR="00A37276">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 ne tikai </w:t>
            </w:r>
            <w:r w:rsidRPr="00C97DD1">
              <w:rPr>
                <w:rFonts w:ascii="Times New Roman" w:eastAsia="Times New Roman" w:hAnsi="Times New Roman" w:cs="Times New Roman"/>
                <w:iCs/>
                <w:color w:val="000000" w:themeColor="text1"/>
                <w:sz w:val="24"/>
                <w:szCs w:val="24"/>
                <w:lang w:eastAsia="lv-LV"/>
              </w:rPr>
              <w:t xml:space="preserve">novērtē iesniegto informāciju un pārliecinās, vai iesniegums atbilst </w:t>
            </w:r>
            <w:r>
              <w:rPr>
                <w:rFonts w:ascii="Times New Roman" w:eastAsia="Times New Roman" w:hAnsi="Times New Roman" w:cs="Times New Roman"/>
                <w:iCs/>
                <w:color w:val="000000" w:themeColor="text1"/>
                <w:sz w:val="24"/>
                <w:szCs w:val="24"/>
                <w:lang w:eastAsia="lv-LV"/>
              </w:rPr>
              <w:t xml:space="preserve">projekta </w:t>
            </w:r>
            <w:r w:rsidRPr="00C97DD1">
              <w:rPr>
                <w:rFonts w:ascii="Times New Roman" w:eastAsia="Times New Roman" w:hAnsi="Times New Roman" w:cs="Times New Roman"/>
                <w:iCs/>
                <w:color w:val="000000" w:themeColor="text1"/>
                <w:sz w:val="24"/>
                <w:szCs w:val="24"/>
                <w:lang w:eastAsia="lv-LV"/>
              </w:rPr>
              <w:t>2. vai 3.punktā minētajiem nosacījumiem</w:t>
            </w:r>
            <w:r>
              <w:rPr>
                <w:rFonts w:ascii="Times New Roman" w:eastAsia="Times New Roman" w:hAnsi="Times New Roman" w:cs="Times New Roman"/>
                <w:iCs/>
                <w:color w:val="000000" w:themeColor="text1"/>
                <w:sz w:val="24"/>
                <w:szCs w:val="24"/>
                <w:lang w:eastAsia="lv-LV"/>
              </w:rPr>
              <w:t xml:space="preserve">, bet arī </w:t>
            </w:r>
            <w:r w:rsidRPr="00C97DD1">
              <w:rPr>
                <w:rFonts w:ascii="Times New Roman" w:eastAsia="Times New Roman" w:hAnsi="Times New Roman" w:cs="Times New Roman"/>
                <w:iCs/>
                <w:color w:val="000000" w:themeColor="text1"/>
                <w:sz w:val="24"/>
                <w:szCs w:val="24"/>
                <w:lang w:eastAsia="lv-LV"/>
              </w:rPr>
              <w:t>Sodu reģistrā pārliecinās, ka iesniedzējs – fiziskā persona un  iesniedzēja – juridiskās personas – valdes locekļi, dalībnieki – fiziskās personas, prokūristi un pilnvarnieki nav sodīti par noziedzīgu nodarījumu, kā arī nav administratīvi sodīti par pārkāpumiem, kas saistīti ar narkotisko un psihotropo vielu, prekursoru vai neklasificēto vielu apriti</w:t>
            </w:r>
            <w:r>
              <w:rPr>
                <w:rFonts w:ascii="Times New Roman" w:eastAsia="Times New Roman" w:hAnsi="Times New Roman" w:cs="Times New Roman"/>
                <w:iCs/>
                <w:color w:val="000000" w:themeColor="text1"/>
                <w:sz w:val="24"/>
                <w:szCs w:val="24"/>
                <w:lang w:eastAsia="lv-LV"/>
              </w:rPr>
              <w:t>.</w:t>
            </w:r>
            <w:r w:rsidR="00F87605">
              <w:rPr>
                <w:rFonts w:ascii="Times New Roman" w:eastAsia="Times New Roman" w:hAnsi="Times New Roman" w:cs="Times New Roman"/>
                <w:iCs/>
                <w:color w:val="000000" w:themeColor="text1"/>
                <w:sz w:val="24"/>
                <w:szCs w:val="24"/>
                <w:lang w:eastAsia="lv-LV"/>
              </w:rPr>
              <w:t xml:space="preserve"> </w:t>
            </w:r>
          </w:p>
          <w:p w14:paraId="048963AE" w14:textId="50B9DE0C" w:rsidR="00BD6AC0" w:rsidRPr="008A3161" w:rsidRDefault="00F87605" w:rsidP="00145449">
            <w:pPr>
              <w:pStyle w:val="NoSpacing"/>
              <w:jc w:val="both"/>
              <w:rPr>
                <w:b/>
              </w:rPr>
            </w:pPr>
            <w:r>
              <w:rPr>
                <w:iCs/>
                <w:color w:val="000000" w:themeColor="text1"/>
              </w:rPr>
              <w:t>Zāļu valsts aģentūrai ir nepieciešams iegūt šādu informāciju par minētajām fiziskajām personām, jo</w:t>
            </w:r>
            <w:r w:rsidR="00FA7F06">
              <w:rPr>
                <w:iCs/>
                <w:color w:val="000000" w:themeColor="text1"/>
              </w:rPr>
              <w:t xml:space="preserve"> </w:t>
            </w:r>
            <w:r>
              <w:rPr>
                <w:iCs/>
                <w:color w:val="000000" w:themeColor="text1"/>
              </w:rPr>
              <w:t>g</w:t>
            </w:r>
            <w:r w:rsidR="00C97DD1">
              <w:rPr>
                <w:iCs/>
                <w:color w:val="000000" w:themeColor="text1"/>
              </w:rPr>
              <w:t xml:space="preserve">adījumā, ja kāda no uzskaitītajām personām ir bijusi </w:t>
            </w:r>
            <w:r w:rsidR="00C97DD1" w:rsidRPr="00C97DD1">
              <w:rPr>
                <w:iCs/>
                <w:color w:val="000000" w:themeColor="text1"/>
              </w:rPr>
              <w:t>sodīt</w:t>
            </w:r>
            <w:r w:rsidR="00C97DD1">
              <w:rPr>
                <w:iCs/>
                <w:color w:val="000000" w:themeColor="text1"/>
              </w:rPr>
              <w:t>a</w:t>
            </w:r>
            <w:r w:rsidR="00C97DD1" w:rsidRPr="00C97DD1">
              <w:rPr>
                <w:iCs/>
                <w:color w:val="000000" w:themeColor="text1"/>
              </w:rPr>
              <w:t xml:space="preserve"> par noziedzīgu nodarījumu</w:t>
            </w:r>
            <w:r w:rsidR="00C97DD1">
              <w:rPr>
                <w:iCs/>
                <w:color w:val="000000" w:themeColor="text1"/>
              </w:rPr>
              <w:t xml:space="preserve"> vai</w:t>
            </w:r>
            <w:r w:rsidR="00C97DD1" w:rsidRPr="00C97DD1">
              <w:rPr>
                <w:iCs/>
                <w:color w:val="000000" w:themeColor="text1"/>
              </w:rPr>
              <w:t xml:space="preserve">  administratīvi sodīt</w:t>
            </w:r>
            <w:r w:rsidR="00C97DD1">
              <w:rPr>
                <w:iCs/>
                <w:color w:val="000000" w:themeColor="text1"/>
              </w:rPr>
              <w:t>a</w:t>
            </w:r>
            <w:r w:rsidR="00C97DD1" w:rsidRPr="00C97DD1">
              <w:rPr>
                <w:iCs/>
                <w:color w:val="000000" w:themeColor="text1"/>
              </w:rPr>
              <w:t xml:space="preserve"> par pārkāpumiem, kas saistīti ar narkotisko un psihotropo vielu, prekursoru vai neklasificēto vielu apriti</w:t>
            </w:r>
            <w:r w:rsidR="00C97DD1" w:rsidRPr="00BD6AC0">
              <w:rPr>
                <w:iCs/>
                <w:color w:val="000000" w:themeColor="text1"/>
              </w:rPr>
              <w:t>, tas bū</w:t>
            </w:r>
            <w:r w:rsidRPr="00BD6AC0">
              <w:rPr>
                <w:iCs/>
                <w:color w:val="000000" w:themeColor="text1"/>
              </w:rPr>
              <w:t>s</w:t>
            </w:r>
            <w:r w:rsidR="00C97DD1" w:rsidRPr="00BD6AC0">
              <w:rPr>
                <w:iCs/>
                <w:color w:val="000000" w:themeColor="text1"/>
              </w:rPr>
              <w:t xml:space="preserve"> pamats licences iesniegšanas un reģistrācijas atteikumam</w:t>
            </w:r>
            <w:r w:rsidR="006F04F9" w:rsidRPr="00BD6AC0">
              <w:rPr>
                <w:iCs/>
                <w:color w:val="000000" w:themeColor="text1"/>
              </w:rPr>
              <w:t xml:space="preserve"> saskaņā ar regulu 273/2004</w:t>
            </w:r>
            <w:r w:rsidR="00C97DD1" w:rsidRPr="00BD6AC0">
              <w:rPr>
                <w:iCs/>
                <w:color w:val="000000" w:themeColor="text1"/>
              </w:rPr>
              <w:t>.</w:t>
            </w:r>
            <w:r w:rsidRPr="00BD6AC0">
              <w:rPr>
                <w:iCs/>
                <w:color w:val="000000" w:themeColor="text1"/>
              </w:rPr>
              <w:t xml:space="preserve"> </w:t>
            </w:r>
            <w:r w:rsidR="00145449" w:rsidRPr="008A3161">
              <w:rPr>
                <w:b/>
              </w:rPr>
              <w:t>Noteikumu projektā ir ietverta procesuāla norma par to, ka Zāļu valsts aģentūra pārliecinās par personas nesodāmības faktu. Minētā prasība izriet no regulas 2015/10</w:t>
            </w:r>
            <w:r w:rsidR="00642D92">
              <w:rPr>
                <w:b/>
              </w:rPr>
              <w:t>1</w:t>
            </w:r>
            <w:r w:rsidR="00145449" w:rsidRPr="008A3161">
              <w:rPr>
                <w:b/>
              </w:rPr>
              <w:t xml:space="preserve">1 3.panta 2.punkta, kas nosaka pienākumu iesniegt izziņu par nesodāmību. Savukārt nosacījumi licences izsniegšanai vai atteikumam izsniegšanai jau ir noteikti regulā 273/2004, pamatojot to ar faktu, ka ir runa par darbībām ar tādām vielām, kuras var izmantot nelikumīgai narkotisko vai psihotropo vielu izgatavošanai. </w:t>
            </w:r>
            <w:r w:rsidR="00BD6AC0" w:rsidRPr="008A3161">
              <w:rPr>
                <w:b/>
              </w:rPr>
              <w:t>Ziņas no Sodu reģistra iegūstamas par jebkura veida noziedzīgiem nodarījumiem, jo:</w:t>
            </w:r>
          </w:p>
          <w:p w14:paraId="0B63A301" w14:textId="7340B57B" w:rsidR="00BD6AC0" w:rsidRPr="008A3161" w:rsidRDefault="00BD6AC0" w:rsidP="00BD6AC0">
            <w:pPr>
              <w:pStyle w:val="NoSpacing"/>
              <w:jc w:val="both"/>
              <w:rPr>
                <w:b/>
              </w:rPr>
            </w:pPr>
            <w:r w:rsidRPr="008A3161">
              <w:rPr>
                <w:b/>
              </w:rPr>
              <w:lastRenderedPageBreak/>
              <w:t xml:space="preserve">   1) </w:t>
            </w:r>
            <w:r w:rsidRPr="008A3161">
              <w:rPr>
                <w:b/>
                <w:iCs/>
              </w:rPr>
              <w:t xml:space="preserve">Regulas Nr. 2015/1011 * </w:t>
            </w:r>
            <w:r w:rsidRPr="008A3161">
              <w:rPr>
                <w:b/>
              </w:rPr>
              <w:t xml:space="preserve">3. panta 2. punkta norma nosaka licences piešķiršanas nosacījumu - xi) izziņu par attiecīgā uzņēmēja un atbildīgās amatpersonas </w:t>
            </w:r>
            <w:r w:rsidRPr="008A3161">
              <w:rPr>
                <w:rStyle w:val="highlight"/>
                <w:b/>
              </w:rPr>
              <w:t>neso</w:t>
            </w:r>
            <w:r w:rsidRPr="008A3161">
              <w:rPr>
                <w:b/>
              </w:rPr>
              <w:t xml:space="preserve">dāmību vai dokuments, kas apliecina, ka šīs personas spēj nodrošināt vajadzīgās garantijas darbību pareizai veikšanai, vai informācija, kas kompetentajai iestādei ļauj šādu dokumentu iegūt, </w:t>
            </w:r>
          </w:p>
          <w:p w14:paraId="37207015" w14:textId="6BB3A7EF" w:rsidR="00BD6AC0" w:rsidRPr="008A3161" w:rsidRDefault="00BD6AC0" w:rsidP="00BD6AC0">
            <w:pPr>
              <w:pStyle w:val="NoSpacing"/>
              <w:jc w:val="both"/>
              <w:rPr>
                <w:rFonts w:eastAsia="Arial Unicode MS"/>
                <w:b/>
                <w:shd w:val="clear" w:color="auto" w:fill="FFFFFF"/>
              </w:rPr>
            </w:pPr>
            <w:r w:rsidRPr="008A3161">
              <w:rPr>
                <w:b/>
              </w:rPr>
              <w:t xml:space="preserve">  2) atbilstoši Regulas Nr. 273/2004 ** 3.panta 4. punkta normai, p</w:t>
            </w:r>
            <w:r w:rsidRPr="008A3161">
              <w:rPr>
                <w:rFonts w:eastAsia="Arial Unicode MS" w:hint="eastAsia"/>
                <w:b/>
                <w:shd w:val="clear" w:color="auto" w:fill="FFFFFF"/>
              </w:rPr>
              <w:t>rasība piešķirt licenci ir noraidāma, ja ir pamats uzskatīt, ka pretendents vai par tirdzniecību atbildīgā persona nav piemērota vai uzticama</w:t>
            </w:r>
            <w:r w:rsidRPr="008A3161">
              <w:rPr>
                <w:rFonts w:eastAsia="Arial Unicode MS"/>
                <w:b/>
                <w:shd w:val="clear" w:color="auto" w:fill="FFFFFF"/>
              </w:rPr>
              <w:t>,</w:t>
            </w:r>
          </w:p>
          <w:p w14:paraId="1E8CDC1B" w14:textId="4CCF1165" w:rsidR="00BD6AC0" w:rsidRPr="008A3161" w:rsidRDefault="00BD6AC0" w:rsidP="00BD6AC0">
            <w:pPr>
              <w:pStyle w:val="NoSpacing"/>
              <w:jc w:val="both"/>
              <w:rPr>
                <w:rFonts w:eastAsia="Arial Unicode MS"/>
                <w:b/>
                <w:u w:val="single"/>
                <w:shd w:val="clear" w:color="auto" w:fill="FFFFFF"/>
              </w:rPr>
            </w:pPr>
            <w:r w:rsidRPr="008A3161">
              <w:rPr>
                <w:b/>
              </w:rPr>
              <w:t xml:space="preserve">3) Regulas Nr. 111/2005 *** 6. un 7. panta norma nosaka, ka apsverot, vai piešķirt attiecīgi licenci vai reģistrāciju, kompetentā iestāde ņem vērā pretendenta kompetenci un godprātīgumu, jo īpaši to, ka nav konstatēti nopietni vai atkārtoti narkotisko vielu prekursoru jomas tiesību aktu pārkāpumi un </w:t>
            </w:r>
            <w:r w:rsidRPr="008A3161">
              <w:rPr>
                <w:b/>
                <w:u w:val="single"/>
              </w:rPr>
              <w:t>ka nav fiksēti smagi noziedzīgi nodarījumi.</w:t>
            </w:r>
          </w:p>
          <w:p w14:paraId="359CE8AA" w14:textId="1AC66072" w:rsidR="00BD6AC0" w:rsidRDefault="00BD6AC0" w:rsidP="00C97DD1">
            <w:pPr>
              <w:spacing w:after="0" w:line="240" w:lineRule="auto"/>
              <w:jc w:val="both"/>
              <w:rPr>
                <w:rFonts w:ascii="Times New Roman" w:eastAsia="Times New Roman" w:hAnsi="Times New Roman" w:cs="Times New Roman"/>
                <w:iCs/>
                <w:color w:val="000000" w:themeColor="text1"/>
                <w:sz w:val="24"/>
                <w:szCs w:val="24"/>
                <w:lang w:eastAsia="lv-LV"/>
              </w:rPr>
            </w:pPr>
          </w:p>
          <w:p w14:paraId="56230C54" w14:textId="5F96A09E" w:rsidR="00F82CFE" w:rsidRDefault="00F87605" w:rsidP="00C97DD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Zāļu valsts aģentūra jau šobrīd, pamatojoties uz līgumu, kas noslēgts ar Iekšlietu ministrijas Informācijas centru, pastāvīgi iegūst datus no Sodu reģistra.</w:t>
            </w:r>
            <w:r w:rsidR="00796207">
              <w:rPr>
                <w:rFonts w:ascii="Times New Roman" w:eastAsia="Times New Roman" w:hAnsi="Times New Roman" w:cs="Times New Roman"/>
                <w:iCs/>
                <w:color w:val="000000" w:themeColor="text1"/>
                <w:sz w:val="24"/>
                <w:szCs w:val="24"/>
                <w:lang w:eastAsia="lv-LV"/>
              </w:rPr>
              <w:t xml:space="preserve"> Zāļu valsts aģentūra garantē to personu, par kurām tiks iegūti dati no Sodu reģistra, tiesību un brīvību ievērošanu</w:t>
            </w:r>
            <w:r w:rsidR="003E2649">
              <w:rPr>
                <w:rFonts w:ascii="Times New Roman" w:eastAsia="Times New Roman" w:hAnsi="Times New Roman" w:cs="Times New Roman"/>
                <w:iCs/>
                <w:color w:val="000000" w:themeColor="text1"/>
                <w:sz w:val="24"/>
                <w:szCs w:val="24"/>
                <w:lang w:eastAsia="lv-LV"/>
              </w:rPr>
              <w:t xml:space="preserve"> – dati tiks apstrādāti, ievērojot </w:t>
            </w:r>
            <w:r w:rsidR="003E2649" w:rsidRPr="003E2649">
              <w:rPr>
                <w:rFonts w:ascii="Times New Roman" w:eastAsia="Times New Roman" w:hAnsi="Times New Roman" w:cs="Times New Roman"/>
                <w:iCs/>
                <w:color w:val="000000" w:themeColor="text1"/>
                <w:sz w:val="24"/>
                <w:szCs w:val="24"/>
                <w:lang w:eastAsia="lv-LV"/>
              </w:rPr>
              <w:t>Fizisko personu datu apstrādes likum</w:t>
            </w:r>
            <w:r w:rsidR="003E2649">
              <w:rPr>
                <w:rFonts w:ascii="Times New Roman" w:eastAsia="Times New Roman" w:hAnsi="Times New Roman" w:cs="Times New Roman"/>
                <w:iCs/>
                <w:color w:val="000000" w:themeColor="text1"/>
                <w:sz w:val="24"/>
                <w:szCs w:val="24"/>
                <w:lang w:eastAsia="lv-LV"/>
              </w:rPr>
              <w:t xml:space="preserve">a un </w:t>
            </w:r>
            <w:r w:rsidR="003E2649" w:rsidRPr="003E2649">
              <w:rPr>
                <w:rFonts w:ascii="Times New Roman" w:eastAsia="Times New Roman" w:hAnsi="Times New Roman" w:cs="Times New Roman"/>
                <w:iCs/>
                <w:color w:val="000000" w:themeColor="text1"/>
                <w:sz w:val="24"/>
                <w:szCs w:val="24"/>
                <w:lang w:eastAsia="lv-LV"/>
              </w:rPr>
              <w:t>Eiropas Parlamenta un Padomes 2016. gada 27. aprīļa Regulas (ES) 2016/679 par fizisku personu aizsardzību attiecībā uz personas datu apstrādi un šādu datu brīvu apriti un ar ko atceļ Direktīvu 95/46/EK</w:t>
            </w:r>
            <w:r w:rsidR="003E2649">
              <w:rPr>
                <w:rFonts w:ascii="Times New Roman" w:eastAsia="Times New Roman" w:hAnsi="Times New Roman" w:cs="Times New Roman"/>
                <w:iCs/>
                <w:color w:val="000000" w:themeColor="text1"/>
                <w:sz w:val="24"/>
                <w:szCs w:val="24"/>
                <w:lang w:eastAsia="lv-LV"/>
              </w:rPr>
              <w:t xml:space="preserve"> prasības</w:t>
            </w:r>
            <w:r w:rsidR="00796207">
              <w:rPr>
                <w:rFonts w:ascii="Times New Roman" w:eastAsia="Times New Roman" w:hAnsi="Times New Roman" w:cs="Times New Roman"/>
                <w:iCs/>
                <w:color w:val="000000" w:themeColor="text1"/>
                <w:sz w:val="24"/>
                <w:szCs w:val="24"/>
                <w:lang w:eastAsia="lv-LV"/>
              </w:rPr>
              <w:t>.</w:t>
            </w:r>
          </w:p>
          <w:p w14:paraId="2FA06D80" w14:textId="77777777" w:rsidR="006F04F9" w:rsidRDefault="006F04F9" w:rsidP="00C97DD1">
            <w:pPr>
              <w:spacing w:after="0" w:line="240" w:lineRule="auto"/>
              <w:jc w:val="both"/>
              <w:rPr>
                <w:rFonts w:ascii="Times New Roman" w:eastAsia="Times New Roman" w:hAnsi="Times New Roman" w:cs="Times New Roman"/>
                <w:iCs/>
                <w:color w:val="000000" w:themeColor="text1"/>
                <w:sz w:val="24"/>
                <w:szCs w:val="24"/>
                <w:lang w:eastAsia="lv-LV"/>
              </w:rPr>
            </w:pPr>
          </w:p>
          <w:p w14:paraId="75EAC7DE" w14:textId="6809E398" w:rsidR="006F04F9" w:rsidRDefault="006F04F9" w:rsidP="00C97DD1">
            <w:pPr>
              <w:spacing w:after="0" w:line="240" w:lineRule="auto"/>
              <w:jc w:val="both"/>
              <w:rPr>
                <w:rFonts w:ascii="Times New Roman" w:eastAsia="Times New Roman" w:hAnsi="Times New Roman" w:cs="Times New Roman"/>
                <w:iCs/>
                <w:color w:val="000000" w:themeColor="text1"/>
                <w:sz w:val="24"/>
                <w:szCs w:val="24"/>
                <w:lang w:eastAsia="lv-LV"/>
              </w:rPr>
            </w:pPr>
            <w:r w:rsidRPr="006F04F9">
              <w:rPr>
                <w:rFonts w:ascii="Times New Roman" w:eastAsia="Times New Roman" w:hAnsi="Times New Roman" w:cs="Times New Roman"/>
                <w:iCs/>
                <w:color w:val="000000" w:themeColor="text1"/>
                <w:sz w:val="24"/>
                <w:szCs w:val="24"/>
                <w:lang w:eastAsia="lv-LV"/>
              </w:rPr>
              <w:t>Licenci un dokumentu par personas reģistrāciju</w:t>
            </w:r>
            <w:r>
              <w:rPr>
                <w:rFonts w:ascii="Times New Roman" w:eastAsia="Times New Roman" w:hAnsi="Times New Roman" w:cs="Times New Roman"/>
                <w:iCs/>
                <w:color w:val="000000" w:themeColor="text1"/>
                <w:sz w:val="24"/>
                <w:szCs w:val="24"/>
                <w:lang w:eastAsia="lv-LV"/>
              </w:rPr>
              <w:t xml:space="preserve"> izsniedz </w:t>
            </w:r>
            <w:r w:rsidRPr="006F04F9">
              <w:rPr>
                <w:rFonts w:ascii="Times New Roman" w:eastAsia="Times New Roman" w:hAnsi="Times New Roman" w:cs="Times New Roman"/>
                <w:iCs/>
                <w:color w:val="000000" w:themeColor="text1"/>
                <w:sz w:val="24"/>
                <w:szCs w:val="24"/>
                <w:lang w:eastAsia="lv-LV"/>
              </w:rPr>
              <w:t>atbilstoši regula</w:t>
            </w:r>
            <w:r>
              <w:rPr>
                <w:rFonts w:ascii="Times New Roman" w:eastAsia="Times New Roman" w:hAnsi="Times New Roman" w:cs="Times New Roman"/>
                <w:iCs/>
                <w:color w:val="000000" w:themeColor="text1"/>
                <w:sz w:val="24"/>
                <w:szCs w:val="24"/>
                <w:lang w:eastAsia="lv-LV"/>
              </w:rPr>
              <w:t>s</w:t>
            </w:r>
            <w:r w:rsidRPr="006F04F9">
              <w:rPr>
                <w:rFonts w:ascii="Times New Roman" w:eastAsia="Times New Roman" w:hAnsi="Times New Roman" w:cs="Times New Roman"/>
                <w:iCs/>
                <w:color w:val="000000" w:themeColor="text1"/>
                <w:sz w:val="24"/>
                <w:szCs w:val="24"/>
                <w:lang w:eastAsia="lv-LV"/>
              </w:rPr>
              <w:t xml:space="preserve"> Nr.2015/1013 1. un 2.pielikumā noteiktam paraugam</w:t>
            </w:r>
            <w:r w:rsidR="00621CEA">
              <w:rPr>
                <w:rFonts w:ascii="Times New Roman" w:eastAsia="Times New Roman" w:hAnsi="Times New Roman" w:cs="Times New Roman"/>
                <w:iCs/>
                <w:color w:val="000000" w:themeColor="text1"/>
                <w:sz w:val="24"/>
                <w:szCs w:val="24"/>
                <w:lang w:eastAsia="lv-LV"/>
              </w:rPr>
              <w:t>.</w:t>
            </w:r>
            <w:r w:rsidRPr="006F04F9">
              <w:rPr>
                <w:rFonts w:ascii="Times New Roman" w:eastAsia="Times New Roman" w:hAnsi="Times New Roman" w:cs="Times New Roman"/>
                <w:iCs/>
                <w:color w:val="000000" w:themeColor="text1"/>
                <w:sz w:val="24"/>
                <w:szCs w:val="24"/>
                <w:lang w:eastAsia="lv-LV"/>
              </w:rPr>
              <w:t xml:space="preserve"> </w:t>
            </w:r>
            <w:r w:rsidR="00621CEA">
              <w:rPr>
                <w:rFonts w:ascii="Times New Roman" w:eastAsia="Times New Roman" w:hAnsi="Times New Roman" w:cs="Times New Roman"/>
                <w:iCs/>
                <w:color w:val="000000" w:themeColor="text1"/>
                <w:sz w:val="24"/>
                <w:szCs w:val="24"/>
                <w:lang w:eastAsia="lv-LV"/>
              </w:rPr>
              <w:t>L</w:t>
            </w:r>
            <w:r w:rsidRPr="006F04F9">
              <w:rPr>
                <w:rFonts w:ascii="Times New Roman" w:eastAsia="Times New Roman" w:hAnsi="Times New Roman" w:cs="Times New Roman"/>
                <w:iCs/>
                <w:color w:val="000000" w:themeColor="text1"/>
                <w:sz w:val="24"/>
                <w:szCs w:val="24"/>
                <w:lang w:eastAsia="lv-LV"/>
              </w:rPr>
              <w:t>ēmumu</w:t>
            </w:r>
            <w:r w:rsidR="00621CEA">
              <w:rPr>
                <w:rFonts w:ascii="Times New Roman" w:eastAsia="Times New Roman" w:hAnsi="Times New Roman" w:cs="Times New Roman"/>
                <w:iCs/>
                <w:color w:val="000000" w:themeColor="text1"/>
                <w:sz w:val="24"/>
                <w:szCs w:val="24"/>
                <w:lang w:eastAsia="lv-LV"/>
              </w:rPr>
              <w:t xml:space="preserve"> par licences piešķiršanu un reģistrāciju, kā arī lēmumu</w:t>
            </w:r>
            <w:r w:rsidRPr="006F04F9">
              <w:rPr>
                <w:rFonts w:ascii="Times New Roman" w:eastAsia="Times New Roman" w:hAnsi="Times New Roman" w:cs="Times New Roman"/>
                <w:iCs/>
                <w:color w:val="000000" w:themeColor="text1"/>
                <w:sz w:val="24"/>
                <w:szCs w:val="24"/>
                <w:lang w:eastAsia="lv-LV"/>
              </w:rPr>
              <w:t xml:space="preserve"> par  atteikumu izsniegt licenci un lēmumu par atteikumu reģistrēt personu elektronisk</w:t>
            </w:r>
            <w:r w:rsidR="00621CEA">
              <w:rPr>
                <w:rFonts w:ascii="Times New Roman" w:eastAsia="Times New Roman" w:hAnsi="Times New Roman" w:cs="Times New Roman"/>
                <w:iCs/>
                <w:color w:val="000000" w:themeColor="text1"/>
                <w:sz w:val="24"/>
                <w:szCs w:val="24"/>
                <w:lang w:eastAsia="lv-LV"/>
              </w:rPr>
              <w:t>i</w:t>
            </w:r>
            <w:r w:rsidRPr="006F04F9">
              <w:rPr>
                <w:rFonts w:ascii="Times New Roman" w:eastAsia="Times New Roman" w:hAnsi="Times New Roman" w:cs="Times New Roman"/>
                <w:iCs/>
                <w:color w:val="000000" w:themeColor="text1"/>
                <w:sz w:val="24"/>
                <w:szCs w:val="24"/>
                <w:lang w:eastAsia="lv-LV"/>
              </w:rPr>
              <w:t xml:space="preserve"> nosūt</w:t>
            </w:r>
            <w:r w:rsidR="00621CEA">
              <w:rPr>
                <w:rFonts w:ascii="Times New Roman" w:eastAsia="Times New Roman" w:hAnsi="Times New Roman" w:cs="Times New Roman"/>
                <w:iCs/>
                <w:color w:val="000000" w:themeColor="text1"/>
                <w:sz w:val="24"/>
                <w:szCs w:val="24"/>
                <w:lang w:eastAsia="lv-LV"/>
              </w:rPr>
              <w:t>a</w:t>
            </w:r>
            <w:r w:rsidRPr="006F04F9">
              <w:rPr>
                <w:rFonts w:ascii="Times New Roman" w:eastAsia="Times New Roman" w:hAnsi="Times New Roman" w:cs="Times New Roman"/>
                <w:iCs/>
                <w:color w:val="000000" w:themeColor="text1"/>
                <w:sz w:val="24"/>
                <w:szCs w:val="24"/>
                <w:lang w:eastAsia="lv-LV"/>
              </w:rPr>
              <w:t xml:space="preserve"> iesniedzēja</w:t>
            </w:r>
            <w:r w:rsidR="00621CEA">
              <w:rPr>
                <w:rFonts w:ascii="Times New Roman" w:eastAsia="Times New Roman" w:hAnsi="Times New Roman" w:cs="Times New Roman"/>
                <w:iCs/>
                <w:color w:val="000000" w:themeColor="text1"/>
                <w:sz w:val="24"/>
                <w:szCs w:val="24"/>
                <w:lang w:eastAsia="lv-LV"/>
              </w:rPr>
              <w:t>m.</w:t>
            </w:r>
            <w:r w:rsidRPr="006F04F9">
              <w:rPr>
                <w:rFonts w:ascii="Times New Roman" w:eastAsia="Times New Roman" w:hAnsi="Times New Roman" w:cs="Times New Roman"/>
                <w:iCs/>
                <w:color w:val="000000" w:themeColor="text1"/>
                <w:sz w:val="24"/>
                <w:szCs w:val="24"/>
                <w:lang w:eastAsia="lv-LV"/>
              </w:rPr>
              <w:t xml:space="preserve"> </w:t>
            </w:r>
            <w:r w:rsidR="00621CEA">
              <w:rPr>
                <w:rFonts w:ascii="Times New Roman" w:eastAsia="Times New Roman" w:hAnsi="Times New Roman" w:cs="Times New Roman"/>
                <w:iCs/>
                <w:color w:val="000000" w:themeColor="text1"/>
                <w:sz w:val="24"/>
                <w:szCs w:val="24"/>
                <w:lang w:eastAsia="lv-LV"/>
              </w:rPr>
              <w:t>O</w:t>
            </w:r>
            <w:r w:rsidR="00621CEA" w:rsidRPr="00B325BA">
              <w:rPr>
                <w:rFonts w:ascii="Times New Roman" w:hAnsi="Times New Roman"/>
                <w:sz w:val="24"/>
                <w:szCs w:val="24"/>
              </w:rPr>
              <w:t>ficiālā elektroniskā adrese tiek noteikta kā primārais saziņas kanāls gadījumā, ja persona ir to aktivizējusi.</w:t>
            </w:r>
          </w:p>
          <w:p w14:paraId="3D07A7ED" w14:textId="77777777" w:rsidR="006F04F9" w:rsidRDefault="006F04F9" w:rsidP="00C97DD1">
            <w:pPr>
              <w:spacing w:after="0" w:line="240" w:lineRule="auto"/>
              <w:jc w:val="both"/>
              <w:rPr>
                <w:rFonts w:ascii="Times New Roman" w:eastAsia="Times New Roman" w:hAnsi="Times New Roman" w:cs="Times New Roman"/>
                <w:iCs/>
                <w:color w:val="000000" w:themeColor="text1"/>
                <w:sz w:val="24"/>
                <w:szCs w:val="24"/>
                <w:lang w:eastAsia="lv-LV"/>
              </w:rPr>
            </w:pPr>
          </w:p>
          <w:p w14:paraId="08D5CB76" w14:textId="77777777" w:rsidR="006F04F9" w:rsidRDefault="006F04F9" w:rsidP="00C97DD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D</w:t>
            </w:r>
            <w:r w:rsidRPr="006F04F9">
              <w:rPr>
                <w:rFonts w:ascii="Times New Roman" w:eastAsia="Times New Roman" w:hAnsi="Times New Roman" w:cs="Times New Roman"/>
                <w:iCs/>
                <w:color w:val="000000" w:themeColor="text1"/>
                <w:sz w:val="24"/>
                <w:szCs w:val="24"/>
                <w:lang w:eastAsia="lv-LV"/>
              </w:rPr>
              <w:t>okumentu izskatīšan</w:t>
            </w:r>
            <w:r>
              <w:rPr>
                <w:rFonts w:ascii="Times New Roman" w:eastAsia="Times New Roman" w:hAnsi="Times New Roman" w:cs="Times New Roman"/>
                <w:iCs/>
                <w:color w:val="000000" w:themeColor="text1"/>
                <w:sz w:val="24"/>
                <w:szCs w:val="24"/>
                <w:lang w:eastAsia="lv-LV"/>
              </w:rPr>
              <w:t>a licences saņemšanai un reģistrācijai ir Zāļu valsts aģentūras maksas pakalpojums, un šī pakalpojuma cena jau šobrīd ir noteikta Zāļu valsts</w:t>
            </w:r>
            <w:r w:rsidRPr="006F04F9">
              <w:rPr>
                <w:rFonts w:ascii="Times New Roman" w:eastAsia="Times New Roman" w:hAnsi="Times New Roman" w:cs="Times New Roman"/>
                <w:iCs/>
                <w:color w:val="000000" w:themeColor="text1"/>
                <w:sz w:val="24"/>
                <w:szCs w:val="24"/>
                <w:lang w:eastAsia="lv-LV"/>
              </w:rPr>
              <w:t xml:space="preserve"> aģentūras maksas pakalpojumu cenrād</w:t>
            </w:r>
            <w:r>
              <w:rPr>
                <w:rFonts w:ascii="Times New Roman" w:eastAsia="Times New Roman" w:hAnsi="Times New Roman" w:cs="Times New Roman"/>
                <w:iCs/>
                <w:color w:val="000000" w:themeColor="text1"/>
                <w:sz w:val="24"/>
                <w:szCs w:val="24"/>
                <w:lang w:eastAsia="lv-LV"/>
              </w:rPr>
              <w:t>ī</w:t>
            </w:r>
            <w:r w:rsidRPr="006F04F9">
              <w:rPr>
                <w:rFonts w:ascii="Times New Roman" w:eastAsia="Times New Roman" w:hAnsi="Times New Roman" w:cs="Times New Roman"/>
                <w:iCs/>
                <w:color w:val="000000" w:themeColor="text1"/>
                <w:sz w:val="24"/>
                <w:szCs w:val="24"/>
                <w:lang w:eastAsia="lv-LV"/>
              </w:rPr>
              <w:t>.</w:t>
            </w:r>
          </w:p>
          <w:p w14:paraId="35876654" w14:textId="77777777" w:rsidR="00791CCC" w:rsidRDefault="00791CCC" w:rsidP="00C97DD1">
            <w:pPr>
              <w:spacing w:after="0" w:line="240" w:lineRule="auto"/>
              <w:jc w:val="both"/>
              <w:rPr>
                <w:rFonts w:ascii="Times New Roman" w:eastAsia="Times New Roman" w:hAnsi="Times New Roman" w:cs="Times New Roman"/>
                <w:iCs/>
                <w:color w:val="000000" w:themeColor="text1"/>
                <w:sz w:val="24"/>
                <w:szCs w:val="24"/>
                <w:lang w:eastAsia="lv-LV"/>
              </w:rPr>
            </w:pPr>
          </w:p>
          <w:p w14:paraId="783FB0D7" w14:textId="33A6D8DD" w:rsidR="00D55C06" w:rsidRDefault="00D55C06" w:rsidP="00D55C06">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lastRenderedPageBreak/>
              <w:t>Projekts paredz, ka Zāļu valsts a</w:t>
            </w:r>
            <w:r w:rsidRPr="00D55C06">
              <w:rPr>
                <w:rFonts w:ascii="Times New Roman" w:eastAsia="Times New Roman" w:hAnsi="Times New Roman" w:cs="Times New Roman"/>
                <w:iCs/>
                <w:color w:val="000000" w:themeColor="text1"/>
                <w:sz w:val="24"/>
                <w:szCs w:val="24"/>
                <w:lang w:eastAsia="lv-LV"/>
              </w:rPr>
              <w:t xml:space="preserve">ģentūra savā tīmekļa vietnē </w:t>
            </w:r>
            <w:r w:rsidR="00D46248">
              <w:rPr>
                <w:rFonts w:ascii="Times New Roman" w:eastAsia="Times New Roman" w:hAnsi="Times New Roman" w:cs="Times New Roman"/>
                <w:iCs/>
                <w:color w:val="000000" w:themeColor="text1"/>
                <w:sz w:val="24"/>
                <w:szCs w:val="24"/>
                <w:lang w:eastAsia="lv-LV"/>
              </w:rPr>
              <w:t xml:space="preserve">publicē </w:t>
            </w:r>
            <w:r w:rsidRPr="00D55C06">
              <w:rPr>
                <w:rFonts w:ascii="Times New Roman" w:eastAsia="Times New Roman" w:hAnsi="Times New Roman" w:cs="Times New Roman"/>
                <w:iCs/>
                <w:color w:val="000000" w:themeColor="text1"/>
                <w:sz w:val="24"/>
                <w:szCs w:val="24"/>
                <w:lang w:eastAsia="lv-LV"/>
              </w:rPr>
              <w:t>informāciju</w:t>
            </w:r>
            <w:r w:rsidR="00D46248">
              <w:rPr>
                <w:rFonts w:ascii="Times New Roman" w:eastAsia="Times New Roman" w:hAnsi="Times New Roman" w:cs="Times New Roman"/>
                <w:iCs/>
                <w:color w:val="000000" w:themeColor="text1"/>
                <w:sz w:val="24"/>
                <w:szCs w:val="24"/>
                <w:lang w:eastAsia="lv-LV"/>
              </w:rPr>
              <w:t xml:space="preserve"> par licenču saņēmējiem un reģistrētajām personām nolūkā sniegt iespēju darījuma dalībniekiem pārliecināties, vai otra darījuma puse ir attiecīgi saņēmusi licenci vai ir reģistrēta, jo regulas 273/2004 un 111/2005 darījumus ar prekursoriem pieļauj tikai starp licencētiem un reģistrētiem komersantiem.</w:t>
            </w:r>
          </w:p>
          <w:p w14:paraId="22DA5334" w14:textId="2CB6BF38" w:rsidR="00CA05FA" w:rsidRDefault="00CA05FA" w:rsidP="00D55C06">
            <w:pPr>
              <w:spacing w:after="0" w:line="240" w:lineRule="auto"/>
              <w:jc w:val="both"/>
              <w:rPr>
                <w:rFonts w:ascii="Times New Roman" w:eastAsia="Times New Roman" w:hAnsi="Times New Roman" w:cs="Times New Roman"/>
                <w:iCs/>
                <w:color w:val="000000" w:themeColor="text1"/>
                <w:sz w:val="24"/>
                <w:szCs w:val="24"/>
                <w:lang w:eastAsia="lv-LV"/>
              </w:rPr>
            </w:pPr>
          </w:p>
          <w:p w14:paraId="6A9FDB38" w14:textId="5A306E37" w:rsidR="00D87E22" w:rsidRDefault="00842E9B" w:rsidP="00D55C06">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Lai nodrošinātu, ka Zāļu valsts aģentūrās tīmekļvietnē tiek atspoguļota aktuālā informācija</w:t>
            </w:r>
            <w:r w:rsidR="001D6897">
              <w:rPr>
                <w:rFonts w:ascii="Times New Roman" w:eastAsia="Times New Roman" w:hAnsi="Times New Roman" w:cs="Times New Roman"/>
                <w:iCs/>
                <w:color w:val="000000" w:themeColor="text1"/>
                <w:sz w:val="24"/>
                <w:szCs w:val="24"/>
                <w:lang w:eastAsia="lv-LV"/>
              </w:rPr>
              <w:t xml:space="preserve"> par licenču saņēmējiem un reģistrētām </w:t>
            </w:r>
            <w:r w:rsidR="00EE7A6C">
              <w:rPr>
                <w:rFonts w:ascii="Times New Roman" w:eastAsia="Times New Roman" w:hAnsi="Times New Roman" w:cs="Times New Roman"/>
                <w:iCs/>
                <w:color w:val="000000" w:themeColor="text1"/>
                <w:sz w:val="24"/>
                <w:szCs w:val="24"/>
                <w:lang w:eastAsia="lv-LV"/>
              </w:rPr>
              <w:t>personām</w:t>
            </w:r>
            <w:r>
              <w:rPr>
                <w:rFonts w:ascii="Times New Roman" w:eastAsia="Times New Roman" w:hAnsi="Times New Roman" w:cs="Times New Roman"/>
                <w:iCs/>
                <w:color w:val="000000" w:themeColor="text1"/>
                <w:sz w:val="24"/>
                <w:szCs w:val="24"/>
                <w:lang w:eastAsia="lv-LV"/>
              </w:rPr>
              <w:t xml:space="preserve">, noteikumu projekts paredz </w:t>
            </w:r>
            <w:r w:rsidR="00426829">
              <w:rPr>
                <w:rFonts w:ascii="Times New Roman" w:eastAsia="Times New Roman" w:hAnsi="Times New Roman" w:cs="Times New Roman"/>
                <w:iCs/>
                <w:color w:val="000000" w:themeColor="text1"/>
                <w:sz w:val="24"/>
                <w:szCs w:val="24"/>
                <w:lang w:eastAsia="lv-LV"/>
              </w:rPr>
              <w:t xml:space="preserve">pienākumu </w:t>
            </w:r>
            <w:r w:rsidR="00FE1494">
              <w:rPr>
                <w:rFonts w:ascii="Times New Roman" w:eastAsia="Times New Roman" w:hAnsi="Times New Roman" w:cs="Times New Roman"/>
                <w:iCs/>
                <w:color w:val="000000" w:themeColor="text1"/>
                <w:sz w:val="24"/>
                <w:szCs w:val="24"/>
                <w:lang w:eastAsia="lv-LV"/>
              </w:rPr>
              <w:t>licenču saņēmēj</w:t>
            </w:r>
            <w:r w:rsidR="00D87E22">
              <w:rPr>
                <w:rFonts w:ascii="Times New Roman" w:eastAsia="Times New Roman" w:hAnsi="Times New Roman" w:cs="Times New Roman"/>
                <w:iCs/>
                <w:color w:val="000000" w:themeColor="text1"/>
                <w:sz w:val="24"/>
                <w:szCs w:val="24"/>
                <w:lang w:eastAsia="lv-LV"/>
              </w:rPr>
              <w:t>iem</w:t>
            </w:r>
            <w:r w:rsidR="00EE7A6C">
              <w:rPr>
                <w:rFonts w:ascii="Times New Roman" w:eastAsia="Times New Roman" w:hAnsi="Times New Roman" w:cs="Times New Roman"/>
                <w:iCs/>
                <w:color w:val="000000" w:themeColor="text1"/>
                <w:sz w:val="24"/>
                <w:szCs w:val="24"/>
                <w:lang w:eastAsia="lv-LV"/>
              </w:rPr>
              <w:t xml:space="preserve"> rakstveidā informēt Zāļu valsts aģentūru par izmaiņām to kontaktinformācijā vai </w:t>
            </w:r>
            <w:r w:rsidR="00CD6CE3">
              <w:rPr>
                <w:rFonts w:ascii="Times New Roman" w:eastAsia="Times New Roman" w:hAnsi="Times New Roman" w:cs="Times New Roman"/>
                <w:iCs/>
                <w:color w:val="000000" w:themeColor="text1"/>
                <w:sz w:val="24"/>
                <w:szCs w:val="24"/>
                <w:lang w:eastAsia="lv-LV"/>
              </w:rPr>
              <w:t xml:space="preserve">par </w:t>
            </w:r>
            <w:r w:rsidR="00C93CD9" w:rsidRPr="00C93CD9">
              <w:rPr>
                <w:rFonts w:ascii="Times New Roman" w:eastAsia="Times New Roman" w:hAnsi="Times New Roman" w:cs="Times New Roman"/>
                <w:iCs/>
                <w:color w:val="000000" w:themeColor="text1"/>
                <w:sz w:val="24"/>
                <w:szCs w:val="24"/>
                <w:lang w:eastAsia="lv-LV"/>
              </w:rPr>
              <w:t>prekursoru aprites uzraudzību atbildīgās personas</w:t>
            </w:r>
            <w:r w:rsidR="00C93CD9">
              <w:rPr>
                <w:rFonts w:ascii="Times New Roman" w:eastAsia="Times New Roman" w:hAnsi="Times New Roman" w:cs="Times New Roman"/>
                <w:iCs/>
                <w:color w:val="000000" w:themeColor="text1"/>
                <w:sz w:val="24"/>
                <w:szCs w:val="24"/>
                <w:lang w:eastAsia="lv-LV"/>
              </w:rPr>
              <w:t xml:space="preserve"> kontaktinformācijā.</w:t>
            </w:r>
          </w:p>
          <w:p w14:paraId="2EFCC6B9" w14:textId="77777777" w:rsidR="00791CCC" w:rsidRDefault="00791CCC" w:rsidP="00D55C06">
            <w:pPr>
              <w:spacing w:after="0" w:line="240" w:lineRule="auto"/>
              <w:jc w:val="both"/>
              <w:rPr>
                <w:rFonts w:ascii="Times New Roman" w:eastAsia="Times New Roman" w:hAnsi="Times New Roman" w:cs="Times New Roman"/>
                <w:iCs/>
                <w:color w:val="000000" w:themeColor="text1"/>
                <w:sz w:val="24"/>
                <w:szCs w:val="24"/>
                <w:lang w:eastAsia="lv-LV"/>
              </w:rPr>
            </w:pPr>
          </w:p>
          <w:p w14:paraId="3A6BE4BB" w14:textId="2F2DE39B" w:rsidR="00D46248" w:rsidRDefault="00DD479A" w:rsidP="00D55C06">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Projekts paredz, ka p</w:t>
            </w:r>
            <w:r w:rsidRPr="00DD479A">
              <w:rPr>
                <w:rFonts w:ascii="Times New Roman" w:eastAsia="Times New Roman" w:hAnsi="Times New Roman" w:cs="Times New Roman"/>
                <w:iCs/>
                <w:color w:val="000000" w:themeColor="text1"/>
                <w:sz w:val="24"/>
                <w:szCs w:val="24"/>
                <w:lang w:eastAsia="lv-LV"/>
              </w:rPr>
              <w:t>rekursoru operator</w:t>
            </w:r>
            <w:r>
              <w:rPr>
                <w:rFonts w:ascii="Times New Roman" w:eastAsia="Times New Roman" w:hAnsi="Times New Roman" w:cs="Times New Roman"/>
                <w:iCs/>
                <w:color w:val="000000" w:themeColor="text1"/>
                <w:sz w:val="24"/>
                <w:szCs w:val="24"/>
                <w:lang w:eastAsia="lv-LV"/>
              </w:rPr>
              <w:t>am</w:t>
            </w:r>
            <w:r w:rsidRPr="00DD479A">
              <w:rPr>
                <w:rFonts w:ascii="Times New Roman" w:eastAsia="Times New Roman" w:hAnsi="Times New Roman" w:cs="Times New Roman"/>
                <w:iCs/>
                <w:color w:val="000000" w:themeColor="text1"/>
                <w:sz w:val="24"/>
                <w:szCs w:val="24"/>
                <w:lang w:eastAsia="lv-LV"/>
              </w:rPr>
              <w:t xml:space="preserve"> un prekursoru lietotāj</w:t>
            </w:r>
            <w:r>
              <w:rPr>
                <w:rFonts w:ascii="Times New Roman" w:eastAsia="Times New Roman" w:hAnsi="Times New Roman" w:cs="Times New Roman"/>
                <w:iCs/>
                <w:color w:val="000000" w:themeColor="text1"/>
                <w:sz w:val="24"/>
                <w:szCs w:val="24"/>
                <w:lang w:eastAsia="lv-LV"/>
              </w:rPr>
              <w:t>am ir jā</w:t>
            </w:r>
            <w:r w:rsidRPr="00DD479A">
              <w:rPr>
                <w:rFonts w:ascii="Times New Roman" w:eastAsia="Times New Roman" w:hAnsi="Times New Roman" w:cs="Times New Roman"/>
                <w:iCs/>
                <w:color w:val="000000" w:themeColor="text1"/>
                <w:sz w:val="24"/>
                <w:szCs w:val="24"/>
                <w:lang w:eastAsia="lv-LV"/>
              </w:rPr>
              <w:t>uzglabā prekursorus atsevišķā slēdzamā telpā ar signalizāciju, kas savienota ar centralizēto apsardzes tīklu, slēdzamā metāla skapī vai seifā, kas piestiprināts pie sienas vai grīdas, bet, ja vielas apjomu vai īpašību dēļ tas nav iespējams, prekursorus var arī uzglabāt tvertnēs vai tilpnēs, ja pieeja šīm tvertnēm un tilpnēm ir nodrošināta tikai ierobežotam personu lokam.</w:t>
            </w:r>
            <w:r>
              <w:rPr>
                <w:rFonts w:ascii="Times New Roman" w:eastAsia="Times New Roman" w:hAnsi="Times New Roman" w:cs="Times New Roman"/>
                <w:iCs/>
                <w:color w:val="000000" w:themeColor="text1"/>
                <w:sz w:val="24"/>
                <w:szCs w:val="24"/>
                <w:lang w:eastAsia="lv-LV"/>
              </w:rPr>
              <w:t xml:space="preserve"> Šādas prasības ir nepieciešamas, lai pēc iespējas samazinātu risku, ka prekursorus varētu nozagt vai piesavināties.</w:t>
            </w:r>
          </w:p>
          <w:p w14:paraId="79F68A04" w14:textId="0219ACD3" w:rsidR="00DD479A" w:rsidRDefault="00DD479A" w:rsidP="00D55C06">
            <w:pPr>
              <w:spacing w:after="0" w:line="240" w:lineRule="auto"/>
              <w:jc w:val="both"/>
              <w:rPr>
                <w:rFonts w:ascii="Times New Roman" w:eastAsia="Times New Roman" w:hAnsi="Times New Roman" w:cs="Times New Roman"/>
                <w:iCs/>
                <w:color w:val="000000" w:themeColor="text1"/>
                <w:sz w:val="24"/>
                <w:szCs w:val="24"/>
                <w:lang w:eastAsia="lv-LV"/>
              </w:rPr>
            </w:pPr>
          </w:p>
          <w:p w14:paraId="2E07C763" w14:textId="1D9134BF" w:rsidR="00DD479A" w:rsidRDefault="0010395D" w:rsidP="00D55C06">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Pamati licences un reģistrācijas apturēšanai un anulēšanai ir noteikti regulās 273/2004 un 111/2005</w:t>
            </w:r>
            <w:r w:rsidR="00E1303E">
              <w:rPr>
                <w:rFonts w:ascii="Times New Roman" w:eastAsia="Times New Roman" w:hAnsi="Times New Roman" w:cs="Times New Roman"/>
                <w:iCs/>
                <w:color w:val="000000" w:themeColor="text1"/>
                <w:sz w:val="24"/>
                <w:szCs w:val="24"/>
                <w:lang w:eastAsia="lv-LV"/>
              </w:rPr>
              <w:t>.</w:t>
            </w:r>
          </w:p>
          <w:p w14:paraId="66A14133" w14:textId="534F3C1C" w:rsidR="00A4452F" w:rsidRDefault="00A4452F" w:rsidP="00D55C06">
            <w:pPr>
              <w:spacing w:after="0" w:line="240" w:lineRule="auto"/>
              <w:jc w:val="both"/>
              <w:rPr>
                <w:rFonts w:ascii="Times New Roman" w:eastAsia="Times New Roman" w:hAnsi="Times New Roman" w:cs="Times New Roman"/>
                <w:iCs/>
                <w:color w:val="000000" w:themeColor="text1"/>
                <w:sz w:val="24"/>
                <w:szCs w:val="24"/>
                <w:lang w:eastAsia="lv-LV"/>
              </w:rPr>
            </w:pPr>
          </w:p>
          <w:p w14:paraId="21C1DE4F" w14:textId="1405F053" w:rsidR="00A4452F" w:rsidRDefault="00A4452F" w:rsidP="00D55C06">
            <w:pPr>
              <w:spacing w:after="0" w:line="240" w:lineRule="auto"/>
              <w:jc w:val="both"/>
              <w:rPr>
                <w:rFonts w:ascii="Times New Roman" w:eastAsia="Times New Roman" w:hAnsi="Times New Roman" w:cs="Times New Roman"/>
                <w:iCs/>
                <w:color w:val="000000" w:themeColor="text1"/>
                <w:sz w:val="24"/>
                <w:szCs w:val="24"/>
                <w:lang w:eastAsia="lv-LV"/>
              </w:rPr>
            </w:pPr>
            <w:r w:rsidRPr="00A4452F">
              <w:rPr>
                <w:rFonts w:ascii="Times New Roman" w:eastAsia="Times New Roman" w:hAnsi="Times New Roman" w:cs="Times New Roman"/>
                <w:iCs/>
                <w:color w:val="000000" w:themeColor="text1"/>
                <w:sz w:val="24"/>
                <w:szCs w:val="24"/>
                <w:lang w:eastAsia="lv-LV"/>
              </w:rPr>
              <w:t>Veselības inspekcija veiks plānveida kontroles</w:t>
            </w:r>
            <w:r w:rsidR="006C4FFF">
              <w:rPr>
                <w:rFonts w:ascii="Times New Roman" w:eastAsia="Times New Roman" w:hAnsi="Times New Roman" w:cs="Times New Roman"/>
                <w:iCs/>
                <w:color w:val="000000" w:themeColor="text1"/>
                <w:sz w:val="24"/>
                <w:szCs w:val="24"/>
                <w:lang w:eastAsia="lv-LV"/>
              </w:rPr>
              <w:t xml:space="preserve"> attiecībā uz personām, kuras ir saņēmušas licenci darbībām ar prekursoriem un kuras ir reģistrējušās darbībām ar prekursoriem, vismaz</w:t>
            </w:r>
            <w:r w:rsidRPr="00A4452F">
              <w:rPr>
                <w:rFonts w:ascii="Times New Roman" w:eastAsia="Times New Roman" w:hAnsi="Times New Roman" w:cs="Times New Roman"/>
                <w:iCs/>
                <w:color w:val="000000" w:themeColor="text1"/>
                <w:sz w:val="24"/>
                <w:szCs w:val="24"/>
                <w:lang w:eastAsia="lv-LV"/>
              </w:rPr>
              <w:t xml:space="preserve"> reizi trīs gados atbilstoši Regulas 2015/1011 3. panta 7. punktā paredzētajam.</w:t>
            </w:r>
          </w:p>
          <w:p w14:paraId="0E73901A" w14:textId="026BEA59" w:rsidR="00E1303E" w:rsidRDefault="00E1303E" w:rsidP="00D55C06">
            <w:pPr>
              <w:spacing w:after="0" w:line="240" w:lineRule="auto"/>
              <w:jc w:val="both"/>
              <w:rPr>
                <w:rFonts w:ascii="Times New Roman" w:eastAsia="Times New Roman" w:hAnsi="Times New Roman" w:cs="Times New Roman"/>
                <w:iCs/>
                <w:color w:val="000000" w:themeColor="text1"/>
                <w:sz w:val="24"/>
                <w:szCs w:val="24"/>
                <w:lang w:eastAsia="lv-LV"/>
              </w:rPr>
            </w:pPr>
          </w:p>
          <w:p w14:paraId="5D8E62A6" w14:textId="2A82AEFC" w:rsidR="00DE0072" w:rsidRPr="00DE0072" w:rsidRDefault="00E1303E" w:rsidP="00DE0072">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Projekts paredz, ka p</w:t>
            </w:r>
            <w:r w:rsidRPr="00E1303E">
              <w:rPr>
                <w:rFonts w:ascii="Times New Roman" w:eastAsia="Times New Roman" w:hAnsi="Times New Roman" w:cs="Times New Roman"/>
                <w:iCs/>
                <w:color w:val="000000" w:themeColor="text1"/>
                <w:sz w:val="24"/>
                <w:szCs w:val="24"/>
                <w:lang w:eastAsia="lv-LV"/>
              </w:rPr>
              <w:t>rekursoru operatori (tikai tie, kuri lieto 1. un 2.A kategorijas prekursorus) 15 dienu laikā pēc katra ceturkšņa beigām elektroniskā formā iesniedz</w:t>
            </w:r>
            <w:r>
              <w:rPr>
                <w:rFonts w:ascii="Times New Roman" w:eastAsia="Times New Roman" w:hAnsi="Times New Roman" w:cs="Times New Roman"/>
                <w:iCs/>
                <w:color w:val="000000" w:themeColor="text1"/>
                <w:sz w:val="24"/>
                <w:szCs w:val="24"/>
                <w:lang w:eastAsia="lv-LV"/>
              </w:rPr>
              <w:t xml:space="preserve"> Zāļu valsts</w:t>
            </w:r>
            <w:r w:rsidRPr="00E1303E">
              <w:rPr>
                <w:rFonts w:ascii="Times New Roman" w:eastAsia="Times New Roman" w:hAnsi="Times New Roman" w:cs="Times New Roman"/>
                <w:iCs/>
                <w:color w:val="000000" w:themeColor="text1"/>
                <w:sz w:val="24"/>
                <w:szCs w:val="24"/>
                <w:lang w:eastAsia="lv-LV"/>
              </w:rPr>
              <w:t xml:space="preserve"> aģentūrā informāciju par prekursoru apriti pagājušajā ceturksnī</w:t>
            </w:r>
            <w:r>
              <w:rPr>
                <w:rFonts w:ascii="Times New Roman" w:eastAsia="Times New Roman" w:hAnsi="Times New Roman" w:cs="Times New Roman"/>
                <w:iCs/>
                <w:color w:val="000000" w:themeColor="text1"/>
                <w:sz w:val="24"/>
                <w:szCs w:val="24"/>
                <w:lang w:eastAsia="lv-LV"/>
              </w:rPr>
              <w:t xml:space="preserve">. Šāda prasība ir nepieciešama, lai Zāļu valsts aģentūras un Veselības inspekcijas rīcībā būtu pēc iespējas aktuālāka informācija par </w:t>
            </w:r>
            <w:r>
              <w:rPr>
                <w:rFonts w:ascii="Times New Roman" w:eastAsia="Times New Roman" w:hAnsi="Times New Roman" w:cs="Times New Roman"/>
                <w:iCs/>
                <w:color w:val="000000" w:themeColor="text1"/>
                <w:sz w:val="24"/>
                <w:szCs w:val="24"/>
                <w:lang w:eastAsia="lv-LV"/>
              </w:rPr>
              <w:lastRenderedPageBreak/>
              <w:t>prekursoru aprites dalībniekiem un apritē esošajiem prekursoriem un to daudzumiem.</w:t>
            </w:r>
            <w:r w:rsidR="00DE0072">
              <w:rPr>
                <w:rFonts w:ascii="Times New Roman" w:eastAsia="Times New Roman" w:hAnsi="Times New Roman" w:cs="Times New Roman"/>
                <w:iCs/>
                <w:color w:val="000000" w:themeColor="text1"/>
                <w:sz w:val="24"/>
                <w:szCs w:val="24"/>
                <w:lang w:eastAsia="lv-LV"/>
              </w:rPr>
              <w:t xml:space="preserve"> </w:t>
            </w:r>
            <w:r w:rsidR="00B804B4">
              <w:rPr>
                <w:rFonts w:ascii="Times New Roman" w:eastAsia="Times New Roman" w:hAnsi="Times New Roman" w:cs="Times New Roman"/>
                <w:iCs/>
                <w:color w:val="000000" w:themeColor="text1"/>
                <w:sz w:val="24"/>
                <w:szCs w:val="24"/>
                <w:lang w:eastAsia="lv-LV"/>
              </w:rPr>
              <w:t>N</w:t>
            </w:r>
            <w:r w:rsidR="00DE0072" w:rsidRPr="00DE0072">
              <w:rPr>
                <w:rFonts w:ascii="Times New Roman" w:eastAsia="Times New Roman" w:hAnsi="Times New Roman" w:cs="Times New Roman"/>
                <w:iCs/>
                <w:color w:val="000000" w:themeColor="text1"/>
                <w:sz w:val="24"/>
                <w:szCs w:val="24"/>
                <w:lang w:eastAsia="lv-LV"/>
              </w:rPr>
              <w:t>olūk</w:t>
            </w:r>
            <w:r w:rsidR="00B804B4">
              <w:rPr>
                <w:rFonts w:ascii="Times New Roman" w:eastAsia="Times New Roman" w:hAnsi="Times New Roman" w:cs="Times New Roman"/>
                <w:iCs/>
                <w:color w:val="000000" w:themeColor="text1"/>
                <w:sz w:val="24"/>
                <w:szCs w:val="24"/>
                <w:lang w:eastAsia="lv-LV"/>
              </w:rPr>
              <w:t>s ir</w:t>
            </w:r>
            <w:r w:rsidR="00DE0072" w:rsidRPr="00DE0072">
              <w:rPr>
                <w:rFonts w:ascii="Times New Roman" w:eastAsia="Times New Roman" w:hAnsi="Times New Roman" w:cs="Times New Roman"/>
                <w:iCs/>
                <w:color w:val="000000" w:themeColor="text1"/>
                <w:sz w:val="24"/>
                <w:szCs w:val="24"/>
                <w:lang w:eastAsia="lv-LV"/>
              </w:rPr>
              <w:t xml:space="preserve"> kontrolēt un uzraudzīt noteiktas vielas, ko bieži izmanto narkotisko vai psihotropo vielu nelikumīgai ražošanai, lai savlaicīgi pamanītu aizdomīgus darījumus. Šādas prasības leģitīmais mērķis ir sabiedrības veselības interešu aizsardzība, jo dod iespēju efektīvi un operatīvi novērst  attiecīgo vielu nokļūšanu nelegālā apritē. Līdzīga uzraudzība noteikta arī Lietuvā.</w:t>
            </w:r>
            <w:r w:rsidR="00DE0072">
              <w:rPr>
                <w:rFonts w:ascii="Times New Roman" w:eastAsia="Times New Roman" w:hAnsi="Times New Roman" w:cs="Times New Roman"/>
                <w:iCs/>
                <w:color w:val="000000" w:themeColor="text1"/>
                <w:sz w:val="24"/>
                <w:szCs w:val="24"/>
                <w:lang w:eastAsia="lv-LV"/>
              </w:rPr>
              <w:t xml:space="preserve"> </w:t>
            </w:r>
            <w:r w:rsidR="00DE0072" w:rsidRPr="00DE0072">
              <w:rPr>
                <w:rFonts w:ascii="Times New Roman" w:eastAsia="Times New Roman" w:hAnsi="Times New Roman" w:cs="Times New Roman"/>
                <w:iCs/>
                <w:color w:val="000000" w:themeColor="text1"/>
                <w:sz w:val="24"/>
                <w:szCs w:val="24"/>
                <w:lang w:eastAsia="lv-LV"/>
              </w:rPr>
              <w:t>Tā, piemēram, pēc Zāļu valsts aģentūras sniegtās informācijas:</w:t>
            </w:r>
          </w:p>
          <w:p w14:paraId="24ADE5CF" w14:textId="77777777" w:rsidR="00322013" w:rsidRDefault="00DE0072" w:rsidP="00DE0072">
            <w:pPr>
              <w:spacing w:after="0" w:line="240" w:lineRule="auto"/>
              <w:jc w:val="both"/>
              <w:rPr>
                <w:rFonts w:ascii="Times New Roman" w:eastAsia="Times New Roman" w:hAnsi="Times New Roman" w:cs="Times New Roman"/>
                <w:iCs/>
                <w:color w:val="000000" w:themeColor="text1"/>
                <w:sz w:val="24"/>
                <w:szCs w:val="24"/>
                <w:lang w:eastAsia="lv-LV"/>
              </w:rPr>
            </w:pPr>
            <w:r w:rsidRPr="00DE0072">
              <w:rPr>
                <w:rFonts w:ascii="Times New Roman" w:eastAsia="Times New Roman" w:hAnsi="Times New Roman" w:cs="Times New Roman"/>
                <w:iCs/>
                <w:color w:val="000000" w:themeColor="text1"/>
                <w:sz w:val="24"/>
                <w:szCs w:val="24"/>
                <w:lang w:eastAsia="lv-LV"/>
              </w:rPr>
              <w:t>1. Etiķskābes anhidrīdu izmanto nelegālai heroīna ražošanai. Turklāt heroīna ražošana ES pēdējā gada laikā ir stipri pieaugusi</w:t>
            </w:r>
            <w:r w:rsidR="00B804B4">
              <w:rPr>
                <w:rFonts w:ascii="Times New Roman" w:eastAsia="Times New Roman" w:hAnsi="Times New Roman" w:cs="Times New Roman"/>
                <w:iCs/>
                <w:color w:val="000000" w:themeColor="text1"/>
                <w:sz w:val="24"/>
                <w:szCs w:val="24"/>
                <w:lang w:eastAsia="lv-LV"/>
              </w:rPr>
              <w:t>,</w:t>
            </w:r>
            <w:r w:rsidRPr="00DE0072">
              <w:rPr>
                <w:rFonts w:ascii="Times New Roman" w:eastAsia="Times New Roman" w:hAnsi="Times New Roman" w:cs="Times New Roman"/>
                <w:iCs/>
                <w:color w:val="000000" w:themeColor="text1"/>
                <w:sz w:val="24"/>
                <w:szCs w:val="24"/>
                <w:lang w:eastAsia="lv-LV"/>
              </w:rPr>
              <w:t xml:space="preserve"> tādējādi EK ir rosinājusi pievērst pastiprinātu uzmanību etiķskābes anhidrīda apritei. Ja saņemtajā pārskatā (piemēram par prekursoru apriti 1.ceturksnī) norādīts, ka viela ir pārdota komersantam, kas nav reģistrējies kā prekursoru operators (tas ir pieļaujams, ja gadā nepārsniedz 100 litrus saskaņā ar EK regulu Nr.273), ir iespējams tūlītēji pārliecināties, vai komersantam viela nepieciešama legāliem mērķiem un attiecīgi rīkoties. Ja savukārt pārskatu saņemam tikai nākošā gada februārī par visu iepriekšējo gadu, iespējams, ka šim komersantam viela pārdota vairākkārt un tiek izmantota nelegālām darbībām. Respektīvi ir iespēja savlaicīgi rīkoties pārskatus saņemot reizi ceturksnī, tādējādi arī izpildot EK prasības stingrāk kontrolēt apriti.</w:t>
            </w:r>
          </w:p>
          <w:p w14:paraId="3B0C6DF3" w14:textId="1C78BE07" w:rsidR="00DE0072" w:rsidRPr="00DE0072" w:rsidRDefault="00DE0072" w:rsidP="00DE0072">
            <w:pPr>
              <w:spacing w:after="0" w:line="240" w:lineRule="auto"/>
              <w:jc w:val="both"/>
              <w:rPr>
                <w:rFonts w:ascii="Times New Roman" w:eastAsia="Times New Roman" w:hAnsi="Times New Roman" w:cs="Times New Roman"/>
                <w:iCs/>
                <w:color w:val="000000" w:themeColor="text1"/>
                <w:sz w:val="24"/>
                <w:szCs w:val="24"/>
                <w:lang w:eastAsia="lv-LV"/>
              </w:rPr>
            </w:pPr>
            <w:r w:rsidRPr="00DE0072">
              <w:rPr>
                <w:rFonts w:ascii="Times New Roman" w:eastAsia="Times New Roman" w:hAnsi="Times New Roman" w:cs="Times New Roman"/>
                <w:iCs/>
                <w:color w:val="000000" w:themeColor="text1"/>
                <w:sz w:val="24"/>
                <w:szCs w:val="24"/>
                <w:lang w:eastAsia="lv-LV"/>
              </w:rPr>
              <w:t>2. Brīvprātīgi kontrolējamo vielu sarakstā iekļauta viela gamma</w:t>
            </w:r>
            <w:r w:rsidR="00322013">
              <w:rPr>
                <w:rFonts w:ascii="Times New Roman" w:eastAsia="Times New Roman" w:hAnsi="Times New Roman" w:cs="Times New Roman"/>
                <w:iCs/>
                <w:color w:val="000000" w:themeColor="text1"/>
                <w:sz w:val="24"/>
                <w:szCs w:val="24"/>
                <w:lang w:eastAsia="lv-LV"/>
              </w:rPr>
              <w:t>-</w:t>
            </w:r>
            <w:r w:rsidRPr="00DE0072">
              <w:rPr>
                <w:rFonts w:ascii="Times New Roman" w:eastAsia="Times New Roman" w:hAnsi="Times New Roman" w:cs="Times New Roman"/>
                <w:iCs/>
                <w:color w:val="000000" w:themeColor="text1"/>
                <w:sz w:val="24"/>
                <w:szCs w:val="24"/>
                <w:lang w:eastAsia="lv-LV"/>
              </w:rPr>
              <w:t>butirolaktons, ko personas izmanto apreibināšanās nolūkos. Latvijā tā tiek kontrolēta kā narkotiska viela un to atļauts ievest tikai ar Zāļu valsts aģentūras izsniegtu atļauju. Tomēr vairāki uzņēmēji, kas tirgojas ar ķīmijas precēm iesaistās šīs vielas apritē. Ja tiek saņemta informāciju par ceturksnī iepirktiem, pārdotiem gamma</w:t>
            </w:r>
            <w:r w:rsidR="00322013">
              <w:rPr>
                <w:rFonts w:ascii="Times New Roman" w:eastAsia="Times New Roman" w:hAnsi="Times New Roman" w:cs="Times New Roman"/>
                <w:iCs/>
                <w:color w:val="000000" w:themeColor="text1"/>
                <w:sz w:val="24"/>
                <w:szCs w:val="24"/>
                <w:lang w:eastAsia="lv-LV"/>
              </w:rPr>
              <w:t>-</w:t>
            </w:r>
            <w:r w:rsidRPr="00DE0072">
              <w:rPr>
                <w:rFonts w:ascii="Times New Roman" w:eastAsia="Times New Roman" w:hAnsi="Times New Roman" w:cs="Times New Roman"/>
                <w:iCs/>
                <w:color w:val="000000" w:themeColor="text1"/>
                <w:sz w:val="24"/>
                <w:szCs w:val="24"/>
                <w:lang w:eastAsia="lv-LV"/>
              </w:rPr>
              <w:t xml:space="preserve">butirolaktona daudzumiem, tūlītēji reaģējot var novērst tālāku šīs vielas apriti. Savukārt, ja pārskatu saņemam </w:t>
            </w:r>
            <w:r w:rsidR="00322013">
              <w:rPr>
                <w:rFonts w:ascii="Times New Roman" w:eastAsia="Times New Roman" w:hAnsi="Times New Roman" w:cs="Times New Roman"/>
                <w:iCs/>
                <w:color w:val="000000" w:themeColor="text1"/>
                <w:sz w:val="24"/>
                <w:szCs w:val="24"/>
                <w:lang w:eastAsia="lv-LV"/>
              </w:rPr>
              <w:t>reizi</w:t>
            </w:r>
            <w:r w:rsidRPr="00DE0072">
              <w:rPr>
                <w:rFonts w:ascii="Times New Roman" w:eastAsia="Times New Roman" w:hAnsi="Times New Roman" w:cs="Times New Roman"/>
                <w:iCs/>
                <w:color w:val="000000" w:themeColor="text1"/>
                <w:sz w:val="24"/>
                <w:szCs w:val="24"/>
                <w:lang w:eastAsia="lv-LV"/>
              </w:rPr>
              <w:t xml:space="preserve"> gadā, tad tūlītēja iesaiste izpaliek, jo viela sen jau ir ievesta un tālāk pārdota. </w:t>
            </w:r>
          </w:p>
          <w:p w14:paraId="010A14F4" w14:textId="627E95B1" w:rsidR="00E1303E" w:rsidRDefault="00DE0072" w:rsidP="00DE0072">
            <w:pPr>
              <w:spacing w:after="0" w:line="240" w:lineRule="auto"/>
              <w:jc w:val="both"/>
              <w:rPr>
                <w:rFonts w:ascii="Times New Roman" w:eastAsia="Times New Roman" w:hAnsi="Times New Roman" w:cs="Times New Roman"/>
                <w:iCs/>
                <w:color w:val="000000" w:themeColor="text1"/>
                <w:sz w:val="24"/>
                <w:szCs w:val="24"/>
                <w:lang w:eastAsia="lv-LV"/>
              </w:rPr>
            </w:pPr>
            <w:r w:rsidRPr="00DE0072">
              <w:rPr>
                <w:rFonts w:ascii="Times New Roman" w:eastAsia="Times New Roman" w:hAnsi="Times New Roman" w:cs="Times New Roman"/>
                <w:iCs/>
                <w:color w:val="000000" w:themeColor="text1"/>
                <w:sz w:val="24"/>
                <w:szCs w:val="24"/>
                <w:lang w:eastAsia="lv-LV"/>
              </w:rPr>
              <w:t>Piemēram, saņemot pārskatu par prekursoru apriti š.g.1.ceturksnī, tika konstatēts, ka viens komersants ir iepircis un tālāk pārdevis gamma</w:t>
            </w:r>
            <w:r w:rsidR="00322013">
              <w:rPr>
                <w:rFonts w:ascii="Times New Roman" w:eastAsia="Times New Roman" w:hAnsi="Times New Roman" w:cs="Times New Roman"/>
                <w:iCs/>
                <w:color w:val="000000" w:themeColor="text1"/>
                <w:sz w:val="24"/>
                <w:szCs w:val="24"/>
                <w:lang w:eastAsia="lv-LV"/>
              </w:rPr>
              <w:t>-</w:t>
            </w:r>
            <w:r w:rsidRPr="00DE0072">
              <w:rPr>
                <w:rFonts w:ascii="Times New Roman" w:eastAsia="Times New Roman" w:hAnsi="Times New Roman" w:cs="Times New Roman"/>
                <w:iCs/>
                <w:color w:val="000000" w:themeColor="text1"/>
                <w:sz w:val="24"/>
                <w:szCs w:val="24"/>
                <w:lang w:eastAsia="lv-LV"/>
              </w:rPr>
              <w:t>butirolaktonu (</w:t>
            </w:r>
            <w:r w:rsidR="00322013">
              <w:rPr>
                <w:rFonts w:ascii="Times New Roman" w:eastAsia="Times New Roman" w:hAnsi="Times New Roman" w:cs="Times New Roman"/>
                <w:iCs/>
                <w:color w:val="000000" w:themeColor="text1"/>
                <w:sz w:val="24"/>
                <w:szCs w:val="24"/>
                <w:lang w:eastAsia="lv-LV"/>
              </w:rPr>
              <w:t>a</w:t>
            </w:r>
            <w:r w:rsidRPr="00DE0072">
              <w:rPr>
                <w:rFonts w:ascii="Times New Roman" w:eastAsia="Times New Roman" w:hAnsi="Times New Roman" w:cs="Times New Roman"/>
                <w:iCs/>
                <w:color w:val="000000" w:themeColor="text1"/>
                <w:sz w:val="24"/>
                <w:szCs w:val="24"/>
                <w:lang w:eastAsia="lv-LV"/>
              </w:rPr>
              <w:t xml:space="preserve">ģentūra nekādu atļauju šīm darbībām nebija izsniegusi un arī nevarēja izsniegt, jo nebija likumīga pamata). Iepirktie un pārdotie daudzumi nebija lieli, bet ja nebūtu tūlītējas aģentūras un Veselības inspekcijas </w:t>
            </w:r>
            <w:r w:rsidRPr="00DE0072">
              <w:rPr>
                <w:rFonts w:ascii="Times New Roman" w:eastAsia="Times New Roman" w:hAnsi="Times New Roman" w:cs="Times New Roman"/>
                <w:iCs/>
                <w:color w:val="000000" w:themeColor="text1"/>
                <w:sz w:val="24"/>
                <w:szCs w:val="24"/>
                <w:lang w:eastAsia="lv-LV"/>
              </w:rPr>
              <w:lastRenderedPageBreak/>
              <w:t>iesaistes, iespējams gad</w:t>
            </w:r>
            <w:r w:rsidR="00322013">
              <w:rPr>
                <w:rFonts w:ascii="Times New Roman" w:eastAsia="Times New Roman" w:hAnsi="Times New Roman" w:cs="Times New Roman"/>
                <w:iCs/>
                <w:color w:val="000000" w:themeColor="text1"/>
                <w:sz w:val="24"/>
                <w:szCs w:val="24"/>
                <w:lang w:eastAsia="lv-LV"/>
              </w:rPr>
              <w:t>a</w:t>
            </w:r>
            <w:r w:rsidRPr="00DE0072">
              <w:rPr>
                <w:rFonts w:ascii="Times New Roman" w:eastAsia="Times New Roman" w:hAnsi="Times New Roman" w:cs="Times New Roman"/>
                <w:iCs/>
                <w:color w:val="000000" w:themeColor="text1"/>
                <w:sz w:val="24"/>
                <w:szCs w:val="24"/>
                <w:lang w:eastAsia="lv-LV"/>
              </w:rPr>
              <w:t xml:space="preserve"> apjomi būtu krietni lielāki.   </w:t>
            </w:r>
          </w:p>
          <w:p w14:paraId="43217000" w14:textId="32607B6D" w:rsidR="00D46248" w:rsidRPr="008F497F" w:rsidRDefault="00D46248" w:rsidP="00D55C06">
            <w:pPr>
              <w:spacing w:after="0" w:line="240" w:lineRule="auto"/>
              <w:jc w:val="both"/>
              <w:rPr>
                <w:rFonts w:ascii="Times New Roman" w:eastAsia="Times New Roman" w:hAnsi="Times New Roman" w:cs="Times New Roman"/>
                <w:iCs/>
                <w:color w:val="000000" w:themeColor="text1"/>
                <w:sz w:val="24"/>
                <w:szCs w:val="24"/>
                <w:lang w:eastAsia="lv-LV"/>
              </w:rPr>
            </w:pPr>
          </w:p>
        </w:tc>
      </w:tr>
      <w:tr w:rsidR="00CD486E" w:rsidRPr="008F497F" w14:paraId="7B1C897B" w14:textId="77777777" w:rsidTr="000547C8">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4C0A4E42" w14:textId="77777777" w:rsidR="00CD486E" w:rsidRPr="008F497F" w:rsidRDefault="00CD486E" w:rsidP="00CD486E">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lastRenderedPageBreak/>
              <w:t>3.</w:t>
            </w:r>
          </w:p>
        </w:tc>
        <w:tc>
          <w:tcPr>
            <w:tcW w:w="1871" w:type="pct"/>
            <w:gridSpan w:val="11"/>
            <w:tcBorders>
              <w:top w:val="outset" w:sz="6" w:space="0" w:color="auto"/>
              <w:left w:val="outset" w:sz="6" w:space="0" w:color="auto"/>
              <w:bottom w:val="outset" w:sz="6" w:space="0" w:color="auto"/>
              <w:right w:val="outset" w:sz="6" w:space="0" w:color="auto"/>
            </w:tcBorders>
            <w:hideMark/>
          </w:tcPr>
          <w:p w14:paraId="42692965" w14:textId="77777777" w:rsidR="00CD486E" w:rsidRPr="008F497F" w:rsidRDefault="00CD486E" w:rsidP="00CD486E">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799" w:type="pct"/>
            <w:gridSpan w:val="2"/>
            <w:tcBorders>
              <w:top w:val="outset" w:sz="6" w:space="0" w:color="auto"/>
              <w:left w:val="outset" w:sz="6" w:space="0" w:color="auto"/>
              <w:bottom w:val="outset" w:sz="6" w:space="0" w:color="auto"/>
              <w:right w:val="outset" w:sz="6" w:space="0" w:color="auto"/>
            </w:tcBorders>
            <w:hideMark/>
          </w:tcPr>
          <w:p w14:paraId="5765E55A" w14:textId="77777777" w:rsidR="00CD486E" w:rsidRPr="008F497F" w:rsidRDefault="0017126C" w:rsidP="00CD486E">
            <w:pPr>
              <w:spacing w:after="0" w:line="240" w:lineRule="auto"/>
              <w:rPr>
                <w:rFonts w:ascii="Times New Roman" w:eastAsia="Times New Roman" w:hAnsi="Times New Roman" w:cs="Times New Roman"/>
                <w:iCs/>
                <w:color w:val="A6A6A6" w:themeColor="background1" w:themeShade="A6"/>
                <w:sz w:val="24"/>
                <w:szCs w:val="24"/>
                <w:lang w:eastAsia="lv-LV"/>
              </w:rPr>
            </w:pPr>
            <w:r w:rsidRPr="008F497F">
              <w:rPr>
                <w:rFonts w:ascii="Times New Roman" w:eastAsia="Times New Roman" w:hAnsi="Times New Roman" w:cs="Times New Roman"/>
                <w:iCs/>
                <w:color w:val="000000" w:themeColor="text1"/>
                <w:sz w:val="24"/>
                <w:szCs w:val="24"/>
                <w:lang w:eastAsia="lv-LV"/>
              </w:rPr>
              <w:t>Zāļu valsts aģentūra, Veselības inspekcija</w:t>
            </w:r>
          </w:p>
        </w:tc>
      </w:tr>
      <w:tr w:rsidR="00CD486E" w:rsidRPr="008F497F" w14:paraId="571CF423" w14:textId="77777777" w:rsidTr="000547C8">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10D32115" w14:textId="77777777" w:rsidR="00CD486E" w:rsidRPr="008F497F" w:rsidRDefault="00CD486E" w:rsidP="00CD486E">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4.</w:t>
            </w:r>
          </w:p>
        </w:tc>
        <w:tc>
          <w:tcPr>
            <w:tcW w:w="1871" w:type="pct"/>
            <w:gridSpan w:val="11"/>
            <w:tcBorders>
              <w:top w:val="outset" w:sz="6" w:space="0" w:color="auto"/>
              <w:left w:val="outset" w:sz="6" w:space="0" w:color="auto"/>
              <w:bottom w:val="outset" w:sz="6" w:space="0" w:color="auto"/>
              <w:right w:val="outset" w:sz="6" w:space="0" w:color="auto"/>
            </w:tcBorders>
            <w:hideMark/>
          </w:tcPr>
          <w:p w14:paraId="0EA8DD9A" w14:textId="77777777" w:rsidR="00CD486E" w:rsidRPr="008F497F" w:rsidRDefault="00CD486E" w:rsidP="00CD486E">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Cita informācija</w:t>
            </w:r>
          </w:p>
        </w:tc>
        <w:tc>
          <w:tcPr>
            <w:tcW w:w="2799" w:type="pct"/>
            <w:gridSpan w:val="2"/>
            <w:tcBorders>
              <w:top w:val="outset" w:sz="6" w:space="0" w:color="auto"/>
              <w:left w:val="outset" w:sz="6" w:space="0" w:color="auto"/>
              <w:bottom w:val="outset" w:sz="6" w:space="0" w:color="auto"/>
              <w:right w:val="outset" w:sz="6" w:space="0" w:color="auto"/>
            </w:tcBorders>
            <w:hideMark/>
          </w:tcPr>
          <w:p w14:paraId="7F4A0E8B" w14:textId="77777777" w:rsidR="00CD486E" w:rsidRPr="008F497F" w:rsidRDefault="0017126C" w:rsidP="00CD486E">
            <w:pPr>
              <w:spacing w:after="0" w:line="240" w:lineRule="auto"/>
              <w:rPr>
                <w:rFonts w:ascii="Times New Roman" w:eastAsia="Times New Roman" w:hAnsi="Times New Roman" w:cs="Times New Roman"/>
                <w:iCs/>
                <w:color w:val="A6A6A6" w:themeColor="background1" w:themeShade="A6"/>
                <w:sz w:val="24"/>
                <w:szCs w:val="24"/>
                <w:lang w:eastAsia="lv-LV"/>
              </w:rPr>
            </w:pPr>
            <w:r w:rsidRPr="008F497F">
              <w:rPr>
                <w:rFonts w:ascii="Times New Roman" w:eastAsia="Times New Roman" w:hAnsi="Times New Roman" w:cs="Times New Roman"/>
                <w:iCs/>
                <w:color w:val="000000" w:themeColor="text1"/>
                <w:sz w:val="24"/>
                <w:szCs w:val="24"/>
                <w:lang w:eastAsia="lv-LV"/>
              </w:rPr>
              <w:t>Nav</w:t>
            </w:r>
          </w:p>
        </w:tc>
      </w:tr>
      <w:tr w:rsidR="00E5323B" w:rsidRPr="008F497F" w14:paraId="04788C8A" w14:textId="77777777" w:rsidTr="00E5323B">
        <w:trPr>
          <w:tblCellSpacing w:w="15" w:type="dxa"/>
        </w:trPr>
        <w:tc>
          <w:tcPr>
            <w:tcW w:w="0" w:type="auto"/>
            <w:gridSpan w:val="14"/>
            <w:tcBorders>
              <w:top w:val="outset" w:sz="6" w:space="0" w:color="auto"/>
              <w:left w:val="outset" w:sz="6" w:space="0" w:color="auto"/>
              <w:bottom w:val="outset" w:sz="6" w:space="0" w:color="auto"/>
              <w:right w:val="outset" w:sz="6" w:space="0" w:color="auto"/>
            </w:tcBorders>
            <w:vAlign w:val="center"/>
            <w:hideMark/>
          </w:tcPr>
          <w:p w14:paraId="7606F882" w14:textId="1260FD6E" w:rsidR="00655F2C" w:rsidRPr="008F497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F497F">
              <w:rPr>
                <w:rFonts w:ascii="Times New Roman" w:eastAsia="Times New Roman" w:hAnsi="Times New Roman" w:cs="Times New Roman"/>
                <w:iCs/>
                <w:color w:val="414142"/>
                <w:sz w:val="24"/>
                <w:szCs w:val="24"/>
                <w:lang w:eastAsia="lv-LV"/>
              </w:rPr>
              <w:t xml:space="preserve">  </w:t>
            </w:r>
            <w:r w:rsidRPr="008F497F">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8F497F" w14:paraId="6054D7C2" w14:textId="77777777" w:rsidTr="000547C8">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1FB4409C" w14:textId="77777777" w:rsidR="00655F2C"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1.</w:t>
            </w:r>
          </w:p>
        </w:tc>
        <w:tc>
          <w:tcPr>
            <w:tcW w:w="1714" w:type="pct"/>
            <w:gridSpan w:val="8"/>
            <w:tcBorders>
              <w:top w:val="outset" w:sz="6" w:space="0" w:color="auto"/>
              <w:left w:val="outset" w:sz="6" w:space="0" w:color="auto"/>
              <w:bottom w:val="outset" w:sz="6" w:space="0" w:color="auto"/>
              <w:right w:val="outset" w:sz="6" w:space="0" w:color="auto"/>
            </w:tcBorders>
            <w:hideMark/>
          </w:tcPr>
          <w:p w14:paraId="611F562B" w14:textId="77777777" w:rsidR="00E5323B"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2956" w:type="pct"/>
            <w:gridSpan w:val="5"/>
            <w:tcBorders>
              <w:top w:val="outset" w:sz="6" w:space="0" w:color="auto"/>
              <w:left w:val="outset" w:sz="6" w:space="0" w:color="auto"/>
              <w:bottom w:val="outset" w:sz="6" w:space="0" w:color="auto"/>
              <w:right w:val="outset" w:sz="6" w:space="0" w:color="auto"/>
            </w:tcBorders>
            <w:hideMark/>
          </w:tcPr>
          <w:p w14:paraId="6C025D94" w14:textId="77777777" w:rsidR="00E5323B" w:rsidRDefault="001259B1" w:rsidP="00B8640A">
            <w:pPr>
              <w:spacing w:after="0" w:line="240" w:lineRule="auto"/>
              <w:jc w:val="both"/>
              <w:rPr>
                <w:rFonts w:ascii="Times New Roman" w:eastAsia="Times New Roman" w:hAnsi="Times New Roman" w:cs="Times New Roman"/>
                <w:iCs/>
                <w:sz w:val="24"/>
                <w:szCs w:val="24"/>
                <w:lang w:eastAsia="lv-LV"/>
              </w:rPr>
            </w:pPr>
            <w:r w:rsidRPr="008F497F">
              <w:rPr>
                <w:rFonts w:ascii="Times New Roman" w:eastAsia="Times New Roman" w:hAnsi="Times New Roman" w:cs="Times New Roman"/>
                <w:iCs/>
                <w:sz w:val="24"/>
                <w:szCs w:val="24"/>
                <w:lang w:eastAsia="lv-LV"/>
              </w:rPr>
              <w:t>Prekursoru operatori un lietotāji – dažādi komersanti (zāļu ražošana,</w:t>
            </w:r>
            <w:r w:rsidR="002741B7" w:rsidRPr="008F497F">
              <w:rPr>
                <w:rFonts w:ascii="Times New Roman" w:eastAsia="Times New Roman" w:hAnsi="Times New Roman" w:cs="Times New Roman"/>
                <w:iCs/>
                <w:sz w:val="24"/>
                <w:szCs w:val="24"/>
                <w:lang w:eastAsia="lv-LV"/>
              </w:rPr>
              <w:t xml:space="preserve"> aktīvo vielu ražošana un izplatīšana,</w:t>
            </w:r>
            <w:r w:rsidRPr="008F497F">
              <w:rPr>
                <w:rFonts w:ascii="Times New Roman" w:eastAsia="Times New Roman" w:hAnsi="Times New Roman" w:cs="Times New Roman"/>
                <w:iCs/>
                <w:sz w:val="24"/>
                <w:szCs w:val="24"/>
                <w:lang w:eastAsia="lv-LV"/>
              </w:rPr>
              <w:t xml:space="preserve"> ķīmisko vielu ražošana</w:t>
            </w:r>
            <w:r w:rsidR="002741B7" w:rsidRPr="008F497F">
              <w:rPr>
                <w:rFonts w:ascii="Times New Roman" w:eastAsia="Times New Roman" w:hAnsi="Times New Roman" w:cs="Times New Roman"/>
                <w:iCs/>
                <w:sz w:val="24"/>
                <w:szCs w:val="24"/>
                <w:lang w:eastAsia="lv-LV"/>
              </w:rPr>
              <w:t xml:space="preserve"> un izplatīšana</w:t>
            </w:r>
            <w:r w:rsidRPr="008F497F">
              <w:rPr>
                <w:rFonts w:ascii="Times New Roman" w:eastAsia="Times New Roman" w:hAnsi="Times New Roman" w:cs="Times New Roman"/>
                <w:iCs/>
                <w:sz w:val="24"/>
                <w:szCs w:val="24"/>
                <w:lang w:eastAsia="lv-LV"/>
              </w:rPr>
              <w:t xml:space="preserve"> utml.)</w:t>
            </w:r>
            <w:r w:rsidR="009B476D">
              <w:rPr>
                <w:rFonts w:ascii="Times New Roman" w:eastAsia="Times New Roman" w:hAnsi="Times New Roman" w:cs="Times New Roman"/>
                <w:iCs/>
                <w:sz w:val="24"/>
                <w:szCs w:val="24"/>
                <w:lang w:eastAsia="lv-LV"/>
              </w:rPr>
              <w:t>,</w:t>
            </w:r>
            <w:r w:rsidRPr="008F497F">
              <w:rPr>
                <w:rFonts w:ascii="Times New Roman" w:eastAsia="Times New Roman" w:hAnsi="Times New Roman" w:cs="Times New Roman"/>
                <w:iCs/>
                <w:sz w:val="24"/>
                <w:szCs w:val="24"/>
                <w:lang w:eastAsia="lv-LV"/>
              </w:rPr>
              <w:t xml:space="preserve"> ārstniecības iestādes.</w:t>
            </w:r>
          </w:p>
          <w:p w14:paraId="0A39A3FD" w14:textId="3DFB47E8" w:rsidR="00CC6908" w:rsidRPr="008F497F" w:rsidRDefault="00CC6908" w:rsidP="00B8640A">
            <w:pPr>
              <w:spacing w:after="0" w:line="240" w:lineRule="auto"/>
              <w:jc w:val="both"/>
              <w:rPr>
                <w:rFonts w:ascii="Times New Roman" w:eastAsia="Times New Roman" w:hAnsi="Times New Roman" w:cs="Times New Roman"/>
                <w:iCs/>
                <w:sz w:val="24"/>
                <w:szCs w:val="24"/>
                <w:lang w:eastAsia="lv-LV"/>
              </w:rPr>
            </w:pPr>
          </w:p>
        </w:tc>
      </w:tr>
      <w:tr w:rsidR="00E5323B" w:rsidRPr="008F497F" w14:paraId="172F6421" w14:textId="77777777" w:rsidTr="000547C8">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31E605D1" w14:textId="77777777" w:rsidR="00655F2C"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2.</w:t>
            </w:r>
          </w:p>
        </w:tc>
        <w:tc>
          <w:tcPr>
            <w:tcW w:w="1714" w:type="pct"/>
            <w:gridSpan w:val="8"/>
            <w:tcBorders>
              <w:top w:val="outset" w:sz="6" w:space="0" w:color="auto"/>
              <w:left w:val="outset" w:sz="6" w:space="0" w:color="auto"/>
              <w:bottom w:val="outset" w:sz="6" w:space="0" w:color="auto"/>
              <w:right w:val="outset" w:sz="6" w:space="0" w:color="auto"/>
            </w:tcBorders>
            <w:hideMark/>
          </w:tcPr>
          <w:p w14:paraId="607A02AF" w14:textId="77777777" w:rsidR="00E5323B"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2956" w:type="pct"/>
            <w:gridSpan w:val="5"/>
            <w:tcBorders>
              <w:top w:val="outset" w:sz="6" w:space="0" w:color="auto"/>
              <w:left w:val="outset" w:sz="6" w:space="0" w:color="auto"/>
              <w:bottom w:val="outset" w:sz="6" w:space="0" w:color="auto"/>
              <w:right w:val="outset" w:sz="6" w:space="0" w:color="auto"/>
            </w:tcBorders>
            <w:hideMark/>
          </w:tcPr>
          <w:p w14:paraId="1E1A460E" w14:textId="77777777" w:rsidR="00E5323B" w:rsidRDefault="00370E1F" w:rsidP="00B8640A">
            <w:pPr>
              <w:spacing w:after="0" w:line="240" w:lineRule="auto"/>
              <w:jc w:val="both"/>
              <w:rPr>
                <w:rFonts w:ascii="Times New Roman" w:eastAsia="Times New Roman" w:hAnsi="Times New Roman" w:cs="Times New Roman"/>
                <w:iCs/>
                <w:sz w:val="24"/>
                <w:szCs w:val="24"/>
                <w:lang w:eastAsia="lv-LV"/>
              </w:rPr>
            </w:pPr>
            <w:r w:rsidRPr="008F497F">
              <w:rPr>
                <w:rFonts w:ascii="Times New Roman" w:eastAsia="Times New Roman" w:hAnsi="Times New Roman" w:cs="Times New Roman"/>
                <w:iCs/>
                <w:sz w:val="24"/>
                <w:szCs w:val="24"/>
                <w:lang w:eastAsia="lv-LV"/>
              </w:rPr>
              <w:t>Projekts</w:t>
            </w:r>
            <w:r w:rsidR="00160D2F" w:rsidRPr="008F497F">
              <w:rPr>
                <w:rFonts w:ascii="Times New Roman" w:eastAsia="Times New Roman" w:hAnsi="Times New Roman" w:cs="Times New Roman"/>
                <w:iCs/>
                <w:sz w:val="24"/>
                <w:szCs w:val="24"/>
                <w:lang w:eastAsia="lv-LV"/>
              </w:rPr>
              <w:t xml:space="preserve"> </w:t>
            </w:r>
            <w:r w:rsidR="001259B1" w:rsidRPr="008F497F">
              <w:rPr>
                <w:rFonts w:ascii="Times New Roman" w:eastAsia="Times New Roman" w:hAnsi="Times New Roman" w:cs="Times New Roman"/>
                <w:iCs/>
                <w:sz w:val="24"/>
                <w:szCs w:val="24"/>
                <w:lang w:eastAsia="lv-LV"/>
              </w:rPr>
              <w:t>nepalielina</w:t>
            </w:r>
            <w:r w:rsidR="00160D2F" w:rsidRPr="008F497F">
              <w:rPr>
                <w:rFonts w:ascii="Times New Roman" w:eastAsia="Times New Roman" w:hAnsi="Times New Roman" w:cs="Times New Roman"/>
                <w:iCs/>
                <w:sz w:val="24"/>
                <w:szCs w:val="24"/>
                <w:lang w:eastAsia="lv-LV"/>
              </w:rPr>
              <w:t xml:space="preserve"> administratīvo slogu</w:t>
            </w:r>
            <w:r w:rsidR="005B00BB" w:rsidRPr="008F497F">
              <w:rPr>
                <w:rFonts w:ascii="Times New Roman" w:eastAsia="Times New Roman" w:hAnsi="Times New Roman" w:cs="Times New Roman"/>
                <w:iCs/>
                <w:sz w:val="24"/>
                <w:szCs w:val="24"/>
                <w:lang w:eastAsia="lv-LV"/>
              </w:rPr>
              <w:t xml:space="preserve"> </w:t>
            </w:r>
            <w:r w:rsidR="00C85869" w:rsidRPr="008F497F">
              <w:rPr>
                <w:rFonts w:ascii="Times New Roman" w:eastAsia="Times New Roman" w:hAnsi="Times New Roman" w:cs="Times New Roman"/>
                <w:iCs/>
                <w:sz w:val="24"/>
                <w:szCs w:val="24"/>
                <w:lang w:eastAsia="lv-LV"/>
              </w:rPr>
              <w:t>–</w:t>
            </w:r>
            <w:r w:rsidR="005B00BB" w:rsidRPr="008F497F">
              <w:rPr>
                <w:rFonts w:ascii="Times New Roman" w:eastAsia="Times New Roman" w:hAnsi="Times New Roman" w:cs="Times New Roman"/>
                <w:iCs/>
                <w:sz w:val="24"/>
                <w:szCs w:val="24"/>
                <w:lang w:eastAsia="lv-LV"/>
              </w:rPr>
              <w:t xml:space="preserve"> </w:t>
            </w:r>
            <w:r w:rsidR="00C85869" w:rsidRPr="008F497F">
              <w:rPr>
                <w:rFonts w:ascii="Times New Roman" w:eastAsia="Times New Roman" w:hAnsi="Times New Roman" w:cs="Times New Roman"/>
                <w:iCs/>
                <w:sz w:val="24"/>
                <w:szCs w:val="24"/>
                <w:lang w:eastAsia="lv-LV"/>
              </w:rPr>
              <w:t>operatoru pienākums sniegt informāciju aģentūrai par prekursoru apriti ir jau noteikts arī šobrīd</w:t>
            </w:r>
            <w:r w:rsidR="001259B1" w:rsidRPr="008F497F">
              <w:rPr>
                <w:rFonts w:ascii="Times New Roman" w:eastAsia="Times New Roman" w:hAnsi="Times New Roman" w:cs="Times New Roman"/>
                <w:iCs/>
                <w:sz w:val="24"/>
                <w:szCs w:val="24"/>
                <w:lang w:eastAsia="lv-LV"/>
              </w:rPr>
              <w:t>.</w:t>
            </w:r>
          </w:p>
          <w:p w14:paraId="43C5D2A9" w14:textId="31CCEFDA" w:rsidR="00CC6908" w:rsidRPr="008F497F" w:rsidRDefault="00CC6908" w:rsidP="00B8640A">
            <w:pPr>
              <w:spacing w:after="0" w:line="240" w:lineRule="auto"/>
              <w:jc w:val="both"/>
              <w:rPr>
                <w:rFonts w:ascii="Times New Roman" w:eastAsia="Times New Roman" w:hAnsi="Times New Roman" w:cs="Times New Roman"/>
                <w:iCs/>
                <w:sz w:val="24"/>
                <w:szCs w:val="24"/>
                <w:lang w:eastAsia="lv-LV"/>
              </w:rPr>
            </w:pPr>
          </w:p>
        </w:tc>
      </w:tr>
      <w:tr w:rsidR="00E5323B" w:rsidRPr="008F497F" w14:paraId="32574397" w14:textId="77777777" w:rsidTr="000547C8">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10210B73" w14:textId="77777777" w:rsidR="00655F2C"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3.</w:t>
            </w:r>
          </w:p>
        </w:tc>
        <w:tc>
          <w:tcPr>
            <w:tcW w:w="1714" w:type="pct"/>
            <w:gridSpan w:val="8"/>
            <w:tcBorders>
              <w:top w:val="outset" w:sz="6" w:space="0" w:color="auto"/>
              <w:left w:val="outset" w:sz="6" w:space="0" w:color="auto"/>
              <w:bottom w:val="outset" w:sz="6" w:space="0" w:color="auto"/>
              <w:right w:val="outset" w:sz="6" w:space="0" w:color="auto"/>
            </w:tcBorders>
            <w:hideMark/>
          </w:tcPr>
          <w:p w14:paraId="5EC0FCDD" w14:textId="77777777" w:rsidR="00E5323B"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Administratīvo izmaksu monetārs novērtējums</w:t>
            </w:r>
          </w:p>
        </w:tc>
        <w:tc>
          <w:tcPr>
            <w:tcW w:w="2956" w:type="pct"/>
            <w:gridSpan w:val="5"/>
            <w:tcBorders>
              <w:top w:val="outset" w:sz="6" w:space="0" w:color="auto"/>
              <w:left w:val="outset" w:sz="6" w:space="0" w:color="auto"/>
              <w:bottom w:val="outset" w:sz="6" w:space="0" w:color="auto"/>
              <w:right w:val="outset" w:sz="6" w:space="0" w:color="auto"/>
            </w:tcBorders>
            <w:hideMark/>
          </w:tcPr>
          <w:p w14:paraId="65360B2E" w14:textId="77777777" w:rsidR="00E5323B" w:rsidRDefault="00F60FA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Zāļu valsts aģentūra jau šobrīd apstrādā no prekursoru operatoriem saņemto informāciju un projekta realizācija neprasīs no Zāļu valsts aģentūras papildus darba slodzes. Tā kā arī šobrīd prekursoru operatori sniedz informāciju Zāļu valsts aģentūrai par prekursoru apriti reizi ceturksnī, un prekursoru aprites uzskaiti</w:t>
            </w:r>
            <w:r w:rsidR="00C349A4">
              <w:rPr>
                <w:rFonts w:ascii="Times New Roman" w:eastAsia="Times New Roman" w:hAnsi="Times New Roman" w:cs="Times New Roman"/>
                <w:iCs/>
                <w:sz w:val="24"/>
                <w:szCs w:val="24"/>
                <w:lang w:eastAsia="lv-LV"/>
              </w:rPr>
              <w:t xml:space="preserve"> un iesniegšanu Zāļu valsts aģentūrā</w:t>
            </w:r>
            <w:r>
              <w:rPr>
                <w:rFonts w:ascii="Times New Roman" w:eastAsia="Times New Roman" w:hAnsi="Times New Roman" w:cs="Times New Roman"/>
                <w:iCs/>
                <w:sz w:val="24"/>
                <w:szCs w:val="24"/>
                <w:lang w:eastAsia="lv-LV"/>
              </w:rPr>
              <w:t xml:space="preserve"> var veikt ar standarta biroja </w:t>
            </w:r>
            <w:r w:rsidR="00C349A4">
              <w:rPr>
                <w:rFonts w:ascii="Times New Roman" w:eastAsia="Times New Roman" w:hAnsi="Times New Roman" w:cs="Times New Roman"/>
                <w:iCs/>
                <w:sz w:val="24"/>
                <w:szCs w:val="24"/>
                <w:lang w:eastAsia="lv-LV"/>
              </w:rPr>
              <w:t>programmatūru, kopējās administratīvās izmaksas ir zem EUR 2000.</w:t>
            </w:r>
          </w:p>
          <w:p w14:paraId="2CB18C11" w14:textId="70FE41FA" w:rsidR="00CC6908" w:rsidRPr="00F60FA7" w:rsidRDefault="00CC6908" w:rsidP="00E5323B">
            <w:pPr>
              <w:spacing w:after="0" w:line="240" w:lineRule="auto"/>
              <w:rPr>
                <w:rFonts w:ascii="Times New Roman" w:eastAsia="Times New Roman" w:hAnsi="Times New Roman" w:cs="Times New Roman"/>
                <w:iCs/>
                <w:sz w:val="24"/>
                <w:szCs w:val="24"/>
                <w:lang w:eastAsia="lv-LV"/>
              </w:rPr>
            </w:pPr>
          </w:p>
        </w:tc>
      </w:tr>
      <w:tr w:rsidR="00E5323B" w:rsidRPr="008F497F" w14:paraId="02D27AB7" w14:textId="77777777" w:rsidTr="000547C8">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58C8C268" w14:textId="77777777" w:rsidR="00655F2C"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4.</w:t>
            </w:r>
          </w:p>
        </w:tc>
        <w:tc>
          <w:tcPr>
            <w:tcW w:w="1714" w:type="pct"/>
            <w:gridSpan w:val="8"/>
            <w:tcBorders>
              <w:top w:val="outset" w:sz="6" w:space="0" w:color="auto"/>
              <w:left w:val="outset" w:sz="6" w:space="0" w:color="auto"/>
              <w:bottom w:val="outset" w:sz="6" w:space="0" w:color="auto"/>
              <w:right w:val="outset" w:sz="6" w:space="0" w:color="auto"/>
            </w:tcBorders>
            <w:hideMark/>
          </w:tcPr>
          <w:p w14:paraId="28D705B8" w14:textId="77777777" w:rsidR="00E5323B"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Atbilstības izmaksu monetārs novērtējums</w:t>
            </w:r>
          </w:p>
        </w:tc>
        <w:tc>
          <w:tcPr>
            <w:tcW w:w="2956" w:type="pct"/>
            <w:gridSpan w:val="5"/>
            <w:tcBorders>
              <w:top w:val="outset" w:sz="6" w:space="0" w:color="auto"/>
              <w:left w:val="outset" w:sz="6" w:space="0" w:color="auto"/>
              <w:bottom w:val="outset" w:sz="6" w:space="0" w:color="auto"/>
              <w:right w:val="outset" w:sz="6" w:space="0" w:color="auto"/>
            </w:tcBorders>
            <w:hideMark/>
          </w:tcPr>
          <w:p w14:paraId="741AC45B" w14:textId="77777777" w:rsidR="00E5323B" w:rsidRDefault="005A50D7" w:rsidP="00B8640A">
            <w:pPr>
              <w:spacing w:after="0" w:line="240" w:lineRule="auto"/>
              <w:jc w:val="both"/>
              <w:rPr>
                <w:rFonts w:ascii="Times New Roman" w:eastAsia="Times New Roman" w:hAnsi="Times New Roman" w:cs="Times New Roman"/>
                <w:iCs/>
                <w:color w:val="000000" w:themeColor="text1"/>
                <w:sz w:val="24"/>
                <w:szCs w:val="24"/>
                <w:lang w:eastAsia="lv-LV"/>
              </w:rPr>
            </w:pPr>
            <w:r w:rsidRPr="008F497F">
              <w:rPr>
                <w:rFonts w:ascii="Times New Roman" w:eastAsia="Times New Roman" w:hAnsi="Times New Roman" w:cs="Times New Roman"/>
                <w:iCs/>
                <w:sz w:val="24"/>
                <w:szCs w:val="24"/>
                <w:lang w:eastAsia="lv-LV"/>
              </w:rPr>
              <w:t>P</w:t>
            </w:r>
            <w:r w:rsidR="001259B1" w:rsidRPr="008F497F">
              <w:rPr>
                <w:rFonts w:ascii="Times New Roman" w:eastAsia="Times New Roman" w:hAnsi="Times New Roman" w:cs="Times New Roman"/>
                <w:iCs/>
                <w:sz w:val="24"/>
                <w:szCs w:val="24"/>
                <w:lang w:eastAsia="lv-LV"/>
              </w:rPr>
              <w:t>rekursoru operatoriem un lietotājiem var būt</w:t>
            </w:r>
            <w:r w:rsidRPr="008F497F">
              <w:rPr>
                <w:rFonts w:ascii="Times New Roman" w:eastAsia="Times New Roman" w:hAnsi="Times New Roman" w:cs="Times New Roman"/>
                <w:iCs/>
                <w:color w:val="000000" w:themeColor="text1"/>
                <w:sz w:val="24"/>
                <w:szCs w:val="24"/>
                <w:lang w:eastAsia="lv-LV"/>
              </w:rPr>
              <w:t xml:space="preserve"> nepieciešams iegādāties slēdzamu metāla skapi vai seifu saraksta vielu uzglabāšanai. Slēdzama metāla skapja vai seifa iegādes izmaksas ir</w:t>
            </w:r>
            <w:r w:rsidR="002741B7" w:rsidRPr="008F497F">
              <w:rPr>
                <w:rFonts w:ascii="Times New Roman" w:eastAsia="Times New Roman" w:hAnsi="Times New Roman" w:cs="Times New Roman"/>
                <w:iCs/>
                <w:color w:val="000000" w:themeColor="text1"/>
                <w:sz w:val="24"/>
                <w:szCs w:val="24"/>
                <w:lang w:eastAsia="lv-LV"/>
              </w:rPr>
              <w:t>, sākot ar</w:t>
            </w:r>
            <w:r w:rsidRPr="008F497F">
              <w:rPr>
                <w:rFonts w:ascii="Times New Roman" w:eastAsia="Times New Roman" w:hAnsi="Times New Roman" w:cs="Times New Roman"/>
                <w:iCs/>
                <w:color w:val="000000" w:themeColor="text1"/>
                <w:sz w:val="24"/>
                <w:szCs w:val="24"/>
                <w:lang w:eastAsia="lv-LV"/>
              </w:rPr>
              <w:t xml:space="preserve">  50-150 EUR</w:t>
            </w:r>
            <w:r w:rsidR="002741B7" w:rsidRPr="008F497F">
              <w:rPr>
                <w:rFonts w:ascii="Times New Roman" w:eastAsia="Times New Roman" w:hAnsi="Times New Roman" w:cs="Times New Roman"/>
                <w:iCs/>
                <w:color w:val="000000" w:themeColor="text1"/>
                <w:sz w:val="24"/>
                <w:szCs w:val="24"/>
                <w:lang w:eastAsia="lv-LV"/>
              </w:rPr>
              <w:t xml:space="preserve"> atkarībā no izmēra</w:t>
            </w:r>
            <w:r w:rsidRPr="008F497F">
              <w:rPr>
                <w:rFonts w:ascii="Times New Roman" w:eastAsia="Times New Roman" w:hAnsi="Times New Roman" w:cs="Times New Roman"/>
                <w:iCs/>
                <w:color w:val="000000" w:themeColor="text1"/>
                <w:sz w:val="24"/>
                <w:szCs w:val="24"/>
                <w:lang w:eastAsia="lv-LV"/>
              </w:rPr>
              <w:t>. Kopējais skaits personu, uz kurām attiecas šīs prasības, nav zināms.</w:t>
            </w:r>
            <w:r w:rsidR="001259B1" w:rsidRPr="008F497F">
              <w:rPr>
                <w:rFonts w:ascii="Times New Roman" w:eastAsia="Times New Roman" w:hAnsi="Times New Roman" w:cs="Times New Roman"/>
                <w:iCs/>
                <w:color w:val="000000" w:themeColor="text1"/>
                <w:sz w:val="24"/>
                <w:szCs w:val="24"/>
                <w:lang w:eastAsia="lv-LV"/>
              </w:rPr>
              <w:t xml:space="preserve"> Tāpat tiem var būt nepieciešams telpu, kurā glabājas prekursori, aprīkot ar signalizāciju</w:t>
            </w:r>
            <w:r w:rsidR="002741B7" w:rsidRPr="008F497F">
              <w:rPr>
                <w:rFonts w:ascii="Times New Roman" w:eastAsia="Times New Roman" w:hAnsi="Times New Roman" w:cs="Times New Roman"/>
                <w:iCs/>
                <w:color w:val="000000" w:themeColor="text1"/>
                <w:sz w:val="24"/>
                <w:szCs w:val="24"/>
                <w:lang w:eastAsia="lv-LV"/>
              </w:rPr>
              <w:t>, un izmaksas ir stipri individuālas katrā atsevišķā gadījumā, un šobrīd nav aprēķināmas</w:t>
            </w:r>
            <w:r w:rsidR="001259B1" w:rsidRPr="008F497F">
              <w:rPr>
                <w:rFonts w:ascii="Times New Roman" w:eastAsia="Times New Roman" w:hAnsi="Times New Roman" w:cs="Times New Roman"/>
                <w:iCs/>
                <w:color w:val="000000" w:themeColor="text1"/>
                <w:sz w:val="24"/>
                <w:szCs w:val="24"/>
                <w:lang w:eastAsia="lv-LV"/>
              </w:rPr>
              <w:t>.</w:t>
            </w:r>
          </w:p>
          <w:p w14:paraId="5C0339EF" w14:textId="6557CB2F" w:rsidR="00CC6908" w:rsidRPr="008F497F" w:rsidRDefault="00CC6908" w:rsidP="00B8640A">
            <w:pPr>
              <w:spacing w:after="0" w:line="240" w:lineRule="auto"/>
              <w:jc w:val="both"/>
              <w:rPr>
                <w:rFonts w:ascii="Times New Roman" w:eastAsia="Times New Roman" w:hAnsi="Times New Roman" w:cs="Times New Roman"/>
                <w:iCs/>
                <w:sz w:val="24"/>
                <w:szCs w:val="24"/>
                <w:lang w:eastAsia="lv-LV"/>
              </w:rPr>
            </w:pPr>
          </w:p>
        </w:tc>
      </w:tr>
      <w:tr w:rsidR="00E5323B" w:rsidRPr="008F497F" w14:paraId="2913FAFE" w14:textId="77777777" w:rsidTr="000547C8">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5FBA7FBE" w14:textId="77777777" w:rsidR="00655F2C"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5.</w:t>
            </w:r>
          </w:p>
        </w:tc>
        <w:tc>
          <w:tcPr>
            <w:tcW w:w="1714" w:type="pct"/>
            <w:gridSpan w:val="8"/>
            <w:tcBorders>
              <w:top w:val="outset" w:sz="6" w:space="0" w:color="auto"/>
              <w:left w:val="outset" w:sz="6" w:space="0" w:color="auto"/>
              <w:bottom w:val="outset" w:sz="6" w:space="0" w:color="auto"/>
              <w:right w:val="outset" w:sz="6" w:space="0" w:color="auto"/>
            </w:tcBorders>
            <w:hideMark/>
          </w:tcPr>
          <w:p w14:paraId="10C37DE3" w14:textId="77777777" w:rsidR="00E5323B"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Cita informācija</w:t>
            </w:r>
          </w:p>
        </w:tc>
        <w:tc>
          <w:tcPr>
            <w:tcW w:w="2956" w:type="pct"/>
            <w:gridSpan w:val="5"/>
            <w:tcBorders>
              <w:top w:val="outset" w:sz="6" w:space="0" w:color="auto"/>
              <w:left w:val="outset" w:sz="6" w:space="0" w:color="auto"/>
              <w:bottom w:val="outset" w:sz="6" w:space="0" w:color="auto"/>
              <w:right w:val="outset" w:sz="6" w:space="0" w:color="auto"/>
            </w:tcBorders>
            <w:hideMark/>
          </w:tcPr>
          <w:p w14:paraId="36C11A1F" w14:textId="77777777" w:rsidR="00E5323B" w:rsidRPr="008F497F" w:rsidRDefault="005A50D7"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F497F">
              <w:rPr>
                <w:rFonts w:ascii="Times New Roman" w:eastAsia="Times New Roman" w:hAnsi="Times New Roman" w:cs="Times New Roman"/>
                <w:iCs/>
                <w:sz w:val="24"/>
                <w:szCs w:val="24"/>
                <w:lang w:eastAsia="lv-LV"/>
              </w:rPr>
              <w:t>Nav</w:t>
            </w:r>
          </w:p>
        </w:tc>
      </w:tr>
      <w:tr w:rsidR="00E5323B" w:rsidRPr="008F497F" w14:paraId="5BB49BF2" w14:textId="77777777" w:rsidTr="00E5323B">
        <w:trPr>
          <w:tblCellSpacing w:w="15" w:type="dxa"/>
        </w:trPr>
        <w:tc>
          <w:tcPr>
            <w:tcW w:w="0" w:type="auto"/>
            <w:gridSpan w:val="14"/>
            <w:tcBorders>
              <w:top w:val="outset" w:sz="6" w:space="0" w:color="auto"/>
              <w:left w:val="outset" w:sz="6" w:space="0" w:color="auto"/>
              <w:bottom w:val="outset" w:sz="6" w:space="0" w:color="auto"/>
              <w:right w:val="outset" w:sz="6" w:space="0" w:color="auto"/>
            </w:tcBorders>
            <w:vAlign w:val="center"/>
            <w:hideMark/>
          </w:tcPr>
          <w:p w14:paraId="1031A5DC" w14:textId="2DE73057" w:rsidR="00655F2C" w:rsidRPr="008F497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F497F">
              <w:rPr>
                <w:rFonts w:ascii="Times New Roman" w:eastAsia="Times New Roman" w:hAnsi="Times New Roman" w:cs="Times New Roman"/>
                <w:iCs/>
                <w:color w:val="414142"/>
                <w:sz w:val="24"/>
                <w:szCs w:val="24"/>
                <w:lang w:eastAsia="lv-LV"/>
              </w:rPr>
              <w:t xml:space="preserve">  </w:t>
            </w:r>
            <w:r w:rsidRPr="008F497F">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7126C" w:rsidRPr="008F497F" w14:paraId="468E2B9E" w14:textId="77777777" w:rsidTr="0017126C">
        <w:trPr>
          <w:tblCellSpacing w:w="15" w:type="dxa"/>
        </w:trPr>
        <w:tc>
          <w:tcPr>
            <w:tcW w:w="4967" w:type="pct"/>
            <w:gridSpan w:val="14"/>
            <w:tcBorders>
              <w:top w:val="outset" w:sz="6" w:space="0" w:color="auto"/>
              <w:left w:val="outset" w:sz="6" w:space="0" w:color="auto"/>
              <w:bottom w:val="outset" w:sz="6" w:space="0" w:color="auto"/>
              <w:right w:val="outset" w:sz="6" w:space="0" w:color="A0A0A0"/>
            </w:tcBorders>
          </w:tcPr>
          <w:p w14:paraId="3ACF8781" w14:textId="77777777" w:rsidR="0017126C" w:rsidRPr="008F497F" w:rsidRDefault="0017126C" w:rsidP="0017126C">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8F497F">
              <w:rPr>
                <w:rFonts w:ascii="Times New Roman" w:eastAsia="Times New Roman" w:hAnsi="Times New Roman" w:cs="Times New Roman"/>
                <w:iCs/>
                <w:color w:val="000000" w:themeColor="text1"/>
                <w:sz w:val="24"/>
                <w:szCs w:val="24"/>
                <w:lang w:eastAsia="lv-LV"/>
              </w:rPr>
              <w:t>Projekts šo jomu neskar</w:t>
            </w:r>
          </w:p>
        </w:tc>
      </w:tr>
      <w:tr w:rsidR="00E5323B" w:rsidRPr="008F497F" w14:paraId="675A15FE" w14:textId="77777777" w:rsidTr="00E5323B">
        <w:trPr>
          <w:tblCellSpacing w:w="15" w:type="dxa"/>
        </w:trPr>
        <w:tc>
          <w:tcPr>
            <w:tcW w:w="0" w:type="auto"/>
            <w:gridSpan w:val="14"/>
            <w:tcBorders>
              <w:top w:val="outset" w:sz="6" w:space="0" w:color="auto"/>
              <w:left w:val="outset" w:sz="6" w:space="0" w:color="auto"/>
              <w:bottom w:val="outset" w:sz="6" w:space="0" w:color="auto"/>
              <w:right w:val="outset" w:sz="6" w:space="0" w:color="auto"/>
            </w:tcBorders>
            <w:vAlign w:val="center"/>
            <w:hideMark/>
          </w:tcPr>
          <w:p w14:paraId="51AFFBC2" w14:textId="1936491B" w:rsidR="00655F2C" w:rsidRPr="008F497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F497F">
              <w:rPr>
                <w:rFonts w:ascii="Times New Roman" w:eastAsia="Times New Roman" w:hAnsi="Times New Roman" w:cs="Times New Roman"/>
                <w:iCs/>
                <w:color w:val="414142"/>
                <w:sz w:val="24"/>
                <w:szCs w:val="24"/>
                <w:lang w:eastAsia="lv-LV"/>
              </w:rPr>
              <w:t xml:space="preserve">  </w:t>
            </w:r>
            <w:r w:rsidRPr="008F497F">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8F497F" w14:paraId="15E677A2" w14:textId="77777777" w:rsidTr="000547C8">
        <w:trPr>
          <w:tblCellSpacing w:w="15" w:type="dxa"/>
        </w:trPr>
        <w:tc>
          <w:tcPr>
            <w:tcW w:w="350" w:type="pct"/>
            <w:gridSpan w:val="4"/>
            <w:tcBorders>
              <w:top w:val="outset" w:sz="6" w:space="0" w:color="auto"/>
              <w:left w:val="outset" w:sz="6" w:space="0" w:color="auto"/>
              <w:bottom w:val="outset" w:sz="6" w:space="0" w:color="auto"/>
              <w:right w:val="outset" w:sz="6" w:space="0" w:color="auto"/>
            </w:tcBorders>
            <w:hideMark/>
          </w:tcPr>
          <w:p w14:paraId="060AAD49" w14:textId="77777777" w:rsidR="00655F2C"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1.</w:t>
            </w:r>
          </w:p>
        </w:tc>
        <w:tc>
          <w:tcPr>
            <w:tcW w:w="1711" w:type="pct"/>
            <w:gridSpan w:val="7"/>
            <w:tcBorders>
              <w:top w:val="outset" w:sz="6" w:space="0" w:color="auto"/>
              <w:left w:val="outset" w:sz="6" w:space="0" w:color="auto"/>
              <w:bottom w:val="outset" w:sz="6" w:space="0" w:color="auto"/>
              <w:right w:val="outset" w:sz="6" w:space="0" w:color="auto"/>
            </w:tcBorders>
            <w:hideMark/>
          </w:tcPr>
          <w:p w14:paraId="62A66E3C" w14:textId="77777777" w:rsidR="00E5323B"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Saistītie tiesību aktu projekti</w:t>
            </w:r>
          </w:p>
        </w:tc>
        <w:tc>
          <w:tcPr>
            <w:tcW w:w="2874" w:type="pct"/>
            <w:gridSpan w:val="3"/>
            <w:tcBorders>
              <w:top w:val="outset" w:sz="6" w:space="0" w:color="auto"/>
              <w:left w:val="outset" w:sz="6" w:space="0" w:color="auto"/>
              <w:bottom w:val="outset" w:sz="6" w:space="0" w:color="auto"/>
              <w:right w:val="outset" w:sz="6" w:space="0" w:color="auto"/>
            </w:tcBorders>
            <w:hideMark/>
          </w:tcPr>
          <w:p w14:paraId="25DFCDCA" w14:textId="77777777" w:rsidR="00E5323B" w:rsidRPr="008F497F" w:rsidRDefault="0017126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F497F">
              <w:rPr>
                <w:rFonts w:ascii="Times New Roman" w:eastAsia="Times New Roman" w:hAnsi="Times New Roman" w:cs="Times New Roman"/>
                <w:iCs/>
                <w:color w:val="000000" w:themeColor="text1"/>
                <w:sz w:val="24"/>
                <w:szCs w:val="24"/>
                <w:lang w:eastAsia="lv-LV"/>
              </w:rPr>
              <w:t>Nav</w:t>
            </w:r>
          </w:p>
        </w:tc>
      </w:tr>
      <w:tr w:rsidR="00E5323B" w:rsidRPr="008F497F" w14:paraId="01278EB9" w14:textId="77777777" w:rsidTr="000547C8">
        <w:trPr>
          <w:tblCellSpacing w:w="15" w:type="dxa"/>
        </w:trPr>
        <w:tc>
          <w:tcPr>
            <w:tcW w:w="350" w:type="pct"/>
            <w:gridSpan w:val="4"/>
            <w:tcBorders>
              <w:top w:val="outset" w:sz="6" w:space="0" w:color="auto"/>
              <w:left w:val="outset" w:sz="6" w:space="0" w:color="auto"/>
              <w:bottom w:val="outset" w:sz="6" w:space="0" w:color="auto"/>
              <w:right w:val="outset" w:sz="6" w:space="0" w:color="auto"/>
            </w:tcBorders>
            <w:hideMark/>
          </w:tcPr>
          <w:p w14:paraId="45882CA3" w14:textId="77777777" w:rsidR="00655F2C"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2.</w:t>
            </w:r>
          </w:p>
        </w:tc>
        <w:tc>
          <w:tcPr>
            <w:tcW w:w="1711" w:type="pct"/>
            <w:gridSpan w:val="7"/>
            <w:tcBorders>
              <w:top w:val="outset" w:sz="6" w:space="0" w:color="auto"/>
              <w:left w:val="outset" w:sz="6" w:space="0" w:color="auto"/>
              <w:bottom w:val="outset" w:sz="6" w:space="0" w:color="auto"/>
              <w:right w:val="outset" w:sz="6" w:space="0" w:color="auto"/>
            </w:tcBorders>
            <w:hideMark/>
          </w:tcPr>
          <w:p w14:paraId="14253831" w14:textId="77777777" w:rsidR="00E5323B"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Atbildīgā institūcija</w:t>
            </w:r>
          </w:p>
        </w:tc>
        <w:tc>
          <w:tcPr>
            <w:tcW w:w="2874" w:type="pct"/>
            <w:gridSpan w:val="3"/>
            <w:tcBorders>
              <w:top w:val="outset" w:sz="6" w:space="0" w:color="auto"/>
              <w:left w:val="outset" w:sz="6" w:space="0" w:color="auto"/>
              <w:bottom w:val="outset" w:sz="6" w:space="0" w:color="auto"/>
              <w:right w:val="outset" w:sz="6" w:space="0" w:color="auto"/>
            </w:tcBorders>
            <w:hideMark/>
          </w:tcPr>
          <w:p w14:paraId="72E97482" w14:textId="77777777" w:rsidR="00E5323B" w:rsidRPr="008F497F" w:rsidRDefault="0017126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F497F">
              <w:rPr>
                <w:rFonts w:ascii="Times New Roman" w:eastAsia="Times New Roman" w:hAnsi="Times New Roman" w:cs="Times New Roman"/>
                <w:iCs/>
                <w:color w:val="000000" w:themeColor="text1"/>
                <w:sz w:val="24"/>
                <w:szCs w:val="24"/>
                <w:lang w:eastAsia="lv-LV"/>
              </w:rPr>
              <w:t>Veselības ministrija</w:t>
            </w:r>
          </w:p>
        </w:tc>
      </w:tr>
      <w:tr w:rsidR="00E5323B" w:rsidRPr="008F497F" w14:paraId="332EEA6E" w14:textId="77777777" w:rsidTr="000547C8">
        <w:trPr>
          <w:tblCellSpacing w:w="15" w:type="dxa"/>
        </w:trPr>
        <w:tc>
          <w:tcPr>
            <w:tcW w:w="350" w:type="pct"/>
            <w:gridSpan w:val="4"/>
            <w:tcBorders>
              <w:top w:val="outset" w:sz="6" w:space="0" w:color="auto"/>
              <w:left w:val="outset" w:sz="6" w:space="0" w:color="auto"/>
              <w:bottom w:val="outset" w:sz="6" w:space="0" w:color="auto"/>
              <w:right w:val="outset" w:sz="6" w:space="0" w:color="auto"/>
            </w:tcBorders>
            <w:hideMark/>
          </w:tcPr>
          <w:p w14:paraId="659B0D78" w14:textId="77777777" w:rsidR="00655F2C"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3.</w:t>
            </w:r>
          </w:p>
        </w:tc>
        <w:tc>
          <w:tcPr>
            <w:tcW w:w="1711" w:type="pct"/>
            <w:gridSpan w:val="7"/>
            <w:tcBorders>
              <w:top w:val="outset" w:sz="6" w:space="0" w:color="auto"/>
              <w:left w:val="outset" w:sz="6" w:space="0" w:color="auto"/>
              <w:bottom w:val="outset" w:sz="6" w:space="0" w:color="auto"/>
              <w:right w:val="outset" w:sz="6" w:space="0" w:color="auto"/>
            </w:tcBorders>
            <w:hideMark/>
          </w:tcPr>
          <w:p w14:paraId="0860B2A1" w14:textId="77777777" w:rsidR="00E5323B"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Cita informācija</w:t>
            </w:r>
          </w:p>
        </w:tc>
        <w:tc>
          <w:tcPr>
            <w:tcW w:w="2874" w:type="pct"/>
            <w:gridSpan w:val="3"/>
            <w:tcBorders>
              <w:top w:val="outset" w:sz="6" w:space="0" w:color="auto"/>
              <w:left w:val="outset" w:sz="6" w:space="0" w:color="auto"/>
              <w:bottom w:val="outset" w:sz="6" w:space="0" w:color="auto"/>
              <w:right w:val="outset" w:sz="6" w:space="0" w:color="auto"/>
            </w:tcBorders>
            <w:hideMark/>
          </w:tcPr>
          <w:p w14:paraId="00B17700" w14:textId="77777777" w:rsidR="00E5323B" w:rsidRPr="008F497F" w:rsidRDefault="0017126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F497F">
              <w:rPr>
                <w:rFonts w:ascii="Times New Roman" w:eastAsia="Times New Roman" w:hAnsi="Times New Roman" w:cs="Times New Roman"/>
                <w:iCs/>
                <w:color w:val="000000" w:themeColor="text1"/>
                <w:sz w:val="24"/>
                <w:szCs w:val="24"/>
                <w:lang w:eastAsia="lv-LV"/>
              </w:rPr>
              <w:t>Nav</w:t>
            </w:r>
          </w:p>
        </w:tc>
      </w:tr>
      <w:tr w:rsidR="008F497F" w:rsidRPr="008F497F" w14:paraId="1695852F" w14:textId="77777777" w:rsidTr="00AF7E61">
        <w:trPr>
          <w:tblCellSpacing w:w="15" w:type="dxa"/>
        </w:trPr>
        <w:tc>
          <w:tcPr>
            <w:tcW w:w="0" w:type="auto"/>
            <w:gridSpan w:val="14"/>
            <w:tcBorders>
              <w:top w:val="outset" w:sz="6" w:space="0" w:color="auto"/>
              <w:left w:val="outset" w:sz="6" w:space="0" w:color="auto"/>
              <w:bottom w:val="outset" w:sz="6" w:space="0" w:color="auto"/>
              <w:right w:val="outset" w:sz="6" w:space="0" w:color="auto"/>
            </w:tcBorders>
            <w:vAlign w:val="center"/>
            <w:hideMark/>
          </w:tcPr>
          <w:p w14:paraId="37E99212" w14:textId="529F5FEF" w:rsidR="008F497F" w:rsidRPr="008F497F" w:rsidRDefault="00E5323B" w:rsidP="00AF7E61">
            <w:pPr>
              <w:spacing w:after="0" w:line="240" w:lineRule="auto"/>
              <w:rPr>
                <w:rFonts w:ascii="Times New Roman" w:eastAsia="Times New Roman" w:hAnsi="Times New Roman" w:cs="Times New Roman"/>
                <w:b/>
                <w:bCs/>
                <w:iCs/>
                <w:color w:val="414142"/>
                <w:sz w:val="24"/>
                <w:szCs w:val="24"/>
                <w:lang w:eastAsia="lv-LV"/>
              </w:rPr>
            </w:pPr>
            <w:r w:rsidRPr="008F497F">
              <w:rPr>
                <w:rFonts w:ascii="Times New Roman" w:eastAsia="Times New Roman" w:hAnsi="Times New Roman" w:cs="Times New Roman"/>
                <w:iCs/>
                <w:color w:val="414142"/>
                <w:sz w:val="24"/>
                <w:szCs w:val="24"/>
                <w:lang w:eastAsia="lv-LV"/>
              </w:rPr>
              <w:t xml:space="preserve">  </w:t>
            </w:r>
            <w:r w:rsidR="008F497F" w:rsidRPr="008F497F">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8F497F" w:rsidRPr="008F497F" w14:paraId="47A17B75" w14:textId="77777777" w:rsidTr="000547C8">
        <w:trPr>
          <w:tblCellSpacing w:w="15" w:type="dxa"/>
        </w:trPr>
        <w:tc>
          <w:tcPr>
            <w:tcW w:w="308" w:type="pct"/>
            <w:gridSpan w:val="3"/>
            <w:tcBorders>
              <w:top w:val="outset" w:sz="6" w:space="0" w:color="auto"/>
              <w:left w:val="outset" w:sz="6" w:space="0" w:color="auto"/>
              <w:bottom w:val="outset" w:sz="6" w:space="0" w:color="auto"/>
              <w:right w:val="outset" w:sz="6" w:space="0" w:color="auto"/>
            </w:tcBorders>
            <w:hideMark/>
          </w:tcPr>
          <w:p w14:paraId="0123268F" w14:textId="77777777" w:rsidR="008F497F" w:rsidRPr="008F497F" w:rsidRDefault="008F497F" w:rsidP="00AF7E61">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lastRenderedPageBreak/>
              <w:t>1.</w:t>
            </w:r>
          </w:p>
        </w:tc>
        <w:tc>
          <w:tcPr>
            <w:tcW w:w="1712" w:type="pct"/>
            <w:gridSpan w:val="7"/>
            <w:tcBorders>
              <w:top w:val="outset" w:sz="6" w:space="0" w:color="auto"/>
              <w:left w:val="outset" w:sz="6" w:space="0" w:color="auto"/>
              <w:bottom w:val="outset" w:sz="6" w:space="0" w:color="auto"/>
              <w:right w:val="outset" w:sz="6" w:space="0" w:color="auto"/>
            </w:tcBorders>
            <w:hideMark/>
          </w:tcPr>
          <w:p w14:paraId="3C8ADE31" w14:textId="77777777" w:rsidR="008F497F" w:rsidRPr="008F497F" w:rsidRDefault="008F497F" w:rsidP="00AF7E61">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Saistības pret Eiropas Savienību</w:t>
            </w:r>
          </w:p>
        </w:tc>
        <w:tc>
          <w:tcPr>
            <w:tcW w:w="2914" w:type="pct"/>
            <w:gridSpan w:val="4"/>
            <w:tcBorders>
              <w:top w:val="outset" w:sz="6" w:space="0" w:color="auto"/>
              <w:left w:val="outset" w:sz="6" w:space="0" w:color="auto"/>
              <w:bottom w:val="outset" w:sz="6" w:space="0" w:color="auto"/>
              <w:right w:val="outset" w:sz="6" w:space="0" w:color="auto"/>
            </w:tcBorders>
            <w:hideMark/>
          </w:tcPr>
          <w:p w14:paraId="367AD804" w14:textId="77777777" w:rsidR="00BB2AF2" w:rsidRDefault="00BB2AF2" w:rsidP="00BB2AF2">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Ar projektu tiek ieviest</w:t>
            </w:r>
            <w:r w:rsidR="00A9195E">
              <w:rPr>
                <w:rFonts w:ascii="Times New Roman" w:eastAsia="Times New Roman" w:hAnsi="Times New Roman" w:cs="Times New Roman"/>
                <w:color w:val="000000" w:themeColor="text1"/>
                <w:sz w:val="24"/>
                <w:szCs w:val="24"/>
                <w:lang w:eastAsia="lv-LV"/>
              </w:rPr>
              <w:t>i</w:t>
            </w:r>
            <w:r>
              <w:rPr>
                <w:rFonts w:ascii="Times New Roman" w:eastAsia="Times New Roman" w:hAnsi="Times New Roman" w:cs="Times New Roman"/>
                <w:color w:val="000000" w:themeColor="text1"/>
                <w:sz w:val="24"/>
                <w:szCs w:val="24"/>
                <w:lang w:eastAsia="lv-LV"/>
              </w:rPr>
              <w:t xml:space="preserve"> šādi</w:t>
            </w:r>
            <w:r w:rsidR="00A9195E">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ES tiesību akti:</w:t>
            </w:r>
          </w:p>
          <w:p w14:paraId="21BDEB12" w14:textId="77777777" w:rsidR="00A9195E" w:rsidRDefault="005C2DB2" w:rsidP="00BB2AF2">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w:t>
            </w:r>
            <w:r w:rsidR="00D90885">
              <w:rPr>
                <w:rFonts w:ascii="Times New Roman" w:eastAsia="Times New Roman" w:hAnsi="Times New Roman" w:cs="Times New Roman"/>
                <w:iCs/>
                <w:color w:val="000000" w:themeColor="text1"/>
                <w:sz w:val="24"/>
                <w:szCs w:val="24"/>
                <w:lang w:eastAsia="lv-LV"/>
              </w:rPr>
              <w:t>) </w:t>
            </w:r>
            <w:r w:rsidR="00D90885" w:rsidRPr="008F497F">
              <w:rPr>
                <w:rFonts w:ascii="Times New Roman" w:eastAsia="Times New Roman" w:hAnsi="Times New Roman" w:cs="Times New Roman"/>
                <w:iCs/>
                <w:color w:val="000000" w:themeColor="text1"/>
                <w:sz w:val="24"/>
                <w:szCs w:val="24"/>
                <w:lang w:eastAsia="lv-LV"/>
              </w:rPr>
              <w:t>Komisijas 2015.gada 24.aprīļa deleģētā regula (ES) Nr.2015/1011, ar kuru papildina Eiropas Parlamenta un Padomes Regulu (EK) Nr.273/2004 par narkotisko vielu prekursoriem un Padomes Regulu (EK) Nr.111/2005, ar ko paredz noteikumus par uzraudzību attiecībā uz narkotisko vielu prekursoru tirdzniecību starp Savienību un treš</w:t>
            </w:r>
            <w:r w:rsidR="00D90885">
              <w:rPr>
                <w:rFonts w:ascii="Times New Roman" w:eastAsia="Times New Roman" w:hAnsi="Times New Roman" w:cs="Times New Roman"/>
                <w:iCs/>
                <w:color w:val="000000" w:themeColor="text1"/>
                <w:sz w:val="24"/>
                <w:szCs w:val="24"/>
                <w:lang w:eastAsia="lv-LV"/>
              </w:rPr>
              <w:t>aj</w:t>
            </w:r>
            <w:r w:rsidR="00D90885" w:rsidRPr="008F497F">
              <w:rPr>
                <w:rFonts w:ascii="Times New Roman" w:eastAsia="Times New Roman" w:hAnsi="Times New Roman" w:cs="Times New Roman"/>
                <w:iCs/>
                <w:color w:val="000000" w:themeColor="text1"/>
                <w:sz w:val="24"/>
                <w:szCs w:val="24"/>
                <w:lang w:eastAsia="lv-LV"/>
              </w:rPr>
              <w:t>ām valstīm, un ar kuru atceļ Komisijas Regulu (EK) Nr.1277/2005</w:t>
            </w:r>
            <w:r w:rsidR="00D90885">
              <w:rPr>
                <w:rFonts w:ascii="Times New Roman" w:eastAsia="Times New Roman" w:hAnsi="Times New Roman" w:cs="Times New Roman"/>
                <w:iCs/>
                <w:color w:val="000000" w:themeColor="text1"/>
                <w:sz w:val="24"/>
                <w:szCs w:val="24"/>
                <w:lang w:eastAsia="lv-LV"/>
              </w:rPr>
              <w:t>;</w:t>
            </w:r>
          </w:p>
          <w:p w14:paraId="0DEFCE4F" w14:textId="41EBC1AF" w:rsidR="00D90885" w:rsidRDefault="005C2DB2" w:rsidP="00BB2AF2">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w:t>
            </w:r>
            <w:r w:rsidR="00D90885">
              <w:rPr>
                <w:rFonts w:ascii="Times New Roman" w:eastAsia="Times New Roman" w:hAnsi="Times New Roman" w:cs="Times New Roman"/>
                <w:color w:val="000000" w:themeColor="text1"/>
                <w:sz w:val="24"/>
                <w:szCs w:val="24"/>
                <w:lang w:eastAsia="lv-LV"/>
              </w:rPr>
              <w:t>) </w:t>
            </w:r>
            <w:r w:rsidR="00D90885" w:rsidRPr="008F497F">
              <w:rPr>
                <w:rFonts w:ascii="Times New Roman" w:eastAsia="Times New Roman" w:hAnsi="Times New Roman" w:cs="Times New Roman"/>
                <w:iCs/>
                <w:color w:val="000000" w:themeColor="text1"/>
                <w:sz w:val="24"/>
                <w:szCs w:val="24"/>
                <w:lang w:eastAsia="lv-LV"/>
              </w:rPr>
              <w:t>Komisijas 2015.gada 25.jūnija deleģētā regula (ES) Nr.2015/1013, ar ko paredz noteikumus attiecībā uz Eiropas Parlamenta un Padomes Regulu (EK) Nr. 273/2004 par narkotisko vielu prekursoriem un Padomes Regulu (EK) Nr. 111/2005, ar ko paredz noteikumus par uzraudzību attiecībā uz narkotisko vielu prekursoru tirdzniecības starp Savienību un treš</w:t>
            </w:r>
            <w:r w:rsidR="00D90885">
              <w:rPr>
                <w:rFonts w:ascii="Times New Roman" w:eastAsia="Times New Roman" w:hAnsi="Times New Roman" w:cs="Times New Roman"/>
                <w:iCs/>
                <w:color w:val="000000" w:themeColor="text1"/>
                <w:sz w:val="24"/>
                <w:szCs w:val="24"/>
                <w:lang w:eastAsia="lv-LV"/>
              </w:rPr>
              <w:t>aj</w:t>
            </w:r>
            <w:r w:rsidR="00D90885" w:rsidRPr="008F497F">
              <w:rPr>
                <w:rFonts w:ascii="Times New Roman" w:eastAsia="Times New Roman" w:hAnsi="Times New Roman" w:cs="Times New Roman"/>
                <w:iCs/>
                <w:color w:val="000000" w:themeColor="text1"/>
                <w:sz w:val="24"/>
                <w:szCs w:val="24"/>
                <w:lang w:eastAsia="lv-LV"/>
              </w:rPr>
              <w:t>ām valstīm</w:t>
            </w:r>
            <w:r w:rsidR="00D90885">
              <w:rPr>
                <w:rFonts w:ascii="Times New Roman" w:eastAsia="Times New Roman" w:hAnsi="Times New Roman" w:cs="Times New Roman"/>
                <w:iCs/>
                <w:color w:val="000000" w:themeColor="text1"/>
                <w:sz w:val="24"/>
                <w:szCs w:val="24"/>
                <w:lang w:eastAsia="lv-LV"/>
              </w:rPr>
              <w:t>.</w:t>
            </w:r>
          </w:p>
          <w:p w14:paraId="0C721C56" w14:textId="77777777" w:rsidR="00CC6908" w:rsidRDefault="00CC6908" w:rsidP="00BB2AF2">
            <w:pPr>
              <w:spacing w:after="0" w:line="240" w:lineRule="auto"/>
              <w:jc w:val="both"/>
              <w:rPr>
                <w:rFonts w:ascii="Times New Roman" w:eastAsia="Times New Roman" w:hAnsi="Times New Roman" w:cs="Times New Roman"/>
                <w:color w:val="000000" w:themeColor="text1"/>
                <w:sz w:val="24"/>
                <w:szCs w:val="24"/>
                <w:lang w:eastAsia="lv-LV"/>
              </w:rPr>
            </w:pPr>
          </w:p>
          <w:p w14:paraId="43CA6C17" w14:textId="77777777" w:rsidR="008F497F" w:rsidRPr="00BB2AF2" w:rsidRDefault="008F497F" w:rsidP="00AF7E61">
            <w:pPr>
              <w:spacing w:after="0" w:line="240" w:lineRule="auto"/>
              <w:rPr>
                <w:rFonts w:ascii="Times New Roman" w:eastAsia="Times New Roman" w:hAnsi="Times New Roman" w:cs="Times New Roman"/>
                <w:iCs/>
                <w:sz w:val="24"/>
                <w:szCs w:val="24"/>
                <w:lang w:eastAsia="lv-LV"/>
              </w:rPr>
            </w:pPr>
          </w:p>
        </w:tc>
      </w:tr>
      <w:tr w:rsidR="008F497F" w:rsidRPr="008F497F" w14:paraId="017198CB" w14:textId="77777777" w:rsidTr="000547C8">
        <w:trPr>
          <w:tblCellSpacing w:w="15" w:type="dxa"/>
        </w:trPr>
        <w:tc>
          <w:tcPr>
            <w:tcW w:w="308" w:type="pct"/>
            <w:gridSpan w:val="3"/>
            <w:tcBorders>
              <w:top w:val="outset" w:sz="6" w:space="0" w:color="auto"/>
              <w:left w:val="outset" w:sz="6" w:space="0" w:color="auto"/>
              <w:bottom w:val="outset" w:sz="6" w:space="0" w:color="auto"/>
              <w:right w:val="outset" w:sz="6" w:space="0" w:color="auto"/>
            </w:tcBorders>
            <w:hideMark/>
          </w:tcPr>
          <w:p w14:paraId="190A0DD3" w14:textId="77777777" w:rsidR="008F497F" w:rsidRPr="008F497F" w:rsidRDefault="008F497F" w:rsidP="00AF7E61">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2.</w:t>
            </w:r>
          </w:p>
        </w:tc>
        <w:tc>
          <w:tcPr>
            <w:tcW w:w="1712" w:type="pct"/>
            <w:gridSpan w:val="7"/>
            <w:tcBorders>
              <w:top w:val="outset" w:sz="6" w:space="0" w:color="auto"/>
              <w:left w:val="outset" w:sz="6" w:space="0" w:color="auto"/>
              <w:bottom w:val="outset" w:sz="6" w:space="0" w:color="auto"/>
              <w:right w:val="outset" w:sz="6" w:space="0" w:color="auto"/>
            </w:tcBorders>
            <w:hideMark/>
          </w:tcPr>
          <w:p w14:paraId="31C114B8" w14:textId="77777777" w:rsidR="008F497F" w:rsidRPr="008F497F" w:rsidRDefault="008F497F" w:rsidP="00AF7E61">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Citas starptautiskās saistības</w:t>
            </w:r>
          </w:p>
        </w:tc>
        <w:tc>
          <w:tcPr>
            <w:tcW w:w="2914" w:type="pct"/>
            <w:gridSpan w:val="4"/>
            <w:tcBorders>
              <w:top w:val="outset" w:sz="6" w:space="0" w:color="auto"/>
              <w:left w:val="outset" w:sz="6" w:space="0" w:color="auto"/>
              <w:bottom w:val="outset" w:sz="6" w:space="0" w:color="auto"/>
              <w:right w:val="outset" w:sz="6" w:space="0" w:color="auto"/>
            </w:tcBorders>
            <w:hideMark/>
          </w:tcPr>
          <w:p w14:paraId="5744B21B" w14:textId="77777777" w:rsidR="008F497F" w:rsidRPr="00A9195E" w:rsidRDefault="00A9195E" w:rsidP="00AF7E61">
            <w:pPr>
              <w:spacing w:after="0" w:line="240" w:lineRule="auto"/>
              <w:rPr>
                <w:rFonts w:ascii="Times New Roman" w:eastAsia="Times New Roman" w:hAnsi="Times New Roman" w:cs="Times New Roman"/>
                <w:iCs/>
                <w:sz w:val="24"/>
                <w:szCs w:val="24"/>
                <w:lang w:eastAsia="lv-LV"/>
              </w:rPr>
            </w:pPr>
            <w:r w:rsidRPr="00A9195E">
              <w:rPr>
                <w:rFonts w:ascii="Times New Roman" w:eastAsia="Times New Roman" w:hAnsi="Times New Roman" w:cs="Times New Roman"/>
                <w:iCs/>
                <w:sz w:val="24"/>
                <w:szCs w:val="24"/>
                <w:lang w:eastAsia="lv-LV"/>
              </w:rPr>
              <w:t>Nav</w:t>
            </w:r>
          </w:p>
        </w:tc>
      </w:tr>
      <w:tr w:rsidR="008F497F" w:rsidRPr="008F497F" w14:paraId="00FA8E33" w14:textId="77777777" w:rsidTr="000547C8">
        <w:trPr>
          <w:tblCellSpacing w:w="15" w:type="dxa"/>
        </w:trPr>
        <w:tc>
          <w:tcPr>
            <w:tcW w:w="308" w:type="pct"/>
            <w:gridSpan w:val="3"/>
            <w:tcBorders>
              <w:top w:val="outset" w:sz="6" w:space="0" w:color="auto"/>
              <w:left w:val="outset" w:sz="6" w:space="0" w:color="auto"/>
              <w:bottom w:val="outset" w:sz="6" w:space="0" w:color="auto"/>
              <w:right w:val="outset" w:sz="6" w:space="0" w:color="auto"/>
            </w:tcBorders>
            <w:hideMark/>
          </w:tcPr>
          <w:p w14:paraId="7DFF5532" w14:textId="77777777" w:rsidR="008F497F" w:rsidRPr="008F497F" w:rsidRDefault="008F497F" w:rsidP="00AF7E61">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3.</w:t>
            </w:r>
          </w:p>
        </w:tc>
        <w:tc>
          <w:tcPr>
            <w:tcW w:w="1712" w:type="pct"/>
            <w:gridSpan w:val="7"/>
            <w:tcBorders>
              <w:top w:val="outset" w:sz="6" w:space="0" w:color="auto"/>
              <w:left w:val="outset" w:sz="6" w:space="0" w:color="auto"/>
              <w:bottom w:val="outset" w:sz="6" w:space="0" w:color="auto"/>
              <w:right w:val="outset" w:sz="6" w:space="0" w:color="auto"/>
            </w:tcBorders>
            <w:hideMark/>
          </w:tcPr>
          <w:p w14:paraId="47745ADF" w14:textId="77777777" w:rsidR="008F497F" w:rsidRPr="008F497F" w:rsidRDefault="008F497F" w:rsidP="00AF7E61">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Cita informācija</w:t>
            </w:r>
          </w:p>
        </w:tc>
        <w:tc>
          <w:tcPr>
            <w:tcW w:w="2914" w:type="pct"/>
            <w:gridSpan w:val="4"/>
            <w:tcBorders>
              <w:top w:val="outset" w:sz="6" w:space="0" w:color="auto"/>
              <w:left w:val="outset" w:sz="6" w:space="0" w:color="auto"/>
              <w:bottom w:val="outset" w:sz="6" w:space="0" w:color="auto"/>
              <w:right w:val="outset" w:sz="6" w:space="0" w:color="auto"/>
            </w:tcBorders>
            <w:hideMark/>
          </w:tcPr>
          <w:p w14:paraId="55CEFE31" w14:textId="77777777" w:rsidR="008F497F" w:rsidRPr="00A9195E" w:rsidRDefault="008F497F" w:rsidP="00AF7E61">
            <w:pPr>
              <w:spacing w:after="0" w:line="240" w:lineRule="auto"/>
              <w:rPr>
                <w:rFonts w:ascii="Times New Roman" w:eastAsia="Times New Roman" w:hAnsi="Times New Roman" w:cs="Times New Roman"/>
                <w:iCs/>
                <w:sz w:val="24"/>
                <w:szCs w:val="24"/>
                <w:lang w:eastAsia="lv-LV"/>
              </w:rPr>
            </w:pPr>
            <w:r w:rsidRPr="00A9195E">
              <w:rPr>
                <w:rFonts w:ascii="Times New Roman" w:eastAsia="Times New Roman" w:hAnsi="Times New Roman" w:cs="Times New Roman"/>
                <w:iCs/>
                <w:sz w:val="24"/>
                <w:szCs w:val="24"/>
                <w:lang w:eastAsia="lv-LV"/>
              </w:rPr>
              <w:t>Nav</w:t>
            </w:r>
          </w:p>
        </w:tc>
      </w:tr>
      <w:tr w:rsidR="008F497F" w:rsidRPr="008F497F" w14:paraId="35700A57" w14:textId="77777777" w:rsidTr="00AF7E61">
        <w:trPr>
          <w:tblCellSpacing w:w="15" w:type="dxa"/>
        </w:trPr>
        <w:tc>
          <w:tcPr>
            <w:tcW w:w="0" w:type="auto"/>
            <w:gridSpan w:val="14"/>
            <w:tcBorders>
              <w:top w:val="outset" w:sz="6" w:space="0" w:color="auto"/>
              <w:left w:val="outset" w:sz="6" w:space="0" w:color="auto"/>
              <w:bottom w:val="outset" w:sz="6" w:space="0" w:color="auto"/>
              <w:right w:val="outset" w:sz="6" w:space="0" w:color="auto"/>
            </w:tcBorders>
            <w:vAlign w:val="center"/>
            <w:hideMark/>
          </w:tcPr>
          <w:p w14:paraId="24F711BB" w14:textId="47302678" w:rsidR="008F497F" w:rsidRPr="008F497F" w:rsidRDefault="008F497F" w:rsidP="00AF7E61">
            <w:pPr>
              <w:spacing w:after="0" w:line="240" w:lineRule="auto"/>
              <w:rPr>
                <w:rFonts w:ascii="Times New Roman" w:eastAsia="Times New Roman" w:hAnsi="Times New Roman" w:cs="Times New Roman"/>
                <w:b/>
                <w:bCs/>
                <w:iCs/>
                <w:color w:val="414142"/>
                <w:sz w:val="24"/>
                <w:szCs w:val="24"/>
                <w:lang w:eastAsia="lv-LV"/>
              </w:rPr>
            </w:pPr>
            <w:r w:rsidRPr="008F497F">
              <w:rPr>
                <w:rFonts w:ascii="Times New Roman" w:eastAsia="Times New Roman" w:hAnsi="Times New Roman" w:cs="Times New Roman"/>
                <w:iCs/>
                <w:color w:val="414142"/>
                <w:sz w:val="24"/>
                <w:szCs w:val="24"/>
                <w:lang w:eastAsia="lv-LV"/>
              </w:rPr>
              <w:t xml:space="preserve">  </w:t>
            </w:r>
            <w:r w:rsidRPr="008F497F">
              <w:rPr>
                <w:rFonts w:ascii="Times New Roman" w:eastAsia="Times New Roman" w:hAnsi="Times New Roman" w:cs="Times New Roman"/>
                <w:b/>
                <w:bCs/>
                <w:iCs/>
                <w:color w:val="414142"/>
                <w:sz w:val="24"/>
                <w:szCs w:val="24"/>
                <w:lang w:eastAsia="lv-LV"/>
              </w:rPr>
              <w:t>1.</w:t>
            </w:r>
            <w:r w:rsidR="00287694">
              <w:rPr>
                <w:rFonts w:ascii="Times New Roman" w:eastAsia="Times New Roman" w:hAnsi="Times New Roman" w:cs="Times New Roman"/>
                <w:b/>
                <w:bCs/>
                <w:iCs/>
                <w:color w:val="414142"/>
                <w:sz w:val="24"/>
                <w:szCs w:val="24"/>
                <w:lang w:eastAsia="lv-LV"/>
              </w:rPr>
              <w:t>a</w:t>
            </w:r>
            <w:r w:rsidRPr="008F497F">
              <w:rPr>
                <w:rFonts w:ascii="Times New Roman" w:eastAsia="Times New Roman" w:hAnsi="Times New Roman" w:cs="Times New Roman"/>
                <w:b/>
                <w:bCs/>
                <w:iCs/>
                <w:color w:val="414142"/>
                <w:sz w:val="24"/>
                <w:szCs w:val="24"/>
                <w:lang w:eastAsia="lv-LV"/>
              </w:rPr>
              <w:t xml:space="preserve"> tabula</w:t>
            </w:r>
            <w:r w:rsidRPr="008F497F">
              <w:rPr>
                <w:rFonts w:ascii="Times New Roman" w:eastAsia="Times New Roman" w:hAnsi="Times New Roman" w:cs="Times New Roman"/>
                <w:b/>
                <w:bCs/>
                <w:iCs/>
                <w:color w:val="414142"/>
                <w:sz w:val="24"/>
                <w:szCs w:val="24"/>
                <w:lang w:eastAsia="lv-LV"/>
              </w:rPr>
              <w:br/>
              <w:t>Tiesību akta projekta atbilstība ES tiesību aktiem</w:t>
            </w:r>
          </w:p>
        </w:tc>
      </w:tr>
      <w:tr w:rsidR="00A558B6" w:rsidRPr="008F497F" w14:paraId="0F588CF2"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hideMark/>
          </w:tcPr>
          <w:p w14:paraId="26496DCE" w14:textId="77777777" w:rsidR="008F497F" w:rsidRPr="008F497F" w:rsidRDefault="008F497F" w:rsidP="00AF7E61">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Attiecīgā ES tiesību akta datums, numurs un nosaukums</w:t>
            </w:r>
          </w:p>
        </w:tc>
        <w:tc>
          <w:tcPr>
            <w:tcW w:w="4113" w:type="pct"/>
            <w:gridSpan w:val="9"/>
            <w:tcBorders>
              <w:top w:val="outset" w:sz="6" w:space="0" w:color="auto"/>
              <w:left w:val="outset" w:sz="6" w:space="0" w:color="auto"/>
              <w:bottom w:val="outset" w:sz="6" w:space="0" w:color="auto"/>
              <w:right w:val="outset" w:sz="6" w:space="0" w:color="auto"/>
            </w:tcBorders>
            <w:hideMark/>
          </w:tcPr>
          <w:p w14:paraId="2899F768" w14:textId="77777777" w:rsidR="008F497F" w:rsidRDefault="004D559A" w:rsidP="00AF7E61">
            <w:pPr>
              <w:spacing w:after="0" w:line="240" w:lineRule="auto"/>
              <w:rPr>
                <w:rFonts w:ascii="Times New Roman" w:eastAsia="Times New Roman" w:hAnsi="Times New Roman" w:cs="Times New Roman"/>
                <w:iCs/>
                <w:color w:val="000000" w:themeColor="text1"/>
                <w:sz w:val="24"/>
                <w:szCs w:val="24"/>
                <w:lang w:eastAsia="lv-LV"/>
              </w:rPr>
            </w:pPr>
            <w:r w:rsidRPr="008F497F">
              <w:rPr>
                <w:rFonts w:ascii="Times New Roman" w:eastAsia="Times New Roman" w:hAnsi="Times New Roman" w:cs="Times New Roman"/>
                <w:iCs/>
                <w:color w:val="000000" w:themeColor="text1"/>
                <w:sz w:val="24"/>
                <w:szCs w:val="24"/>
                <w:lang w:eastAsia="lv-LV"/>
              </w:rPr>
              <w:t>Komisijas 2015.gada 24.aprīļa deleģētā regula (ES) Nr.2015/1011, ar kuru papildina Eiropas Parlamenta un Padomes Regulu (EK) Nr.273/2004 par narkotisko vielu prekursoriem un Padomes Regulu (EK) Nr.111/2005, ar ko paredz noteikumus par uzraudzību attiecībā uz narkotisko vielu prekursoru tirdzniecību starp Savienību un treš</w:t>
            </w:r>
            <w:r>
              <w:rPr>
                <w:rFonts w:ascii="Times New Roman" w:eastAsia="Times New Roman" w:hAnsi="Times New Roman" w:cs="Times New Roman"/>
                <w:iCs/>
                <w:color w:val="000000" w:themeColor="text1"/>
                <w:sz w:val="24"/>
                <w:szCs w:val="24"/>
                <w:lang w:eastAsia="lv-LV"/>
              </w:rPr>
              <w:t>aj</w:t>
            </w:r>
            <w:r w:rsidRPr="008F497F">
              <w:rPr>
                <w:rFonts w:ascii="Times New Roman" w:eastAsia="Times New Roman" w:hAnsi="Times New Roman" w:cs="Times New Roman"/>
                <w:iCs/>
                <w:color w:val="000000" w:themeColor="text1"/>
                <w:sz w:val="24"/>
                <w:szCs w:val="24"/>
                <w:lang w:eastAsia="lv-LV"/>
              </w:rPr>
              <w:t>ām valstīm, un ar kuru atceļ Komisijas Regulu (EK) Nr.1277/2005</w:t>
            </w:r>
          </w:p>
          <w:p w14:paraId="6A0650D9" w14:textId="10B5C6D8" w:rsidR="00CC6908" w:rsidRPr="008F497F" w:rsidRDefault="00CC6908" w:rsidP="00AF7E61">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7857B4" w:rsidRPr="008F497F" w14:paraId="29CA5071"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vAlign w:val="center"/>
            <w:hideMark/>
          </w:tcPr>
          <w:p w14:paraId="5323D9E8" w14:textId="77777777" w:rsidR="008F497F" w:rsidRPr="008F497F" w:rsidRDefault="008F497F" w:rsidP="00AF7E61">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A</w:t>
            </w:r>
          </w:p>
        </w:tc>
        <w:tc>
          <w:tcPr>
            <w:tcW w:w="904" w:type="pct"/>
            <w:tcBorders>
              <w:top w:val="outset" w:sz="6" w:space="0" w:color="auto"/>
              <w:left w:val="outset" w:sz="6" w:space="0" w:color="auto"/>
              <w:bottom w:val="outset" w:sz="6" w:space="0" w:color="auto"/>
              <w:right w:val="outset" w:sz="6" w:space="0" w:color="auto"/>
            </w:tcBorders>
            <w:vAlign w:val="center"/>
            <w:hideMark/>
          </w:tcPr>
          <w:p w14:paraId="216B89C0" w14:textId="77777777" w:rsidR="008F497F" w:rsidRPr="008F497F" w:rsidRDefault="008F497F" w:rsidP="00AF7E61">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B</w:t>
            </w:r>
          </w:p>
        </w:tc>
        <w:tc>
          <w:tcPr>
            <w:tcW w:w="1304" w:type="pct"/>
            <w:gridSpan w:val="7"/>
            <w:tcBorders>
              <w:top w:val="outset" w:sz="6" w:space="0" w:color="auto"/>
              <w:left w:val="outset" w:sz="6" w:space="0" w:color="auto"/>
              <w:bottom w:val="outset" w:sz="6" w:space="0" w:color="auto"/>
              <w:right w:val="outset" w:sz="6" w:space="0" w:color="auto"/>
            </w:tcBorders>
            <w:vAlign w:val="center"/>
            <w:hideMark/>
          </w:tcPr>
          <w:p w14:paraId="359056E1" w14:textId="77777777" w:rsidR="008F497F" w:rsidRPr="008F497F" w:rsidRDefault="008F497F" w:rsidP="00AF7E61">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C</w:t>
            </w:r>
          </w:p>
        </w:tc>
        <w:tc>
          <w:tcPr>
            <w:tcW w:w="1872" w:type="pct"/>
            <w:tcBorders>
              <w:top w:val="outset" w:sz="6" w:space="0" w:color="auto"/>
              <w:left w:val="outset" w:sz="6" w:space="0" w:color="auto"/>
              <w:bottom w:val="outset" w:sz="6" w:space="0" w:color="auto"/>
              <w:right w:val="outset" w:sz="6" w:space="0" w:color="auto"/>
            </w:tcBorders>
            <w:vAlign w:val="center"/>
            <w:hideMark/>
          </w:tcPr>
          <w:p w14:paraId="7D61BE31" w14:textId="77777777" w:rsidR="008F497F" w:rsidRPr="008F497F" w:rsidRDefault="008F497F" w:rsidP="00AF7E61">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D</w:t>
            </w:r>
          </w:p>
        </w:tc>
      </w:tr>
      <w:tr w:rsidR="007857B4" w:rsidRPr="008F497F" w14:paraId="2D60189B"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hideMark/>
          </w:tcPr>
          <w:p w14:paraId="517CD598" w14:textId="77777777" w:rsidR="008F497F" w:rsidRPr="008F497F" w:rsidRDefault="008F497F" w:rsidP="00AF7E61">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Attiecīgā ES tiesību akta panta numurs (uzskaitot katru tiesību akta vienību – pantu, daļu, punktu, apakšpunktu)</w:t>
            </w:r>
          </w:p>
        </w:tc>
        <w:tc>
          <w:tcPr>
            <w:tcW w:w="904" w:type="pct"/>
            <w:tcBorders>
              <w:top w:val="outset" w:sz="6" w:space="0" w:color="auto"/>
              <w:left w:val="outset" w:sz="6" w:space="0" w:color="auto"/>
              <w:bottom w:val="outset" w:sz="6" w:space="0" w:color="auto"/>
              <w:right w:val="outset" w:sz="6" w:space="0" w:color="auto"/>
            </w:tcBorders>
            <w:hideMark/>
          </w:tcPr>
          <w:p w14:paraId="3D1AFA31" w14:textId="77777777" w:rsidR="008F497F" w:rsidRPr="008F497F" w:rsidRDefault="008F497F" w:rsidP="00AF7E61">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Projekta vienība, kas pārņem vai ievieš katru šīs tabulas A ailē minēto ES tiesību akta vienību, vai tiesību akts, kur attiecīgā ES tiesību akta vienība pārņemta vai ieviesta</w:t>
            </w:r>
          </w:p>
        </w:tc>
        <w:tc>
          <w:tcPr>
            <w:tcW w:w="1304" w:type="pct"/>
            <w:gridSpan w:val="7"/>
            <w:tcBorders>
              <w:top w:val="outset" w:sz="6" w:space="0" w:color="auto"/>
              <w:left w:val="outset" w:sz="6" w:space="0" w:color="auto"/>
              <w:bottom w:val="outset" w:sz="6" w:space="0" w:color="auto"/>
              <w:right w:val="outset" w:sz="6" w:space="0" w:color="auto"/>
            </w:tcBorders>
            <w:hideMark/>
          </w:tcPr>
          <w:p w14:paraId="4EFCF8B3" w14:textId="77777777" w:rsidR="008F497F" w:rsidRPr="008F497F" w:rsidRDefault="008F497F" w:rsidP="00AF7E61">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Informācija par to, vai šīs tabulas A ailē minētās ES tiesību akta vienības tiek pārņemtas vai ieviestas pilnībā vai daļēji.</w:t>
            </w:r>
            <w:r w:rsidRPr="008F497F">
              <w:rPr>
                <w:rFonts w:ascii="Times New Roman" w:eastAsia="Times New Roman" w:hAnsi="Times New Roman" w:cs="Times New Roman"/>
                <w:iCs/>
                <w:color w:val="414142"/>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8F497F">
              <w:rPr>
                <w:rFonts w:ascii="Times New Roman" w:eastAsia="Times New Roman" w:hAnsi="Times New Roman" w:cs="Times New Roman"/>
                <w:iCs/>
                <w:color w:val="414142"/>
                <w:sz w:val="24"/>
                <w:szCs w:val="24"/>
                <w:lang w:eastAsia="lv-LV"/>
              </w:rPr>
              <w:br/>
              <w:t xml:space="preserve">Norāda institūciju, kas </w:t>
            </w:r>
            <w:r w:rsidRPr="008F497F">
              <w:rPr>
                <w:rFonts w:ascii="Times New Roman" w:eastAsia="Times New Roman" w:hAnsi="Times New Roman" w:cs="Times New Roman"/>
                <w:iCs/>
                <w:color w:val="414142"/>
                <w:sz w:val="24"/>
                <w:szCs w:val="24"/>
                <w:lang w:eastAsia="lv-LV"/>
              </w:rPr>
              <w:lastRenderedPageBreak/>
              <w:t>ir atbildīga par šo saistību izpildi pilnībā</w:t>
            </w:r>
          </w:p>
        </w:tc>
        <w:tc>
          <w:tcPr>
            <w:tcW w:w="1872" w:type="pct"/>
            <w:tcBorders>
              <w:top w:val="outset" w:sz="6" w:space="0" w:color="auto"/>
              <w:left w:val="outset" w:sz="6" w:space="0" w:color="auto"/>
              <w:bottom w:val="outset" w:sz="6" w:space="0" w:color="auto"/>
              <w:right w:val="outset" w:sz="6" w:space="0" w:color="auto"/>
            </w:tcBorders>
            <w:hideMark/>
          </w:tcPr>
          <w:p w14:paraId="59DDCF21" w14:textId="77777777" w:rsidR="008F497F" w:rsidRPr="008F497F" w:rsidRDefault="008F497F" w:rsidP="00AF7E61">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lastRenderedPageBreak/>
              <w:t>Informācija par to, vai šīs tabulas B ailē minētās projekta vienības paredz stingrākas prasības nekā šīs tabulas A ailē minētās ES tiesību akta vienības.</w:t>
            </w:r>
            <w:r w:rsidRPr="008F497F">
              <w:rPr>
                <w:rFonts w:ascii="Times New Roman" w:eastAsia="Times New Roman" w:hAnsi="Times New Roman" w:cs="Times New Roman"/>
                <w:iCs/>
                <w:color w:val="414142"/>
                <w:sz w:val="24"/>
                <w:szCs w:val="24"/>
                <w:lang w:eastAsia="lv-LV"/>
              </w:rPr>
              <w:br/>
              <w:t>Ja projekts satur stingrākas prasības nekā attiecīgais ES tiesību akts, norāda pamatojumu un samērīgumu.</w:t>
            </w:r>
            <w:r w:rsidRPr="008F497F">
              <w:rPr>
                <w:rFonts w:ascii="Times New Roman" w:eastAsia="Times New Roman" w:hAnsi="Times New Roman" w:cs="Times New Roman"/>
                <w:iCs/>
                <w:color w:val="414142"/>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7857B4" w:rsidRPr="008F497F" w14:paraId="2FE07716"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hideMark/>
          </w:tcPr>
          <w:p w14:paraId="5A9CB033" w14:textId="77777777" w:rsidR="004D559A" w:rsidRPr="008F497F" w:rsidRDefault="004D559A"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1.pants</w:t>
            </w:r>
          </w:p>
        </w:tc>
        <w:tc>
          <w:tcPr>
            <w:tcW w:w="904" w:type="pct"/>
            <w:tcBorders>
              <w:top w:val="outset" w:sz="6" w:space="0" w:color="auto"/>
              <w:left w:val="outset" w:sz="6" w:space="0" w:color="auto"/>
              <w:bottom w:val="outset" w:sz="6" w:space="0" w:color="auto"/>
              <w:right w:val="outset" w:sz="6" w:space="0" w:color="auto"/>
            </w:tcBorders>
            <w:hideMark/>
          </w:tcPr>
          <w:p w14:paraId="48206FB7" w14:textId="77777777" w:rsidR="008F497F" w:rsidRPr="008F497F" w:rsidRDefault="004D559A"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nosaka regulēšanas priekšmetu</w:t>
            </w:r>
          </w:p>
        </w:tc>
        <w:tc>
          <w:tcPr>
            <w:tcW w:w="1304" w:type="pct"/>
            <w:gridSpan w:val="7"/>
            <w:tcBorders>
              <w:top w:val="outset" w:sz="6" w:space="0" w:color="auto"/>
              <w:left w:val="outset" w:sz="6" w:space="0" w:color="auto"/>
              <w:bottom w:val="outset" w:sz="6" w:space="0" w:color="auto"/>
              <w:right w:val="outset" w:sz="6" w:space="0" w:color="auto"/>
            </w:tcBorders>
            <w:hideMark/>
          </w:tcPr>
          <w:p w14:paraId="1F6A9B7F" w14:textId="77777777" w:rsidR="008F497F" w:rsidRPr="008F497F" w:rsidRDefault="004D559A"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hideMark/>
          </w:tcPr>
          <w:p w14:paraId="57DC0CB6" w14:textId="77777777" w:rsidR="008F497F" w:rsidRPr="008F497F" w:rsidRDefault="004D559A"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1EC885DA"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51456015" w14:textId="77777777" w:rsidR="004D559A" w:rsidRDefault="004D559A"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2.pants</w:t>
            </w:r>
          </w:p>
        </w:tc>
        <w:tc>
          <w:tcPr>
            <w:tcW w:w="904" w:type="pct"/>
            <w:tcBorders>
              <w:top w:val="outset" w:sz="6" w:space="0" w:color="auto"/>
              <w:left w:val="outset" w:sz="6" w:space="0" w:color="auto"/>
              <w:bottom w:val="outset" w:sz="6" w:space="0" w:color="auto"/>
              <w:right w:val="outset" w:sz="6" w:space="0" w:color="auto"/>
            </w:tcBorders>
          </w:tcPr>
          <w:p w14:paraId="6D83DE57" w14:textId="77777777" w:rsidR="004D559A" w:rsidRPr="008F497F" w:rsidRDefault="00221182"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76F5B234" w14:textId="77777777" w:rsidR="004D559A" w:rsidRPr="008F497F" w:rsidRDefault="00221182"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4AC265CF" w14:textId="77777777" w:rsidR="004D559A" w:rsidRPr="008F497F" w:rsidRDefault="00221182"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42742F" w:rsidRPr="008F497F" w14:paraId="27B2C599" w14:textId="77777777" w:rsidTr="0042742F">
        <w:trPr>
          <w:tblCellSpacing w:w="15" w:type="dxa"/>
        </w:trPr>
        <w:tc>
          <w:tcPr>
            <w:tcW w:w="4967" w:type="pct"/>
            <w:gridSpan w:val="14"/>
            <w:tcBorders>
              <w:top w:val="outset" w:sz="6" w:space="0" w:color="auto"/>
              <w:left w:val="outset" w:sz="6" w:space="0" w:color="auto"/>
              <w:bottom w:val="outset" w:sz="6" w:space="0" w:color="auto"/>
              <w:right w:val="outset" w:sz="6" w:space="0" w:color="A0A0A0"/>
            </w:tcBorders>
          </w:tcPr>
          <w:p w14:paraId="0DC3B2E5" w14:textId="77777777" w:rsidR="0042742F" w:rsidRPr="008F497F" w:rsidRDefault="0042742F"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3.pants</w:t>
            </w:r>
          </w:p>
        </w:tc>
      </w:tr>
      <w:tr w:rsidR="007857B4" w:rsidRPr="008F497F" w14:paraId="038336B0"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10534039" w14:textId="77777777" w:rsidR="004D559A" w:rsidRDefault="00DB49DE"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904" w:type="pct"/>
            <w:tcBorders>
              <w:top w:val="outset" w:sz="6" w:space="0" w:color="auto"/>
              <w:left w:val="outset" w:sz="6" w:space="0" w:color="auto"/>
              <w:bottom w:val="outset" w:sz="6" w:space="0" w:color="auto"/>
              <w:right w:val="outset" w:sz="6" w:space="0" w:color="auto"/>
            </w:tcBorders>
          </w:tcPr>
          <w:p w14:paraId="64D382AD" w14:textId="77777777" w:rsidR="004D559A" w:rsidRPr="008F497F" w:rsidRDefault="00DB49DE"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21491AFD" w14:textId="77777777" w:rsidR="004D559A" w:rsidRPr="008F497F" w:rsidRDefault="00DB49DE"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0C9D2438" w14:textId="77777777" w:rsidR="004D559A" w:rsidRPr="008F497F" w:rsidRDefault="00DB49DE"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0EA1A3DB"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5BD5B635" w14:textId="77777777" w:rsidR="004D559A" w:rsidRDefault="00DB49DE"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w:t>
            </w:r>
            <w:r w:rsidR="00167458">
              <w:rPr>
                <w:rFonts w:ascii="Times New Roman" w:eastAsia="Times New Roman" w:hAnsi="Times New Roman" w:cs="Times New Roman"/>
                <w:iCs/>
                <w:color w:val="414142"/>
                <w:sz w:val="24"/>
                <w:szCs w:val="24"/>
                <w:lang w:eastAsia="lv-LV"/>
              </w:rPr>
              <w:t>punkta</w:t>
            </w:r>
            <w:r>
              <w:rPr>
                <w:rFonts w:ascii="Times New Roman" w:eastAsia="Times New Roman" w:hAnsi="Times New Roman" w:cs="Times New Roman"/>
                <w:iCs/>
                <w:color w:val="414142"/>
                <w:sz w:val="24"/>
                <w:szCs w:val="24"/>
                <w:lang w:eastAsia="lv-LV"/>
              </w:rPr>
              <w:t xml:space="preserve"> a) apakšpunkts</w:t>
            </w:r>
          </w:p>
        </w:tc>
        <w:tc>
          <w:tcPr>
            <w:tcW w:w="904" w:type="pct"/>
            <w:tcBorders>
              <w:top w:val="outset" w:sz="6" w:space="0" w:color="auto"/>
              <w:left w:val="outset" w:sz="6" w:space="0" w:color="auto"/>
              <w:bottom w:val="outset" w:sz="6" w:space="0" w:color="auto"/>
              <w:right w:val="outset" w:sz="6" w:space="0" w:color="auto"/>
            </w:tcBorders>
          </w:tcPr>
          <w:p w14:paraId="30BBF8E7" w14:textId="77777777" w:rsidR="004D559A" w:rsidRPr="008F497F" w:rsidRDefault="00DB49DE"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3648941B" w14:textId="77777777" w:rsidR="004D559A" w:rsidRPr="008F497F" w:rsidRDefault="00DB49DE"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19668FA6" w14:textId="77777777" w:rsidR="004D559A" w:rsidRPr="008F497F" w:rsidRDefault="00DB49DE"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26CE03DD"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6A17C626" w14:textId="77777777" w:rsidR="004D559A" w:rsidRDefault="00DB49DE"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w:t>
            </w:r>
            <w:r w:rsidR="00167458">
              <w:rPr>
                <w:rFonts w:ascii="Times New Roman" w:eastAsia="Times New Roman" w:hAnsi="Times New Roman" w:cs="Times New Roman"/>
                <w:iCs/>
                <w:color w:val="414142"/>
                <w:sz w:val="24"/>
                <w:szCs w:val="24"/>
                <w:lang w:eastAsia="lv-LV"/>
              </w:rPr>
              <w:t>punkta</w:t>
            </w:r>
            <w:r>
              <w:rPr>
                <w:rFonts w:ascii="Times New Roman" w:eastAsia="Times New Roman" w:hAnsi="Times New Roman" w:cs="Times New Roman"/>
                <w:iCs/>
                <w:color w:val="414142"/>
                <w:sz w:val="24"/>
                <w:szCs w:val="24"/>
                <w:lang w:eastAsia="lv-LV"/>
              </w:rPr>
              <w:t xml:space="preserve"> b) apakšpunkts</w:t>
            </w:r>
          </w:p>
        </w:tc>
        <w:tc>
          <w:tcPr>
            <w:tcW w:w="904" w:type="pct"/>
            <w:tcBorders>
              <w:top w:val="outset" w:sz="6" w:space="0" w:color="auto"/>
              <w:left w:val="outset" w:sz="6" w:space="0" w:color="auto"/>
              <w:bottom w:val="outset" w:sz="6" w:space="0" w:color="auto"/>
              <w:right w:val="outset" w:sz="6" w:space="0" w:color="auto"/>
            </w:tcBorders>
          </w:tcPr>
          <w:p w14:paraId="2D19857C" w14:textId="77777777" w:rsidR="004D559A" w:rsidRPr="008F497F" w:rsidRDefault="00167458"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1304" w:type="pct"/>
            <w:gridSpan w:val="7"/>
            <w:tcBorders>
              <w:top w:val="outset" w:sz="6" w:space="0" w:color="auto"/>
              <w:left w:val="outset" w:sz="6" w:space="0" w:color="auto"/>
              <w:bottom w:val="outset" w:sz="6" w:space="0" w:color="auto"/>
              <w:right w:val="outset" w:sz="6" w:space="0" w:color="auto"/>
            </w:tcBorders>
          </w:tcPr>
          <w:p w14:paraId="4722AC2E" w14:textId="77777777" w:rsidR="004D559A" w:rsidRPr="008F497F" w:rsidRDefault="00167458"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872" w:type="pct"/>
            <w:tcBorders>
              <w:top w:val="outset" w:sz="6" w:space="0" w:color="auto"/>
              <w:left w:val="outset" w:sz="6" w:space="0" w:color="auto"/>
              <w:bottom w:val="outset" w:sz="6" w:space="0" w:color="auto"/>
              <w:right w:val="outset" w:sz="6" w:space="0" w:color="auto"/>
            </w:tcBorders>
          </w:tcPr>
          <w:p w14:paraId="18343B27" w14:textId="77777777" w:rsidR="004D559A" w:rsidRPr="008F497F" w:rsidRDefault="00167458"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18665167"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4876EDB5" w14:textId="77777777" w:rsidR="004D559A" w:rsidRDefault="00131B47"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904" w:type="pct"/>
            <w:tcBorders>
              <w:top w:val="outset" w:sz="6" w:space="0" w:color="auto"/>
              <w:left w:val="outset" w:sz="6" w:space="0" w:color="auto"/>
              <w:bottom w:val="outset" w:sz="6" w:space="0" w:color="auto"/>
              <w:right w:val="outset" w:sz="6" w:space="0" w:color="auto"/>
            </w:tcBorders>
          </w:tcPr>
          <w:p w14:paraId="158A09FB" w14:textId="77777777" w:rsidR="004D559A" w:rsidRPr="008F497F" w:rsidRDefault="00131B47"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6BAD91C3" w14:textId="77777777" w:rsidR="004D559A" w:rsidRPr="008F497F" w:rsidRDefault="00F95E13"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7CBDCCCA" w14:textId="77777777" w:rsidR="004D559A" w:rsidRPr="008F497F" w:rsidRDefault="00131B47"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7E1AD872"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284DA52D" w14:textId="77777777" w:rsidR="004D559A" w:rsidRDefault="00F95E13"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4.punkts</w:t>
            </w:r>
          </w:p>
        </w:tc>
        <w:tc>
          <w:tcPr>
            <w:tcW w:w="904" w:type="pct"/>
            <w:tcBorders>
              <w:top w:val="outset" w:sz="6" w:space="0" w:color="auto"/>
              <w:left w:val="outset" w:sz="6" w:space="0" w:color="auto"/>
              <w:bottom w:val="outset" w:sz="6" w:space="0" w:color="auto"/>
              <w:right w:val="outset" w:sz="6" w:space="0" w:color="auto"/>
            </w:tcBorders>
          </w:tcPr>
          <w:p w14:paraId="45C67122" w14:textId="77777777" w:rsidR="004D559A" w:rsidRPr="008F497F" w:rsidRDefault="00F95E13"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68EF119F" w14:textId="77777777" w:rsidR="004D559A" w:rsidRPr="008F497F" w:rsidRDefault="00F95E13"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3683ECA9" w14:textId="77777777" w:rsidR="004D559A" w:rsidRPr="008F497F" w:rsidRDefault="00F95E13"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4F7406FD"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66EE9170" w14:textId="77777777" w:rsidR="004D559A" w:rsidRDefault="00DA4327"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5.punkts</w:t>
            </w:r>
          </w:p>
        </w:tc>
        <w:tc>
          <w:tcPr>
            <w:tcW w:w="904" w:type="pct"/>
            <w:tcBorders>
              <w:top w:val="outset" w:sz="6" w:space="0" w:color="auto"/>
              <w:left w:val="outset" w:sz="6" w:space="0" w:color="auto"/>
              <w:bottom w:val="outset" w:sz="6" w:space="0" w:color="auto"/>
              <w:right w:val="outset" w:sz="6" w:space="0" w:color="auto"/>
            </w:tcBorders>
          </w:tcPr>
          <w:p w14:paraId="694E519F" w14:textId="77777777" w:rsidR="004D559A" w:rsidRPr="008F497F" w:rsidRDefault="00DA4327"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w:t>
            </w:r>
            <w:r w:rsidR="00B95B58">
              <w:rPr>
                <w:rFonts w:ascii="Times New Roman" w:eastAsia="Times New Roman" w:hAnsi="Times New Roman" w:cs="Times New Roman"/>
                <w:iCs/>
                <w:color w:val="414142"/>
                <w:sz w:val="24"/>
                <w:szCs w:val="24"/>
                <w:lang w:eastAsia="lv-LV"/>
              </w:rPr>
              <w:t>a pirmais un otrais teikums</w:t>
            </w:r>
          </w:p>
        </w:tc>
        <w:tc>
          <w:tcPr>
            <w:tcW w:w="1304" w:type="pct"/>
            <w:gridSpan w:val="7"/>
            <w:tcBorders>
              <w:top w:val="outset" w:sz="6" w:space="0" w:color="auto"/>
              <w:left w:val="outset" w:sz="6" w:space="0" w:color="auto"/>
              <w:bottom w:val="outset" w:sz="6" w:space="0" w:color="auto"/>
              <w:right w:val="outset" w:sz="6" w:space="0" w:color="auto"/>
            </w:tcBorders>
          </w:tcPr>
          <w:p w14:paraId="7C9E3C17" w14:textId="77777777" w:rsidR="004D559A" w:rsidRPr="008F497F" w:rsidRDefault="00DA4327"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872" w:type="pct"/>
            <w:tcBorders>
              <w:top w:val="outset" w:sz="6" w:space="0" w:color="auto"/>
              <w:left w:val="outset" w:sz="6" w:space="0" w:color="auto"/>
              <w:bottom w:val="outset" w:sz="6" w:space="0" w:color="auto"/>
              <w:right w:val="outset" w:sz="6" w:space="0" w:color="auto"/>
            </w:tcBorders>
          </w:tcPr>
          <w:p w14:paraId="5D743DCF" w14:textId="77777777" w:rsidR="004D559A" w:rsidRPr="008F497F" w:rsidRDefault="00DA4327"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2CE315A6"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313CFB1E" w14:textId="77777777" w:rsidR="00131B47" w:rsidRDefault="00DA4327"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6.punkts</w:t>
            </w:r>
          </w:p>
        </w:tc>
        <w:tc>
          <w:tcPr>
            <w:tcW w:w="904" w:type="pct"/>
            <w:tcBorders>
              <w:top w:val="outset" w:sz="6" w:space="0" w:color="auto"/>
              <w:left w:val="outset" w:sz="6" w:space="0" w:color="auto"/>
              <w:bottom w:val="outset" w:sz="6" w:space="0" w:color="auto"/>
              <w:right w:val="outset" w:sz="6" w:space="0" w:color="auto"/>
            </w:tcBorders>
          </w:tcPr>
          <w:p w14:paraId="0B7A7442" w14:textId="77777777" w:rsidR="00131B47" w:rsidRPr="008F497F" w:rsidRDefault="00DA4327"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73CAD0F4" w14:textId="77777777" w:rsidR="00131B47" w:rsidRPr="008F497F" w:rsidRDefault="00DA4327"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46BF1DB2" w14:textId="77777777" w:rsidR="00131B47" w:rsidRPr="008F497F" w:rsidRDefault="00DA4327"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266379D6"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1EC24EEF" w14:textId="77777777" w:rsidR="00131B47" w:rsidRDefault="00DA4327"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7.punkts</w:t>
            </w:r>
          </w:p>
        </w:tc>
        <w:tc>
          <w:tcPr>
            <w:tcW w:w="904" w:type="pct"/>
            <w:tcBorders>
              <w:top w:val="outset" w:sz="6" w:space="0" w:color="auto"/>
              <w:left w:val="outset" w:sz="6" w:space="0" w:color="auto"/>
              <w:bottom w:val="outset" w:sz="6" w:space="0" w:color="auto"/>
              <w:right w:val="outset" w:sz="6" w:space="0" w:color="auto"/>
            </w:tcBorders>
          </w:tcPr>
          <w:p w14:paraId="1F5AE132" w14:textId="26E9BCF3" w:rsidR="00131B47" w:rsidRPr="008F497F" w:rsidRDefault="00A03104"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6.3</w:t>
            </w:r>
            <w:r w:rsidR="002C4F41">
              <w:rPr>
                <w:rFonts w:ascii="Times New Roman" w:eastAsia="Times New Roman" w:hAnsi="Times New Roman" w:cs="Times New Roman"/>
                <w:iCs/>
                <w:color w:val="414142"/>
                <w:sz w:val="24"/>
                <w:szCs w:val="24"/>
                <w:lang w:eastAsia="lv-LV"/>
              </w:rPr>
              <w:t>.apakšpunkts</w:t>
            </w:r>
            <w:r>
              <w:rPr>
                <w:rFonts w:ascii="Times New Roman" w:eastAsia="Times New Roman" w:hAnsi="Times New Roman" w:cs="Times New Roman"/>
                <w:iCs/>
                <w:color w:val="414142"/>
                <w:sz w:val="24"/>
                <w:szCs w:val="24"/>
                <w:lang w:eastAsia="lv-LV"/>
              </w:rPr>
              <w:t xml:space="preserve"> un 7.punkts</w:t>
            </w:r>
          </w:p>
        </w:tc>
        <w:tc>
          <w:tcPr>
            <w:tcW w:w="1304" w:type="pct"/>
            <w:gridSpan w:val="7"/>
            <w:tcBorders>
              <w:top w:val="outset" w:sz="6" w:space="0" w:color="auto"/>
              <w:left w:val="outset" w:sz="6" w:space="0" w:color="auto"/>
              <w:bottom w:val="outset" w:sz="6" w:space="0" w:color="auto"/>
              <w:right w:val="outset" w:sz="6" w:space="0" w:color="auto"/>
            </w:tcBorders>
          </w:tcPr>
          <w:p w14:paraId="7C7E01BE" w14:textId="77777777" w:rsidR="00131B47" w:rsidRPr="008F497F" w:rsidRDefault="002C4F41"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872" w:type="pct"/>
            <w:tcBorders>
              <w:top w:val="outset" w:sz="6" w:space="0" w:color="auto"/>
              <w:left w:val="outset" w:sz="6" w:space="0" w:color="auto"/>
              <w:bottom w:val="outset" w:sz="6" w:space="0" w:color="auto"/>
              <w:right w:val="outset" w:sz="6" w:space="0" w:color="auto"/>
            </w:tcBorders>
          </w:tcPr>
          <w:p w14:paraId="0915DA47" w14:textId="77777777" w:rsidR="00131B47" w:rsidRPr="008F497F" w:rsidRDefault="002C4F41"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0FF29EE7"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5145C861" w14:textId="77777777" w:rsidR="00131B47" w:rsidRDefault="00E13911"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8.punkts</w:t>
            </w:r>
          </w:p>
        </w:tc>
        <w:tc>
          <w:tcPr>
            <w:tcW w:w="904" w:type="pct"/>
            <w:tcBorders>
              <w:top w:val="outset" w:sz="6" w:space="0" w:color="auto"/>
              <w:left w:val="outset" w:sz="6" w:space="0" w:color="auto"/>
              <w:bottom w:val="outset" w:sz="6" w:space="0" w:color="auto"/>
              <w:right w:val="outset" w:sz="6" w:space="0" w:color="auto"/>
            </w:tcBorders>
          </w:tcPr>
          <w:p w14:paraId="7D250F92" w14:textId="77777777" w:rsidR="00131B47" w:rsidRPr="008F497F" w:rsidRDefault="0043679B"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11D3482E" w14:textId="77777777" w:rsidR="00131B47" w:rsidRPr="008F497F" w:rsidRDefault="0043679B"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7184D52A" w14:textId="77777777" w:rsidR="00131B47" w:rsidRPr="008F497F" w:rsidRDefault="0043679B"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62D4A6EB"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69C6B418" w14:textId="77777777" w:rsidR="00E13911" w:rsidRDefault="0043679B"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9.punkts</w:t>
            </w:r>
          </w:p>
        </w:tc>
        <w:tc>
          <w:tcPr>
            <w:tcW w:w="904" w:type="pct"/>
            <w:tcBorders>
              <w:top w:val="outset" w:sz="6" w:space="0" w:color="auto"/>
              <w:left w:val="outset" w:sz="6" w:space="0" w:color="auto"/>
              <w:bottom w:val="outset" w:sz="6" w:space="0" w:color="auto"/>
              <w:right w:val="outset" w:sz="6" w:space="0" w:color="auto"/>
            </w:tcBorders>
          </w:tcPr>
          <w:p w14:paraId="06F7F50F" w14:textId="77777777" w:rsidR="00E13911" w:rsidRPr="008F497F" w:rsidRDefault="0043679B"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7180E8FC" w14:textId="77777777" w:rsidR="00E13911" w:rsidRPr="008F497F" w:rsidRDefault="0043679B"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7976EFA6" w14:textId="77777777" w:rsidR="00E13911" w:rsidRPr="008F497F" w:rsidRDefault="0043679B"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17FA8B72"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131469B4" w14:textId="77777777" w:rsidR="00E13911" w:rsidRDefault="0043679B"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10.punkts</w:t>
            </w:r>
          </w:p>
        </w:tc>
        <w:tc>
          <w:tcPr>
            <w:tcW w:w="904" w:type="pct"/>
            <w:tcBorders>
              <w:top w:val="outset" w:sz="6" w:space="0" w:color="auto"/>
              <w:left w:val="outset" w:sz="6" w:space="0" w:color="auto"/>
              <w:bottom w:val="outset" w:sz="6" w:space="0" w:color="auto"/>
              <w:right w:val="outset" w:sz="6" w:space="0" w:color="auto"/>
            </w:tcBorders>
          </w:tcPr>
          <w:p w14:paraId="1127DA30" w14:textId="77777777" w:rsidR="00E13911" w:rsidRPr="008F497F" w:rsidRDefault="0043679B"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40EA14F7" w14:textId="77777777" w:rsidR="00E13911" w:rsidRPr="008F497F" w:rsidRDefault="0043679B"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6F33240A" w14:textId="77777777" w:rsidR="00E13911" w:rsidRPr="008F497F" w:rsidRDefault="0043679B"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43B20457"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01C458FA" w14:textId="77777777" w:rsidR="00E13911" w:rsidRDefault="0043679B"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11.punkts</w:t>
            </w:r>
          </w:p>
        </w:tc>
        <w:tc>
          <w:tcPr>
            <w:tcW w:w="904" w:type="pct"/>
            <w:tcBorders>
              <w:top w:val="outset" w:sz="6" w:space="0" w:color="auto"/>
              <w:left w:val="outset" w:sz="6" w:space="0" w:color="auto"/>
              <w:bottom w:val="outset" w:sz="6" w:space="0" w:color="auto"/>
              <w:right w:val="outset" w:sz="6" w:space="0" w:color="auto"/>
            </w:tcBorders>
          </w:tcPr>
          <w:p w14:paraId="64962A03" w14:textId="77777777" w:rsidR="00E13911" w:rsidRPr="008F497F" w:rsidRDefault="0043679B"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6FD6A1F6" w14:textId="77777777" w:rsidR="00E13911" w:rsidRPr="008F497F" w:rsidRDefault="0043679B"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1810484A" w14:textId="77777777" w:rsidR="00E13911" w:rsidRPr="008F497F" w:rsidRDefault="0043679B"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2D7B9DB9"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1F5D660F" w14:textId="77777777" w:rsidR="00E13911" w:rsidRDefault="0043679B"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12.punkts</w:t>
            </w:r>
          </w:p>
        </w:tc>
        <w:tc>
          <w:tcPr>
            <w:tcW w:w="904" w:type="pct"/>
            <w:tcBorders>
              <w:top w:val="outset" w:sz="6" w:space="0" w:color="auto"/>
              <w:left w:val="outset" w:sz="6" w:space="0" w:color="auto"/>
              <w:bottom w:val="outset" w:sz="6" w:space="0" w:color="auto"/>
              <w:right w:val="outset" w:sz="6" w:space="0" w:color="auto"/>
            </w:tcBorders>
          </w:tcPr>
          <w:p w14:paraId="5D2108DE" w14:textId="77777777" w:rsidR="00E13911" w:rsidRPr="008F497F" w:rsidRDefault="0043679B"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575E080F" w14:textId="77777777" w:rsidR="00E13911" w:rsidRPr="008F497F" w:rsidRDefault="0043679B"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4D68185E" w14:textId="77777777" w:rsidR="00E13911" w:rsidRPr="008F497F" w:rsidRDefault="0043679B"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7470780B"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7A5E984C" w14:textId="77777777" w:rsidR="00E13911" w:rsidRDefault="00CF025B"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4.pants</w:t>
            </w:r>
          </w:p>
        </w:tc>
        <w:tc>
          <w:tcPr>
            <w:tcW w:w="904" w:type="pct"/>
            <w:tcBorders>
              <w:top w:val="outset" w:sz="6" w:space="0" w:color="auto"/>
              <w:left w:val="outset" w:sz="6" w:space="0" w:color="auto"/>
              <w:bottom w:val="outset" w:sz="6" w:space="0" w:color="auto"/>
              <w:right w:val="outset" w:sz="6" w:space="0" w:color="auto"/>
            </w:tcBorders>
          </w:tcPr>
          <w:p w14:paraId="1A059080" w14:textId="3E90DCFC" w:rsidR="00E13911" w:rsidRPr="008F497F" w:rsidRDefault="00784B0E"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Netiek ieviests, jo </w:t>
            </w:r>
            <w:r w:rsidR="008C08EE">
              <w:rPr>
                <w:rFonts w:ascii="Times New Roman" w:eastAsia="Times New Roman" w:hAnsi="Times New Roman" w:cs="Times New Roman"/>
                <w:iCs/>
                <w:color w:val="414142"/>
                <w:sz w:val="24"/>
                <w:szCs w:val="24"/>
                <w:lang w:eastAsia="lv-LV"/>
              </w:rPr>
              <w:t>netiek izmantota rīcības brīvība</w:t>
            </w:r>
          </w:p>
        </w:tc>
        <w:tc>
          <w:tcPr>
            <w:tcW w:w="1304" w:type="pct"/>
            <w:gridSpan w:val="7"/>
            <w:tcBorders>
              <w:top w:val="outset" w:sz="6" w:space="0" w:color="auto"/>
              <w:left w:val="outset" w:sz="6" w:space="0" w:color="auto"/>
              <w:bottom w:val="outset" w:sz="6" w:space="0" w:color="auto"/>
              <w:right w:val="outset" w:sz="6" w:space="0" w:color="auto"/>
            </w:tcBorders>
          </w:tcPr>
          <w:p w14:paraId="62853FC3" w14:textId="1489955F" w:rsidR="00E13911" w:rsidRPr="008F497F" w:rsidRDefault="00784B0E"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2CEBFDB3" w14:textId="77777777" w:rsidR="00E13911" w:rsidRPr="008F497F" w:rsidRDefault="00CF025B"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C66ADF" w:rsidRPr="008F497F" w14:paraId="16087DB3" w14:textId="77777777" w:rsidTr="00C66ADF">
        <w:trPr>
          <w:tblCellSpacing w:w="15" w:type="dxa"/>
        </w:trPr>
        <w:tc>
          <w:tcPr>
            <w:tcW w:w="4967" w:type="pct"/>
            <w:gridSpan w:val="14"/>
            <w:tcBorders>
              <w:top w:val="outset" w:sz="6" w:space="0" w:color="auto"/>
              <w:left w:val="outset" w:sz="6" w:space="0" w:color="auto"/>
              <w:bottom w:val="outset" w:sz="6" w:space="0" w:color="auto"/>
              <w:right w:val="outset" w:sz="6" w:space="0" w:color="A0A0A0"/>
            </w:tcBorders>
          </w:tcPr>
          <w:p w14:paraId="19BA2ACB" w14:textId="77777777" w:rsidR="00C66ADF" w:rsidRPr="008F497F" w:rsidRDefault="00C66ADF"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5.pants</w:t>
            </w:r>
          </w:p>
        </w:tc>
      </w:tr>
      <w:tr w:rsidR="007857B4" w:rsidRPr="008F497F" w14:paraId="700D2338"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5ECAE83C" w14:textId="77777777" w:rsidR="00E13911" w:rsidRDefault="00C9767B"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904" w:type="pct"/>
            <w:tcBorders>
              <w:top w:val="outset" w:sz="6" w:space="0" w:color="auto"/>
              <w:left w:val="outset" w:sz="6" w:space="0" w:color="auto"/>
              <w:bottom w:val="outset" w:sz="6" w:space="0" w:color="auto"/>
              <w:right w:val="outset" w:sz="6" w:space="0" w:color="auto"/>
            </w:tcBorders>
          </w:tcPr>
          <w:p w14:paraId="293C2615" w14:textId="77777777" w:rsidR="00E13911" w:rsidRPr="008F497F" w:rsidRDefault="00C9767B"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038DB6C5" w14:textId="77777777" w:rsidR="00E13911" w:rsidRPr="008F497F" w:rsidRDefault="00C9767B"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6EA94D73" w14:textId="77777777" w:rsidR="00E13911" w:rsidRPr="008F497F" w:rsidRDefault="00C9767B"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13FA637E"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430D11A8" w14:textId="77777777" w:rsidR="00E13911" w:rsidRDefault="00844628"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904" w:type="pct"/>
            <w:tcBorders>
              <w:top w:val="outset" w:sz="6" w:space="0" w:color="auto"/>
              <w:left w:val="outset" w:sz="6" w:space="0" w:color="auto"/>
              <w:bottom w:val="outset" w:sz="6" w:space="0" w:color="auto"/>
              <w:right w:val="outset" w:sz="6" w:space="0" w:color="auto"/>
            </w:tcBorders>
          </w:tcPr>
          <w:p w14:paraId="676B2CAD" w14:textId="3092DBBA" w:rsidR="00E13911" w:rsidRPr="008F497F" w:rsidRDefault="00653385"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w:t>
            </w:r>
            <w:r w:rsidR="00B8640A">
              <w:rPr>
                <w:rFonts w:ascii="Times New Roman" w:eastAsia="Times New Roman" w:hAnsi="Times New Roman" w:cs="Times New Roman"/>
                <w:iCs/>
                <w:color w:val="414142"/>
                <w:sz w:val="24"/>
                <w:szCs w:val="24"/>
                <w:lang w:eastAsia="lv-LV"/>
              </w:rPr>
              <w:t>s</w:t>
            </w:r>
            <w:r w:rsidR="00B95B58">
              <w:rPr>
                <w:rFonts w:ascii="Times New Roman" w:eastAsia="Times New Roman" w:hAnsi="Times New Roman" w:cs="Times New Roman"/>
                <w:iCs/>
                <w:color w:val="414142"/>
                <w:sz w:val="24"/>
                <w:szCs w:val="24"/>
                <w:lang w:eastAsia="lv-LV"/>
              </w:rPr>
              <w:t xml:space="preserve"> </w:t>
            </w:r>
          </w:p>
        </w:tc>
        <w:tc>
          <w:tcPr>
            <w:tcW w:w="1304" w:type="pct"/>
            <w:gridSpan w:val="7"/>
            <w:tcBorders>
              <w:top w:val="outset" w:sz="6" w:space="0" w:color="auto"/>
              <w:left w:val="outset" w:sz="6" w:space="0" w:color="auto"/>
              <w:bottom w:val="outset" w:sz="6" w:space="0" w:color="auto"/>
              <w:right w:val="outset" w:sz="6" w:space="0" w:color="auto"/>
            </w:tcBorders>
          </w:tcPr>
          <w:p w14:paraId="159DD01A" w14:textId="77777777" w:rsidR="00E13911" w:rsidRPr="008F497F" w:rsidRDefault="00653385"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872" w:type="pct"/>
            <w:tcBorders>
              <w:top w:val="outset" w:sz="6" w:space="0" w:color="auto"/>
              <w:left w:val="outset" w:sz="6" w:space="0" w:color="auto"/>
              <w:bottom w:val="outset" w:sz="6" w:space="0" w:color="auto"/>
              <w:right w:val="outset" w:sz="6" w:space="0" w:color="auto"/>
            </w:tcBorders>
          </w:tcPr>
          <w:p w14:paraId="62453475" w14:textId="77777777" w:rsidR="00E13911" w:rsidRPr="008F497F" w:rsidRDefault="00653385"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52EB5F14"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07C79D56" w14:textId="77777777" w:rsidR="00E13911" w:rsidRDefault="00653385"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904" w:type="pct"/>
            <w:tcBorders>
              <w:top w:val="outset" w:sz="6" w:space="0" w:color="auto"/>
              <w:left w:val="outset" w:sz="6" w:space="0" w:color="auto"/>
              <w:bottom w:val="outset" w:sz="6" w:space="0" w:color="auto"/>
              <w:right w:val="outset" w:sz="6" w:space="0" w:color="auto"/>
            </w:tcBorders>
          </w:tcPr>
          <w:p w14:paraId="0FEBA770" w14:textId="77777777" w:rsidR="00E13911" w:rsidRPr="008F497F" w:rsidRDefault="00653385"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5E833A32" w14:textId="77777777" w:rsidR="00E13911" w:rsidRPr="008F497F" w:rsidRDefault="00653385"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6B5C6714" w14:textId="77777777" w:rsidR="00E13911" w:rsidRPr="008F497F" w:rsidRDefault="00653385"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62F6C3B0"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2AAB6300" w14:textId="77777777" w:rsidR="00E13911" w:rsidRDefault="00653385"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4.punkts</w:t>
            </w:r>
          </w:p>
        </w:tc>
        <w:tc>
          <w:tcPr>
            <w:tcW w:w="904" w:type="pct"/>
            <w:tcBorders>
              <w:top w:val="outset" w:sz="6" w:space="0" w:color="auto"/>
              <w:left w:val="outset" w:sz="6" w:space="0" w:color="auto"/>
              <w:bottom w:val="outset" w:sz="6" w:space="0" w:color="auto"/>
              <w:right w:val="outset" w:sz="6" w:space="0" w:color="auto"/>
            </w:tcBorders>
          </w:tcPr>
          <w:p w14:paraId="0C01BD96" w14:textId="0C34DF52" w:rsidR="00E13911" w:rsidRPr="008F497F" w:rsidRDefault="00A03104"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39D2DB04" w14:textId="77777777" w:rsidR="00E13911" w:rsidRPr="008F497F" w:rsidRDefault="00653385"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872" w:type="pct"/>
            <w:tcBorders>
              <w:top w:val="outset" w:sz="6" w:space="0" w:color="auto"/>
              <w:left w:val="outset" w:sz="6" w:space="0" w:color="auto"/>
              <w:bottom w:val="outset" w:sz="6" w:space="0" w:color="auto"/>
              <w:right w:val="outset" w:sz="6" w:space="0" w:color="auto"/>
            </w:tcBorders>
          </w:tcPr>
          <w:p w14:paraId="6928F2C8" w14:textId="77777777" w:rsidR="00E13911" w:rsidRPr="008F497F" w:rsidRDefault="00653385"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31E0D199"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2FBE1965" w14:textId="77777777" w:rsidR="00E13911" w:rsidRDefault="0024326E"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5.punkts</w:t>
            </w:r>
          </w:p>
        </w:tc>
        <w:tc>
          <w:tcPr>
            <w:tcW w:w="904" w:type="pct"/>
            <w:tcBorders>
              <w:top w:val="outset" w:sz="6" w:space="0" w:color="auto"/>
              <w:left w:val="outset" w:sz="6" w:space="0" w:color="auto"/>
              <w:bottom w:val="outset" w:sz="6" w:space="0" w:color="auto"/>
              <w:right w:val="outset" w:sz="6" w:space="0" w:color="auto"/>
            </w:tcBorders>
          </w:tcPr>
          <w:p w14:paraId="2AE10518" w14:textId="045638A0" w:rsidR="00E13911" w:rsidRPr="008F497F" w:rsidRDefault="00A03104"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9</w:t>
            </w:r>
            <w:r w:rsidR="0024326E">
              <w:rPr>
                <w:rFonts w:ascii="Times New Roman" w:eastAsia="Times New Roman" w:hAnsi="Times New Roman" w:cs="Times New Roman"/>
                <w:iCs/>
                <w:color w:val="414142"/>
                <w:sz w:val="24"/>
                <w:szCs w:val="24"/>
                <w:lang w:eastAsia="lv-LV"/>
              </w:rPr>
              <w:t>.punkts</w:t>
            </w:r>
          </w:p>
        </w:tc>
        <w:tc>
          <w:tcPr>
            <w:tcW w:w="1304" w:type="pct"/>
            <w:gridSpan w:val="7"/>
            <w:tcBorders>
              <w:top w:val="outset" w:sz="6" w:space="0" w:color="auto"/>
              <w:left w:val="outset" w:sz="6" w:space="0" w:color="auto"/>
              <w:bottom w:val="outset" w:sz="6" w:space="0" w:color="auto"/>
              <w:right w:val="outset" w:sz="6" w:space="0" w:color="auto"/>
            </w:tcBorders>
          </w:tcPr>
          <w:p w14:paraId="158D358D" w14:textId="77777777" w:rsidR="00E13911" w:rsidRPr="008F497F" w:rsidRDefault="0024326E"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872" w:type="pct"/>
            <w:tcBorders>
              <w:top w:val="outset" w:sz="6" w:space="0" w:color="auto"/>
              <w:left w:val="outset" w:sz="6" w:space="0" w:color="auto"/>
              <w:bottom w:val="outset" w:sz="6" w:space="0" w:color="auto"/>
              <w:right w:val="outset" w:sz="6" w:space="0" w:color="auto"/>
            </w:tcBorders>
          </w:tcPr>
          <w:p w14:paraId="654C0ECE" w14:textId="77777777" w:rsidR="00E13911" w:rsidRPr="008F497F" w:rsidRDefault="0024326E"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876735" w:rsidRPr="008F497F" w14:paraId="58B9AD71" w14:textId="77777777" w:rsidTr="00876735">
        <w:trPr>
          <w:tblCellSpacing w:w="15" w:type="dxa"/>
        </w:trPr>
        <w:tc>
          <w:tcPr>
            <w:tcW w:w="4967" w:type="pct"/>
            <w:gridSpan w:val="14"/>
            <w:tcBorders>
              <w:top w:val="outset" w:sz="6" w:space="0" w:color="auto"/>
              <w:left w:val="outset" w:sz="6" w:space="0" w:color="auto"/>
              <w:bottom w:val="outset" w:sz="6" w:space="0" w:color="auto"/>
              <w:right w:val="outset" w:sz="6" w:space="0" w:color="A0A0A0"/>
            </w:tcBorders>
          </w:tcPr>
          <w:p w14:paraId="18D5AF7A" w14:textId="77777777" w:rsidR="00876735" w:rsidRPr="008F497F" w:rsidRDefault="00876735"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6.pants</w:t>
            </w:r>
          </w:p>
        </w:tc>
      </w:tr>
      <w:tr w:rsidR="007857B4" w:rsidRPr="008F497F" w14:paraId="4C0BDC99"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663FA4E3" w14:textId="77777777" w:rsidR="0073778E" w:rsidRDefault="00876735"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a) punkts</w:t>
            </w:r>
          </w:p>
        </w:tc>
        <w:tc>
          <w:tcPr>
            <w:tcW w:w="904" w:type="pct"/>
            <w:tcBorders>
              <w:top w:val="outset" w:sz="6" w:space="0" w:color="auto"/>
              <w:left w:val="outset" w:sz="6" w:space="0" w:color="auto"/>
              <w:bottom w:val="outset" w:sz="6" w:space="0" w:color="auto"/>
              <w:right w:val="outset" w:sz="6" w:space="0" w:color="auto"/>
            </w:tcBorders>
          </w:tcPr>
          <w:p w14:paraId="32A57454" w14:textId="114BE8FE" w:rsidR="0073778E" w:rsidRPr="00471188" w:rsidRDefault="00F30E70" w:rsidP="00AF7E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color w:val="414142"/>
                <w:sz w:val="24"/>
                <w:szCs w:val="24"/>
                <w:lang w:eastAsia="lv-LV"/>
              </w:rPr>
              <w:t>Netiek ieviests, jo netiek izmantota rīcības brīvība</w:t>
            </w:r>
          </w:p>
        </w:tc>
        <w:tc>
          <w:tcPr>
            <w:tcW w:w="1304" w:type="pct"/>
            <w:gridSpan w:val="7"/>
            <w:tcBorders>
              <w:top w:val="outset" w:sz="6" w:space="0" w:color="auto"/>
              <w:left w:val="outset" w:sz="6" w:space="0" w:color="auto"/>
              <w:bottom w:val="outset" w:sz="6" w:space="0" w:color="auto"/>
              <w:right w:val="outset" w:sz="6" w:space="0" w:color="auto"/>
            </w:tcBorders>
          </w:tcPr>
          <w:p w14:paraId="106C8885" w14:textId="21408767" w:rsidR="0073778E" w:rsidRPr="008F497F" w:rsidRDefault="00F30E70"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2EBE0D2A" w14:textId="77777777" w:rsidR="0073778E" w:rsidRPr="008F497F" w:rsidRDefault="006A4C15"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0FBA1DEA"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7E1AB956" w14:textId="77777777" w:rsidR="0073778E" w:rsidRDefault="00876735"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b) punkts</w:t>
            </w:r>
          </w:p>
        </w:tc>
        <w:tc>
          <w:tcPr>
            <w:tcW w:w="904" w:type="pct"/>
            <w:tcBorders>
              <w:top w:val="outset" w:sz="6" w:space="0" w:color="auto"/>
              <w:left w:val="outset" w:sz="6" w:space="0" w:color="auto"/>
              <w:bottom w:val="outset" w:sz="6" w:space="0" w:color="auto"/>
              <w:right w:val="outset" w:sz="6" w:space="0" w:color="auto"/>
            </w:tcBorders>
          </w:tcPr>
          <w:p w14:paraId="62451DB0" w14:textId="3C3B0ED8" w:rsidR="0073778E" w:rsidRPr="00471188" w:rsidRDefault="00AF7E61" w:rsidP="00AF7E61">
            <w:pPr>
              <w:spacing w:after="0" w:line="240" w:lineRule="auto"/>
              <w:rPr>
                <w:rFonts w:ascii="Times New Roman" w:eastAsia="Times New Roman" w:hAnsi="Times New Roman" w:cs="Times New Roman"/>
                <w:iCs/>
                <w:sz w:val="24"/>
                <w:szCs w:val="24"/>
                <w:lang w:eastAsia="lv-LV"/>
              </w:rPr>
            </w:pPr>
            <w:r w:rsidRPr="00471188">
              <w:rPr>
                <w:rFonts w:ascii="Times New Roman" w:eastAsia="Times New Roman" w:hAnsi="Times New Roman" w:cs="Times New Roman"/>
                <w:iCs/>
                <w:sz w:val="24"/>
                <w:szCs w:val="24"/>
                <w:lang w:eastAsia="lv-LV"/>
              </w:rPr>
              <w:t>4</w:t>
            </w:r>
            <w:r w:rsidR="00FE3E21" w:rsidRPr="00471188">
              <w:rPr>
                <w:rFonts w:ascii="Times New Roman" w:eastAsia="Times New Roman" w:hAnsi="Times New Roman" w:cs="Times New Roman"/>
                <w:iCs/>
                <w:sz w:val="24"/>
                <w:szCs w:val="24"/>
                <w:lang w:eastAsia="lv-LV"/>
              </w:rPr>
              <w:t>.</w:t>
            </w:r>
            <w:r w:rsidR="00F30E70">
              <w:rPr>
                <w:rFonts w:ascii="Times New Roman" w:eastAsia="Times New Roman" w:hAnsi="Times New Roman" w:cs="Times New Roman"/>
                <w:iCs/>
                <w:sz w:val="24"/>
                <w:szCs w:val="24"/>
                <w:lang w:eastAsia="lv-LV"/>
              </w:rPr>
              <w:t>1</w:t>
            </w:r>
            <w:r w:rsidR="00A85771" w:rsidRPr="00471188">
              <w:rPr>
                <w:rFonts w:ascii="Times New Roman" w:eastAsia="Times New Roman" w:hAnsi="Times New Roman" w:cs="Times New Roman"/>
                <w:iCs/>
                <w:sz w:val="24"/>
                <w:szCs w:val="24"/>
                <w:lang w:eastAsia="lv-LV"/>
              </w:rPr>
              <w:t>.</w:t>
            </w:r>
            <w:r w:rsidR="00A03104">
              <w:rPr>
                <w:rFonts w:ascii="Times New Roman" w:eastAsia="Times New Roman" w:hAnsi="Times New Roman" w:cs="Times New Roman"/>
                <w:iCs/>
                <w:sz w:val="24"/>
                <w:szCs w:val="24"/>
                <w:lang w:eastAsia="lv-LV"/>
              </w:rPr>
              <w:t>apakš</w:t>
            </w:r>
            <w:r w:rsidR="00FE3E21" w:rsidRPr="00471188">
              <w:rPr>
                <w:rFonts w:ascii="Times New Roman" w:eastAsia="Times New Roman" w:hAnsi="Times New Roman" w:cs="Times New Roman"/>
                <w:iCs/>
                <w:sz w:val="24"/>
                <w:szCs w:val="24"/>
                <w:lang w:eastAsia="lv-LV"/>
              </w:rPr>
              <w:t>punkt</w:t>
            </w:r>
            <w:r w:rsidRPr="00471188">
              <w:rPr>
                <w:rFonts w:ascii="Times New Roman" w:eastAsia="Times New Roman" w:hAnsi="Times New Roman" w:cs="Times New Roman"/>
                <w:iCs/>
                <w:sz w:val="24"/>
                <w:szCs w:val="24"/>
                <w:lang w:eastAsia="lv-LV"/>
              </w:rPr>
              <w:t>s</w:t>
            </w:r>
          </w:p>
        </w:tc>
        <w:tc>
          <w:tcPr>
            <w:tcW w:w="1304" w:type="pct"/>
            <w:gridSpan w:val="7"/>
            <w:tcBorders>
              <w:top w:val="outset" w:sz="6" w:space="0" w:color="auto"/>
              <w:left w:val="outset" w:sz="6" w:space="0" w:color="auto"/>
              <w:bottom w:val="outset" w:sz="6" w:space="0" w:color="auto"/>
              <w:right w:val="outset" w:sz="6" w:space="0" w:color="auto"/>
            </w:tcBorders>
          </w:tcPr>
          <w:p w14:paraId="1090D61C" w14:textId="77777777" w:rsidR="0073778E" w:rsidRPr="008F497F" w:rsidRDefault="00FE3E21"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872" w:type="pct"/>
            <w:tcBorders>
              <w:top w:val="outset" w:sz="6" w:space="0" w:color="auto"/>
              <w:left w:val="outset" w:sz="6" w:space="0" w:color="auto"/>
              <w:bottom w:val="outset" w:sz="6" w:space="0" w:color="auto"/>
              <w:right w:val="outset" w:sz="6" w:space="0" w:color="auto"/>
            </w:tcBorders>
          </w:tcPr>
          <w:p w14:paraId="1F72BC9A" w14:textId="77777777" w:rsidR="0073778E" w:rsidRPr="008F497F" w:rsidRDefault="00FE3E21"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388120A7"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721A55CC" w14:textId="77777777" w:rsidR="0073778E" w:rsidRDefault="00876735"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c) punkts</w:t>
            </w:r>
          </w:p>
        </w:tc>
        <w:tc>
          <w:tcPr>
            <w:tcW w:w="904" w:type="pct"/>
            <w:tcBorders>
              <w:top w:val="outset" w:sz="6" w:space="0" w:color="auto"/>
              <w:left w:val="outset" w:sz="6" w:space="0" w:color="auto"/>
              <w:bottom w:val="outset" w:sz="6" w:space="0" w:color="auto"/>
              <w:right w:val="outset" w:sz="6" w:space="0" w:color="auto"/>
            </w:tcBorders>
          </w:tcPr>
          <w:p w14:paraId="775A715C" w14:textId="5ACE1E99" w:rsidR="0073778E" w:rsidRPr="00471188" w:rsidRDefault="00A85771" w:rsidP="00AF7E61">
            <w:pPr>
              <w:spacing w:after="0" w:line="240" w:lineRule="auto"/>
              <w:rPr>
                <w:rFonts w:ascii="Times New Roman" w:eastAsia="Times New Roman" w:hAnsi="Times New Roman" w:cs="Times New Roman"/>
                <w:iCs/>
                <w:sz w:val="24"/>
                <w:szCs w:val="24"/>
                <w:lang w:eastAsia="lv-LV"/>
              </w:rPr>
            </w:pPr>
            <w:r w:rsidRPr="00471188">
              <w:rPr>
                <w:rFonts w:ascii="Times New Roman" w:eastAsia="Times New Roman" w:hAnsi="Times New Roman" w:cs="Times New Roman"/>
                <w:iCs/>
                <w:sz w:val="24"/>
                <w:szCs w:val="24"/>
                <w:lang w:eastAsia="lv-LV"/>
              </w:rPr>
              <w:t>4.</w:t>
            </w:r>
            <w:r w:rsidR="00F30E70">
              <w:rPr>
                <w:rFonts w:ascii="Times New Roman" w:eastAsia="Times New Roman" w:hAnsi="Times New Roman" w:cs="Times New Roman"/>
                <w:iCs/>
                <w:sz w:val="24"/>
                <w:szCs w:val="24"/>
                <w:lang w:eastAsia="lv-LV"/>
              </w:rPr>
              <w:t>2</w:t>
            </w:r>
            <w:r w:rsidRPr="00471188">
              <w:rPr>
                <w:rFonts w:ascii="Times New Roman" w:eastAsia="Times New Roman" w:hAnsi="Times New Roman" w:cs="Times New Roman"/>
                <w:iCs/>
                <w:sz w:val="24"/>
                <w:szCs w:val="24"/>
                <w:lang w:eastAsia="lv-LV"/>
              </w:rPr>
              <w:t>.</w:t>
            </w:r>
            <w:r w:rsidR="00A03104">
              <w:rPr>
                <w:rFonts w:ascii="Times New Roman" w:eastAsia="Times New Roman" w:hAnsi="Times New Roman" w:cs="Times New Roman"/>
                <w:iCs/>
                <w:sz w:val="24"/>
                <w:szCs w:val="24"/>
                <w:lang w:eastAsia="lv-LV"/>
              </w:rPr>
              <w:t>apakšpu</w:t>
            </w:r>
            <w:r w:rsidRPr="00471188">
              <w:rPr>
                <w:rFonts w:ascii="Times New Roman" w:eastAsia="Times New Roman" w:hAnsi="Times New Roman" w:cs="Times New Roman"/>
                <w:iCs/>
                <w:sz w:val="24"/>
                <w:szCs w:val="24"/>
                <w:lang w:eastAsia="lv-LV"/>
              </w:rPr>
              <w:t xml:space="preserve">nkts </w:t>
            </w:r>
          </w:p>
        </w:tc>
        <w:tc>
          <w:tcPr>
            <w:tcW w:w="1304" w:type="pct"/>
            <w:gridSpan w:val="7"/>
            <w:tcBorders>
              <w:top w:val="outset" w:sz="6" w:space="0" w:color="auto"/>
              <w:left w:val="outset" w:sz="6" w:space="0" w:color="auto"/>
              <w:bottom w:val="outset" w:sz="6" w:space="0" w:color="auto"/>
              <w:right w:val="outset" w:sz="6" w:space="0" w:color="auto"/>
            </w:tcBorders>
          </w:tcPr>
          <w:p w14:paraId="63BBD92B" w14:textId="77777777" w:rsidR="0073778E" w:rsidRPr="008F497F" w:rsidRDefault="00AF7E61"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872" w:type="pct"/>
            <w:tcBorders>
              <w:top w:val="outset" w:sz="6" w:space="0" w:color="auto"/>
              <w:left w:val="outset" w:sz="6" w:space="0" w:color="auto"/>
              <w:bottom w:val="outset" w:sz="6" w:space="0" w:color="auto"/>
              <w:right w:val="outset" w:sz="6" w:space="0" w:color="auto"/>
            </w:tcBorders>
          </w:tcPr>
          <w:p w14:paraId="3887457A" w14:textId="77777777" w:rsidR="0073778E" w:rsidRPr="008F497F" w:rsidRDefault="00AF7E61"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62BDE012"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4CCE7D82" w14:textId="77777777" w:rsidR="0073778E" w:rsidRDefault="006F18CA"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7.pants</w:t>
            </w:r>
          </w:p>
        </w:tc>
        <w:tc>
          <w:tcPr>
            <w:tcW w:w="904" w:type="pct"/>
            <w:tcBorders>
              <w:top w:val="outset" w:sz="6" w:space="0" w:color="auto"/>
              <w:left w:val="outset" w:sz="6" w:space="0" w:color="auto"/>
              <w:bottom w:val="outset" w:sz="6" w:space="0" w:color="auto"/>
              <w:right w:val="outset" w:sz="6" w:space="0" w:color="auto"/>
            </w:tcBorders>
          </w:tcPr>
          <w:p w14:paraId="28B1D213" w14:textId="77777777" w:rsidR="0073778E" w:rsidRPr="008F497F" w:rsidRDefault="006F18CA"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48D4E151" w14:textId="77777777" w:rsidR="0073778E" w:rsidRPr="008F497F" w:rsidRDefault="006F18CA"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29D4C608" w14:textId="77777777" w:rsidR="0073778E" w:rsidRPr="008F497F" w:rsidRDefault="006F18CA"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4A6362" w:rsidRPr="008F497F" w14:paraId="14B32EC4" w14:textId="77777777" w:rsidTr="004A6362">
        <w:trPr>
          <w:tblCellSpacing w:w="15" w:type="dxa"/>
        </w:trPr>
        <w:tc>
          <w:tcPr>
            <w:tcW w:w="4967" w:type="pct"/>
            <w:gridSpan w:val="14"/>
            <w:tcBorders>
              <w:top w:val="outset" w:sz="6" w:space="0" w:color="auto"/>
              <w:left w:val="outset" w:sz="6" w:space="0" w:color="auto"/>
              <w:bottom w:val="outset" w:sz="6" w:space="0" w:color="auto"/>
              <w:right w:val="outset" w:sz="6" w:space="0" w:color="A0A0A0"/>
            </w:tcBorders>
          </w:tcPr>
          <w:p w14:paraId="2949F11A" w14:textId="77777777" w:rsidR="004A6362" w:rsidRPr="008F497F" w:rsidRDefault="004A6362"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8.pants</w:t>
            </w:r>
          </w:p>
        </w:tc>
      </w:tr>
      <w:tr w:rsidR="007857B4" w:rsidRPr="008F497F" w14:paraId="289A3773"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3915D126" w14:textId="77777777" w:rsidR="0073778E" w:rsidRDefault="009F62CC"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904" w:type="pct"/>
            <w:tcBorders>
              <w:top w:val="outset" w:sz="6" w:space="0" w:color="auto"/>
              <w:left w:val="outset" w:sz="6" w:space="0" w:color="auto"/>
              <w:bottom w:val="outset" w:sz="6" w:space="0" w:color="auto"/>
              <w:right w:val="outset" w:sz="6" w:space="0" w:color="auto"/>
            </w:tcBorders>
          </w:tcPr>
          <w:p w14:paraId="15055E46" w14:textId="77777777" w:rsidR="0073778E" w:rsidRPr="008F497F" w:rsidRDefault="009F62CC"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09FE5124" w14:textId="77777777" w:rsidR="0073778E" w:rsidRPr="008F497F" w:rsidRDefault="009F62CC"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7C7B7DE8" w14:textId="77777777" w:rsidR="0073778E" w:rsidRPr="008F497F" w:rsidRDefault="009F62CC"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30E7E35C"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3F4E0E85" w14:textId="77777777" w:rsidR="0073778E" w:rsidRDefault="009F62CC"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904" w:type="pct"/>
            <w:tcBorders>
              <w:top w:val="outset" w:sz="6" w:space="0" w:color="auto"/>
              <w:left w:val="outset" w:sz="6" w:space="0" w:color="auto"/>
              <w:bottom w:val="outset" w:sz="6" w:space="0" w:color="auto"/>
              <w:right w:val="outset" w:sz="6" w:space="0" w:color="auto"/>
            </w:tcBorders>
          </w:tcPr>
          <w:p w14:paraId="308FD2B1" w14:textId="77777777" w:rsidR="0073778E" w:rsidRPr="008F497F" w:rsidRDefault="002341D5"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1892A9FE" w14:textId="77777777" w:rsidR="0073778E" w:rsidRPr="008F497F" w:rsidRDefault="002341D5"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4D903902" w14:textId="77777777" w:rsidR="0073778E" w:rsidRPr="008F497F" w:rsidRDefault="002341D5"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2341D5" w:rsidRPr="008F497F" w14:paraId="5BC40359" w14:textId="77777777" w:rsidTr="002341D5">
        <w:trPr>
          <w:tblCellSpacing w:w="15" w:type="dxa"/>
        </w:trPr>
        <w:tc>
          <w:tcPr>
            <w:tcW w:w="4967" w:type="pct"/>
            <w:gridSpan w:val="14"/>
            <w:tcBorders>
              <w:top w:val="outset" w:sz="6" w:space="0" w:color="auto"/>
              <w:left w:val="outset" w:sz="6" w:space="0" w:color="auto"/>
              <w:bottom w:val="outset" w:sz="6" w:space="0" w:color="auto"/>
              <w:right w:val="outset" w:sz="6" w:space="0" w:color="A0A0A0"/>
            </w:tcBorders>
          </w:tcPr>
          <w:p w14:paraId="4B0A0DE6" w14:textId="77777777" w:rsidR="002341D5" w:rsidRPr="008F497F" w:rsidRDefault="002341D5"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9.pants</w:t>
            </w:r>
          </w:p>
        </w:tc>
      </w:tr>
      <w:tr w:rsidR="007857B4" w:rsidRPr="008F497F" w14:paraId="69952F4D"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09C16286" w14:textId="77777777" w:rsidR="0073778E" w:rsidRDefault="00EB4560"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904" w:type="pct"/>
            <w:tcBorders>
              <w:top w:val="outset" w:sz="6" w:space="0" w:color="auto"/>
              <w:left w:val="outset" w:sz="6" w:space="0" w:color="auto"/>
              <w:bottom w:val="outset" w:sz="6" w:space="0" w:color="auto"/>
              <w:right w:val="outset" w:sz="6" w:space="0" w:color="auto"/>
            </w:tcBorders>
          </w:tcPr>
          <w:p w14:paraId="5AED6573" w14:textId="713EF52A" w:rsidR="0073778E" w:rsidRPr="008F497F" w:rsidRDefault="008457F6"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9</w:t>
            </w:r>
            <w:r w:rsidR="000B08CC">
              <w:rPr>
                <w:rFonts w:ascii="Times New Roman" w:eastAsia="Times New Roman" w:hAnsi="Times New Roman" w:cs="Times New Roman"/>
                <w:iCs/>
                <w:color w:val="414142"/>
                <w:sz w:val="24"/>
                <w:szCs w:val="24"/>
                <w:lang w:eastAsia="lv-LV"/>
              </w:rPr>
              <w:t>.punkts</w:t>
            </w:r>
          </w:p>
        </w:tc>
        <w:tc>
          <w:tcPr>
            <w:tcW w:w="1304" w:type="pct"/>
            <w:gridSpan w:val="7"/>
            <w:tcBorders>
              <w:top w:val="outset" w:sz="6" w:space="0" w:color="auto"/>
              <w:left w:val="outset" w:sz="6" w:space="0" w:color="auto"/>
              <w:bottom w:val="outset" w:sz="6" w:space="0" w:color="auto"/>
              <w:right w:val="outset" w:sz="6" w:space="0" w:color="auto"/>
            </w:tcBorders>
          </w:tcPr>
          <w:p w14:paraId="6059E483" w14:textId="77777777" w:rsidR="0073778E" w:rsidRPr="008F497F" w:rsidRDefault="000B08CC"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872" w:type="pct"/>
            <w:tcBorders>
              <w:top w:val="outset" w:sz="6" w:space="0" w:color="auto"/>
              <w:left w:val="outset" w:sz="6" w:space="0" w:color="auto"/>
              <w:bottom w:val="outset" w:sz="6" w:space="0" w:color="auto"/>
              <w:right w:val="outset" w:sz="6" w:space="0" w:color="auto"/>
            </w:tcBorders>
          </w:tcPr>
          <w:p w14:paraId="73A05977" w14:textId="77777777" w:rsidR="0073778E" w:rsidRPr="008F497F" w:rsidRDefault="000B08CC"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1006BEB0"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1B448D98" w14:textId="77777777" w:rsidR="0073778E" w:rsidRDefault="000B08CC"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904" w:type="pct"/>
            <w:tcBorders>
              <w:top w:val="outset" w:sz="6" w:space="0" w:color="auto"/>
              <w:left w:val="outset" w:sz="6" w:space="0" w:color="auto"/>
              <w:bottom w:val="outset" w:sz="6" w:space="0" w:color="auto"/>
              <w:right w:val="outset" w:sz="6" w:space="0" w:color="auto"/>
            </w:tcBorders>
          </w:tcPr>
          <w:p w14:paraId="2FF8B3EC" w14:textId="77777777" w:rsidR="0073778E" w:rsidRPr="008F497F" w:rsidRDefault="000B08CC"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731B24F2" w14:textId="77777777" w:rsidR="0073778E" w:rsidRPr="008F497F" w:rsidRDefault="000B08CC"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73654B4D" w14:textId="77777777" w:rsidR="0073778E" w:rsidRPr="008F497F" w:rsidRDefault="000B08CC"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243853EB"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6DCE2733" w14:textId="77777777" w:rsidR="0073778E" w:rsidRDefault="004F2CD3"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3.punkts</w:t>
            </w:r>
          </w:p>
        </w:tc>
        <w:tc>
          <w:tcPr>
            <w:tcW w:w="904" w:type="pct"/>
            <w:tcBorders>
              <w:top w:val="outset" w:sz="6" w:space="0" w:color="auto"/>
              <w:left w:val="outset" w:sz="6" w:space="0" w:color="auto"/>
              <w:bottom w:val="outset" w:sz="6" w:space="0" w:color="auto"/>
              <w:right w:val="outset" w:sz="6" w:space="0" w:color="auto"/>
            </w:tcBorders>
          </w:tcPr>
          <w:p w14:paraId="18C2B163" w14:textId="77777777" w:rsidR="0073778E" w:rsidRPr="008F497F" w:rsidRDefault="004F2CD3"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001BDF23" w14:textId="77777777" w:rsidR="0073778E" w:rsidRPr="008F497F" w:rsidRDefault="004F2CD3"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484BEFB8" w14:textId="77777777" w:rsidR="0073778E" w:rsidRPr="008F497F" w:rsidRDefault="004F2CD3"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40A1859A"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1FF819B7" w14:textId="77777777" w:rsidR="0073778E" w:rsidRDefault="004F2CD3"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4.punkts</w:t>
            </w:r>
          </w:p>
        </w:tc>
        <w:tc>
          <w:tcPr>
            <w:tcW w:w="904" w:type="pct"/>
            <w:tcBorders>
              <w:top w:val="outset" w:sz="6" w:space="0" w:color="auto"/>
              <w:left w:val="outset" w:sz="6" w:space="0" w:color="auto"/>
              <w:bottom w:val="outset" w:sz="6" w:space="0" w:color="auto"/>
              <w:right w:val="outset" w:sz="6" w:space="0" w:color="auto"/>
            </w:tcBorders>
          </w:tcPr>
          <w:p w14:paraId="0BFF55EE" w14:textId="77777777" w:rsidR="0073778E" w:rsidRPr="008F497F" w:rsidRDefault="004F2CD3"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5D9033C5" w14:textId="77777777" w:rsidR="0073778E" w:rsidRPr="008F497F" w:rsidRDefault="004F2CD3"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001F0222" w14:textId="77777777" w:rsidR="0073778E" w:rsidRPr="008F497F" w:rsidRDefault="004F2CD3"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857B4" w:rsidRPr="008F497F" w14:paraId="3B4DE87C"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0F8F4815" w14:textId="77777777" w:rsidR="0073778E" w:rsidRDefault="004F2CD3"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5.punkts</w:t>
            </w:r>
          </w:p>
        </w:tc>
        <w:tc>
          <w:tcPr>
            <w:tcW w:w="904" w:type="pct"/>
            <w:tcBorders>
              <w:top w:val="outset" w:sz="6" w:space="0" w:color="auto"/>
              <w:left w:val="outset" w:sz="6" w:space="0" w:color="auto"/>
              <w:bottom w:val="outset" w:sz="6" w:space="0" w:color="auto"/>
              <w:right w:val="outset" w:sz="6" w:space="0" w:color="auto"/>
            </w:tcBorders>
          </w:tcPr>
          <w:p w14:paraId="06CCF50C" w14:textId="77777777" w:rsidR="0073778E" w:rsidRPr="008F497F" w:rsidRDefault="004F2CD3"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7FE16F4C" w14:textId="77777777" w:rsidR="0073778E" w:rsidRPr="008F497F" w:rsidRDefault="004F2CD3"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0677C1AE" w14:textId="77777777" w:rsidR="0073778E" w:rsidRPr="008F497F" w:rsidRDefault="004F2CD3"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16BB1" w:rsidRPr="008F497F" w14:paraId="02DDB8F5"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36DCA055" w14:textId="77777777" w:rsidR="004F2CD3" w:rsidRDefault="004F2CD3"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6.punkts</w:t>
            </w:r>
          </w:p>
        </w:tc>
        <w:tc>
          <w:tcPr>
            <w:tcW w:w="904" w:type="pct"/>
            <w:tcBorders>
              <w:top w:val="outset" w:sz="6" w:space="0" w:color="auto"/>
              <w:left w:val="outset" w:sz="6" w:space="0" w:color="auto"/>
              <w:bottom w:val="outset" w:sz="6" w:space="0" w:color="auto"/>
              <w:right w:val="outset" w:sz="6" w:space="0" w:color="auto"/>
            </w:tcBorders>
          </w:tcPr>
          <w:p w14:paraId="48FFBB10" w14:textId="77777777" w:rsidR="004F2CD3" w:rsidRPr="008F497F" w:rsidRDefault="004F2CD3"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15B83B05" w14:textId="77777777" w:rsidR="004F2CD3" w:rsidRPr="008F497F" w:rsidRDefault="004F2CD3"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57BCD900" w14:textId="77777777" w:rsidR="004F2CD3" w:rsidRPr="008F497F" w:rsidRDefault="004F2CD3"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F520A4" w:rsidRPr="008F497F" w14:paraId="0C8265EE" w14:textId="77777777" w:rsidTr="00F520A4">
        <w:trPr>
          <w:tblCellSpacing w:w="15" w:type="dxa"/>
        </w:trPr>
        <w:tc>
          <w:tcPr>
            <w:tcW w:w="4967" w:type="pct"/>
            <w:gridSpan w:val="14"/>
            <w:tcBorders>
              <w:top w:val="outset" w:sz="6" w:space="0" w:color="auto"/>
              <w:left w:val="outset" w:sz="6" w:space="0" w:color="auto"/>
              <w:bottom w:val="outset" w:sz="6" w:space="0" w:color="auto"/>
              <w:right w:val="outset" w:sz="6" w:space="0" w:color="A0A0A0"/>
            </w:tcBorders>
          </w:tcPr>
          <w:p w14:paraId="0F0D4E52" w14:textId="77777777" w:rsidR="00F520A4" w:rsidRPr="008F497F" w:rsidRDefault="00F520A4"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10.pants</w:t>
            </w:r>
          </w:p>
        </w:tc>
      </w:tr>
      <w:tr w:rsidR="00716BB1" w:rsidRPr="008F497F" w14:paraId="63739117"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018D002E" w14:textId="77777777" w:rsidR="004F2CD3" w:rsidRDefault="00F520A4"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Pirmā daļa</w:t>
            </w:r>
          </w:p>
        </w:tc>
        <w:tc>
          <w:tcPr>
            <w:tcW w:w="904" w:type="pct"/>
            <w:tcBorders>
              <w:top w:val="outset" w:sz="6" w:space="0" w:color="auto"/>
              <w:left w:val="outset" w:sz="6" w:space="0" w:color="auto"/>
              <w:bottom w:val="outset" w:sz="6" w:space="0" w:color="auto"/>
              <w:right w:val="outset" w:sz="6" w:space="0" w:color="auto"/>
            </w:tcBorders>
          </w:tcPr>
          <w:p w14:paraId="194C9857" w14:textId="77777777" w:rsidR="004F2CD3" w:rsidRPr="008F497F" w:rsidRDefault="00F520A4"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2A7CFADA" w14:textId="77777777" w:rsidR="004F2CD3" w:rsidRPr="008F497F" w:rsidRDefault="00F520A4"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17B059D9" w14:textId="77777777" w:rsidR="004F2CD3" w:rsidRPr="008F497F" w:rsidRDefault="00F520A4"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16BB1" w:rsidRPr="008F497F" w14:paraId="6FA305E3"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63920AD7" w14:textId="77777777" w:rsidR="004F2CD3" w:rsidRDefault="00F520A4"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Otrā daļa</w:t>
            </w:r>
          </w:p>
        </w:tc>
        <w:tc>
          <w:tcPr>
            <w:tcW w:w="904" w:type="pct"/>
            <w:tcBorders>
              <w:top w:val="outset" w:sz="6" w:space="0" w:color="auto"/>
              <w:left w:val="outset" w:sz="6" w:space="0" w:color="auto"/>
              <w:bottom w:val="outset" w:sz="6" w:space="0" w:color="auto"/>
              <w:right w:val="outset" w:sz="6" w:space="0" w:color="auto"/>
            </w:tcBorders>
          </w:tcPr>
          <w:p w14:paraId="74B6B66A" w14:textId="77777777" w:rsidR="004F2CD3" w:rsidRPr="008F497F" w:rsidRDefault="00F520A4"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2080F852" w14:textId="77777777" w:rsidR="004F2CD3" w:rsidRPr="008F497F" w:rsidRDefault="00F520A4"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0EC3265A" w14:textId="77777777" w:rsidR="004F2CD3" w:rsidRPr="008F497F" w:rsidRDefault="00F520A4"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F520A4" w:rsidRPr="008F497F" w14:paraId="2F9D343C" w14:textId="77777777" w:rsidTr="00F520A4">
        <w:trPr>
          <w:tblCellSpacing w:w="15" w:type="dxa"/>
        </w:trPr>
        <w:tc>
          <w:tcPr>
            <w:tcW w:w="4967" w:type="pct"/>
            <w:gridSpan w:val="14"/>
            <w:tcBorders>
              <w:top w:val="outset" w:sz="6" w:space="0" w:color="auto"/>
              <w:left w:val="outset" w:sz="6" w:space="0" w:color="auto"/>
              <w:bottom w:val="outset" w:sz="6" w:space="0" w:color="auto"/>
              <w:right w:val="outset" w:sz="6" w:space="0" w:color="A0A0A0"/>
            </w:tcBorders>
          </w:tcPr>
          <w:p w14:paraId="5C25C256" w14:textId="77777777" w:rsidR="00F520A4" w:rsidRPr="008F497F" w:rsidRDefault="00F520A4"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11.pants</w:t>
            </w:r>
          </w:p>
        </w:tc>
      </w:tr>
      <w:tr w:rsidR="00716BB1" w:rsidRPr="008F497F" w14:paraId="6C7930D1"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3CE9B737" w14:textId="77777777" w:rsidR="004F2CD3" w:rsidRDefault="00F520A4"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904" w:type="pct"/>
            <w:tcBorders>
              <w:top w:val="outset" w:sz="6" w:space="0" w:color="auto"/>
              <w:left w:val="outset" w:sz="6" w:space="0" w:color="auto"/>
              <w:bottom w:val="outset" w:sz="6" w:space="0" w:color="auto"/>
              <w:right w:val="outset" w:sz="6" w:space="0" w:color="auto"/>
            </w:tcBorders>
          </w:tcPr>
          <w:p w14:paraId="6D269584" w14:textId="77777777" w:rsidR="004F2CD3" w:rsidRPr="008F497F" w:rsidRDefault="00B542BD"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7C42CF4D" w14:textId="77777777" w:rsidR="004F2CD3" w:rsidRPr="008F497F" w:rsidRDefault="00B542BD"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2A17C1F9" w14:textId="77777777" w:rsidR="004F2CD3" w:rsidRPr="008F497F" w:rsidRDefault="00B542BD"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16BB1" w:rsidRPr="008F497F" w14:paraId="4C90E602"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0052A715" w14:textId="77777777" w:rsidR="004F2CD3" w:rsidRDefault="00F520A4"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904" w:type="pct"/>
            <w:tcBorders>
              <w:top w:val="outset" w:sz="6" w:space="0" w:color="auto"/>
              <w:left w:val="outset" w:sz="6" w:space="0" w:color="auto"/>
              <w:bottom w:val="outset" w:sz="6" w:space="0" w:color="auto"/>
              <w:right w:val="outset" w:sz="6" w:space="0" w:color="auto"/>
            </w:tcBorders>
          </w:tcPr>
          <w:p w14:paraId="7DE08C7E" w14:textId="77777777" w:rsidR="004F2CD3" w:rsidRPr="008F497F" w:rsidRDefault="00B542BD"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2A7AC300" w14:textId="77777777" w:rsidR="004F2CD3" w:rsidRPr="008F497F" w:rsidRDefault="00B542BD"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42979737" w14:textId="77777777" w:rsidR="004F2CD3" w:rsidRPr="008F497F" w:rsidRDefault="00B542BD"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9E57AA" w:rsidRPr="008F497F" w14:paraId="0ED91C34"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6DD4AA13" w14:textId="77777777" w:rsidR="00F520A4" w:rsidRDefault="00F520A4"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904" w:type="pct"/>
            <w:tcBorders>
              <w:top w:val="outset" w:sz="6" w:space="0" w:color="auto"/>
              <w:left w:val="outset" w:sz="6" w:space="0" w:color="auto"/>
              <w:bottom w:val="outset" w:sz="6" w:space="0" w:color="auto"/>
              <w:right w:val="outset" w:sz="6" w:space="0" w:color="auto"/>
            </w:tcBorders>
          </w:tcPr>
          <w:p w14:paraId="128D8275" w14:textId="77777777" w:rsidR="00F520A4" w:rsidRPr="008F497F" w:rsidRDefault="00B542BD"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59D2772D" w14:textId="77777777" w:rsidR="00F520A4" w:rsidRPr="008F497F" w:rsidRDefault="00B542BD"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7A32EDC8" w14:textId="77777777" w:rsidR="00F520A4" w:rsidRPr="008F497F" w:rsidRDefault="00B542BD"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9111A6" w:rsidRPr="008F497F" w14:paraId="518EF364" w14:textId="77777777" w:rsidTr="009111A6">
        <w:trPr>
          <w:tblCellSpacing w:w="15" w:type="dxa"/>
        </w:trPr>
        <w:tc>
          <w:tcPr>
            <w:tcW w:w="4967" w:type="pct"/>
            <w:gridSpan w:val="14"/>
            <w:tcBorders>
              <w:top w:val="outset" w:sz="6" w:space="0" w:color="auto"/>
              <w:left w:val="outset" w:sz="6" w:space="0" w:color="auto"/>
              <w:bottom w:val="outset" w:sz="6" w:space="0" w:color="auto"/>
              <w:right w:val="outset" w:sz="6" w:space="0" w:color="A0A0A0"/>
            </w:tcBorders>
          </w:tcPr>
          <w:p w14:paraId="3A1BA4D3" w14:textId="77777777" w:rsidR="009111A6" w:rsidRPr="008F497F" w:rsidRDefault="009111A6"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12.pants</w:t>
            </w:r>
          </w:p>
        </w:tc>
      </w:tr>
      <w:tr w:rsidR="009E57AA" w:rsidRPr="008F497F" w14:paraId="065933A7"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741C1AC4" w14:textId="77777777" w:rsidR="00F520A4" w:rsidRDefault="009111A6"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904" w:type="pct"/>
            <w:tcBorders>
              <w:top w:val="outset" w:sz="6" w:space="0" w:color="auto"/>
              <w:left w:val="outset" w:sz="6" w:space="0" w:color="auto"/>
              <w:bottom w:val="outset" w:sz="6" w:space="0" w:color="auto"/>
              <w:right w:val="outset" w:sz="6" w:space="0" w:color="auto"/>
            </w:tcBorders>
          </w:tcPr>
          <w:p w14:paraId="753BD06E" w14:textId="77777777" w:rsidR="00F520A4" w:rsidRPr="008F497F" w:rsidRDefault="00D51941"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12B7F64A" w14:textId="77777777" w:rsidR="00F520A4" w:rsidRPr="008F497F" w:rsidRDefault="00D51941"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36701EC5" w14:textId="77777777" w:rsidR="00F520A4" w:rsidRPr="008F497F" w:rsidRDefault="00A75A73"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9E57AA" w:rsidRPr="008F497F" w14:paraId="5B008554"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271F371B" w14:textId="77777777" w:rsidR="00F520A4" w:rsidRDefault="009111A6"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904" w:type="pct"/>
            <w:tcBorders>
              <w:top w:val="outset" w:sz="6" w:space="0" w:color="auto"/>
              <w:left w:val="outset" w:sz="6" w:space="0" w:color="auto"/>
              <w:bottom w:val="outset" w:sz="6" w:space="0" w:color="auto"/>
              <w:right w:val="outset" w:sz="6" w:space="0" w:color="auto"/>
            </w:tcBorders>
          </w:tcPr>
          <w:p w14:paraId="7391CB71" w14:textId="77777777" w:rsidR="00F520A4" w:rsidRPr="008F497F" w:rsidRDefault="00D51941"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3B369694" w14:textId="77777777" w:rsidR="00F520A4" w:rsidRPr="008F497F" w:rsidRDefault="00D51941"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383B6E3A" w14:textId="77777777" w:rsidR="00F520A4" w:rsidRPr="008F497F" w:rsidRDefault="00A75A73"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9E57AA" w:rsidRPr="008F497F" w14:paraId="726DD457"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3E07D4B0" w14:textId="77777777" w:rsidR="00F520A4" w:rsidRDefault="009111A6"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904" w:type="pct"/>
            <w:tcBorders>
              <w:top w:val="outset" w:sz="6" w:space="0" w:color="auto"/>
              <w:left w:val="outset" w:sz="6" w:space="0" w:color="auto"/>
              <w:bottom w:val="outset" w:sz="6" w:space="0" w:color="auto"/>
              <w:right w:val="outset" w:sz="6" w:space="0" w:color="auto"/>
            </w:tcBorders>
          </w:tcPr>
          <w:p w14:paraId="4D77305D" w14:textId="77777777" w:rsidR="00F520A4" w:rsidRPr="008F497F" w:rsidRDefault="00D51941"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7087441D" w14:textId="77777777" w:rsidR="00F520A4" w:rsidRPr="008F497F" w:rsidRDefault="00D51941"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104CEEB2" w14:textId="77777777" w:rsidR="00F520A4" w:rsidRPr="008F497F" w:rsidRDefault="00A75A73"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9E57AA" w:rsidRPr="008F497F" w14:paraId="520E68E0"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7A77F7DA" w14:textId="77777777" w:rsidR="00F520A4" w:rsidRDefault="009111A6"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4.punkts</w:t>
            </w:r>
          </w:p>
        </w:tc>
        <w:tc>
          <w:tcPr>
            <w:tcW w:w="904" w:type="pct"/>
            <w:tcBorders>
              <w:top w:val="outset" w:sz="6" w:space="0" w:color="auto"/>
              <w:left w:val="outset" w:sz="6" w:space="0" w:color="auto"/>
              <w:bottom w:val="outset" w:sz="6" w:space="0" w:color="auto"/>
              <w:right w:val="outset" w:sz="6" w:space="0" w:color="auto"/>
            </w:tcBorders>
          </w:tcPr>
          <w:p w14:paraId="676C55E9" w14:textId="77777777" w:rsidR="00F520A4" w:rsidRPr="008F497F" w:rsidRDefault="00D51941"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4228C541" w14:textId="77777777" w:rsidR="00F520A4" w:rsidRPr="008F497F" w:rsidRDefault="00D51941"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312420E3" w14:textId="77777777" w:rsidR="00F520A4" w:rsidRPr="008F497F" w:rsidRDefault="00A75A73"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A9556E" w:rsidRPr="008F497F" w14:paraId="05FD0164" w14:textId="77777777" w:rsidTr="00A9556E">
        <w:trPr>
          <w:tblCellSpacing w:w="15" w:type="dxa"/>
        </w:trPr>
        <w:tc>
          <w:tcPr>
            <w:tcW w:w="4967" w:type="pct"/>
            <w:gridSpan w:val="14"/>
            <w:tcBorders>
              <w:top w:val="outset" w:sz="6" w:space="0" w:color="auto"/>
              <w:left w:val="outset" w:sz="6" w:space="0" w:color="auto"/>
              <w:bottom w:val="outset" w:sz="6" w:space="0" w:color="auto"/>
              <w:right w:val="outset" w:sz="6" w:space="0" w:color="A0A0A0"/>
            </w:tcBorders>
          </w:tcPr>
          <w:p w14:paraId="0DDA2D00" w14:textId="77777777" w:rsidR="00A9556E" w:rsidRPr="008F497F" w:rsidRDefault="00A9556E"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13.pants</w:t>
            </w:r>
          </w:p>
        </w:tc>
      </w:tr>
      <w:tr w:rsidR="009E57AA" w:rsidRPr="008F497F" w14:paraId="57976BCC"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562B0922" w14:textId="77777777" w:rsidR="00F520A4" w:rsidRDefault="00FC52F0"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1.punkts</w:t>
            </w:r>
          </w:p>
        </w:tc>
        <w:tc>
          <w:tcPr>
            <w:tcW w:w="904" w:type="pct"/>
            <w:tcBorders>
              <w:top w:val="outset" w:sz="6" w:space="0" w:color="auto"/>
              <w:left w:val="outset" w:sz="6" w:space="0" w:color="auto"/>
              <w:bottom w:val="outset" w:sz="6" w:space="0" w:color="auto"/>
              <w:right w:val="outset" w:sz="6" w:space="0" w:color="auto"/>
            </w:tcBorders>
          </w:tcPr>
          <w:p w14:paraId="4C0A32D8" w14:textId="77777777" w:rsidR="00F520A4" w:rsidRPr="008F497F" w:rsidRDefault="00FC52F0"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uzliek pienākumu dalībvalstīm</w:t>
            </w:r>
          </w:p>
        </w:tc>
        <w:tc>
          <w:tcPr>
            <w:tcW w:w="1304" w:type="pct"/>
            <w:gridSpan w:val="7"/>
            <w:tcBorders>
              <w:top w:val="outset" w:sz="6" w:space="0" w:color="auto"/>
              <w:left w:val="outset" w:sz="6" w:space="0" w:color="auto"/>
              <w:bottom w:val="outset" w:sz="6" w:space="0" w:color="auto"/>
              <w:right w:val="outset" w:sz="6" w:space="0" w:color="auto"/>
            </w:tcBorders>
          </w:tcPr>
          <w:p w14:paraId="3E4D6BF9" w14:textId="77777777" w:rsidR="00F520A4" w:rsidRPr="008F497F" w:rsidRDefault="00FC52F0"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3B3411B0" w14:textId="77777777" w:rsidR="00F520A4" w:rsidRPr="008F497F" w:rsidRDefault="00FC52F0"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9E57AA" w:rsidRPr="008F497F" w14:paraId="7905C1F7"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670F494C" w14:textId="77777777" w:rsidR="00F520A4" w:rsidRDefault="00FC52F0"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904" w:type="pct"/>
            <w:tcBorders>
              <w:top w:val="outset" w:sz="6" w:space="0" w:color="auto"/>
              <w:left w:val="outset" w:sz="6" w:space="0" w:color="auto"/>
              <w:bottom w:val="outset" w:sz="6" w:space="0" w:color="auto"/>
              <w:right w:val="outset" w:sz="6" w:space="0" w:color="auto"/>
            </w:tcBorders>
          </w:tcPr>
          <w:p w14:paraId="507BE0CB" w14:textId="77777777" w:rsidR="00F520A4" w:rsidRPr="008F497F" w:rsidRDefault="00FC52F0"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uzliek pienākumu dalībvalstīm</w:t>
            </w:r>
          </w:p>
        </w:tc>
        <w:tc>
          <w:tcPr>
            <w:tcW w:w="1304" w:type="pct"/>
            <w:gridSpan w:val="7"/>
            <w:tcBorders>
              <w:top w:val="outset" w:sz="6" w:space="0" w:color="auto"/>
              <w:left w:val="outset" w:sz="6" w:space="0" w:color="auto"/>
              <w:bottom w:val="outset" w:sz="6" w:space="0" w:color="auto"/>
              <w:right w:val="outset" w:sz="6" w:space="0" w:color="auto"/>
            </w:tcBorders>
          </w:tcPr>
          <w:p w14:paraId="3B6BB313" w14:textId="77777777" w:rsidR="00F520A4" w:rsidRPr="008F497F" w:rsidRDefault="00FC52F0"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2DC1A5E3" w14:textId="77777777" w:rsidR="00F520A4" w:rsidRPr="008F497F" w:rsidRDefault="00FC52F0"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B057A4" w:rsidRPr="008F497F" w14:paraId="782A0CE8"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6CEF0C06" w14:textId="77777777" w:rsidR="00A9556E" w:rsidRDefault="0009518D"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904" w:type="pct"/>
            <w:tcBorders>
              <w:top w:val="outset" w:sz="6" w:space="0" w:color="auto"/>
              <w:left w:val="outset" w:sz="6" w:space="0" w:color="auto"/>
              <w:bottom w:val="outset" w:sz="6" w:space="0" w:color="auto"/>
              <w:right w:val="outset" w:sz="6" w:space="0" w:color="auto"/>
            </w:tcBorders>
          </w:tcPr>
          <w:p w14:paraId="29AD4694" w14:textId="77777777" w:rsidR="00A9556E" w:rsidRPr="008F497F" w:rsidRDefault="0009518D"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uzliek pienākumu Eiropas Komisijai</w:t>
            </w:r>
          </w:p>
        </w:tc>
        <w:tc>
          <w:tcPr>
            <w:tcW w:w="1304" w:type="pct"/>
            <w:gridSpan w:val="7"/>
            <w:tcBorders>
              <w:top w:val="outset" w:sz="6" w:space="0" w:color="auto"/>
              <w:left w:val="outset" w:sz="6" w:space="0" w:color="auto"/>
              <w:bottom w:val="outset" w:sz="6" w:space="0" w:color="auto"/>
              <w:right w:val="outset" w:sz="6" w:space="0" w:color="auto"/>
            </w:tcBorders>
          </w:tcPr>
          <w:p w14:paraId="7779741A" w14:textId="77777777" w:rsidR="00A9556E" w:rsidRPr="008F497F" w:rsidRDefault="0009518D"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09680F92" w14:textId="77777777" w:rsidR="00A9556E" w:rsidRPr="008F497F" w:rsidRDefault="0009518D"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B057A4" w:rsidRPr="008F497F" w14:paraId="7F05330B"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003E1B51" w14:textId="77777777" w:rsidR="00A9556E" w:rsidRDefault="0009518D"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14.pants</w:t>
            </w:r>
          </w:p>
        </w:tc>
        <w:tc>
          <w:tcPr>
            <w:tcW w:w="904" w:type="pct"/>
            <w:tcBorders>
              <w:top w:val="outset" w:sz="6" w:space="0" w:color="auto"/>
              <w:left w:val="outset" w:sz="6" w:space="0" w:color="auto"/>
              <w:bottom w:val="outset" w:sz="6" w:space="0" w:color="auto"/>
              <w:right w:val="outset" w:sz="6" w:space="0" w:color="auto"/>
            </w:tcBorders>
          </w:tcPr>
          <w:p w14:paraId="69AAAFCA" w14:textId="77777777" w:rsidR="00A9556E" w:rsidRPr="008F497F" w:rsidRDefault="0009518D"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ar to atceļ citu regulu</w:t>
            </w:r>
          </w:p>
        </w:tc>
        <w:tc>
          <w:tcPr>
            <w:tcW w:w="1304" w:type="pct"/>
            <w:gridSpan w:val="7"/>
            <w:tcBorders>
              <w:top w:val="outset" w:sz="6" w:space="0" w:color="auto"/>
              <w:left w:val="outset" w:sz="6" w:space="0" w:color="auto"/>
              <w:bottom w:val="outset" w:sz="6" w:space="0" w:color="auto"/>
              <w:right w:val="outset" w:sz="6" w:space="0" w:color="auto"/>
            </w:tcBorders>
          </w:tcPr>
          <w:p w14:paraId="5426CF85" w14:textId="77777777" w:rsidR="00A9556E" w:rsidRPr="008F497F" w:rsidRDefault="004463FF"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6FF40232" w14:textId="77777777" w:rsidR="00A9556E" w:rsidRPr="008F497F" w:rsidRDefault="004463FF"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B057A4" w:rsidRPr="008F497F" w14:paraId="6769EDDF"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05842902" w14:textId="77777777" w:rsidR="00A9556E" w:rsidRDefault="004463FF"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15.pants</w:t>
            </w:r>
          </w:p>
        </w:tc>
        <w:tc>
          <w:tcPr>
            <w:tcW w:w="904" w:type="pct"/>
            <w:tcBorders>
              <w:top w:val="outset" w:sz="6" w:space="0" w:color="auto"/>
              <w:left w:val="outset" w:sz="6" w:space="0" w:color="auto"/>
              <w:bottom w:val="outset" w:sz="6" w:space="0" w:color="auto"/>
              <w:right w:val="outset" w:sz="6" w:space="0" w:color="auto"/>
            </w:tcBorders>
          </w:tcPr>
          <w:p w14:paraId="3A25D684" w14:textId="77777777" w:rsidR="00A9556E" w:rsidRPr="008F497F" w:rsidRDefault="004463FF"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tas regulē regulas spēkā stāšanos</w:t>
            </w:r>
          </w:p>
        </w:tc>
        <w:tc>
          <w:tcPr>
            <w:tcW w:w="1304" w:type="pct"/>
            <w:gridSpan w:val="7"/>
            <w:tcBorders>
              <w:top w:val="outset" w:sz="6" w:space="0" w:color="auto"/>
              <w:left w:val="outset" w:sz="6" w:space="0" w:color="auto"/>
              <w:bottom w:val="outset" w:sz="6" w:space="0" w:color="auto"/>
              <w:right w:val="outset" w:sz="6" w:space="0" w:color="auto"/>
            </w:tcBorders>
          </w:tcPr>
          <w:p w14:paraId="58A366E9" w14:textId="77777777" w:rsidR="00A9556E" w:rsidRPr="008F497F" w:rsidRDefault="004463FF"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0FAFD423" w14:textId="77777777" w:rsidR="00A9556E" w:rsidRPr="008F497F" w:rsidRDefault="004463FF"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65AFE" w:rsidRPr="008F497F" w14:paraId="4D37D9C1"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65D775D3" w14:textId="77777777" w:rsidR="00765AFE" w:rsidRDefault="00765AFE"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1.pielikums</w:t>
            </w:r>
          </w:p>
        </w:tc>
        <w:tc>
          <w:tcPr>
            <w:tcW w:w="904" w:type="pct"/>
            <w:tcBorders>
              <w:top w:val="outset" w:sz="6" w:space="0" w:color="auto"/>
              <w:left w:val="outset" w:sz="6" w:space="0" w:color="auto"/>
              <w:bottom w:val="outset" w:sz="6" w:space="0" w:color="auto"/>
              <w:right w:val="outset" w:sz="6" w:space="0" w:color="auto"/>
            </w:tcBorders>
          </w:tcPr>
          <w:p w14:paraId="15D01C7C" w14:textId="77777777" w:rsidR="00765AFE" w:rsidRDefault="00765AFE"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6BE18C0C" w14:textId="77777777" w:rsidR="00765AFE" w:rsidRDefault="00765AFE"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46C6A1BE" w14:textId="77777777" w:rsidR="00765AFE" w:rsidRPr="004D559A" w:rsidRDefault="00765AFE"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765AFE" w:rsidRPr="008F497F" w14:paraId="7EE77A03"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72A991E2" w14:textId="77777777" w:rsidR="00765AFE" w:rsidRDefault="00190991"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2.pielikums</w:t>
            </w:r>
          </w:p>
        </w:tc>
        <w:tc>
          <w:tcPr>
            <w:tcW w:w="904" w:type="pct"/>
            <w:tcBorders>
              <w:top w:val="outset" w:sz="6" w:space="0" w:color="auto"/>
              <w:left w:val="outset" w:sz="6" w:space="0" w:color="auto"/>
              <w:bottom w:val="outset" w:sz="6" w:space="0" w:color="auto"/>
              <w:right w:val="outset" w:sz="6" w:space="0" w:color="auto"/>
            </w:tcBorders>
          </w:tcPr>
          <w:p w14:paraId="6E4E83F5" w14:textId="77777777" w:rsidR="00765AFE" w:rsidRDefault="00190991"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55294DC1" w14:textId="77777777" w:rsidR="00765AFE" w:rsidRDefault="00190991"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2C98D9C7" w14:textId="77777777" w:rsidR="00765AFE" w:rsidRPr="004D559A" w:rsidRDefault="00190991"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190991" w:rsidRPr="008F497F" w14:paraId="68FEB563"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1140B350" w14:textId="77777777" w:rsidR="00190991" w:rsidRDefault="00190991"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3.pielikums</w:t>
            </w:r>
          </w:p>
        </w:tc>
        <w:tc>
          <w:tcPr>
            <w:tcW w:w="904" w:type="pct"/>
            <w:tcBorders>
              <w:top w:val="outset" w:sz="6" w:space="0" w:color="auto"/>
              <w:left w:val="outset" w:sz="6" w:space="0" w:color="auto"/>
              <w:bottom w:val="outset" w:sz="6" w:space="0" w:color="auto"/>
              <w:right w:val="outset" w:sz="6" w:space="0" w:color="auto"/>
            </w:tcBorders>
          </w:tcPr>
          <w:p w14:paraId="7A2BBF07" w14:textId="77777777" w:rsidR="00190991" w:rsidRDefault="00190991"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7B4C6DDE" w14:textId="77777777" w:rsidR="00190991" w:rsidRDefault="00190991" w:rsidP="00AF7E6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3E1FE771" w14:textId="77777777" w:rsidR="00190991" w:rsidRPr="004D559A" w:rsidRDefault="00190991" w:rsidP="00AF7E61">
            <w:pPr>
              <w:spacing w:after="0" w:line="240" w:lineRule="auto"/>
              <w:rPr>
                <w:rFonts w:ascii="Times New Roman" w:eastAsia="Times New Roman" w:hAnsi="Times New Roman" w:cs="Times New Roman"/>
                <w:iCs/>
                <w:color w:val="414142"/>
                <w:sz w:val="24"/>
                <w:szCs w:val="24"/>
                <w:lang w:eastAsia="lv-LV"/>
              </w:rPr>
            </w:pPr>
            <w:r w:rsidRPr="004D559A">
              <w:rPr>
                <w:rFonts w:ascii="Times New Roman" w:eastAsia="Times New Roman" w:hAnsi="Times New Roman" w:cs="Times New Roman"/>
                <w:iCs/>
                <w:color w:val="414142"/>
                <w:sz w:val="24"/>
                <w:szCs w:val="24"/>
                <w:lang w:eastAsia="lv-LV"/>
              </w:rPr>
              <w:t>Nav attiecināms</w:t>
            </w:r>
          </w:p>
        </w:tc>
      </w:tr>
      <w:tr w:rsidR="00A558B6" w:rsidRPr="008F497F" w14:paraId="6B8B1AA4"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hideMark/>
          </w:tcPr>
          <w:p w14:paraId="0E8180EB" w14:textId="77777777" w:rsidR="008F497F" w:rsidRPr="008F497F" w:rsidRDefault="008F497F" w:rsidP="00AF7E61">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Kā ir izmantota ES tiesību aktā paredzētā rīcības brīvība dalībvalstij pārņemt vai ieviest noteiktas ES tiesību akta normas? Kādēļ?</w:t>
            </w:r>
          </w:p>
        </w:tc>
        <w:tc>
          <w:tcPr>
            <w:tcW w:w="4113" w:type="pct"/>
            <w:gridSpan w:val="9"/>
            <w:tcBorders>
              <w:top w:val="outset" w:sz="6" w:space="0" w:color="auto"/>
              <w:left w:val="outset" w:sz="6" w:space="0" w:color="auto"/>
              <w:bottom w:val="outset" w:sz="6" w:space="0" w:color="auto"/>
              <w:right w:val="outset" w:sz="6" w:space="0" w:color="auto"/>
            </w:tcBorders>
            <w:hideMark/>
          </w:tcPr>
          <w:p w14:paraId="193B64B5" w14:textId="7AEC1E91" w:rsidR="008F497F" w:rsidRDefault="00AF7E61" w:rsidP="00A8577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w:t>
            </w:r>
            <w:r w:rsidR="002C4F41">
              <w:rPr>
                <w:rFonts w:ascii="Times New Roman" w:eastAsia="Times New Roman" w:hAnsi="Times New Roman" w:cs="Times New Roman"/>
                <w:iCs/>
                <w:sz w:val="24"/>
                <w:szCs w:val="24"/>
                <w:lang w:eastAsia="lv-LV"/>
              </w:rPr>
              <w:t>Regulas 3.panta 7.punkts dod iespēju paredzēt, ka licences izdod uz ierobežotu termiņu  - līdz trīs gadiem. Projekts paredz beztermiņa licenci</w:t>
            </w:r>
            <w:r w:rsidR="00461027">
              <w:rPr>
                <w:rFonts w:ascii="Times New Roman" w:eastAsia="Times New Roman" w:hAnsi="Times New Roman" w:cs="Times New Roman"/>
                <w:iCs/>
                <w:sz w:val="24"/>
                <w:szCs w:val="24"/>
                <w:lang w:eastAsia="lv-LV"/>
              </w:rPr>
              <w:t>, lai neapgrūtinātu komersantus ar atkārtotu licencēšanu, kas pēc būtības ir formālu darbību veikšana bez jebkāda racionāla vai faktiska pamata.  Tā vietā, lai nodrošinātu operatoru atbilstību normatīvo aktu prasībām, Veselības inspekcija veiks plānveida kontroles</w:t>
            </w:r>
            <w:r w:rsidR="008C08EE">
              <w:rPr>
                <w:rFonts w:ascii="Times New Roman" w:eastAsia="Times New Roman" w:hAnsi="Times New Roman" w:cs="Times New Roman"/>
                <w:iCs/>
                <w:sz w:val="24"/>
                <w:szCs w:val="24"/>
                <w:lang w:eastAsia="lv-LV"/>
              </w:rPr>
              <w:t xml:space="preserve"> vismaz reizi trīs gados</w:t>
            </w:r>
            <w:r w:rsidR="00461027">
              <w:rPr>
                <w:rFonts w:ascii="Times New Roman" w:eastAsia="Times New Roman" w:hAnsi="Times New Roman" w:cs="Times New Roman"/>
                <w:iCs/>
                <w:sz w:val="24"/>
                <w:szCs w:val="24"/>
                <w:lang w:eastAsia="lv-LV"/>
              </w:rPr>
              <w:t>.</w:t>
            </w:r>
          </w:p>
          <w:p w14:paraId="1693231D" w14:textId="6FF89972" w:rsidR="00DC67D4" w:rsidRDefault="00AF7E61" w:rsidP="00A8577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2. </w:t>
            </w:r>
            <w:r w:rsidR="00DC67D4">
              <w:rPr>
                <w:rFonts w:ascii="Times New Roman" w:eastAsia="Times New Roman" w:hAnsi="Times New Roman" w:cs="Times New Roman"/>
                <w:iCs/>
                <w:sz w:val="24"/>
                <w:szCs w:val="24"/>
                <w:lang w:eastAsia="lv-LV"/>
              </w:rPr>
              <w:t xml:space="preserve">Regulas 4.pants dod iespēju atbrīvot no prasības pēc licences </w:t>
            </w:r>
            <w:r w:rsidR="004012AD">
              <w:rPr>
                <w:rFonts w:ascii="Times New Roman" w:eastAsia="Times New Roman" w:hAnsi="Times New Roman" w:cs="Times New Roman"/>
                <w:iCs/>
                <w:sz w:val="24"/>
                <w:szCs w:val="24"/>
                <w:lang w:eastAsia="lv-LV"/>
              </w:rPr>
              <w:t>a</w:t>
            </w:r>
            <w:r w:rsidR="004012AD" w:rsidRPr="004012AD">
              <w:rPr>
                <w:rFonts w:ascii="Times New Roman" w:eastAsia="Times New Roman" w:hAnsi="Times New Roman" w:cs="Times New Roman"/>
                <w:iCs/>
                <w:sz w:val="24"/>
                <w:szCs w:val="24"/>
                <w:lang w:eastAsia="lv-LV"/>
              </w:rPr>
              <w:t>ptiekas, veterinārmedicīnas iestādes, muit</w:t>
            </w:r>
            <w:r w:rsidR="004012AD">
              <w:rPr>
                <w:rFonts w:ascii="Times New Roman" w:eastAsia="Times New Roman" w:hAnsi="Times New Roman" w:cs="Times New Roman"/>
                <w:iCs/>
                <w:sz w:val="24"/>
                <w:szCs w:val="24"/>
                <w:lang w:eastAsia="lv-LV"/>
              </w:rPr>
              <w:t>u</w:t>
            </w:r>
            <w:r w:rsidR="004012AD" w:rsidRPr="004012AD">
              <w:rPr>
                <w:rFonts w:ascii="Times New Roman" w:eastAsia="Times New Roman" w:hAnsi="Times New Roman" w:cs="Times New Roman"/>
                <w:iCs/>
                <w:sz w:val="24"/>
                <w:szCs w:val="24"/>
                <w:lang w:eastAsia="lv-LV"/>
              </w:rPr>
              <w:t>, policij</w:t>
            </w:r>
            <w:r w:rsidR="004012AD">
              <w:rPr>
                <w:rFonts w:ascii="Times New Roman" w:eastAsia="Times New Roman" w:hAnsi="Times New Roman" w:cs="Times New Roman"/>
                <w:iCs/>
                <w:sz w:val="24"/>
                <w:szCs w:val="24"/>
                <w:lang w:eastAsia="lv-LV"/>
              </w:rPr>
              <w:t>u</w:t>
            </w:r>
            <w:r w:rsidR="004012AD" w:rsidRPr="004012AD">
              <w:rPr>
                <w:rFonts w:ascii="Times New Roman" w:eastAsia="Times New Roman" w:hAnsi="Times New Roman" w:cs="Times New Roman"/>
                <w:iCs/>
                <w:sz w:val="24"/>
                <w:szCs w:val="24"/>
                <w:lang w:eastAsia="lv-LV"/>
              </w:rPr>
              <w:t>, bruņot</w:t>
            </w:r>
            <w:r w:rsidR="004012AD">
              <w:rPr>
                <w:rFonts w:ascii="Times New Roman" w:eastAsia="Times New Roman" w:hAnsi="Times New Roman" w:cs="Times New Roman"/>
                <w:iCs/>
                <w:sz w:val="24"/>
                <w:szCs w:val="24"/>
                <w:lang w:eastAsia="lv-LV"/>
              </w:rPr>
              <w:t>os</w:t>
            </w:r>
            <w:r w:rsidR="004012AD" w:rsidRPr="004012AD">
              <w:rPr>
                <w:rFonts w:ascii="Times New Roman" w:eastAsia="Times New Roman" w:hAnsi="Times New Roman" w:cs="Times New Roman"/>
                <w:iCs/>
                <w:sz w:val="24"/>
                <w:szCs w:val="24"/>
                <w:lang w:eastAsia="lv-LV"/>
              </w:rPr>
              <w:t xml:space="preserve"> spēk</w:t>
            </w:r>
            <w:r w:rsidR="004012AD">
              <w:rPr>
                <w:rFonts w:ascii="Times New Roman" w:eastAsia="Times New Roman" w:hAnsi="Times New Roman" w:cs="Times New Roman"/>
                <w:iCs/>
                <w:sz w:val="24"/>
                <w:szCs w:val="24"/>
                <w:lang w:eastAsia="lv-LV"/>
              </w:rPr>
              <w:t>us</w:t>
            </w:r>
            <w:r w:rsidR="004012AD" w:rsidRPr="004012AD">
              <w:rPr>
                <w:rFonts w:ascii="Times New Roman" w:eastAsia="Times New Roman" w:hAnsi="Times New Roman" w:cs="Times New Roman"/>
                <w:iCs/>
                <w:sz w:val="24"/>
                <w:szCs w:val="24"/>
                <w:lang w:eastAsia="lv-LV"/>
              </w:rPr>
              <w:t xml:space="preserve"> un kompetento iestāžu oficiālās laboratorijas</w:t>
            </w:r>
            <w:r w:rsidR="004012AD">
              <w:rPr>
                <w:rFonts w:ascii="Times New Roman" w:eastAsia="Times New Roman" w:hAnsi="Times New Roman" w:cs="Times New Roman"/>
                <w:iCs/>
                <w:sz w:val="24"/>
                <w:szCs w:val="24"/>
                <w:lang w:eastAsia="lv-LV"/>
              </w:rPr>
              <w:t xml:space="preserve">. Projekts </w:t>
            </w:r>
            <w:r w:rsidR="008C08EE">
              <w:rPr>
                <w:rFonts w:ascii="Times New Roman" w:eastAsia="Times New Roman" w:hAnsi="Times New Roman" w:cs="Times New Roman"/>
                <w:iCs/>
                <w:sz w:val="24"/>
                <w:szCs w:val="24"/>
                <w:lang w:eastAsia="lv-LV"/>
              </w:rPr>
              <w:t>ne</w:t>
            </w:r>
            <w:r w:rsidR="004012AD">
              <w:rPr>
                <w:rFonts w:ascii="Times New Roman" w:eastAsia="Times New Roman" w:hAnsi="Times New Roman" w:cs="Times New Roman"/>
                <w:iCs/>
                <w:sz w:val="24"/>
                <w:szCs w:val="24"/>
                <w:lang w:eastAsia="lv-LV"/>
              </w:rPr>
              <w:t>paredz</w:t>
            </w:r>
            <w:r w:rsidR="008C08EE">
              <w:rPr>
                <w:rFonts w:ascii="Times New Roman" w:eastAsia="Times New Roman" w:hAnsi="Times New Roman" w:cs="Times New Roman"/>
                <w:iCs/>
                <w:sz w:val="24"/>
                <w:szCs w:val="24"/>
                <w:lang w:eastAsia="lv-LV"/>
              </w:rPr>
              <w:t xml:space="preserve"> izmantot šo iespēju un minētās organizācijas netiks ar normatīvo aktu atbrīvotas no prasības pēc licences, jo </w:t>
            </w:r>
            <w:r w:rsidR="008C08EE" w:rsidRPr="004012AD">
              <w:rPr>
                <w:rFonts w:ascii="Times New Roman" w:eastAsia="Times New Roman" w:hAnsi="Times New Roman" w:cs="Times New Roman"/>
                <w:iCs/>
                <w:sz w:val="24"/>
                <w:szCs w:val="24"/>
                <w:lang w:eastAsia="lv-LV"/>
              </w:rPr>
              <w:t>muit</w:t>
            </w:r>
            <w:r w:rsidR="008C08EE">
              <w:rPr>
                <w:rFonts w:ascii="Times New Roman" w:eastAsia="Times New Roman" w:hAnsi="Times New Roman" w:cs="Times New Roman"/>
                <w:iCs/>
                <w:sz w:val="24"/>
                <w:szCs w:val="24"/>
                <w:lang w:eastAsia="lv-LV"/>
              </w:rPr>
              <w:t>a</w:t>
            </w:r>
            <w:r w:rsidR="008C08EE" w:rsidRPr="004012AD">
              <w:rPr>
                <w:rFonts w:ascii="Times New Roman" w:eastAsia="Times New Roman" w:hAnsi="Times New Roman" w:cs="Times New Roman"/>
                <w:iCs/>
                <w:sz w:val="24"/>
                <w:szCs w:val="24"/>
                <w:lang w:eastAsia="lv-LV"/>
              </w:rPr>
              <w:t>, policij</w:t>
            </w:r>
            <w:r w:rsidR="008C08EE">
              <w:rPr>
                <w:rFonts w:ascii="Times New Roman" w:eastAsia="Times New Roman" w:hAnsi="Times New Roman" w:cs="Times New Roman"/>
                <w:iCs/>
                <w:sz w:val="24"/>
                <w:szCs w:val="24"/>
                <w:lang w:eastAsia="lv-LV"/>
              </w:rPr>
              <w:t>a un</w:t>
            </w:r>
            <w:r w:rsidR="008C08EE" w:rsidRPr="004012AD">
              <w:rPr>
                <w:rFonts w:ascii="Times New Roman" w:eastAsia="Times New Roman" w:hAnsi="Times New Roman" w:cs="Times New Roman"/>
                <w:iCs/>
                <w:sz w:val="24"/>
                <w:szCs w:val="24"/>
                <w:lang w:eastAsia="lv-LV"/>
              </w:rPr>
              <w:t xml:space="preserve"> bruņot</w:t>
            </w:r>
            <w:r w:rsidR="008C08EE">
              <w:rPr>
                <w:rFonts w:ascii="Times New Roman" w:eastAsia="Times New Roman" w:hAnsi="Times New Roman" w:cs="Times New Roman"/>
                <w:iCs/>
                <w:sz w:val="24"/>
                <w:szCs w:val="24"/>
                <w:lang w:eastAsia="lv-LV"/>
              </w:rPr>
              <w:t>ie</w:t>
            </w:r>
            <w:r w:rsidR="008C08EE" w:rsidRPr="004012AD">
              <w:rPr>
                <w:rFonts w:ascii="Times New Roman" w:eastAsia="Times New Roman" w:hAnsi="Times New Roman" w:cs="Times New Roman"/>
                <w:iCs/>
                <w:sz w:val="24"/>
                <w:szCs w:val="24"/>
                <w:lang w:eastAsia="lv-LV"/>
              </w:rPr>
              <w:t xml:space="preserve"> spēk</w:t>
            </w:r>
            <w:r w:rsidR="008C08EE">
              <w:rPr>
                <w:rFonts w:ascii="Times New Roman" w:eastAsia="Times New Roman" w:hAnsi="Times New Roman" w:cs="Times New Roman"/>
                <w:iCs/>
                <w:sz w:val="24"/>
                <w:szCs w:val="24"/>
                <w:lang w:eastAsia="lv-LV"/>
              </w:rPr>
              <w:t>i</w:t>
            </w:r>
            <w:r w:rsidR="00FB15C4">
              <w:rPr>
                <w:rFonts w:ascii="Times New Roman" w:eastAsia="Times New Roman" w:hAnsi="Times New Roman" w:cs="Times New Roman"/>
                <w:iCs/>
                <w:sz w:val="24"/>
                <w:szCs w:val="24"/>
                <w:lang w:eastAsia="lv-LV"/>
              </w:rPr>
              <w:t xml:space="preserve"> parasti</w:t>
            </w:r>
            <w:r w:rsidR="008C08EE">
              <w:rPr>
                <w:rFonts w:ascii="Times New Roman" w:eastAsia="Times New Roman" w:hAnsi="Times New Roman" w:cs="Times New Roman"/>
                <w:iCs/>
                <w:sz w:val="24"/>
                <w:szCs w:val="24"/>
                <w:lang w:eastAsia="lv-LV"/>
              </w:rPr>
              <w:t xml:space="preserve"> nelieto prekursorus</w:t>
            </w:r>
            <w:r w:rsidR="00FB15C4">
              <w:rPr>
                <w:rFonts w:ascii="Times New Roman" w:eastAsia="Times New Roman" w:hAnsi="Times New Roman" w:cs="Times New Roman"/>
                <w:iCs/>
                <w:sz w:val="24"/>
                <w:szCs w:val="24"/>
                <w:lang w:eastAsia="lv-LV"/>
              </w:rPr>
              <w:t>, bet, ja lieto, tad ne</w:t>
            </w:r>
            <w:r w:rsidR="008C08EE">
              <w:rPr>
                <w:rFonts w:ascii="Times New Roman" w:eastAsia="Times New Roman" w:hAnsi="Times New Roman" w:cs="Times New Roman"/>
                <w:iCs/>
                <w:sz w:val="24"/>
                <w:szCs w:val="24"/>
                <w:lang w:eastAsia="lv-LV"/>
              </w:rPr>
              <w:t xml:space="preserve"> tādos daudzumos, lai uz šīm iestādēm varētu attiecināt pienākumu saņemt licenci.</w:t>
            </w:r>
            <w:r w:rsidR="00FB15C4">
              <w:rPr>
                <w:rFonts w:ascii="Times New Roman" w:eastAsia="Times New Roman" w:hAnsi="Times New Roman" w:cs="Times New Roman"/>
                <w:iCs/>
                <w:sz w:val="24"/>
                <w:szCs w:val="24"/>
                <w:lang w:eastAsia="lv-LV"/>
              </w:rPr>
              <w:t xml:space="preserve"> Vajadzības gadījumā šo regulas 4.pantu Zāļu valsts aģentūra var piemērot un ir piemērojusi arī tieši.</w:t>
            </w:r>
            <w:r w:rsidR="008C08EE">
              <w:rPr>
                <w:rFonts w:ascii="Times New Roman" w:eastAsia="Times New Roman" w:hAnsi="Times New Roman" w:cs="Times New Roman"/>
                <w:iCs/>
                <w:sz w:val="24"/>
                <w:szCs w:val="24"/>
                <w:lang w:eastAsia="lv-LV"/>
              </w:rPr>
              <w:t xml:space="preserve"> </w:t>
            </w:r>
            <w:r w:rsidR="00FB15C4">
              <w:rPr>
                <w:rFonts w:ascii="Times New Roman" w:eastAsia="Times New Roman" w:hAnsi="Times New Roman" w:cs="Times New Roman"/>
                <w:iCs/>
                <w:sz w:val="24"/>
                <w:szCs w:val="24"/>
                <w:lang w:eastAsia="lv-LV"/>
              </w:rPr>
              <w:t>Savukārt</w:t>
            </w:r>
            <w:r w:rsidR="008C08EE">
              <w:rPr>
                <w:rFonts w:ascii="Times New Roman" w:eastAsia="Times New Roman" w:hAnsi="Times New Roman" w:cs="Times New Roman"/>
                <w:iCs/>
                <w:sz w:val="24"/>
                <w:szCs w:val="24"/>
                <w:lang w:eastAsia="lv-LV"/>
              </w:rPr>
              <w:t xml:space="preserve"> aptiekas un </w:t>
            </w:r>
            <w:r w:rsidR="008C08EE" w:rsidRPr="004012AD">
              <w:rPr>
                <w:rFonts w:ascii="Times New Roman" w:eastAsia="Times New Roman" w:hAnsi="Times New Roman" w:cs="Times New Roman"/>
                <w:iCs/>
                <w:sz w:val="24"/>
                <w:szCs w:val="24"/>
                <w:lang w:eastAsia="lv-LV"/>
              </w:rPr>
              <w:t>kompetento iestāžu oficiālās laboratorijas</w:t>
            </w:r>
            <w:r w:rsidR="008C08EE">
              <w:rPr>
                <w:rFonts w:ascii="Times New Roman" w:eastAsia="Times New Roman" w:hAnsi="Times New Roman" w:cs="Times New Roman"/>
                <w:iCs/>
                <w:sz w:val="24"/>
                <w:szCs w:val="24"/>
                <w:lang w:eastAsia="lv-LV"/>
              </w:rPr>
              <w:t xml:space="preserve"> jau ir saņēmušas licenc</w:t>
            </w:r>
            <w:r w:rsidR="00FB15C4">
              <w:rPr>
                <w:rFonts w:ascii="Times New Roman" w:eastAsia="Times New Roman" w:hAnsi="Times New Roman" w:cs="Times New Roman"/>
                <w:iCs/>
                <w:sz w:val="24"/>
                <w:szCs w:val="24"/>
                <w:lang w:eastAsia="lv-LV"/>
              </w:rPr>
              <w:t>es darbībām ar prekursoriem.</w:t>
            </w:r>
          </w:p>
          <w:p w14:paraId="25B6BB38" w14:textId="7E160B2D" w:rsidR="006A4C15" w:rsidRDefault="00AF7E61" w:rsidP="00A8577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3. </w:t>
            </w:r>
            <w:r w:rsidR="006A4C15">
              <w:rPr>
                <w:rFonts w:ascii="Times New Roman" w:eastAsia="Times New Roman" w:hAnsi="Times New Roman" w:cs="Times New Roman"/>
                <w:iCs/>
                <w:sz w:val="24"/>
                <w:szCs w:val="24"/>
                <w:lang w:eastAsia="lv-LV"/>
              </w:rPr>
              <w:t>Regulas 6.panta a) punkts dod iespēju atbrīvot no prasības pēc reģistrācijas a</w:t>
            </w:r>
            <w:r w:rsidR="006A4C15" w:rsidRPr="004012AD">
              <w:rPr>
                <w:rFonts w:ascii="Times New Roman" w:eastAsia="Times New Roman" w:hAnsi="Times New Roman" w:cs="Times New Roman"/>
                <w:iCs/>
                <w:sz w:val="24"/>
                <w:szCs w:val="24"/>
                <w:lang w:eastAsia="lv-LV"/>
              </w:rPr>
              <w:t>ptiekas, veterinārmedicīnas iestādes, muit</w:t>
            </w:r>
            <w:r w:rsidR="006A4C15">
              <w:rPr>
                <w:rFonts w:ascii="Times New Roman" w:eastAsia="Times New Roman" w:hAnsi="Times New Roman" w:cs="Times New Roman"/>
                <w:iCs/>
                <w:sz w:val="24"/>
                <w:szCs w:val="24"/>
                <w:lang w:eastAsia="lv-LV"/>
              </w:rPr>
              <w:t>u</w:t>
            </w:r>
            <w:r w:rsidR="006A4C15" w:rsidRPr="004012AD">
              <w:rPr>
                <w:rFonts w:ascii="Times New Roman" w:eastAsia="Times New Roman" w:hAnsi="Times New Roman" w:cs="Times New Roman"/>
                <w:iCs/>
                <w:sz w:val="24"/>
                <w:szCs w:val="24"/>
                <w:lang w:eastAsia="lv-LV"/>
              </w:rPr>
              <w:t>, policij</w:t>
            </w:r>
            <w:r w:rsidR="006A4C15">
              <w:rPr>
                <w:rFonts w:ascii="Times New Roman" w:eastAsia="Times New Roman" w:hAnsi="Times New Roman" w:cs="Times New Roman"/>
                <w:iCs/>
                <w:sz w:val="24"/>
                <w:szCs w:val="24"/>
                <w:lang w:eastAsia="lv-LV"/>
              </w:rPr>
              <w:t>u</w:t>
            </w:r>
            <w:r w:rsidR="006A4C15" w:rsidRPr="004012AD">
              <w:rPr>
                <w:rFonts w:ascii="Times New Roman" w:eastAsia="Times New Roman" w:hAnsi="Times New Roman" w:cs="Times New Roman"/>
                <w:iCs/>
                <w:sz w:val="24"/>
                <w:szCs w:val="24"/>
                <w:lang w:eastAsia="lv-LV"/>
              </w:rPr>
              <w:t>, bruņot</w:t>
            </w:r>
            <w:r w:rsidR="006A4C15">
              <w:rPr>
                <w:rFonts w:ascii="Times New Roman" w:eastAsia="Times New Roman" w:hAnsi="Times New Roman" w:cs="Times New Roman"/>
                <w:iCs/>
                <w:sz w:val="24"/>
                <w:szCs w:val="24"/>
                <w:lang w:eastAsia="lv-LV"/>
              </w:rPr>
              <w:t>os</w:t>
            </w:r>
            <w:r w:rsidR="006A4C15" w:rsidRPr="004012AD">
              <w:rPr>
                <w:rFonts w:ascii="Times New Roman" w:eastAsia="Times New Roman" w:hAnsi="Times New Roman" w:cs="Times New Roman"/>
                <w:iCs/>
                <w:sz w:val="24"/>
                <w:szCs w:val="24"/>
                <w:lang w:eastAsia="lv-LV"/>
              </w:rPr>
              <w:t xml:space="preserve"> spēk</w:t>
            </w:r>
            <w:r w:rsidR="006A4C15">
              <w:rPr>
                <w:rFonts w:ascii="Times New Roman" w:eastAsia="Times New Roman" w:hAnsi="Times New Roman" w:cs="Times New Roman"/>
                <w:iCs/>
                <w:sz w:val="24"/>
                <w:szCs w:val="24"/>
                <w:lang w:eastAsia="lv-LV"/>
              </w:rPr>
              <w:t>us</w:t>
            </w:r>
            <w:r w:rsidR="006A4C15" w:rsidRPr="004012AD">
              <w:rPr>
                <w:rFonts w:ascii="Times New Roman" w:eastAsia="Times New Roman" w:hAnsi="Times New Roman" w:cs="Times New Roman"/>
                <w:iCs/>
                <w:sz w:val="24"/>
                <w:szCs w:val="24"/>
                <w:lang w:eastAsia="lv-LV"/>
              </w:rPr>
              <w:t xml:space="preserve"> un </w:t>
            </w:r>
            <w:r w:rsidR="006A4C15" w:rsidRPr="004012AD">
              <w:rPr>
                <w:rFonts w:ascii="Times New Roman" w:eastAsia="Times New Roman" w:hAnsi="Times New Roman" w:cs="Times New Roman"/>
                <w:iCs/>
                <w:sz w:val="24"/>
                <w:szCs w:val="24"/>
                <w:lang w:eastAsia="lv-LV"/>
              </w:rPr>
              <w:lastRenderedPageBreak/>
              <w:t>kompetento iestāžu oficiālās laboratorijas</w:t>
            </w:r>
            <w:r w:rsidR="006A4C15">
              <w:rPr>
                <w:rFonts w:ascii="Times New Roman" w:eastAsia="Times New Roman" w:hAnsi="Times New Roman" w:cs="Times New Roman"/>
                <w:iCs/>
                <w:sz w:val="24"/>
                <w:szCs w:val="24"/>
                <w:lang w:eastAsia="lv-LV"/>
              </w:rPr>
              <w:t xml:space="preserve">. </w:t>
            </w:r>
            <w:r w:rsidR="00A37276">
              <w:rPr>
                <w:rFonts w:ascii="Times New Roman" w:eastAsia="Times New Roman" w:hAnsi="Times New Roman" w:cs="Times New Roman"/>
                <w:iCs/>
                <w:sz w:val="24"/>
                <w:szCs w:val="24"/>
                <w:lang w:eastAsia="lv-LV"/>
              </w:rPr>
              <w:t xml:space="preserve">Projekts neparedz izmantot šo iespēju un minētās organizācijas netiks ar normatīvo aktu atbrīvotas no prasības pēc reģistrācijas, jo </w:t>
            </w:r>
            <w:r w:rsidR="00A37276" w:rsidRPr="004012AD">
              <w:rPr>
                <w:rFonts w:ascii="Times New Roman" w:eastAsia="Times New Roman" w:hAnsi="Times New Roman" w:cs="Times New Roman"/>
                <w:iCs/>
                <w:sz w:val="24"/>
                <w:szCs w:val="24"/>
                <w:lang w:eastAsia="lv-LV"/>
              </w:rPr>
              <w:t>muit</w:t>
            </w:r>
            <w:r w:rsidR="00A37276">
              <w:rPr>
                <w:rFonts w:ascii="Times New Roman" w:eastAsia="Times New Roman" w:hAnsi="Times New Roman" w:cs="Times New Roman"/>
                <w:iCs/>
                <w:sz w:val="24"/>
                <w:szCs w:val="24"/>
                <w:lang w:eastAsia="lv-LV"/>
              </w:rPr>
              <w:t>a</w:t>
            </w:r>
            <w:r w:rsidR="00A37276" w:rsidRPr="004012AD">
              <w:rPr>
                <w:rFonts w:ascii="Times New Roman" w:eastAsia="Times New Roman" w:hAnsi="Times New Roman" w:cs="Times New Roman"/>
                <w:iCs/>
                <w:sz w:val="24"/>
                <w:szCs w:val="24"/>
                <w:lang w:eastAsia="lv-LV"/>
              </w:rPr>
              <w:t>, policij</w:t>
            </w:r>
            <w:r w:rsidR="00A37276">
              <w:rPr>
                <w:rFonts w:ascii="Times New Roman" w:eastAsia="Times New Roman" w:hAnsi="Times New Roman" w:cs="Times New Roman"/>
                <w:iCs/>
                <w:sz w:val="24"/>
                <w:szCs w:val="24"/>
                <w:lang w:eastAsia="lv-LV"/>
              </w:rPr>
              <w:t>a un</w:t>
            </w:r>
            <w:r w:rsidR="00A37276" w:rsidRPr="004012AD">
              <w:rPr>
                <w:rFonts w:ascii="Times New Roman" w:eastAsia="Times New Roman" w:hAnsi="Times New Roman" w:cs="Times New Roman"/>
                <w:iCs/>
                <w:sz w:val="24"/>
                <w:szCs w:val="24"/>
                <w:lang w:eastAsia="lv-LV"/>
              </w:rPr>
              <w:t xml:space="preserve"> bruņot</w:t>
            </w:r>
            <w:r w:rsidR="00A37276">
              <w:rPr>
                <w:rFonts w:ascii="Times New Roman" w:eastAsia="Times New Roman" w:hAnsi="Times New Roman" w:cs="Times New Roman"/>
                <w:iCs/>
                <w:sz w:val="24"/>
                <w:szCs w:val="24"/>
                <w:lang w:eastAsia="lv-LV"/>
              </w:rPr>
              <w:t>ie</w:t>
            </w:r>
            <w:r w:rsidR="00A37276" w:rsidRPr="004012AD">
              <w:rPr>
                <w:rFonts w:ascii="Times New Roman" w:eastAsia="Times New Roman" w:hAnsi="Times New Roman" w:cs="Times New Roman"/>
                <w:iCs/>
                <w:sz w:val="24"/>
                <w:szCs w:val="24"/>
                <w:lang w:eastAsia="lv-LV"/>
              </w:rPr>
              <w:t xml:space="preserve"> spēk</w:t>
            </w:r>
            <w:r w:rsidR="00A37276">
              <w:rPr>
                <w:rFonts w:ascii="Times New Roman" w:eastAsia="Times New Roman" w:hAnsi="Times New Roman" w:cs="Times New Roman"/>
                <w:iCs/>
                <w:sz w:val="24"/>
                <w:szCs w:val="24"/>
                <w:lang w:eastAsia="lv-LV"/>
              </w:rPr>
              <w:t xml:space="preserve">i parasti nelieto prekursorus, bet, ja lieto, tad ne tādos daudzumos, lai uz šīm iestādēm varētu attiecināt pienākumu reģistrēties. Vajadzības gadījumā šo regulas 6.panta a) punktu Zāļu valsts aģentūra var piemērot un ir piemērojusi arī tieši. Savukārt aptiekas un </w:t>
            </w:r>
            <w:r w:rsidR="00A37276" w:rsidRPr="004012AD">
              <w:rPr>
                <w:rFonts w:ascii="Times New Roman" w:eastAsia="Times New Roman" w:hAnsi="Times New Roman" w:cs="Times New Roman"/>
                <w:iCs/>
                <w:sz w:val="24"/>
                <w:szCs w:val="24"/>
                <w:lang w:eastAsia="lv-LV"/>
              </w:rPr>
              <w:t>kompetento iestāžu oficiālās laboratorijas</w:t>
            </w:r>
            <w:r w:rsidR="00A37276">
              <w:rPr>
                <w:rFonts w:ascii="Times New Roman" w:eastAsia="Times New Roman" w:hAnsi="Times New Roman" w:cs="Times New Roman"/>
                <w:iCs/>
                <w:sz w:val="24"/>
                <w:szCs w:val="24"/>
                <w:lang w:eastAsia="lv-LV"/>
              </w:rPr>
              <w:t xml:space="preserve"> jau ir reģistrējušās darbībām ar prekursoriem.</w:t>
            </w:r>
          </w:p>
          <w:p w14:paraId="6E392936" w14:textId="77777777" w:rsidR="00AF7E61" w:rsidRDefault="00AF7E61" w:rsidP="00A8577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 Regulas 6.panta b) punkts dod iespēju atbrīvot no prasības pēc reģistrācijas</w:t>
            </w:r>
            <w:r w:rsidR="005D454A">
              <w:rPr>
                <w:rFonts w:ascii="Times New Roman" w:eastAsia="Times New Roman" w:hAnsi="Times New Roman" w:cs="Times New Roman"/>
                <w:iCs/>
                <w:sz w:val="24"/>
                <w:szCs w:val="24"/>
                <w:lang w:eastAsia="lv-LV"/>
              </w:rPr>
              <w:t xml:space="preserve"> p</w:t>
            </w:r>
            <w:r w:rsidR="005D454A" w:rsidRPr="005D454A">
              <w:rPr>
                <w:rFonts w:ascii="Times New Roman" w:eastAsia="Times New Roman" w:hAnsi="Times New Roman" w:cs="Times New Roman"/>
                <w:iCs/>
                <w:sz w:val="24"/>
                <w:szCs w:val="24"/>
                <w:lang w:eastAsia="lv-LV"/>
              </w:rPr>
              <w:t>rekursoru operator</w:t>
            </w:r>
            <w:r w:rsidR="005D454A">
              <w:rPr>
                <w:rFonts w:ascii="Times New Roman" w:eastAsia="Times New Roman" w:hAnsi="Times New Roman" w:cs="Times New Roman"/>
                <w:iCs/>
                <w:sz w:val="24"/>
                <w:szCs w:val="24"/>
                <w:lang w:eastAsia="lv-LV"/>
              </w:rPr>
              <w:t>us</w:t>
            </w:r>
            <w:r w:rsidR="005D454A" w:rsidRPr="005D454A">
              <w:rPr>
                <w:rFonts w:ascii="Times New Roman" w:eastAsia="Times New Roman" w:hAnsi="Times New Roman" w:cs="Times New Roman"/>
                <w:iCs/>
                <w:sz w:val="24"/>
                <w:szCs w:val="24"/>
                <w:lang w:eastAsia="lv-LV"/>
              </w:rPr>
              <w:t>, kuri ir iesaistīti regula</w:t>
            </w:r>
            <w:r w:rsidR="005D454A">
              <w:rPr>
                <w:rFonts w:ascii="Times New Roman" w:eastAsia="Times New Roman" w:hAnsi="Times New Roman" w:cs="Times New Roman"/>
                <w:iCs/>
                <w:sz w:val="24"/>
                <w:szCs w:val="24"/>
                <w:lang w:eastAsia="lv-LV"/>
              </w:rPr>
              <w:t>s</w:t>
            </w:r>
            <w:r w:rsidR="005D454A" w:rsidRPr="005D454A">
              <w:rPr>
                <w:rFonts w:ascii="Times New Roman" w:eastAsia="Times New Roman" w:hAnsi="Times New Roman" w:cs="Times New Roman"/>
                <w:iCs/>
                <w:sz w:val="24"/>
                <w:szCs w:val="24"/>
                <w:lang w:eastAsia="lv-LV"/>
              </w:rPr>
              <w:t xml:space="preserve"> Nr.111/2005 pielikuma 3.kategorijā uzskaitīto prekursoru eksportā, ja kopējais to eksportētais daudzums iepriekšējā kalendārajā gadā nepārsniedz regulas 2015/1011 1.pielikumā noteiktos daudzumus</w:t>
            </w:r>
            <w:r w:rsidR="005D454A">
              <w:rPr>
                <w:rFonts w:ascii="Times New Roman" w:eastAsia="Times New Roman" w:hAnsi="Times New Roman" w:cs="Times New Roman"/>
                <w:iCs/>
                <w:sz w:val="24"/>
                <w:szCs w:val="24"/>
                <w:lang w:eastAsia="lv-LV"/>
              </w:rPr>
              <w:t>. Projekts paredz šādu atbrīvojumu, lai neradītu administratīvo slogu komersantiem.</w:t>
            </w:r>
          </w:p>
          <w:p w14:paraId="6391CDA5" w14:textId="1D40B0D9" w:rsidR="006A4C15" w:rsidRPr="002C4F41" w:rsidRDefault="005D454A" w:rsidP="00A8577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 Regulas 6.panta c) punkts dod iespēju atbrīvot no prasības pēc reģistrācijas p</w:t>
            </w:r>
            <w:r w:rsidRPr="005D454A">
              <w:rPr>
                <w:rFonts w:ascii="Times New Roman" w:eastAsia="Times New Roman" w:hAnsi="Times New Roman" w:cs="Times New Roman"/>
                <w:iCs/>
                <w:sz w:val="24"/>
                <w:szCs w:val="24"/>
                <w:lang w:eastAsia="lv-LV"/>
              </w:rPr>
              <w:t>rekursoru operator</w:t>
            </w:r>
            <w:r>
              <w:rPr>
                <w:rFonts w:ascii="Times New Roman" w:eastAsia="Times New Roman" w:hAnsi="Times New Roman" w:cs="Times New Roman"/>
                <w:iCs/>
                <w:sz w:val="24"/>
                <w:szCs w:val="24"/>
                <w:lang w:eastAsia="lv-LV"/>
              </w:rPr>
              <w:t xml:space="preserve">us, </w:t>
            </w:r>
            <w:r w:rsidRPr="005D454A">
              <w:rPr>
                <w:rFonts w:ascii="Times New Roman" w:eastAsia="Times New Roman" w:hAnsi="Times New Roman" w:cs="Times New Roman"/>
                <w:iCs/>
                <w:sz w:val="24"/>
                <w:szCs w:val="24"/>
                <w:lang w:eastAsia="lv-LV"/>
              </w:rPr>
              <w:t>kuri ir iesaistīti tādu maisījumu eksportā, kuri satur regulas Nr.111/2005 pielikuma 3.kategorijā uzskaitītos prekursorus, ja maisījumos ietvertais kopējais klasificētās vielas daudzums iepriekšējā kalendārajā gadā nepārsniedz regulas 2015/1011 1.pielikumā noteiktos daudzumus</w:t>
            </w:r>
            <w:r>
              <w:rPr>
                <w:rFonts w:ascii="Times New Roman" w:eastAsia="Times New Roman" w:hAnsi="Times New Roman" w:cs="Times New Roman"/>
                <w:iCs/>
                <w:sz w:val="24"/>
                <w:szCs w:val="24"/>
                <w:lang w:eastAsia="lv-LV"/>
              </w:rPr>
              <w:t>. Projekts paredz šādu atbrīvojumu, lai neradītu administratīvo slogu komersantiem.</w:t>
            </w:r>
          </w:p>
        </w:tc>
      </w:tr>
      <w:tr w:rsidR="00A558B6" w:rsidRPr="008F497F" w14:paraId="5CE190E3"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hideMark/>
          </w:tcPr>
          <w:p w14:paraId="5289EE67" w14:textId="77777777" w:rsidR="008F497F" w:rsidRPr="008F497F" w:rsidRDefault="008F497F" w:rsidP="00AF7E61">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13" w:type="pct"/>
            <w:gridSpan w:val="9"/>
            <w:tcBorders>
              <w:top w:val="outset" w:sz="6" w:space="0" w:color="auto"/>
              <w:left w:val="outset" w:sz="6" w:space="0" w:color="auto"/>
              <w:bottom w:val="outset" w:sz="6" w:space="0" w:color="auto"/>
              <w:right w:val="outset" w:sz="6" w:space="0" w:color="auto"/>
            </w:tcBorders>
            <w:hideMark/>
          </w:tcPr>
          <w:p w14:paraId="108BC3C2" w14:textId="77777777" w:rsidR="008F497F" w:rsidRPr="0009518D" w:rsidRDefault="0009518D" w:rsidP="00AF7E6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A558B6" w:rsidRPr="008F497F" w14:paraId="23517BB9"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hideMark/>
          </w:tcPr>
          <w:p w14:paraId="54804322" w14:textId="77777777" w:rsidR="008F497F" w:rsidRPr="008F497F" w:rsidRDefault="008F497F" w:rsidP="00AF7E61">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Cita informācija</w:t>
            </w:r>
          </w:p>
        </w:tc>
        <w:tc>
          <w:tcPr>
            <w:tcW w:w="4113" w:type="pct"/>
            <w:gridSpan w:val="9"/>
            <w:tcBorders>
              <w:top w:val="outset" w:sz="6" w:space="0" w:color="auto"/>
              <w:left w:val="outset" w:sz="6" w:space="0" w:color="auto"/>
              <w:bottom w:val="outset" w:sz="6" w:space="0" w:color="auto"/>
              <w:right w:val="outset" w:sz="6" w:space="0" w:color="auto"/>
            </w:tcBorders>
            <w:hideMark/>
          </w:tcPr>
          <w:p w14:paraId="579C540E" w14:textId="77777777" w:rsidR="008F497F" w:rsidRPr="00287694" w:rsidRDefault="00287694" w:rsidP="00AF7E61">
            <w:pPr>
              <w:spacing w:after="0" w:line="240" w:lineRule="auto"/>
              <w:rPr>
                <w:rFonts w:ascii="Times New Roman" w:eastAsia="Times New Roman" w:hAnsi="Times New Roman" w:cs="Times New Roman"/>
                <w:iCs/>
                <w:color w:val="A6A6A6" w:themeColor="background1" w:themeShade="A6"/>
                <w:sz w:val="24"/>
                <w:szCs w:val="24"/>
                <w:lang w:eastAsia="lv-LV"/>
              </w:rPr>
            </w:pPr>
            <w:r w:rsidRPr="00287694">
              <w:rPr>
                <w:rFonts w:ascii="Times New Roman" w:eastAsia="Times New Roman" w:hAnsi="Times New Roman" w:cs="Times New Roman"/>
                <w:iCs/>
                <w:sz w:val="24"/>
                <w:szCs w:val="24"/>
                <w:lang w:eastAsia="lv-LV"/>
              </w:rPr>
              <w:t>Nav</w:t>
            </w:r>
          </w:p>
        </w:tc>
      </w:tr>
      <w:tr w:rsidR="00287694" w:rsidRPr="008F497F" w14:paraId="23055EF6" w14:textId="77777777" w:rsidTr="00606CDC">
        <w:trPr>
          <w:tblCellSpacing w:w="15" w:type="dxa"/>
        </w:trPr>
        <w:tc>
          <w:tcPr>
            <w:tcW w:w="0" w:type="auto"/>
            <w:gridSpan w:val="14"/>
            <w:tcBorders>
              <w:top w:val="outset" w:sz="6" w:space="0" w:color="auto"/>
              <w:left w:val="outset" w:sz="6" w:space="0" w:color="auto"/>
              <w:bottom w:val="outset" w:sz="6" w:space="0" w:color="auto"/>
              <w:right w:val="outset" w:sz="6" w:space="0" w:color="auto"/>
            </w:tcBorders>
            <w:vAlign w:val="center"/>
            <w:hideMark/>
          </w:tcPr>
          <w:p w14:paraId="08042B7F" w14:textId="77777777" w:rsidR="00287694" w:rsidRPr="008F497F" w:rsidRDefault="00287694" w:rsidP="00606CDC">
            <w:pPr>
              <w:spacing w:after="0" w:line="240" w:lineRule="auto"/>
              <w:rPr>
                <w:rFonts w:ascii="Times New Roman" w:eastAsia="Times New Roman" w:hAnsi="Times New Roman" w:cs="Times New Roman"/>
                <w:b/>
                <w:bCs/>
                <w:iCs/>
                <w:color w:val="414142"/>
                <w:sz w:val="24"/>
                <w:szCs w:val="24"/>
                <w:lang w:eastAsia="lv-LV"/>
              </w:rPr>
            </w:pPr>
            <w:r w:rsidRPr="008F497F">
              <w:rPr>
                <w:rFonts w:ascii="Times New Roman" w:eastAsia="Times New Roman" w:hAnsi="Times New Roman" w:cs="Times New Roman"/>
                <w:b/>
                <w:bCs/>
                <w:iCs/>
                <w:color w:val="414142"/>
                <w:sz w:val="24"/>
                <w:szCs w:val="24"/>
                <w:lang w:eastAsia="lv-LV"/>
              </w:rPr>
              <w:t>1.</w:t>
            </w:r>
            <w:r>
              <w:rPr>
                <w:rFonts w:ascii="Times New Roman" w:eastAsia="Times New Roman" w:hAnsi="Times New Roman" w:cs="Times New Roman"/>
                <w:b/>
                <w:bCs/>
                <w:iCs/>
                <w:color w:val="414142"/>
                <w:sz w:val="24"/>
                <w:szCs w:val="24"/>
                <w:lang w:eastAsia="lv-LV"/>
              </w:rPr>
              <w:t>b</w:t>
            </w:r>
            <w:r w:rsidRPr="008F497F">
              <w:rPr>
                <w:rFonts w:ascii="Times New Roman" w:eastAsia="Times New Roman" w:hAnsi="Times New Roman" w:cs="Times New Roman"/>
                <w:b/>
                <w:bCs/>
                <w:iCs/>
                <w:color w:val="414142"/>
                <w:sz w:val="24"/>
                <w:szCs w:val="24"/>
                <w:lang w:eastAsia="lv-LV"/>
              </w:rPr>
              <w:t xml:space="preserve"> tabula</w:t>
            </w:r>
            <w:r w:rsidRPr="008F497F">
              <w:rPr>
                <w:rFonts w:ascii="Times New Roman" w:eastAsia="Times New Roman" w:hAnsi="Times New Roman" w:cs="Times New Roman"/>
                <w:b/>
                <w:bCs/>
                <w:iCs/>
                <w:color w:val="414142"/>
                <w:sz w:val="24"/>
                <w:szCs w:val="24"/>
                <w:lang w:eastAsia="lv-LV"/>
              </w:rPr>
              <w:br/>
              <w:t>Tiesību akta projekta atbilstība ES tiesību aktiem</w:t>
            </w:r>
          </w:p>
        </w:tc>
      </w:tr>
      <w:tr w:rsidR="00287694" w:rsidRPr="008F497F" w14:paraId="7EC3D46C"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hideMark/>
          </w:tcPr>
          <w:p w14:paraId="2018C335" w14:textId="77777777" w:rsidR="00287694" w:rsidRPr="008F497F" w:rsidRDefault="00287694" w:rsidP="00A85771">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lastRenderedPageBreak/>
              <w:t>Attiecīgā ES tiesību akta datums, numurs un nosaukums</w:t>
            </w:r>
          </w:p>
        </w:tc>
        <w:tc>
          <w:tcPr>
            <w:tcW w:w="4113" w:type="pct"/>
            <w:gridSpan w:val="9"/>
            <w:tcBorders>
              <w:top w:val="outset" w:sz="6" w:space="0" w:color="auto"/>
              <w:left w:val="outset" w:sz="6" w:space="0" w:color="auto"/>
              <w:bottom w:val="outset" w:sz="6" w:space="0" w:color="auto"/>
              <w:right w:val="outset" w:sz="6" w:space="0" w:color="auto"/>
            </w:tcBorders>
            <w:hideMark/>
          </w:tcPr>
          <w:p w14:paraId="6FA8B95A" w14:textId="77777777" w:rsidR="00287694" w:rsidRDefault="00287694" w:rsidP="00A85771">
            <w:pPr>
              <w:spacing w:after="0" w:line="240" w:lineRule="auto"/>
              <w:jc w:val="both"/>
              <w:rPr>
                <w:rFonts w:ascii="Times New Roman" w:eastAsia="Times New Roman" w:hAnsi="Times New Roman" w:cs="Times New Roman"/>
                <w:iCs/>
                <w:color w:val="000000" w:themeColor="text1"/>
                <w:sz w:val="24"/>
                <w:szCs w:val="24"/>
                <w:lang w:eastAsia="lv-LV"/>
              </w:rPr>
            </w:pPr>
            <w:r w:rsidRPr="008F497F">
              <w:rPr>
                <w:rFonts w:ascii="Times New Roman" w:eastAsia="Times New Roman" w:hAnsi="Times New Roman" w:cs="Times New Roman"/>
                <w:iCs/>
                <w:color w:val="000000" w:themeColor="text1"/>
                <w:sz w:val="24"/>
                <w:szCs w:val="24"/>
                <w:lang w:eastAsia="lv-LV"/>
              </w:rPr>
              <w:t>Komisijas 2015.gada 25.jūnija deleģētā regula (ES) Nr.2015/1013, ar ko paredz noteikumus attiecībā uz Eiropas Parlamenta un Padomes Regulu (EK) Nr. 273/2004 par narkotisko vielu prekursoriem un Padomes Regulu (EK) Nr. 111/2005, ar ko paredz noteikumus par uzraudzību attiecībā uz narkotisko vielu prekursoru tirdzniecības starp Savienību un trešām valstīm</w:t>
            </w:r>
          </w:p>
          <w:p w14:paraId="710598CD" w14:textId="459E9436" w:rsidR="00CC6908" w:rsidRPr="008F497F" w:rsidRDefault="00CC6908" w:rsidP="00A85771">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287694" w:rsidRPr="008F497F" w14:paraId="120C4861"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vAlign w:val="center"/>
            <w:hideMark/>
          </w:tcPr>
          <w:p w14:paraId="39B93F6D" w14:textId="77777777" w:rsidR="00287694" w:rsidRPr="008F497F" w:rsidRDefault="00287694" w:rsidP="00606CDC">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A</w:t>
            </w:r>
          </w:p>
        </w:tc>
        <w:tc>
          <w:tcPr>
            <w:tcW w:w="904" w:type="pct"/>
            <w:tcBorders>
              <w:top w:val="outset" w:sz="6" w:space="0" w:color="auto"/>
              <w:left w:val="outset" w:sz="6" w:space="0" w:color="auto"/>
              <w:bottom w:val="outset" w:sz="6" w:space="0" w:color="auto"/>
              <w:right w:val="outset" w:sz="6" w:space="0" w:color="auto"/>
            </w:tcBorders>
            <w:vAlign w:val="center"/>
            <w:hideMark/>
          </w:tcPr>
          <w:p w14:paraId="12C30CBF" w14:textId="77777777" w:rsidR="00287694" w:rsidRPr="008F497F" w:rsidRDefault="00287694" w:rsidP="00606CDC">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B</w:t>
            </w:r>
          </w:p>
        </w:tc>
        <w:tc>
          <w:tcPr>
            <w:tcW w:w="1304" w:type="pct"/>
            <w:gridSpan w:val="7"/>
            <w:tcBorders>
              <w:top w:val="outset" w:sz="6" w:space="0" w:color="auto"/>
              <w:left w:val="outset" w:sz="6" w:space="0" w:color="auto"/>
              <w:bottom w:val="outset" w:sz="6" w:space="0" w:color="auto"/>
              <w:right w:val="outset" w:sz="6" w:space="0" w:color="auto"/>
            </w:tcBorders>
            <w:vAlign w:val="center"/>
            <w:hideMark/>
          </w:tcPr>
          <w:p w14:paraId="5FCCAE30" w14:textId="77777777" w:rsidR="00287694" w:rsidRPr="008F497F" w:rsidRDefault="00287694" w:rsidP="00606CDC">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C</w:t>
            </w:r>
          </w:p>
        </w:tc>
        <w:tc>
          <w:tcPr>
            <w:tcW w:w="1872" w:type="pct"/>
            <w:tcBorders>
              <w:top w:val="outset" w:sz="6" w:space="0" w:color="auto"/>
              <w:left w:val="outset" w:sz="6" w:space="0" w:color="auto"/>
              <w:bottom w:val="outset" w:sz="6" w:space="0" w:color="auto"/>
              <w:right w:val="outset" w:sz="6" w:space="0" w:color="auto"/>
            </w:tcBorders>
            <w:vAlign w:val="center"/>
            <w:hideMark/>
          </w:tcPr>
          <w:p w14:paraId="4A43471F" w14:textId="77777777" w:rsidR="00287694" w:rsidRPr="008F497F" w:rsidRDefault="00287694" w:rsidP="00606CDC">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D</w:t>
            </w:r>
          </w:p>
        </w:tc>
      </w:tr>
      <w:tr w:rsidR="00287694" w:rsidRPr="008F497F" w14:paraId="6C3357E0"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hideMark/>
          </w:tcPr>
          <w:p w14:paraId="7C417C17" w14:textId="77777777" w:rsidR="00287694" w:rsidRPr="008F497F" w:rsidRDefault="00287694" w:rsidP="00606CDC">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Attiecīgā ES tiesību akta panta numurs (uzskaitot katru tiesību akta vienību – pantu, daļu, punktu, apakšpunktu)</w:t>
            </w:r>
          </w:p>
        </w:tc>
        <w:tc>
          <w:tcPr>
            <w:tcW w:w="904" w:type="pct"/>
            <w:tcBorders>
              <w:top w:val="outset" w:sz="6" w:space="0" w:color="auto"/>
              <w:left w:val="outset" w:sz="6" w:space="0" w:color="auto"/>
              <w:bottom w:val="outset" w:sz="6" w:space="0" w:color="auto"/>
              <w:right w:val="outset" w:sz="6" w:space="0" w:color="auto"/>
            </w:tcBorders>
            <w:hideMark/>
          </w:tcPr>
          <w:p w14:paraId="774269CD" w14:textId="77777777" w:rsidR="00287694" w:rsidRPr="008F497F" w:rsidRDefault="00287694" w:rsidP="00606CDC">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Projekta vienība, kas pārņem vai ievieš katru šīs tabulas A ailē minēto ES tiesību akta vienību, vai tiesību akts, kur attiecīgā ES tiesību akta vienība pārņemta vai ieviesta</w:t>
            </w:r>
          </w:p>
        </w:tc>
        <w:tc>
          <w:tcPr>
            <w:tcW w:w="1304" w:type="pct"/>
            <w:gridSpan w:val="7"/>
            <w:tcBorders>
              <w:top w:val="outset" w:sz="6" w:space="0" w:color="auto"/>
              <w:left w:val="outset" w:sz="6" w:space="0" w:color="auto"/>
              <w:bottom w:val="outset" w:sz="6" w:space="0" w:color="auto"/>
              <w:right w:val="outset" w:sz="6" w:space="0" w:color="auto"/>
            </w:tcBorders>
            <w:hideMark/>
          </w:tcPr>
          <w:p w14:paraId="49E1C998" w14:textId="77777777" w:rsidR="00287694" w:rsidRPr="008F497F" w:rsidRDefault="00287694" w:rsidP="00606CDC">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Informācija par to, vai šīs tabulas A ailē minētās ES tiesību akta vienības tiek pārņemtas vai ieviestas pilnībā vai daļēji.</w:t>
            </w:r>
            <w:r w:rsidRPr="008F497F">
              <w:rPr>
                <w:rFonts w:ascii="Times New Roman" w:eastAsia="Times New Roman" w:hAnsi="Times New Roman" w:cs="Times New Roman"/>
                <w:iCs/>
                <w:color w:val="414142"/>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8F497F">
              <w:rPr>
                <w:rFonts w:ascii="Times New Roman" w:eastAsia="Times New Roman" w:hAnsi="Times New Roman" w:cs="Times New Roman"/>
                <w:iCs/>
                <w:color w:val="414142"/>
                <w:sz w:val="24"/>
                <w:szCs w:val="24"/>
                <w:lang w:eastAsia="lv-LV"/>
              </w:rPr>
              <w:br/>
              <w:t>Norāda institūciju, kas ir atbildīga par šo saistību izpildi pilnībā</w:t>
            </w:r>
          </w:p>
        </w:tc>
        <w:tc>
          <w:tcPr>
            <w:tcW w:w="1872" w:type="pct"/>
            <w:tcBorders>
              <w:top w:val="outset" w:sz="6" w:space="0" w:color="auto"/>
              <w:left w:val="outset" w:sz="6" w:space="0" w:color="auto"/>
              <w:bottom w:val="outset" w:sz="6" w:space="0" w:color="auto"/>
              <w:right w:val="outset" w:sz="6" w:space="0" w:color="auto"/>
            </w:tcBorders>
            <w:hideMark/>
          </w:tcPr>
          <w:p w14:paraId="75FFAA40" w14:textId="77777777" w:rsidR="00287694" w:rsidRPr="008F497F" w:rsidRDefault="00287694" w:rsidP="00606CDC">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Informācija par to, vai šīs tabulas B ailē minētās projekta vienības paredz stingrākas prasības nekā šīs tabulas A ailē minētās ES tiesību akta vienības.</w:t>
            </w:r>
            <w:r w:rsidRPr="008F497F">
              <w:rPr>
                <w:rFonts w:ascii="Times New Roman" w:eastAsia="Times New Roman" w:hAnsi="Times New Roman" w:cs="Times New Roman"/>
                <w:iCs/>
                <w:color w:val="414142"/>
                <w:sz w:val="24"/>
                <w:szCs w:val="24"/>
                <w:lang w:eastAsia="lv-LV"/>
              </w:rPr>
              <w:br/>
              <w:t>Ja projekts satur stingrākas prasības nekā attiecīgais ES tiesību akts, norāda pamatojumu un samērīgumu.</w:t>
            </w:r>
            <w:r w:rsidRPr="008F497F">
              <w:rPr>
                <w:rFonts w:ascii="Times New Roman" w:eastAsia="Times New Roman" w:hAnsi="Times New Roman" w:cs="Times New Roman"/>
                <w:iCs/>
                <w:color w:val="414142"/>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287694" w:rsidRPr="008F497F" w14:paraId="1F99774E"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08BF2BAF" w14:textId="77777777" w:rsidR="00287694" w:rsidRPr="008F497F" w:rsidRDefault="00162C82"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1.pants</w:t>
            </w:r>
          </w:p>
        </w:tc>
        <w:tc>
          <w:tcPr>
            <w:tcW w:w="904" w:type="pct"/>
            <w:tcBorders>
              <w:top w:val="outset" w:sz="6" w:space="0" w:color="auto"/>
              <w:left w:val="outset" w:sz="6" w:space="0" w:color="auto"/>
              <w:bottom w:val="outset" w:sz="6" w:space="0" w:color="auto"/>
              <w:right w:val="outset" w:sz="6" w:space="0" w:color="auto"/>
            </w:tcBorders>
          </w:tcPr>
          <w:p w14:paraId="28FB7D11" w14:textId="77777777" w:rsidR="00287694" w:rsidRPr="008F497F" w:rsidRDefault="00162C82"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Netiek ieviests, jo </w:t>
            </w:r>
            <w:r w:rsidR="00A433CD">
              <w:rPr>
                <w:rFonts w:ascii="Times New Roman" w:eastAsia="Times New Roman" w:hAnsi="Times New Roman" w:cs="Times New Roman"/>
                <w:iCs/>
                <w:color w:val="414142"/>
                <w:sz w:val="24"/>
                <w:szCs w:val="24"/>
                <w:lang w:eastAsia="lv-LV"/>
              </w:rPr>
              <w:t>nosaka regulas priekšmetu</w:t>
            </w:r>
          </w:p>
        </w:tc>
        <w:tc>
          <w:tcPr>
            <w:tcW w:w="1304" w:type="pct"/>
            <w:gridSpan w:val="7"/>
            <w:tcBorders>
              <w:top w:val="outset" w:sz="6" w:space="0" w:color="auto"/>
              <w:left w:val="outset" w:sz="6" w:space="0" w:color="auto"/>
              <w:bottom w:val="outset" w:sz="6" w:space="0" w:color="auto"/>
              <w:right w:val="outset" w:sz="6" w:space="0" w:color="auto"/>
            </w:tcBorders>
          </w:tcPr>
          <w:p w14:paraId="52F9BA42" w14:textId="77777777" w:rsidR="00287694" w:rsidRPr="008F497F" w:rsidRDefault="00A433C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516B61F3" w14:textId="77777777" w:rsidR="00287694" w:rsidRPr="008F497F" w:rsidRDefault="00A433C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2D5D28E8"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5D829E83" w14:textId="77777777" w:rsidR="00287694" w:rsidRDefault="00A433C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2.pants</w:t>
            </w:r>
          </w:p>
        </w:tc>
        <w:tc>
          <w:tcPr>
            <w:tcW w:w="904" w:type="pct"/>
            <w:tcBorders>
              <w:top w:val="outset" w:sz="6" w:space="0" w:color="auto"/>
              <w:left w:val="outset" w:sz="6" w:space="0" w:color="auto"/>
              <w:bottom w:val="outset" w:sz="6" w:space="0" w:color="auto"/>
              <w:right w:val="outset" w:sz="6" w:space="0" w:color="auto"/>
            </w:tcBorders>
          </w:tcPr>
          <w:p w14:paraId="7707E3C0" w14:textId="77777777" w:rsidR="00287694" w:rsidRPr="008F497F" w:rsidRDefault="00CE3830"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04B926A1" w14:textId="77777777" w:rsidR="00287694" w:rsidRPr="008F497F" w:rsidRDefault="00CE3830"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4E0B94ED" w14:textId="77777777" w:rsidR="00287694" w:rsidRPr="008F497F" w:rsidRDefault="00CE3830"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47A6DA25" w14:textId="77777777" w:rsidTr="00606CDC">
        <w:trPr>
          <w:tblCellSpacing w:w="15" w:type="dxa"/>
        </w:trPr>
        <w:tc>
          <w:tcPr>
            <w:tcW w:w="4967" w:type="pct"/>
            <w:gridSpan w:val="14"/>
            <w:tcBorders>
              <w:top w:val="outset" w:sz="6" w:space="0" w:color="auto"/>
              <w:left w:val="outset" w:sz="6" w:space="0" w:color="auto"/>
              <w:bottom w:val="outset" w:sz="6" w:space="0" w:color="auto"/>
              <w:right w:val="outset" w:sz="6" w:space="0" w:color="A0A0A0"/>
            </w:tcBorders>
          </w:tcPr>
          <w:p w14:paraId="69F719D4" w14:textId="77777777" w:rsidR="00287694" w:rsidRPr="008F497F" w:rsidRDefault="00E06A2E"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3.pants</w:t>
            </w:r>
          </w:p>
        </w:tc>
      </w:tr>
      <w:tr w:rsidR="00287694" w:rsidRPr="008F497F" w14:paraId="7CBED7F0"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670B8825" w14:textId="77777777" w:rsidR="00287694" w:rsidRDefault="00E06A2E"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904" w:type="pct"/>
            <w:tcBorders>
              <w:top w:val="outset" w:sz="6" w:space="0" w:color="auto"/>
              <w:left w:val="outset" w:sz="6" w:space="0" w:color="auto"/>
              <w:bottom w:val="outset" w:sz="6" w:space="0" w:color="auto"/>
              <w:right w:val="outset" w:sz="6" w:space="0" w:color="auto"/>
            </w:tcBorders>
          </w:tcPr>
          <w:p w14:paraId="4072D0F4" w14:textId="77777777" w:rsidR="00287694" w:rsidRPr="008F497F" w:rsidRDefault="001E2692"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1304" w:type="pct"/>
            <w:gridSpan w:val="7"/>
            <w:tcBorders>
              <w:top w:val="outset" w:sz="6" w:space="0" w:color="auto"/>
              <w:left w:val="outset" w:sz="6" w:space="0" w:color="auto"/>
              <w:bottom w:val="outset" w:sz="6" w:space="0" w:color="auto"/>
              <w:right w:val="outset" w:sz="6" w:space="0" w:color="auto"/>
            </w:tcBorders>
          </w:tcPr>
          <w:p w14:paraId="0FC6EE7F" w14:textId="77777777" w:rsidR="00287694" w:rsidRPr="008F497F" w:rsidRDefault="001E2692"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872" w:type="pct"/>
            <w:tcBorders>
              <w:top w:val="outset" w:sz="6" w:space="0" w:color="auto"/>
              <w:left w:val="outset" w:sz="6" w:space="0" w:color="auto"/>
              <w:bottom w:val="outset" w:sz="6" w:space="0" w:color="auto"/>
              <w:right w:val="outset" w:sz="6" w:space="0" w:color="auto"/>
            </w:tcBorders>
          </w:tcPr>
          <w:p w14:paraId="5DB8270C" w14:textId="77777777" w:rsidR="00287694" w:rsidRPr="008F497F" w:rsidRDefault="001E2692"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1342A644"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406F178F" w14:textId="77777777" w:rsidR="00287694" w:rsidRDefault="00E06A2E"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904" w:type="pct"/>
            <w:tcBorders>
              <w:top w:val="outset" w:sz="6" w:space="0" w:color="auto"/>
              <w:left w:val="outset" w:sz="6" w:space="0" w:color="auto"/>
              <w:bottom w:val="outset" w:sz="6" w:space="0" w:color="auto"/>
              <w:right w:val="outset" w:sz="6" w:space="0" w:color="auto"/>
            </w:tcBorders>
          </w:tcPr>
          <w:p w14:paraId="00E7AF15" w14:textId="77777777" w:rsidR="00287694" w:rsidRPr="008F497F" w:rsidRDefault="001E2692"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53345BD8" w14:textId="77777777" w:rsidR="00287694" w:rsidRPr="008F497F" w:rsidRDefault="001E2692"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1AB4558C" w14:textId="77777777" w:rsidR="00287694" w:rsidRPr="008F497F" w:rsidRDefault="001E2692"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4E3432E2"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7EF14056" w14:textId="77777777" w:rsidR="00287694" w:rsidRDefault="00E06A2E"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904" w:type="pct"/>
            <w:tcBorders>
              <w:top w:val="outset" w:sz="6" w:space="0" w:color="auto"/>
              <w:left w:val="outset" w:sz="6" w:space="0" w:color="auto"/>
              <w:bottom w:val="outset" w:sz="6" w:space="0" w:color="auto"/>
              <w:right w:val="outset" w:sz="6" w:space="0" w:color="auto"/>
            </w:tcBorders>
          </w:tcPr>
          <w:p w14:paraId="083E27F2" w14:textId="77777777" w:rsidR="00287694" w:rsidRPr="008F497F" w:rsidRDefault="004E67EF"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538F1667" w14:textId="77777777" w:rsidR="00287694" w:rsidRPr="008F497F" w:rsidRDefault="004E67EF"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335B3CB1" w14:textId="77777777" w:rsidR="00287694" w:rsidRPr="008F497F" w:rsidRDefault="004E67EF"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2C7EC7EA"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4390E71C" w14:textId="77777777" w:rsidR="00287694" w:rsidRDefault="00E06A2E"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4.punkts</w:t>
            </w:r>
          </w:p>
        </w:tc>
        <w:tc>
          <w:tcPr>
            <w:tcW w:w="904" w:type="pct"/>
            <w:tcBorders>
              <w:top w:val="outset" w:sz="6" w:space="0" w:color="auto"/>
              <w:left w:val="outset" w:sz="6" w:space="0" w:color="auto"/>
              <w:bottom w:val="outset" w:sz="6" w:space="0" w:color="auto"/>
              <w:right w:val="outset" w:sz="6" w:space="0" w:color="auto"/>
            </w:tcBorders>
          </w:tcPr>
          <w:p w14:paraId="28FF034D" w14:textId="77777777" w:rsidR="00287694" w:rsidRPr="008F497F" w:rsidRDefault="004F0334"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5A2E6A8D" w14:textId="77777777" w:rsidR="00287694" w:rsidRPr="008F497F" w:rsidRDefault="004F0334"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41BA8B4C" w14:textId="77777777" w:rsidR="00287694" w:rsidRPr="008F497F" w:rsidRDefault="004F0334"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2F5CDC28"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16C825AA" w14:textId="77777777" w:rsidR="00287694" w:rsidRDefault="00E06A2E"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5.punkts</w:t>
            </w:r>
          </w:p>
        </w:tc>
        <w:tc>
          <w:tcPr>
            <w:tcW w:w="904" w:type="pct"/>
            <w:tcBorders>
              <w:top w:val="outset" w:sz="6" w:space="0" w:color="auto"/>
              <w:left w:val="outset" w:sz="6" w:space="0" w:color="auto"/>
              <w:bottom w:val="outset" w:sz="6" w:space="0" w:color="auto"/>
              <w:right w:val="outset" w:sz="6" w:space="0" w:color="auto"/>
            </w:tcBorders>
          </w:tcPr>
          <w:p w14:paraId="1759B371" w14:textId="0F262885" w:rsidR="00287694" w:rsidRPr="008F497F" w:rsidRDefault="00BC60A6"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7</w:t>
            </w:r>
            <w:r w:rsidR="001F7735">
              <w:rPr>
                <w:rFonts w:ascii="Times New Roman" w:eastAsia="Times New Roman" w:hAnsi="Times New Roman" w:cs="Times New Roman"/>
                <w:iCs/>
                <w:color w:val="414142"/>
                <w:sz w:val="24"/>
                <w:szCs w:val="24"/>
                <w:lang w:eastAsia="lv-LV"/>
              </w:rPr>
              <w:t>.punkt</w:t>
            </w:r>
            <w:r w:rsidR="00A85771">
              <w:rPr>
                <w:rFonts w:ascii="Times New Roman" w:eastAsia="Times New Roman" w:hAnsi="Times New Roman" w:cs="Times New Roman"/>
                <w:iCs/>
                <w:color w:val="414142"/>
                <w:sz w:val="24"/>
                <w:szCs w:val="24"/>
                <w:lang w:eastAsia="lv-LV"/>
              </w:rPr>
              <w:t>s</w:t>
            </w:r>
            <w:r w:rsidR="001F7735">
              <w:rPr>
                <w:rFonts w:ascii="Times New Roman" w:eastAsia="Times New Roman" w:hAnsi="Times New Roman" w:cs="Times New Roman"/>
                <w:iCs/>
                <w:color w:val="414142"/>
                <w:sz w:val="24"/>
                <w:szCs w:val="24"/>
                <w:lang w:eastAsia="lv-LV"/>
              </w:rPr>
              <w:t xml:space="preserve"> </w:t>
            </w:r>
          </w:p>
        </w:tc>
        <w:tc>
          <w:tcPr>
            <w:tcW w:w="1304" w:type="pct"/>
            <w:gridSpan w:val="7"/>
            <w:tcBorders>
              <w:top w:val="outset" w:sz="6" w:space="0" w:color="auto"/>
              <w:left w:val="outset" w:sz="6" w:space="0" w:color="auto"/>
              <w:bottom w:val="outset" w:sz="6" w:space="0" w:color="auto"/>
              <w:right w:val="outset" w:sz="6" w:space="0" w:color="auto"/>
            </w:tcBorders>
          </w:tcPr>
          <w:p w14:paraId="6745B0DE" w14:textId="77777777" w:rsidR="00287694" w:rsidRPr="008F497F" w:rsidRDefault="001F7735"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872" w:type="pct"/>
            <w:tcBorders>
              <w:top w:val="outset" w:sz="6" w:space="0" w:color="auto"/>
              <w:left w:val="outset" w:sz="6" w:space="0" w:color="auto"/>
              <w:bottom w:val="outset" w:sz="6" w:space="0" w:color="auto"/>
              <w:right w:val="outset" w:sz="6" w:space="0" w:color="auto"/>
            </w:tcBorders>
          </w:tcPr>
          <w:p w14:paraId="779F250A" w14:textId="77777777" w:rsidR="00287694" w:rsidRPr="008F497F" w:rsidRDefault="001F7735"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7718C84F"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1876B730" w14:textId="77777777" w:rsidR="00287694" w:rsidRDefault="00E06A2E"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6.punkts</w:t>
            </w:r>
          </w:p>
        </w:tc>
        <w:tc>
          <w:tcPr>
            <w:tcW w:w="904" w:type="pct"/>
            <w:tcBorders>
              <w:top w:val="outset" w:sz="6" w:space="0" w:color="auto"/>
              <w:left w:val="outset" w:sz="6" w:space="0" w:color="auto"/>
              <w:bottom w:val="outset" w:sz="6" w:space="0" w:color="auto"/>
              <w:right w:val="outset" w:sz="6" w:space="0" w:color="auto"/>
            </w:tcBorders>
          </w:tcPr>
          <w:p w14:paraId="1D5E58F3" w14:textId="77777777" w:rsidR="00287694" w:rsidRPr="008F497F" w:rsidRDefault="001F7735"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478711B5" w14:textId="77777777" w:rsidR="00287694" w:rsidRPr="008F497F" w:rsidRDefault="001F7735"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23BF25C5" w14:textId="77777777" w:rsidR="00287694" w:rsidRPr="008F497F" w:rsidRDefault="001F7735"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6285ABCB"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0CC9856C" w14:textId="77777777" w:rsidR="00287694" w:rsidRDefault="001F7735"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4.pants</w:t>
            </w:r>
          </w:p>
        </w:tc>
        <w:tc>
          <w:tcPr>
            <w:tcW w:w="904" w:type="pct"/>
            <w:tcBorders>
              <w:top w:val="outset" w:sz="6" w:space="0" w:color="auto"/>
              <w:left w:val="outset" w:sz="6" w:space="0" w:color="auto"/>
              <w:bottom w:val="outset" w:sz="6" w:space="0" w:color="auto"/>
              <w:right w:val="outset" w:sz="6" w:space="0" w:color="auto"/>
            </w:tcBorders>
          </w:tcPr>
          <w:p w14:paraId="2A104A7D" w14:textId="77777777" w:rsidR="00287694" w:rsidRPr="008F497F" w:rsidRDefault="005C2EBB"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4E067779" w14:textId="77777777" w:rsidR="00287694" w:rsidRPr="008F497F" w:rsidRDefault="005C2EBB"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69224388" w14:textId="77777777" w:rsidR="00287694" w:rsidRPr="008F497F" w:rsidRDefault="005C2EBB"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0073BC6E"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3D1C8075" w14:textId="77777777" w:rsidR="00287694" w:rsidRDefault="005C2EBB"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5.pants</w:t>
            </w:r>
          </w:p>
        </w:tc>
        <w:tc>
          <w:tcPr>
            <w:tcW w:w="904" w:type="pct"/>
            <w:tcBorders>
              <w:top w:val="outset" w:sz="6" w:space="0" w:color="auto"/>
              <w:left w:val="outset" w:sz="6" w:space="0" w:color="auto"/>
              <w:bottom w:val="outset" w:sz="6" w:space="0" w:color="auto"/>
              <w:right w:val="outset" w:sz="6" w:space="0" w:color="auto"/>
            </w:tcBorders>
          </w:tcPr>
          <w:p w14:paraId="0978F00F" w14:textId="77777777" w:rsidR="00287694" w:rsidRPr="008F497F" w:rsidRDefault="005C2EBB"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7F9E23F8" w14:textId="77777777" w:rsidR="00287694" w:rsidRPr="008F497F" w:rsidRDefault="005C2EBB"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70D6EDF5" w14:textId="77777777" w:rsidR="00287694" w:rsidRPr="008F497F" w:rsidRDefault="005C2EBB"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02082D75"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73107524" w14:textId="77777777" w:rsidR="00287694" w:rsidRDefault="00E45824"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6.pants</w:t>
            </w:r>
          </w:p>
        </w:tc>
        <w:tc>
          <w:tcPr>
            <w:tcW w:w="904" w:type="pct"/>
            <w:tcBorders>
              <w:top w:val="outset" w:sz="6" w:space="0" w:color="auto"/>
              <w:left w:val="outset" w:sz="6" w:space="0" w:color="auto"/>
              <w:bottom w:val="outset" w:sz="6" w:space="0" w:color="auto"/>
              <w:right w:val="outset" w:sz="6" w:space="0" w:color="auto"/>
            </w:tcBorders>
          </w:tcPr>
          <w:p w14:paraId="596AD439" w14:textId="77777777" w:rsidR="00287694" w:rsidRPr="008F497F" w:rsidRDefault="00A85771"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725C7488" w14:textId="77777777" w:rsidR="00287694" w:rsidRPr="008F497F" w:rsidRDefault="007857B4"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872" w:type="pct"/>
            <w:tcBorders>
              <w:top w:val="outset" w:sz="6" w:space="0" w:color="auto"/>
              <w:left w:val="outset" w:sz="6" w:space="0" w:color="auto"/>
              <w:bottom w:val="outset" w:sz="6" w:space="0" w:color="auto"/>
              <w:right w:val="outset" w:sz="6" w:space="0" w:color="auto"/>
            </w:tcBorders>
          </w:tcPr>
          <w:p w14:paraId="5FEF7FD6" w14:textId="77777777" w:rsidR="00287694" w:rsidRPr="008F497F" w:rsidRDefault="007857B4"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7857B4" w:rsidRPr="008F497F" w14:paraId="24696BD2" w14:textId="77777777" w:rsidTr="007857B4">
        <w:trPr>
          <w:tblCellSpacing w:w="15" w:type="dxa"/>
        </w:trPr>
        <w:tc>
          <w:tcPr>
            <w:tcW w:w="4967" w:type="pct"/>
            <w:gridSpan w:val="14"/>
            <w:tcBorders>
              <w:top w:val="outset" w:sz="6" w:space="0" w:color="auto"/>
              <w:left w:val="outset" w:sz="6" w:space="0" w:color="auto"/>
              <w:bottom w:val="outset" w:sz="6" w:space="0" w:color="auto"/>
              <w:right w:val="outset" w:sz="6" w:space="0" w:color="A0A0A0"/>
            </w:tcBorders>
          </w:tcPr>
          <w:p w14:paraId="0EC48686" w14:textId="77777777" w:rsidR="007857B4" w:rsidRPr="008F497F" w:rsidRDefault="007857B4"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7.pants</w:t>
            </w:r>
          </w:p>
        </w:tc>
      </w:tr>
      <w:tr w:rsidR="00287694" w:rsidRPr="008F497F" w14:paraId="4542C103"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7B5A170D" w14:textId="77777777" w:rsidR="00287694" w:rsidRDefault="007857B4"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904" w:type="pct"/>
            <w:tcBorders>
              <w:top w:val="outset" w:sz="6" w:space="0" w:color="auto"/>
              <w:left w:val="outset" w:sz="6" w:space="0" w:color="auto"/>
              <w:bottom w:val="outset" w:sz="6" w:space="0" w:color="auto"/>
              <w:right w:val="outset" w:sz="6" w:space="0" w:color="auto"/>
            </w:tcBorders>
          </w:tcPr>
          <w:p w14:paraId="4A333DAA" w14:textId="77777777" w:rsidR="00287694" w:rsidRPr="008F497F" w:rsidRDefault="009E57AA"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2AD18AFC" w14:textId="77777777" w:rsidR="00287694" w:rsidRPr="008F497F" w:rsidRDefault="009E57AA"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43CDB26C" w14:textId="77777777" w:rsidR="00287694" w:rsidRPr="008F497F" w:rsidRDefault="009E57AA"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1BD44E32"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2CF35985" w14:textId="77777777" w:rsidR="00287694" w:rsidRDefault="007857B4"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904" w:type="pct"/>
            <w:tcBorders>
              <w:top w:val="outset" w:sz="6" w:space="0" w:color="auto"/>
              <w:left w:val="outset" w:sz="6" w:space="0" w:color="auto"/>
              <w:bottom w:val="outset" w:sz="6" w:space="0" w:color="auto"/>
              <w:right w:val="outset" w:sz="6" w:space="0" w:color="auto"/>
            </w:tcBorders>
          </w:tcPr>
          <w:p w14:paraId="0EBE1D75" w14:textId="34863825" w:rsidR="00287694" w:rsidRPr="008F497F" w:rsidRDefault="009E57AA" w:rsidP="00606CDC">
            <w:pPr>
              <w:spacing w:after="0" w:line="240" w:lineRule="auto"/>
              <w:rPr>
                <w:rFonts w:ascii="Times New Roman" w:eastAsia="Times New Roman" w:hAnsi="Times New Roman" w:cs="Times New Roman"/>
                <w:iCs/>
                <w:color w:val="414142"/>
                <w:sz w:val="24"/>
                <w:szCs w:val="24"/>
                <w:lang w:eastAsia="lv-LV"/>
              </w:rPr>
            </w:pPr>
            <w:r w:rsidRPr="00471188">
              <w:rPr>
                <w:rFonts w:ascii="Times New Roman" w:eastAsia="Times New Roman" w:hAnsi="Times New Roman" w:cs="Times New Roman"/>
                <w:iCs/>
                <w:sz w:val="24"/>
                <w:szCs w:val="24"/>
                <w:lang w:eastAsia="lv-LV"/>
              </w:rPr>
              <w:t>1</w:t>
            </w:r>
            <w:r w:rsidR="00BC60A6">
              <w:rPr>
                <w:rFonts w:ascii="Times New Roman" w:eastAsia="Times New Roman" w:hAnsi="Times New Roman" w:cs="Times New Roman"/>
                <w:iCs/>
                <w:sz w:val="24"/>
                <w:szCs w:val="24"/>
                <w:lang w:eastAsia="lv-LV"/>
              </w:rPr>
              <w:t>5</w:t>
            </w:r>
            <w:r w:rsidRPr="00471188">
              <w:rPr>
                <w:rFonts w:ascii="Times New Roman" w:eastAsia="Times New Roman" w:hAnsi="Times New Roman" w:cs="Times New Roman"/>
                <w:iCs/>
                <w:sz w:val="24"/>
                <w:szCs w:val="24"/>
                <w:lang w:eastAsia="lv-LV"/>
              </w:rPr>
              <w:t>.punkts</w:t>
            </w:r>
          </w:p>
        </w:tc>
        <w:tc>
          <w:tcPr>
            <w:tcW w:w="1304" w:type="pct"/>
            <w:gridSpan w:val="7"/>
            <w:tcBorders>
              <w:top w:val="outset" w:sz="6" w:space="0" w:color="auto"/>
              <w:left w:val="outset" w:sz="6" w:space="0" w:color="auto"/>
              <w:bottom w:val="outset" w:sz="6" w:space="0" w:color="auto"/>
              <w:right w:val="outset" w:sz="6" w:space="0" w:color="auto"/>
            </w:tcBorders>
          </w:tcPr>
          <w:p w14:paraId="2E7CD8B0" w14:textId="77777777" w:rsidR="00287694" w:rsidRPr="008F497F" w:rsidRDefault="009E57AA"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872" w:type="pct"/>
            <w:tcBorders>
              <w:top w:val="outset" w:sz="6" w:space="0" w:color="auto"/>
              <w:left w:val="outset" w:sz="6" w:space="0" w:color="auto"/>
              <w:bottom w:val="outset" w:sz="6" w:space="0" w:color="auto"/>
              <w:right w:val="outset" w:sz="6" w:space="0" w:color="auto"/>
            </w:tcBorders>
          </w:tcPr>
          <w:p w14:paraId="0691A0D9" w14:textId="77777777" w:rsidR="00287694" w:rsidRPr="008F497F" w:rsidRDefault="009E57AA"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789071C5"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3AC891D5" w14:textId="77777777" w:rsidR="00287694" w:rsidRDefault="009E57AA"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8.pants</w:t>
            </w:r>
          </w:p>
        </w:tc>
        <w:tc>
          <w:tcPr>
            <w:tcW w:w="904" w:type="pct"/>
            <w:tcBorders>
              <w:top w:val="outset" w:sz="6" w:space="0" w:color="auto"/>
              <w:left w:val="outset" w:sz="6" w:space="0" w:color="auto"/>
              <w:bottom w:val="outset" w:sz="6" w:space="0" w:color="auto"/>
              <w:right w:val="outset" w:sz="6" w:space="0" w:color="auto"/>
            </w:tcBorders>
          </w:tcPr>
          <w:p w14:paraId="3B8F5EAA" w14:textId="77777777" w:rsidR="00287694" w:rsidRPr="008F497F" w:rsidRDefault="009E57AA"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062F61C6" w14:textId="77777777" w:rsidR="00287694" w:rsidRPr="008F497F" w:rsidRDefault="009E57AA"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62C69D61" w14:textId="77777777" w:rsidR="00287694" w:rsidRPr="008F497F" w:rsidRDefault="009E57AA"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62D79C6A" w14:textId="77777777" w:rsidTr="00606CDC">
        <w:trPr>
          <w:tblCellSpacing w:w="15" w:type="dxa"/>
        </w:trPr>
        <w:tc>
          <w:tcPr>
            <w:tcW w:w="4967" w:type="pct"/>
            <w:gridSpan w:val="14"/>
            <w:tcBorders>
              <w:top w:val="outset" w:sz="6" w:space="0" w:color="auto"/>
              <w:left w:val="outset" w:sz="6" w:space="0" w:color="auto"/>
              <w:bottom w:val="outset" w:sz="6" w:space="0" w:color="auto"/>
              <w:right w:val="outset" w:sz="6" w:space="0" w:color="A0A0A0"/>
            </w:tcBorders>
          </w:tcPr>
          <w:p w14:paraId="5869831C" w14:textId="77777777" w:rsidR="00287694" w:rsidRPr="008F497F" w:rsidRDefault="009E57AA"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9.pants</w:t>
            </w:r>
          </w:p>
        </w:tc>
      </w:tr>
      <w:tr w:rsidR="00287694" w:rsidRPr="008F497F" w14:paraId="3010C829"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04988725" w14:textId="77777777" w:rsidR="00287694" w:rsidRDefault="009E57AA"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904" w:type="pct"/>
            <w:tcBorders>
              <w:top w:val="outset" w:sz="6" w:space="0" w:color="auto"/>
              <w:left w:val="outset" w:sz="6" w:space="0" w:color="auto"/>
              <w:bottom w:val="outset" w:sz="6" w:space="0" w:color="auto"/>
              <w:right w:val="outset" w:sz="6" w:space="0" w:color="auto"/>
            </w:tcBorders>
          </w:tcPr>
          <w:p w14:paraId="6A855AD9" w14:textId="77777777" w:rsidR="003A06B1" w:rsidRPr="00471188" w:rsidRDefault="003A06B1" w:rsidP="00606CDC">
            <w:pPr>
              <w:spacing w:after="0" w:line="240" w:lineRule="auto"/>
              <w:rPr>
                <w:rFonts w:ascii="Times New Roman" w:eastAsia="Times New Roman" w:hAnsi="Times New Roman" w:cs="Times New Roman"/>
                <w:iCs/>
                <w:sz w:val="24"/>
                <w:szCs w:val="24"/>
                <w:lang w:eastAsia="lv-LV"/>
              </w:rPr>
            </w:pPr>
            <w:r w:rsidRPr="00471188">
              <w:rPr>
                <w:rFonts w:ascii="Times New Roman" w:eastAsia="Times New Roman" w:hAnsi="Times New Roman" w:cs="Times New Roman"/>
                <w:iCs/>
                <w:sz w:val="24"/>
                <w:szCs w:val="24"/>
                <w:lang w:eastAsia="lv-LV"/>
              </w:rPr>
              <w:t>3.punkts</w:t>
            </w:r>
          </w:p>
          <w:p w14:paraId="18FB30D1" w14:textId="62948614" w:rsidR="003A06B1" w:rsidRPr="00471188" w:rsidRDefault="00174378" w:rsidP="00606CD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w:t>
            </w:r>
            <w:r w:rsidR="00A558B6" w:rsidRPr="00471188">
              <w:rPr>
                <w:rFonts w:ascii="Times New Roman" w:eastAsia="Times New Roman" w:hAnsi="Times New Roman" w:cs="Times New Roman"/>
                <w:iCs/>
                <w:sz w:val="24"/>
                <w:szCs w:val="24"/>
                <w:lang w:eastAsia="lv-LV"/>
              </w:rPr>
              <w:t>.punkt</w:t>
            </w:r>
            <w:r w:rsidR="003A06B1" w:rsidRPr="00471188">
              <w:rPr>
                <w:rFonts w:ascii="Times New Roman" w:eastAsia="Times New Roman" w:hAnsi="Times New Roman" w:cs="Times New Roman"/>
                <w:iCs/>
                <w:sz w:val="24"/>
                <w:szCs w:val="24"/>
                <w:lang w:eastAsia="lv-LV"/>
              </w:rPr>
              <w:t>s</w:t>
            </w:r>
          </w:p>
          <w:p w14:paraId="778C90AC" w14:textId="5223A203" w:rsidR="00287694" w:rsidRPr="008F497F" w:rsidRDefault="00A558B6" w:rsidP="00606CDC">
            <w:pPr>
              <w:spacing w:after="0" w:line="240" w:lineRule="auto"/>
              <w:rPr>
                <w:rFonts w:ascii="Times New Roman" w:eastAsia="Times New Roman" w:hAnsi="Times New Roman" w:cs="Times New Roman"/>
                <w:iCs/>
                <w:color w:val="414142"/>
                <w:sz w:val="24"/>
                <w:szCs w:val="24"/>
                <w:lang w:eastAsia="lv-LV"/>
              </w:rPr>
            </w:pPr>
            <w:r w:rsidRPr="00471188">
              <w:rPr>
                <w:rFonts w:ascii="Times New Roman" w:eastAsia="Times New Roman" w:hAnsi="Times New Roman" w:cs="Times New Roman"/>
                <w:iCs/>
                <w:sz w:val="24"/>
                <w:szCs w:val="24"/>
                <w:lang w:eastAsia="lv-LV"/>
              </w:rPr>
              <w:t>1</w:t>
            </w:r>
            <w:r w:rsidR="00174378">
              <w:rPr>
                <w:rFonts w:ascii="Times New Roman" w:eastAsia="Times New Roman" w:hAnsi="Times New Roman" w:cs="Times New Roman"/>
                <w:iCs/>
                <w:sz w:val="24"/>
                <w:szCs w:val="24"/>
                <w:lang w:eastAsia="lv-LV"/>
              </w:rPr>
              <w:t>5</w:t>
            </w:r>
            <w:r w:rsidRPr="00471188">
              <w:rPr>
                <w:rFonts w:ascii="Times New Roman" w:eastAsia="Times New Roman" w:hAnsi="Times New Roman" w:cs="Times New Roman"/>
                <w:iCs/>
                <w:sz w:val="24"/>
                <w:szCs w:val="24"/>
                <w:lang w:eastAsia="lv-LV"/>
              </w:rPr>
              <w:t xml:space="preserve">.punkts </w:t>
            </w:r>
          </w:p>
        </w:tc>
        <w:tc>
          <w:tcPr>
            <w:tcW w:w="1304" w:type="pct"/>
            <w:gridSpan w:val="7"/>
            <w:tcBorders>
              <w:top w:val="outset" w:sz="6" w:space="0" w:color="auto"/>
              <w:left w:val="outset" w:sz="6" w:space="0" w:color="auto"/>
              <w:bottom w:val="outset" w:sz="6" w:space="0" w:color="auto"/>
              <w:right w:val="outset" w:sz="6" w:space="0" w:color="auto"/>
            </w:tcBorders>
          </w:tcPr>
          <w:p w14:paraId="66971303" w14:textId="77777777" w:rsidR="00287694" w:rsidRPr="008F497F" w:rsidRDefault="00A558B6"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872" w:type="pct"/>
            <w:tcBorders>
              <w:top w:val="outset" w:sz="6" w:space="0" w:color="auto"/>
              <w:left w:val="outset" w:sz="6" w:space="0" w:color="auto"/>
              <w:bottom w:val="outset" w:sz="6" w:space="0" w:color="auto"/>
              <w:right w:val="outset" w:sz="6" w:space="0" w:color="auto"/>
            </w:tcBorders>
          </w:tcPr>
          <w:p w14:paraId="4CC15619" w14:textId="77777777" w:rsidR="00287694" w:rsidRPr="008F497F" w:rsidRDefault="00A558B6"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047EC0ED"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0EDBA6E3" w14:textId="77777777" w:rsidR="00287694" w:rsidRDefault="009E57AA"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904" w:type="pct"/>
            <w:tcBorders>
              <w:top w:val="outset" w:sz="6" w:space="0" w:color="auto"/>
              <w:left w:val="outset" w:sz="6" w:space="0" w:color="auto"/>
              <w:bottom w:val="outset" w:sz="6" w:space="0" w:color="auto"/>
              <w:right w:val="outset" w:sz="6" w:space="0" w:color="auto"/>
            </w:tcBorders>
          </w:tcPr>
          <w:p w14:paraId="1B9E0BB6" w14:textId="77777777" w:rsidR="00287694" w:rsidRPr="008F497F" w:rsidRDefault="00A558B6"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19341644" w14:textId="77777777" w:rsidR="00287694" w:rsidRPr="008F497F" w:rsidRDefault="00B057A4"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7E46FDAD" w14:textId="77777777" w:rsidR="00287694" w:rsidRPr="008F497F" w:rsidRDefault="00B057A4"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3BCDAEAA"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0DBBE6F1" w14:textId="77777777" w:rsidR="00287694" w:rsidRDefault="009E57AA"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904" w:type="pct"/>
            <w:tcBorders>
              <w:top w:val="outset" w:sz="6" w:space="0" w:color="auto"/>
              <w:left w:val="outset" w:sz="6" w:space="0" w:color="auto"/>
              <w:bottom w:val="outset" w:sz="6" w:space="0" w:color="auto"/>
              <w:right w:val="outset" w:sz="6" w:space="0" w:color="auto"/>
            </w:tcBorders>
          </w:tcPr>
          <w:p w14:paraId="7C9770C8" w14:textId="77777777" w:rsidR="00287694" w:rsidRPr="008F497F" w:rsidRDefault="00B057A4"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58CEA290" w14:textId="77777777" w:rsidR="00287694" w:rsidRPr="008F497F" w:rsidRDefault="00B057A4"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0A3F5C89" w14:textId="77777777" w:rsidR="00287694" w:rsidRPr="008F497F" w:rsidRDefault="00B057A4"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6CEFEE10"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5CB280C1" w14:textId="77777777" w:rsidR="00287694" w:rsidRDefault="009E57AA"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4.punkts</w:t>
            </w:r>
          </w:p>
        </w:tc>
        <w:tc>
          <w:tcPr>
            <w:tcW w:w="904" w:type="pct"/>
            <w:tcBorders>
              <w:top w:val="outset" w:sz="6" w:space="0" w:color="auto"/>
              <w:left w:val="outset" w:sz="6" w:space="0" w:color="auto"/>
              <w:bottom w:val="outset" w:sz="6" w:space="0" w:color="auto"/>
              <w:right w:val="outset" w:sz="6" w:space="0" w:color="auto"/>
            </w:tcBorders>
          </w:tcPr>
          <w:p w14:paraId="47025384" w14:textId="77777777" w:rsidR="00287694" w:rsidRPr="008F497F" w:rsidRDefault="00B057A4"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3F4ABBE8" w14:textId="77777777" w:rsidR="00287694" w:rsidRPr="008F497F" w:rsidRDefault="00B057A4"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31177BAA" w14:textId="77777777" w:rsidR="00287694" w:rsidRPr="008F497F" w:rsidRDefault="00B057A4"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75FB35F5" w14:textId="77777777" w:rsidTr="00606CDC">
        <w:trPr>
          <w:tblCellSpacing w:w="15" w:type="dxa"/>
        </w:trPr>
        <w:tc>
          <w:tcPr>
            <w:tcW w:w="4967" w:type="pct"/>
            <w:gridSpan w:val="14"/>
            <w:tcBorders>
              <w:top w:val="outset" w:sz="6" w:space="0" w:color="auto"/>
              <w:left w:val="outset" w:sz="6" w:space="0" w:color="auto"/>
              <w:bottom w:val="outset" w:sz="6" w:space="0" w:color="auto"/>
              <w:right w:val="outset" w:sz="6" w:space="0" w:color="A0A0A0"/>
            </w:tcBorders>
          </w:tcPr>
          <w:p w14:paraId="4B8CDCB0" w14:textId="77777777" w:rsidR="00287694" w:rsidRPr="008F497F" w:rsidRDefault="00B057A4"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10.pants</w:t>
            </w:r>
          </w:p>
        </w:tc>
      </w:tr>
      <w:tr w:rsidR="00287694" w:rsidRPr="008F497F" w14:paraId="57BF31EF"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4151F908" w14:textId="77777777" w:rsidR="00287694" w:rsidRDefault="00B057A4"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904" w:type="pct"/>
            <w:tcBorders>
              <w:top w:val="outset" w:sz="6" w:space="0" w:color="auto"/>
              <w:left w:val="outset" w:sz="6" w:space="0" w:color="auto"/>
              <w:bottom w:val="outset" w:sz="6" w:space="0" w:color="auto"/>
              <w:right w:val="outset" w:sz="6" w:space="0" w:color="auto"/>
            </w:tcBorders>
          </w:tcPr>
          <w:p w14:paraId="00CB79A8" w14:textId="680ECB07" w:rsidR="00287694" w:rsidRPr="008F497F" w:rsidRDefault="00A561CE"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9</w:t>
            </w:r>
            <w:r w:rsidR="00142FFE">
              <w:rPr>
                <w:rFonts w:ascii="Times New Roman" w:eastAsia="Times New Roman" w:hAnsi="Times New Roman" w:cs="Times New Roman"/>
                <w:iCs/>
                <w:color w:val="414142"/>
                <w:sz w:val="24"/>
                <w:szCs w:val="24"/>
                <w:lang w:eastAsia="lv-LV"/>
              </w:rPr>
              <w:t>.punkts</w:t>
            </w:r>
          </w:p>
        </w:tc>
        <w:tc>
          <w:tcPr>
            <w:tcW w:w="1304" w:type="pct"/>
            <w:gridSpan w:val="7"/>
            <w:tcBorders>
              <w:top w:val="outset" w:sz="6" w:space="0" w:color="auto"/>
              <w:left w:val="outset" w:sz="6" w:space="0" w:color="auto"/>
              <w:bottom w:val="outset" w:sz="6" w:space="0" w:color="auto"/>
              <w:right w:val="outset" w:sz="6" w:space="0" w:color="auto"/>
            </w:tcBorders>
          </w:tcPr>
          <w:p w14:paraId="1906DC07" w14:textId="77777777" w:rsidR="00287694" w:rsidRPr="008F497F" w:rsidRDefault="00716BB1"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872" w:type="pct"/>
            <w:tcBorders>
              <w:top w:val="outset" w:sz="6" w:space="0" w:color="auto"/>
              <w:left w:val="outset" w:sz="6" w:space="0" w:color="auto"/>
              <w:bottom w:val="outset" w:sz="6" w:space="0" w:color="auto"/>
              <w:right w:val="outset" w:sz="6" w:space="0" w:color="auto"/>
            </w:tcBorders>
          </w:tcPr>
          <w:p w14:paraId="3733C2A6" w14:textId="73434556" w:rsidR="00287694" w:rsidRPr="0010634B" w:rsidRDefault="00606CDC" w:rsidP="0010634B">
            <w:pPr>
              <w:pStyle w:val="naisc"/>
              <w:spacing w:before="0" w:after="0"/>
              <w:jc w:val="both"/>
              <w:rPr>
                <w:color w:val="385623" w:themeColor="accent6" w:themeShade="80"/>
              </w:rPr>
            </w:pPr>
            <w:r>
              <w:rPr>
                <w:iCs/>
                <w:color w:val="414142"/>
              </w:rPr>
              <w:t>Projekt</w:t>
            </w:r>
            <w:r w:rsidR="00A5446F">
              <w:rPr>
                <w:iCs/>
                <w:color w:val="414142"/>
              </w:rPr>
              <w:t>a 1</w:t>
            </w:r>
            <w:r w:rsidR="008B5416">
              <w:rPr>
                <w:iCs/>
                <w:color w:val="414142"/>
              </w:rPr>
              <w:t>1</w:t>
            </w:r>
            <w:r w:rsidR="00A5446F">
              <w:rPr>
                <w:iCs/>
                <w:color w:val="414142"/>
              </w:rPr>
              <w:t>.punktā noteikt</w:t>
            </w:r>
            <w:r w:rsidR="00383B2B">
              <w:rPr>
                <w:iCs/>
                <w:color w:val="414142"/>
              </w:rPr>
              <w:t>ais</w:t>
            </w:r>
            <w:r w:rsidR="00A5446F">
              <w:rPr>
                <w:iCs/>
                <w:color w:val="414142"/>
              </w:rPr>
              <w:t xml:space="preserve"> informācij</w:t>
            </w:r>
            <w:r w:rsidR="00931F5E">
              <w:rPr>
                <w:iCs/>
                <w:color w:val="414142"/>
              </w:rPr>
              <w:t>as</w:t>
            </w:r>
            <w:r w:rsidR="00383B2B">
              <w:rPr>
                <w:iCs/>
                <w:color w:val="414142"/>
              </w:rPr>
              <w:t xml:space="preserve"> sniegšanas pienākums reizi ceturksnī ir uzskatāms par stingrākām prasībām nekā paredz regula (reizi gadā</w:t>
            </w:r>
            <w:r w:rsidR="00383B2B" w:rsidRPr="00154C71">
              <w:rPr>
                <w:iCs/>
                <w:color w:val="414142"/>
              </w:rPr>
              <w:t>)</w:t>
            </w:r>
            <w:r w:rsidR="00DD50A6" w:rsidRPr="00154C71">
              <w:rPr>
                <w:iCs/>
                <w:color w:val="414142"/>
              </w:rPr>
              <w:t>.</w:t>
            </w:r>
            <w:r w:rsidRPr="00154C71">
              <w:rPr>
                <w:iCs/>
                <w:color w:val="414142"/>
              </w:rPr>
              <w:t xml:space="preserve"> </w:t>
            </w:r>
            <w:r w:rsidR="0010634B" w:rsidRPr="008A3161">
              <w:rPr>
                <w:b/>
                <w:iCs/>
              </w:rPr>
              <w:t xml:space="preserve">Atskaišu </w:t>
            </w:r>
            <w:r w:rsidR="0010634B" w:rsidRPr="008A3161">
              <w:rPr>
                <w:b/>
              </w:rPr>
              <w:t>iesniegšanas termiņš – reizi ceturksnī – jāsaglabā n</w:t>
            </w:r>
            <w:r w:rsidR="0010634B" w:rsidRPr="008A3161">
              <w:rPr>
                <w:b/>
                <w:shd w:val="clear" w:color="auto" w:fill="FFFFFF"/>
              </w:rPr>
              <w:t xml:space="preserve">olūkā kontrolēt un uzraudzīt noteiktas vielas, ko bieži izmanto narkotisko vai </w:t>
            </w:r>
            <w:r w:rsidR="0010634B" w:rsidRPr="008A3161">
              <w:rPr>
                <w:b/>
                <w:shd w:val="clear" w:color="auto" w:fill="FFFFFF"/>
              </w:rPr>
              <w:lastRenderedPageBreak/>
              <w:t xml:space="preserve">psihotropo vielu nelikumīgai ražošanai, lai savlaicīgi pamanītu aizdomīgus darījumus. </w:t>
            </w:r>
            <w:r w:rsidR="00F52151" w:rsidRPr="008A3161">
              <w:rPr>
                <w:b/>
              </w:rPr>
              <w:t xml:space="preserve">Šādas prasības leģitīmais mērķis ir sabiedrības veselības interešu aizsardzība, jo </w:t>
            </w:r>
            <w:r w:rsidR="0010634B" w:rsidRPr="008A3161">
              <w:rPr>
                <w:b/>
              </w:rPr>
              <w:t>do</w:t>
            </w:r>
            <w:r w:rsidR="00F52151" w:rsidRPr="008A3161">
              <w:rPr>
                <w:b/>
              </w:rPr>
              <w:t>d</w:t>
            </w:r>
            <w:r w:rsidR="0010634B" w:rsidRPr="008A3161">
              <w:rPr>
                <w:b/>
              </w:rPr>
              <w:t xml:space="preserve"> iespēju efektīvi un operatīvi novērst  attiecīgo vielu nokļūšanu nelegālā apritē. </w:t>
            </w:r>
            <w:r w:rsidR="002E78ED" w:rsidRPr="008A3161">
              <w:rPr>
                <w:b/>
              </w:rPr>
              <w:t>Citu alternatīvu, kas ļautu tikpat efektīvi un operatīvi ierobežot vai novērst attiecīgo vielu nokļūšanu nelegālajā apritē, pašlaik nav</w:t>
            </w:r>
            <w:r w:rsidR="002E78ED" w:rsidRPr="008A3161">
              <w:rPr>
                <w:u w:val="single"/>
              </w:rPr>
              <w:t>.</w:t>
            </w:r>
          </w:p>
        </w:tc>
      </w:tr>
      <w:tr w:rsidR="00287694" w:rsidRPr="008F497F" w14:paraId="7EB745D5"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5CEB74E4" w14:textId="77777777" w:rsidR="00287694" w:rsidRDefault="00B057A4"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2.punkts</w:t>
            </w:r>
          </w:p>
        </w:tc>
        <w:tc>
          <w:tcPr>
            <w:tcW w:w="904" w:type="pct"/>
            <w:tcBorders>
              <w:top w:val="outset" w:sz="6" w:space="0" w:color="auto"/>
              <w:left w:val="outset" w:sz="6" w:space="0" w:color="auto"/>
              <w:bottom w:val="outset" w:sz="6" w:space="0" w:color="auto"/>
              <w:right w:val="outset" w:sz="6" w:space="0" w:color="auto"/>
            </w:tcBorders>
          </w:tcPr>
          <w:p w14:paraId="4FF02B37" w14:textId="2F28CFEF" w:rsidR="00287694" w:rsidRPr="008F497F" w:rsidRDefault="00A561CE"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9</w:t>
            </w:r>
            <w:r w:rsidR="00716BB1">
              <w:rPr>
                <w:rFonts w:ascii="Times New Roman" w:eastAsia="Times New Roman" w:hAnsi="Times New Roman" w:cs="Times New Roman"/>
                <w:iCs/>
                <w:color w:val="414142"/>
                <w:sz w:val="24"/>
                <w:szCs w:val="24"/>
                <w:lang w:eastAsia="lv-LV"/>
              </w:rPr>
              <w:t>.punkts</w:t>
            </w:r>
          </w:p>
        </w:tc>
        <w:tc>
          <w:tcPr>
            <w:tcW w:w="1304" w:type="pct"/>
            <w:gridSpan w:val="7"/>
            <w:tcBorders>
              <w:top w:val="outset" w:sz="6" w:space="0" w:color="auto"/>
              <w:left w:val="outset" w:sz="6" w:space="0" w:color="auto"/>
              <w:bottom w:val="outset" w:sz="6" w:space="0" w:color="auto"/>
              <w:right w:val="outset" w:sz="6" w:space="0" w:color="auto"/>
            </w:tcBorders>
          </w:tcPr>
          <w:p w14:paraId="4BB6B565" w14:textId="77777777" w:rsidR="00287694" w:rsidRPr="008F497F" w:rsidRDefault="00716BB1"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1872" w:type="pct"/>
            <w:tcBorders>
              <w:top w:val="outset" w:sz="6" w:space="0" w:color="auto"/>
              <w:left w:val="outset" w:sz="6" w:space="0" w:color="auto"/>
              <w:bottom w:val="outset" w:sz="6" w:space="0" w:color="auto"/>
              <w:right w:val="outset" w:sz="6" w:space="0" w:color="auto"/>
            </w:tcBorders>
          </w:tcPr>
          <w:p w14:paraId="3B59CA6B" w14:textId="55CD33D9" w:rsidR="00CC6908" w:rsidRPr="000547C8" w:rsidRDefault="00383B2B" w:rsidP="0010634B">
            <w:pPr>
              <w:pStyle w:val="naisc"/>
              <w:spacing w:before="0" w:after="0"/>
              <w:jc w:val="both"/>
              <w:rPr>
                <w:b/>
              </w:rPr>
            </w:pPr>
            <w:r>
              <w:rPr>
                <w:iCs/>
                <w:color w:val="414142"/>
              </w:rPr>
              <w:t>Projekta 1</w:t>
            </w:r>
            <w:r w:rsidR="008B5416">
              <w:rPr>
                <w:iCs/>
                <w:color w:val="414142"/>
              </w:rPr>
              <w:t>1</w:t>
            </w:r>
            <w:r>
              <w:rPr>
                <w:iCs/>
                <w:color w:val="414142"/>
              </w:rPr>
              <w:t xml:space="preserve">.punktā noteiktais informācijas sniegšanas pienākums reizi ceturksnī ir uzskatāms par stingrākām prasībām nekā paredz regula (reizi gadā). </w:t>
            </w:r>
            <w:r w:rsidR="0010634B" w:rsidRPr="008A3161">
              <w:rPr>
                <w:b/>
                <w:iCs/>
              </w:rPr>
              <w:t xml:space="preserve">Atskaišu </w:t>
            </w:r>
            <w:r w:rsidR="0010634B" w:rsidRPr="008A3161">
              <w:rPr>
                <w:b/>
              </w:rPr>
              <w:t>iesniegšanas termiņš – reizi ceturksnī – jāsaglabā n</w:t>
            </w:r>
            <w:r w:rsidR="0010634B" w:rsidRPr="008A3161">
              <w:rPr>
                <w:b/>
                <w:shd w:val="clear" w:color="auto" w:fill="FFFFFF"/>
              </w:rPr>
              <w:t>olūkā kontrolēt un uzraudzīt noteiktas vielas, ko bieži izmanto narkotisko vai psihotropo vielu nelikumīgai ražošanai, lai savlaicīgi pamanītu aizdomīgus</w:t>
            </w:r>
            <w:r w:rsidR="0010634B" w:rsidRPr="008A3161">
              <w:rPr>
                <w:shd w:val="clear" w:color="auto" w:fill="FFFFFF"/>
              </w:rPr>
              <w:t xml:space="preserve"> </w:t>
            </w:r>
            <w:r w:rsidR="0010634B" w:rsidRPr="008A3161">
              <w:rPr>
                <w:b/>
                <w:shd w:val="clear" w:color="auto" w:fill="FFFFFF"/>
              </w:rPr>
              <w:t xml:space="preserve">darījumus. </w:t>
            </w:r>
            <w:r w:rsidR="00F52151" w:rsidRPr="008A3161">
              <w:rPr>
                <w:b/>
              </w:rPr>
              <w:t xml:space="preserve">Šādas prasības leģitīmais mērķis ir sabiedrības veselības interešu aizsardzība, jo </w:t>
            </w:r>
            <w:r w:rsidR="0010634B" w:rsidRPr="008A3161">
              <w:rPr>
                <w:b/>
              </w:rPr>
              <w:t>do</w:t>
            </w:r>
            <w:r w:rsidR="00F52151" w:rsidRPr="008A3161">
              <w:rPr>
                <w:b/>
              </w:rPr>
              <w:t>d</w:t>
            </w:r>
            <w:r w:rsidR="0010634B" w:rsidRPr="008A3161">
              <w:rPr>
                <w:b/>
              </w:rPr>
              <w:t xml:space="preserve"> iespēju efektīvi un operatīvi novērst  attiecīgo vielu nokļūšanu nelegālā apritē. </w:t>
            </w:r>
            <w:r w:rsidR="002E78ED" w:rsidRPr="008A3161">
              <w:rPr>
                <w:b/>
              </w:rPr>
              <w:t>Citu alternatīvu, kas ļautu tikpat efektīvi un operatīvi ierobežot vai novērst attiecīgo vielu nokļūšanu nelegālajā apritē, pašlaik nav.</w:t>
            </w:r>
          </w:p>
        </w:tc>
      </w:tr>
      <w:tr w:rsidR="00287694" w:rsidRPr="008F497F" w14:paraId="6E7A754B"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57FEE9D9" w14:textId="77777777" w:rsidR="00287694" w:rsidRDefault="00B057A4"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904" w:type="pct"/>
            <w:tcBorders>
              <w:top w:val="outset" w:sz="6" w:space="0" w:color="auto"/>
              <w:left w:val="outset" w:sz="6" w:space="0" w:color="auto"/>
              <w:bottom w:val="outset" w:sz="6" w:space="0" w:color="auto"/>
              <w:right w:val="outset" w:sz="6" w:space="0" w:color="auto"/>
            </w:tcBorders>
          </w:tcPr>
          <w:p w14:paraId="695E1234" w14:textId="77777777" w:rsidR="00287694" w:rsidRPr="008F497F" w:rsidRDefault="00716BB1"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58ED5611" w14:textId="77777777" w:rsidR="00287694" w:rsidRPr="008F497F" w:rsidRDefault="00716BB1"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240BA9B6" w14:textId="77777777" w:rsidR="00287694" w:rsidRPr="008F497F" w:rsidRDefault="00716BB1"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7C7E5F29" w14:textId="77777777" w:rsidTr="00606CDC">
        <w:trPr>
          <w:tblCellSpacing w:w="15" w:type="dxa"/>
        </w:trPr>
        <w:tc>
          <w:tcPr>
            <w:tcW w:w="4967" w:type="pct"/>
            <w:gridSpan w:val="14"/>
            <w:tcBorders>
              <w:top w:val="outset" w:sz="6" w:space="0" w:color="auto"/>
              <w:left w:val="outset" w:sz="6" w:space="0" w:color="auto"/>
              <w:bottom w:val="outset" w:sz="6" w:space="0" w:color="auto"/>
              <w:right w:val="outset" w:sz="6" w:space="0" w:color="A0A0A0"/>
            </w:tcBorders>
          </w:tcPr>
          <w:p w14:paraId="6AF2B7B4" w14:textId="77777777" w:rsidR="00287694" w:rsidRPr="008F497F" w:rsidRDefault="00716BB1"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11.pants</w:t>
            </w:r>
          </w:p>
        </w:tc>
      </w:tr>
      <w:tr w:rsidR="00287694" w:rsidRPr="008F497F" w14:paraId="7B0BEE0D"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1715A1F5" w14:textId="77777777" w:rsidR="00287694" w:rsidRDefault="005A7DAB"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904" w:type="pct"/>
            <w:tcBorders>
              <w:top w:val="outset" w:sz="6" w:space="0" w:color="auto"/>
              <w:left w:val="outset" w:sz="6" w:space="0" w:color="auto"/>
              <w:bottom w:val="outset" w:sz="6" w:space="0" w:color="auto"/>
              <w:right w:val="outset" w:sz="6" w:space="0" w:color="auto"/>
            </w:tcBorders>
          </w:tcPr>
          <w:p w14:paraId="33F2E36F" w14:textId="77777777" w:rsidR="00287694" w:rsidRPr="008F497F" w:rsidRDefault="00324E8E"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080BF258" w14:textId="77777777" w:rsidR="00287694" w:rsidRPr="008F497F" w:rsidRDefault="00324E8E"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4D5CC55A" w14:textId="77777777" w:rsidR="00287694" w:rsidRPr="008F497F" w:rsidRDefault="00324E8E"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4B94F7F9"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13B85931" w14:textId="77777777" w:rsidR="00287694" w:rsidRDefault="00661BA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904" w:type="pct"/>
            <w:tcBorders>
              <w:top w:val="outset" w:sz="6" w:space="0" w:color="auto"/>
              <w:left w:val="outset" w:sz="6" w:space="0" w:color="auto"/>
              <w:bottom w:val="outset" w:sz="6" w:space="0" w:color="auto"/>
              <w:right w:val="outset" w:sz="6" w:space="0" w:color="auto"/>
            </w:tcBorders>
          </w:tcPr>
          <w:p w14:paraId="22427901" w14:textId="77777777" w:rsidR="00287694" w:rsidRPr="008F497F" w:rsidRDefault="00324E8E"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6B28EAC9" w14:textId="77777777" w:rsidR="00287694" w:rsidRPr="008F497F" w:rsidRDefault="00324E8E"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1BC40F8B" w14:textId="77777777" w:rsidR="00287694" w:rsidRPr="008F497F" w:rsidRDefault="00324E8E"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3CDAB544"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2CF9F94E" w14:textId="77777777" w:rsidR="00287694" w:rsidRDefault="00661BA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3.punkts</w:t>
            </w:r>
          </w:p>
        </w:tc>
        <w:tc>
          <w:tcPr>
            <w:tcW w:w="904" w:type="pct"/>
            <w:tcBorders>
              <w:top w:val="outset" w:sz="6" w:space="0" w:color="auto"/>
              <w:left w:val="outset" w:sz="6" w:space="0" w:color="auto"/>
              <w:bottom w:val="outset" w:sz="6" w:space="0" w:color="auto"/>
              <w:right w:val="outset" w:sz="6" w:space="0" w:color="auto"/>
            </w:tcBorders>
          </w:tcPr>
          <w:p w14:paraId="0CDDE3C1" w14:textId="77777777" w:rsidR="00287694" w:rsidRPr="008F497F" w:rsidRDefault="00570255"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3777225B" w14:textId="77777777" w:rsidR="00287694" w:rsidRPr="008F497F" w:rsidRDefault="00570255"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706DBC38" w14:textId="77777777" w:rsidR="00287694" w:rsidRPr="008F497F" w:rsidRDefault="00570255"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370C5C75"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2D68D489" w14:textId="77777777" w:rsidR="00287694" w:rsidRDefault="00661BA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4.punkts</w:t>
            </w:r>
          </w:p>
        </w:tc>
        <w:tc>
          <w:tcPr>
            <w:tcW w:w="904" w:type="pct"/>
            <w:tcBorders>
              <w:top w:val="outset" w:sz="6" w:space="0" w:color="auto"/>
              <w:left w:val="outset" w:sz="6" w:space="0" w:color="auto"/>
              <w:bottom w:val="outset" w:sz="6" w:space="0" w:color="auto"/>
              <w:right w:val="outset" w:sz="6" w:space="0" w:color="auto"/>
            </w:tcBorders>
          </w:tcPr>
          <w:p w14:paraId="29AE55A7" w14:textId="77777777" w:rsidR="00287694" w:rsidRPr="008F497F" w:rsidRDefault="00570255"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20189EE4" w14:textId="77777777" w:rsidR="00287694" w:rsidRPr="008F497F" w:rsidRDefault="00570255"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6B9465A5" w14:textId="77777777" w:rsidR="00287694" w:rsidRPr="008F497F" w:rsidRDefault="00570255"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1F95A39F"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7043D589" w14:textId="77777777" w:rsidR="00287694" w:rsidRDefault="00661BA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5.punkts</w:t>
            </w:r>
          </w:p>
        </w:tc>
        <w:tc>
          <w:tcPr>
            <w:tcW w:w="904" w:type="pct"/>
            <w:tcBorders>
              <w:top w:val="outset" w:sz="6" w:space="0" w:color="auto"/>
              <w:left w:val="outset" w:sz="6" w:space="0" w:color="auto"/>
              <w:bottom w:val="outset" w:sz="6" w:space="0" w:color="auto"/>
              <w:right w:val="outset" w:sz="6" w:space="0" w:color="auto"/>
            </w:tcBorders>
          </w:tcPr>
          <w:p w14:paraId="7563CB39" w14:textId="77777777" w:rsidR="00287694" w:rsidRPr="008F497F" w:rsidRDefault="00570255"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10783DA0" w14:textId="77777777" w:rsidR="00287694" w:rsidRPr="008F497F" w:rsidRDefault="00570255"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6FE0D699" w14:textId="77777777" w:rsidR="00287694" w:rsidRPr="008F497F" w:rsidRDefault="00570255"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0A68CC07"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4AB2BDF0" w14:textId="77777777" w:rsidR="00287694" w:rsidRDefault="00661BA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6.punkts</w:t>
            </w:r>
          </w:p>
        </w:tc>
        <w:tc>
          <w:tcPr>
            <w:tcW w:w="904" w:type="pct"/>
            <w:tcBorders>
              <w:top w:val="outset" w:sz="6" w:space="0" w:color="auto"/>
              <w:left w:val="outset" w:sz="6" w:space="0" w:color="auto"/>
              <w:bottom w:val="outset" w:sz="6" w:space="0" w:color="auto"/>
              <w:right w:val="outset" w:sz="6" w:space="0" w:color="auto"/>
            </w:tcBorders>
          </w:tcPr>
          <w:p w14:paraId="462D7C59" w14:textId="77777777" w:rsidR="00287694" w:rsidRPr="008F497F" w:rsidRDefault="00570255"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5A084C34" w14:textId="77777777" w:rsidR="00287694" w:rsidRPr="008F497F" w:rsidRDefault="00570255"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0B6059FC" w14:textId="77777777" w:rsidR="00287694" w:rsidRPr="008F497F" w:rsidRDefault="00570255"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168FA874"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7167D3D9" w14:textId="77777777" w:rsidR="00287694" w:rsidRDefault="00661BA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7.punkts</w:t>
            </w:r>
          </w:p>
        </w:tc>
        <w:tc>
          <w:tcPr>
            <w:tcW w:w="904" w:type="pct"/>
            <w:tcBorders>
              <w:top w:val="outset" w:sz="6" w:space="0" w:color="auto"/>
              <w:left w:val="outset" w:sz="6" w:space="0" w:color="auto"/>
              <w:bottom w:val="outset" w:sz="6" w:space="0" w:color="auto"/>
              <w:right w:val="outset" w:sz="6" w:space="0" w:color="auto"/>
            </w:tcBorders>
          </w:tcPr>
          <w:p w14:paraId="37372B96" w14:textId="77777777" w:rsidR="00287694" w:rsidRPr="008F497F" w:rsidRDefault="007B38A5" w:rsidP="007B38A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5A8FE7CA" w14:textId="77777777" w:rsidR="00287694" w:rsidRPr="008F497F" w:rsidRDefault="007B38A5"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5DBC2977" w14:textId="77777777" w:rsidR="00287694" w:rsidRPr="008F497F" w:rsidRDefault="007B38A5"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9E57AA" w:rsidRPr="008F497F" w14:paraId="53E85838"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203E2509" w14:textId="77777777" w:rsidR="00287694" w:rsidRDefault="00661BA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8.punkts</w:t>
            </w:r>
          </w:p>
        </w:tc>
        <w:tc>
          <w:tcPr>
            <w:tcW w:w="904" w:type="pct"/>
            <w:tcBorders>
              <w:top w:val="outset" w:sz="6" w:space="0" w:color="auto"/>
              <w:left w:val="outset" w:sz="6" w:space="0" w:color="auto"/>
              <w:bottom w:val="outset" w:sz="6" w:space="0" w:color="auto"/>
              <w:right w:val="outset" w:sz="6" w:space="0" w:color="auto"/>
            </w:tcBorders>
          </w:tcPr>
          <w:p w14:paraId="0B1F9B45" w14:textId="77777777" w:rsidR="00287694" w:rsidRPr="008F497F" w:rsidRDefault="007B38A5"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5694671A" w14:textId="77777777" w:rsidR="00287694" w:rsidRPr="008F497F" w:rsidRDefault="007B38A5"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164443C3" w14:textId="77777777" w:rsidR="00287694" w:rsidRPr="008F497F" w:rsidRDefault="007B38A5"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9E57AA" w:rsidRPr="008F497F" w14:paraId="5652ADE4"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138D4805" w14:textId="77777777" w:rsidR="00287694" w:rsidRDefault="00661BA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9.punkts</w:t>
            </w:r>
          </w:p>
        </w:tc>
        <w:tc>
          <w:tcPr>
            <w:tcW w:w="904" w:type="pct"/>
            <w:tcBorders>
              <w:top w:val="outset" w:sz="6" w:space="0" w:color="auto"/>
              <w:left w:val="outset" w:sz="6" w:space="0" w:color="auto"/>
              <w:bottom w:val="outset" w:sz="6" w:space="0" w:color="auto"/>
              <w:right w:val="outset" w:sz="6" w:space="0" w:color="auto"/>
            </w:tcBorders>
          </w:tcPr>
          <w:p w14:paraId="2E109BF8" w14:textId="77777777" w:rsidR="00287694" w:rsidRPr="008F497F" w:rsidRDefault="00BD181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4E3C3CC1" w14:textId="77777777" w:rsidR="00287694" w:rsidRPr="008F497F" w:rsidRDefault="00BD181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77F392C6" w14:textId="77777777" w:rsidR="00287694" w:rsidRPr="008F497F" w:rsidRDefault="00BD181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9E57AA" w:rsidRPr="008F497F" w14:paraId="5D7BA224"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3CE5D653" w14:textId="77777777" w:rsidR="00287694" w:rsidRDefault="00661BA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10.punkts</w:t>
            </w:r>
          </w:p>
        </w:tc>
        <w:tc>
          <w:tcPr>
            <w:tcW w:w="904" w:type="pct"/>
            <w:tcBorders>
              <w:top w:val="outset" w:sz="6" w:space="0" w:color="auto"/>
              <w:left w:val="outset" w:sz="6" w:space="0" w:color="auto"/>
              <w:bottom w:val="outset" w:sz="6" w:space="0" w:color="auto"/>
              <w:right w:val="outset" w:sz="6" w:space="0" w:color="auto"/>
            </w:tcBorders>
          </w:tcPr>
          <w:p w14:paraId="585C0777" w14:textId="77777777" w:rsidR="00287694" w:rsidRPr="008F497F" w:rsidRDefault="00BD181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5D974DD9" w14:textId="77777777" w:rsidR="00287694" w:rsidRPr="008F497F" w:rsidRDefault="00BD181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10927412" w14:textId="77777777" w:rsidR="00287694" w:rsidRPr="008F497F" w:rsidRDefault="00BD181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32460ECF" w14:textId="77777777" w:rsidTr="00606CDC">
        <w:trPr>
          <w:tblCellSpacing w:w="15" w:type="dxa"/>
        </w:trPr>
        <w:tc>
          <w:tcPr>
            <w:tcW w:w="4967" w:type="pct"/>
            <w:gridSpan w:val="14"/>
            <w:tcBorders>
              <w:top w:val="outset" w:sz="6" w:space="0" w:color="auto"/>
              <w:left w:val="outset" w:sz="6" w:space="0" w:color="auto"/>
              <w:bottom w:val="outset" w:sz="6" w:space="0" w:color="auto"/>
              <w:right w:val="outset" w:sz="6" w:space="0" w:color="A0A0A0"/>
            </w:tcBorders>
          </w:tcPr>
          <w:p w14:paraId="6B08237B" w14:textId="77777777" w:rsidR="00287694" w:rsidRPr="008F497F" w:rsidRDefault="00777BBC"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12.pants</w:t>
            </w:r>
          </w:p>
        </w:tc>
      </w:tr>
      <w:tr w:rsidR="009E57AA" w:rsidRPr="008F497F" w14:paraId="3B021458"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44B2EF0B" w14:textId="77777777" w:rsidR="00287694" w:rsidRDefault="0007739B"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1.punkts</w:t>
            </w:r>
          </w:p>
        </w:tc>
        <w:tc>
          <w:tcPr>
            <w:tcW w:w="904" w:type="pct"/>
            <w:tcBorders>
              <w:top w:val="outset" w:sz="6" w:space="0" w:color="auto"/>
              <w:left w:val="outset" w:sz="6" w:space="0" w:color="auto"/>
              <w:bottom w:val="outset" w:sz="6" w:space="0" w:color="auto"/>
              <w:right w:val="outset" w:sz="6" w:space="0" w:color="auto"/>
            </w:tcBorders>
          </w:tcPr>
          <w:p w14:paraId="1F895CA7" w14:textId="77777777" w:rsidR="00287694" w:rsidRPr="008F497F" w:rsidRDefault="0007739B"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uzliek pienākumu dalībvalstīm</w:t>
            </w:r>
          </w:p>
        </w:tc>
        <w:tc>
          <w:tcPr>
            <w:tcW w:w="1304" w:type="pct"/>
            <w:gridSpan w:val="7"/>
            <w:tcBorders>
              <w:top w:val="outset" w:sz="6" w:space="0" w:color="auto"/>
              <w:left w:val="outset" w:sz="6" w:space="0" w:color="auto"/>
              <w:bottom w:val="outset" w:sz="6" w:space="0" w:color="auto"/>
              <w:right w:val="outset" w:sz="6" w:space="0" w:color="auto"/>
            </w:tcBorders>
          </w:tcPr>
          <w:p w14:paraId="73B43C78" w14:textId="77777777" w:rsidR="00287694" w:rsidRPr="008F497F" w:rsidRDefault="0007739B"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6480C492" w14:textId="77777777" w:rsidR="00287694" w:rsidRPr="008F497F" w:rsidRDefault="0007739B"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9E57AA" w:rsidRPr="008F497F" w14:paraId="4F3C0486"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59D33EBF" w14:textId="77777777" w:rsidR="00287694" w:rsidRDefault="0007739B"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2.punkts</w:t>
            </w:r>
          </w:p>
        </w:tc>
        <w:tc>
          <w:tcPr>
            <w:tcW w:w="904" w:type="pct"/>
            <w:tcBorders>
              <w:top w:val="outset" w:sz="6" w:space="0" w:color="auto"/>
              <w:left w:val="outset" w:sz="6" w:space="0" w:color="auto"/>
              <w:bottom w:val="outset" w:sz="6" w:space="0" w:color="auto"/>
              <w:right w:val="outset" w:sz="6" w:space="0" w:color="auto"/>
            </w:tcBorders>
          </w:tcPr>
          <w:p w14:paraId="181B09DE" w14:textId="77777777" w:rsidR="00287694" w:rsidRPr="008F497F" w:rsidRDefault="00CA18B1"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60565360" w14:textId="77777777" w:rsidR="00287694" w:rsidRPr="008F497F" w:rsidRDefault="00CA18B1"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6AC97FE3" w14:textId="77777777" w:rsidR="00287694" w:rsidRPr="008F497F" w:rsidRDefault="009166D2"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30515DEF"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4C867999" w14:textId="77777777" w:rsidR="00287694" w:rsidRDefault="0007739B"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3.punkts</w:t>
            </w:r>
          </w:p>
        </w:tc>
        <w:tc>
          <w:tcPr>
            <w:tcW w:w="904" w:type="pct"/>
            <w:tcBorders>
              <w:top w:val="outset" w:sz="6" w:space="0" w:color="auto"/>
              <w:left w:val="outset" w:sz="6" w:space="0" w:color="auto"/>
              <w:bottom w:val="outset" w:sz="6" w:space="0" w:color="auto"/>
              <w:right w:val="outset" w:sz="6" w:space="0" w:color="auto"/>
            </w:tcBorders>
          </w:tcPr>
          <w:p w14:paraId="5DF3B228" w14:textId="77777777" w:rsidR="00287694" w:rsidRPr="008F497F" w:rsidRDefault="009166D2"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uzliek pienākumu Eiropas Komisijai</w:t>
            </w:r>
          </w:p>
        </w:tc>
        <w:tc>
          <w:tcPr>
            <w:tcW w:w="1304" w:type="pct"/>
            <w:gridSpan w:val="7"/>
            <w:tcBorders>
              <w:top w:val="outset" w:sz="6" w:space="0" w:color="auto"/>
              <w:left w:val="outset" w:sz="6" w:space="0" w:color="auto"/>
              <w:bottom w:val="outset" w:sz="6" w:space="0" w:color="auto"/>
              <w:right w:val="outset" w:sz="6" w:space="0" w:color="auto"/>
            </w:tcBorders>
          </w:tcPr>
          <w:p w14:paraId="69067E9F" w14:textId="77777777" w:rsidR="00287694" w:rsidRPr="008F497F" w:rsidRDefault="009166D2"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39348EA7" w14:textId="77777777" w:rsidR="00287694" w:rsidRPr="008F497F" w:rsidRDefault="009166D2"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37246A1F"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3C8D5551" w14:textId="77777777" w:rsidR="00287694" w:rsidRDefault="0007739B"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4.punkts</w:t>
            </w:r>
          </w:p>
        </w:tc>
        <w:tc>
          <w:tcPr>
            <w:tcW w:w="904" w:type="pct"/>
            <w:tcBorders>
              <w:top w:val="outset" w:sz="6" w:space="0" w:color="auto"/>
              <w:left w:val="outset" w:sz="6" w:space="0" w:color="auto"/>
              <w:bottom w:val="outset" w:sz="6" w:space="0" w:color="auto"/>
              <w:right w:val="outset" w:sz="6" w:space="0" w:color="auto"/>
            </w:tcBorders>
          </w:tcPr>
          <w:p w14:paraId="150EE6CF" w14:textId="77777777" w:rsidR="00287694" w:rsidRPr="008F497F" w:rsidRDefault="009166D2"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uzliek pienākumu Eiropas Komisijai un dalībvalstīm</w:t>
            </w:r>
          </w:p>
        </w:tc>
        <w:tc>
          <w:tcPr>
            <w:tcW w:w="1304" w:type="pct"/>
            <w:gridSpan w:val="7"/>
            <w:tcBorders>
              <w:top w:val="outset" w:sz="6" w:space="0" w:color="auto"/>
              <w:left w:val="outset" w:sz="6" w:space="0" w:color="auto"/>
              <w:bottom w:val="outset" w:sz="6" w:space="0" w:color="auto"/>
              <w:right w:val="outset" w:sz="6" w:space="0" w:color="auto"/>
            </w:tcBorders>
          </w:tcPr>
          <w:p w14:paraId="77B959A1" w14:textId="77777777" w:rsidR="00287694" w:rsidRPr="008F497F" w:rsidRDefault="009166D2"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1CB06BCD" w14:textId="77777777" w:rsidR="00287694" w:rsidRPr="008F497F" w:rsidRDefault="009166D2"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5B56850C"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0B07E827" w14:textId="77777777" w:rsidR="00287694" w:rsidRDefault="0007739B"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5.punkts</w:t>
            </w:r>
          </w:p>
        </w:tc>
        <w:tc>
          <w:tcPr>
            <w:tcW w:w="904" w:type="pct"/>
            <w:tcBorders>
              <w:top w:val="outset" w:sz="6" w:space="0" w:color="auto"/>
              <w:left w:val="outset" w:sz="6" w:space="0" w:color="auto"/>
              <w:bottom w:val="outset" w:sz="6" w:space="0" w:color="auto"/>
              <w:right w:val="outset" w:sz="6" w:space="0" w:color="auto"/>
            </w:tcBorders>
          </w:tcPr>
          <w:p w14:paraId="4961DF2F" w14:textId="77777777" w:rsidR="00287694" w:rsidRPr="008F497F" w:rsidRDefault="009166D2"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4ABBDEB2" w14:textId="77777777" w:rsidR="00287694" w:rsidRPr="008F497F" w:rsidRDefault="009166D2"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245B3D97" w14:textId="77777777" w:rsidR="00287694" w:rsidRPr="008F497F" w:rsidRDefault="009166D2"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566633EE"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213B0A3B" w14:textId="77777777" w:rsidR="00287694" w:rsidRDefault="0007739B"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6.punkts</w:t>
            </w:r>
          </w:p>
        </w:tc>
        <w:tc>
          <w:tcPr>
            <w:tcW w:w="904" w:type="pct"/>
            <w:tcBorders>
              <w:top w:val="outset" w:sz="6" w:space="0" w:color="auto"/>
              <w:left w:val="outset" w:sz="6" w:space="0" w:color="auto"/>
              <w:bottom w:val="outset" w:sz="6" w:space="0" w:color="auto"/>
              <w:right w:val="outset" w:sz="6" w:space="0" w:color="auto"/>
            </w:tcBorders>
          </w:tcPr>
          <w:p w14:paraId="71045059" w14:textId="77777777" w:rsidR="00287694" w:rsidRPr="008F497F" w:rsidRDefault="00956E4E"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uzliek pienākumu Eiropas Komisijai</w:t>
            </w:r>
          </w:p>
        </w:tc>
        <w:tc>
          <w:tcPr>
            <w:tcW w:w="1304" w:type="pct"/>
            <w:gridSpan w:val="7"/>
            <w:tcBorders>
              <w:top w:val="outset" w:sz="6" w:space="0" w:color="auto"/>
              <w:left w:val="outset" w:sz="6" w:space="0" w:color="auto"/>
              <w:bottom w:val="outset" w:sz="6" w:space="0" w:color="auto"/>
              <w:right w:val="outset" w:sz="6" w:space="0" w:color="auto"/>
            </w:tcBorders>
          </w:tcPr>
          <w:p w14:paraId="4D8B5B25" w14:textId="77777777" w:rsidR="00287694" w:rsidRPr="008F497F" w:rsidRDefault="0049436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76347B2C" w14:textId="77777777" w:rsidR="00287694" w:rsidRPr="008F497F" w:rsidRDefault="00956E4E"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678BA039"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29E30F7F" w14:textId="77777777" w:rsidR="00287694" w:rsidRDefault="0049436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13.pants</w:t>
            </w:r>
          </w:p>
        </w:tc>
        <w:tc>
          <w:tcPr>
            <w:tcW w:w="904" w:type="pct"/>
            <w:tcBorders>
              <w:top w:val="outset" w:sz="6" w:space="0" w:color="auto"/>
              <w:left w:val="outset" w:sz="6" w:space="0" w:color="auto"/>
              <w:bottom w:val="outset" w:sz="6" w:space="0" w:color="auto"/>
              <w:right w:val="outset" w:sz="6" w:space="0" w:color="auto"/>
            </w:tcBorders>
          </w:tcPr>
          <w:p w14:paraId="06D65368" w14:textId="77777777" w:rsidR="00287694" w:rsidRPr="008F497F" w:rsidRDefault="0049436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regulē regulas spēkā stāšanos</w:t>
            </w:r>
          </w:p>
        </w:tc>
        <w:tc>
          <w:tcPr>
            <w:tcW w:w="1304" w:type="pct"/>
            <w:gridSpan w:val="7"/>
            <w:tcBorders>
              <w:top w:val="outset" w:sz="6" w:space="0" w:color="auto"/>
              <w:left w:val="outset" w:sz="6" w:space="0" w:color="auto"/>
              <w:bottom w:val="outset" w:sz="6" w:space="0" w:color="auto"/>
              <w:right w:val="outset" w:sz="6" w:space="0" w:color="auto"/>
            </w:tcBorders>
          </w:tcPr>
          <w:p w14:paraId="674A6F35" w14:textId="77777777" w:rsidR="00287694" w:rsidRPr="008F497F" w:rsidRDefault="0049436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2D992776" w14:textId="77777777" w:rsidR="00287694" w:rsidRPr="008F497F" w:rsidRDefault="0049436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521AB5C9"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728E9A0C" w14:textId="77777777" w:rsidR="00287694" w:rsidRDefault="0049436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1.pielikums</w:t>
            </w:r>
          </w:p>
        </w:tc>
        <w:tc>
          <w:tcPr>
            <w:tcW w:w="904" w:type="pct"/>
            <w:tcBorders>
              <w:top w:val="outset" w:sz="6" w:space="0" w:color="auto"/>
              <w:left w:val="outset" w:sz="6" w:space="0" w:color="auto"/>
              <w:bottom w:val="outset" w:sz="6" w:space="0" w:color="auto"/>
              <w:right w:val="outset" w:sz="6" w:space="0" w:color="auto"/>
            </w:tcBorders>
          </w:tcPr>
          <w:p w14:paraId="63B8BB6A" w14:textId="77777777" w:rsidR="00287694" w:rsidRPr="008F497F" w:rsidRDefault="0049436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40FAB17E" w14:textId="77777777" w:rsidR="00287694" w:rsidRPr="008F497F" w:rsidRDefault="0049436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6C77FC66" w14:textId="77777777" w:rsidR="00287694" w:rsidRPr="008F497F" w:rsidRDefault="0049436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0886EDC6"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65BCCD0A" w14:textId="77777777" w:rsidR="00287694" w:rsidRDefault="0049436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2.pielikums</w:t>
            </w:r>
          </w:p>
        </w:tc>
        <w:tc>
          <w:tcPr>
            <w:tcW w:w="904" w:type="pct"/>
            <w:tcBorders>
              <w:top w:val="outset" w:sz="6" w:space="0" w:color="auto"/>
              <w:left w:val="outset" w:sz="6" w:space="0" w:color="auto"/>
              <w:bottom w:val="outset" w:sz="6" w:space="0" w:color="auto"/>
              <w:right w:val="outset" w:sz="6" w:space="0" w:color="auto"/>
            </w:tcBorders>
          </w:tcPr>
          <w:p w14:paraId="1712DD7D" w14:textId="77777777" w:rsidR="00287694" w:rsidRPr="008F497F" w:rsidRDefault="0049436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49C7CA9E" w14:textId="77777777" w:rsidR="00287694" w:rsidRPr="008F497F" w:rsidRDefault="0049436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10B4F0CF" w14:textId="77777777" w:rsidR="00287694" w:rsidRPr="008F497F" w:rsidRDefault="0049436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7857B4" w:rsidRPr="008F497F" w14:paraId="22E02ECE"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3B5C7DBA" w14:textId="77777777" w:rsidR="00287694" w:rsidRDefault="0049436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3.pielikums</w:t>
            </w:r>
          </w:p>
        </w:tc>
        <w:tc>
          <w:tcPr>
            <w:tcW w:w="904" w:type="pct"/>
            <w:tcBorders>
              <w:top w:val="outset" w:sz="6" w:space="0" w:color="auto"/>
              <w:left w:val="outset" w:sz="6" w:space="0" w:color="auto"/>
              <w:bottom w:val="outset" w:sz="6" w:space="0" w:color="auto"/>
              <w:right w:val="outset" w:sz="6" w:space="0" w:color="auto"/>
            </w:tcBorders>
          </w:tcPr>
          <w:p w14:paraId="66501645" w14:textId="77777777" w:rsidR="00287694" w:rsidRPr="008F497F" w:rsidRDefault="0049436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29733CC5" w14:textId="77777777" w:rsidR="00287694" w:rsidRPr="008F497F" w:rsidRDefault="0049436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44EF1407" w14:textId="77777777" w:rsidR="00287694" w:rsidRPr="008F497F" w:rsidRDefault="0049436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7857B4" w:rsidRPr="008F497F" w14:paraId="2630955D"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tcPr>
          <w:p w14:paraId="0D705BA6" w14:textId="77777777" w:rsidR="00287694" w:rsidRDefault="0049436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4.pielikums</w:t>
            </w:r>
          </w:p>
        </w:tc>
        <w:tc>
          <w:tcPr>
            <w:tcW w:w="904" w:type="pct"/>
            <w:tcBorders>
              <w:top w:val="outset" w:sz="6" w:space="0" w:color="auto"/>
              <w:left w:val="outset" w:sz="6" w:space="0" w:color="auto"/>
              <w:bottom w:val="outset" w:sz="6" w:space="0" w:color="auto"/>
              <w:right w:val="outset" w:sz="6" w:space="0" w:color="auto"/>
            </w:tcBorders>
          </w:tcPr>
          <w:p w14:paraId="2A78955F" w14:textId="77777777" w:rsidR="00287694" w:rsidRPr="008F497F" w:rsidRDefault="0049436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 jo ir tieši piemērojams</w:t>
            </w:r>
          </w:p>
        </w:tc>
        <w:tc>
          <w:tcPr>
            <w:tcW w:w="1304" w:type="pct"/>
            <w:gridSpan w:val="7"/>
            <w:tcBorders>
              <w:top w:val="outset" w:sz="6" w:space="0" w:color="auto"/>
              <w:left w:val="outset" w:sz="6" w:space="0" w:color="auto"/>
              <w:bottom w:val="outset" w:sz="6" w:space="0" w:color="auto"/>
              <w:right w:val="outset" w:sz="6" w:space="0" w:color="auto"/>
            </w:tcBorders>
          </w:tcPr>
          <w:p w14:paraId="6F071B7A" w14:textId="77777777" w:rsidR="00287694" w:rsidRPr="008F497F" w:rsidRDefault="0049436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Netiek ieviests</w:t>
            </w:r>
          </w:p>
        </w:tc>
        <w:tc>
          <w:tcPr>
            <w:tcW w:w="1872" w:type="pct"/>
            <w:tcBorders>
              <w:top w:val="outset" w:sz="6" w:space="0" w:color="auto"/>
              <w:left w:val="outset" w:sz="6" w:space="0" w:color="auto"/>
              <w:bottom w:val="outset" w:sz="6" w:space="0" w:color="auto"/>
              <w:right w:val="outset" w:sz="6" w:space="0" w:color="auto"/>
            </w:tcBorders>
          </w:tcPr>
          <w:p w14:paraId="7EB5F979" w14:textId="77777777" w:rsidR="00287694" w:rsidRPr="008F497F" w:rsidRDefault="0049436D" w:rsidP="00606CD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 attiecināms</w:t>
            </w:r>
          </w:p>
        </w:tc>
      </w:tr>
      <w:tr w:rsidR="00287694" w:rsidRPr="008F497F" w14:paraId="14FB14FA"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hideMark/>
          </w:tcPr>
          <w:p w14:paraId="30DED4BF" w14:textId="77777777" w:rsidR="00287694" w:rsidRPr="008F497F" w:rsidRDefault="00287694" w:rsidP="00606CDC">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Kā ir izmantota ES tiesību aktā paredzētā rīcības brīvība dalībvalstij pārņemt vai ieviest noteiktas ES tiesību akta normas? Kādēļ?</w:t>
            </w:r>
          </w:p>
        </w:tc>
        <w:tc>
          <w:tcPr>
            <w:tcW w:w="4113" w:type="pct"/>
            <w:gridSpan w:val="9"/>
            <w:tcBorders>
              <w:top w:val="outset" w:sz="6" w:space="0" w:color="auto"/>
              <w:left w:val="outset" w:sz="6" w:space="0" w:color="auto"/>
              <w:bottom w:val="outset" w:sz="6" w:space="0" w:color="auto"/>
              <w:right w:val="outset" w:sz="6" w:space="0" w:color="auto"/>
            </w:tcBorders>
            <w:hideMark/>
          </w:tcPr>
          <w:p w14:paraId="6F94738F" w14:textId="77777777" w:rsidR="00287694" w:rsidRDefault="00287694" w:rsidP="001F18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 Regulas 3.panta </w:t>
            </w:r>
            <w:r w:rsidR="0050641E">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.punkts</w:t>
            </w:r>
            <w:r w:rsidR="000D0CD3">
              <w:rPr>
                <w:rFonts w:ascii="Times New Roman" w:eastAsia="Times New Roman" w:hAnsi="Times New Roman" w:cs="Times New Roman"/>
                <w:iCs/>
                <w:sz w:val="24"/>
                <w:szCs w:val="24"/>
                <w:lang w:eastAsia="lv-LV"/>
              </w:rPr>
              <w:t xml:space="preserve"> un 9.panta 1.punkts</w:t>
            </w:r>
            <w:r>
              <w:rPr>
                <w:rFonts w:ascii="Times New Roman" w:eastAsia="Times New Roman" w:hAnsi="Times New Roman" w:cs="Times New Roman"/>
                <w:iCs/>
                <w:sz w:val="24"/>
                <w:szCs w:val="24"/>
                <w:lang w:eastAsia="lv-LV"/>
              </w:rPr>
              <w:t xml:space="preserve"> dod iespēju paredzēt, </w:t>
            </w:r>
            <w:r w:rsidR="00E725E3">
              <w:rPr>
                <w:rFonts w:ascii="Times New Roman" w:eastAsia="Times New Roman" w:hAnsi="Times New Roman" w:cs="Times New Roman"/>
                <w:iCs/>
                <w:sz w:val="24"/>
                <w:szCs w:val="24"/>
                <w:lang w:eastAsia="lv-LV"/>
              </w:rPr>
              <w:t>ka pieteikumu licences saņemšanai</w:t>
            </w:r>
            <w:r w:rsidR="0029194A">
              <w:rPr>
                <w:rFonts w:ascii="Times New Roman" w:eastAsia="Times New Roman" w:hAnsi="Times New Roman" w:cs="Times New Roman"/>
                <w:iCs/>
                <w:sz w:val="24"/>
                <w:szCs w:val="24"/>
                <w:lang w:eastAsia="lv-LV"/>
              </w:rPr>
              <w:t xml:space="preserve"> un reģistrācijai</w:t>
            </w:r>
            <w:r w:rsidR="00E725E3">
              <w:rPr>
                <w:rFonts w:ascii="Times New Roman" w:eastAsia="Times New Roman" w:hAnsi="Times New Roman" w:cs="Times New Roman"/>
                <w:iCs/>
                <w:sz w:val="24"/>
                <w:szCs w:val="24"/>
                <w:lang w:eastAsia="lv-LV"/>
              </w:rPr>
              <w:t xml:space="preserve"> var iesniegt gan elektroniski, gan drukāta dokumenta formā. Projekts paredz, ka šo pieteikumu var iesniegt rakstveidā – gan elektroniska, gan drukāta dokumenta formā, jo nav racionāla pamata ierobežot šī pieteikuma formu.</w:t>
            </w:r>
          </w:p>
          <w:p w14:paraId="2D221C6D" w14:textId="3300A397" w:rsidR="00E725E3" w:rsidRDefault="00E725E3" w:rsidP="001F18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 Regulas 3.panta 5.punkts</w:t>
            </w:r>
            <w:r w:rsidR="00D0552C">
              <w:rPr>
                <w:rFonts w:ascii="Times New Roman" w:eastAsia="Times New Roman" w:hAnsi="Times New Roman" w:cs="Times New Roman"/>
                <w:iCs/>
                <w:sz w:val="24"/>
                <w:szCs w:val="24"/>
                <w:lang w:eastAsia="lv-LV"/>
              </w:rPr>
              <w:t xml:space="preserve"> un 9.panta 1.punkts</w:t>
            </w:r>
            <w:r>
              <w:rPr>
                <w:rFonts w:ascii="Times New Roman" w:eastAsia="Times New Roman" w:hAnsi="Times New Roman" w:cs="Times New Roman"/>
                <w:iCs/>
                <w:sz w:val="24"/>
                <w:szCs w:val="24"/>
                <w:lang w:eastAsia="lv-LV"/>
              </w:rPr>
              <w:t xml:space="preserve"> dod iespēju paredzēt, ka persona par atteikumu piešķirt licenci</w:t>
            </w:r>
            <w:r w:rsidR="0029194A">
              <w:rPr>
                <w:rFonts w:ascii="Times New Roman" w:eastAsia="Times New Roman" w:hAnsi="Times New Roman" w:cs="Times New Roman"/>
                <w:iCs/>
                <w:sz w:val="24"/>
                <w:szCs w:val="24"/>
                <w:lang w:eastAsia="lv-LV"/>
              </w:rPr>
              <w:t xml:space="preserve"> un reģistrēt personu</w:t>
            </w:r>
            <w:r>
              <w:rPr>
                <w:rFonts w:ascii="Times New Roman" w:eastAsia="Times New Roman" w:hAnsi="Times New Roman" w:cs="Times New Roman"/>
                <w:iCs/>
                <w:sz w:val="24"/>
                <w:szCs w:val="24"/>
                <w:lang w:eastAsia="lv-LV"/>
              </w:rPr>
              <w:t xml:space="preserve"> tiek informēta elektroniski vai  drukāta dokumenta formā. Projekts paredz, ka šādu atteikumu personai nosūta tikai</w:t>
            </w:r>
            <w:r w:rsidR="008B5416">
              <w:rPr>
                <w:rFonts w:ascii="Times New Roman" w:eastAsia="Times New Roman" w:hAnsi="Times New Roman" w:cs="Times New Roman"/>
                <w:iCs/>
                <w:sz w:val="24"/>
                <w:szCs w:val="24"/>
                <w:lang w:eastAsia="lv-LV"/>
              </w:rPr>
              <w:t xml:space="preserve"> elektroniski (primāri izmantojot oficiālo elektroniskā pasta adresi, ja tāda ir aktivizēta)</w:t>
            </w:r>
            <w:r>
              <w:rPr>
                <w:rFonts w:ascii="Times New Roman" w:eastAsia="Times New Roman" w:hAnsi="Times New Roman" w:cs="Times New Roman"/>
                <w:iCs/>
                <w:sz w:val="24"/>
                <w:szCs w:val="24"/>
                <w:lang w:eastAsia="lv-LV"/>
              </w:rPr>
              <w:t>, nolūkā ekonomēt resursus.</w:t>
            </w:r>
          </w:p>
          <w:p w14:paraId="10A95598" w14:textId="77777777" w:rsidR="00A101F1" w:rsidRDefault="00A101F1" w:rsidP="001F18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 Regulas 6.punkts</w:t>
            </w:r>
            <w:r w:rsidR="00D0552C">
              <w:rPr>
                <w:rFonts w:ascii="Times New Roman" w:eastAsia="Times New Roman" w:hAnsi="Times New Roman" w:cs="Times New Roman"/>
                <w:iCs/>
                <w:sz w:val="24"/>
                <w:szCs w:val="24"/>
                <w:lang w:eastAsia="lv-LV"/>
              </w:rPr>
              <w:t xml:space="preserve"> un 9.panta 1.punkts</w:t>
            </w:r>
            <w:r>
              <w:rPr>
                <w:rFonts w:ascii="Times New Roman" w:eastAsia="Times New Roman" w:hAnsi="Times New Roman" w:cs="Times New Roman"/>
                <w:iCs/>
                <w:sz w:val="24"/>
                <w:szCs w:val="24"/>
                <w:lang w:eastAsia="lv-LV"/>
              </w:rPr>
              <w:t xml:space="preserve"> dod iespēju</w:t>
            </w:r>
            <w:r w:rsidR="00A42806">
              <w:rPr>
                <w:rFonts w:ascii="Times New Roman" w:eastAsia="Times New Roman" w:hAnsi="Times New Roman" w:cs="Times New Roman"/>
                <w:iCs/>
                <w:sz w:val="24"/>
                <w:szCs w:val="24"/>
                <w:lang w:eastAsia="lv-LV"/>
              </w:rPr>
              <w:t xml:space="preserve"> paredzēt, ka persona</w:t>
            </w:r>
            <w:r>
              <w:rPr>
                <w:rFonts w:ascii="Times New Roman" w:eastAsia="Times New Roman" w:hAnsi="Times New Roman" w:cs="Times New Roman"/>
                <w:iCs/>
                <w:sz w:val="24"/>
                <w:szCs w:val="24"/>
                <w:lang w:eastAsia="lv-LV"/>
              </w:rPr>
              <w:t xml:space="preserve"> </w:t>
            </w:r>
            <w:r w:rsidR="00A42806">
              <w:rPr>
                <w:rFonts w:ascii="Times New Roman" w:eastAsia="Times New Roman" w:hAnsi="Times New Roman" w:cs="Times New Roman"/>
                <w:iCs/>
                <w:sz w:val="24"/>
                <w:szCs w:val="24"/>
                <w:lang w:eastAsia="lv-LV"/>
              </w:rPr>
              <w:t>informāciju par izmaiņām iesniedz elektroniski vai  drukāta dokumenta formā. Projekts paredz, ka šo informāciju iesniedz rakstveidā – gan elektroniska, gan drukāta dokumenta formā, jo nav racionāla pamata ierobežot šī pieteikuma formu.</w:t>
            </w:r>
          </w:p>
          <w:p w14:paraId="4B457372" w14:textId="16C077F3" w:rsidR="00A42806" w:rsidRPr="00A6166E" w:rsidRDefault="00A42806" w:rsidP="001F18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 Regulas 7.panta 2.punkts</w:t>
            </w:r>
            <w:r w:rsidR="00D0552C">
              <w:rPr>
                <w:rFonts w:ascii="Times New Roman" w:eastAsia="Times New Roman" w:hAnsi="Times New Roman" w:cs="Times New Roman"/>
                <w:iCs/>
                <w:sz w:val="24"/>
                <w:szCs w:val="24"/>
                <w:lang w:eastAsia="lv-LV"/>
              </w:rPr>
              <w:t xml:space="preserve"> un 9.panta 1.punkts</w:t>
            </w:r>
            <w:r>
              <w:rPr>
                <w:rFonts w:ascii="Times New Roman" w:eastAsia="Times New Roman" w:hAnsi="Times New Roman" w:cs="Times New Roman"/>
                <w:iCs/>
                <w:sz w:val="24"/>
                <w:szCs w:val="24"/>
                <w:lang w:eastAsia="lv-LV"/>
              </w:rPr>
              <w:t xml:space="preserve"> dod iespēju lēmumu par licences</w:t>
            </w:r>
            <w:r w:rsidR="0029194A">
              <w:rPr>
                <w:rFonts w:ascii="Times New Roman" w:eastAsia="Times New Roman" w:hAnsi="Times New Roman" w:cs="Times New Roman"/>
                <w:iCs/>
                <w:sz w:val="24"/>
                <w:szCs w:val="24"/>
                <w:lang w:eastAsia="lv-LV"/>
              </w:rPr>
              <w:t xml:space="preserve"> vai reģistrācijas</w:t>
            </w:r>
            <w:r>
              <w:rPr>
                <w:rFonts w:ascii="Times New Roman" w:eastAsia="Times New Roman" w:hAnsi="Times New Roman" w:cs="Times New Roman"/>
                <w:iCs/>
                <w:sz w:val="24"/>
                <w:szCs w:val="24"/>
                <w:lang w:eastAsia="lv-LV"/>
              </w:rPr>
              <w:t xml:space="preserve"> apturēšanu vai anulēšanu licences turētajam nosūta elektroniski vai drukāta dokumenta formā. Projekts paredz, ka šādu lēmumu paziņo </w:t>
            </w:r>
            <w:r w:rsidRPr="00A6166E">
              <w:rPr>
                <w:rFonts w:ascii="Times New Roman" w:eastAsia="Times New Roman" w:hAnsi="Times New Roman" w:cs="Times New Roman"/>
                <w:iCs/>
                <w:sz w:val="24"/>
                <w:szCs w:val="24"/>
                <w:lang w:eastAsia="lv-LV"/>
              </w:rPr>
              <w:t xml:space="preserve">adresātam </w:t>
            </w:r>
            <w:r w:rsidR="008B5416">
              <w:rPr>
                <w:rFonts w:ascii="Times New Roman" w:eastAsia="Times New Roman" w:hAnsi="Times New Roman" w:cs="Times New Roman"/>
                <w:iCs/>
                <w:sz w:val="24"/>
                <w:szCs w:val="24"/>
                <w:lang w:eastAsia="lv-LV"/>
              </w:rPr>
              <w:t>tikai elektroniski (primāri izmantojot oficiālo elektroniskā pasta adresi, ja tāda ir aktivizēta)</w:t>
            </w:r>
            <w:r w:rsidRPr="00A6166E">
              <w:rPr>
                <w:rFonts w:ascii="Times New Roman" w:eastAsia="Times New Roman" w:hAnsi="Times New Roman" w:cs="Times New Roman"/>
                <w:iCs/>
                <w:sz w:val="24"/>
                <w:szCs w:val="24"/>
                <w:lang w:eastAsia="lv-LV"/>
              </w:rPr>
              <w:t>.</w:t>
            </w:r>
          </w:p>
          <w:p w14:paraId="406B1930" w14:textId="77777777" w:rsidR="00A42806" w:rsidRDefault="00A42806" w:rsidP="001F186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5. </w:t>
            </w:r>
            <w:r w:rsidR="00687497">
              <w:rPr>
                <w:rFonts w:ascii="Times New Roman" w:eastAsia="Times New Roman" w:hAnsi="Times New Roman" w:cs="Times New Roman"/>
                <w:iCs/>
                <w:sz w:val="24"/>
                <w:szCs w:val="24"/>
                <w:lang w:eastAsia="lv-LV"/>
              </w:rPr>
              <w:t xml:space="preserve">Regulas 10.panta 1. un 2.punkts paredz iespēju noteikt, ka prekursoru operatori informāciju par prekursoru apriti sniedz </w:t>
            </w:r>
            <w:r w:rsidR="009E74BA">
              <w:rPr>
                <w:rFonts w:ascii="Times New Roman" w:eastAsia="Times New Roman" w:hAnsi="Times New Roman" w:cs="Times New Roman"/>
                <w:iCs/>
                <w:sz w:val="24"/>
                <w:szCs w:val="24"/>
                <w:lang w:eastAsia="lv-LV"/>
              </w:rPr>
              <w:t>vai nu elektroniski vai drukāta dokumenta formā.</w:t>
            </w:r>
            <w:r w:rsidR="00BA0843">
              <w:rPr>
                <w:rFonts w:ascii="Times New Roman" w:eastAsia="Times New Roman" w:hAnsi="Times New Roman" w:cs="Times New Roman"/>
                <w:iCs/>
                <w:sz w:val="24"/>
                <w:szCs w:val="24"/>
                <w:lang w:eastAsia="lv-LV"/>
              </w:rPr>
              <w:t xml:space="preserve"> Projekts paredz, ka prekursoru operatori </w:t>
            </w:r>
            <w:r w:rsidR="00BA0843">
              <w:rPr>
                <w:rFonts w:ascii="Times New Roman" w:eastAsia="Times New Roman" w:hAnsi="Times New Roman" w:cs="Times New Roman"/>
                <w:iCs/>
                <w:sz w:val="24"/>
                <w:szCs w:val="24"/>
                <w:lang w:eastAsia="lv-LV"/>
              </w:rPr>
              <w:lastRenderedPageBreak/>
              <w:t>informāciju par prekursoru apriti sniedz elektroniski, jo šādus datus ir ātri un viegli apstrādāt, kas ir arī galvenais to iegūšanas mērķis.</w:t>
            </w:r>
          </w:p>
          <w:p w14:paraId="426AC457" w14:textId="0931392D" w:rsidR="00CC6908" w:rsidRPr="002C4F41" w:rsidRDefault="00CC6908" w:rsidP="001F1862">
            <w:pPr>
              <w:spacing w:after="0" w:line="240" w:lineRule="auto"/>
              <w:jc w:val="both"/>
              <w:rPr>
                <w:rFonts w:ascii="Times New Roman" w:eastAsia="Times New Roman" w:hAnsi="Times New Roman" w:cs="Times New Roman"/>
                <w:iCs/>
                <w:sz w:val="24"/>
                <w:szCs w:val="24"/>
                <w:lang w:eastAsia="lv-LV"/>
              </w:rPr>
            </w:pPr>
          </w:p>
        </w:tc>
      </w:tr>
      <w:tr w:rsidR="00287694" w:rsidRPr="008F497F" w14:paraId="27856A23"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hideMark/>
          </w:tcPr>
          <w:p w14:paraId="7F60665A" w14:textId="77777777" w:rsidR="00287694" w:rsidRPr="008F497F" w:rsidRDefault="00287694" w:rsidP="00606CDC">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13" w:type="pct"/>
            <w:gridSpan w:val="9"/>
            <w:tcBorders>
              <w:top w:val="outset" w:sz="6" w:space="0" w:color="auto"/>
              <w:left w:val="outset" w:sz="6" w:space="0" w:color="auto"/>
              <w:bottom w:val="outset" w:sz="6" w:space="0" w:color="auto"/>
              <w:right w:val="outset" w:sz="6" w:space="0" w:color="auto"/>
            </w:tcBorders>
            <w:hideMark/>
          </w:tcPr>
          <w:p w14:paraId="304378FE" w14:textId="77777777" w:rsidR="00287694" w:rsidRPr="0009518D" w:rsidRDefault="00287694" w:rsidP="00606CD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287694" w:rsidRPr="008F497F" w14:paraId="63F22D48" w14:textId="77777777" w:rsidTr="000547C8">
        <w:trPr>
          <w:tblCellSpacing w:w="15" w:type="dxa"/>
        </w:trPr>
        <w:tc>
          <w:tcPr>
            <w:tcW w:w="837" w:type="pct"/>
            <w:gridSpan w:val="5"/>
            <w:tcBorders>
              <w:top w:val="outset" w:sz="6" w:space="0" w:color="auto"/>
              <w:left w:val="outset" w:sz="6" w:space="0" w:color="auto"/>
              <w:bottom w:val="outset" w:sz="6" w:space="0" w:color="auto"/>
              <w:right w:val="outset" w:sz="6" w:space="0" w:color="auto"/>
            </w:tcBorders>
            <w:hideMark/>
          </w:tcPr>
          <w:p w14:paraId="44458D97" w14:textId="77777777" w:rsidR="00287694" w:rsidRPr="008F497F" w:rsidRDefault="00287694" w:rsidP="00606CDC">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Cita informācija</w:t>
            </w:r>
          </w:p>
        </w:tc>
        <w:tc>
          <w:tcPr>
            <w:tcW w:w="4113" w:type="pct"/>
            <w:gridSpan w:val="9"/>
            <w:tcBorders>
              <w:top w:val="outset" w:sz="6" w:space="0" w:color="auto"/>
              <w:left w:val="outset" w:sz="6" w:space="0" w:color="auto"/>
              <w:bottom w:val="outset" w:sz="6" w:space="0" w:color="auto"/>
              <w:right w:val="outset" w:sz="6" w:space="0" w:color="auto"/>
            </w:tcBorders>
            <w:hideMark/>
          </w:tcPr>
          <w:p w14:paraId="3B55C1A2" w14:textId="77777777" w:rsidR="00287694" w:rsidRPr="00287694" w:rsidRDefault="00287694" w:rsidP="00606CDC">
            <w:pPr>
              <w:spacing w:after="0" w:line="240" w:lineRule="auto"/>
              <w:rPr>
                <w:rFonts w:ascii="Times New Roman" w:eastAsia="Times New Roman" w:hAnsi="Times New Roman" w:cs="Times New Roman"/>
                <w:iCs/>
                <w:color w:val="A6A6A6" w:themeColor="background1" w:themeShade="A6"/>
                <w:sz w:val="24"/>
                <w:szCs w:val="24"/>
                <w:lang w:eastAsia="lv-LV"/>
              </w:rPr>
            </w:pPr>
            <w:r w:rsidRPr="00287694">
              <w:rPr>
                <w:rFonts w:ascii="Times New Roman" w:eastAsia="Times New Roman" w:hAnsi="Times New Roman" w:cs="Times New Roman"/>
                <w:iCs/>
                <w:sz w:val="24"/>
                <w:szCs w:val="24"/>
                <w:lang w:eastAsia="lv-LV"/>
              </w:rPr>
              <w:t>Nav</w:t>
            </w:r>
          </w:p>
        </w:tc>
      </w:tr>
      <w:tr w:rsidR="00E5323B" w:rsidRPr="008F497F" w14:paraId="5CB51BA6" w14:textId="77777777" w:rsidTr="00E5323B">
        <w:trPr>
          <w:tblCellSpacing w:w="15" w:type="dxa"/>
        </w:trPr>
        <w:tc>
          <w:tcPr>
            <w:tcW w:w="0" w:type="auto"/>
            <w:gridSpan w:val="14"/>
            <w:tcBorders>
              <w:top w:val="outset" w:sz="6" w:space="0" w:color="auto"/>
              <w:left w:val="outset" w:sz="6" w:space="0" w:color="auto"/>
              <w:bottom w:val="outset" w:sz="6" w:space="0" w:color="auto"/>
              <w:right w:val="outset" w:sz="6" w:space="0" w:color="auto"/>
            </w:tcBorders>
            <w:vAlign w:val="center"/>
            <w:hideMark/>
          </w:tcPr>
          <w:p w14:paraId="4C6513CA" w14:textId="77777777" w:rsidR="00655F2C" w:rsidRPr="008F497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F497F">
              <w:rPr>
                <w:rFonts w:ascii="Times New Roman" w:eastAsia="Times New Roman" w:hAnsi="Times New Roman" w:cs="Times New Roman"/>
                <w:iCs/>
                <w:color w:val="414142"/>
                <w:sz w:val="24"/>
                <w:szCs w:val="24"/>
                <w:lang w:eastAsia="lv-LV"/>
              </w:rPr>
              <w:t xml:space="preserve"> </w:t>
            </w:r>
            <w:r w:rsidRPr="008F497F">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8F497F" w14:paraId="48EFEDC4" w14:textId="77777777" w:rsidTr="00F60184">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2AF2A565" w14:textId="77777777" w:rsidR="00655F2C"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1.</w:t>
            </w:r>
          </w:p>
        </w:tc>
        <w:tc>
          <w:tcPr>
            <w:tcW w:w="1678" w:type="pct"/>
            <w:gridSpan w:val="6"/>
            <w:tcBorders>
              <w:top w:val="outset" w:sz="6" w:space="0" w:color="auto"/>
              <w:left w:val="outset" w:sz="6" w:space="0" w:color="auto"/>
              <w:bottom w:val="outset" w:sz="6" w:space="0" w:color="auto"/>
              <w:right w:val="outset" w:sz="6" w:space="0" w:color="auto"/>
            </w:tcBorders>
            <w:hideMark/>
          </w:tcPr>
          <w:p w14:paraId="39BFD15C" w14:textId="77777777" w:rsidR="00E5323B"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0" w:type="pct"/>
            <w:gridSpan w:val="6"/>
            <w:tcBorders>
              <w:top w:val="outset" w:sz="6" w:space="0" w:color="auto"/>
              <w:left w:val="outset" w:sz="6" w:space="0" w:color="auto"/>
              <w:bottom w:val="outset" w:sz="6" w:space="0" w:color="auto"/>
              <w:right w:val="outset" w:sz="6" w:space="0" w:color="auto"/>
            </w:tcBorders>
            <w:hideMark/>
          </w:tcPr>
          <w:p w14:paraId="35FD8771" w14:textId="77777777" w:rsidR="00E5323B" w:rsidRDefault="00F60184" w:rsidP="001F1862">
            <w:pPr>
              <w:spacing w:after="0" w:line="240" w:lineRule="auto"/>
              <w:jc w:val="both"/>
              <w:rPr>
                <w:rFonts w:ascii="Times New Roman" w:eastAsia="Times New Roman" w:hAnsi="Times New Roman" w:cs="Times New Roman"/>
                <w:iCs/>
                <w:sz w:val="24"/>
                <w:szCs w:val="24"/>
                <w:lang w:eastAsia="lv-LV"/>
              </w:rPr>
            </w:pPr>
            <w:r w:rsidRPr="003B63B4">
              <w:rPr>
                <w:rFonts w:ascii="Times New Roman" w:eastAsia="Times New Roman" w:hAnsi="Times New Roman" w:cs="Times New Roman"/>
                <w:iCs/>
                <w:sz w:val="24"/>
                <w:szCs w:val="24"/>
                <w:lang w:eastAsia="lv-LV"/>
              </w:rPr>
              <w:t>P</w:t>
            </w:r>
            <w:r>
              <w:rPr>
                <w:rFonts w:ascii="Times New Roman" w:eastAsia="Times New Roman" w:hAnsi="Times New Roman" w:cs="Times New Roman"/>
                <w:iCs/>
                <w:sz w:val="24"/>
                <w:szCs w:val="24"/>
                <w:lang w:eastAsia="lv-LV"/>
              </w:rPr>
              <w:t>ar p</w:t>
            </w:r>
            <w:r w:rsidRPr="003B63B4">
              <w:rPr>
                <w:rFonts w:ascii="Times New Roman" w:eastAsia="Times New Roman" w:hAnsi="Times New Roman" w:cs="Times New Roman"/>
                <w:iCs/>
                <w:sz w:val="24"/>
                <w:szCs w:val="24"/>
                <w:lang w:eastAsia="lv-LV"/>
              </w:rPr>
              <w:t>ro</w:t>
            </w:r>
            <w:r>
              <w:rPr>
                <w:rFonts w:ascii="Times New Roman" w:eastAsia="Times New Roman" w:hAnsi="Times New Roman" w:cs="Times New Roman"/>
                <w:iCs/>
                <w:sz w:val="24"/>
                <w:szCs w:val="24"/>
                <w:lang w:eastAsia="lv-LV"/>
              </w:rPr>
              <w:t xml:space="preserve">jektu </w:t>
            </w:r>
            <w:r w:rsidR="00FC0E5C">
              <w:rPr>
                <w:rFonts w:ascii="Times New Roman" w:eastAsia="Times New Roman" w:hAnsi="Times New Roman" w:cs="Times New Roman"/>
                <w:iCs/>
                <w:sz w:val="24"/>
                <w:szCs w:val="24"/>
                <w:lang w:eastAsia="lv-LV"/>
              </w:rPr>
              <w:t>t</w:t>
            </w:r>
            <w:r>
              <w:rPr>
                <w:rFonts w:ascii="Times New Roman" w:eastAsia="Times New Roman" w:hAnsi="Times New Roman" w:cs="Times New Roman"/>
                <w:iCs/>
                <w:sz w:val="24"/>
                <w:szCs w:val="24"/>
                <w:lang w:eastAsia="lv-LV"/>
              </w:rPr>
              <w:t>ika rīkota sabiedriskā apspriede</w:t>
            </w:r>
            <w:r w:rsidR="00FC0E5C">
              <w:rPr>
                <w:rFonts w:ascii="Times New Roman" w:eastAsia="Times New Roman" w:hAnsi="Times New Roman" w:cs="Times New Roman"/>
                <w:iCs/>
                <w:sz w:val="24"/>
                <w:szCs w:val="24"/>
                <w:lang w:eastAsia="lv-LV"/>
              </w:rPr>
              <w:t xml:space="preserve">. Citi </w:t>
            </w:r>
            <w:r w:rsidR="00FC0E5C" w:rsidRPr="00FC0E5C">
              <w:rPr>
                <w:rFonts w:ascii="Times New Roman" w:eastAsia="Times New Roman" w:hAnsi="Times New Roman" w:cs="Times New Roman"/>
                <w:iCs/>
                <w:sz w:val="24"/>
                <w:szCs w:val="24"/>
                <w:lang w:eastAsia="lv-LV"/>
              </w:rPr>
              <w:t>sabiedrības informēšan</w:t>
            </w:r>
            <w:r w:rsidR="00FC0E5C">
              <w:rPr>
                <w:rFonts w:ascii="Times New Roman" w:eastAsia="Times New Roman" w:hAnsi="Times New Roman" w:cs="Times New Roman"/>
                <w:iCs/>
                <w:sz w:val="24"/>
                <w:szCs w:val="24"/>
                <w:lang w:eastAsia="lv-LV"/>
              </w:rPr>
              <w:t>as pasākumi</w:t>
            </w:r>
            <w:r w:rsidR="00FC0E5C" w:rsidRPr="00FC0E5C">
              <w:rPr>
                <w:rFonts w:ascii="Times New Roman" w:eastAsia="Times New Roman" w:hAnsi="Times New Roman" w:cs="Times New Roman"/>
                <w:iCs/>
                <w:sz w:val="24"/>
                <w:szCs w:val="24"/>
                <w:lang w:eastAsia="lv-LV"/>
              </w:rPr>
              <w:t xml:space="preserve"> saistībā ar projekt</w:t>
            </w:r>
            <w:r w:rsidR="00FC0E5C">
              <w:rPr>
                <w:rFonts w:ascii="Times New Roman" w:eastAsia="Times New Roman" w:hAnsi="Times New Roman" w:cs="Times New Roman"/>
                <w:iCs/>
                <w:sz w:val="24"/>
                <w:szCs w:val="24"/>
                <w:lang w:eastAsia="lv-LV"/>
              </w:rPr>
              <w:t xml:space="preserve">u netika veikti. Pēc projekta pieņemšanas nav plānoti </w:t>
            </w:r>
            <w:r w:rsidR="00FC0E5C" w:rsidRPr="00FC0E5C">
              <w:rPr>
                <w:rFonts w:ascii="Times New Roman" w:eastAsia="Times New Roman" w:hAnsi="Times New Roman" w:cs="Times New Roman"/>
                <w:iCs/>
                <w:sz w:val="24"/>
                <w:szCs w:val="24"/>
                <w:lang w:eastAsia="lv-LV"/>
              </w:rPr>
              <w:t xml:space="preserve"> </w:t>
            </w:r>
            <w:r w:rsidR="00FC0E5C">
              <w:rPr>
                <w:rFonts w:ascii="Times New Roman" w:eastAsia="Times New Roman" w:hAnsi="Times New Roman" w:cs="Times New Roman"/>
                <w:iCs/>
                <w:sz w:val="24"/>
                <w:szCs w:val="24"/>
                <w:lang w:eastAsia="lv-LV"/>
              </w:rPr>
              <w:t xml:space="preserve">nekādi īpaši </w:t>
            </w:r>
            <w:r w:rsidR="00FC0E5C" w:rsidRPr="00FC0E5C">
              <w:rPr>
                <w:rFonts w:ascii="Times New Roman" w:eastAsia="Times New Roman" w:hAnsi="Times New Roman" w:cs="Times New Roman"/>
                <w:iCs/>
                <w:sz w:val="24"/>
                <w:szCs w:val="24"/>
                <w:lang w:eastAsia="lv-LV"/>
              </w:rPr>
              <w:t>sabiedrības informēšan</w:t>
            </w:r>
            <w:r w:rsidR="00FC0E5C">
              <w:rPr>
                <w:rFonts w:ascii="Times New Roman" w:eastAsia="Times New Roman" w:hAnsi="Times New Roman" w:cs="Times New Roman"/>
                <w:iCs/>
                <w:sz w:val="24"/>
                <w:szCs w:val="24"/>
                <w:lang w:eastAsia="lv-LV"/>
              </w:rPr>
              <w:t>as pasākumi.</w:t>
            </w:r>
            <w:r w:rsidR="00FC0E5C" w:rsidRPr="00FC0E5C">
              <w:rPr>
                <w:rFonts w:ascii="Times New Roman" w:eastAsia="Times New Roman" w:hAnsi="Times New Roman" w:cs="Times New Roman"/>
                <w:iCs/>
                <w:sz w:val="24"/>
                <w:szCs w:val="24"/>
                <w:lang w:eastAsia="lv-LV"/>
              </w:rPr>
              <w:t xml:space="preserve"> </w:t>
            </w:r>
          </w:p>
          <w:p w14:paraId="0ECF7CB5" w14:textId="67B215DC" w:rsidR="00CC6908" w:rsidRPr="008F497F" w:rsidRDefault="00CC6908" w:rsidP="001F1862">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E5323B" w:rsidRPr="008F497F" w14:paraId="41BD809A" w14:textId="77777777" w:rsidTr="00F60184">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37815304" w14:textId="77777777" w:rsidR="00655F2C"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2.</w:t>
            </w:r>
          </w:p>
        </w:tc>
        <w:tc>
          <w:tcPr>
            <w:tcW w:w="1678" w:type="pct"/>
            <w:gridSpan w:val="6"/>
            <w:tcBorders>
              <w:top w:val="outset" w:sz="6" w:space="0" w:color="auto"/>
              <w:left w:val="outset" w:sz="6" w:space="0" w:color="auto"/>
              <w:bottom w:val="outset" w:sz="6" w:space="0" w:color="auto"/>
              <w:right w:val="outset" w:sz="6" w:space="0" w:color="auto"/>
            </w:tcBorders>
            <w:hideMark/>
          </w:tcPr>
          <w:p w14:paraId="775A9FFC" w14:textId="77777777" w:rsidR="00E5323B"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Sabiedrības līdzdalība projekta izstrādē</w:t>
            </w:r>
          </w:p>
        </w:tc>
        <w:tc>
          <w:tcPr>
            <w:tcW w:w="2960" w:type="pct"/>
            <w:gridSpan w:val="6"/>
            <w:tcBorders>
              <w:top w:val="outset" w:sz="6" w:space="0" w:color="auto"/>
              <w:left w:val="outset" w:sz="6" w:space="0" w:color="auto"/>
              <w:bottom w:val="outset" w:sz="6" w:space="0" w:color="auto"/>
              <w:right w:val="outset" w:sz="6" w:space="0" w:color="auto"/>
            </w:tcBorders>
            <w:hideMark/>
          </w:tcPr>
          <w:p w14:paraId="29F4C8CE" w14:textId="77777777" w:rsidR="00E5323B" w:rsidRDefault="00A53854" w:rsidP="00E5323B">
            <w:pPr>
              <w:spacing w:after="0" w:line="240" w:lineRule="auto"/>
              <w:rPr>
                <w:rFonts w:ascii="Times New Roman" w:eastAsia="Times New Roman" w:hAnsi="Times New Roman" w:cs="Times New Roman"/>
                <w:iCs/>
                <w:sz w:val="24"/>
                <w:szCs w:val="24"/>
                <w:lang w:eastAsia="lv-LV"/>
              </w:rPr>
            </w:pPr>
            <w:r w:rsidRPr="003B63B4">
              <w:rPr>
                <w:rFonts w:ascii="Times New Roman" w:eastAsia="Times New Roman" w:hAnsi="Times New Roman" w:cs="Times New Roman"/>
                <w:iCs/>
                <w:sz w:val="24"/>
                <w:szCs w:val="24"/>
                <w:lang w:eastAsia="lv-LV"/>
              </w:rPr>
              <w:t>P</w:t>
            </w:r>
            <w:r>
              <w:rPr>
                <w:rFonts w:ascii="Times New Roman" w:eastAsia="Times New Roman" w:hAnsi="Times New Roman" w:cs="Times New Roman"/>
                <w:iCs/>
                <w:sz w:val="24"/>
                <w:szCs w:val="24"/>
                <w:lang w:eastAsia="lv-LV"/>
              </w:rPr>
              <w:t>ar p</w:t>
            </w:r>
            <w:r w:rsidRPr="003B63B4">
              <w:rPr>
                <w:rFonts w:ascii="Times New Roman" w:eastAsia="Times New Roman" w:hAnsi="Times New Roman" w:cs="Times New Roman"/>
                <w:iCs/>
                <w:sz w:val="24"/>
                <w:szCs w:val="24"/>
                <w:lang w:eastAsia="lv-LV"/>
              </w:rPr>
              <w:t>ro</w:t>
            </w:r>
            <w:r>
              <w:rPr>
                <w:rFonts w:ascii="Times New Roman" w:eastAsia="Times New Roman" w:hAnsi="Times New Roman" w:cs="Times New Roman"/>
                <w:iCs/>
                <w:sz w:val="24"/>
                <w:szCs w:val="24"/>
                <w:lang w:eastAsia="lv-LV"/>
              </w:rPr>
              <w:t xml:space="preserve">jektu 2019.gada 24.maijā tika rīkota sabiedriskā apspriede, uz kuru tika uzaicināti pārstāvji no </w:t>
            </w:r>
            <w:r w:rsidRPr="00A24AFC">
              <w:rPr>
                <w:rFonts w:ascii="Times New Roman" w:eastAsia="Times New Roman" w:hAnsi="Times New Roman" w:cs="Times New Roman"/>
                <w:iCs/>
                <w:sz w:val="24"/>
                <w:szCs w:val="24"/>
                <w:lang w:eastAsia="lv-LV"/>
              </w:rPr>
              <w:t>Latvijas Tirdzniecības un rūpniecības kamera</w:t>
            </w:r>
            <w:r>
              <w:rPr>
                <w:rFonts w:ascii="Times New Roman" w:eastAsia="Times New Roman" w:hAnsi="Times New Roman" w:cs="Times New Roman"/>
                <w:iCs/>
                <w:sz w:val="24"/>
                <w:szCs w:val="24"/>
                <w:lang w:eastAsia="lv-LV"/>
              </w:rPr>
              <w:t>s,</w:t>
            </w:r>
            <w:r w:rsidRPr="00A24AFC">
              <w:rPr>
                <w:rFonts w:ascii="Times New Roman" w:eastAsia="Times New Roman" w:hAnsi="Times New Roman" w:cs="Times New Roman"/>
                <w:iCs/>
                <w:sz w:val="24"/>
                <w:szCs w:val="24"/>
                <w:lang w:eastAsia="lv-LV"/>
              </w:rPr>
              <w:t xml:space="preserve"> Latvijas Darba devēju konfederācija</w:t>
            </w:r>
            <w:r>
              <w:rPr>
                <w:rFonts w:ascii="Times New Roman" w:eastAsia="Times New Roman" w:hAnsi="Times New Roman" w:cs="Times New Roman"/>
                <w:iCs/>
                <w:sz w:val="24"/>
                <w:szCs w:val="24"/>
                <w:lang w:eastAsia="lv-LV"/>
              </w:rPr>
              <w:t xml:space="preserve">s, </w:t>
            </w:r>
            <w:r w:rsidRPr="00A24AFC">
              <w:rPr>
                <w:rFonts w:ascii="Times New Roman" w:eastAsia="Times New Roman" w:hAnsi="Times New Roman" w:cs="Times New Roman"/>
                <w:iCs/>
                <w:sz w:val="24"/>
                <w:szCs w:val="24"/>
                <w:lang w:eastAsia="lv-LV"/>
              </w:rPr>
              <w:t>Latvijas Ķīmijas un farmācijas uzņēmēju asociācija</w:t>
            </w:r>
            <w:r>
              <w:rPr>
                <w:rFonts w:ascii="Times New Roman" w:eastAsia="Times New Roman" w:hAnsi="Times New Roman" w:cs="Times New Roman"/>
                <w:iCs/>
                <w:sz w:val="24"/>
                <w:szCs w:val="24"/>
                <w:lang w:eastAsia="lv-LV"/>
              </w:rPr>
              <w:t xml:space="preserve">s, </w:t>
            </w:r>
            <w:r w:rsidRPr="00A24AFC">
              <w:rPr>
                <w:rFonts w:ascii="Times New Roman" w:eastAsia="Times New Roman" w:hAnsi="Times New Roman" w:cs="Times New Roman"/>
                <w:iCs/>
                <w:sz w:val="24"/>
                <w:szCs w:val="24"/>
                <w:lang w:eastAsia="lv-LV"/>
              </w:rPr>
              <w:t>Latvijas Zāļu lieltirgotāju asociācija</w:t>
            </w:r>
            <w:r>
              <w:rPr>
                <w:rFonts w:ascii="Times New Roman" w:eastAsia="Times New Roman" w:hAnsi="Times New Roman" w:cs="Times New Roman"/>
                <w:iCs/>
                <w:sz w:val="24"/>
                <w:szCs w:val="24"/>
                <w:lang w:eastAsia="lv-LV"/>
              </w:rPr>
              <w:t xml:space="preserve">s, Aptieku īpašnieku biedrības un Aptieku attīstības biedrības. Informācija par sabiedrisko apspriedi un izstrādātais projekts tika publicēts Veselības ministrijas tīmekļa vietnē www.vm.gov.lv 2019.gada 9.maijā. Tāpat 2019.gada 9.maijā informācija par sabiedrisko apspriedi un izstrādātais projekts tika nosūtīti minētajām organizācijām arī elektroniskā pasta vēstules veidā. </w:t>
            </w:r>
            <w:r w:rsidR="00F60184">
              <w:rPr>
                <w:rFonts w:ascii="Times New Roman" w:eastAsia="Times New Roman" w:hAnsi="Times New Roman" w:cs="Times New Roman"/>
                <w:iCs/>
                <w:sz w:val="24"/>
                <w:szCs w:val="24"/>
                <w:lang w:eastAsia="lv-LV"/>
              </w:rPr>
              <w:t>Neviens sabiedrības pārstāvis uz sabiedrisko apspriedi neieradās.</w:t>
            </w:r>
            <w:r>
              <w:rPr>
                <w:rFonts w:ascii="Times New Roman" w:eastAsia="Times New Roman" w:hAnsi="Times New Roman" w:cs="Times New Roman"/>
                <w:iCs/>
                <w:sz w:val="24"/>
                <w:szCs w:val="24"/>
                <w:lang w:eastAsia="lv-LV"/>
              </w:rPr>
              <w:t xml:space="preserve"> Nekādi rakstiski priekšlikumi vai iebildumi arī no sabiedrības pārstāvju puses netika </w:t>
            </w:r>
            <w:r>
              <w:rPr>
                <w:rFonts w:ascii="Times New Roman" w:eastAsia="Times New Roman" w:hAnsi="Times New Roman" w:cs="Times New Roman"/>
                <w:iCs/>
                <w:sz w:val="24"/>
                <w:szCs w:val="24"/>
                <w:lang w:eastAsia="lv-LV"/>
              </w:rPr>
              <w:lastRenderedPageBreak/>
              <w:t>sniegti.</w:t>
            </w:r>
            <w:r w:rsidR="00897E85">
              <w:rPr>
                <w:rFonts w:ascii="Times New Roman" w:eastAsia="Times New Roman" w:hAnsi="Times New Roman" w:cs="Times New Roman"/>
                <w:iCs/>
                <w:sz w:val="24"/>
                <w:szCs w:val="24"/>
                <w:lang w:eastAsia="lv-LV"/>
              </w:rPr>
              <w:t xml:space="preserve"> K</w:t>
            </w:r>
            <w:r w:rsidR="00897E85" w:rsidRPr="00897E85">
              <w:rPr>
                <w:rFonts w:ascii="Times New Roman" w:eastAsia="Times New Roman" w:hAnsi="Times New Roman" w:cs="Times New Roman"/>
                <w:iCs/>
                <w:sz w:val="24"/>
                <w:szCs w:val="24"/>
                <w:lang w:eastAsia="lv-LV"/>
              </w:rPr>
              <w:t>onsultācijas projekta izstrādes procesā</w:t>
            </w:r>
            <w:r w:rsidR="00897E85">
              <w:rPr>
                <w:rFonts w:ascii="Times New Roman" w:eastAsia="Times New Roman" w:hAnsi="Times New Roman" w:cs="Times New Roman"/>
                <w:iCs/>
                <w:sz w:val="24"/>
                <w:szCs w:val="24"/>
                <w:lang w:eastAsia="lv-LV"/>
              </w:rPr>
              <w:t xml:space="preserve"> ar sabiedrības pārstāvjiem nav notikušas.</w:t>
            </w:r>
          </w:p>
          <w:p w14:paraId="6AB87716" w14:textId="5A41D0D1" w:rsidR="00CC6908" w:rsidRPr="008F497F" w:rsidRDefault="00CC6908"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8F497F" w14:paraId="756AC40B" w14:textId="77777777" w:rsidTr="00F60184">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1DFB6638" w14:textId="77777777" w:rsidR="00655F2C"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lastRenderedPageBreak/>
              <w:t>3.</w:t>
            </w:r>
          </w:p>
        </w:tc>
        <w:tc>
          <w:tcPr>
            <w:tcW w:w="1678" w:type="pct"/>
            <w:gridSpan w:val="6"/>
            <w:tcBorders>
              <w:top w:val="outset" w:sz="6" w:space="0" w:color="auto"/>
              <w:left w:val="outset" w:sz="6" w:space="0" w:color="auto"/>
              <w:bottom w:val="outset" w:sz="6" w:space="0" w:color="auto"/>
              <w:right w:val="outset" w:sz="6" w:space="0" w:color="auto"/>
            </w:tcBorders>
            <w:hideMark/>
          </w:tcPr>
          <w:p w14:paraId="508D36C1" w14:textId="77777777" w:rsidR="00E5323B"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Sabiedrības līdzdalības rezultāti</w:t>
            </w:r>
          </w:p>
        </w:tc>
        <w:tc>
          <w:tcPr>
            <w:tcW w:w="2960" w:type="pct"/>
            <w:gridSpan w:val="6"/>
            <w:tcBorders>
              <w:top w:val="outset" w:sz="6" w:space="0" w:color="auto"/>
              <w:left w:val="outset" w:sz="6" w:space="0" w:color="auto"/>
              <w:bottom w:val="outset" w:sz="6" w:space="0" w:color="auto"/>
              <w:right w:val="outset" w:sz="6" w:space="0" w:color="auto"/>
            </w:tcBorders>
            <w:hideMark/>
          </w:tcPr>
          <w:p w14:paraId="547A5DBB" w14:textId="77777777" w:rsidR="00E5323B" w:rsidRPr="008F497F" w:rsidRDefault="00F6018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Nav</w:t>
            </w:r>
          </w:p>
        </w:tc>
      </w:tr>
      <w:tr w:rsidR="00E5323B" w:rsidRPr="008F497F" w14:paraId="3B4ED071" w14:textId="77777777" w:rsidTr="00F60184">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1BEFD688" w14:textId="77777777" w:rsidR="00655F2C"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4.</w:t>
            </w:r>
          </w:p>
        </w:tc>
        <w:tc>
          <w:tcPr>
            <w:tcW w:w="1678" w:type="pct"/>
            <w:gridSpan w:val="6"/>
            <w:tcBorders>
              <w:top w:val="outset" w:sz="6" w:space="0" w:color="auto"/>
              <w:left w:val="outset" w:sz="6" w:space="0" w:color="auto"/>
              <w:bottom w:val="outset" w:sz="6" w:space="0" w:color="auto"/>
              <w:right w:val="outset" w:sz="6" w:space="0" w:color="auto"/>
            </w:tcBorders>
            <w:hideMark/>
          </w:tcPr>
          <w:p w14:paraId="5B05CEAF" w14:textId="77777777" w:rsidR="00E5323B"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Cita informācija</w:t>
            </w:r>
          </w:p>
        </w:tc>
        <w:tc>
          <w:tcPr>
            <w:tcW w:w="2960" w:type="pct"/>
            <w:gridSpan w:val="6"/>
            <w:tcBorders>
              <w:top w:val="outset" w:sz="6" w:space="0" w:color="auto"/>
              <w:left w:val="outset" w:sz="6" w:space="0" w:color="auto"/>
              <w:bottom w:val="outset" w:sz="6" w:space="0" w:color="auto"/>
              <w:right w:val="outset" w:sz="6" w:space="0" w:color="auto"/>
            </w:tcBorders>
            <w:hideMark/>
          </w:tcPr>
          <w:p w14:paraId="08D70105" w14:textId="77777777" w:rsidR="00E5323B" w:rsidRPr="008F497F" w:rsidRDefault="003B63B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F497F">
              <w:rPr>
                <w:rFonts w:ascii="Times New Roman" w:eastAsia="Times New Roman" w:hAnsi="Times New Roman" w:cs="Times New Roman"/>
                <w:iCs/>
                <w:sz w:val="24"/>
                <w:szCs w:val="24"/>
                <w:lang w:eastAsia="lv-LV"/>
              </w:rPr>
              <w:t>Nav</w:t>
            </w:r>
          </w:p>
        </w:tc>
      </w:tr>
    </w:tbl>
    <w:p w14:paraId="599F5EA8" w14:textId="77777777" w:rsidR="00E5323B"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F497F" w14:paraId="49DB857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FF4A8B" w14:textId="77777777" w:rsidR="00655F2C" w:rsidRPr="008F497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F497F">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8F497F" w14:paraId="484DC26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9C37AC" w14:textId="77777777" w:rsidR="00655F2C"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5106440" w14:textId="77777777" w:rsidR="00E5323B"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0E2CFE0" w14:textId="0C8362BF" w:rsidR="00E5323B" w:rsidRPr="008F497F" w:rsidRDefault="002A4F2A"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F497F">
              <w:rPr>
                <w:rFonts w:ascii="Times New Roman" w:eastAsia="Times New Roman" w:hAnsi="Times New Roman" w:cs="Times New Roman"/>
                <w:iCs/>
                <w:sz w:val="24"/>
                <w:szCs w:val="24"/>
                <w:lang w:eastAsia="lv-LV"/>
              </w:rPr>
              <w:t>Zāļu valsts aģentūra, Veselības inspekcija</w:t>
            </w:r>
          </w:p>
        </w:tc>
      </w:tr>
      <w:tr w:rsidR="00E5323B" w:rsidRPr="008F497F" w14:paraId="74C9923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27D756" w14:textId="77777777" w:rsidR="00655F2C"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57CE9FE" w14:textId="77777777" w:rsidR="00E5323B"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Projekta izpildes ietekme uz pārvaldes funkcijām un institucionālo struktūru.</w:t>
            </w:r>
            <w:r w:rsidRPr="008F497F">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4297064" w14:textId="77777777" w:rsidR="00E5323B" w:rsidRPr="008F497F" w:rsidRDefault="002A4F2A"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F497F">
              <w:rPr>
                <w:rFonts w:ascii="Times New Roman" w:eastAsia="Times New Roman" w:hAnsi="Times New Roman" w:cs="Times New Roman"/>
                <w:iCs/>
                <w:sz w:val="24"/>
                <w:szCs w:val="24"/>
                <w:lang w:eastAsia="lv-LV"/>
              </w:rPr>
              <w:t>Projekts šo jomu neietekmē.</w:t>
            </w:r>
          </w:p>
        </w:tc>
      </w:tr>
      <w:tr w:rsidR="00E5323B" w:rsidRPr="008F497F" w14:paraId="0A26E0F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FBBC78" w14:textId="77777777" w:rsidR="00655F2C"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B7A3C1C" w14:textId="77777777" w:rsidR="00E5323B" w:rsidRPr="008F497F" w:rsidRDefault="00E5323B" w:rsidP="00E5323B">
            <w:pPr>
              <w:spacing w:after="0" w:line="240" w:lineRule="auto"/>
              <w:rPr>
                <w:rFonts w:ascii="Times New Roman" w:eastAsia="Times New Roman" w:hAnsi="Times New Roman" w:cs="Times New Roman"/>
                <w:iCs/>
                <w:color w:val="414142"/>
                <w:sz w:val="24"/>
                <w:szCs w:val="24"/>
                <w:lang w:eastAsia="lv-LV"/>
              </w:rPr>
            </w:pPr>
            <w:r w:rsidRPr="008F497F">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4B3A6BD" w14:textId="77777777" w:rsidR="00E5323B" w:rsidRDefault="009D26A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9D26A4">
              <w:rPr>
                <w:rFonts w:ascii="Times New Roman" w:eastAsia="Times New Roman" w:hAnsi="Times New Roman" w:cs="Times New Roman"/>
                <w:iCs/>
                <w:sz w:val="24"/>
                <w:szCs w:val="24"/>
                <w:lang w:eastAsia="lv-LV"/>
              </w:rPr>
              <w:t>rojekta izpildē iesaistītās institūcijas - Veselības inspekcija - noteikumu projektā paredzēto pasākumu īstenošanu nodrošinās tām piešķirto valsts budžeta līdzekļu ietvaros un Zāļu valsts aģentūra</w:t>
            </w:r>
            <w:r>
              <w:rPr>
                <w:rFonts w:ascii="Times New Roman" w:eastAsia="Times New Roman" w:hAnsi="Times New Roman" w:cs="Times New Roman"/>
                <w:iCs/>
                <w:sz w:val="24"/>
                <w:szCs w:val="24"/>
                <w:lang w:eastAsia="lv-LV"/>
              </w:rPr>
              <w:t xml:space="preserve"> -</w:t>
            </w:r>
            <w:r w:rsidRPr="009D26A4">
              <w:rPr>
                <w:rFonts w:ascii="Times New Roman" w:eastAsia="Times New Roman" w:hAnsi="Times New Roman" w:cs="Times New Roman"/>
                <w:iCs/>
                <w:sz w:val="24"/>
                <w:szCs w:val="24"/>
                <w:lang w:eastAsia="lv-LV"/>
              </w:rPr>
              <w:t xml:space="preserve"> saņemto pašu ieņēmumu ietvaros</w:t>
            </w:r>
            <w:r>
              <w:rPr>
                <w:rFonts w:ascii="Times New Roman" w:eastAsia="Times New Roman" w:hAnsi="Times New Roman" w:cs="Times New Roman"/>
                <w:iCs/>
                <w:sz w:val="24"/>
                <w:szCs w:val="24"/>
                <w:lang w:eastAsia="lv-LV"/>
              </w:rPr>
              <w:t>.</w:t>
            </w:r>
          </w:p>
          <w:p w14:paraId="3B60C308" w14:textId="2EC84960" w:rsidR="00CC6908" w:rsidRPr="008F497F" w:rsidRDefault="00CC6908"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14:paraId="10918CD9" w14:textId="77777777" w:rsidR="00C25B49" w:rsidRPr="008F497F" w:rsidRDefault="00C25B49" w:rsidP="00894C55">
      <w:pPr>
        <w:spacing w:after="0" w:line="240" w:lineRule="auto"/>
        <w:rPr>
          <w:rFonts w:ascii="Times New Roman" w:hAnsi="Times New Roman" w:cs="Times New Roman"/>
          <w:sz w:val="28"/>
          <w:szCs w:val="28"/>
        </w:rPr>
      </w:pPr>
    </w:p>
    <w:p w14:paraId="3C88E942" w14:textId="77777777" w:rsidR="006A4F71" w:rsidRDefault="006A4F71" w:rsidP="008E0250">
      <w:pPr>
        <w:tabs>
          <w:tab w:val="left" w:pos="6237"/>
        </w:tabs>
        <w:spacing w:after="0" w:line="240" w:lineRule="auto"/>
        <w:rPr>
          <w:rFonts w:ascii="Times New Roman" w:hAnsi="Times New Roman" w:cs="Times New Roman"/>
          <w:sz w:val="28"/>
          <w:szCs w:val="28"/>
        </w:rPr>
      </w:pPr>
    </w:p>
    <w:p w14:paraId="1B424ED5" w14:textId="00352CDC" w:rsidR="00894C55" w:rsidRPr="008F497F" w:rsidRDefault="008E0250" w:rsidP="001537FF">
      <w:pPr>
        <w:tabs>
          <w:tab w:val="left" w:pos="7513"/>
        </w:tabs>
        <w:spacing w:after="0" w:line="240" w:lineRule="auto"/>
        <w:rPr>
          <w:rFonts w:ascii="Times New Roman" w:hAnsi="Times New Roman" w:cs="Times New Roman"/>
          <w:sz w:val="28"/>
          <w:szCs w:val="28"/>
        </w:rPr>
      </w:pPr>
      <w:r w:rsidRPr="008F497F">
        <w:rPr>
          <w:rFonts w:ascii="Times New Roman" w:hAnsi="Times New Roman" w:cs="Times New Roman"/>
          <w:sz w:val="28"/>
          <w:szCs w:val="28"/>
        </w:rPr>
        <w:t>Veselības</w:t>
      </w:r>
      <w:r w:rsidR="00894C55" w:rsidRPr="008F497F">
        <w:rPr>
          <w:rFonts w:ascii="Times New Roman" w:hAnsi="Times New Roman" w:cs="Times New Roman"/>
          <w:sz w:val="28"/>
          <w:szCs w:val="28"/>
        </w:rPr>
        <w:t xml:space="preserve"> ministr</w:t>
      </w:r>
      <w:r w:rsidRPr="008F497F">
        <w:rPr>
          <w:rFonts w:ascii="Times New Roman" w:hAnsi="Times New Roman" w:cs="Times New Roman"/>
          <w:sz w:val="28"/>
          <w:szCs w:val="28"/>
        </w:rPr>
        <w:t>e</w:t>
      </w:r>
      <w:r w:rsidRPr="008F497F">
        <w:rPr>
          <w:rFonts w:ascii="Times New Roman" w:hAnsi="Times New Roman" w:cs="Times New Roman"/>
          <w:sz w:val="28"/>
          <w:szCs w:val="28"/>
        </w:rPr>
        <w:tab/>
        <w:t>I</w:t>
      </w:r>
      <w:r w:rsidR="001537FF">
        <w:rPr>
          <w:rFonts w:ascii="Times New Roman" w:hAnsi="Times New Roman" w:cs="Times New Roman"/>
          <w:sz w:val="28"/>
          <w:szCs w:val="28"/>
        </w:rPr>
        <w:t>.</w:t>
      </w:r>
      <w:r w:rsidRPr="008F497F">
        <w:rPr>
          <w:rFonts w:ascii="Times New Roman" w:hAnsi="Times New Roman" w:cs="Times New Roman"/>
          <w:sz w:val="28"/>
          <w:szCs w:val="28"/>
        </w:rPr>
        <w:t>Viņķele</w:t>
      </w:r>
    </w:p>
    <w:p w14:paraId="11B01E95" w14:textId="77777777" w:rsidR="006A4F71" w:rsidRDefault="006A4F71" w:rsidP="00894C55">
      <w:pPr>
        <w:tabs>
          <w:tab w:val="left" w:pos="6237"/>
        </w:tabs>
        <w:spacing w:after="0" w:line="240" w:lineRule="auto"/>
        <w:rPr>
          <w:rFonts w:ascii="Times New Roman" w:hAnsi="Times New Roman" w:cs="Times New Roman"/>
          <w:sz w:val="24"/>
          <w:szCs w:val="28"/>
        </w:rPr>
      </w:pPr>
    </w:p>
    <w:p w14:paraId="73BFD736" w14:textId="77777777" w:rsidR="006A4F71" w:rsidRDefault="006A4F71" w:rsidP="00894C55">
      <w:pPr>
        <w:tabs>
          <w:tab w:val="left" w:pos="6237"/>
        </w:tabs>
        <w:spacing w:after="0" w:line="240" w:lineRule="auto"/>
        <w:rPr>
          <w:rFonts w:ascii="Times New Roman" w:hAnsi="Times New Roman" w:cs="Times New Roman"/>
          <w:sz w:val="24"/>
          <w:szCs w:val="28"/>
        </w:rPr>
      </w:pPr>
    </w:p>
    <w:p w14:paraId="7EE5B02E" w14:textId="427B8592" w:rsidR="00894C55" w:rsidRPr="00710B7B" w:rsidRDefault="009717B5"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Bless</w:t>
      </w:r>
      <w:r w:rsidR="00D133F8" w:rsidRPr="00710B7B">
        <w:rPr>
          <w:rFonts w:ascii="Times New Roman" w:hAnsi="Times New Roman" w:cs="Times New Roman"/>
          <w:sz w:val="24"/>
          <w:szCs w:val="28"/>
        </w:rPr>
        <w:t xml:space="preserve"> 67</w:t>
      </w:r>
      <w:r w:rsidR="0013379F">
        <w:rPr>
          <w:rFonts w:ascii="Times New Roman" w:hAnsi="Times New Roman" w:cs="Times New Roman"/>
          <w:sz w:val="24"/>
          <w:szCs w:val="28"/>
        </w:rPr>
        <w:t>876</w:t>
      </w:r>
      <w:r>
        <w:rPr>
          <w:rFonts w:ascii="Times New Roman" w:hAnsi="Times New Roman" w:cs="Times New Roman"/>
          <w:sz w:val="24"/>
          <w:szCs w:val="28"/>
        </w:rPr>
        <w:t>177</w:t>
      </w:r>
    </w:p>
    <w:p w14:paraId="4CA4CEEB" w14:textId="69B665F5" w:rsidR="00894C55" w:rsidRPr="00710B7B" w:rsidRDefault="009717B5" w:rsidP="00894C55">
      <w:pPr>
        <w:tabs>
          <w:tab w:val="left" w:pos="6237"/>
        </w:tabs>
        <w:spacing w:after="0" w:line="240" w:lineRule="auto"/>
        <w:rPr>
          <w:rFonts w:ascii="Times New Roman" w:hAnsi="Times New Roman" w:cs="Times New Roman"/>
          <w:sz w:val="24"/>
          <w:szCs w:val="28"/>
        </w:rPr>
      </w:pPr>
      <w:r w:rsidRPr="009717B5">
        <w:rPr>
          <w:rFonts w:ascii="Times New Roman" w:hAnsi="Times New Roman" w:cs="Times New Roman"/>
          <w:sz w:val="24"/>
          <w:szCs w:val="28"/>
        </w:rPr>
        <w:t>Alvis.Bless@vm.gov.lv</w:t>
      </w:r>
    </w:p>
    <w:p w14:paraId="19164EC4" w14:textId="78704B4B" w:rsidR="00710B7B" w:rsidRPr="00710B7B" w:rsidRDefault="00710B7B" w:rsidP="00894C55">
      <w:pPr>
        <w:tabs>
          <w:tab w:val="left" w:pos="6237"/>
        </w:tabs>
        <w:spacing w:after="0" w:line="240" w:lineRule="auto"/>
        <w:rPr>
          <w:rFonts w:ascii="Times New Roman" w:hAnsi="Times New Roman" w:cs="Times New Roman"/>
          <w:sz w:val="24"/>
          <w:szCs w:val="28"/>
        </w:rPr>
      </w:pPr>
    </w:p>
    <w:p w14:paraId="27178FF2" w14:textId="01A284AB" w:rsidR="00710B7B" w:rsidRPr="008F497F" w:rsidRDefault="00710B7B" w:rsidP="00894C55">
      <w:pPr>
        <w:tabs>
          <w:tab w:val="left" w:pos="6237"/>
        </w:tabs>
        <w:spacing w:after="0" w:line="240" w:lineRule="auto"/>
        <w:rPr>
          <w:rFonts w:ascii="Times New Roman" w:hAnsi="Times New Roman" w:cs="Times New Roman"/>
          <w:sz w:val="24"/>
          <w:szCs w:val="28"/>
        </w:rPr>
      </w:pPr>
    </w:p>
    <w:sectPr w:rsidR="00710B7B" w:rsidRPr="008F497F"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8D2F3" w14:textId="77777777" w:rsidR="00BA3FB5" w:rsidRDefault="00BA3FB5" w:rsidP="00894C55">
      <w:pPr>
        <w:spacing w:after="0" w:line="240" w:lineRule="auto"/>
      </w:pPr>
      <w:r>
        <w:separator/>
      </w:r>
    </w:p>
  </w:endnote>
  <w:endnote w:type="continuationSeparator" w:id="0">
    <w:p w14:paraId="19418103" w14:textId="77777777" w:rsidR="00BA3FB5" w:rsidRDefault="00BA3FB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DA441" w14:textId="1EAA7694" w:rsidR="000547C8" w:rsidRPr="00894C55" w:rsidRDefault="000547C8">
    <w:pPr>
      <w:pStyle w:val="Footer"/>
      <w:rPr>
        <w:rFonts w:ascii="Times New Roman" w:hAnsi="Times New Roman" w:cs="Times New Roman"/>
        <w:sz w:val="20"/>
        <w:szCs w:val="20"/>
      </w:rPr>
    </w:pPr>
    <w:r>
      <w:rPr>
        <w:rFonts w:ascii="Times New Roman" w:hAnsi="Times New Roman" w:cs="Times New Roman"/>
        <w:sz w:val="20"/>
        <w:szCs w:val="20"/>
      </w:rPr>
      <w:t>VManot_</w:t>
    </w:r>
    <w:r w:rsidR="00157668">
      <w:rPr>
        <w:rFonts w:ascii="Times New Roman" w:hAnsi="Times New Roman" w:cs="Times New Roman"/>
        <w:sz w:val="20"/>
        <w:szCs w:val="20"/>
      </w:rPr>
      <w:t>0</w:t>
    </w:r>
    <w:r w:rsidR="004A1A14">
      <w:rPr>
        <w:rFonts w:ascii="Times New Roman" w:hAnsi="Times New Roman" w:cs="Times New Roman"/>
        <w:sz w:val="20"/>
        <w:szCs w:val="20"/>
      </w:rPr>
      <w:t>9</w:t>
    </w:r>
    <w:r w:rsidR="00157668">
      <w:rPr>
        <w:rFonts w:ascii="Times New Roman" w:hAnsi="Times New Roman" w:cs="Times New Roman"/>
        <w:sz w:val="20"/>
        <w:szCs w:val="20"/>
      </w:rPr>
      <w:t>0120</w:t>
    </w:r>
    <w:r>
      <w:rPr>
        <w:rFonts w:ascii="Times New Roman" w:hAnsi="Times New Roman" w:cs="Times New Roman"/>
        <w:sz w:val="20"/>
        <w:szCs w:val="20"/>
      </w:rPr>
      <w:t>_Prekursori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6CCA9" w14:textId="280F2624" w:rsidR="000547C8" w:rsidRPr="009A2654" w:rsidRDefault="000547C8">
    <w:pPr>
      <w:pStyle w:val="Footer"/>
      <w:rPr>
        <w:rFonts w:ascii="Times New Roman" w:hAnsi="Times New Roman" w:cs="Times New Roman"/>
        <w:sz w:val="20"/>
        <w:szCs w:val="20"/>
      </w:rPr>
    </w:pPr>
    <w:r>
      <w:rPr>
        <w:rFonts w:ascii="Times New Roman" w:hAnsi="Times New Roman" w:cs="Times New Roman"/>
        <w:sz w:val="20"/>
        <w:szCs w:val="20"/>
      </w:rPr>
      <w:t>VManot_</w:t>
    </w:r>
    <w:r w:rsidR="00157668">
      <w:rPr>
        <w:rFonts w:ascii="Times New Roman" w:hAnsi="Times New Roman" w:cs="Times New Roman"/>
        <w:sz w:val="20"/>
        <w:szCs w:val="20"/>
      </w:rPr>
      <w:t>0</w:t>
    </w:r>
    <w:r w:rsidR="004A1A14">
      <w:rPr>
        <w:rFonts w:ascii="Times New Roman" w:hAnsi="Times New Roman" w:cs="Times New Roman"/>
        <w:sz w:val="20"/>
        <w:szCs w:val="20"/>
      </w:rPr>
      <w:t>9</w:t>
    </w:r>
    <w:r w:rsidR="00157668">
      <w:rPr>
        <w:rFonts w:ascii="Times New Roman" w:hAnsi="Times New Roman" w:cs="Times New Roman"/>
        <w:sz w:val="20"/>
        <w:szCs w:val="20"/>
      </w:rPr>
      <w:t>0120</w:t>
    </w:r>
    <w:r>
      <w:rPr>
        <w:rFonts w:ascii="Times New Roman" w:hAnsi="Times New Roman" w:cs="Times New Roman"/>
        <w:sz w:val="20"/>
        <w:szCs w:val="20"/>
      </w:rPr>
      <w:t>_Prekursori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AE985" w14:textId="77777777" w:rsidR="00BA3FB5" w:rsidRDefault="00BA3FB5" w:rsidP="00894C55">
      <w:pPr>
        <w:spacing w:after="0" w:line="240" w:lineRule="auto"/>
      </w:pPr>
      <w:r>
        <w:separator/>
      </w:r>
    </w:p>
  </w:footnote>
  <w:footnote w:type="continuationSeparator" w:id="0">
    <w:p w14:paraId="78D21B7E" w14:textId="77777777" w:rsidR="00BA3FB5" w:rsidRDefault="00BA3FB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A1222AF" w14:textId="77777777" w:rsidR="000547C8" w:rsidRPr="00C25B49" w:rsidRDefault="000547C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F1FB8"/>
    <w:multiLevelType w:val="hybridMultilevel"/>
    <w:tmpl w:val="47A4C7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2EFF"/>
    <w:rsid w:val="0001085A"/>
    <w:rsid w:val="00030CEC"/>
    <w:rsid w:val="000547C8"/>
    <w:rsid w:val="00066FA8"/>
    <w:rsid w:val="0007739B"/>
    <w:rsid w:val="000849CC"/>
    <w:rsid w:val="0009518D"/>
    <w:rsid w:val="000B08CC"/>
    <w:rsid w:val="000D0B09"/>
    <w:rsid w:val="000D0CD3"/>
    <w:rsid w:val="0010395D"/>
    <w:rsid w:val="0010634B"/>
    <w:rsid w:val="001259B1"/>
    <w:rsid w:val="00131B47"/>
    <w:rsid w:val="0013379F"/>
    <w:rsid w:val="00142FB4"/>
    <w:rsid w:val="00142FFE"/>
    <w:rsid w:val="00145449"/>
    <w:rsid w:val="001466AB"/>
    <w:rsid w:val="0014717A"/>
    <w:rsid w:val="001537FF"/>
    <w:rsid w:val="00154C71"/>
    <w:rsid w:val="00157668"/>
    <w:rsid w:val="00160D2F"/>
    <w:rsid w:val="00162C82"/>
    <w:rsid w:val="00167458"/>
    <w:rsid w:val="0017126C"/>
    <w:rsid w:val="001718C4"/>
    <w:rsid w:val="00174378"/>
    <w:rsid w:val="00190991"/>
    <w:rsid w:val="001A5F62"/>
    <w:rsid w:val="001C0259"/>
    <w:rsid w:val="001C1831"/>
    <w:rsid w:val="001D6897"/>
    <w:rsid w:val="001E1BF9"/>
    <w:rsid w:val="001E2692"/>
    <w:rsid w:val="001F1862"/>
    <w:rsid w:val="001F3E19"/>
    <w:rsid w:val="001F7735"/>
    <w:rsid w:val="00204872"/>
    <w:rsid w:val="00221182"/>
    <w:rsid w:val="00223A6F"/>
    <w:rsid w:val="0022438C"/>
    <w:rsid w:val="002341D5"/>
    <w:rsid w:val="00243007"/>
    <w:rsid w:val="0024326E"/>
    <w:rsid w:val="00243426"/>
    <w:rsid w:val="00262926"/>
    <w:rsid w:val="00263980"/>
    <w:rsid w:val="002651BC"/>
    <w:rsid w:val="002741B7"/>
    <w:rsid w:val="00287694"/>
    <w:rsid w:val="0029194A"/>
    <w:rsid w:val="00291976"/>
    <w:rsid w:val="002920EA"/>
    <w:rsid w:val="002A3443"/>
    <w:rsid w:val="002A4C68"/>
    <w:rsid w:val="002A4F2A"/>
    <w:rsid w:val="002C4F41"/>
    <w:rsid w:val="002D3C9A"/>
    <w:rsid w:val="002E1C05"/>
    <w:rsid w:val="002E78ED"/>
    <w:rsid w:val="002F503D"/>
    <w:rsid w:val="0030149A"/>
    <w:rsid w:val="0031465B"/>
    <w:rsid w:val="003149CB"/>
    <w:rsid w:val="00322013"/>
    <w:rsid w:val="00324E8E"/>
    <w:rsid w:val="00327448"/>
    <w:rsid w:val="0036144F"/>
    <w:rsid w:val="00370E1F"/>
    <w:rsid w:val="00383B2B"/>
    <w:rsid w:val="003A06B1"/>
    <w:rsid w:val="003B0BF9"/>
    <w:rsid w:val="003B1E46"/>
    <w:rsid w:val="003B63B4"/>
    <w:rsid w:val="003D0C6F"/>
    <w:rsid w:val="003E0791"/>
    <w:rsid w:val="003E2649"/>
    <w:rsid w:val="003E6CA3"/>
    <w:rsid w:val="003F28AC"/>
    <w:rsid w:val="004012AD"/>
    <w:rsid w:val="00402727"/>
    <w:rsid w:val="00404672"/>
    <w:rsid w:val="00426829"/>
    <w:rsid w:val="0042742F"/>
    <w:rsid w:val="0043679B"/>
    <w:rsid w:val="00443498"/>
    <w:rsid w:val="004454FE"/>
    <w:rsid w:val="004463FF"/>
    <w:rsid w:val="004537C9"/>
    <w:rsid w:val="00456E40"/>
    <w:rsid w:val="00461027"/>
    <w:rsid w:val="00471188"/>
    <w:rsid w:val="00471F27"/>
    <w:rsid w:val="00475C38"/>
    <w:rsid w:val="004839F2"/>
    <w:rsid w:val="004905C6"/>
    <w:rsid w:val="00493813"/>
    <w:rsid w:val="0049436D"/>
    <w:rsid w:val="004A1A14"/>
    <w:rsid w:val="004A6362"/>
    <w:rsid w:val="004B3AD1"/>
    <w:rsid w:val="004B54B4"/>
    <w:rsid w:val="004D1C01"/>
    <w:rsid w:val="004D559A"/>
    <w:rsid w:val="004D75E5"/>
    <w:rsid w:val="004E67EF"/>
    <w:rsid w:val="004F0334"/>
    <w:rsid w:val="004F2CD3"/>
    <w:rsid w:val="0050178F"/>
    <w:rsid w:val="0050641E"/>
    <w:rsid w:val="005113D3"/>
    <w:rsid w:val="00514B99"/>
    <w:rsid w:val="00520EAB"/>
    <w:rsid w:val="005240C2"/>
    <w:rsid w:val="0054062C"/>
    <w:rsid w:val="00555B6D"/>
    <w:rsid w:val="00562691"/>
    <w:rsid w:val="00570255"/>
    <w:rsid w:val="005A50D7"/>
    <w:rsid w:val="005A7DAB"/>
    <w:rsid w:val="005B00BB"/>
    <w:rsid w:val="005B4AFC"/>
    <w:rsid w:val="005B51E7"/>
    <w:rsid w:val="005C2DB2"/>
    <w:rsid w:val="005C2EBB"/>
    <w:rsid w:val="005C4C2E"/>
    <w:rsid w:val="005C4C8A"/>
    <w:rsid w:val="005D454A"/>
    <w:rsid w:val="005F481A"/>
    <w:rsid w:val="00606CDC"/>
    <w:rsid w:val="00621CEA"/>
    <w:rsid w:val="00626EA0"/>
    <w:rsid w:val="00642D92"/>
    <w:rsid w:val="00644B24"/>
    <w:rsid w:val="00653385"/>
    <w:rsid w:val="00655F2C"/>
    <w:rsid w:val="00661BAD"/>
    <w:rsid w:val="0068694E"/>
    <w:rsid w:val="00687497"/>
    <w:rsid w:val="006A345E"/>
    <w:rsid w:val="006A4C15"/>
    <w:rsid w:val="006A4F71"/>
    <w:rsid w:val="006B264E"/>
    <w:rsid w:val="006B70B0"/>
    <w:rsid w:val="006C4FFF"/>
    <w:rsid w:val="006E1081"/>
    <w:rsid w:val="006F04F9"/>
    <w:rsid w:val="006F18CA"/>
    <w:rsid w:val="00710B7B"/>
    <w:rsid w:val="00716BB1"/>
    <w:rsid w:val="00720585"/>
    <w:rsid w:val="0073650E"/>
    <w:rsid w:val="0073778E"/>
    <w:rsid w:val="007538CF"/>
    <w:rsid w:val="00765AFE"/>
    <w:rsid w:val="00771C63"/>
    <w:rsid w:val="00773AF6"/>
    <w:rsid w:val="00777BBC"/>
    <w:rsid w:val="00784B0E"/>
    <w:rsid w:val="007857B4"/>
    <w:rsid w:val="007872E0"/>
    <w:rsid w:val="00791CCC"/>
    <w:rsid w:val="00795F71"/>
    <w:rsid w:val="00796207"/>
    <w:rsid w:val="007B2914"/>
    <w:rsid w:val="007B38A5"/>
    <w:rsid w:val="007B63DC"/>
    <w:rsid w:val="007C17FE"/>
    <w:rsid w:val="007E5F7A"/>
    <w:rsid w:val="007E73AB"/>
    <w:rsid w:val="007F5182"/>
    <w:rsid w:val="007F6245"/>
    <w:rsid w:val="00816C11"/>
    <w:rsid w:val="00824264"/>
    <w:rsid w:val="00840AD6"/>
    <w:rsid w:val="00842E9B"/>
    <w:rsid w:val="00844628"/>
    <w:rsid w:val="008457F6"/>
    <w:rsid w:val="00850789"/>
    <w:rsid w:val="00870815"/>
    <w:rsid w:val="00876735"/>
    <w:rsid w:val="00894C55"/>
    <w:rsid w:val="00897264"/>
    <w:rsid w:val="00897E85"/>
    <w:rsid w:val="008A3161"/>
    <w:rsid w:val="008B32D8"/>
    <w:rsid w:val="008B4030"/>
    <w:rsid w:val="008B5416"/>
    <w:rsid w:val="008B5B28"/>
    <w:rsid w:val="008C08EE"/>
    <w:rsid w:val="008E0250"/>
    <w:rsid w:val="008F497F"/>
    <w:rsid w:val="00910307"/>
    <w:rsid w:val="009111A6"/>
    <w:rsid w:val="009166D2"/>
    <w:rsid w:val="00931F5E"/>
    <w:rsid w:val="00956E4E"/>
    <w:rsid w:val="009717B5"/>
    <w:rsid w:val="00973277"/>
    <w:rsid w:val="009A2654"/>
    <w:rsid w:val="009B476D"/>
    <w:rsid w:val="009D26A4"/>
    <w:rsid w:val="009D3C1A"/>
    <w:rsid w:val="009E0FC6"/>
    <w:rsid w:val="009E57AA"/>
    <w:rsid w:val="009E74BA"/>
    <w:rsid w:val="009F62CC"/>
    <w:rsid w:val="009F777E"/>
    <w:rsid w:val="00A03104"/>
    <w:rsid w:val="00A101F1"/>
    <w:rsid w:val="00A10FC3"/>
    <w:rsid w:val="00A26A42"/>
    <w:rsid w:val="00A37276"/>
    <w:rsid w:val="00A42806"/>
    <w:rsid w:val="00A433CD"/>
    <w:rsid w:val="00A4452F"/>
    <w:rsid w:val="00A53854"/>
    <w:rsid w:val="00A5446F"/>
    <w:rsid w:val="00A558B6"/>
    <w:rsid w:val="00A561CE"/>
    <w:rsid w:val="00A57B9E"/>
    <w:rsid w:val="00A6073E"/>
    <w:rsid w:val="00A6166E"/>
    <w:rsid w:val="00A72621"/>
    <w:rsid w:val="00A75A73"/>
    <w:rsid w:val="00A85771"/>
    <w:rsid w:val="00A9195E"/>
    <w:rsid w:val="00A9556E"/>
    <w:rsid w:val="00AE3D4D"/>
    <w:rsid w:val="00AE5567"/>
    <w:rsid w:val="00AF1239"/>
    <w:rsid w:val="00AF2582"/>
    <w:rsid w:val="00AF4117"/>
    <w:rsid w:val="00AF7E61"/>
    <w:rsid w:val="00B01A21"/>
    <w:rsid w:val="00B057A4"/>
    <w:rsid w:val="00B06A50"/>
    <w:rsid w:val="00B06BFF"/>
    <w:rsid w:val="00B07B9C"/>
    <w:rsid w:val="00B14E2A"/>
    <w:rsid w:val="00B16480"/>
    <w:rsid w:val="00B2165C"/>
    <w:rsid w:val="00B37CD4"/>
    <w:rsid w:val="00B542BD"/>
    <w:rsid w:val="00B804B4"/>
    <w:rsid w:val="00B8640A"/>
    <w:rsid w:val="00B95B58"/>
    <w:rsid w:val="00BA0843"/>
    <w:rsid w:val="00BA20AA"/>
    <w:rsid w:val="00BA3FB5"/>
    <w:rsid w:val="00BB2AF2"/>
    <w:rsid w:val="00BB60F7"/>
    <w:rsid w:val="00BC2AB5"/>
    <w:rsid w:val="00BC2F7C"/>
    <w:rsid w:val="00BC60A6"/>
    <w:rsid w:val="00BD181D"/>
    <w:rsid w:val="00BD4425"/>
    <w:rsid w:val="00BD6519"/>
    <w:rsid w:val="00BD6AC0"/>
    <w:rsid w:val="00C25B49"/>
    <w:rsid w:val="00C30D05"/>
    <w:rsid w:val="00C349A4"/>
    <w:rsid w:val="00C51D10"/>
    <w:rsid w:val="00C66ADF"/>
    <w:rsid w:val="00C747E6"/>
    <w:rsid w:val="00C81B65"/>
    <w:rsid w:val="00C85869"/>
    <w:rsid w:val="00C86A62"/>
    <w:rsid w:val="00C93CD9"/>
    <w:rsid w:val="00C9767B"/>
    <w:rsid w:val="00C97DD1"/>
    <w:rsid w:val="00CA05FA"/>
    <w:rsid w:val="00CA18B1"/>
    <w:rsid w:val="00CA53CD"/>
    <w:rsid w:val="00CB0DC8"/>
    <w:rsid w:val="00CB380F"/>
    <w:rsid w:val="00CC0D2D"/>
    <w:rsid w:val="00CC6908"/>
    <w:rsid w:val="00CD1FDB"/>
    <w:rsid w:val="00CD486E"/>
    <w:rsid w:val="00CD6CE3"/>
    <w:rsid w:val="00CE3830"/>
    <w:rsid w:val="00CE5657"/>
    <w:rsid w:val="00CE655E"/>
    <w:rsid w:val="00CF025B"/>
    <w:rsid w:val="00D0552C"/>
    <w:rsid w:val="00D133F8"/>
    <w:rsid w:val="00D14A3E"/>
    <w:rsid w:val="00D22C6F"/>
    <w:rsid w:val="00D24A73"/>
    <w:rsid w:val="00D42991"/>
    <w:rsid w:val="00D4568D"/>
    <w:rsid w:val="00D46248"/>
    <w:rsid w:val="00D51941"/>
    <w:rsid w:val="00D55C06"/>
    <w:rsid w:val="00D827F8"/>
    <w:rsid w:val="00D87BAC"/>
    <w:rsid w:val="00D87E22"/>
    <w:rsid w:val="00D9080E"/>
    <w:rsid w:val="00D90885"/>
    <w:rsid w:val="00D94EFE"/>
    <w:rsid w:val="00DA4327"/>
    <w:rsid w:val="00DB2788"/>
    <w:rsid w:val="00DB49DE"/>
    <w:rsid w:val="00DC67D4"/>
    <w:rsid w:val="00DD3061"/>
    <w:rsid w:val="00DD4178"/>
    <w:rsid w:val="00DD479A"/>
    <w:rsid w:val="00DD50A6"/>
    <w:rsid w:val="00DE0072"/>
    <w:rsid w:val="00E06A2E"/>
    <w:rsid w:val="00E1303E"/>
    <w:rsid w:val="00E13911"/>
    <w:rsid w:val="00E3716B"/>
    <w:rsid w:val="00E45824"/>
    <w:rsid w:val="00E5323B"/>
    <w:rsid w:val="00E545B2"/>
    <w:rsid w:val="00E63494"/>
    <w:rsid w:val="00E725E3"/>
    <w:rsid w:val="00E8749E"/>
    <w:rsid w:val="00E90C01"/>
    <w:rsid w:val="00EA486E"/>
    <w:rsid w:val="00EB4560"/>
    <w:rsid w:val="00EC7D86"/>
    <w:rsid w:val="00ED5312"/>
    <w:rsid w:val="00EE7A6C"/>
    <w:rsid w:val="00EF23CF"/>
    <w:rsid w:val="00EF61AD"/>
    <w:rsid w:val="00F219FE"/>
    <w:rsid w:val="00F22353"/>
    <w:rsid w:val="00F22689"/>
    <w:rsid w:val="00F30E70"/>
    <w:rsid w:val="00F520A4"/>
    <w:rsid w:val="00F52151"/>
    <w:rsid w:val="00F524E8"/>
    <w:rsid w:val="00F57B0C"/>
    <w:rsid w:val="00F60184"/>
    <w:rsid w:val="00F60FA7"/>
    <w:rsid w:val="00F638A5"/>
    <w:rsid w:val="00F66EC7"/>
    <w:rsid w:val="00F702D5"/>
    <w:rsid w:val="00F82CFE"/>
    <w:rsid w:val="00F87605"/>
    <w:rsid w:val="00F92CC7"/>
    <w:rsid w:val="00F94E33"/>
    <w:rsid w:val="00F95E13"/>
    <w:rsid w:val="00FA7F06"/>
    <w:rsid w:val="00FB15C4"/>
    <w:rsid w:val="00FB2D41"/>
    <w:rsid w:val="00FC0E5C"/>
    <w:rsid w:val="00FC52F0"/>
    <w:rsid w:val="00FE1494"/>
    <w:rsid w:val="00FE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4FB61C"/>
  <w15:docId w15:val="{4084D5DB-EDE0-445C-BA1E-AC1BF184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1466AB"/>
    <w:pPr>
      <w:ind w:left="720"/>
      <w:contextualSpacing/>
    </w:pPr>
  </w:style>
  <w:style w:type="paragraph" w:styleId="FootnoteText">
    <w:name w:val="footnote text"/>
    <w:basedOn w:val="Normal"/>
    <w:link w:val="FootnoteTextChar"/>
    <w:uiPriority w:val="99"/>
    <w:semiHidden/>
    <w:unhideWhenUsed/>
    <w:rsid w:val="00160D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0D2F"/>
    <w:rPr>
      <w:sz w:val="20"/>
      <w:szCs w:val="20"/>
    </w:rPr>
  </w:style>
  <w:style w:type="character" w:styleId="FootnoteReference">
    <w:name w:val="footnote reference"/>
    <w:basedOn w:val="DefaultParagraphFont"/>
    <w:uiPriority w:val="99"/>
    <w:semiHidden/>
    <w:unhideWhenUsed/>
    <w:rsid w:val="00160D2F"/>
    <w:rPr>
      <w:vertAlign w:val="superscript"/>
    </w:rPr>
  </w:style>
  <w:style w:type="paragraph" w:styleId="EndnoteText">
    <w:name w:val="endnote text"/>
    <w:basedOn w:val="Normal"/>
    <w:link w:val="EndnoteTextChar"/>
    <w:uiPriority w:val="99"/>
    <w:semiHidden/>
    <w:unhideWhenUsed/>
    <w:rsid w:val="004905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05C6"/>
    <w:rPr>
      <w:sz w:val="20"/>
      <w:szCs w:val="20"/>
    </w:rPr>
  </w:style>
  <w:style w:type="character" w:styleId="EndnoteReference">
    <w:name w:val="endnote reference"/>
    <w:basedOn w:val="DefaultParagraphFont"/>
    <w:uiPriority w:val="99"/>
    <w:semiHidden/>
    <w:unhideWhenUsed/>
    <w:rsid w:val="004905C6"/>
    <w:rPr>
      <w:vertAlign w:val="superscript"/>
    </w:rPr>
  </w:style>
  <w:style w:type="character" w:styleId="CommentReference">
    <w:name w:val="annotation reference"/>
    <w:basedOn w:val="DefaultParagraphFont"/>
    <w:uiPriority w:val="99"/>
    <w:semiHidden/>
    <w:unhideWhenUsed/>
    <w:rsid w:val="00B8640A"/>
    <w:rPr>
      <w:sz w:val="16"/>
      <w:szCs w:val="16"/>
    </w:rPr>
  </w:style>
  <w:style w:type="paragraph" w:styleId="CommentText">
    <w:name w:val="annotation text"/>
    <w:basedOn w:val="Normal"/>
    <w:link w:val="CommentTextChar"/>
    <w:uiPriority w:val="99"/>
    <w:semiHidden/>
    <w:unhideWhenUsed/>
    <w:rsid w:val="00B8640A"/>
    <w:pPr>
      <w:spacing w:line="240" w:lineRule="auto"/>
    </w:pPr>
    <w:rPr>
      <w:sz w:val="20"/>
      <w:szCs w:val="20"/>
    </w:rPr>
  </w:style>
  <w:style w:type="character" w:customStyle="1" w:styleId="CommentTextChar">
    <w:name w:val="Comment Text Char"/>
    <w:basedOn w:val="DefaultParagraphFont"/>
    <w:link w:val="CommentText"/>
    <w:uiPriority w:val="99"/>
    <w:semiHidden/>
    <w:rsid w:val="00B8640A"/>
    <w:rPr>
      <w:sz w:val="20"/>
      <w:szCs w:val="20"/>
    </w:rPr>
  </w:style>
  <w:style w:type="paragraph" w:styleId="CommentSubject">
    <w:name w:val="annotation subject"/>
    <w:basedOn w:val="CommentText"/>
    <w:next w:val="CommentText"/>
    <w:link w:val="CommentSubjectChar"/>
    <w:uiPriority w:val="99"/>
    <w:semiHidden/>
    <w:unhideWhenUsed/>
    <w:rsid w:val="00B8640A"/>
    <w:rPr>
      <w:b/>
      <w:bCs/>
    </w:rPr>
  </w:style>
  <w:style w:type="character" w:customStyle="1" w:styleId="CommentSubjectChar">
    <w:name w:val="Comment Subject Char"/>
    <w:basedOn w:val="CommentTextChar"/>
    <w:link w:val="CommentSubject"/>
    <w:uiPriority w:val="99"/>
    <w:semiHidden/>
    <w:rsid w:val="00B8640A"/>
    <w:rPr>
      <w:b/>
      <w:bCs/>
      <w:sz w:val="20"/>
      <w:szCs w:val="20"/>
    </w:rPr>
  </w:style>
  <w:style w:type="paragraph" w:styleId="NoSpacing">
    <w:name w:val="No Spacing"/>
    <w:uiPriority w:val="1"/>
    <w:qFormat/>
    <w:rsid w:val="00BD6AC0"/>
    <w:pPr>
      <w:spacing w:after="0" w:line="240" w:lineRule="auto"/>
    </w:pPr>
    <w:rPr>
      <w:rFonts w:ascii="Times New Roman" w:eastAsia="Times New Roman" w:hAnsi="Times New Roman" w:cs="Times New Roman"/>
      <w:sz w:val="24"/>
      <w:szCs w:val="24"/>
      <w:lang w:eastAsia="lv-LV"/>
    </w:rPr>
  </w:style>
  <w:style w:type="character" w:customStyle="1" w:styleId="highlight">
    <w:name w:val="highlight"/>
    <w:basedOn w:val="DefaultParagraphFont"/>
    <w:rsid w:val="00BD6AC0"/>
  </w:style>
  <w:style w:type="paragraph" w:customStyle="1" w:styleId="norm">
    <w:name w:val="norm"/>
    <w:basedOn w:val="Normal"/>
    <w:rsid w:val="00BD6AC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BD6AC0"/>
    <w:pPr>
      <w:spacing w:before="75" w:after="75" w:line="240" w:lineRule="auto"/>
      <w:jc w:val="center"/>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710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7396433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10462939">
      <w:bodyDiv w:val="1"/>
      <w:marLeft w:val="0"/>
      <w:marRight w:val="0"/>
      <w:marTop w:val="0"/>
      <w:marBottom w:val="0"/>
      <w:divBdr>
        <w:top w:val="none" w:sz="0" w:space="0" w:color="auto"/>
        <w:left w:val="none" w:sz="0" w:space="0" w:color="auto"/>
        <w:bottom w:val="none" w:sz="0" w:space="0" w:color="auto"/>
        <w:right w:val="none" w:sz="0" w:space="0" w:color="auto"/>
      </w:divBdr>
      <w:divsChild>
        <w:div w:id="1381439219">
          <w:marLeft w:val="0"/>
          <w:marRight w:val="0"/>
          <w:marTop w:val="0"/>
          <w:marBottom w:val="0"/>
          <w:divBdr>
            <w:top w:val="none" w:sz="0" w:space="0" w:color="auto"/>
            <w:left w:val="none" w:sz="0" w:space="0" w:color="auto"/>
            <w:bottom w:val="none" w:sz="0" w:space="0" w:color="auto"/>
            <w:right w:val="none" w:sz="0" w:space="0" w:color="auto"/>
          </w:divBdr>
        </w:div>
        <w:div w:id="1924099436">
          <w:marLeft w:val="0"/>
          <w:marRight w:val="0"/>
          <w:marTop w:val="0"/>
          <w:marBottom w:val="0"/>
          <w:divBdr>
            <w:top w:val="none" w:sz="0" w:space="0" w:color="auto"/>
            <w:left w:val="none" w:sz="0" w:space="0" w:color="auto"/>
            <w:bottom w:val="none" w:sz="0" w:space="0" w:color="auto"/>
            <w:right w:val="none" w:sz="0" w:space="0" w:color="auto"/>
          </w:divBdr>
        </w:div>
        <w:div w:id="1729066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4CC4564DACB43B3F678C7E238EB19" ma:contentTypeVersion="10" ma:contentTypeDescription="Create a new document." ma:contentTypeScope="" ma:versionID="1aba4a8747682c698267fa939eae9e0b">
  <xsd:schema xmlns:xsd="http://www.w3.org/2001/XMLSchema" xmlns:xs="http://www.w3.org/2001/XMLSchema" xmlns:p="http://schemas.microsoft.com/office/2006/metadata/properties" xmlns:ns3="fb7c0ec6-56ca-443c-8b10-38447cf6d442" xmlns:ns4="f1d1d6e7-5adc-43ae-875c-5fbc8c901ea3" targetNamespace="http://schemas.microsoft.com/office/2006/metadata/properties" ma:root="true" ma:fieldsID="9e03380cc909006a92187159f9744696" ns3:_="" ns4:_="">
    <xsd:import namespace="fb7c0ec6-56ca-443c-8b10-38447cf6d442"/>
    <xsd:import namespace="f1d1d6e7-5adc-43ae-875c-5fbc8c901e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c0ec6-56ca-443c-8b10-38447cf6d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d1d6e7-5adc-43ae-875c-5fbc8c901e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954A9-F5F8-4D2C-BFB9-D9A91B7D6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c0ec6-56ca-443c-8b10-38447cf6d442"/>
    <ds:schemaRef ds:uri="f1d1d6e7-5adc-43ae-875c-5fbc8c901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24A12-2F5D-40F9-952D-AB082FC2EF68}">
  <ds:schemaRefs>
    <ds:schemaRef ds:uri="http://schemas.microsoft.com/sharepoint/v3/contenttype/forms"/>
  </ds:schemaRefs>
</ds:datastoreItem>
</file>

<file path=customXml/itemProps3.xml><?xml version="1.0" encoding="utf-8"?>
<ds:datastoreItem xmlns:ds="http://schemas.openxmlformats.org/officeDocument/2006/customXml" ds:itemID="{1C9391BC-1D55-42BE-ABE8-89A7BDA684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E0C6DB-D95B-45A2-8ED8-6787185B2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20</Pages>
  <Words>22913</Words>
  <Characters>13061</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Ministru kabineta noteikumu projekta “Prekursoru operatoru un prekursoru lietotāju reģistrēšanas un licencēšanas kārtība” sākotnējās ietekmes novērtējuma ziņojums (anotācija)</vt:lpstr>
    </vt:vector>
  </TitlesOfParts>
  <Company>Veselības ministrija</Company>
  <LinksUpToDate>false</LinksUpToDate>
  <CharactersWithSpaces>35903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“Prekursoru operatoru un prekursoru lietotāju reģistrēšanas un licencēšanas kārtība” sākotnējās ietekmes novērtējuma ziņojums (anotācija)</dc:title>
  <dc:subject>Anotācija</dc:subject>
  <dc:creator>Alvis Bless</dc:creator>
  <dc:description>67876177, Alvis.Bless@vm.gov.lv</dc:description>
  <cp:lastModifiedBy>Anita Jurševica</cp:lastModifiedBy>
  <cp:revision>46</cp:revision>
  <dcterms:created xsi:type="dcterms:W3CDTF">2019-08-27T05:52:00Z</dcterms:created>
  <dcterms:modified xsi:type="dcterms:W3CDTF">2020-01-10T11:16:00Z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0x010100B4A4CC4564DACB43B3F678C7E238EB19</vt:lpwstr>
  </property>
</Properties>
</file>