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AB" w:rsidRPr="00DC5007" w:rsidRDefault="00E52AAB" w:rsidP="009C68A8">
      <w:pPr>
        <w:pStyle w:val="Paraststmeklis"/>
        <w:spacing w:after="0" w:line="240" w:lineRule="auto"/>
        <w:jc w:val="center"/>
        <w:rPr>
          <w:b/>
          <w:sz w:val="28"/>
        </w:rPr>
      </w:pPr>
      <w:r w:rsidRPr="00BF7B80">
        <w:rPr>
          <w:b/>
          <w:sz w:val="28"/>
        </w:rPr>
        <w:t>Mini</w:t>
      </w:r>
      <w:r w:rsidR="002D59BA">
        <w:rPr>
          <w:b/>
          <w:sz w:val="28"/>
        </w:rPr>
        <w:t>stru kabineta noteikumu projekt</w:t>
      </w:r>
      <w:r w:rsidR="005766C6">
        <w:rPr>
          <w:b/>
          <w:sz w:val="28"/>
        </w:rPr>
        <w:t xml:space="preserve">a </w:t>
      </w:r>
      <w:r w:rsidR="00F509F6" w:rsidRPr="00DC5007">
        <w:rPr>
          <w:b/>
          <w:sz w:val="28"/>
        </w:rPr>
        <w:t>“</w:t>
      </w:r>
      <w:r w:rsidR="002D59BA" w:rsidRPr="00DC5007">
        <w:rPr>
          <w:b/>
          <w:sz w:val="28"/>
        </w:rPr>
        <w:t xml:space="preserve">Grozījumi </w:t>
      </w:r>
      <w:r w:rsidR="004B4A25" w:rsidRPr="00DC5007">
        <w:rPr>
          <w:b/>
          <w:sz w:val="28"/>
        </w:rPr>
        <w:t>Ministru kabineta 2009. gada 17. februāra</w:t>
      </w:r>
      <w:r w:rsidR="004B4A25" w:rsidRPr="00DC5007" w:rsidDel="000B0EF5">
        <w:rPr>
          <w:b/>
          <w:sz w:val="28"/>
        </w:rPr>
        <w:t xml:space="preserve"> </w:t>
      </w:r>
      <w:r w:rsidR="008E42A3">
        <w:rPr>
          <w:b/>
          <w:sz w:val="28"/>
        </w:rPr>
        <w:t>noteikumos</w:t>
      </w:r>
      <w:r w:rsidR="004B4A25" w:rsidRPr="00DC5007">
        <w:rPr>
          <w:b/>
          <w:sz w:val="28"/>
        </w:rPr>
        <w:t xml:space="preserve"> Nr. 152 "Lopbarības augu sēklaudzēšanas un sēklu tirdzniecības noteikumi"” </w:t>
      </w:r>
      <w:r w:rsidR="00DF545A">
        <w:rPr>
          <w:b/>
          <w:sz w:val="28"/>
        </w:rPr>
        <w:t xml:space="preserve">sākotnējās ietekmes </w:t>
      </w:r>
      <w:r w:rsidRPr="00BF7B80">
        <w:rPr>
          <w:b/>
          <w:sz w:val="28"/>
        </w:rPr>
        <w:t>novērtējuma ziņojums (anotācija)</w:t>
      </w:r>
    </w:p>
    <w:p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rsidTr="007E68F8">
        <w:trPr>
          <w:trHeight w:val="383"/>
        </w:trPr>
        <w:tc>
          <w:tcPr>
            <w:tcW w:w="9214" w:type="dxa"/>
            <w:gridSpan w:val="3"/>
          </w:tcPr>
          <w:p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rsidTr="00FB3720">
        <w:trPr>
          <w:trHeight w:val="383"/>
        </w:trPr>
        <w:tc>
          <w:tcPr>
            <w:tcW w:w="2694" w:type="dxa"/>
            <w:gridSpan w:val="2"/>
          </w:tcPr>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rsidR="009E2E27" w:rsidRPr="00B54E48" w:rsidRDefault="00B54E48" w:rsidP="009E2E27">
            <w:pPr>
              <w:pStyle w:val="Bezatstarpm"/>
              <w:jc w:val="both"/>
              <w:rPr>
                <w:rFonts w:ascii="Times New Roman" w:hAnsi="Times New Roman"/>
                <w:sz w:val="24"/>
                <w:szCs w:val="24"/>
              </w:rPr>
            </w:pPr>
            <w:r w:rsidRPr="00B54E48">
              <w:rPr>
                <w:rFonts w:ascii="Times New Roman" w:hAnsi="Times New Roman"/>
                <w:sz w:val="24"/>
                <w:szCs w:val="24"/>
              </w:rPr>
              <w:t xml:space="preserve">Mērķis ir, atbilstoši </w:t>
            </w:r>
            <w:r w:rsidRPr="00740286">
              <w:rPr>
                <w:rFonts w:ascii="Times New Roman" w:hAnsi="Times New Roman"/>
                <w:sz w:val="24"/>
                <w:szCs w:val="24"/>
              </w:rPr>
              <w:t xml:space="preserve">direktīvas </w:t>
            </w:r>
            <w:r w:rsidR="003F49DC" w:rsidRPr="003F49DC">
              <w:rPr>
                <w:rFonts w:ascii="Times New Roman" w:hAnsi="Times New Roman"/>
                <w:sz w:val="24"/>
                <w:szCs w:val="24"/>
              </w:rPr>
              <w:t xml:space="preserve">2020/177 </w:t>
            </w:r>
            <w:r w:rsidRPr="00740286">
              <w:rPr>
                <w:rFonts w:ascii="Times New Roman" w:hAnsi="Times New Roman"/>
                <w:sz w:val="24"/>
                <w:szCs w:val="24"/>
              </w:rPr>
              <w:t>prasībām</w:t>
            </w:r>
            <w:r w:rsidRPr="00B54E48">
              <w:rPr>
                <w:rFonts w:ascii="Times New Roman" w:hAnsi="Times New Roman"/>
                <w:sz w:val="24"/>
                <w:szCs w:val="24"/>
              </w:rPr>
              <w:t>, papildināt noteikumus ar prasībām, ka sēklām un sēklaudzēšanas laukiem ir jābūt praktiski brīviem no jebkura kaitīgā organisma, kurš samazina sēklu</w:t>
            </w:r>
            <w:r w:rsidR="009E2E27">
              <w:rPr>
                <w:rFonts w:ascii="Times New Roman" w:hAnsi="Times New Roman"/>
                <w:sz w:val="24"/>
                <w:szCs w:val="24"/>
              </w:rPr>
              <w:t xml:space="preserve"> </w:t>
            </w:r>
            <w:r w:rsidRPr="00B54E48">
              <w:rPr>
                <w:rFonts w:ascii="Times New Roman" w:hAnsi="Times New Roman"/>
                <w:sz w:val="24"/>
                <w:szCs w:val="24"/>
              </w:rPr>
              <w:t>lietderību un pasliktina t</w:t>
            </w:r>
            <w:r w:rsidR="009E2E27">
              <w:rPr>
                <w:rFonts w:ascii="Times New Roman" w:hAnsi="Times New Roman"/>
                <w:sz w:val="24"/>
                <w:szCs w:val="24"/>
              </w:rPr>
              <w:t>o</w:t>
            </w:r>
            <w:r w:rsidRPr="00B54E48">
              <w:rPr>
                <w:rFonts w:ascii="Times New Roman" w:hAnsi="Times New Roman"/>
                <w:sz w:val="24"/>
                <w:szCs w:val="24"/>
              </w:rPr>
              <w:t xml:space="preserve"> kvalitāti, noteikt kaitīgo organismu tolerances līmeņus, kā arī atjaunināt </w:t>
            </w:r>
            <w:r w:rsidR="005766C6">
              <w:rPr>
                <w:rFonts w:ascii="Times New Roman" w:hAnsi="Times New Roman"/>
                <w:sz w:val="24"/>
                <w:szCs w:val="24"/>
              </w:rPr>
              <w:t xml:space="preserve">laboratorijā </w:t>
            </w:r>
            <w:r w:rsidRPr="00B54E48">
              <w:rPr>
                <w:rFonts w:ascii="Times New Roman" w:hAnsi="Times New Roman"/>
                <w:sz w:val="24"/>
                <w:szCs w:val="24"/>
              </w:rPr>
              <w:t>grūti nošķirojamo nezāļu un kultūraugu sugu sarakstu</w:t>
            </w:r>
            <w:r w:rsidR="005766C6">
              <w:rPr>
                <w:rFonts w:ascii="Times New Roman" w:hAnsi="Times New Roman"/>
                <w:sz w:val="24"/>
                <w:szCs w:val="24"/>
              </w:rPr>
              <w:t>s</w:t>
            </w:r>
            <w:r w:rsidRPr="00B54E48">
              <w:rPr>
                <w:rFonts w:ascii="Times New Roman" w:hAnsi="Times New Roman"/>
                <w:sz w:val="24"/>
                <w:szCs w:val="24"/>
              </w:rPr>
              <w:t>.</w:t>
            </w:r>
            <w:r w:rsidR="00264BDD">
              <w:rPr>
                <w:rFonts w:ascii="Times New Roman" w:hAnsi="Times New Roman"/>
                <w:sz w:val="24"/>
                <w:szCs w:val="24"/>
              </w:rPr>
              <w:t xml:space="preserve"> </w:t>
            </w:r>
            <w:r w:rsidR="008E42A3">
              <w:rPr>
                <w:rFonts w:ascii="Times New Roman" w:hAnsi="Times New Roman"/>
                <w:sz w:val="24"/>
                <w:szCs w:val="24"/>
              </w:rPr>
              <w:t>N</w:t>
            </w:r>
            <w:r w:rsidR="009E2E27">
              <w:rPr>
                <w:rFonts w:ascii="Times New Roman" w:hAnsi="Times New Roman"/>
                <w:sz w:val="24"/>
                <w:szCs w:val="24"/>
              </w:rPr>
              <w:t xml:space="preserve">oteikumu projektā precizētas </w:t>
            </w:r>
            <w:r w:rsidR="008E42A3">
              <w:rPr>
                <w:rFonts w:ascii="Times New Roman" w:hAnsi="Times New Roman"/>
                <w:sz w:val="24"/>
                <w:szCs w:val="24"/>
              </w:rPr>
              <w:t>arī prasības lauku apskate</w:t>
            </w:r>
            <w:r w:rsidR="009E2E27">
              <w:rPr>
                <w:rFonts w:ascii="Times New Roman" w:hAnsi="Times New Roman"/>
                <w:sz w:val="24"/>
                <w:szCs w:val="24"/>
              </w:rPr>
              <w:t>i un sēklu kvalitātes novērtēšanai.</w:t>
            </w:r>
            <w:r w:rsidR="00264BDD">
              <w:rPr>
                <w:rFonts w:ascii="Times New Roman" w:hAnsi="Times New Roman"/>
                <w:sz w:val="24"/>
                <w:szCs w:val="24"/>
              </w:rPr>
              <w:t xml:space="preserve"> </w:t>
            </w:r>
            <w:r w:rsidR="009E2E27">
              <w:rPr>
                <w:rFonts w:ascii="Times New Roman" w:hAnsi="Times New Roman"/>
                <w:sz w:val="24"/>
                <w:szCs w:val="24"/>
              </w:rPr>
              <w:t xml:space="preserve">Ņemot vērā </w:t>
            </w:r>
            <w:r w:rsidR="009E2E27" w:rsidRPr="00740286">
              <w:rPr>
                <w:rFonts w:ascii="Times New Roman" w:hAnsi="Times New Roman"/>
                <w:sz w:val="24"/>
                <w:szCs w:val="24"/>
              </w:rPr>
              <w:t xml:space="preserve">direktīvā </w:t>
            </w:r>
            <w:r w:rsidR="003F49DC" w:rsidRPr="003F49DC">
              <w:rPr>
                <w:rFonts w:ascii="Times New Roman" w:hAnsi="Times New Roman"/>
                <w:sz w:val="24"/>
                <w:szCs w:val="24"/>
              </w:rPr>
              <w:t>2020/177</w:t>
            </w:r>
            <w:r w:rsidR="00740286">
              <w:rPr>
                <w:rFonts w:ascii="Times New Roman" w:hAnsi="Times New Roman"/>
                <w:sz w:val="24"/>
                <w:szCs w:val="24"/>
              </w:rPr>
              <w:t xml:space="preserve"> </w:t>
            </w:r>
            <w:r w:rsidR="009E2E27" w:rsidRPr="00740286">
              <w:rPr>
                <w:rFonts w:ascii="Times New Roman" w:hAnsi="Times New Roman"/>
                <w:sz w:val="24"/>
                <w:szCs w:val="24"/>
              </w:rPr>
              <w:t>noteikto</w:t>
            </w:r>
            <w:r w:rsidR="009E2E27">
              <w:rPr>
                <w:rFonts w:ascii="Times New Roman" w:hAnsi="Times New Roman"/>
                <w:sz w:val="24"/>
                <w:szCs w:val="24"/>
              </w:rPr>
              <w:t>, noteikumu projekt</w:t>
            </w:r>
            <w:r w:rsidR="008E42A3">
              <w:rPr>
                <w:rFonts w:ascii="Times New Roman" w:hAnsi="Times New Roman"/>
                <w:sz w:val="24"/>
                <w:szCs w:val="24"/>
              </w:rPr>
              <w:t>am jāstājas spēkā 2020. gada 1.</w:t>
            </w:r>
            <w:r w:rsidR="00401F18">
              <w:rPr>
                <w:rFonts w:ascii="Times New Roman" w:hAnsi="Times New Roman"/>
                <w:sz w:val="24"/>
                <w:szCs w:val="24"/>
              </w:rPr>
              <w:t>j</w:t>
            </w:r>
            <w:r w:rsidR="009E2E27">
              <w:rPr>
                <w:rFonts w:ascii="Times New Roman" w:hAnsi="Times New Roman"/>
                <w:sz w:val="24"/>
                <w:szCs w:val="24"/>
              </w:rPr>
              <w:t>ūnijā</w:t>
            </w:r>
            <w:r w:rsidR="00401F18">
              <w:rPr>
                <w:rFonts w:ascii="Times New Roman" w:hAnsi="Times New Roman"/>
                <w:sz w:val="24"/>
                <w:szCs w:val="24"/>
              </w:rPr>
              <w:t>.</w:t>
            </w:r>
          </w:p>
        </w:tc>
      </w:tr>
      <w:tr w:rsidR="00580FF7" w:rsidRPr="00F551D6" w:rsidTr="007E68F8">
        <w:trPr>
          <w:trHeight w:val="383"/>
        </w:trPr>
        <w:tc>
          <w:tcPr>
            <w:tcW w:w="9214" w:type="dxa"/>
            <w:gridSpan w:val="3"/>
          </w:tcPr>
          <w:p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rsidTr="00FB3720">
        <w:trPr>
          <w:trHeight w:val="261"/>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rsidR="00E07C04" w:rsidRDefault="003F49DC">
            <w:pPr>
              <w:pStyle w:val="naislab"/>
              <w:spacing w:before="0" w:after="0"/>
              <w:jc w:val="both"/>
              <w:outlineLvl w:val="0"/>
            </w:pPr>
            <w:r w:rsidRPr="003F49DC">
              <w:t>Sēklu un šķirņu aprites likuma 2. panta 1. punkta "a" apakšpunkt</w:t>
            </w:r>
            <w:r w:rsidR="00740286">
              <w:t>s</w:t>
            </w:r>
            <w:r w:rsidRPr="003F49DC">
              <w:t xml:space="preserve"> un</w:t>
            </w:r>
            <w:r w:rsidR="008E42A3" w:rsidRPr="003F49DC">
              <w:t xml:space="preserve"> </w:t>
            </w:r>
            <w:r w:rsidRPr="003F49DC">
              <w:t>17. panta piekt</w:t>
            </w:r>
            <w:r w:rsidR="00740286">
              <w:t>ā</w:t>
            </w:r>
            <w:r w:rsidRPr="003F49DC">
              <w:t xml:space="preserve"> daļ</w:t>
            </w:r>
            <w:r w:rsidR="00740286">
              <w:t>a</w:t>
            </w:r>
            <w:r w:rsidRPr="003F49DC">
              <w:t xml:space="preserve"> un</w:t>
            </w:r>
            <w:r w:rsidR="00740286">
              <w:t xml:space="preserve"> </w:t>
            </w:r>
            <w:r w:rsidRPr="003F49DC">
              <w:t>Brīvas pakalpojumu sniegšanas likuma 14. panta otr</w:t>
            </w:r>
            <w:r w:rsidR="00740286">
              <w:t>ā</w:t>
            </w:r>
            <w:r w:rsidRPr="003F49DC">
              <w:t xml:space="preserve"> daļ</w:t>
            </w:r>
            <w:r w:rsidR="00740286">
              <w:t>a.</w:t>
            </w:r>
          </w:p>
          <w:p w:rsidR="00F4009E" w:rsidRPr="007A7059" w:rsidRDefault="007A7059" w:rsidP="00117303">
            <w:pPr>
              <w:pStyle w:val="Titreobjet"/>
              <w:spacing w:before="0" w:after="120"/>
              <w:jc w:val="both"/>
              <w:rPr>
                <w:b w:val="0"/>
                <w:lang w:val="lv-LV"/>
              </w:rPr>
            </w:pPr>
            <w:r w:rsidRPr="007A7059">
              <w:rPr>
                <w:b w:val="0"/>
                <w:szCs w:val="28"/>
                <w:lang w:val="lv-LV"/>
              </w:rPr>
              <w:t xml:space="preserve">Komisijas </w:t>
            </w:r>
            <w:r w:rsidRPr="007A7059">
              <w:rPr>
                <w:b w:val="0"/>
                <w:lang w:val="lv-LV"/>
              </w:rPr>
              <w:t>2020.</w:t>
            </w:r>
            <w:r w:rsidR="00740286">
              <w:rPr>
                <w:b w:val="0"/>
                <w:lang w:val="lv-LV"/>
              </w:rPr>
              <w:t xml:space="preserve"> </w:t>
            </w:r>
            <w:r w:rsidRPr="007A7059">
              <w:rPr>
                <w:b w:val="0"/>
                <w:lang w:val="lv-LV"/>
              </w:rPr>
              <w:t>gada 11.</w:t>
            </w:r>
            <w:r w:rsidR="00740286">
              <w:rPr>
                <w:b w:val="0"/>
                <w:lang w:val="lv-LV"/>
              </w:rPr>
              <w:t xml:space="preserve"> </w:t>
            </w:r>
            <w:r w:rsidRPr="007A7059">
              <w:rPr>
                <w:b w:val="0"/>
                <w:lang w:val="lv-LV"/>
              </w:rPr>
              <w:t xml:space="preserve">februāra </w:t>
            </w:r>
            <w:r w:rsidR="00740286" w:rsidRPr="007A7059">
              <w:rPr>
                <w:b w:val="0"/>
                <w:szCs w:val="28"/>
                <w:lang w:val="lv-LV"/>
              </w:rPr>
              <w:t>Īstenošanas</w:t>
            </w:r>
            <w:r w:rsidR="00740286" w:rsidRPr="007A7059">
              <w:rPr>
                <w:b w:val="0"/>
                <w:lang w:val="lv-LV"/>
              </w:rPr>
              <w:t xml:space="preserve"> </w:t>
            </w:r>
            <w:r w:rsidRPr="007A7059">
              <w:rPr>
                <w:b w:val="0"/>
                <w:lang w:val="lv-LV"/>
              </w:rPr>
              <w:t xml:space="preserve">direktīva (ES) </w:t>
            </w:r>
            <w:r w:rsidRPr="007A7059">
              <w:rPr>
                <w:rFonts w:cs="EUAlbertina"/>
                <w:b w:val="0"/>
                <w:bCs/>
                <w:lang w:val="lv-LV"/>
              </w:rPr>
              <w:t>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Pr="007A7059">
              <w:rPr>
                <w:b w:val="0"/>
                <w:lang w:val="lv-LV"/>
              </w:rPr>
              <w:t xml:space="preserve"> (turpmāk – </w:t>
            </w:r>
            <w:r w:rsidR="00117303">
              <w:rPr>
                <w:b w:val="0"/>
                <w:lang w:val="lv-LV"/>
              </w:rPr>
              <w:t>d</w:t>
            </w:r>
            <w:r w:rsidRPr="007A7059">
              <w:rPr>
                <w:b w:val="0"/>
                <w:lang w:val="lv-LV"/>
              </w:rPr>
              <w:t>irektīva</w:t>
            </w:r>
            <w:r w:rsidR="00C97926">
              <w:rPr>
                <w:b w:val="0"/>
                <w:lang w:val="lv-LV"/>
              </w:rPr>
              <w:t xml:space="preserve"> 2020/177</w:t>
            </w:r>
            <w:r w:rsidRPr="007A7059">
              <w:rPr>
                <w:b w:val="0"/>
                <w:szCs w:val="28"/>
                <w:lang w:val="lv-LV"/>
              </w:rPr>
              <w:t>).</w:t>
            </w:r>
          </w:p>
        </w:tc>
      </w:tr>
      <w:tr w:rsidR="007E68F8" w:rsidRPr="00F551D6" w:rsidTr="00FB3720">
        <w:trPr>
          <w:trHeight w:val="274"/>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7E68F8" w:rsidRPr="00885F39" w:rsidRDefault="007E68F8" w:rsidP="00B130FE">
            <w:pPr>
              <w:ind w:firstLine="720"/>
              <w:jc w:val="center"/>
            </w:pPr>
          </w:p>
        </w:tc>
        <w:tc>
          <w:tcPr>
            <w:tcW w:w="6520" w:type="dxa"/>
            <w:tcBorders>
              <w:left w:val="single" w:sz="4" w:space="0" w:color="auto"/>
            </w:tcBorders>
          </w:tcPr>
          <w:p w:rsidR="0027175C" w:rsidRDefault="007E68F8" w:rsidP="00483AF9">
            <w:pPr>
              <w:pStyle w:val="liknoteik1"/>
              <w:spacing w:before="0" w:beforeAutospacing="0" w:after="120" w:afterAutospacing="0" w:line="240" w:lineRule="auto"/>
              <w:ind w:firstLine="0"/>
              <w:jc w:val="both"/>
              <w:rPr>
                <w:rFonts w:eastAsia="Calibri"/>
                <w:b w:val="0"/>
                <w:bCs w:val="0"/>
                <w:color w:val="auto"/>
                <w:sz w:val="24"/>
                <w:szCs w:val="24"/>
                <w:lang w:eastAsia="en-US"/>
              </w:rPr>
            </w:pPr>
            <w:r w:rsidRPr="00453E17">
              <w:rPr>
                <w:rFonts w:eastAsia="Calibri"/>
                <w:b w:val="0"/>
                <w:bCs w:val="0"/>
                <w:color w:val="auto"/>
                <w:sz w:val="24"/>
                <w:szCs w:val="24"/>
                <w:lang w:eastAsia="en-US"/>
              </w:rPr>
              <w:lastRenderedPageBreak/>
              <w:t xml:space="preserve">Patlaban ir spēkā </w:t>
            </w:r>
            <w:r w:rsidR="007F1762" w:rsidRPr="00453E17">
              <w:rPr>
                <w:b w:val="0"/>
                <w:color w:val="auto"/>
                <w:sz w:val="24"/>
                <w:szCs w:val="24"/>
              </w:rPr>
              <w:t>Ministru kabineta 2009. gada 17. februāra</w:t>
            </w:r>
            <w:r w:rsidR="007F1762" w:rsidRPr="00453E17" w:rsidDel="000B0EF5">
              <w:rPr>
                <w:b w:val="0"/>
                <w:color w:val="auto"/>
                <w:sz w:val="24"/>
                <w:szCs w:val="24"/>
              </w:rPr>
              <w:t xml:space="preserve"> </w:t>
            </w:r>
            <w:r w:rsidR="007F1762" w:rsidRPr="00453E17">
              <w:rPr>
                <w:b w:val="0"/>
                <w:color w:val="auto"/>
                <w:sz w:val="24"/>
                <w:szCs w:val="24"/>
              </w:rPr>
              <w:t>noteikumi Nr. 152 "Lopbarības augu sēklaudzēšanas un sēklu tirdzniecības noteikumi" (turpmāk – noteikumi Nr.152).</w:t>
            </w:r>
          </w:p>
          <w:p w:rsidR="001843F1" w:rsidRDefault="0027175C" w:rsidP="00483AF9">
            <w:pPr>
              <w:pStyle w:val="Considrant"/>
              <w:numPr>
                <w:ilvl w:val="0"/>
                <w:numId w:val="0"/>
              </w:numPr>
              <w:spacing w:before="0"/>
              <w:rPr>
                <w:szCs w:val="24"/>
                <w:lang w:val="lv-LV"/>
              </w:rPr>
            </w:pPr>
            <w:r>
              <w:rPr>
                <w:lang w:val="lv-LV"/>
              </w:rPr>
              <w:t>Noteikumiem</w:t>
            </w:r>
            <w:r w:rsidR="001843F1">
              <w:rPr>
                <w:lang w:val="lv-LV"/>
              </w:rPr>
              <w:t xml:space="preserve"> Nr.152</w:t>
            </w:r>
            <w:r>
              <w:rPr>
                <w:lang w:val="lv-LV"/>
              </w:rPr>
              <w:t xml:space="preserve"> ir jāatbilst prasībām attiecībā uz</w:t>
            </w:r>
            <w:r w:rsidRPr="00612768">
              <w:rPr>
                <w:lang w:val="lv-LV"/>
              </w:rPr>
              <w:t xml:space="preserve"> Savienības karantīnas organismiem, aizsargājamās zonas karantīnas organismiem un </w:t>
            </w:r>
            <w:r w:rsidR="008E42A3">
              <w:rPr>
                <w:lang w:val="lv-LV"/>
              </w:rPr>
              <w:t>kaitīgajiem organismiem, turklāt</w:t>
            </w:r>
            <w:r>
              <w:rPr>
                <w:lang w:val="lv-LV"/>
              </w:rPr>
              <w:t xml:space="preserve"> </w:t>
            </w:r>
            <w:r w:rsidR="001843F1">
              <w:rPr>
                <w:lang w:val="lv-LV"/>
              </w:rPr>
              <w:t>sēklām un sēklaudzēšanas laukiem</w:t>
            </w:r>
            <w:r>
              <w:rPr>
                <w:lang w:val="lv-LV"/>
              </w:rPr>
              <w:t xml:space="preserve"> ir jābūt praktiski brīv</w:t>
            </w:r>
            <w:r w:rsidR="001843F1">
              <w:rPr>
                <w:lang w:val="lv-LV"/>
              </w:rPr>
              <w:t>iem</w:t>
            </w:r>
            <w:r>
              <w:rPr>
                <w:lang w:val="lv-LV"/>
              </w:rPr>
              <w:t xml:space="preserve"> </w:t>
            </w:r>
            <w:r w:rsidRPr="00612768">
              <w:rPr>
                <w:lang w:val="lv-LV"/>
              </w:rPr>
              <w:t xml:space="preserve">no jebkura kaitīgā organisma, kurš samazina </w:t>
            </w:r>
            <w:r w:rsidR="001843F1">
              <w:rPr>
                <w:lang w:val="lv-LV"/>
              </w:rPr>
              <w:t>sēklu</w:t>
            </w:r>
            <w:r w:rsidRPr="00612768">
              <w:rPr>
                <w:lang w:val="lv-LV"/>
              </w:rPr>
              <w:t xml:space="preserve"> lietderību un pasliktina </w:t>
            </w:r>
            <w:r w:rsidR="00D80C45">
              <w:rPr>
                <w:lang w:val="lv-LV"/>
              </w:rPr>
              <w:t>t</w:t>
            </w:r>
            <w:r w:rsidR="00401F18">
              <w:rPr>
                <w:lang w:val="lv-LV"/>
              </w:rPr>
              <w:t>o</w:t>
            </w:r>
            <w:r w:rsidR="00D80C45">
              <w:rPr>
                <w:lang w:val="lv-LV"/>
              </w:rPr>
              <w:t xml:space="preserve"> </w:t>
            </w:r>
            <w:r w:rsidRPr="00612768">
              <w:rPr>
                <w:lang w:val="lv-LV"/>
              </w:rPr>
              <w:t>kvalitāti</w:t>
            </w:r>
            <w:r>
              <w:rPr>
                <w:lang w:val="lv-LV"/>
              </w:rPr>
              <w:t xml:space="preserve">. </w:t>
            </w:r>
            <w:r w:rsidR="00352159">
              <w:rPr>
                <w:lang w:val="lv-LV"/>
              </w:rPr>
              <w:t xml:space="preserve">Lai </w:t>
            </w:r>
            <w:r w:rsidR="00401F18">
              <w:rPr>
                <w:szCs w:val="24"/>
                <w:lang w:val="lv-LV"/>
              </w:rPr>
              <w:t xml:space="preserve">pārņemtu Direktīvas 2020/177 prasības un </w:t>
            </w:r>
            <w:r w:rsidR="00352159">
              <w:rPr>
                <w:lang w:val="lv-LV"/>
              </w:rPr>
              <w:t>iekļautu jaunās veselības prasības un pasākumus saistībā ar</w:t>
            </w:r>
            <w:r w:rsidR="008E42A3">
              <w:rPr>
                <w:lang w:val="lv-LV"/>
              </w:rPr>
              <w:t xml:space="preserve"> Savienībā</w:t>
            </w:r>
            <w:r w:rsidR="00C97926">
              <w:rPr>
                <w:lang w:val="lv-LV"/>
              </w:rPr>
              <w:t xml:space="preserve"> reglamentētajiem </w:t>
            </w:r>
            <w:proofErr w:type="spellStart"/>
            <w:r w:rsidR="00C97926">
              <w:rPr>
                <w:lang w:val="lv-LV"/>
              </w:rPr>
              <w:t>nekarantīnas</w:t>
            </w:r>
            <w:proofErr w:type="spellEnd"/>
            <w:r w:rsidR="00C97926">
              <w:rPr>
                <w:lang w:val="lv-LV"/>
              </w:rPr>
              <w:t xml:space="preserve"> organismiem</w:t>
            </w:r>
            <w:r w:rsidR="008E42A3">
              <w:rPr>
                <w:lang w:val="lv-LV"/>
              </w:rPr>
              <w:t>, jāsagatavo</w:t>
            </w:r>
            <w:r w:rsidR="00352159">
              <w:rPr>
                <w:lang w:val="lv-LV"/>
              </w:rPr>
              <w:t xml:space="preserve"> </w:t>
            </w:r>
            <w:r w:rsidR="00723DEB" w:rsidRPr="004E274B">
              <w:rPr>
                <w:lang w:val="lv-LV"/>
              </w:rPr>
              <w:t>Mini</w:t>
            </w:r>
            <w:r w:rsidR="008E42A3">
              <w:rPr>
                <w:lang w:val="lv-LV"/>
              </w:rPr>
              <w:t>stru kabineta noteikumu projekts</w:t>
            </w:r>
            <w:r w:rsidR="00723DEB" w:rsidRPr="003B17E1">
              <w:rPr>
                <w:szCs w:val="24"/>
                <w:lang w:val="lv-LV"/>
              </w:rPr>
              <w:t xml:space="preserve"> </w:t>
            </w:r>
            <w:r w:rsidR="008E42A3" w:rsidRPr="003B17E1">
              <w:rPr>
                <w:szCs w:val="24"/>
                <w:lang w:val="lv-LV"/>
              </w:rPr>
              <w:t>“Grozījumi Ministru kabineta 2009.</w:t>
            </w:r>
            <w:r w:rsidR="008E42A3">
              <w:rPr>
                <w:szCs w:val="24"/>
                <w:lang w:val="lv-LV"/>
              </w:rPr>
              <w:t> </w:t>
            </w:r>
            <w:r w:rsidR="008E42A3" w:rsidRPr="003B17E1">
              <w:rPr>
                <w:szCs w:val="24"/>
                <w:lang w:val="lv-LV"/>
              </w:rPr>
              <w:t>gada 17. februāra</w:t>
            </w:r>
            <w:r w:rsidR="008E42A3" w:rsidRPr="003B17E1" w:rsidDel="000B0EF5">
              <w:rPr>
                <w:szCs w:val="24"/>
                <w:lang w:val="lv-LV"/>
              </w:rPr>
              <w:t xml:space="preserve"> </w:t>
            </w:r>
            <w:r w:rsidR="008E42A3" w:rsidRPr="003B17E1">
              <w:rPr>
                <w:szCs w:val="24"/>
                <w:lang w:val="lv-LV"/>
              </w:rPr>
              <w:t>noteikum</w:t>
            </w:r>
            <w:r w:rsidR="008E42A3">
              <w:rPr>
                <w:szCs w:val="24"/>
                <w:lang w:val="lv-LV"/>
              </w:rPr>
              <w:t>os</w:t>
            </w:r>
            <w:r w:rsidR="008E42A3" w:rsidRPr="003B17E1">
              <w:rPr>
                <w:szCs w:val="24"/>
                <w:lang w:val="lv-LV"/>
              </w:rPr>
              <w:t xml:space="preserve"> Nr. 152 "Lopbarības augu sēklaudzēšanas un sēklu tirdzniecības noteikumi"” (turpmāk </w:t>
            </w:r>
            <w:r w:rsidR="008E42A3">
              <w:rPr>
                <w:szCs w:val="24"/>
                <w:lang w:val="lv-LV"/>
              </w:rPr>
              <w:t>–</w:t>
            </w:r>
            <w:r w:rsidR="008E42A3" w:rsidRPr="003B17E1">
              <w:rPr>
                <w:szCs w:val="24"/>
                <w:lang w:val="lv-LV"/>
              </w:rPr>
              <w:t xml:space="preserve"> noteikumu projekts)</w:t>
            </w:r>
            <w:r w:rsidR="008E42A3">
              <w:rPr>
                <w:szCs w:val="24"/>
                <w:lang w:val="lv-LV"/>
              </w:rPr>
              <w:t>.</w:t>
            </w:r>
          </w:p>
          <w:p w:rsidR="008E42A3" w:rsidRDefault="008E42A3" w:rsidP="008E42A3">
            <w:pPr>
              <w:pStyle w:val="Considrant"/>
              <w:numPr>
                <w:ilvl w:val="0"/>
                <w:numId w:val="0"/>
              </w:numPr>
              <w:spacing w:before="0"/>
              <w:rPr>
                <w:szCs w:val="24"/>
                <w:lang w:val="lv-LV"/>
              </w:rPr>
            </w:pPr>
            <w:r>
              <w:rPr>
                <w:szCs w:val="24"/>
                <w:lang w:val="lv-LV"/>
              </w:rPr>
              <w:t xml:space="preserve">Ar noteikumu projektu tiek papildinātas prasības attiecībā uz Savienībā reglamentēto </w:t>
            </w:r>
            <w:proofErr w:type="spellStart"/>
            <w:r>
              <w:rPr>
                <w:szCs w:val="24"/>
                <w:lang w:val="lv-LV"/>
              </w:rPr>
              <w:t>nekarantīnas</w:t>
            </w:r>
            <w:proofErr w:type="spellEnd"/>
            <w:r>
              <w:rPr>
                <w:szCs w:val="24"/>
                <w:lang w:val="lv-LV"/>
              </w:rPr>
              <w:t xml:space="preserve"> organismu pieļaujamajiem līmeņiem sēklaudzēšanas laukos un sēklās sējas lucernai </w:t>
            </w:r>
            <w:proofErr w:type="spellStart"/>
            <w:r w:rsidRPr="00483AF9">
              <w:rPr>
                <w:i/>
                <w:szCs w:val="24"/>
                <w:lang w:val="lv-LV"/>
              </w:rPr>
              <w:t>Medicago</w:t>
            </w:r>
            <w:proofErr w:type="spellEnd"/>
            <w:r w:rsidRPr="00483AF9">
              <w:rPr>
                <w:i/>
                <w:szCs w:val="24"/>
                <w:lang w:val="lv-LV"/>
              </w:rPr>
              <w:t xml:space="preserve"> </w:t>
            </w:r>
            <w:proofErr w:type="spellStart"/>
            <w:r w:rsidRPr="00A14C30">
              <w:rPr>
                <w:i/>
                <w:lang w:val="lv-LV"/>
              </w:rPr>
              <w:t>sativa</w:t>
            </w:r>
            <w:proofErr w:type="spellEnd"/>
            <w:r w:rsidRPr="00A14C30">
              <w:rPr>
                <w:lang w:val="lv-LV"/>
              </w:rPr>
              <w:t> L</w:t>
            </w:r>
            <w:r>
              <w:rPr>
                <w:lang w:val="lv-LV"/>
              </w:rPr>
              <w:t xml:space="preserve">., kā arī precizēti sēklu kvalitāti apliecinošie dokumenti sēklu tirdzniecībai un sējai savā saimniecībā, izdalot tos atsevišķi sējas lucernai un pārējām lopbarības augu sugām. </w:t>
            </w:r>
          </w:p>
          <w:p w:rsidR="008E42A3" w:rsidRPr="00200BA2" w:rsidRDefault="008E42A3" w:rsidP="008E42A3">
            <w:pPr>
              <w:pStyle w:val="Considrant"/>
              <w:numPr>
                <w:ilvl w:val="0"/>
                <w:numId w:val="0"/>
              </w:numPr>
              <w:spacing w:before="0"/>
              <w:rPr>
                <w:szCs w:val="24"/>
                <w:lang w:val="lv-LV"/>
              </w:rPr>
            </w:pPr>
            <w:r>
              <w:rPr>
                <w:lang w:val="lv-LV"/>
              </w:rPr>
              <w:lastRenderedPageBreak/>
              <w:t xml:space="preserve">Tiek grozīts arī </w:t>
            </w:r>
            <w:r w:rsidRPr="00B04F60">
              <w:rPr>
                <w:szCs w:val="24"/>
                <w:lang w:val="lv-LV"/>
              </w:rPr>
              <w:t>grūti nošķirojamo augu sugu sarakst</w:t>
            </w:r>
            <w:r>
              <w:rPr>
                <w:szCs w:val="24"/>
                <w:lang w:val="lv-LV"/>
              </w:rPr>
              <w:t>s. T</w:t>
            </w:r>
            <w:r w:rsidRPr="00B04F60">
              <w:rPr>
                <w:szCs w:val="24"/>
                <w:lang w:val="lv-LV"/>
              </w:rPr>
              <w:t xml:space="preserve">irgū </w:t>
            </w:r>
            <w:r>
              <w:rPr>
                <w:szCs w:val="24"/>
                <w:lang w:val="lv-LV"/>
              </w:rPr>
              <w:t>i</w:t>
            </w:r>
            <w:r w:rsidRPr="00B04F60">
              <w:rPr>
                <w:szCs w:val="24"/>
                <w:lang w:val="lv-LV"/>
              </w:rPr>
              <w:t xml:space="preserve">enākot arvien jaunām un modernākām sēklu šķirošanas iekārtām, ir iespējama ātra un kvalitatīva sēklas materiāla ieguve, attīrot sēklas materiālu no citu augu sēklām. </w:t>
            </w:r>
            <w:r>
              <w:rPr>
                <w:szCs w:val="24"/>
                <w:lang w:val="lv-LV"/>
              </w:rPr>
              <w:t>S</w:t>
            </w:r>
            <w:r w:rsidRPr="00B04F60">
              <w:rPr>
                <w:szCs w:val="24"/>
                <w:lang w:val="lv-LV"/>
              </w:rPr>
              <w:t xml:space="preserve">askaņā ar </w:t>
            </w:r>
            <w:r>
              <w:rPr>
                <w:szCs w:val="24"/>
                <w:lang w:val="lv-LV"/>
              </w:rPr>
              <w:t xml:space="preserve">spēkā esošajiem </w:t>
            </w:r>
            <w:r w:rsidRPr="00B04F60">
              <w:rPr>
                <w:szCs w:val="24"/>
                <w:lang w:val="lv-LV"/>
              </w:rPr>
              <w:t>noteikum</w:t>
            </w:r>
            <w:r>
              <w:rPr>
                <w:szCs w:val="24"/>
                <w:lang w:val="lv-LV"/>
              </w:rPr>
              <w:t>iem</w:t>
            </w:r>
            <w:r w:rsidRPr="00B04F60">
              <w:rPr>
                <w:szCs w:val="24"/>
                <w:lang w:val="lv-LV"/>
              </w:rPr>
              <w:t xml:space="preserve"> Nr. 152 lauku apskatē no</w:t>
            </w:r>
            <w:r>
              <w:rPr>
                <w:szCs w:val="24"/>
                <w:lang w:val="lv-LV"/>
              </w:rPr>
              <w:t>saka</w:t>
            </w:r>
            <w:r w:rsidRPr="00B04F60">
              <w:rPr>
                <w:szCs w:val="24"/>
                <w:lang w:val="lv-LV"/>
              </w:rPr>
              <w:t xml:space="preserve"> to augu skait</w:t>
            </w:r>
            <w:r>
              <w:rPr>
                <w:szCs w:val="24"/>
                <w:lang w:val="lv-LV"/>
              </w:rPr>
              <w:t>u</w:t>
            </w:r>
            <w:r w:rsidRPr="00B04F60">
              <w:rPr>
                <w:szCs w:val="24"/>
                <w:lang w:val="lv-LV"/>
              </w:rPr>
              <w:t>, kuru sēklas sagatavošanas procesā ir grūti nošķirojamas no stiebrzāļu un tauriņziežu sugu sēklām.</w:t>
            </w:r>
            <w:r>
              <w:rPr>
                <w:szCs w:val="24"/>
                <w:lang w:val="lv-LV"/>
              </w:rPr>
              <w:t xml:space="preserve"> </w:t>
            </w:r>
            <w:r w:rsidRPr="00B04F60">
              <w:rPr>
                <w:szCs w:val="24"/>
                <w:lang w:val="lv-LV"/>
              </w:rPr>
              <w:t>Šajā sarakstā i</w:t>
            </w:r>
            <w:r>
              <w:rPr>
                <w:szCs w:val="24"/>
                <w:lang w:val="lv-LV"/>
              </w:rPr>
              <w:t>etvertas</w:t>
            </w:r>
            <w:r w:rsidRPr="00B04F60">
              <w:rPr>
                <w:szCs w:val="24"/>
                <w:lang w:val="lv-LV"/>
              </w:rPr>
              <w:t xml:space="preserve"> daudzas tādas nezāļu</w:t>
            </w:r>
            <w:r>
              <w:rPr>
                <w:szCs w:val="24"/>
                <w:lang w:val="lv-LV"/>
              </w:rPr>
              <w:t xml:space="preserve"> un kultūraugu</w:t>
            </w:r>
            <w:r w:rsidRPr="00B04F60">
              <w:rPr>
                <w:szCs w:val="24"/>
                <w:lang w:val="lv-LV"/>
              </w:rPr>
              <w:t xml:space="preserve"> sugas, kur</w:t>
            </w:r>
            <w:r>
              <w:rPr>
                <w:szCs w:val="24"/>
                <w:lang w:val="lv-LV"/>
              </w:rPr>
              <w:t xml:space="preserve">u sēklas tīrīšanas procesā ir </w:t>
            </w:r>
            <w:r w:rsidRPr="00B04F60">
              <w:rPr>
                <w:szCs w:val="24"/>
                <w:lang w:val="lv-LV"/>
              </w:rPr>
              <w:t xml:space="preserve">tehnoloģiski nodalāmas, </w:t>
            </w:r>
            <w:r>
              <w:rPr>
                <w:szCs w:val="24"/>
                <w:lang w:val="lv-LV"/>
              </w:rPr>
              <w:t>tāpēc</w:t>
            </w:r>
            <w:r w:rsidRPr="00B04F60">
              <w:rPr>
                <w:szCs w:val="24"/>
                <w:lang w:val="lv-LV"/>
              </w:rPr>
              <w:t xml:space="preserve"> šīs nezāļu </w:t>
            </w:r>
            <w:r>
              <w:rPr>
                <w:szCs w:val="24"/>
                <w:lang w:val="lv-LV"/>
              </w:rPr>
              <w:t xml:space="preserve">un kultūraugu </w:t>
            </w:r>
            <w:r w:rsidRPr="00B04F60">
              <w:rPr>
                <w:szCs w:val="24"/>
                <w:lang w:val="lv-LV"/>
              </w:rPr>
              <w:t>sugas lauku apskatē</w:t>
            </w:r>
            <w:r>
              <w:rPr>
                <w:szCs w:val="24"/>
                <w:lang w:val="lv-LV"/>
              </w:rPr>
              <w:t xml:space="preserve"> netiks uzskaitītas</w:t>
            </w:r>
            <w:r w:rsidRPr="00B04F60">
              <w:rPr>
                <w:szCs w:val="24"/>
                <w:lang w:val="lv-LV"/>
              </w:rPr>
              <w:t>.</w:t>
            </w:r>
            <w:r>
              <w:rPr>
                <w:szCs w:val="24"/>
                <w:lang w:val="lv-LV"/>
              </w:rPr>
              <w:t xml:space="preserve"> Turpmāk tiks uzskaitītas tās sugas, kuru sēklas ir grūti atšķiramas laboratorijā.</w:t>
            </w:r>
          </w:p>
          <w:p w:rsidR="00162DC0" w:rsidRPr="006E158B" w:rsidRDefault="00200BA2" w:rsidP="00B54E48">
            <w:pPr>
              <w:pStyle w:val="Considrant"/>
              <w:numPr>
                <w:ilvl w:val="0"/>
                <w:numId w:val="0"/>
              </w:numPr>
              <w:spacing w:before="0"/>
              <w:rPr>
                <w:color w:val="000000" w:themeColor="text1"/>
                <w:szCs w:val="24"/>
                <w:lang w:val="lv-LV"/>
              </w:rPr>
            </w:pPr>
            <w:r w:rsidRPr="006E158B">
              <w:rPr>
                <w:szCs w:val="24"/>
                <w:lang w:val="lv-LV"/>
              </w:rPr>
              <w:t>Noteikumu projekt</w:t>
            </w:r>
            <w:r w:rsidR="00C97926" w:rsidRPr="006E158B">
              <w:rPr>
                <w:szCs w:val="24"/>
                <w:lang w:val="lv-LV"/>
              </w:rPr>
              <w:t>ā</w:t>
            </w:r>
            <w:r w:rsidRPr="006E158B">
              <w:rPr>
                <w:szCs w:val="24"/>
                <w:lang w:val="lv-LV"/>
              </w:rPr>
              <w:t xml:space="preserve"> ti</w:t>
            </w:r>
            <w:r w:rsidR="00ED6BF6" w:rsidRPr="006E158B">
              <w:rPr>
                <w:szCs w:val="24"/>
                <w:lang w:val="lv-LV"/>
              </w:rPr>
              <w:t>ek</w:t>
            </w:r>
            <w:r w:rsidRPr="006E158B">
              <w:rPr>
                <w:szCs w:val="24"/>
                <w:lang w:val="lv-LV"/>
              </w:rPr>
              <w:t xml:space="preserve"> precizētas prasības</w:t>
            </w:r>
            <w:r w:rsidR="008E42A3">
              <w:rPr>
                <w:szCs w:val="24"/>
                <w:lang w:val="lv-LV"/>
              </w:rPr>
              <w:t>,</w:t>
            </w:r>
            <w:r w:rsidRPr="006E158B">
              <w:rPr>
                <w:szCs w:val="24"/>
                <w:lang w:val="lv-LV"/>
              </w:rPr>
              <w:t xml:space="preserve"> ņemot vērā </w:t>
            </w:r>
            <w:r w:rsidR="00274431">
              <w:rPr>
                <w:szCs w:val="24"/>
                <w:lang w:val="lv-LV"/>
              </w:rPr>
              <w:t>2019. gada 7. novembra</w:t>
            </w:r>
            <w:r w:rsidR="008561A4">
              <w:rPr>
                <w:szCs w:val="24"/>
                <w:lang w:val="lv-LV"/>
              </w:rPr>
              <w:t xml:space="preserve"> </w:t>
            </w:r>
            <w:r w:rsidRPr="006E158B">
              <w:rPr>
                <w:szCs w:val="24"/>
                <w:lang w:val="lv-LV"/>
              </w:rPr>
              <w:t>grozījumus Sēklu un šķirņu aprites likumā</w:t>
            </w:r>
            <w:r w:rsidR="008E42A3">
              <w:rPr>
                <w:szCs w:val="24"/>
                <w:lang w:val="lv-LV"/>
              </w:rPr>
              <w:t xml:space="preserve"> un</w:t>
            </w:r>
            <w:r w:rsidR="00162DC0" w:rsidRPr="006E158B">
              <w:rPr>
                <w:szCs w:val="24"/>
                <w:lang w:val="lv-LV"/>
              </w:rPr>
              <w:t xml:space="preserve"> </w:t>
            </w:r>
            <w:r w:rsidR="00162DC0" w:rsidRPr="00274431">
              <w:rPr>
                <w:color w:val="000000" w:themeColor="text1"/>
                <w:szCs w:val="24"/>
                <w:lang w:val="lv-LV"/>
              </w:rPr>
              <w:t xml:space="preserve">precizētas </w:t>
            </w:r>
            <w:r w:rsidR="003F49DC" w:rsidRPr="008561A4">
              <w:rPr>
                <w:color w:val="000000" w:themeColor="text1"/>
                <w:szCs w:val="24"/>
                <w:lang w:val="lv-LV"/>
              </w:rPr>
              <w:t>Ekonomiskās sadarbības un attīstības organizācijas</w:t>
            </w:r>
            <w:r w:rsidR="00274431" w:rsidRPr="00274431">
              <w:rPr>
                <w:i/>
                <w:color w:val="000000" w:themeColor="text1"/>
                <w:szCs w:val="24"/>
                <w:lang w:val="lv-LV"/>
              </w:rPr>
              <w:t xml:space="preserve"> </w:t>
            </w:r>
            <w:r w:rsidR="00274431">
              <w:rPr>
                <w:i/>
                <w:color w:val="000000" w:themeColor="text1"/>
                <w:szCs w:val="24"/>
                <w:lang w:val="lv-LV"/>
              </w:rPr>
              <w:t>(</w:t>
            </w:r>
            <w:r w:rsidR="00162DC0" w:rsidRPr="006E158B">
              <w:rPr>
                <w:i/>
                <w:color w:val="000000" w:themeColor="text1"/>
                <w:szCs w:val="24"/>
                <w:lang w:val="lv-LV"/>
              </w:rPr>
              <w:t>OECD</w:t>
            </w:r>
            <w:r w:rsidR="00274431">
              <w:rPr>
                <w:i/>
                <w:color w:val="000000" w:themeColor="text1"/>
                <w:szCs w:val="24"/>
                <w:lang w:val="lv-LV"/>
              </w:rPr>
              <w:t>)</w:t>
            </w:r>
            <w:r w:rsidR="00162DC0" w:rsidRPr="006E158B">
              <w:rPr>
                <w:color w:val="000000" w:themeColor="text1"/>
                <w:szCs w:val="24"/>
                <w:lang w:val="lv-LV"/>
              </w:rPr>
              <w:t xml:space="preserve"> shēmu noteiktās prasības. </w:t>
            </w:r>
            <w:r w:rsidR="00121E87" w:rsidRPr="006E158B">
              <w:rPr>
                <w:color w:val="000000" w:themeColor="text1"/>
                <w:szCs w:val="24"/>
                <w:lang w:val="lv-LV"/>
              </w:rPr>
              <w:t xml:space="preserve"> </w:t>
            </w:r>
          </w:p>
          <w:p w:rsidR="00D57E5D" w:rsidRPr="006E158B" w:rsidRDefault="008E42A3" w:rsidP="00D57E5D">
            <w:pPr>
              <w:spacing w:before="45" w:line="248" w:lineRule="atLeast"/>
              <w:jc w:val="both"/>
              <w:rPr>
                <w:rFonts w:ascii="Times New Roman" w:eastAsia="Times New Roman" w:hAnsi="Times New Roman"/>
                <w:iCs/>
                <w:color w:val="000000" w:themeColor="text1"/>
                <w:sz w:val="24"/>
                <w:szCs w:val="24"/>
                <w:lang w:eastAsia="lv-LV"/>
              </w:rPr>
            </w:pPr>
            <w:r>
              <w:rPr>
                <w:rFonts w:ascii="Times New Roman" w:hAnsi="Times New Roman"/>
                <w:color w:val="000000" w:themeColor="text1"/>
                <w:sz w:val="24"/>
                <w:szCs w:val="24"/>
              </w:rPr>
              <w:t>Ievērojot</w:t>
            </w:r>
            <w:r w:rsidRPr="006E158B">
              <w:rPr>
                <w:rFonts w:ascii="Times New Roman" w:hAnsi="Times New Roman"/>
                <w:color w:val="000000" w:themeColor="text1"/>
                <w:sz w:val="24"/>
                <w:szCs w:val="24"/>
              </w:rPr>
              <w:t xml:space="preserve"> p</w:t>
            </w:r>
            <w:r w:rsidRPr="006E158B">
              <w:rPr>
                <w:rFonts w:ascii="Times New Roman" w:eastAsia="Times New Roman" w:hAnsi="Times New Roman"/>
                <w:iCs/>
                <w:color w:val="000000" w:themeColor="text1"/>
                <w:sz w:val="24"/>
                <w:szCs w:val="24"/>
                <w:lang w:eastAsia="lv-LV"/>
              </w:rPr>
              <w:t xml:space="preserve">ēdējo gadu klimata pārmaiņas (straujo veģetācijas attīstību pavasarī), noteikumu projektā </w:t>
            </w:r>
            <w:r w:rsidRPr="006E158B">
              <w:rPr>
                <w:rFonts w:ascii="Times New Roman" w:hAnsi="Times New Roman"/>
                <w:color w:val="000000" w:themeColor="text1"/>
                <w:sz w:val="24"/>
                <w:szCs w:val="24"/>
              </w:rPr>
              <w:t>iesnieguma iesniegšanas datums lauku apskatei no 1.</w:t>
            </w:r>
            <w:r>
              <w:rPr>
                <w:rFonts w:ascii="Times New Roman" w:hAnsi="Times New Roman"/>
                <w:color w:val="000000" w:themeColor="text1"/>
                <w:sz w:val="24"/>
                <w:szCs w:val="24"/>
              </w:rPr>
              <w:t> </w:t>
            </w:r>
            <w:r w:rsidRPr="006E158B">
              <w:rPr>
                <w:rFonts w:ascii="Times New Roman" w:hAnsi="Times New Roman"/>
                <w:color w:val="000000" w:themeColor="text1"/>
                <w:sz w:val="24"/>
                <w:szCs w:val="24"/>
              </w:rPr>
              <w:t xml:space="preserve">jūnija </w:t>
            </w:r>
            <w:r w:rsidRPr="006E158B">
              <w:rPr>
                <w:rFonts w:ascii="Times New Roman" w:eastAsia="Times New Roman" w:hAnsi="Times New Roman"/>
                <w:iCs/>
                <w:color w:val="000000" w:themeColor="text1"/>
                <w:sz w:val="24"/>
                <w:szCs w:val="24"/>
                <w:lang w:eastAsia="lv-LV"/>
              </w:rPr>
              <w:t>t</w:t>
            </w:r>
            <w:r w:rsidRPr="006E158B">
              <w:rPr>
                <w:rFonts w:ascii="Times New Roman" w:hAnsi="Times New Roman"/>
                <w:color w:val="000000" w:themeColor="text1"/>
                <w:sz w:val="24"/>
                <w:szCs w:val="24"/>
              </w:rPr>
              <w:t>iek mainīts uz 25.</w:t>
            </w:r>
            <w:r>
              <w:rPr>
                <w:rFonts w:ascii="Times New Roman" w:hAnsi="Times New Roman"/>
                <w:color w:val="000000" w:themeColor="text1"/>
                <w:sz w:val="24"/>
                <w:szCs w:val="24"/>
              </w:rPr>
              <w:t> </w:t>
            </w:r>
            <w:r w:rsidRPr="006E158B">
              <w:rPr>
                <w:rFonts w:ascii="Times New Roman" w:hAnsi="Times New Roman"/>
                <w:color w:val="000000" w:themeColor="text1"/>
                <w:sz w:val="24"/>
                <w:szCs w:val="24"/>
              </w:rPr>
              <w:t>maiju. Arī sēklu tirgotājiem, kas tirgo citās valstīs sertificētu sēklu sēklaudzēšanai, informācija dienestā būs jāiesniedz par 10</w:t>
            </w:r>
            <w:r>
              <w:rPr>
                <w:rFonts w:ascii="Times New Roman" w:hAnsi="Times New Roman"/>
                <w:color w:val="000000" w:themeColor="text1"/>
                <w:sz w:val="24"/>
                <w:szCs w:val="24"/>
              </w:rPr>
              <w:t> </w:t>
            </w:r>
            <w:r w:rsidRPr="006E158B">
              <w:rPr>
                <w:rFonts w:ascii="Times New Roman" w:hAnsi="Times New Roman"/>
                <w:color w:val="000000" w:themeColor="text1"/>
                <w:sz w:val="24"/>
                <w:szCs w:val="24"/>
              </w:rPr>
              <w:t>dienām agrāk – 20.</w:t>
            </w:r>
            <w:r>
              <w:rPr>
                <w:rFonts w:ascii="Times New Roman" w:hAnsi="Times New Roman"/>
                <w:color w:val="000000" w:themeColor="text1"/>
                <w:sz w:val="24"/>
                <w:szCs w:val="24"/>
              </w:rPr>
              <w:t xml:space="preserve"> </w:t>
            </w:r>
            <w:r w:rsidRPr="006E158B">
              <w:rPr>
                <w:rFonts w:ascii="Times New Roman" w:hAnsi="Times New Roman"/>
                <w:color w:val="000000" w:themeColor="text1"/>
                <w:sz w:val="24"/>
                <w:szCs w:val="24"/>
              </w:rPr>
              <w:t>maijā. Turpmāk dienests iesniegumus par tādu sēklu sertificēšanu un tirdzniecību, kurām ir pazemināta dīgtspēja apkopos, tikai līdz 20.aprīlim, nevis līdz 1.jūnijam</w:t>
            </w:r>
            <w:r>
              <w:rPr>
                <w:rFonts w:ascii="Times New Roman" w:hAnsi="Times New Roman"/>
                <w:color w:val="000000" w:themeColor="text1"/>
                <w:sz w:val="24"/>
                <w:szCs w:val="24"/>
              </w:rPr>
              <w:t>,</w:t>
            </w:r>
            <w:r w:rsidRPr="006E158B">
              <w:rPr>
                <w:rFonts w:ascii="Times New Roman" w:hAnsi="Times New Roman"/>
                <w:color w:val="000000" w:themeColor="text1"/>
                <w:sz w:val="24"/>
                <w:szCs w:val="24"/>
              </w:rPr>
              <w:t xml:space="preserve"> kā bija līdz šim. Tā kā sēklu sertificēšana notiek pirms 1.jūnija, tad nav nepieciešami divi termiņi. </w:t>
            </w:r>
            <w:r>
              <w:rPr>
                <w:rFonts w:ascii="Times New Roman" w:hAnsi="Times New Roman"/>
                <w:color w:val="000000" w:themeColor="text1"/>
                <w:sz w:val="24"/>
                <w:szCs w:val="24"/>
              </w:rPr>
              <w:t>Noteikumu projektā noteikts arī pārejas periods termiņiem. Iesniegumu p</w:t>
            </w:r>
            <w:r w:rsidR="008723B4">
              <w:rPr>
                <w:rFonts w:ascii="Times New Roman" w:hAnsi="Times New Roman"/>
                <w:color w:val="000000" w:themeColor="text1"/>
                <w:sz w:val="24"/>
                <w:szCs w:val="24"/>
              </w:rPr>
              <w:t>ar 2020.gad</w:t>
            </w:r>
            <w:r w:rsidR="00E72149">
              <w:rPr>
                <w:rFonts w:ascii="Times New Roman" w:hAnsi="Times New Roman"/>
                <w:color w:val="000000" w:themeColor="text1"/>
                <w:sz w:val="24"/>
                <w:szCs w:val="24"/>
              </w:rPr>
              <w:t>ā</w:t>
            </w:r>
            <w:r w:rsidR="008723B4">
              <w:rPr>
                <w:rFonts w:ascii="Times New Roman" w:hAnsi="Times New Roman"/>
                <w:color w:val="000000" w:themeColor="text1"/>
                <w:sz w:val="24"/>
                <w:szCs w:val="24"/>
              </w:rPr>
              <w:t xml:space="preserve"> </w:t>
            </w:r>
            <w:r w:rsidR="00D71878">
              <w:rPr>
                <w:rFonts w:ascii="Times New Roman" w:hAnsi="Times New Roman"/>
                <w:color w:val="000000" w:themeColor="text1"/>
                <w:sz w:val="24"/>
                <w:szCs w:val="24"/>
              </w:rPr>
              <w:t xml:space="preserve">nepieciešamajām </w:t>
            </w:r>
            <w:r w:rsidR="008723B4">
              <w:rPr>
                <w:rFonts w:ascii="Times New Roman" w:hAnsi="Times New Roman"/>
                <w:color w:val="000000" w:themeColor="text1"/>
                <w:sz w:val="24"/>
                <w:szCs w:val="24"/>
              </w:rPr>
              <w:t xml:space="preserve">lauka apskatēm un </w:t>
            </w:r>
            <w:r w:rsidR="00D71878">
              <w:rPr>
                <w:rFonts w:ascii="Times New Roman" w:hAnsi="Times New Roman"/>
                <w:color w:val="000000" w:themeColor="text1"/>
                <w:sz w:val="24"/>
                <w:szCs w:val="24"/>
              </w:rPr>
              <w:t>par sēklu tirdzniecību ar citās valstīs sertificētu sēklu dienestā</w:t>
            </w:r>
            <w:r w:rsidR="008561A4">
              <w:rPr>
                <w:rFonts w:ascii="Times New Roman" w:hAnsi="Times New Roman"/>
                <w:color w:val="000000" w:themeColor="text1"/>
                <w:sz w:val="24"/>
                <w:szCs w:val="24"/>
              </w:rPr>
              <w:t xml:space="preserve"> vārēs iesniegt līdz 1.jūnijam.</w:t>
            </w:r>
          </w:p>
          <w:p w:rsidR="008E42A3" w:rsidRDefault="008E42A3" w:rsidP="008E42A3">
            <w:pPr>
              <w:spacing w:before="45" w:line="248" w:lineRule="atLeast"/>
              <w:jc w:val="both"/>
              <w:rPr>
                <w:rFonts w:ascii="Times New Roman" w:hAnsi="Times New Roman"/>
                <w:sz w:val="24"/>
                <w:szCs w:val="24"/>
              </w:rPr>
            </w:pPr>
            <w:r w:rsidRPr="00121E87">
              <w:rPr>
                <w:rFonts w:ascii="Times New Roman" w:hAnsi="Times New Roman"/>
                <w:sz w:val="24"/>
                <w:szCs w:val="24"/>
              </w:rPr>
              <w:t>Turpmāk sēklā</w:t>
            </w:r>
            <w:r>
              <w:rPr>
                <w:rFonts w:ascii="Times New Roman" w:hAnsi="Times New Roman"/>
                <w:sz w:val="24"/>
                <w:szCs w:val="24"/>
              </w:rPr>
              <w:t>s</w:t>
            </w:r>
            <w:r w:rsidRPr="00121E87">
              <w:rPr>
                <w:rFonts w:ascii="Times New Roman" w:hAnsi="Times New Roman"/>
                <w:sz w:val="24"/>
                <w:szCs w:val="24"/>
              </w:rPr>
              <w:t xml:space="preserve">, kas apstrādātas ar </w:t>
            </w:r>
            <w:proofErr w:type="spellStart"/>
            <w:r w:rsidRPr="00121E87">
              <w:rPr>
                <w:rFonts w:ascii="Times New Roman" w:hAnsi="Times New Roman"/>
                <w:sz w:val="24"/>
                <w:szCs w:val="24"/>
              </w:rPr>
              <w:t>bioprep</w:t>
            </w:r>
            <w:r>
              <w:rPr>
                <w:rFonts w:ascii="Times New Roman" w:hAnsi="Times New Roman"/>
                <w:sz w:val="24"/>
                <w:szCs w:val="24"/>
              </w:rPr>
              <w:t>a</w:t>
            </w:r>
            <w:r w:rsidRPr="00121E87">
              <w:rPr>
                <w:rFonts w:ascii="Times New Roman" w:hAnsi="Times New Roman"/>
                <w:sz w:val="24"/>
                <w:szCs w:val="24"/>
              </w:rPr>
              <w:t>rātiem</w:t>
            </w:r>
            <w:proofErr w:type="spellEnd"/>
            <w:r w:rsidRPr="00121E87">
              <w:rPr>
                <w:rFonts w:ascii="Times New Roman" w:hAnsi="Times New Roman"/>
                <w:sz w:val="24"/>
                <w:szCs w:val="24"/>
              </w:rPr>
              <w:t>, augu aizsardzības līdzekļiem vai ķīmiskām vielām</w:t>
            </w:r>
            <w:r>
              <w:rPr>
                <w:rFonts w:ascii="Times New Roman" w:hAnsi="Times New Roman"/>
                <w:sz w:val="24"/>
                <w:szCs w:val="24"/>
              </w:rPr>
              <w:t>,</w:t>
            </w:r>
            <w:r w:rsidRPr="00121E87">
              <w:rPr>
                <w:rFonts w:ascii="Times New Roman" w:hAnsi="Times New Roman"/>
                <w:sz w:val="24"/>
                <w:szCs w:val="24"/>
              </w:rPr>
              <w:t xml:space="preserve"> vairs nebūs jānosaka mitruma saturs</w:t>
            </w:r>
            <w:r>
              <w:rPr>
                <w:rFonts w:ascii="Times New Roman" w:hAnsi="Times New Roman"/>
                <w:sz w:val="24"/>
                <w:szCs w:val="24"/>
              </w:rPr>
              <w:t xml:space="preserve"> un tām atkārtotu kvalitātes pārbaudi varēs veikt pēc diviem vai viena gada, ja tās atbildīs noteikumu projektā ietvertajām prasībām</w:t>
            </w:r>
            <w:r w:rsidRPr="00121E87">
              <w:rPr>
                <w:rFonts w:ascii="Times New Roman" w:hAnsi="Times New Roman"/>
                <w:sz w:val="24"/>
                <w:szCs w:val="24"/>
              </w:rPr>
              <w:t>.</w:t>
            </w:r>
          </w:p>
          <w:p w:rsidR="00ED6BF6" w:rsidRPr="00121E87" w:rsidRDefault="008E42A3" w:rsidP="00D57E5D">
            <w:pPr>
              <w:spacing w:before="45" w:line="248" w:lineRule="atLeast"/>
              <w:jc w:val="both"/>
              <w:rPr>
                <w:rFonts w:ascii="Times New Roman" w:eastAsia="Times New Roman" w:hAnsi="Times New Roman"/>
                <w:iCs/>
                <w:color w:val="000000" w:themeColor="text1"/>
                <w:sz w:val="24"/>
                <w:szCs w:val="24"/>
                <w:lang w:eastAsia="lv-LV"/>
              </w:rPr>
            </w:pPr>
            <w:r w:rsidRPr="00121E87">
              <w:rPr>
                <w:rFonts w:ascii="Times New Roman" w:hAnsi="Times New Roman"/>
                <w:sz w:val="24"/>
                <w:szCs w:val="24"/>
              </w:rPr>
              <w:t xml:space="preserve">Noteikumu projekts tiek papildināts ar prasību, ka brīdī, kad sēklaudzētājs un dienesta inspektors </w:t>
            </w:r>
            <w:r w:rsidRPr="00121E87">
              <w:rPr>
                <w:rFonts w:ascii="Times New Roman" w:hAnsi="Times New Roman"/>
                <w:color w:val="000000" w:themeColor="text1"/>
                <w:sz w:val="24"/>
                <w:szCs w:val="24"/>
              </w:rPr>
              <w:t>vienojas par lauku apskates laiku</w:t>
            </w:r>
            <w:r>
              <w:rPr>
                <w:rFonts w:ascii="Times New Roman" w:hAnsi="Times New Roman"/>
                <w:color w:val="000000" w:themeColor="text1"/>
                <w:sz w:val="24"/>
                <w:szCs w:val="24"/>
              </w:rPr>
              <w:t>,</w:t>
            </w:r>
            <w:r w:rsidRPr="00121E87">
              <w:rPr>
                <w:rFonts w:ascii="Times New Roman" w:hAnsi="Times New Roman"/>
                <w:sz w:val="24"/>
                <w:szCs w:val="24"/>
              </w:rPr>
              <w:t xml:space="preserve"> sēklaudzētājam ir jāinformē Valsts augu aizsardzības dienesta (turpmāk – dienesta) inspektors </w:t>
            </w:r>
            <w:r w:rsidRPr="00121E87">
              <w:rPr>
                <w:rFonts w:ascii="Times New Roman" w:hAnsi="Times New Roman"/>
                <w:color w:val="000000" w:themeColor="text1"/>
                <w:sz w:val="24"/>
                <w:szCs w:val="24"/>
              </w:rPr>
              <w:t>par laiku</w:t>
            </w:r>
            <w:r>
              <w:rPr>
                <w:rFonts w:ascii="Times New Roman" w:hAnsi="Times New Roman"/>
                <w:color w:val="000000" w:themeColor="text1"/>
                <w:sz w:val="24"/>
                <w:szCs w:val="24"/>
              </w:rPr>
              <w:t>, kad</w:t>
            </w:r>
            <w:r w:rsidRPr="00121E87">
              <w:rPr>
                <w:rFonts w:ascii="Times New Roman" w:hAnsi="Times New Roman"/>
                <w:color w:val="000000" w:themeColor="text1"/>
                <w:sz w:val="24"/>
                <w:szCs w:val="24"/>
              </w:rPr>
              <w:t xml:space="preserve"> </w:t>
            </w:r>
            <w:r w:rsidRPr="00121E87">
              <w:rPr>
                <w:rFonts w:ascii="Times New Roman" w:hAnsi="Times New Roman"/>
                <w:sz w:val="24"/>
                <w:szCs w:val="24"/>
              </w:rPr>
              <w:t>sēklaudzēšanas sējum</w:t>
            </w:r>
            <w:r>
              <w:rPr>
                <w:rFonts w:ascii="Times New Roman" w:hAnsi="Times New Roman"/>
                <w:sz w:val="24"/>
                <w:szCs w:val="24"/>
              </w:rPr>
              <w:t>i</w:t>
            </w:r>
            <w:r w:rsidRPr="00121E87">
              <w:rPr>
                <w:rFonts w:ascii="Times New Roman" w:hAnsi="Times New Roman"/>
                <w:sz w:val="24"/>
                <w:szCs w:val="24"/>
              </w:rPr>
              <w:t xml:space="preserve"> </w:t>
            </w:r>
            <w:r>
              <w:rPr>
                <w:rFonts w:ascii="Times New Roman" w:hAnsi="Times New Roman"/>
                <w:sz w:val="24"/>
                <w:szCs w:val="24"/>
              </w:rPr>
              <w:t>ir apstrādāti ar</w:t>
            </w:r>
            <w:r w:rsidRPr="00121E87">
              <w:rPr>
                <w:rFonts w:ascii="Times New Roman" w:hAnsi="Times New Roman"/>
                <w:sz w:val="24"/>
                <w:szCs w:val="24"/>
              </w:rPr>
              <w:t xml:space="preserve"> augu aizsardzības un mēslošanas līdzekļiem, </w:t>
            </w:r>
            <w:r>
              <w:rPr>
                <w:rFonts w:ascii="Times New Roman" w:hAnsi="Times New Roman"/>
                <w:sz w:val="24"/>
                <w:szCs w:val="24"/>
              </w:rPr>
              <w:t>norādot arī konkrētos līdzekļus</w:t>
            </w:r>
            <w:r w:rsidRPr="00121E87">
              <w:rPr>
                <w:rFonts w:ascii="Times New Roman" w:hAnsi="Times New Roman"/>
                <w:color w:val="000000" w:themeColor="text1"/>
                <w:sz w:val="24"/>
                <w:szCs w:val="24"/>
              </w:rPr>
              <w:t xml:space="preserve">. </w:t>
            </w:r>
            <w:r>
              <w:rPr>
                <w:rFonts w:ascii="Times New Roman" w:hAnsi="Times New Roman"/>
                <w:color w:val="000000" w:themeColor="text1"/>
                <w:sz w:val="24"/>
                <w:szCs w:val="24"/>
              </w:rPr>
              <w:t>Sēklaudzētājam</w:t>
            </w:r>
            <w:r w:rsidRPr="00121E87">
              <w:rPr>
                <w:rFonts w:ascii="Times New Roman" w:hAnsi="Times New Roman"/>
                <w:color w:val="000000" w:themeColor="text1"/>
                <w:sz w:val="24"/>
                <w:szCs w:val="24"/>
              </w:rPr>
              <w:t xml:space="preserve"> </w:t>
            </w:r>
            <w:r>
              <w:rPr>
                <w:rFonts w:ascii="Times New Roman" w:hAnsi="Times New Roman"/>
                <w:color w:val="000000" w:themeColor="text1"/>
                <w:sz w:val="24"/>
                <w:szCs w:val="24"/>
              </w:rPr>
              <w:t>j</w:t>
            </w:r>
            <w:r w:rsidRPr="00121E87">
              <w:rPr>
                <w:rFonts w:ascii="Times New Roman" w:hAnsi="Times New Roman"/>
                <w:color w:val="000000" w:themeColor="text1"/>
                <w:sz w:val="24"/>
                <w:szCs w:val="24"/>
              </w:rPr>
              <w:t xml:space="preserve">au </w:t>
            </w:r>
            <w:r>
              <w:rPr>
                <w:rFonts w:ascii="Times New Roman" w:hAnsi="Times New Roman"/>
                <w:color w:val="000000" w:themeColor="text1"/>
                <w:sz w:val="24"/>
                <w:szCs w:val="24"/>
              </w:rPr>
              <w:t xml:space="preserve">līdz šim ir prasība par </w:t>
            </w:r>
            <w:r w:rsidRPr="00121E87">
              <w:rPr>
                <w:rFonts w:ascii="Times New Roman" w:hAnsi="Times New Roman"/>
                <w:color w:val="000000" w:themeColor="text1"/>
                <w:sz w:val="24"/>
                <w:szCs w:val="24"/>
              </w:rPr>
              <w:t>vieno</w:t>
            </w:r>
            <w:r>
              <w:rPr>
                <w:rFonts w:ascii="Times New Roman" w:hAnsi="Times New Roman"/>
                <w:color w:val="000000" w:themeColor="text1"/>
                <w:sz w:val="24"/>
                <w:szCs w:val="24"/>
              </w:rPr>
              <w:t>šanos</w:t>
            </w:r>
            <w:r w:rsidRPr="00121E87">
              <w:rPr>
                <w:rFonts w:ascii="Times New Roman" w:hAnsi="Times New Roman"/>
                <w:color w:val="000000" w:themeColor="text1"/>
                <w:sz w:val="24"/>
                <w:szCs w:val="24"/>
              </w:rPr>
              <w:t xml:space="preserve"> ar dienesta inspektoru par </w:t>
            </w:r>
            <w:r>
              <w:rPr>
                <w:rFonts w:ascii="Times New Roman" w:hAnsi="Times New Roman"/>
                <w:color w:val="000000" w:themeColor="text1"/>
                <w:sz w:val="24"/>
                <w:szCs w:val="24"/>
              </w:rPr>
              <w:t xml:space="preserve">lauku </w:t>
            </w:r>
            <w:r w:rsidRPr="00121E87">
              <w:rPr>
                <w:rFonts w:ascii="Times New Roman" w:hAnsi="Times New Roman"/>
                <w:color w:val="000000" w:themeColor="text1"/>
                <w:sz w:val="24"/>
                <w:szCs w:val="24"/>
              </w:rPr>
              <w:t>apskates laiku. Sēklaudzētājam jānodrošina darba drošības prasību ievērošana lauku apskates laikā un piekļuve sēklaudzēšanas laukam, kā arī jāuzrāda sēklaudzēšanas lauks dabā, lai inspektors nekļūdīgi varētu veikt lauku apskati. Sēklu parauga noņemšana</w:t>
            </w:r>
            <w:r>
              <w:rPr>
                <w:rFonts w:ascii="Times New Roman" w:hAnsi="Times New Roman"/>
                <w:color w:val="000000" w:themeColor="text1"/>
                <w:sz w:val="24"/>
                <w:szCs w:val="24"/>
              </w:rPr>
              <w:t>s</w:t>
            </w:r>
            <w:r w:rsidRPr="00121E87">
              <w:rPr>
                <w:rFonts w:ascii="Times New Roman" w:hAnsi="Times New Roman"/>
                <w:color w:val="000000" w:themeColor="text1"/>
                <w:sz w:val="24"/>
                <w:szCs w:val="24"/>
              </w:rPr>
              <w:t xml:space="preserve"> laikā sēklaudzētājam ir jānodrošina atbilstoši darba drošības apstākļi. Ja sēklaudzētājs nenodrošina kādu no šīm prasībām, dienesta inspektors ir tiesīgs atteikt lauka </w:t>
            </w:r>
            <w:r w:rsidRPr="00121E87">
              <w:rPr>
                <w:rFonts w:ascii="Times New Roman" w:hAnsi="Times New Roman"/>
                <w:color w:val="000000" w:themeColor="text1"/>
                <w:sz w:val="24"/>
                <w:szCs w:val="24"/>
              </w:rPr>
              <w:lastRenderedPageBreak/>
              <w:t>apskati vai sēklu parauga noņemšanu.</w:t>
            </w:r>
            <w:r w:rsidR="00ED6BF6" w:rsidRPr="00121E87">
              <w:rPr>
                <w:rFonts w:ascii="Times New Roman" w:hAnsi="Times New Roman"/>
                <w:color w:val="000000" w:themeColor="text1"/>
                <w:sz w:val="24"/>
                <w:szCs w:val="24"/>
              </w:rPr>
              <w:t xml:space="preserve">. </w:t>
            </w:r>
          </w:p>
          <w:p w:rsidR="008E42A3" w:rsidRDefault="00264BDD" w:rsidP="008E42A3">
            <w:pPr>
              <w:spacing w:before="45" w:line="248" w:lineRule="atLeast"/>
              <w:jc w:val="both"/>
              <w:rPr>
                <w:rFonts w:ascii="Times New Roman" w:hAnsi="Times New Roman"/>
                <w:color w:val="000000" w:themeColor="text1"/>
                <w:sz w:val="24"/>
                <w:szCs w:val="24"/>
              </w:rPr>
            </w:pPr>
            <w:r>
              <w:rPr>
                <w:rFonts w:ascii="Times New Roman" w:hAnsi="Times New Roman"/>
                <w:sz w:val="24"/>
                <w:szCs w:val="24"/>
              </w:rPr>
              <w:t xml:space="preserve">Līdz šim </w:t>
            </w:r>
            <w:r w:rsidR="00CF1ACA">
              <w:rPr>
                <w:rFonts w:ascii="Times New Roman" w:hAnsi="Times New Roman"/>
                <w:sz w:val="24"/>
                <w:szCs w:val="24"/>
              </w:rPr>
              <w:t>noteikumos Nr. 152 noteikti</w:t>
            </w:r>
            <w:r>
              <w:rPr>
                <w:rFonts w:ascii="Times New Roman" w:hAnsi="Times New Roman"/>
                <w:sz w:val="24"/>
                <w:szCs w:val="24"/>
              </w:rPr>
              <w:t xml:space="preserve"> divi dokumenti – </w:t>
            </w:r>
            <w:r w:rsidR="008E42A3">
              <w:rPr>
                <w:rFonts w:ascii="Times New Roman" w:hAnsi="Times New Roman"/>
                <w:sz w:val="24"/>
                <w:szCs w:val="24"/>
              </w:rPr>
              <w:t xml:space="preserve">sēklu sertifikāts un pārskats “Sēklu novērtēšanas rezultāti”, bet, lai vienkāršotu sistēmu, turpmāk visi sēklu kvalitātes testēšanas rezultāti tiks norādīti vienā dokumentā – sēklu testēšanas pārskatā. </w:t>
            </w:r>
            <w:r w:rsidR="008E42A3" w:rsidRPr="00121E87">
              <w:rPr>
                <w:rFonts w:ascii="Times New Roman" w:hAnsi="Times New Roman"/>
                <w:sz w:val="24"/>
                <w:szCs w:val="24"/>
              </w:rPr>
              <w:t xml:space="preserve">Sēklu kvalitāti apliecina etiķete, tāpēc turpmāk vairs netiks izsniegts sēklu sertifikāts, bet </w:t>
            </w:r>
            <w:r w:rsidR="008E42A3">
              <w:rPr>
                <w:rFonts w:ascii="Times New Roman" w:hAnsi="Times New Roman"/>
                <w:sz w:val="24"/>
                <w:szCs w:val="24"/>
              </w:rPr>
              <w:t xml:space="preserve">sēklu </w:t>
            </w:r>
            <w:r w:rsidR="008E42A3" w:rsidRPr="00121E87">
              <w:rPr>
                <w:rFonts w:ascii="Times New Roman" w:hAnsi="Times New Roman"/>
                <w:sz w:val="24"/>
                <w:szCs w:val="24"/>
              </w:rPr>
              <w:t>testēšanas pārskats, kurā būs norādīts</w:t>
            </w:r>
            <w:r w:rsidR="008E42A3">
              <w:rPr>
                <w:rFonts w:ascii="Times New Roman" w:hAnsi="Times New Roman"/>
                <w:sz w:val="24"/>
                <w:szCs w:val="24"/>
              </w:rPr>
              <w:t>,</w:t>
            </w:r>
            <w:r w:rsidR="008E42A3" w:rsidRPr="00121E87">
              <w:rPr>
                <w:rFonts w:ascii="Times New Roman" w:hAnsi="Times New Roman"/>
                <w:sz w:val="24"/>
                <w:szCs w:val="24"/>
              </w:rPr>
              <w:t xml:space="preserve"> vai sēklu paraugs atbilst noteikumu Nr. 152 prasībām, un attiecīgi uz tā pamata </w:t>
            </w:r>
            <w:r w:rsidR="008E42A3">
              <w:rPr>
                <w:rFonts w:ascii="Times New Roman" w:hAnsi="Times New Roman"/>
                <w:sz w:val="24"/>
                <w:szCs w:val="24"/>
              </w:rPr>
              <w:t>atbilstoši</w:t>
            </w:r>
            <w:r w:rsidR="008E42A3" w:rsidRPr="00121E87">
              <w:rPr>
                <w:rFonts w:ascii="Times New Roman" w:hAnsi="Times New Roman"/>
                <w:sz w:val="24"/>
                <w:szCs w:val="24"/>
              </w:rPr>
              <w:t xml:space="preserve"> lauku apskatu rezultātiem tiks izsniegtas oficiālās etiķetes.</w:t>
            </w:r>
            <w:r w:rsidR="008E42A3">
              <w:rPr>
                <w:rFonts w:ascii="Times New Roman" w:hAnsi="Times New Roman"/>
                <w:sz w:val="24"/>
                <w:szCs w:val="24"/>
              </w:rPr>
              <w:t xml:space="preserve"> Sēklu testēšanas pārskatā tiks iekļauta norāde par to, vai sēklu </w:t>
            </w:r>
            <w:r w:rsidR="008E42A3" w:rsidRPr="00D71878">
              <w:rPr>
                <w:rFonts w:ascii="Times New Roman" w:hAnsi="Times New Roman"/>
                <w:sz w:val="24"/>
                <w:szCs w:val="24"/>
              </w:rPr>
              <w:t xml:space="preserve">partija atbilst vai neatbilst noteikumu Nr. 152 prasībām. Sēklu partijām, kurām līdz 2020.gada 31. maijam izsniegts </w:t>
            </w:r>
            <w:r w:rsidR="008E42A3">
              <w:rPr>
                <w:rFonts w:ascii="Times New Roman" w:hAnsi="Times New Roman"/>
                <w:sz w:val="24"/>
                <w:szCs w:val="24"/>
              </w:rPr>
              <w:t>s</w:t>
            </w:r>
            <w:r w:rsidR="008E42A3" w:rsidRPr="00D71878">
              <w:rPr>
                <w:rFonts w:ascii="Times New Roman" w:hAnsi="Times New Roman"/>
                <w:sz w:val="24"/>
                <w:szCs w:val="24"/>
              </w:rPr>
              <w:t>ēklu sertifikāt</w:t>
            </w:r>
            <w:r w:rsidR="008E42A3">
              <w:rPr>
                <w:rFonts w:ascii="Times New Roman" w:hAnsi="Times New Roman"/>
                <w:sz w:val="24"/>
                <w:szCs w:val="24"/>
              </w:rPr>
              <w:t>s</w:t>
            </w:r>
            <w:r w:rsidR="008E42A3" w:rsidRPr="00D71878">
              <w:rPr>
                <w:rFonts w:ascii="Times New Roman" w:hAnsi="Times New Roman"/>
                <w:sz w:val="24"/>
                <w:szCs w:val="24"/>
              </w:rPr>
              <w:t xml:space="preserve"> un pārskats "Sēklu novērtēšanas rezultāti", sēklu sertifikāts būs derīgs līdz attiecīgās sēklu partijas iztirgošanai, bet pārskats "Sēklu novērtēšanas rezultāti" </w:t>
            </w:r>
            <w:r w:rsidR="008E42A3">
              <w:rPr>
                <w:rFonts w:ascii="Times New Roman" w:hAnsi="Times New Roman"/>
                <w:sz w:val="24"/>
                <w:szCs w:val="24"/>
              </w:rPr>
              <w:t xml:space="preserve">– </w:t>
            </w:r>
            <w:r w:rsidR="008E42A3" w:rsidRPr="00D71878">
              <w:rPr>
                <w:rFonts w:ascii="Times New Roman" w:hAnsi="Times New Roman"/>
                <w:sz w:val="24"/>
                <w:szCs w:val="24"/>
              </w:rPr>
              <w:t>no izsniegšanas datuma līdz nāk</w:t>
            </w:r>
            <w:r w:rsidR="008E42A3">
              <w:rPr>
                <w:rFonts w:ascii="Times New Roman" w:hAnsi="Times New Roman"/>
                <w:sz w:val="24"/>
                <w:szCs w:val="24"/>
              </w:rPr>
              <w:t>am</w:t>
            </w:r>
            <w:r w:rsidR="008E42A3" w:rsidRPr="00D71878">
              <w:rPr>
                <w:rFonts w:ascii="Times New Roman" w:hAnsi="Times New Roman"/>
                <w:sz w:val="24"/>
                <w:szCs w:val="24"/>
              </w:rPr>
              <w:t>ajai nepieciešamajai atkārtotajai sēklu kvalitātes pārbaudei.</w:t>
            </w:r>
          </w:p>
          <w:p w:rsidR="004D625B" w:rsidRPr="00850A4E" w:rsidRDefault="004D625B" w:rsidP="00483AF9">
            <w:pPr>
              <w:spacing w:after="120" w:line="240" w:lineRule="auto"/>
              <w:jc w:val="both"/>
              <w:rPr>
                <w:rFonts w:ascii="Times New Roman" w:hAnsi="Times New Roman"/>
                <w:sz w:val="24"/>
                <w:szCs w:val="24"/>
              </w:rPr>
            </w:pPr>
            <w:r w:rsidRPr="00850A4E">
              <w:rPr>
                <w:rFonts w:ascii="Times New Roman" w:hAnsi="Times New Roman"/>
                <w:sz w:val="24"/>
                <w:szCs w:val="24"/>
              </w:rPr>
              <w:t xml:space="preserve">Ministru </w:t>
            </w:r>
            <w:r w:rsidR="00012742">
              <w:rPr>
                <w:rFonts w:ascii="Times New Roman" w:hAnsi="Times New Roman"/>
                <w:sz w:val="24"/>
                <w:szCs w:val="24"/>
              </w:rPr>
              <w:t xml:space="preserve">kabineta noteikumu </w:t>
            </w:r>
            <w:r w:rsidR="00446E5F">
              <w:rPr>
                <w:rFonts w:ascii="Times New Roman" w:hAnsi="Times New Roman"/>
                <w:sz w:val="24"/>
                <w:szCs w:val="24"/>
              </w:rPr>
              <w:t xml:space="preserve">projekts </w:t>
            </w:r>
            <w:r w:rsidR="004806A8">
              <w:rPr>
                <w:rFonts w:ascii="Times New Roman" w:hAnsi="Times New Roman"/>
                <w:sz w:val="24"/>
                <w:szCs w:val="24"/>
              </w:rPr>
              <w:t>paredz</w:t>
            </w:r>
            <w:r w:rsidRPr="00850A4E">
              <w:rPr>
                <w:rFonts w:ascii="Times New Roman" w:hAnsi="Times New Roman"/>
                <w:sz w:val="24"/>
                <w:szCs w:val="24"/>
              </w:rPr>
              <w:t xml:space="preserve">: </w:t>
            </w:r>
          </w:p>
          <w:p w:rsidR="00161F51" w:rsidRDefault="00201885" w:rsidP="00483AF9">
            <w:pPr>
              <w:pStyle w:val="Sarakstarindkopa"/>
              <w:numPr>
                <w:ilvl w:val="0"/>
                <w:numId w:val="3"/>
              </w:numPr>
              <w:spacing w:after="120" w:line="240" w:lineRule="auto"/>
              <w:ind w:left="0" w:firstLine="0"/>
              <w:jc w:val="both"/>
              <w:rPr>
                <w:rFonts w:ascii="Times New Roman" w:hAnsi="Times New Roman"/>
                <w:sz w:val="24"/>
                <w:szCs w:val="24"/>
              </w:rPr>
            </w:pPr>
            <w:r w:rsidRPr="00D334B7">
              <w:rPr>
                <w:rFonts w:ascii="Times New Roman" w:hAnsi="Times New Roman"/>
                <w:sz w:val="24"/>
                <w:szCs w:val="24"/>
              </w:rPr>
              <w:t xml:space="preserve">noteikt prasības, lai nodrošinātu </w:t>
            </w:r>
            <w:r w:rsidR="00B54E48">
              <w:rPr>
                <w:rFonts w:ascii="Times New Roman" w:hAnsi="Times New Roman"/>
                <w:sz w:val="24"/>
                <w:szCs w:val="24"/>
              </w:rPr>
              <w:t>sēklu</w:t>
            </w:r>
            <w:r w:rsidRPr="00D334B7">
              <w:rPr>
                <w:rFonts w:ascii="Times New Roman" w:hAnsi="Times New Roman"/>
                <w:sz w:val="24"/>
                <w:szCs w:val="24"/>
              </w:rPr>
              <w:t xml:space="preserve">  aizsardzību pret </w:t>
            </w:r>
            <w:r w:rsidR="00162DC0">
              <w:rPr>
                <w:rFonts w:ascii="Times New Roman" w:hAnsi="Times New Roman"/>
                <w:sz w:val="24"/>
                <w:szCs w:val="24"/>
              </w:rPr>
              <w:t xml:space="preserve">Savienībā reglamentētajiem </w:t>
            </w:r>
            <w:proofErr w:type="spellStart"/>
            <w:r w:rsidR="00162DC0">
              <w:rPr>
                <w:rFonts w:ascii="Times New Roman" w:hAnsi="Times New Roman"/>
                <w:sz w:val="24"/>
                <w:szCs w:val="24"/>
              </w:rPr>
              <w:t>nekarantīnas</w:t>
            </w:r>
            <w:proofErr w:type="spellEnd"/>
            <w:r w:rsidR="00162DC0">
              <w:rPr>
                <w:rFonts w:ascii="Times New Roman" w:hAnsi="Times New Roman"/>
                <w:sz w:val="24"/>
                <w:szCs w:val="24"/>
              </w:rPr>
              <w:t xml:space="preserve"> organismiem</w:t>
            </w:r>
            <w:r>
              <w:rPr>
                <w:rFonts w:ascii="Times New Roman" w:hAnsi="Times New Roman"/>
                <w:sz w:val="24"/>
                <w:szCs w:val="24"/>
              </w:rPr>
              <w:t>;</w:t>
            </w:r>
          </w:p>
          <w:p w:rsidR="00201885" w:rsidRPr="00162DC0" w:rsidRDefault="00201885" w:rsidP="00483AF9">
            <w:pPr>
              <w:pStyle w:val="Sarakstarindkopa"/>
              <w:numPr>
                <w:ilvl w:val="0"/>
                <w:numId w:val="3"/>
              </w:numPr>
              <w:spacing w:after="120" w:line="240" w:lineRule="auto"/>
              <w:ind w:left="0" w:firstLine="0"/>
              <w:jc w:val="both"/>
              <w:rPr>
                <w:rFonts w:ascii="Times New Roman" w:hAnsi="Times New Roman"/>
                <w:sz w:val="24"/>
                <w:szCs w:val="24"/>
              </w:rPr>
            </w:pPr>
            <w:r w:rsidRPr="00162DC0">
              <w:rPr>
                <w:rFonts w:ascii="Times New Roman" w:hAnsi="Times New Roman"/>
                <w:sz w:val="24"/>
                <w:szCs w:val="24"/>
              </w:rPr>
              <w:t>atjaunināt sarakstu ar augu sugām, kur</w:t>
            </w:r>
            <w:r w:rsidR="00162DC0">
              <w:rPr>
                <w:rFonts w:ascii="Times New Roman" w:hAnsi="Times New Roman"/>
                <w:sz w:val="24"/>
                <w:szCs w:val="24"/>
              </w:rPr>
              <w:t>as</w:t>
            </w:r>
            <w:r w:rsidRPr="00162DC0">
              <w:rPr>
                <w:rFonts w:ascii="Times New Roman" w:hAnsi="Times New Roman"/>
                <w:sz w:val="24"/>
                <w:szCs w:val="24"/>
              </w:rPr>
              <w:t xml:space="preserve"> </w:t>
            </w:r>
            <w:r w:rsidR="00162DC0" w:rsidRPr="00162DC0">
              <w:rPr>
                <w:rFonts w:ascii="Times New Roman" w:hAnsi="Times New Roman"/>
                <w:sz w:val="24"/>
                <w:szCs w:val="24"/>
              </w:rPr>
              <w:t>sēklu kvalitātes novērtēšanas procesā laboratorijā ir grūti atšķiramas</w:t>
            </w:r>
            <w:r w:rsidRPr="00162DC0">
              <w:rPr>
                <w:rFonts w:ascii="Times New Roman" w:hAnsi="Times New Roman"/>
                <w:sz w:val="24"/>
                <w:szCs w:val="24"/>
              </w:rPr>
              <w:t>;</w:t>
            </w:r>
          </w:p>
          <w:p w:rsidR="00B54E48" w:rsidRDefault="008E42A3" w:rsidP="00162DC0">
            <w:pPr>
              <w:pStyle w:val="Sarakstarindkopa"/>
              <w:numPr>
                <w:ilvl w:val="0"/>
                <w:numId w:val="3"/>
              </w:numPr>
              <w:spacing w:after="120" w:line="240" w:lineRule="auto"/>
              <w:ind w:left="0" w:firstLine="0"/>
              <w:jc w:val="both"/>
              <w:rPr>
                <w:rFonts w:ascii="Times New Roman" w:hAnsi="Times New Roman"/>
                <w:sz w:val="24"/>
                <w:szCs w:val="24"/>
              </w:rPr>
            </w:pPr>
            <w:r>
              <w:rPr>
                <w:rFonts w:ascii="Times New Roman" w:hAnsi="Times New Roman"/>
                <w:sz w:val="24"/>
                <w:szCs w:val="24"/>
              </w:rPr>
              <w:t>attei</w:t>
            </w:r>
            <w:r w:rsidR="00446E5F">
              <w:rPr>
                <w:rFonts w:ascii="Times New Roman" w:hAnsi="Times New Roman"/>
                <w:sz w:val="24"/>
                <w:szCs w:val="24"/>
              </w:rPr>
              <w:t>kties no</w:t>
            </w:r>
            <w:r w:rsidR="005C2D21">
              <w:rPr>
                <w:rFonts w:ascii="Times New Roman" w:hAnsi="Times New Roman"/>
                <w:sz w:val="24"/>
                <w:szCs w:val="24"/>
              </w:rPr>
              <w:t xml:space="preserve"> </w:t>
            </w:r>
            <w:r w:rsidR="00B54E48" w:rsidRPr="00B54E48">
              <w:rPr>
                <w:rFonts w:ascii="Times New Roman" w:hAnsi="Times New Roman"/>
                <w:sz w:val="24"/>
                <w:szCs w:val="24"/>
              </w:rPr>
              <w:t>sēklu sertifikāt</w:t>
            </w:r>
            <w:r w:rsidR="00446E5F">
              <w:rPr>
                <w:rFonts w:ascii="Times New Roman" w:hAnsi="Times New Roman"/>
                <w:sz w:val="24"/>
                <w:szCs w:val="24"/>
              </w:rPr>
              <w:t>a kā oficiāla kvalitāti apliecinoša dokumenta, sēklu kvalitātes rādītājus norādot</w:t>
            </w:r>
            <w:r w:rsidR="00B54E48" w:rsidRPr="00B54E48">
              <w:rPr>
                <w:rFonts w:ascii="Times New Roman" w:hAnsi="Times New Roman"/>
                <w:sz w:val="24"/>
                <w:szCs w:val="24"/>
              </w:rPr>
              <w:t xml:space="preserve"> </w:t>
            </w:r>
            <w:r w:rsidR="005C2D21">
              <w:rPr>
                <w:rFonts w:ascii="Times New Roman" w:hAnsi="Times New Roman"/>
                <w:sz w:val="24"/>
                <w:szCs w:val="24"/>
              </w:rPr>
              <w:t xml:space="preserve">sēklu </w:t>
            </w:r>
            <w:r w:rsidR="00B54E48" w:rsidRPr="00B54E48">
              <w:rPr>
                <w:rFonts w:ascii="Times New Roman" w:hAnsi="Times New Roman"/>
                <w:sz w:val="24"/>
                <w:szCs w:val="24"/>
              </w:rPr>
              <w:t>testēšanas pārskat</w:t>
            </w:r>
            <w:r w:rsidR="00446E5F">
              <w:rPr>
                <w:rFonts w:ascii="Times New Roman" w:hAnsi="Times New Roman"/>
                <w:sz w:val="24"/>
                <w:szCs w:val="24"/>
              </w:rPr>
              <w:t>ā</w:t>
            </w:r>
            <w:r w:rsidR="006E158B">
              <w:rPr>
                <w:rFonts w:ascii="Times New Roman" w:hAnsi="Times New Roman"/>
                <w:sz w:val="24"/>
                <w:szCs w:val="24"/>
              </w:rPr>
              <w:t>;</w:t>
            </w:r>
          </w:p>
          <w:p w:rsidR="006E158B" w:rsidRDefault="006E158B" w:rsidP="00162DC0">
            <w:pPr>
              <w:pStyle w:val="Sarakstarindkopa"/>
              <w:numPr>
                <w:ilvl w:val="0"/>
                <w:numId w:val="3"/>
              </w:numPr>
              <w:spacing w:after="120" w:line="240" w:lineRule="auto"/>
              <w:ind w:left="0" w:firstLine="0"/>
              <w:jc w:val="both"/>
              <w:rPr>
                <w:rFonts w:ascii="Times New Roman" w:hAnsi="Times New Roman"/>
                <w:sz w:val="24"/>
                <w:szCs w:val="24"/>
              </w:rPr>
            </w:pPr>
            <w:r>
              <w:rPr>
                <w:rFonts w:ascii="Times New Roman" w:hAnsi="Times New Roman"/>
                <w:sz w:val="24"/>
                <w:szCs w:val="24"/>
              </w:rPr>
              <w:t>precizēt noteikumus Nr.152</w:t>
            </w:r>
            <w:r w:rsidR="008E42A3">
              <w:rPr>
                <w:rFonts w:ascii="Times New Roman" w:hAnsi="Times New Roman"/>
                <w:sz w:val="24"/>
                <w:szCs w:val="24"/>
              </w:rPr>
              <w:t>,</w:t>
            </w:r>
            <w:r>
              <w:rPr>
                <w:rFonts w:ascii="Times New Roman" w:hAnsi="Times New Roman"/>
                <w:sz w:val="24"/>
                <w:szCs w:val="24"/>
              </w:rPr>
              <w:t xml:space="preserve"> ņemot vērā</w:t>
            </w:r>
            <w:r w:rsidR="008561A4">
              <w:rPr>
                <w:rFonts w:ascii="Times New Roman" w:hAnsi="Times New Roman"/>
                <w:sz w:val="24"/>
                <w:szCs w:val="24"/>
              </w:rPr>
              <w:t xml:space="preserve"> </w:t>
            </w:r>
            <w:r>
              <w:rPr>
                <w:rFonts w:ascii="Times New Roman" w:hAnsi="Times New Roman"/>
                <w:sz w:val="24"/>
                <w:szCs w:val="24"/>
              </w:rPr>
              <w:t xml:space="preserve">Sēklu un šķirņu aprites </w:t>
            </w:r>
            <w:r w:rsidR="00D71878">
              <w:rPr>
                <w:rFonts w:ascii="Times New Roman" w:hAnsi="Times New Roman"/>
                <w:sz w:val="24"/>
                <w:szCs w:val="24"/>
              </w:rPr>
              <w:t>likum</w:t>
            </w:r>
            <w:r w:rsidR="00117303">
              <w:rPr>
                <w:rFonts w:ascii="Times New Roman" w:hAnsi="Times New Roman"/>
                <w:sz w:val="24"/>
                <w:szCs w:val="24"/>
              </w:rPr>
              <w:t>a grozījumus</w:t>
            </w:r>
            <w:r>
              <w:rPr>
                <w:rFonts w:ascii="Times New Roman" w:hAnsi="Times New Roman"/>
                <w:sz w:val="24"/>
                <w:szCs w:val="24"/>
              </w:rPr>
              <w:t>;</w:t>
            </w:r>
          </w:p>
          <w:p w:rsidR="008E42A3" w:rsidRDefault="006E158B" w:rsidP="00D06D27">
            <w:pPr>
              <w:pStyle w:val="Sarakstarindkopa"/>
              <w:numPr>
                <w:ilvl w:val="0"/>
                <w:numId w:val="3"/>
              </w:numPr>
              <w:spacing w:after="120" w:line="240" w:lineRule="auto"/>
              <w:ind w:left="0" w:firstLine="0"/>
              <w:jc w:val="both"/>
              <w:rPr>
                <w:rFonts w:ascii="Times New Roman" w:hAnsi="Times New Roman"/>
                <w:sz w:val="24"/>
                <w:szCs w:val="24"/>
              </w:rPr>
            </w:pPr>
            <w:r>
              <w:rPr>
                <w:rFonts w:ascii="Times New Roman" w:hAnsi="Times New Roman"/>
                <w:sz w:val="24"/>
                <w:szCs w:val="24"/>
              </w:rPr>
              <w:t xml:space="preserve">noteikt sēklaudzētājam atbildību par darba drošības </w:t>
            </w:r>
            <w:r w:rsidR="00446E5F">
              <w:rPr>
                <w:rFonts w:ascii="Times New Roman" w:hAnsi="Times New Roman"/>
                <w:sz w:val="24"/>
                <w:szCs w:val="24"/>
              </w:rPr>
              <w:t xml:space="preserve">prasību </w:t>
            </w:r>
            <w:r>
              <w:rPr>
                <w:rFonts w:ascii="Times New Roman" w:hAnsi="Times New Roman"/>
                <w:sz w:val="24"/>
                <w:szCs w:val="24"/>
              </w:rPr>
              <w:t xml:space="preserve">ievērošanu </w:t>
            </w:r>
            <w:r w:rsidR="00D71878">
              <w:rPr>
                <w:rFonts w:ascii="Times New Roman" w:hAnsi="Times New Roman"/>
                <w:sz w:val="24"/>
                <w:szCs w:val="24"/>
              </w:rPr>
              <w:t>lauku apskates</w:t>
            </w:r>
            <w:r>
              <w:rPr>
                <w:rFonts w:ascii="Times New Roman" w:hAnsi="Times New Roman"/>
                <w:sz w:val="24"/>
                <w:szCs w:val="24"/>
              </w:rPr>
              <w:t xml:space="preserve"> laikā</w:t>
            </w:r>
            <w:r w:rsidR="00117303">
              <w:rPr>
                <w:rFonts w:ascii="Times New Roman" w:hAnsi="Times New Roman"/>
                <w:sz w:val="24"/>
                <w:szCs w:val="24"/>
              </w:rPr>
              <w:t>;</w:t>
            </w:r>
          </w:p>
          <w:p w:rsidR="00D06D27" w:rsidRDefault="008E42A3" w:rsidP="00D06D27">
            <w:pPr>
              <w:pStyle w:val="Sarakstarindkopa"/>
              <w:numPr>
                <w:ilvl w:val="0"/>
                <w:numId w:val="3"/>
              </w:numPr>
              <w:spacing w:after="120" w:line="240" w:lineRule="auto"/>
              <w:ind w:left="0" w:firstLine="0"/>
              <w:jc w:val="both"/>
              <w:rPr>
                <w:rFonts w:ascii="Times New Roman" w:hAnsi="Times New Roman"/>
                <w:sz w:val="24"/>
                <w:szCs w:val="24"/>
              </w:rPr>
            </w:pPr>
            <w:r w:rsidRPr="008E42A3">
              <w:rPr>
                <w:rFonts w:ascii="Times New Roman" w:hAnsi="Times New Roman"/>
                <w:sz w:val="24"/>
                <w:szCs w:val="24"/>
              </w:rPr>
              <w:t xml:space="preserve">sēklām, kas apstrādātas ar </w:t>
            </w:r>
            <w:proofErr w:type="spellStart"/>
            <w:r w:rsidRPr="008E42A3">
              <w:rPr>
                <w:rFonts w:ascii="Times New Roman" w:hAnsi="Times New Roman"/>
                <w:sz w:val="24"/>
                <w:szCs w:val="24"/>
              </w:rPr>
              <w:t>biopreparātiem</w:t>
            </w:r>
            <w:proofErr w:type="spellEnd"/>
            <w:r w:rsidRPr="008E42A3">
              <w:rPr>
                <w:rFonts w:ascii="Times New Roman" w:hAnsi="Times New Roman"/>
                <w:sz w:val="24"/>
                <w:szCs w:val="24"/>
              </w:rPr>
              <w:t>, augu aizsardzības līdzekļiem vai ķīmiskām vielām, nenoteikt mitruma saturu un atkārtotu kvalitātes pārbaudi veikt pēc diviem vai viena gada, ja tās atbildīs noteikumu projektā ietvertajām prasībām.</w:t>
            </w:r>
          </w:p>
          <w:p w:rsidR="008E42A3" w:rsidRPr="008E42A3" w:rsidRDefault="008E42A3" w:rsidP="008E42A3">
            <w:pPr>
              <w:pStyle w:val="Sarakstarindkopa"/>
              <w:spacing w:after="120" w:line="240" w:lineRule="auto"/>
              <w:ind w:left="0"/>
              <w:jc w:val="both"/>
              <w:rPr>
                <w:rFonts w:ascii="Times New Roman" w:hAnsi="Times New Roman"/>
                <w:sz w:val="24"/>
                <w:szCs w:val="24"/>
              </w:rPr>
            </w:pPr>
          </w:p>
          <w:p w:rsidR="009E2E27" w:rsidRPr="005C2D21" w:rsidRDefault="005C2D21" w:rsidP="00D06D27">
            <w:pPr>
              <w:pStyle w:val="Sarakstarindkopa"/>
              <w:spacing w:after="120" w:line="240" w:lineRule="auto"/>
              <w:ind w:left="0"/>
              <w:jc w:val="both"/>
              <w:rPr>
                <w:rFonts w:ascii="Times New Roman" w:hAnsi="Times New Roman"/>
                <w:sz w:val="24"/>
                <w:szCs w:val="24"/>
              </w:rPr>
            </w:pPr>
            <w:r w:rsidRPr="00D06D27">
              <w:rPr>
                <w:rFonts w:ascii="Times New Roman" w:hAnsi="Times New Roman"/>
                <w:sz w:val="24"/>
                <w:szCs w:val="24"/>
              </w:rPr>
              <w:t>Ņemot vērā direktīvā 2020/177 noteikto, noteikumu projekts stājas spēkā 2020. gada 1. jūnijā.</w:t>
            </w:r>
          </w:p>
          <w:p w:rsidR="00B36274" w:rsidRPr="009B2121" w:rsidRDefault="00012742" w:rsidP="00483AF9">
            <w:pPr>
              <w:spacing w:after="120" w:line="240" w:lineRule="auto"/>
              <w:jc w:val="both"/>
              <w:rPr>
                <w:rFonts w:ascii="Times New Roman" w:hAnsi="Times New Roman"/>
                <w:sz w:val="24"/>
                <w:szCs w:val="24"/>
              </w:rPr>
            </w:pPr>
            <w:r>
              <w:rPr>
                <w:rFonts w:ascii="Times New Roman" w:hAnsi="Times New Roman"/>
                <w:sz w:val="24"/>
                <w:szCs w:val="24"/>
              </w:rPr>
              <w:t>Noteikumu projekti</w:t>
            </w:r>
            <w:r w:rsidR="00161F51">
              <w:rPr>
                <w:rFonts w:ascii="Times New Roman" w:hAnsi="Times New Roman"/>
                <w:sz w:val="24"/>
                <w:szCs w:val="24"/>
              </w:rPr>
              <w:t xml:space="preserve"> minēto problēmu atrisinās pilnībā.</w:t>
            </w:r>
          </w:p>
        </w:tc>
      </w:tr>
      <w:tr w:rsidR="00E52AAB" w:rsidRPr="00ED7D0D" w:rsidTr="00FB3720">
        <w:trPr>
          <w:trHeight w:val="435"/>
        </w:trPr>
        <w:tc>
          <w:tcPr>
            <w:tcW w:w="426"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rsidR="000301CA" w:rsidRPr="00ED7D0D" w:rsidRDefault="000301CA" w:rsidP="00B67BA2">
            <w:pPr>
              <w:pStyle w:val="Bezatstarpm"/>
              <w:jc w:val="both"/>
              <w:rPr>
                <w:rFonts w:ascii="Times New Roman" w:hAnsi="Times New Roman"/>
                <w:sz w:val="24"/>
                <w:szCs w:val="24"/>
              </w:rPr>
            </w:pPr>
          </w:p>
        </w:tc>
      </w:tr>
      <w:tr w:rsidR="00E52AAB" w:rsidRPr="00ED7D0D" w:rsidTr="00FB3720">
        <w:trPr>
          <w:trHeight w:val="349"/>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rsidTr="00674235">
        <w:trPr>
          <w:trHeight w:val="570"/>
        </w:trPr>
        <w:tc>
          <w:tcPr>
            <w:tcW w:w="9243" w:type="dxa"/>
            <w:gridSpan w:val="3"/>
          </w:tcPr>
          <w:p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 xml:space="preserve">Sabiedrības mērķgrupas, kuras tiesiskais regulējums ietekmē vai varētu </w:t>
            </w:r>
            <w:r w:rsidRPr="00CB7509">
              <w:rPr>
                <w:rFonts w:ascii="Times New Roman" w:hAnsi="Times New Roman"/>
                <w:sz w:val="24"/>
                <w:szCs w:val="24"/>
              </w:rPr>
              <w:lastRenderedPageBreak/>
              <w:t>ietekmēt</w:t>
            </w:r>
          </w:p>
        </w:tc>
        <w:tc>
          <w:tcPr>
            <w:tcW w:w="6520" w:type="dxa"/>
          </w:tcPr>
          <w:p w:rsidR="009A5611" w:rsidRPr="00453E17" w:rsidRDefault="005F6EB8" w:rsidP="00446E5F">
            <w:pPr>
              <w:pStyle w:val="Bezatstarpm"/>
              <w:jc w:val="both"/>
              <w:rPr>
                <w:rFonts w:ascii="Times New Roman" w:hAnsi="Times New Roman"/>
                <w:sz w:val="24"/>
                <w:szCs w:val="24"/>
              </w:rPr>
            </w:pPr>
            <w:r>
              <w:rPr>
                <w:rFonts w:ascii="Times New Roman" w:hAnsi="Times New Roman"/>
                <w:sz w:val="24"/>
                <w:szCs w:val="24"/>
              </w:rPr>
              <w:lastRenderedPageBreak/>
              <w:t>Noteikumu projekt</w:t>
            </w:r>
            <w:r w:rsidR="00446E5F">
              <w:rPr>
                <w:rFonts w:ascii="Times New Roman" w:hAnsi="Times New Roman"/>
                <w:sz w:val="24"/>
                <w:szCs w:val="24"/>
              </w:rPr>
              <w:t>s</w:t>
            </w:r>
            <w:r w:rsidR="00C5386E">
              <w:rPr>
                <w:rFonts w:ascii="Times New Roman" w:hAnsi="Times New Roman"/>
                <w:sz w:val="24"/>
                <w:szCs w:val="24"/>
              </w:rPr>
              <w:t xml:space="preserve"> attiecas</w:t>
            </w:r>
            <w:r w:rsidR="00C5386E" w:rsidRPr="004D625B">
              <w:rPr>
                <w:rFonts w:ascii="Times New Roman" w:hAnsi="Times New Roman"/>
                <w:sz w:val="24"/>
                <w:szCs w:val="24"/>
              </w:rPr>
              <w:t xml:space="preserve"> uz </w:t>
            </w:r>
            <w:r w:rsidR="009A5611">
              <w:rPr>
                <w:rFonts w:ascii="Times New Roman" w:hAnsi="Times New Roman"/>
                <w:sz w:val="24"/>
                <w:szCs w:val="24"/>
              </w:rPr>
              <w:t>lopbarības</w:t>
            </w:r>
            <w:r w:rsidR="00446E5F">
              <w:rPr>
                <w:rFonts w:ascii="Times New Roman" w:hAnsi="Times New Roman"/>
                <w:sz w:val="24"/>
                <w:szCs w:val="24"/>
              </w:rPr>
              <w:t xml:space="preserve"> augu </w:t>
            </w:r>
            <w:r w:rsidR="009A5611">
              <w:rPr>
                <w:rFonts w:ascii="Times New Roman" w:hAnsi="Times New Roman"/>
                <w:sz w:val="24"/>
                <w:szCs w:val="24"/>
              </w:rPr>
              <w:t xml:space="preserve"> </w:t>
            </w:r>
            <w:r w:rsidR="00446E5F">
              <w:rPr>
                <w:rFonts w:ascii="Times New Roman" w:hAnsi="Times New Roman"/>
                <w:sz w:val="24"/>
                <w:szCs w:val="24"/>
              </w:rPr>
              <w:t>sēkl</w:t>
            </w:r>
            <w:r w:rsidR="00C5386E" w:rsidRPr="004D625B">
              <w:rPr>
                <w:rFonts w:ascii="Times New Roman" w:hAnsi="Times New Roman"/>
                <w:sz w:val="24"/>
                <w:szCs w:val="24"/>
              </w:rPr>
              <w:t>audzētājiem un tirgotājiem</w:t>
            </w:r>
            <w:r w:rsidR="00446E5F" w:rsidRPr="00420ABB">
              <w:rPr>
                <w:rFonts w:ascii="Times New Roman" w:hAnsi="Times New Roman"/>
                <w:sz w:val="24"/>
                <w:szCs w:val="24"/>
              </w:rPr>
              <w:t xml:space="preserve"> vai sēklu sagatavotājiem vai saiņotājiem,</w:t>
            </w:r>
            <w:r w:rsidR="00446E5F" w:rsidRPr="00423255">
              <w:rPr>
                <w:rFonts w:ascii="Times New Roman" w:hAnsi="Times New Roman"/>
                <w:bCs/>
                <w:sz w:val="24"/>
                <w:szCs w:val="24"/>
              </w:rPr>
              <w:t xml:space="preserve"> k</w:t>
            </w:r>
            <w:r w:rsidR="00446E5F">
              <w:rPr>
                <w:rFonts w:ascii="Times New Roman" w:hAnsi="Times New Roman"/>
                <w:bCs/>
                <w:sz w:val="24"/>
                <w:szCs w:val="24"/>
              </w:rPr>
              <w:t>as</w:t>
            </w:r>
            <w:r w:rsidR="00446E5F" w:rsidRPr="00423255">
              <w:rPr>
                <w:rFonts w:ascii="Times New Roman" w:hAnsi="Times New Roman"/>
                <w:bCs/>
                <w:sz w:val="24"/>
                <w:szCs w:val="24"/>
              </w:rPr>
              <w:t xml:space="preserve"> </w:t>
            </w:r>
            <w:r w:rsidR="00446E5F">
              <w:rPr>
                <w:rFonts w:ascii="Times New Roman" w:hAnsi="Times New Roman"/>
                <w:bCs/>
                <w:sz w:val="24"/>
                <w:szCs w:val="24"/>
              </w:rPr>
              <w:t>reģistrēti</w:t>
            </w:r>
            <w:r w:rsidR="00446E5F" w:rsidRPr="00423255">
              <w:rPr>
                <w:rFonts w:ascii="Times New Roman" w:hAnsi="Times New Roman"/>
                <w:bCs/>
                <w:sz w:val="24"/>
                <w:szCs w:val="24"/>
              </w:rPr>
              <w:t xml:space="preserve"> </w:t>
            </w:r>
            <w:r w:rsidR="00446E5F">
              <w:rPr>
                <w:rFonts w:ascii="Times New Roman" w:hAnsi="Times New Roman"/>
                <w:bCs/>
                <w:sz w:val="24"/>
                <w:szCs w:val="24"/>
              </w:rPr>
              <w:t xml:space="preserve">Kultūraugu uzraudzības valsts informācijas sistēmas </w:t>
            </w:r>
            <w:r w:rsidR="00446E5F" w:rsidRPr="00423255">
              <w:rPr>
                <w:rFonts w:ascii="Times New Roman" w:hAnsi="Times New Roman"/>
                <w:bCs/>
                <w:sz w:val="24"/>
                <w:szCs w:val="24"/>
              </w:rPr>
              <w:t>Sēklaudzētāju un sēklu tirgotāju reģistrā</w:t>
            </w:r>
            <w:r w:rsidR="00446E5F">
              <w:rPr>
                <w:rFonts w:ascii="Times New Roman" w:hAnsi="Times New Roman"/>
                <w:bCs/>
                <w:sz w:val="24"/>
                <w:szCs w:val="24"/>
              </w:rPr>
              <w:t>.</w:t>
            </w:r>
          </w:p>
        </w:tc>
      </w:tr>
      <w:tr w:rsidR="00C5386E" w:rsidRPr="00E02083"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Tiesiskā regulējuma ietekme uz tautsaimniecību un administratīvo slogu</w:t>
            </w:r>
          </w:p>
        </w:tc>
        <w:tc>
          <w:tcPr>
            <w:tcW w:w="6520" w:type="dxa"/>
          </w:tcPr>
          <w:p w:rsidR="00C5386E" w:rsidRPr="00893220" w:rsidRDefault="00221B6E">
            <w:pPr>
              <w:shd w:val="clear" w:color="auto" w:fill="FFFFFF"/>
              <w:spacing w:after="0" w:line="293" w:lineRule="atLeast"/>
              <w:contextualSpacing/>
              <w:jc w:val="both"/>
              <w:rPr>
                <w:rFonts w:ascii="Times New Roman" w:hAnsi="Times New Roman"/>
                <w:sz w:val="24"/>
                <w:szCs w:val="24"/>
              </w:rPr>
            </w:pPr>
            <w:r w:rsidRPr="00893220">
              <w:rPr>
                <w:rFonts w:ascii="Times New Roman" w:hAnsi="Times New Roman"/>
                <w:sz w:val="24"/>
                <w:szCs w:val="24"/>
              </w:rPr>
              <w:t>Noteikumu projekts precīzāk sakārto nozares specifiskos jautājumus, kas pozitīvi ietekmēs uzņēmējdarbības vidi</w:t>
            </w:r>
            <w:r w:rsidR="00893220" w:rsidRPr="00893220">
              <w:rPr>
                <w:rFonts w:ascii="Times New Roman" w:hAnsi="Times New Roman"/>
                <w:sz w:val="24"/>
                <w:szCs w:val="24"/>
              </w:rPr>
              <w:t>.</w:t>
            </w:r>
          </w:p>
          <w:p w:rsidR="005502D6" w:rsidRPr="00A96724" w:rsidRDefault="005502D6">
            <w:pPr>
              <w:shd w:val="clear" w:color="auto" w:fill="FFFFFF"/>
              <w:spacing w:after="0" w:line="293" w:lineRule="atLeast"/>
              <w:contextualSpacing/>
              <w:jc w:val="both"/>
              <w:rPr>
                <w:rFonts w:ascii="Times New Roman" w:hAnsi="Times New Roman"/>
                <w:sz w:val="24"/>
                <w:szCs w:val="24"/>
              </w:rPr>
            </w:pPr>
            <w:r>
              <w:rPr>
                <w:rFonts w:ascii="Times New Roman" w:hAnsi="Times New Roman"/>
                <w:sz w:val="24"/>
                <w:szCs w:val="24"/>
              </w:rPr>
              <w:t>N</w:t>
            </w:r>
            <w:r w:rsidRPr="00FD2D15">
              <w:rPr>
                <w:rFonts w:ascii="Times New Roman" w:hAnsi="Times New Roman"/>
                <w:sz w:val="24"/>
                <w:szCs w:val="24"/>
              </w:rPr>
              <w:t>av paredzama tieša ietekme uz tautsaimniecību. Administratīvais slogs nepalielināsies.</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3.</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rsidR="005F6EB8" w:rsidRDefault="005502D6" w:rsidP="005502D6">
            <w:pPr>
              <w:pStyle w:val="Bezatstarpm"/>
              <w:jc w:val="both"/>
              <w:rPr>
                <w:rFonts w:ascii="Times New Roman" w:hAnsi="Times New Roman"/>
                <w:sz w:val="24"/>
                <w:szCs w:val="24"/>
              </w:rPr>
            </w:pPr>
            <w:r>
              <w:rPr>
                <w:rFonts w:ascii="Times New Roman" w:hAnsi="Times New Roman"/>
                <w:sz w:val="24"/>
                <w:szCs w:val="24"/>
              </w:rPr>
              <w:t>Nav attiecināms.</w:t>
            </w:r>
          </w:p>
          <w:p w:rsidR="00C5386E" w:rsidRPr="00CB7509" w:rsidRDefault="00C5386E" w:rsidP="006E6FB0">
            <w:pPr>
              <w:pStyle w:val="Bezatstarpm"/>
              <w:jc w:val="both"/>
              <w:rPr>
                <w:rFonts w:ascii="Times New Roman" w:hAnsi="Times New Roman"/>
                <w:sz w:val="24"/>
                <w:szCs w:val="24"/>
              </w:rPr>
            </w:pP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t>4.</w:t>
            </w:r>
          </w:p>
        </w:tc>
        <w:tc>
          <w:tcPr>
            <w:tcW w:w="2297" w:type="dxa"/>
          </w:tcPr>
          <w:p w:rsidR="00C5386E" w:rsidRPr="003737A1"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tc>
        <w:tc>
          <w:tcPr>
            <w:tcW w:w="6520" w:type="dxa"/>
          </w:tcPr>
          <w:p w:rsidR="005502D6" w:rsidRDefault="005502D6" w:rsidP="005502D6">
            <w:pPr>
              <w:pStyle w:val="Bezatstarpm"/>
              <w:jc w:val="both"/>
              <w:rPr>
                <w:rFonts w:ascii="Times New Roman" w:hAnsi="Times New Roman"/>
                <w:sz w:val="24"/>
                <w:szCs w:val="24"/>
              </w:rPr>
            </w:pPr>
            <w:r>
              <w:rPr>
                <w:rFonts w:ascii="Times New Roman" w:hAnsi="Times New Roman"/>
                <w:sz w:val="24"/>
                <w:szCs w:val="24"/>
              </w:rPr>
              <w:t>Nav attiecināms.</w:t>
            </w:r>
          </w:p>
          <w:p w:rsidR="00C5386E" w:rsidRPr="00CB7509" w:rsidRDefault="00C5386E" w:rsidP="006E6FB0">
            <w:pPr>
              <w:pStyle w:val="Bezatstarpm"/>
              <w:jc w:val="both"/>
              <w:rPr>
                <w:rFonts w:ascii="Times New Roman" w:hAnsi="Times New Roman"/>
                <w:sz w:val="24"/>
                <w:szCs w:val="24"/>
              </w:rPr>
            </w:pPr>
          </w:p>
        </w:tc>
      </w:tr>
      <w:tr w:rsidR="00E52AAB" w:rsidRPr="00CB7509" w:rsidTr="00674235">
        <w:trPr>
          <w:trHeight w:val="132"/>
        </w:trPr>
        <w:tc>
          <w:tcPr>
            <w:tcW w:w="426" w:type="dxa"/>
          </w:tcPr>
          <w:p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t>5</w:t>
            </w:r>
            <w:r w:rsidR="00E52AAB" w:rsidRPr="00CB7509">
              <w:rPr>
                <w:rFonts w:ascii="Times New Roman" w:hAnsi="Times New Roman"/>
                <w:sz w:val="24"/>
                <w:szCs w:val="24"/>
              </w:rPr>
              <w:t>.</w:t>
            </w:r>
          </w:p>
        </w:tc>
        <w:tc>
          <w:tcPr>
            <w:tcW w:w="2297" w:type="dxa"/>
          </w:tcPr>
          <w:p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07"/>
      </w:tblGrid>
      <w:tr w:rsidR="00301744" w:rsidRPr="00894C55"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III.</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valsts budžetu un pašvaldību budžetiem</w:t>
            </w:r>
          </w:p>
        </w:tc>
      </w:tr>
      <w:tr w:rsidR="00301744" w:rsidRPr="00894C55"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6"/>
      </w:tblGrid>
      <w:tr w:rsidR="00301744" w:rsidRPr="00894C55"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FB3720" w:rsidRDefault="00301744" w:rsidP="00FB3720">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IV.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ietekme uz spēkā esošo tiesību normu sistēmu</w:t>
            </w:r>
          </w:p>
        </w:tc>
      </w:tr>
      <w:tr w:rsidR="00C706B7" w:rsidRPr="00894C55" w:rsidTr="00C706B7">
        <w:trPr>
          <w:trHeight w:val="228"/>
          <w:jc w:val="center"/>
        </w:trPr>
        <w:tc>
          <w:tcPr>
            <w:tcW w:w="5000" w:type="pct"/>
            <w:tcBorders>
              <w:top w:val="outset" w:sz="6" w:space="0" w:color="414142"/>
              <w:left w:val="outset" w:sz="6" w:space="0" w:color="414142"/>
              <w:bottom w:val="outset" w:sz="6" w:space="0" w:color="414142"/>
              <w:right w:val="outset" w:sz="6" w:space="0" w:color="414142"/>
            </w:tcBorders>
          </w:tcPr>
          <w:p w:rsidR="00C706B7" w:rsidRDefault="00C706B7" w:rsidP="00C706B7">
            <w:pPr>
              <w:tabs>
                <w:tab w:val="left" w:pos="1815"/>
                <w:tab w:val="center" w:pos="4581"/>
              </w:tabs>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7"/>
        <w:gridCol w:w="2550"/>
        <w:gridCol w:w="6337"/>
      </w:tblGrid>
      <w:tr w:rsidR="00301744" w:rsidRPr="00894C55"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1744" w:rsidRPr="00894C55" w:rsidRDefault="00301744" w:rsidP="009B5FB9">
            <w:pPr>
              <w:spacing w:before="100" w:beforeAutospacing="1" w:after="100" w:afterAutospacing="1" w:line="293" w:lineRule="atLeast"/>
              <w:jc w:val="center"/>
              <w:rPr>
                <w:rFonts w:ascii="Times New Roman" w:eastAsia="Times New Roman" w:hAnsi="Times New Roman"/>
                <w:b/>
                <w:bCs/>
                <w:color w:val="414142"/>
                <w:sz w:val="24"/>
                <w:szCs w:val="24"/>
                <w:lang w:eastAsia="lv-LV"/>
              </w:rPr>
            </w:pPr>
            <w:r w:rsidRPr="00894C55">
              <w:rPr>
                <w:rFonts w:ascii="Times New Roman" w:eastAsia="Times New Roman" w:hAnsi="Times New Roman"/>
                <w:b/>
                <w:bCs/>
                <w:color w:val="414142"/>
                <w:sz w:val="24"/>
                <w:szCs w:val="24"/>
                <w:lang w:eastAsia="lv-LV"/>
              </w:rPr>
              <w:t>V.</w:t>
            </w:r>
            <w:r>
              <w:rPr>
                <w:rFonts w:ascii="Times New Roman" w:eastAsia="Times New Roman" w:hAnsi="Times New Roman"/>
                <w:b/>
                <w:bCs/>
                <w:color w:val="414142"/>
                <w:sz w:val="24"/>
                <w:szCs w:val="24"/>
                <w:lang w:eastAsia="lv-LV"/>
              </w:rPr>
              <w:t> </w:t>
            </w:r>
            <w:r w:rsidRPr="00894C55">
              <w:rPr>
                <w:rFonts w:ascii="Times New Roman" w:eastAsia="Times New Roman" w:hAnsi="Times New Roman"/>
                <w:b/>
                <w:bCs/>
                <w:color w:val="414142"/>
                <w:sz w:val="24"/>
                <w:szCs w:val="24"/>
                <w:lang w:eastAsia="lv-LV"/>
              </w:rPr>
              <w:t>Tiesību akta projekta atbilstība Latvijas Republikas starptautiskajām saistībām</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rsidR="004E69E1" w:rsidRPr="007A7059" w:rsidRDefault="008E42A3" w:rsidP="00117303">
            <w:pPr>
              <w:spacing w:after="0" w:line="240" w:lineRule="auto"/>
              <w:jc w:val="both"/>
              <w:rPr>
                <w:rFonts w:ascii="Times New Roman" w:hAnsi="Times New Roman"/>
                <w:sz w:val="24"/>
                <w:szCs w:val="24"/>
                <w:highlight w:val="yellow"/>
              </w:rPr>
            </w:pPr>
            <w:r w:rsidRPr="007A7059">
              <w:rPr>
                <w:rFonts w:ascii="Times New Roman" w:hAnsi="Times New Roman"/>
                <w:sz w:val="24"/>
                <w:szCs w:val="24"/>
              </w:rPr>
              <w:t>Direktīva 2020/177</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A16C15" w:rsidP="00A16C15">
            <w:pPr>
              <w:rPr>
                <w:rFonts w:ascii="Times New Roman" w:hAnsi="Times New Roman"/>
                <w:sz w:val="24"/>
                <w:szCs w:val="24"/>
              </w:rPr>
            </w:pPr>
            <w:r w:rsidRPr="00A16C15">
              <w:rPr>
                <w:rFonts w:ascii="Times New Roman" w:hAnsi="Times New Roman"/>
                <w:sz w:val="24"/>
                <w:szCs w:val="24"/>
              </w:rPr>
              <w:t>Projekts šo jomu neskar.</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A16C15" w:rsidP="00A16C15">
            <w:pPr>
              <w:rPr>
                <w:rFonts w:ascii="Times New Roman" w:hAnsi="Times New Roman"/>
                <w:sz w:val="24"/>
                <w:szCs w:val="24"/>
              </w:rPr>
            </w:pPr>
            <w:r w:rsidRPr="00A16C15">
              <w:rPr>
                <w:rFonts w:ascii="Times New Roman" w:hAnsi="Times New Roman"/>
                <w:sz w:val="24"/>
                <w:szCs w:val="24"/>
              </w:rPr>
              <w:t>Nav.</w:t>
            </w:r>
          </w:p>
        </w:tc>
      </w:tr>
    </w:tbl>
    <w:p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8"/>
        <w:gridCol w:w="2107"/>
        <w:gridCol w:w="1003"/>
        <w:gridCol w:w="1178"/>
        <w:gridCol w:w="2020"/>
        <w:gridCol w:w="2590"/>
      </w:tblGrid>
      <w:tr w:rsidR="004E69E1" w:rsidRPr="00FA6445"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614" w:type="pct"/>
            <w:gridSpan w:val="4"/>
            <w:hideMark/>
          </w:tcPr>
          <w:p w:rsidR="003E57F6" w:rsidRPr="00166A4C" w:rsidRDefault="007A7059">
            <w:pPr>
              <w:spacing w:after="0" w:line="312" w:lineRule="atLeast"/>
              <w:rPr>
                <w:rFonts w:ascii="Times New Roman" w:hAnsi="Times New Roman"/>
                <w:sz w:val="24"/>
                <w:szCs w:val="24"/>
              </w:rPr>
            </w:pPr>
            <w:r w:rsidRPr="007A7059">
              <w:rPr>
                <w:rFonts w:ascii="Times New Roman" w:hAnsi="Times New Roman"/>
                <w:sz w:val="24"/>
                <w:szCs w:val="24"/>
              </w:rPr>
              <w:t>Direktīva 2020/177</w:t>
            </w:r>
          </w:p>
        </w:tc>
      </w:tr>
      <w:tr w:rsidR="00D00C29"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161" w:type="pct"/>
            <w:gridSpan w:val="2"/>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075" w:type="pct"/>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378" w:type="pct"/>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lastRenderedPageBreak/>
              <w:t>Attiecīgā ES tiesību akta panta numurs (uzskaitot katru tiesību akta vienību – pantu, daļu, punktu, apakšpunktu)</w:t>
            </w:r>
          </w:p>
          <w:p w:rsidR="00A16C15" w:rsidRPr="00166A4C" w:rsidRDefault="00A16C15" w:rsidP="009B5FB9">
            <w:pPr>
              <w:rPr>
                <w:rFonts w:ascii="Times New Roman" w:hAnsi="Times New Roman"/>
                <w:sz w:val="24"/>
                <w:szCs w:val="24"/>
              </w:rPr>
            </w:pPr>
          </w:p>
        </w:tc>
        <w:tc>
          <w:tcPr>
            <w:tcW w:w="1161" w:type="pct"/>
            <w:gridSpan w:val="2"/>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A16C15" w:rsidRPr="00166A4C" w:rsidRDefault="00A16C15" w:rsidP="009B5FB9">
            <w:pPr>
              <w:rPr>
                <w:rFonts w:ascii="Times New Roman" w:hAnsi="Times New Roman"/>
                <w:sz w:val="24"/>
                <w:szCs w:val="24"/>
              </w:rPr>
            </w:pPr>
          </w:p>
        </w:tc>
        <w:tc>
          <w:tcPr>
            <w:tcW w:w="1075" w:type="pct"/>
            <w:hideMark/>
          </w:tcPr>
          <w:p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378" w:type="pct"/>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C251A7"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2A2767" w:rsidRDefault="007A7059" w:rsidP="002A2767">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w:t>
            </w:r>
            <w:r w:rsidR="00C251A7">
              <w:rPr>
                <w:rFonts w:ascii="Times New Roman" w:hAnsi="Times New Roman"/>
                <w:sz w:val="24"/>
                <w:szCs w:val="24"/>
              </w:rPr>
              <w:t>1.pants</w:t>
            </w:r>
            <w:r w:rsidR="00A14C30">
              <w:rPr>
                <w:rFonts w:ascii="Times New Roman" w:hAnsi="Times New Roman"/>
                <w:sz w:val="24"/>
                <w:szCs w:val="24"/>
              </w:rPr>
              <w:t>,</w:t>
            </w:r>
            <w:r w:rsidR="00393C1A">
              <w:rPr>
                <w:rFonts w:ascii="Times New Roman" w:hAnsi="Times New Roman"/>
                <w:sz w:val="24"/>
                <w:szCs w:val="24"/>
              </w:rPr>
              <w:t xml:space="preserve"> </w:t>
            </w:r>
          </w:p>
          <w:p w:rsidR="00C251A7" w:rsidRPr="00166A4C" w:rsidRDefault="00AF5B11" w:rsidP="002A2767">
            <w:pPr>
              <w:spacing w:after="0" w:line="240" w:lineRule="auto"/>
              <w:rPr>
                <w:rFonts w:ascii="Times New Roman" w:hAnsi="Times New Roman"/>
                <w:sz w:val="24"/>
                <w:szCs w:val="24"/>
              </w:rPr>
            </w:pPr>
            <w:r>
              <w:rPr>
                <w:rFonts w:ascii="Times New Roman" w:hAnsi="Times New Roman"/>
                <w:sz w:val="24"/>
                <w:szCs w:val="24"/>
              </w:rPr>
              <w:t>1. pielikuma 1.</w:t>
            </w:r>
            <w:r w:rsidR="00AF1BB0">
              <w:rPr>
                <w:rFonts w:ascii="Times New Roman" w:hAnsi="Times New Roman"/>
                <w:sz w:val="24"/>
                <w:szCs w:val="24"/>
              </w:rPr>
              <w:t>punkt</w:t>
            </w:r>
            <w:r w:rsidR="0043479A">
              <w:rPr>
                <w:rFonts w:ascii="Times New Roman" w:hAnsi="Times New Roman"/>
                <w:sz w:val="24"/>
                <w:szCs w:val="24"/>
              </w:rPr>
              <w:t>a 1.daļa</w:t>
            </w:r>
          </w:p>
        </w:tc>
        <w:tc>
          <w:tcPr>
            <w:tcW w:w="1161" w:type="pct"/>
            <w:gridSpan w:val="2"/>
          </w:tcPr>
          <w:p w:rsidR="00C251A7" w:rsidRPr="006A5F2C" w:rsidRDefault="00AF5B11" w:rsidP="007A7059">
            <w:pPr>
              <w:spacing w:line="240" w:lineRule="auto"/>
              <w:rPr>
                <w:rFonts w:ascii="Times New Roman" w:hAnsi="Times New Roman"/>
                <w:sz w:val="24"/>
                <w:szCs w:val="24"/>
                <w:highlight w:val="yellow"/>
              </w:rPr>
            </w:pPr>
            <w:r w:rsidRPr="0043479A">
              <w:rPr>
                <w:rFonts w:ascii="Times New Roman" w:hAnsi="Times New Roman"/>
                <w:sz w:val="24"/>
                <w:szCs w:val="24"/>
              </w:rPr>
              <w:t xml:space="preserve">Noteikumu projekta </w:t>
            </w:r>
            <w:r w:rsidR="0010021C">
              <w:rPr>
                <w:rFonts w:ascii="Times New Roman" w:hAnsi="Times New Roman"/>
                <w:sz w:val="24"/>
                <w:szCs w:val="24"/>
              </w:rPr>
              <w:t>1.12</w:t>
            </w:r>
            <w:r w:rsidR="0043479A" w:rsidRPr="0043479A">
              <w:rPr>
                <w:rFonts w:ascii="Times New Roman" w:hAnsi="Times New Roman"/>
                <w:sz w:val="24"/>
                <w:szCs w:val="24"/>
              </w:rPr>
              <w:t>.</w:t>
            </w:r>
            <w:r w:rsidR="003161B9">
              <w:rPr>
                <w:rFonts w:ascii="Times New Roman" w:hAnsi="Times New Roman"/>
                <w:sz w:val="24"/>
                <w:szCs w:val="24"/>
              </w:rPr>
              <w:t xml:space="preserve"> </w:t>
            </w:r>
            <w:r w:rsidRPr="0043479A">
              <w:rPr>
                <w:rFonts w:ascii="Times New Roman" w:hAnsi="Times New Roman"/>
                <w:sz w:val="24"/>
                <w:szCs w:val="24"/>
              </w:rPr>
              <w:t>apakšpunkts</w:t>
            </w:r>
            <w:r w:rsidR="00483264" w:rsidRPr="0043479A">
              <w:rPr>
                <w:rFonts w:ascii="Times New Roman" w:hAnsi="Times New Roman"/>
                <w:sz w:val="24"/>
                <w:szCs w:val="24"/>
              </w:rPr>
              <w:t>.</w:t>
            </w:r>
          </w:p>
        </w:tc>
        <w:tc>
          <w:tcPr>
            <w:tcW w:w="1075" w:type="pct"/>
          </w:tcPr>
          <w:p w:rsidR="00C251A7" w:rsidRPr="00166A4C" w:rsidRDefault="002A2767" w:rsidP="007A7059">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C251A7" w:rsidRPr="00166A4C" w:rsidRDefault="00AF5B11" w:rsidP="007A7059">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43479A">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 </w:t>
            </w:r>
          </w:p>
          <w:p w:rsidR="003161B9" w:rsidRPr="007A7059" w:rsidRDefault="003161B9" w:rsidP="0043479A">
            <w:pPr>
              <w:spacing w:after="0" w:line="240" w:lineRule="auto"/>
              <w:rPr>
                <w:rFonts w:ascii="Times New Roman" w:hAnsi="Times New Roman"/>
                <w:sz w:val="24"/>
                <w:szCs w:val="24"/>
              </w:rPr>
            </w:pPr>
            <w:r>
              <w:rPr>
                <w:rFonts w:ascii="Times New Roman" w:hAnsi="Times New Roman"/>
                <w:sz w:val="24"/>
                <w:szCs w:val="24"/>
              </w:rPr>
              <w:t>1. pielikuma 1.punkta 2.daļa</w:t>
            </w:r>
          </w:p>
        </w:tc>
        <w:tc>
          <w:tcPr>
            <w:tcW w:w="1161" w:type="pct"/>
            <w:gridSpan w:val="2"/>
          </w:tcPr>
          <w:p w:rsidR="003161B9" w:rsidRPr="0043479A" w:rsidRDefault="003161B9" w:rsidP="007A7059">
            <w:pPr>
              <w:spacing w:line="240" w:lineRule="auto"/>
              <w:rPr>
                <w:rFonts w:ascii="Times New Roman" w:hAnsi="Times New Roman"/>
                <w:sz w:val="24"/>
                <w:szCs w:val="24"/>
              </w:rPr>
            </w:pPr>
            <w:r w:rsidRPr="0043479A">
              <w:rPr>
                <w:rFonts w:ascii="Times New Roman" w:hAnsi="Times New Roman"/>
                <w:sz w:val="24"/>
                <w:szCs w:val="24"/>
              </w:rPr>
              <w:t xml:space="preserve">Noteikumu projekta </w:t>
            </w:r>
            <w:r w:rsidR="0010021C">
              <w:rPr>
                <w:rFonts w:ascii="Times New Roman" w:hAnsi="Times New Roman"/>
                <w:sz w:val="24"/>
                <w:szCs w:val="24"/>
              </w:rPr>
              <w:t>1.12</w:t>
            </w:r>
            <w:r>
              <w:rPr>
                <w:rFonts w:ascii="Times New Roman" w:hAnsi="Times New Roman"/>
                <w:sz w:val="24"/>
                <w:szCs w:val="24"/>
              </w:rPr>
              <w:t>. apakšpunkts</w:t>
            </w:r>
            <w:r w:rsidRPr="0043479A">
              <w:rPr>
                <w:rFonts w:ascii="Times New Roman" w:hAnsi="Times New Roman"/>
                <w:sz w:val="24"/>
                <w:szCs w:val="24"/>
              </w:rPr>
              <w:t>.</w:t>
            </w:r>
          </w:p>
        </w:tc>
        <w:tc>
          <w:tcPr>
            <w:tcW w:w="1075" w:type="pct"/>
          </w:tcPr>
          <w:p w:rsidR="003161B9" w:rsidRPr="00166A4C" w:rsidRDefault="003161B9" w:rsidP="00EA0C7A">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EA0C7A">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43479A">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 </w:t>
            </w:r>
          </w:p>
          <w:p w:rsidR="003161B9" w:rsidRPr="007A7059" w:rsidRDefault="003161B9" w:rsidP="0043479A">
            <w:pPr>
              <w:spacing w:after="0" w:line="240" w:lineRule="auto"/>
              <w:rPr>
                <w:rFonts w:ascii="Times New Roman" w:hAnsi="Times New Roman"/>
                <w:sz w:val="24"/>
                <w:szCs w:val="24"/>
              </w:rPr>
            </w:pPr>
            <w:r>
              <w:rPr>
                <w:rFonts w:ascii="Times New Roman" w:hAnsi="Times New Roman"/>
                <w:sz w:val="24"/>
                <w:szCs w:val="24"/>
              </w:rPr>
              <w:t>1. pielikuma 1.punkta 3.daļa</w:t>
            </w:r>
          </w:p>
        </w:tc>
        <w:tc>
          <w:tcPr>
            <w:tcW w:w="1161" w:type="pct"/>
            <w:gridSpan w:val="2"/>
          </w:tcPr>
          <w:p w:rsidR="003161B9" w:rsidRPr="0043479A" w:rsidRDefault="003161B9" w:rsidP="007A7059">
            <w:pPr>
              <w:spacing w:line="240" w:lineRule="auto"/>
              <w:rPr>
                <w:rFonts w:ascii="Times New Roman" w:hAnsi="Times New Roman"/>
                <w:sz w:val="24"/>
                <w:szCs w:val="24"/>
              </w:rPr>
            </w:pPr>
            <w:r w:rsidRPr="0043479A">
              <w:rPr>
                <w:rFonts w:ascii="Times New Roman" w:hAnsi="Times New Roman"/>
                <w:sz w:val="24"/>
                <w:szCs w:val="24"/>
              </w:rPr>
              <w:t>Noteikumu projekta</w:t>
            </w:r>
            <w:r>
              <w:rPr>
                <w:rFonts w:ascii="Times New Roman" w:hAnsi="Times New Roman"/>
                <w:sz w:val="24"/>
                <w:szCs w:val="24"/>
              </w:rPr>
              <w:t xml:space="preserve"> </w:t>
            </w:r>
            <w:r w:rsidRPr="0043479A">
              <w:rPr>
                <w:rFonts w:ascii="Times New Roman" w:hAnsi="Times New Roman"/>
                <w:sz w:val="24"/>
                <w:szCs w:val="24"/>
              </w:rPr>
              <w:t>1</w:t>
            </w:r>
            <w:r w:rsidR="0010021C">
              <w:rPr>
                <w:rFonts w:ascii="Times New Roman" w:hAnsi="Times New Roman"/>
                <w:sz w:val="24"/>
                <w:szCs w:val="24"/>
              </w:rPr>
              <w:t>.62</w:t>
            </w:r>
            <w:r>
              <w:rPr>
                <w:rFonts w:ascii="Times New Roman" w:hAnsi="Times New Roman"/>
                <w:sz w:val="24"/>
                <w:szCs w:val="24"/>
              </w:rPr>
              <w:t>.apakšpunkts.</w:t>
            </w:r>
          </w:p>
        </w:tc>
        <w:tc>
          <w:tcPr>
            <w:tcW w:w="1075" w:type="pct"/>
          </w:tcPr>
          <w:p w:rsidR="003161B9" w:rsidRPr="00166A4C" w:rsidRDefault="003161B9" w:rsidP="00EA0C7A">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EA0C7A">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AF5B11">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w:t>
            </w:r>
          </w:p>
          <w:p w:rsidR="003161B9" w:rsidRDefault="003161B9" w:rsidP="00AF5B11">
            <w:pPr>
              <w:spacing w:after="0" w:line="240" w:lineRule="auto"/>
              <w:rPr>
                <w:rFonts w:ascii="Times New Roman" w:hAnsi="Times New Roman"/>
                <w:sz w:val="24"/>
                <w:szCs w:val="24"/>
              </w:rPr>
            </w:pPr>
            <w:r>
              <w:rPr>
                <w:rFonts w:ascii="Times New Roman" w:hAnsi="Times New Roman"/>
                <w:sz w:val="24"/>
                <w:szCs w:val="24"/>
              </w:rPr>
              <w:t>1. pielikuma 2.punkts 1.daļa</w:t>
            </w:r>
          </w:p>
        </w:tc>
        <w:tc>
          <w:tcPr>
            <w:tcW w:w="1161" w:type="pct"/>
            <w:gridSpan w:val="2"/>
          </w:tcPr>
          <w:p w:rsidR="003161B9" w:rsidRPr="003161B9" w:rsidRDefault="0010021C" w:rsidP="003161B9">
            <w:pPr>
              <w:spacing w:line="240" w:lineRule="auto"/>
              <w:rPr>
                <w:rFonts w:ascii="Times New Roman" w:hAnsi="Times New Roman"/>
                <w:sz w:val="24"/>
                <w:szCs w:val="24"/>
              </w:rPr>
            </w:pPr>
            <w:r>
              <w:rPr>
                <w:rFonts w:ascii="Times New Roman" w:hAnsi="Times New Roman"/>
                <w:sz w:val="24"/>
                <w:szCs w:val="24"/>
              </w:rPr>
              <w:t>Noteikumu projekta 1.71</w:t>
            </w:r>
            <w:r w:rsidR="003161B9" w:rsidRPr="003161B9">
              <w:rPr>
                <w:rFonts w:ascii="Times New Roman" w:hAnsi="Times New Roman"/>
                <w:sz w:val="24"/>
                <w:szCs w:val="24"/>
              </w:rPr>
              <w:t>.apakšpunkts</w:t>
            </w:r>
            <w:r w:rsidR="003161B9">
              <w:rPr>
                <w:rFonts w:ascii="Times New Roman" w:hAnsi="Times New Roman"/>
                <w:sz w:val="24"/>
                <w:szCs w:val="24"/>
              </w:rPr>
              <w:t>.</w:t>
            </w:r>
          </w:p>
        </w:tc>
        <w:tc>
          <w:tcPr>
            <w:tcW w:w="1075" w:type="pct"/>
          </w:tcPr>
          <w:p w:rsidR="003161B9" w:rsidRPr="00166A4C" w:rsidRDefault="003161B9" w:rsidP="007A7059">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7A7059">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3161B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w:t>
            </w:r>
          </w:p>
          <w:p w:rsidR="003161B9" w:rsidRPr="007A7059" w:rsidRDefault="003161B9" w:rsidP="003161B9">
            <w:pPr>
              <w:spacing w:after="0" w:line="240" w:lineRule="auto"/>
              <w:rPr>
                <w:rFonts w:ascii="Times New Roman" w:hAnsi="Times New Roman"/>
                <w:sz w:val="24"/>
                <w:szCs w:val="24"/>
              </w:rPr>
            </w:pPr>
            <w:r>
              <w:rPr>
                <w:rFonts w:ascii="Times New Roman" w:hAnsi="Times New Roman"/>
                <w:sz w:val="24"/>
                <w:szCs w:val="24"/>
              </w:rPr>
              <w:t>1. pielikuma 2.punkts 2.daļa</w:t>
            </w:r>
          </w:p>
        </w:tc>
        <w:tc>
          <w:tcPr>
            <w:tcW w:w="1161" w:type="pct"/>
            <w:gridSpan w:val="2"/>
          </w:tcPr>
          <w:p w:rsidR="003161B9" w:rsidRPr="003161B9" w:rsidRDefault="0010021C" w:rsidP="007A7059">
            <w:pPr>
              <w:spacing w:line="240" w:lineRule="auto"/>
              <w:rPr>
                <w:rFonts w:ascii="Times New Roman" w:hAnsi="Times New Roman"/>
                <w:sz w:val="24"/>
                <w:szCs w:val="24"/>
              </w:rPr>
            </w:pPr>
            <w:r>
              <w:rPr>
                <w:rFonts w:ascii="Times New Roman" w:hAnsi="Times New Roman"/>
                <w:sz w:val="24"/>
                <w:szCs w:val="24"/>
              </w:rPr>
              <w:t>Noteikumu projekta 1.71</w:t>
            </w:r>
            <w:r w:rsidR="003161B9" w:rsidRPr="003161B9">
              <w:rPr>
                <w:rFonts w:ascii="Times New Roman" w:hAnsi="Times New Roman"/>
                <w:sz w:val="24"/>
                <w:szCs w:val="24"/>
              </w:rPr>
              <w:t>.apakšpunkts</w:t>
            </w:r>
            <w:r w:rsidR="003161B9">
              <w:rPr>
                <w:rFonts w:ascii="Times New Roman" w:hAnsi="Times New Roman"/>
                <w:sz w:val="24"/>
                <w:szCs w:val="24"/>
              </w:rPr>
              <w:t>.</w:t>
            </w:r>
          </w:p>
        </w:tc>
        <w:tc>
          <w:tcPr>
            <w:tcW w:w="1075" w:type="pct"/>
          </w:tcPr>
          <w:p w:rsidR="003161B9" w:rsidRPr="00166A4C" w:rsidRDefault="003161B9" w:rsidP="00EA0C7A">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EA0C7A">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3161B9">
            <w:pPr>
              <w:spacing w:after="0" w:line="240" w:lineRule="auto"/>
              <w:rPr>
                <w:rFonts w:ascii="Times New Roman" w:hAnsi="Times New Roman"/>
                <w:sz w:val="24"/>
                <w:szCs w:val="24"/>
              </w:rPr>
            </w:pPr>
            <w:r w:rsidRPr="007A7059">
              <w:rPr>
                <w:rFonts w:ascii="Times New Roman" w:hAnsi="Times New Roman"/>
                <w:sz w:val="24"/>
                <w:szCs w:val="24"/>
              </w:rPr>
              <w:lastRenderedPageBreak/>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w:t>
            </w:r>
          </w:p>
          <w:p w:rsidR="003161B9" w:rsidRPr="007A7059" w:rsidRDefault="003161B9" w:rsidP="003161B9">
            <w:pPr>
              <w:spacing w:after="0" w:line="240" w:lineRule="auto"/>
              <w:rPr>
                <w:rFonts w:ascii="Times New Roman" w:hAnsi="Times New Roman"/>
                <w:sz w:val="24"/>
                <w:szCs w:val="24"/>
              </w:rPr>
            </w:pPr>
            <w:r>
              <w:rPr>
                <w:rFonts w:ascii="Times New Roman" w:hAnsi="Times New Roman"/>
                <w:sz w:val="24"/>
                <w:szCs w:val="24"/>
              </w:rPr>
              <w:t>1. pielikuma 2.punkts 3.daļa</w:t>
            </w:r>
          </w:p>
        </w:tc>
        <w:tc>
          <w:tcPr>
            <w:tcW w:w="1161" w:type="pct"/>
            <w:gridSpan w:val="2"/>
          </w:tcPr>
          <w:p w:rsidR="003161B9" w:rsidRPr="003161B9" w:rsidRDefault="0010021C" w:rsidP="007A7059">
            <w:pPr>
              <w:spacing w:line="240" w:lineRule="auto"/>
              <w:rPr>
                <w:rFonts w:ascii="Times New Roman" w:hAnsi="Times New Roman"/>
                <w:sz w:val="24"/>
                <w:szCs w:val="24"/>
              </w:rPr>
            </w:pPr>
            <w:r>
              <w:rPr>
                <w:rFonts w:ascii="Times New Roman" w:hAnsi="Times New Roman"/>
                <w:sz w:val="24"/>
                <w:szCs w:val="24"/>
              </w:rPr>
              <w:t>Noteikumu projekta 1.71</w:t>
            </w:r>
            <w:r w:rsidR="003161B9" w:rsidRPr="003161B9">
              <w:rPr>
                <w:rFonts w:ascii="Times New Roman" w:hAnsi="Times New Roman"/>
                <w:sz w:val="24"/>
                <w:szCs w:val="24"/>
              </w:rPr>
              <w:t>. apakšpunkts</w:t>
            </w:r>
          </w:p>
        </w:tc>
        <w:tc>
          <w:tcPr>
            <w:tcW w:w="1075" w:type="pct"/>
          </w:tcPr>
          <w:p w:rsidR="003161B9" w:rsidRPr="00166A4C" w:rsidRDefault="003161B9" w:rsidP="00EA0C7A">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EA0C7A">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5440D4">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2.pants</w:t>
            </w:r>
          </w:p>
          <w:p w:rsidR="003161B9" w:rsidRDefault="003161B9" w:rsidP="007A7059">
            <w:pPr>
              <w:spacing w:after="0" w:line="240" w:lineRule="auto"/>
              <w:rPr>
                <w:rFonts w:ascii="Times New Roman" w:hAnsi="Times New Roman"/>
                <w:sz w:val="24"/>
                <w:szCs w:val="24"/>
              </w:rPr>
            </w:pPr>
          </w:p>
        </w:tc>
        <w:tc>
          <w:tcPr>
            <w:tcW w:w="1161" w:type="pct"/>
            <w:gridSpan w:val="2"/>
          </w:tcPr>
          <w:p w:rsidR="003161B9" w:rsidRDefault="003161B9" w:rsidP="007A7059">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2007. gada 13. februāra noteikumos Nr. 120 "Labības sēklaudzēšanas un sēklu tirdzniecības noteikumi"</w:t>
            </w:r>
            <w:r>
              <w:rPr>
                <w:rFonts w:ascii="Times New Roman" w:hAnsi="Times New Roman"/>
                <w:sz w:val="24"/>
                <w:szCs w:val="24"/>
              </w:rPr>
              <w:t>.</w:t>
            </w:r>
          </w:p>
        </w:tc>
        <w:tc>
          <w:tcPr>
            <w:tcW w:w="1075" w:type="pct"/>
          </w:tcPr>
          <w:p w:rsidR="003161B9" w:rsidRPr="00166A4C" w:rsidRDefault="003161B9" w:rsidP="0074121C">
            <w:pPr>
              <w:spacing w:line="240" w:lineRule="auto"/>
              <w:rPr>
                <w:rFonts w:ascii="Times New Roman" w:hAnsi="Times New Roman"/>
                <w:sz w:val="24"/>
                <w:szCs w:val="24"/>
              </w:rPr>
            </w:pPr>
          </w:p>
        </w:tc>
        <w:tc>
          <w:tcPr>
            <w:tcW w:w="1378" w:type="pct"/>
          </w:tcPr>
          <w:p w:rsidR="003161B9" w:rsidRPr="00166A4C" w:rsidRDefault="003161B9" w:rsidP="007A705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3.pants</w:t>
            </w:r>
          </w:p>
        </w:tc>
        <w:tc>
          <w:tcPr>
            <w:tcW w:w="1161" w:type="pct"/>
            <w:gridSpan w:val="2"/>
          </w:tcPr>
          <w:p w:rsidR="003161B9" w:rsidRPr="00AF41CB" w:rsidRDefault="003161B9" w:rsidP="00905CA9">
            <w:pPr>
              <w:pStyle w:val="Default"/>
            </w:pPr>
            <w:r w:rsidRPr="00AF41CB">
              <w:t xml:space="preserve">Komisijas </w:t>
            </w:r>
            <w:r w:rsidRPr="00AF41CB">
              <w:rPr>
                <w:bCs/>
              </w:rPr>
              <w:t xml:space="preserve">2017. gada 16. marta </w:t>
            </w:r>
            <w:r w:rsidRPr="00AF41CB">
              <w:t>Īstenošanas Lēmums</w:t>
            </w:r>
          </w:p>
          <w:p w:rsidR="003161B9" w:rsidRDefault="003161B9" w:rsidP="00905CA9">
            <w:pPr>
              <w:spacing w:line="240" w:lineRule="auto"/>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Pr>
                <w:rFonts w:ascii="Times New Roman" w:hAnsi="Times New Roman"/>
                <w:bCs/>
                <w:color w:val="000000"/>
                <w:sz w:val="24"/>
                <w:szCs w:val="24"/>
                <w:lang w:eastAsia="lv-LV"/>
              </w:rPr>
              <w:t>, atbrīvo Latviju no prasību pārņemšanas vīnogulājiem.</w:t>
            </w:r>
          </w:p>
        </w:tc>
        <w:tc>
          <w:tcPr>
            <w:tcW w:w="1075" w:type="pct"/>
          </w:tcPr>
          <w:p w:rsidR="003161B9" w:rsidRPr="00166A4C" w:rsidRDefault="003161B9" w:rsidP="00905CA9">
            <w:pPr>
              <w:spacing w:line="240" w:lineRule="auto"/>
              <w:rPr>
                <w:rFonts w:ascii="Times New Roman" w:hAnsi="Times New Roman"/>
                <w:sz w:val="24"/>
                <w:szCs w:val="24"/>
              </w:rPr>
            </w:pPr>
          </w:p>
        </w:tc>
        <w:tc>
          <w:tcPr>
            <w:tcW w:w="1378" w:type="pct"/>
          </w:tcPr>
          <w:p w:rsidR="003161B9" w:rsidRPr="00166A4C" w:rsidRDefault="003161B9" w:rsidP="00905CA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lastRenderedPageBreak/>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4.pants</w:t>
            </w:r>
          </w:p>
        </w:tc>
        <w:tc>
          <w:tcPr>
            <w:tcW w:w="1161" w:type="pct"/>
            <w:gridSpan w:val="2"/>
          </w:tcPr>
          <w:p w:rsidR="003161B9" w:rsidRDefault="003161B9" w:rsidP="00905CA9">
            <w:pPr>
              <w:spacing w:line="240" w:lineRule="auto"/>
              <w:rPr>
                <w:rFonts w:ascii="Times New Roman" w:hAnsi="Times New Roman"/>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20. janvāra noteikumos Nr. 54 "Dekoratīvo augu pavairojamā materiāla atbilstības kritēriji un aprites kārtība"</w:t>
            </w:r>
            <w:r>
              <w:rPr>
                <w:rFonts w:ascii="Times New Roman" w:hAnsi="Times New Roman"/>
                <w:sz w:val="24"/>
                <w:szCs w:val="24"/>
              </w:rPr>
              <w:t>.</w:t>
            </w:r>
          </w:p>
        </w:tc>
        <w:tc>
          <w:tcPr>
            <w:tcW w:w="1075" w:type="pct"/>
          </w:tcPr>
          <w:p w:rsidR="003161B9" w:rsidRPr="00166A4C" w:rsidRDefault="003161B9" w:rsidP="00905CA9">
            <w:pPr>
              <w:spacing w:line="240" w:lineRule="auto"/>
              <w:rPr>
                <w:rFonts w:ascii="Times New Roman" w:hAnsi="Times New Roman"/>
                <w:sz w:val="24"/>
                <w:szCs w:val="24"/>
              </w:rPr>
            </w:pPr>
          </w:p>
        </w:tc>
        <w:tc>
          <w:tcPr>
            <w:tcW w:w="1378" w:type="pct"/>
          </w:tcPr>
          <w:p w:rsidR="003161B9" w:rsidRPr="00166A4C" w:rsidRDefault="003161B9" w:rsidP="00905CA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5.pants</w:t>
            </w:r>
          </w:p>
        </w:tc>
        <w:tc>
          <w:tcPr>
            <w:tcW w:w="1161" w:type="pct"/>
            <w:gridSpan w:val="2"/>
          </w:tcPr>
          <w:p w:rsidR="003161B9" w:rsidRDefault="003161B9" w:rsidP="00905CA9">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2010.gada 9.februāra noteikumos Nr.124 "Dārzeņu pavairojamā materiāla atbilstības kritēriji un aprites kārtība"</w:t>
            </w:r>
            <w:r>
              <w:rPr>
                <w:rFonts w:ascii="Times New Roman" w:hAnsi="Times New Roman"/>
                <w:sz w:val="24"/>
                <w:szCs w:val="24"/>
              </w:rPr>
              <w:t>.</w:t>
            </w:r>
          </w:p>
        </w:tc>
        <w:tc>
          <w:tcPr>
            <w:tcW w:w="1075" w:type="pct"/>
          </w:tcPr>
          <w:p w:rsidR="003161B9" w:rsidRPr="00166A4C" w:rsidRDefault="003161B9" w:rsidP="00905CA9">
            <w:pPr>
              <w:spacing w:line="240" w:lineRule="auto"/>
              <w:rPr>
                <w:rFonts w:ascii="Times New Roman" w:hAnsi="Times New Roman"/>
                <w:sz w:val="24"/>
                <w:szCs w:val="24"/>
              </w:rPr>
            </w:pPr>
          </w:p>
        </w:tc>
        <w:tc>
          <w:tcPr>
            <w:tcW w:w="1378" w:type="pct"/>
          </w:tcPr>
          <w:p w:rsidR="003161B9" w:rsidRPr="00166A4C" w:rsidRDefault="003161B9" w:rsidP="00905CA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6.pants</w:t>
            </w:r>
          </w:p>
        </w:tc>
        <w:tc>
          <w:tcPr>
            <w:tcW w:w="1161" w:type="pct"/>
            <w:gridSpan w:val="2"/>
          </w:tcPr>
          <w:p w:rsidR="003161B9" w:rsidRDefault="003161B9" w:rsidP="00905CA9">
            <w:pPr>
              <w:spacing w:line="240" w:lineRule="auto"/>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 jūnija noteikumos Nr. 592 "Dārzeņu sēklaudzēšanas un sēklu tirdzniecības noteikumi"</w:t>
            </w:r>
            <w:r>
              <w:rPr>
                <w:rFonts w:ascii="Times New Roman" w:hAnsi="Times New Roman"/>
                <w:sz w:val="24"/>
                <w:szCs w:val="24"/>
              </w:rPr>
              <w:t>.</w:t>
            </w:r>
          </w:p>
        </w:tc>
        <w:tc>
          <w:tcPr>
            <w:tcW w:w="1075" w:type="pct"/>
          </w:tcPr>
          <w:p w:rsidR="003161B9" w:rsidRPr="00166A4C" w:rsidRDefault="003161B9" w:rsidP="00905CA9">
            <w:pPr>
              <w:spacing w:line="240" w:lineRule="auto"/>
              <w:rPr>
                <w:rFonts w:ascii="Times New Roman" w:hAnsi="Times New Roman"/>
                <w:sz w:val="24"/>
                <w:szCs w:val="24"/>
              </w:rPr>
            </w:pPr>
          </w:p>
        </w:tc>
        <w:tc>
          <w:tcPr>
            <w:tcW w:w="1378" w:type="pct"/>
          </w:tcPr>
          <w:p w:rsidR="003161B9" w:rsidRPr="00166A4C" w:rsidRDefault="003161B9" w:rsidP="00905CA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7.pants</w:t>
            </w:r>
          </w:p>
        </w:tc>
        <w:tc>
          <w:tcPr>
            <w:tcW w:w="1161" w:type="pct"/>
            <w:gridSpan w:val="2"/>
          </w:tcPr>
          <w:p w:rsidR="003161B9" w:rsidRDefault="003161B9" w:rsidP="00905CA9">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5" w:type="pct"/>
          </w:tcPr>
          <w:p w:rsidR="003161B9" w:rsidRPr="00166A4C" w:rsidRDefault="003161B9" w:rsidP="00905CA9">
            <w:pPr>
              <w:rPr>
                <w:rFonts w:ascii="Times New Roman" w:hAnsi="Times New Roman"/>
                <w:sz w:val="24"/>
                <w:szCs w:val="24"/>
              </w:rPr>
            </w:pP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lastRenderedPageBreak/>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8.pants</w:t>
            </w:r>
          </w:p>
        </w:tc>
        <w:tc>
          <w:tcPr>
            <w:tcW w:w="1161" w:type="pct"/>
            <w:gridSpan w:val="2"/>
          </w:tcPr>
          <w:p w:rsidR="003161B9" w:rsidRDefault="003161B9" w:rsidP="00905CA9">
            <w:pPr>
              <w:rPr>
                <w:rFonts w:ascii="Times New Roman" w:hAnsi="Times New Roman"/>
                <w:sz w:val="24"/>
                <w:szCs w:val="24"/>
              </w:rPr>
            </w:pPr>
            <w:r>
              <w:rPr>
                <w:rFonts w:ascii="Times New Roman" w:hAnsi="Times New Roman"/>
                <w:sz w:val="24"/>
                <w:szCs w:val="24"/>
              </w:rPr>
              <w:t>Tiks pārņemts ar grozījumiem</w:t>
            </w:r>
            <w:r w:rsidRPr="00414C46">
              <w:rPr>
                <w:rFonts w:ascii="Times New Roman" w:hAnsi="Times New Roman"/>
                <w:sz w:val="24"/>
                <w:szCs w:val="24"/>
              </w:rPr>
              <w:t xml:space="preserve"> Ministru kabineta 2010. gada 13. aprīļa noteikumos Nr. 352 "Eļļas augu un šķiedraugu sēklaudzēšanas un sēklu tirdzniecības noteikumi"</w:t>
            </w:r>
            <w:r>
              <w:rPr>
                <w:rFonts w:ascii="Times New Roman" w:hAnsi="Times New Roman"/>
                <w:sz w:val="24"/>
                <w:szCs w:val="24"/>
              </w:rPr>
              <w:t>.</w:t>
            </w:r>
          </w:p>
        </w:tc>
        <w:tc>
          <w:tcPr>
            <w:tcW w:w="1075" w:type="pct"/>
          </w:tcPr>
          <w:p w:rsidR="003161B9" w:rsidRPr="00166A4C" w:rsidRDefault="003161B9" w:rsidP="00905CA9">
            <w:pPr>
              <w:rPr>
                <w:rFonts w:ascii="Times New Roman" w:hAnsi="Times New Roman"/>
                <w:sz w:val="24"/>
                <w:szCs w:val="24"/>
              </w:rPr>
            </w:pP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9.pants</w:t>
            </w:r>
          </w:p>
        </w:tc>
        <w:tc>
          <w:tcPr>
            <w:tcW w:w="1161" w:type="pct"/>
            <w:gridSpan w:val="2"/>
          </w:tcPr>
          <w:p w:rsidR="003161B9" w:rsidRDefault="003161B9" w:rsidP="00905CA9">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5" w:type="pct"/>
          </w:tcPr>
          <w:p w:rsidR="003161B9" w:rsidRPr="00166A4C" w:rsidRDefault="003161B9" w:rsidP="00905CA9">
            <w:pPr>
              <w:rPr>
                <w:rFonts w:ascii="Times New Roman" w:hAnsi="Times New Roman"/>
                <w:sz w:val="24"/>
                <w:szCs w:val="24"/>
              </w:rPr>
            </w:pP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10.pants </w:t>
            </w:r>
          </w:p>
        </w:tc>
        <w:tc>
          <w:tcPr>
            <w:tcW w:w="1161" w:type="pct"/>
            <w:gridSpan w:val="2"/>
          </w:tcPr>
          <w:p w:rsidR="003161B9" w:rsidRPr="0009313E" w:rsidRDefault="003161B9" w:rsidP="00905CA9">
            <w:pPr>
              <w:rPr>
                <w:rFonts w:ascii="Times New Roman" w:hAnsi="Times New Roman"/>
                <w:b/>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09313E">
              <w:rPr>
                <w:rFonts w:ascii="Times New Roman" w:hAnsi="Times New Roman"/>
                <w:sz w:val="24"/>
                <w:szCs w:val="24"/>
              </w:rPr>
              <w:t>Ministru kabineta 2017. gada 7. februāra noteikumi Nr. 76 "Augļu koku un ogulāju pavairošanas materiāla atbilstības kritēriju un aprites noteikumi"</w:t>
            </w:r>
            <w:r>
              <w:rPr>
                <w:rFonts w:ascii="Times New Roman" w:hAnsi="Times New Roman"/>
                <w:sz w:val="24"/>
                <w:szCs w:val="24"/>
              </w:rPr>
              <w:t>.</w:t>
            </w:r>
          </w:p>
        </w:tc>
        <w:tc>
          <w:tcPr>
            <w:tcW w:w="1075" w:type="pct"/>
          </w:tcPr>
          <w:p w:rsidR="003161B9" w:rsidRPr="00166A4C" w:rsidRDefault="003161B9" w:rsidP="00905CA9">
            <w:pPr>
              <w:rPr>
                <w:rFonts w:ascii="Times New Roman" w:hAnsi="Times New Roman"/>
                <w:sz w:val="24"/>
                <w:szCs w:val="24"/>
              </w:rPr>
            </w:pP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11.pants 1.punkts</w:t>
            </w:r>
          </w:p>
        </w:tc>
        <w:tc>
          <w:tcPr>
            <w:tcW w:w="1161" w:type="pct"/>
            <w:gridSpan w:val="2"/>
          </w:tcPr>
          <w:p w:rsidR="003161B9" w:rsidRDefault="003161B9" w:rsidP="00905CA9">
            <w:pPr>
              <w:rPr>
                <w:rFonts w:ascii="Times New Roman" w:hAnsi="Times New Roman"/>
                <w:sz w:val="24"/>
                <w:szCs w:val="24"/>
              </w:rPr>
            </w:pPr>
          </w:p>
        </w:tc>
        <w:tc>
          <w:tcPr>
            <w:tcW w:w="1075" w:type="pct"/>
          </w:tcPr>
          <w:p w:rsidR="003161B9" w:rsidRPr="00166A4C" w:rsidRDefault="003161B9" w:rsidP="00905CA9">
            <w:pPr>
              <w:rPr>
                <w:rFonts w:ascii="Times New Roman" w:hAnsi="Times New Roman"/>
                <w:sz w:val="24"/>
                <w:szCs w:val="24"/>
              </w:rPr>
            </w:pPr>
            <w:r>
              <w:rPr>
                <w:rFonts w:ascii="Times New Roman" w:hAnsi="Times New Roman"/>
                <w:sz w:val="24"/>
                <w:szCs w:val="24"/>
              </w:rPr>
              <w:t>Nav jāpārņem, jo ir noteikta direktīvas spēkā stāšanās kārtība.</w:t>
            </w: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11.pants 2.punkts</w:t>
            </w:r>
          </w:p>
        </w:tc>
        <w:tc>
          <w:tcPr>
            <w:tcW w:w="1161" w:type="pct"/>
            <w:gridSpan w:val="2"/>
          </w:tcPr>
          <w:p w:rsidR="003161B9" w:rsidRDefault="003161B9" w:rsidP="00905CA9">
            <w:pPr>
              <w:rPr>
                <w:rFonts w:ascii="Times New Roman" w:hAnsi="Times New Roman"/>
                <w:sz w:val="24"/>
                <w:szCs w:val="24"/>
              </w:rPr>
            </w:pPr>
          </w:p>
        </w:tc>
        <w:tc>
          <w:tcPr>
            <w:tcW w:w="1075" w:type="pct"/>
          </w:tcPr>
          <w:p w:rsidR="003161B9" w:rsidRPr="00166A4C" w:rsidRDefault="003161B9" w:rsidP="00905CA9">
            <w:pPr>
              <w:rPr>
                <w:rFonts w:ascii="Times New Roman" w:hAnsi="Times New Roman"/>
                <w:sz w:val="24"/>
                <w:szCs w:val="24"/>
              </w:rPr>
            </w:pPr>
            <w:r>
              <w:rPr>
                <w:rFonts w:ascii="Times New Roman" w:hAnsi="Times New Roman"/>
                <w:sz w:val="24"/>
                <w:szCs w:val="24"/>
              </w:rPr>
              <w:t>Netiek pārņemts, jo tas adresēts Eiropas Savienības institūcijām.</w:t>
            </w: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lastRenderedPageBreak/>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12.pants</w:t>
            </w:r>
          </w:p>
        </w:tc>
        <w:tc>
          <w:tcPr>
            <w:tcW w:w="1161" w:type="pct"/>
            <w:gridSpan w:val="2"/>
          </w:tcPr>
          <w:p w:rsidR="003161B9" w:rsidRDefault="003161B9" w:rsidP="00905CA9">
            <w:pPr>
              <w:rPr>
                <w:rFonts w:ascii="Times New Roman" w:hAnsi="Times New Roman"/>
                <w:sz w:val="24"/>
                <w:szCs w:val="24"/>
              </w:rPr>
            </w:pPr>
          </w:p>
        </w:tc>
        <w:tc>
          <w:tcPr>
            <w:tcW w:w="1075" w:type="pct"/>
          </w:tcPr>
          <w:p w:rsidR="003161B9" w:rsidRPr="00166A4C" w:rsidRDefault="003161B9" w:rsidP="00905CA9">
            <w:pPr>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13.pants</w:t>
            </w:r>
          </w:p>
        </w:tc>
        <w:tc>
          <w:tcPr>
            <w:tcW w:w="1161" w:type="pct"/>
            <w:gridSpan w:val="2"/>
          </w:tcPr>
          <w:p w:rsidR="003161B9" w:rsidRDefault="003161B9" w:rsidP="00905CA9">
            <w:pPr>
              <w:rPr>
                <w:rFonts w:ascii="Times New Roman" w:hAnsi="Times New Roman"/>
                <w:sz w:val="24"/>
                <w:szCs w:val="24"/>
              </w:rPr>
            </w:pPr>
          </w:p>
        </w:tc>
        <w:tc>
          <w:tcPr>
            <w:tcW w:w="1075" w:type="pct"/>
          </w:tcPr>
          <w:p w:rsidR="003161B9" w:rsidRPr="00166A4C" w:rsidRDefault="003161B9" w:rsidP="00905CA9">
            <w:pPr>
              <w:rPr>
                <w:rFonts w:ascii="Times New Roman" w:hAnsi="Times New Roman"/>
                <w:sz w:val="24"/>
                <w:szCs w:val="24"/>
              </w:rPr>
            </w:pPr>
            <w:r>
              <w:rPr>
                <w:rFonts w:ascii="Times New Roman" w:hAnsi="Times New Roman"/>
                <w:sz w:val="24"/>
                <w:szCs w:val="24"/>
              </w:rPr>
              <w:t>Nav jāpārņem, jo norādīti adresāti.</w:t>
            </w:r>
          </w:p>
        </w:tc>
        <w:tc>
          <w:tcPr>
            <w:tcW w:w="1378" w:type="pct"/>
          </w:tcPr>
          <w:p w:rsidR="003161B9" w:rsidRPr="00166A4C" w:rsidRDefault="003161B9" w:rsidP="00905CA9">
            <w:pPr>
              <w:rPr>
                <w:rFonts w:ascii="Times New Roman" w:hAnsi="Times New Roman"/>
                <w:sz w:val="24"/>
                <w:szCs w:val="24"/>
              </w:rPr>
            </w:pPr>
          </w:p>
        </w:tc>
      </w:tr>
      <w:tr w:rsidR="003161B9"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3161B9" w:rsidRPr="00166A4C" w:rsidRDefault="003161B9" w:rsidP="00905CA9">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614" w:type="pct"/>
            <w:gridSpan w:val="4"/>
            <w:hideMark/>
          </w:tcPr>
          <w:p w:rsidR="003161B9" w:rsidRPr="00166A4C" w:rsidRDefault="003161B9" w:rsidP="00905CA9">
            <w:pPr>
              <w:rPr>
                <w:rFonts w:ascii="Times New Roman" w:hAnsi="Times New Roman"/>
                <w:sz w:val="24"/>
                <w:szCs w:val="24"/>
              </w:rPr>
            </w:pPr>
            <w:r w:rsidRPr="004408A6">
              <w:rPr>
                <w:rFonts w:ascii="Times New Roman" w:hAnsi="Times New Roman"/>
                <w:sz w:val="24"/>
                <w:szCs w:val="24"/>
              </w:rPr>
              <w:t>Projekts šo jomu neskar.</w:t>
            </w:r>
          </w:p>
        </w:tc>
      </w:tr>
      <w:tr w:rsidR="003161B9"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3161B9" w:rsidRPr="00166A4C" w:rsidRDefault="003161B9" w:rsidP="00905CA9">
            <w:pPr>
              <w:rPr>
                <w:rFonts w:ascii="Times New Roman" w:hAnsi="Times New Roman"/>
                <w:sz w:val="24"/>
                <w:szCs w:val="24"/>
              </w:rPr>
            </w:pPr>
            <w:r w:rsidRPr="00166A4C">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4" w:type="pct"/>
            <w:gridSpan w:val="4"/>
            <w:hideMark/>
          </w:tcPr>
          <w:p w:rsidR="003161B9" w:rsidRPr="00166A4C" w:rsidRDefault="003161B9" w:rsidP="00905CA9">
            <w:pPr>
              <w:rPr>
                <w:rFonts w:ascii="Times New Roman" w:hAnsi="Times New Roman"/>
                <w:sz w:val="24"/>
                <w:szCs w:val="24"/>
              </w:rPr>
            </w:pPr>
            <w:r w:rsidRPr="00166A4C">
              <w:rPr>
                <w:rFonts w:ascii="Times New Roman" w:hAnsi="Times New Roman"/>
                <w:sz w:val="24"/>
                <w:szCs w:val="24"/>
              </w:rPr>
              <w:t xml:space="preserve">Noteikumu projekts nesatur nacionālās tehniskās prasības un nav paziņojams Eiropas Komisijai kā tehnisko noteikumu projekts atbilstoši Ministru kabineta 2010. gada 23. februāra Ministru kabineta instrukcijai Nr.1 </w:t>
            </w:r>
            <w:r>
              <w:rPr>
                <w:rFonts w:ascii="Times New Roman" w:hAnsi="Times New Roman"/>
                <w:sz w:val="24"/>
                <w:szCs w:val="24"/>
              </w:rPr>
              <w:t>“</w:t>
            </w:r>
            <w:r w:rsidRPr="00166A4C">
              <w:rPr>
                <w:rFonts w:ascii="Times New Roman" w:hAnsi="Times New Roman"/>
                <w:sz w:val="24"/>
                <w:szCs w:val="24"/>
              </w:rPr>
              <w:t>Kārtība, kādā valsts pārvaldes iestādes sniedz informāciju par tehnisko noteikumu projektu”.</w:t>
            </w:r>
          </w:p>
        </w:tc>
      </w:tr>
      <w:tr w:rsidR="003161B9"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3161B9" w:rsidRPr="00166A4C" w:rsidRDefault="003161B9" w:rsidP="00905CA9">
            <w:pPr>
              <w:rPr>
                <w:rFonts w:ascii="Times New Roman" w:hAnsi="Times New Roman"/>
                <w:sz w:val="24"/>
                <w:szCs w:val="24"/>
              </w:rPr>
            </w:pPr>
            <w:r w:rsidRPr="00166A4C">
              <w:rPr>
                <w:rFonts w:ascii="Times New Roman" w:hAnsi="Times New Roman"/>
                <w:sz w:val="24"/>
                <w:szCs w:val="24"/>
              </w:rPr>
              <w:t>Cita informācija</w:t>
            </w:r>
          </w:p>
        </w:tc>
        <w:tc>
          <w:tcPr>
            <w:tcW w:w="3614" w:type="pct"/>
            <w:gridSpan w:val="4"/>
            <w:hideMark/>
          </w:tcPr>
          <w:p w:rsidR="003161B9" w:rsidRPr="00166A4C" w:rsidRDefault="003161B9" w:rsidP="00905CA9">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3161B9" w:rsidRPr="00FA6445"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rsidR="003161B9" w:rsidRPr="004408A6" w:rsidRDefault="003161B9" w:rsidP="00905CA9">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8561A4" w:rsidRPr="00FA6445" w:rsidTr="00100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53"/>
        </w:trPr>
        <w:tc>
          <w:tcPr>
            <w:tcW w:w="5000" w:type="pct"/>
            <w:gridSpan w:val="6"/>
            <w:vAlign w:val="center"/>
            <w:hideMark/>
          </w:tcPr>
          <w:p w:rsidR="008561A4" w:rsidRPr="004408A6" w:rsidRDefault="008561A4" w:rsidP="00905CA9">
            <w:pPr>
              <w:jc w:val="center"/>
              <w:rPr>
                <w:rFonts w:ascii="Times New Roman" w:hAnsi="Times New Roman"/>
                <w:sz w:val="24"/>
                <w:szCs w:val="24"/>
              </w:rPr>
            </w:pPr>
            <w:r w:rsidRPr="004408A6">
              <w:rPr>
                <w:rFonts w:ascii="Times New Roman" w:hAnsi="Times New Roman"/>
                <w:sz w:val="24"/>
                <w:szCs w:val="24"/>
              </w:rPr>
              <w:t>Projekts šo jomu neskar.</w:t>
            </w:r>
          </w:p>
        </w:tc>
      </w:tr>
      <w:tr w:rsidR="003161B9" w:rsidRPr="00FA6445"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rsidR="003161B9" w:rsidRDefault="003161B9" w:rsidP="00905CA9">
            <w:pPr>
              <w:rPr>
                <w:rFonts w:ascii="Times New Roman" w:hAnsi="Times New Roman"/>
                <w:sz w:val="24"/>
                <w:szCs w:val="24"/>
              </w:rPr>
            </w:pPr>
          </w:p>
        </w:tc>
      </w:tr>
      <w:tr w:rsidR="003161B9" w:rsidRPr="000D51A1" w:rsidTr="00166A4C">
        <w:trPr>
          <w:trHeight w:val="420"/>
        </w:trPr>
        <w:tc>
          <w:tcPr>
            <w:tcW w:w="5000" w:type="pct"/>
            <w:gridSpan w:val="6"/>
            <w:tcBorders>
              <w:top w:val="outset" w:sz="6" w:space="0" w:color="414142"/>
              <w:bottom w:val="outset" w:sz="6" w:space="0" w:color="414142"/>
            </w:tcBorders>
            <w:vAlign w:val="center"/>
          </w:tcPr>
          <w:p w:rsidR="003161B9" w:rsidRDefault="003161B9"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rsidR="003161B9" w:rsidRPr="006A3891" w:rsidRDefault="003161B9"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3161B9" w:rsidRPr="000D51A1" w:rsidTr="00547DD0">
        <w:trPr>
          <w:trHeight w:val="540"/>
        </w:trPr>
        <w:tc>
          <w:tcPr>
            <w:tcW w:w="265" w:type="pct"/>
            <w:tcBorders>
              <w:top w:val="outset" w:sz="6" w:space="0" w:color="414142"/>
              <w:bottom w:val="outset" w:sz="6" w:space="0" w:color="414142"/>
              <w:right w:val="outset" w:sz="6" w:space="0" w:color="414142"/>
            </w:tcBorders>
          </w:tcPr>
          <w:p w:rsidR="003161B9" w:rsidRPr="006A3891" w:rsidRDefault="003161B9"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3161B9" w:rsidRPr="00EA4635" w:rsidRDefault="003161B9" w:rsidP="00905CA9">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0" w:type="pct"/>
            <w:gridSpan w:val="3"/>
            <w:tcBorders>
              <w:top w:val="outset" w:sz="6" w:space="0" w:color="414142"/>
              <w:left w:val="outset" w:sz="6" w:space="0" w:color="414142"/>
              <w:bottom w:val="outset" w:sz="6" w:space="0" w:color="414142"/>
            </w:tcBorders>
          </w:tcPr>
          <w:p w:rsidR="003161B9" w:rsidRPr="00EA4635" w:rsidRDefault="003161B9" w:rsidP="00905CA9">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 xml:space="preserve">dota iespēja rakstiski sniegt viedokli par </w:t>
            </w:r>
            <w:r w:rsidRPr="00C27618">
              <w:rPr>
                <w:rFonts w:ascii="Times New Roman" w:hAnsi="Times New Roman"/>
                <w:sz w:val="24"/>
                <w:szCs w:val="24"/>
                <w:lang w:eastAsia="lv-LV"/>
              </w:rPr>
              <w:lastRenderedPageBreak/>
              <w:t>noteikumu projektu tā izstrādes stadijā.</w:t>
            </w:r>
          </w:p>
        </w:tc>
      </w:tr>
      <w:tr w:rsidR="003161B9" w:rsidRPr="0051010D" w:rsidTr="00547DD0">
        <w:trPr>
          <w:trHeight w:val="330"/>
        </w:trPr>
        <w:tc>
          <w:tcPr>
            <w:tcW w:w="265" w:type="pct"/>
            <w:tcBorders>
              <w:top w:val="outset" w:sz="6" w:space="0" w:color="414142"/>
              <w:bottom w:val="outset" w:sz="6" w:space="0" w:color="414142"/>
              <w:right w:val="outset" w:sz="6" w:space="0" w:color="414142"/>
            </w:tcBorders>
          </w:tcPr>
          <w:p w:rsidR="003161B9" w:rsidRPr="006A3891" w:rsidRDefault="003161B9"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2.</w:t>
            </w:r>
          </w:p>
        </w:tc>
        <w:tc>
          <w:tcPr>
            <w:tcW w:w="1655" w:type="pct"/>
            <w:gridSpan w:val="2"/>
            <w:tcBorders>
              <w:top w:val="outset" w:sz="6" w:space="0" w:color="414142"/>
              <w:left w:val="outset" w:sz="6" w:space="0" w:color="414142"/>
              <w:bottom w:val="outset" w:sz="6" w:space="0" w:color="414142"/>
              <w:right w:val="outset" w:sz="6" w:space="0" w:color="414142"/>
            </w:tcBorders>
          </w:tcPr>
          <w:p w:rsidR="003161B9" w:rsidRPr="006A3891" w:rsidRDefault="003161B9"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0" w:type="pct"/>
            <w:gridSpan w:val="3"/>
            <w:tcBorders>
              <w:top w:val="outset" w:sz="6" w:space="0" w:color="414142"/>
              <w:left w:val="outset" w:sz="6" w:space="0" w:color="414142"/>
              <w:bottom w:val="outset" w:sz="6" w:space="0" w:color="414142"/>
            </w:tcBorders>
          </w:tcPr>
          <w:p w:rsidR="003161B9" w:rsidRPr="008E42A3" w:rsidRDefault="003161B9" w:rsidP="00905CA9">
            <w:pPr>
              <w:pStyle w:val="Bezatstarpm"/>
              <w:jc w:val="both"/>
              <w:rPr>
                <w:rFonts w:ascii="Times New Roman" w:hAnsi="Times New Roman"/>
                <w:color w:val="FF0000"/>
                <w:sz w:val="24"/>
                <w:szCs w:val="24"/>
              </w:rPr>
            </w:pPr>
            <w:r w:rsidRPr="00C706B7">
              <w:rPr>
                <w:rFonts w:ascii="Times New Roman" w:hAnsi="Times New Roman"/>
                <w:sz w:val="24"/>
                <w:szCs w:val="24"/>
              </w:rPr>
              <w:t xml:space="preserve">Informācija par noteikumu projektu ievietota Zemkopības ministrijas tīmekļvietnes </w:t>
            </w:r>
            <w:proofErr w:type="spellStart"/>
            <w:r w:rsidRPr="00C706B7">
              <w:rPr>
                <w:rFonts w:ascii="Times New Roman" w:hAnsi="Times New Roman"/>
                <w:sz w:val="24"/>
                <w:szCs w:val="24"/>
              </w:rPr>
              <w:t>www.zm.gov.lv</w:t>
            </w:r>
            <w:proofErr w:type="spellEnd"/>
            <w:r w:rsidRPr="00C706B7">
              <w:rPr>
                <w:rFonts w:ascii="Times New Roman" w:hAnsi="Times New Roman"/>
                <w:sz w:val="24"/>
                <w:szCs w:val="24"/>
              </w:rPr>
              <w:t xml:space="preserve"> sadaļā „Sabiedr</w:t>
            </w:r>
            <w:r w:rsidR="00672FAF">
              <w:rPr>
                <w:rFonts w:ascii="Times New Roman" w:hAnsi="Times New Roman"/>
                <w:sz w:val="24"/>
                <w:szCs w:val="24"/>
              </w:rPr>
              <w:t>ības līdzdalība</w:t>
            </w:r>
            <w:r w:rsidRPr="00C706B7">
              <w:rPr>
                <w:rFonts w:ascii="Times New Roman" w:hAnsi="Times New Roman"/>
                <w:sz w:val="24"/>
                <w:szCs w:val="24"/>
              </w:rPr>
              <w:t xml:space="preserve">” </w:t>
            </w:r>
            <w:r w:rsidRPr="008E42A3">
              <w:rPr>
                <w:rFonts w:ascii="Times New Roman" w:hAnsi="Times New Roman"/>
                <w:sz w:val="24"/>
                <w:szCs w:val="24"/>
              </w:rPr>
              <w:t>(</w:t>
            </w:r>
            <w:hyperlink r:id="rId8" w:history="1">
              <w:r w:rsidRPr="008E42A3">
                <w:rPr>
                  <w:rStyle w:val="Hipersaite"/>
                  <w:rFonts w:ascii="Times New Roman" w:hAnsi="Times New Roman"/>
                  <w:color w:val="auto"/>
                  <w:u w:val="none"/>
                </w:rPr>
                <w:t>https://zm.gov.lv/zemkopibas-ministrija/apspriesanas/ministru-kabineta-noteikumu-projekts-grozijumi-ministru-kabineta-2009-?id=894</w:t>
              </w:r>
            </w:hyperlink>
            <w:r w:rsidRPr="008E42A3">
              <w:rPr>
                <w:rFonts w:ascii="Times New Roman" w:hAnsi="Times New Roman"/>
                <w:sz w:val="24"/>
                <w:szCs w:val="24"/>
              </w:rPr>
              <w:t>) no 05.03.2020. līdz 19.03.2020. u</w:t>
            </w:r>
            <w:r w:rsidR="008E42A3">
              <w:rPr>
                <w:rFonts w:ascii="Times New Roman" w:hAnsi="Times New Roman"/>
                <w:sz w:val="24"/>
                <w:szCs w:val="24"/>
              </w:rPr>
              <w:t>n Ministru kabineta tīmekļvietnes</w:t>
            </w:r>
            <w:r w:rsidRPr="008E42A3">
              <w:rPr>
                <w:rFonts w:ascii="Times New Roman" w:hAnsi="Times New Roman"/>
                <w:sz w:val="24"/>
                <w:szCs w:val="24"/>
              </w:rPr>
              <w:t xml:space="preserve"> (</w:t>
            </w:r>
            <w:hyperlink r:id="rId9" w:history="1">
              <w:r w:rsidRPr="008E42A3">
                <w:rPr>
                  <w:rStyle w:val="Hipersaite"/>
                  <w:rFonts w:ascii="Times New Roman" w:hAnsi="Times New Roman"/>
                  <w:color w:val="auto"/>
                  <w:u w:val="none"/>
                </w:rPr>
                <w:t>https://www.mk.gov.lv/content/ministru-kabineta-diskusiju-dokumenti</w:t>
              </w:r>
            </w:hyperlink>
            <w:r w:rsidRPr="008E42A3">
              <w:rPr>
                <w:rFonts w:ascii="Times New Roman" w:hAnsi="Times New Roman"/>
              </w:rPr>
              <w:t>)</w:t>
            </w:r>
            <w:r w:rsidRPr="008E42A3">
              <w:rPr>
                <w:rFonts w:ascii="Times New Roman" w:hAnsi="Times New Roman"/>
                <w:sz w:val="24"/>
                <w:szCs w:val="24"/>
              </w:rPr>
              <w:t xml:space="preserve"> sadaļā “Valsts kanceleja” – “Sabiedrības līdzdalība”</w:t>
            </w:r>
            <w:r w:rsidR="008E42A3">
              <w:rPr>
                <w:rFonts w:ascii="Times New Roman" w:hAnsi="Times New Roman"/>
                <w:sz w:val="24"/>
                <w:szCs w:val="24"/>
              </w:rPr>
              <w:t xml:space="preserve"> no</w:t>
            </w:r>
            <w:r w:rsidRPr="008E42A3">
              <w:rPr>
                <w:rFonts w:ascii="Times New Roman" w:hAnsi="Times New Roman"/>
                <w:sz w:val="24"/>
                <w:szCs w:val="24"/>
              </w:rPr>
              <w:t xml:space="preserve"> 05.03.2020. līdz 19.03.2020. </w:t>
            </w:r>
          </w:p>
          <w:p w:rsidR="003161B9" w:rsidRPr="0051010D" w:rsidRDefault="003161B9" w:rsidP="00905CA9">
            <w:pPr>
              <w:pStyle w:val="Bezatstarpm"/>
              <w:spacing w:line="300" w:lineRule="atLeast"/>
              <w:jc w:val="both"/>
              <w:rPr>
                <w:rFonts w:ascii="Times New Roman" w:hAnsi="Times New Roman"/>
                <w:sz w:val="24"/>
                <w:szCs w:val="24"/>
                <w:lang w:eastAsia="lv-LV"/>
              </w:rPr>
            </w:pPr>
            <w:r w:rsidRPr="008E42A3">
              <w:rPr>
                <w:rFonts w:ascii="Times New Roman" w:hAnsi="Times New Roman"/>
                <w:sz w:val="24"/>
                <w:szCs w:val="24"/>
              </w:rPr>
              <w:t>Noteikumu projekts elektroniski nosūtīts</w:t>
            </w:r>
            <w:r w:rsidRPr="00C706B7">
              <w:rPr>
                <w:rFonts w:ascii="Times New Roman" w:hAnsi="Times New Roman"/>
                <w:sz w:val="24"/>
                <w:szCs w:val="24"/>
              </w:rPr>
              <w:t xml:space="preserve"> saskaņošanai Lauksaimnieku organizāciju sa</w:t>
            </w:r>
            <w:r w:rsidR="0010021C">
              <w:rPr>
                <w:rFonts w:ascii="Times New Roman" w:hAnsi="Times New Roman"/>
                <w:sz w:val="24"/>
                <w:szCs w:val="24"/>
              </w:rPr>
              <w:t>darbības padomei, Latvijas sēklaudzētāju</w:t>
            </w:r>
            <w:r w:rsidRPr="00C706B7">
              <w:rPr>
                <w:rFonts w:ascii="Times New Roman" w:hAnsi="Times New Roman"/>
                <w:sz w:val="24"/>
                <w:szCs w:val="24"/>
              </w:rPr>
              <w:t xml:space="preserve"> asociācijai un Zemnieku saeimai.</w:t>
            </w:r>
          </w:p>
        </w:tc>
      </w:tr>
      <w:tr w:rsidR="003161B9" w:rsidRPr="000D51A1" w:rsidTr="00547DD0">
        <w:trPr>
          <w:trHeight w:val="465"/>
        </w:trPr>
        <w:tc>
          <w:tcPr>
            <w:tcW w:w="265" w:type="pct"/>
            <w:tcBorders>
              <w:top w:val="outset" w:sz="6" w:space="0" w:color="414142"/>
              <w:bottom w:val="outset" w:sz="6" w:space="0" w:color="414142"/>
              <w:right w:val="outset" w:sz="6" w:space="0" w:color="414142"/>
            </w:tcBorders>
          </w:tcPr>
          <w:p w:rsidR="003161B9" w:rsidRPr="006A3891" w:rsidRDefault="003161B9"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3161B9" w:rsidRPr="006A3891" w:rsidRDefault="003161B9"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0" w:type="pct"/>
            <w:gridSpan w:val="3"/>
            <w:tcBorders>
              <w:top w:val="outset" w:sz="6" w:space="0" w:color="414142"/>
              <w:left w:val="outset" w:sz="6" w:space="0" w:color="414142"/>
              <w:bottom w:val="outset" w:sz="6" w:space="0" w:color="414142"/>
            </w:tcBorders>
          </w:tcPr>
          <w:p w:rsidR="003161B9" w:rsidRPr="00C338C9" w:rsidRDefault="009A43D8" w:rsidP="0010021C">
            <w:pPr>
              <w:pStyle w:val="Bezatstarpm"/>
              <w:spacing w:line="300" w:lineRule="atLeast"/>
              <w:jc w:val="both"/>
              <w:rPr>
                <w:rFonts w:ascii="Times New Roman" w:hAnsi="Times New Roman"/>
                <w:sz w:val="24"/>
                <w:szCs w:val="24"/>
              </w:rPr>
            </w:pPr>
            <w:r>
              <w:rPr>
                <w:rFonts w:ascii="Times New Roman" w:hAnsi="Times New Roman"/>
                <w:sz w:val="24"/>
                <w:szCs w:val="24"/>
                <w:lang w:eastAsia="lv-LV"/>
              </w:rPr>
              <w:t>Nav saņemti iebildumi p</w:t>
            </w:r>
            <w:r w:rsidR="00672FAF">
              <w:rPr>
                <w:rFonts w:ascii="Times New Roman" w:hAnsi="Times New Roman"/>
                <w:sz w:val="24"/>
                <w:szCs w:val="24"/>
                <w:lang w:eastAsia="lv-LV"/>
              </w:rPr>
              <w:t>ar</w:t>
            </w:r>
            <w:r>
              <w:rPr>
                <w:rFonts w:ascii="Times New Roman" w:hAnsi="Times New Roman"/>
                <w:sz w:val="24"/>
                <w:szCs w:val="24"/>
                <w:lang w:eastAsia="lv-LV"/>
              </w:rPr>
              <w:t xml:space="preserve"> noteikumu projektu.</w:t>
            </w:r>
            <w:r w:rsidR="0010021C" w:rsidRPr="00C706B7">
              <w:rPr>
                <w:rFonts w:ascii="Times New Roman" w:hAnsi="Times New Roman"/>
                <w:sz w:val="24"/>
                <w:szCs w:val="24"/>
              </w:rPr>
              <w:t xml:space="preserve"> </w:t>
            </w:r>
            <w:r w:rsidR="0010021C">
              <w:rPr>
                <w:rFonts w:ascii="Times New Roman" w:hAnsi="Times New Roman"/>
                <w:sz w:val="24"/>
                <w:szCs w:val="24"/>
              </w:rPr>
              <w:t xml:space="preserve">Latvijas sēklaudzētāju asociācijas ierosinājums izskatīts, bet nav ņemts vērā, jo nav iespējams noteikumu projektā mainīt termiņu, kas noteikts </w:t>
            </w:r>
            <w:r w:rsidR="0010021C" w:rsidRPr="0010021C">
              <w:rPr>
                <w:rFonts w:ascii="Times New Roman" w:hAnsi="Times New Roman"/>
                <w:sz w:val="24"/>
                <w:szCs w:val="24"/>
              </w:rPr>
              <w:t>Sēklu un šķirņu aprites likumā</w:t>
            </w:r>
            <w:r w:rsidR="0010021C">
              <w:rPr>
                <w:rFonts w:ascii="Times New Roman" w:hAnsi="Times New Roman"/>
                <w:sz w:val="24"/>
                <w:szCs w:val="24"/>
                <w:lang w:eastAsia="lv-LV"/>
              </w:rPr>
              <w:t>.</w:t>
            </w:r>
          </w:p>
        </w:tc>
      </w:tr>
      <w:tr w:rsidR="003161B9" w:rsidRPr="000D51A1" w:rsidTr="00547DD0">
        <w:trPr>
          <w:trHeight w:val="152"/>
        </w:trPr>
        <w:tc>
          <w:tcPr>
            <w:tcW w:w="265" w:type="pct"/>
            <w:tcBorders>
              <w:top w:val="outset" w:sz="6" w:space="0" w:color="414142"/>
              <w:bottom w:val="outset" w:sz="6" w:space="0" w:color="414142"/>
              <w:right w:val="outset" w:sz="6" w:space="0" w:color="414142"/>
            </w:tcBorders>
          </w:tcPr>
          <w:p w:rsidR="003161B9" w:rsidRPr="006A3891" w:rsidRDefault="003161B9"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55" w:type="pct"/>
            <w:gridSpan w:val="2"/>
            <w:tcBorders>
              <w:top w:val="outset" w:sz="6" w:space="0" w:color="414142"/>
              <w:left w:val="outset" w:sz="6" w:space="0" w:color="414142"/>
              <w:bottom w:val="outset" w:sz="6" w:space="0" w:color="414142"/>
              <w:right w:val="outset" w:sz="6" w:space="0" w:color="414142"/>
            </w:tcBorders>
          </w:tcPr>
          <w:p w:rsidR="003161B9" w:rsidRPr="006A3891" w:rsidRDefault="003161B9"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3161B9" w:rsidRPr="006A3891" w:rsidRDefault="003161B9"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3161B9" w:rsidRPr="000D51A1" w:rsidTr="00166A4C">
        <w:trPr>
          <w:trHeight w:val="375"/>
        </w:trPr>
        <w:tc>
          <w:tcPr>
            <w:tcW w:w="5000" w:type="pct"/>
            <w:gridSpan w:val="6"/>
            <w:tcBorders>
              <w:top w:val="outset" w:sz="6" w:space="0" w:color="414142"/>
              <w:bottom w:val="outset" w:sz="6" w:space="0" w:color="414142"/>
            </w:tcBorders>
            <w:vAlign w:val="center"/>
          </w:tcPr>
          <w:p w:rsidR="003161B9" w:rsidRDefault="003161B9"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rsidR="003161B9" w:rsidRPr="006A3891" w:rsidRDefault="003161B9"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3161B9" w:rsidRPr="000D51A1" w:rsidTr="00547DD0">
        <w:trPr>
          <w:trHeight w:val="420"/>
        </w:trPr>
        <w:tc>
          <w:tcPr>
            <w:tcW w:w="265" w:type="pct"/>
            <w:tcBorders>
              <w:top w:val="outset" w:sz="6" w:space="0" w:color="414142"/>
              <w:bottom w:val="outset" w:sz="6" w:space="0" w:color="414142"/>
              <w:right w:val="outset" w:sz="6" w:space="0" w:color="414142"/>
            </w:tcBorders>
            <w:vAlign w:val="center"/>
          </w:tcPr>
          <w:p w:rsidR="003161B9" w:rsidRPr="006A3891" w:rsidRDefault="003161B9"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3161B9" w:rsidRPr="006A3891" w:rsidRDefault="003161B9"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0" w:type="pct"/>
            <w:gridSpan w:val="3"/>
            <w:tcBorders>
              <w:top w:val="outset" w:sz="6" w:space="0" w:color="414142"/>
              <w:left w:val="outset" w:sz="6" w:space="0" w:color="414142"/>
              <w:bottom w:val="outset" w:sz="6" w:space="0" w:color="414142"/>
            </w:tcBorders>
          </w:tcPr>
          <w:p w:rsidR="003161B9" w:rsidRPr="006A3891" w:rsidRDefault="003161B9" w:rsidP="00905CA9">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Valsts augu aizsardzības dienests</w:t>
            </w:r>
          </w:p>
        </w:tc>
      </w:tr>
      <w:tr w:rsidR="003161B9" w:rsidRPr="000D51A1" w:rsidTr="00547DD0">
        <w:trPr>
          <w:trHeight w:val="450"/>
        </w:trPr>
        <w:tc>
          <w:tcPr>
            <w:tcW w:w="265" w:type="pct"/>
            <w:tcBorders>
              <w:top w:val="outset" w:sz="6" w:space="0" w:color="414142"/>
              <w:bottom w:val="outset" w:sz="6" w:space="0" w:color="414142"/>
              <w:right w:val="outset" w:sz="6" w:space="0" w:color="414142"/>
            </w:tcBorders>
            <w:vAlign w:val="center"/>
          </w:tcPr>
          <w:p w:rsidR="003161B9" w:rsidRPr="006A3891" w:rsidRDefault="003161B9"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3161B9" w:rsidRPr="006A3891" w:rsidRDefault="003161B9"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3161B9" w:rsidRPr="000D51A1" w:rsidRDefault="003161B9" w:rsidP="00905CA9">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0" w:type="pct"/>
            <w:gridSpan w:val="3"/>
            <w:tcBorders>
              <w:top w:val="outset" w:sz="6" w:space="0" w:color="414142"/>
              <w:left w:val="outset" w:sz="6" w:space="0" w:color="414142"/>
              <w:bottom w:val="outset" w:sz="6" w:space="0" w:color="414142"/>
            </w:tcBorders>
          </w:tcPr>
          <w:p w:rsidR="003161B9" w:rsidRPr="00516B79" w:rsidRDefault="003161B9" w:rsidP="00905CA9">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rsidR="003161B9" w:rsidRPr="006A3891" w:rsidRDefault="003161B9" w:rsidP="00905CA9">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3161B9" w:rsidRPr="000D51A1" w:rsidTr="00547DD0">
        <w:trPr>
          <w:trHeight w:val="168"/>
        </w:trPr>
        <w:tc>
          <w:tcPr>
            <w:tcW w:w="265" w:type="pct"/>
            <w:tcBorders>
              <w:top w:val="outset" w:sz="6" w:space="0" w:color="414142"/>
              <w:bottom w:val="outset" w:sz="6" w:space="0" w:color="414142"/>
              <w:right w:val="outset" w:sz="6" w:space="0" w:color="414142"/>
            </w:tcBorders>
            <w:vAlign w:val="center"/>
          </w:tcPr>
          <w:p w:rsidR="003161B9" w:rsidRPr="006A3891" w:rsidRDefault="003161B9"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3161B9" w:rsidRPr="006A3891" w:rsidRDefault="003161B9"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3161B9" w:rsidRPr="006A3891" w:rsidRDefault="003161B9"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rsidR="008A274A" w:rsidRDefault="008A274A" w:rsidP="008A274A">
      <w:pPr>
        <w:spacing w:after="0" w:line="240" w:lineRule="auto"/>
        <w:rPr>
          <w:rFonts w:ascii="Times New Roman" w:hAnsi="Times New Roman"/>
          <w:sz w:val="24"/>
          <w:szCs w:val="24"/>
        </w:rPr>
      </w:pPr>
    </w:p>
    <w:p w:rsidR="008A274A" w:rsidRDefault="008A274A" w:rsidP="008A274A">
      <w:pPr>
        <w:spacing w:after="0" w:line="240" w:lineRule="auto"/>
        <w:rPr>
          <w:rFonts w:ascii="Times New Roman" w:hAnsi="Times New Roman"/>
          <w:sz w:val="24"/>
          <w:szCs w:val="24"/>
        </w:rPr>
      </w:pPr>
    </w:p>
    <w:p w:rsidR="000301CA" w:rsidRDefault="000301CA" w:rsidP="008A274A">
      <w:pPr>
        <w:spacing w:after="0" w:line="240" w:lineRule="auto"/>
        <w:rPr>
          <w:rFonts w:ascii="Times New Roman" w:hAnsi="Times New Roman"/>
          <w:sz w:val="24"/>
          <w:szCs w:val="24"/>
        </w:rPr>
      </w:pPr>
    </w:p>
    <w:p w:rsidR="00106BFA" w:rsidRDefault="00106BFA" w:rsidP="00BF7B80">
      <w:pPr>
        <w:spacing w:after="0" w:line="240" w:lineRule="auto"/>
        <w:ind w:firstLine="720"/>
        <w:rPr>
          <w:rFonts w:ascii="Times New Roman" w:hAnsi="Times New Roman"/>
          <w:sz w:val="28"/>
          <w:szCs w:val="28"/>
        </w:rPr>
      </w:pPr>
    </w:p>
    <w:p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r>
      <w:r w:rsidR="00106BFA">
        <w:rPr>
          <w:rFonts w:ascii="Times New Roman" w:hAnsi="Times New Roman"/>
          <w:sz w:val="28"/>
          <w:szCs w:val="28"/>
        </w:rPr>
        <w:tab/>
      </w:r>
      <w:r w:rsidR="008103DB">
        <w:rPr>
          <w:rFonts w:ascii="Times New Roman" w:hAnsi="Times New Roman"/>
          <w:sz w:val="28"/>
          <w:szCs w:val="28"/>
        </w:rPr>
        <w:t>K</w:t>
      </w:r>
      <w:bookmarkStart w:id="0" w:name="_GoBack"/>
      <w:bookmarkEnd w:id="0"/>
      <w:r w:rsidR="00106BFA">
        <w:rPr>
          <w:rFonts w:ascii="Times New Roman" w:hAnsi="Times New Roman"/>
          <w:sz w:val="28"/>
          <w:szCs w:val="28"/>
        </w:rPr>
        <w:t xml:space="preserve">. </w:t>
      </w:r>
      <w:r w:rsidR="008103DB">
        <w:rPr>
          <w:rFonts w:ascii="Times New Roman" w:hAnsi="Times New Roman"/>
          <w:sz w:val="28"/>
          <w:szCs w:val="28"/>
        </w:rPr>
        <w:t>Gerhards</w:t>
      </w:r>
    </w:p>
    <w:p w:rsidR="008A274A" w:rsidRDefault="008A274A" w:rsidP="00760C77">
      <w:pPr>
        <w:pStyle w:val="Bezatstarpm"/>
        <w:rPr>
          <w:rFonts w:ascii="Times New Roman" w:hAnsi="Times New Roman"/>
          <w:sz w:val="28"/>
          <w:szCs w:val="28"/>
        </w:rPr>
      </w:pPr>
    </w:p>
    <w:p w:rsidR="00BF7B80" w:rsidRPr="00BF7B80" w:rsidRDefault="00BF7B80" w:rsidP="00760C77">
      <w:pPr>
        <w:pStyle w:val="Bezatstarpm"/>
        <w:rPr>
          <w:rFonts w:ascii="Times New Roman" w:hAnsi="Times New Roman"/>
          <w:sz w:val="28"/>
          <w:szCs w:val="28"/>
        </w:rPr>
      </w:pPr>
    </w:p>
    <w:p w:rsidR="00130430" w:rsidRDefault="00130430" w:rsidP="00760C77">
      <w:pPr>
        <w:pStyle w:val="Bezatstarpm"/>
        <w:rPr>
          <w:rFonts w:ascii="Times New Roman" w:hAnsi="Times New Roman"/>
          <w:sz w:val="18"/>
          <w:szCs w:val="18"/>
        </w:rPr>
      </w:pPr>
    </w:p>
    <w:p w:rsidR="00130430" w:rsidRDefault="00130430" w:rsidP="00760C77">
      <w:pPr>
        <w:pStyle w:val="Bezatstarpm"/>
        <w:rPr>
          <w:rFonts w:ascii="Times New Roman" w:hAnsi="Times New Roman"/>
          <w:sz w:val="18"/>
          <w:szCs w:val="18"/>
        </w:rPr>
      </w:pPr>
    </w:p>
    <w:p w:rsidR="00BF7B80" w:rsidRDefault="00BF7B80" w:rsidP="00760C77">
      <w:pPr>
        <w:pStyle w:val="Bezatstarpm"/>
        <w:rPr>
          <w:rFonts w:ascii="Times New Roman" w:hAnsi="Times New Roman"/>
          <w:sz w:val="18"/>
          <w:szCs w:val="18"/>
        </w:rPr>
      </w:pPr>
    </w:p>
    <w:p w:rsidR="00BF7B80" w:rsidRDefault="00BF7B80"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573D46" w:rsidRPr="00106BFA" w:rsidRDefault="00573D46" w:rsidP="00D86D4D">
      <w:pPr>
        <w:pStyle w:val="Bezatstarpm"/>
        <w:rPr>
          <w:rFonts w:ascii="Times New Roman" w:hAnsi="Times New Roman"/>
          <w:sz w:val="24"/>
          <w:szCs w:val="24"/>
        </w:rPr>
      </w:pPr>
      <w:r w:rsidRPr="00106BFA">
        <w:rPr>
          <w:rFonts w:ascii="Times New Roman" w:hAnsi="Times New Roman"/>
          <w:sz w:val="24"/>
          <w:szCs w:val="24"/>
        </w:rPr>
        <w:t>Laizāne 67027360</w:t>
      </w:r>
    </w:p>
    <w:p w:rsidR="00AF2BB4" w:rsidRPr="00106BFA" w:rsidRDefault="00106BFA" w:rsidP="00D86D4D">
      <w:pPr>
        <w:pStyle w:val="Bezatstarpm"/>
        <w:rPr>
          <w:rFonts w:ascii="Times New Roman" w:hAnsi="Times New Roman"/>
          <w:sz w:val="24"/>
          <w:szCs w:val="24"/>
        </w:rPr>
      </w:pPr>
      <w:hyperlink r:id="rId10" w:history="1">
        <w:r w:rsidR="00857F46" w:rsidRPr="00106BFA">
          <w:rPr>
            <w:rStyle w:val="Hipersaite"/>
            <w:rFonts w:ascii="Times New Roman" w:hAnsi="Times New Roman"/>
            <w:sz w:val="24"/>
            <w:szCs w:val="24"/>
          </w:rPr>
          <w:t>laura.laizane@zm.gov.lv</w:t>
        </w:r>
      </w:hyperlink>
    </w:p>
    <w:sectPr w:rsidR="00AF2BB4" w:rsidRPr="00106BFA" w:rsidSect="00106BF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37A" w:rsidRDefault="0004437A" w:rsidP="00EE11D3">
      <w:pPr>
        <w:spacing w:after="0" w:line="240" w:lineRule="auto"/>
      </w:pPr>
      <w:r>
        <w:separator/>
      </w:r>
    </w:p>
  </w:endnote>
  <w:endnote w:type="continuationSeparator" w:id="0">
    <w:p w:rsidR="0004437A" w:rsidRDefault="0004437A"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59" w:rsidRPr="00106BFA" w:rsidRDefault="00106BFA" w:rsidP="00106BFA">
    <w:pPr>
      <w:pStyle w:val="Kjene"/>
      <w:rPr>
        <w:rFonts w:ascii="Times New Roman" w:hAnsi="Times New Roman"/>
        <w:sz w:val="20"/>
        <w:szCs w:val="20"/>
      </w:rPr>
    </w:pPr>
    <w:r w:rsidRPr="00106BFA">
      <w:rPr>
        <w:rFonts w:ascii="Times New Roman" w:hAnsi="Times New Roman"/>
        <w:sz w:val="20"/>
        <w:szCs w:val="20"/>
      </w:rPr>
      <w:t>ZManot_230320_lopbariba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59" w:rsidRPr="00106BFA" w:rsidRDefault="00106BFA" w:rsidP="00106BFA">
    <w:pPr>
      <w:pStyle w:val="Kjene"/>
      <w:rPr>
        <w:rFonts w:ascii="Times New Roman" w:hAnsi="Times New Roman"/>
        <w:sz w:val="20"/>
        <w:szCs w:val="20"/>
      </w:rPr>
    </w:pPr>
    <w:r w:rsidRPr="00106BFA">
      <w:rPr>
        <w:rFonts w:ascii="Times New Roman" w:hAnsi="Times New Roman"/>
        <w:sz w:val="20"/>
        <w:szCs w:val="20"/>
      </w:rPr>
      <w:t>ZManot_230320_lopbariba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37A" w:rsidRDefault="0004437A" w:rsidP="00EE11D3">
      <w:pPr>
        <w:spacing w:after="0" w:line="240" w:lineRule="auto"/>
      </w:pPr>
      <w:r>
        <w:separator/>
      </w:r>
    </w:p>
  </w:footnote>
  <w:footnote w:type="continuationSeparator" w:id="0">
    <w:p w:rsidR="0004437A" w:rsidRDefault="0004437A"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59" w:rsidRPr="008A274A" w:rsidRDefault="00E552F6"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007A7059"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19461A">
      <w:rPr>
        <w:rFonts w:ascii="Times New Roman" w:hAnsi="Times New Roman"/>
        <w:noProof/>
        <w:sz w:val="24"/>
        <w:szCs w:val="24"/>
      </w:rPr>
      <w:t>7</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4"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F05"/>
    <w:rsid w:val="0000062A"/>
    <w:rsid w:val="0000272B"/>
    <w:rsid w:val="0000522E"/>
    <w:rsid w:val="00010392"/>
    <w:rsid w:val="00011CF2"/>
    <w:rsid w:val="00012742"/>
    <w:rsid w:val="00015579"/>
    <w:rsid w:val="0001586A"/>
    <w:rsid w:val="00016CEC"/>
    <w:rsid w:val="00016CF9"/>
    <w:rsid w:val="000174B6"/>
    <w:rsid w:val="00017DA2"/>
    <w:rsid w:val="00020785"/>
    <w:rsid w:val="00024111"/>
    <w:rsid w:val="00026DDD"/>
    <w:rsid w:val="000301CA"/>
    <w:rsid w:val="0003167B"/>
    <w:rsid w:val="00033C1C"/>
    <w:rsid w:val="000345D2"/>
    <w:rsid w:val="00034718"/>
    <w:rsid w:val="00040852"/>
    <w:rsid w:val="0004437A"/>
    <w:rsid w:val="00044FFF"/>
    <w:rsid w:val="000463E5"/>
    <w:rsid w:val="00050CC4"/>
    <w:rsid w:val="000512E5"/>
    <w:rsid w:val="00055D53"/>
    <w:rsid w:val="00060A56"/>
    <w:rsid w:val="0006121C"/>
    <w:rsid w:val="00063719"/>
    <w:rsid w:val="00066BE7"/>
    <w:rsid w:val="00066E1A"/>
    <w:rsid w:val="00067E02"/>
    <w:rsid w:val="000732A4"/>
    <w:rsid w:val="000742BB"/>
    <w:rsid w:val="0007495B"/>
    <w:rsid w:val="00074FA3"/>
    <w:rsid w:val="000813E6"/>
    <w:rsid w:val="000815E6"/>
    <w:rsid w:val="000823E2"/>
    <w:rsid w:val="00084DAB"/>
    <w:rsid w:val="0008694A"/>
    <w:rsid w:val="00086CC5"/>
    <w:rsid w:val="0008770F"/>
    <w:rsid w:val="00087C31"/>
    <w:rsid w:val="00091C07"/>
    <w:rsid w:val="0009313E"/>
    <w:rsid w:val="00097C26"/>
    <w:rsid w:val="000A5345"/>
    <w:rsid w:val="000A59C3"/>
    <w:rsid w:val="000A6BDB"/>
    <w:rsid w:val="000B1FB6"/>
    <w:rsid w:val="000B32D5"/>
    <w:rsid w:val="000B3951"/>
    <w:rsid w:val="000B3E1D"/>
    <w:rsid w:val="000C42E1"/>
    <w:rsid w:val="000C55D6"/>
    <w:rsid w:val="000C55F3"/>
    <w:rsid w:val="000C60EC"/>
    <w:rsid w:val="000D306C"/>
    <w:rsid w:val="000D5162"/>
    <w:rsid w:val="000D51A1"/>
    <w:rsid w:val="000D6140"/>
    <w:rsid w:val="000E0832"/>
    <w:rsid w:val="000E268A"/>
    <w:rsid w:val="000E4DAC"/>
    <w:rsid w:val="000E7EAF"/>
    <w:rsid w:val="000F07FE"/>
    <w:rsid w:val="000F0CA1"/>
    <w:rsid w:val="000F3F36"/>
    <w:rsid w:val="000F461E"/>
    <w:rsid w:val="000F57BF"/>
    <w:rsid w:val="000F5E5F"/>
    <w:rsid w:val="0010021C"/>
    <w:rsid w:val="001007F6"/>
    <w:rsid w:val="001012A6"/>
    <w:rsid w:val="001016F3"/>
    <w:rsid w:val="00104241"/>
    <w:rsid w:val="001053E6"/>
    <w:rsid w:val="00106BFA"/>
    <w:rsid w:val="00110664"/>
    <w:rsid w:val="00110BE7"/>
    <w:rsid w:val="00112280"/>
    <w:rsid w:val="00112D15"/>
    <w:rsid w:val="00117303"/>
    <w:rsid w:val="00120DA1"/>
    <w:rsid w:val="00121E87"/>
    <w:rsid w:val="00122D6E"/>
    <w:rsid w:val="00123511"/>
    <w:rsid w:val="00124C4D"/>
    <w:rsid w:val="001251FB"/>
    <w:rsid w:val="001270B4"/>
    <w:rsid w:val="00130430"/>
    <w:rsid w:val="00130EFE"/>
    <w:rsid w:val="00130FE6"/>
    <w:rsid w:val="001317B5"/>
    <w:rsid w:val="00132D77"/>
    <w:rsid w:val="00136291"/>
    <w:rsid w:val="00136C43"/>
    <w:rsid w:val="001428C6"/>
    <w:rsid w:val="00142D5D"/>
    <w:rsid w:val="00143494"/>
    <w:rsid w:val="00146858"/>
    <w:rsid w:val="0014794B"/>
    <w:rsid w:val="00150A00"/>
    <w:rsid w:val="00152CB0"/>
    <w:rsid w:val="00153611"/>
    <w:rsid w:val="0015415A"/>
    <w:rsid w:val="00157719"/>
    <w:rsid w:val="001618E1"/>
    <w:rsid w:val="00161F51"/>
    <w:rsid w:val="0016208A"/>
    <w:rsid w:val="00162DC0"/>
    <w:rsid w:val="00164CAB"/>
    <w:rsid w:val="00165858"/>
    <w:rsid w:val="00166A4C"/>
    <w:rsid w:val="00167423"/>
    <w:rsid w:val="00171519"/>
    <w:rsid w:val="001719F6"/>
    <w:rsid w:val="00172095"/>
    <w:rsid w:val="00174B91"/>
    <w:rsid w:val="00176F47"/>
    <w:rsid w:val="00180892"/>
    <w:rsid w:val="0018090A"/>
    <w:rsid w:val="00180ADF"/>
    <w:rsid w:val="00180F33"/>
    <w:rsid w:val="001817C3"/>
    <w:rsid w:val="001836B5"/>
    <w:rsid w:val="001841F4"/>
    <w:rsid w:val="001843F1"/>
    <w:rsid w:val="00184475"/>
    <w:rsid w:val="00192A77"/>
    <w:rsid w:val="001936E4"/>
    <w:rsid w:val="00193CFA"/>
    <w:rsid w:val="0019461A"/>
    <w:rsid w:val="001946CA"/>
    <w:rsid w:val="00195374"/>
    <w:rsid w:val="001A1F06"/>
    <w:rsid w:val="001A6649"/>
    <w:rsid w:val="001A69CB"/>
    <w:rsid w:val="001B1839"/>
    <w:rsid w:val="001B4AF1"/>
    <w:rsid w:val="001B6BE8"/>
    <w:rsid w:val="001C0363"/>
    <w:rsid w:val="001C2E8D"/>
    <w:rsid w:val="001C3534"/>
    <w:rsid w:val="001C3C3D"/>
    <w:rsid w:val="001C3CC4"/>
    <w:rsid w:val="001C43BD"/>
    <w:rsid w:val="001C4ED6"/>
    <w:rsid w:val="001C4F50"/>
    <w:rsid w:val="001C55E6"/>
    <w:rsid w:val="001C7378"/>
    <w:rsid w:val="001D00BF"/>
    <w:rsid w:val="001D32EF"/>
    <w:rsid w:val="001D6889"/>
    <w:rsid w:val="001D7C16"/>
    <w:rsid w:val="001E4E47"/>
    <w:rsid w:val="001E6C77"/>
    <w:rsid w:val="001F2A56"/>
    <w:rsid w:val="001F3A94"/>
    <w:rsid w:val="001F4A37"/>
    <w:rsid w:val="001F5007"/>
    <w:rsid w:val="001F51C8"/>
    <w:rsid w:val="001F5478"/>
    <w:rsid w:val="001F6597"/>
    <w:rsid w:val="002002E1"/>
    <w:rsid w:val="00200BA2"/>
    <w:rsid w:val="00201885"/>
    <w:rsid w:val="00203E57"/>
    <w:rsid w:val="002041C8"/>
    <w:rsid w:val="002041D3"/>
    <w:rsid w:val="00205E99"/>
    <w:rsid w:val="00211548"/>
    <w:rsid w:val="00213873"/>
    <w:rsid w:val="002149AB"/>
    <w:rsid w:val="0022005A"/>
    <w:rsid w:val="0022094C"/>
    <w:rsid w:val="00221B6E"/>
    <w:rsid w:val="00225A2F"/>
    <w:rsid w:val="00226DE8"/>
    <w:rsid w:val="00232B75"/>
    <w:rsid w:val="00232EBD"/>
    <w:rsid w:val="00233A86"/>
    <w:rsid w:val="002344D2"/>
    <w:rsid w:val="002346B3"/>
    <w:rsid w:val="0023762B"/>
    <w:rsid w:val="00237B9E"/>
    <w:rsid w:val="00237DEB"/>
    <w:rsid w:val="0024497B"/>
    <w:rsid w:val="002500C9"/>
    <w:rsid w:val="00251968"/>
    <w:rsid w:val="00254A1F"/>
    <w:rsid w:val="00256126"/>
    <w:rsid w:val="00256178"/>
    <w:rsid w:val="00256478"/>
    <w:rsid w:val="00260A08"/>
    <w:rsid w:val="00262C7B"/>
    <w:rsid w:val="00263B6B"/>
    <w:rsid w:val="00264428"/>
    <w:rsid w:val="00264BDD"/>
    <w:rsid w:val="002663DB"/>
    <w:rsid w:val="00266676"/>
    <w:rsid w:val="002706DA"/>
    <w:rsid w:val="00270772"/>
    <w:rsid w:val="00271737"/>
    <w:rsid w:val="0027175C"/>
    <w:rsid w:val="00272B56"/>
    <w:rsid w:val="00274431"/>
    <w:rsid w:val="00274D69"/>
    <w:rsid w:val="00275072"/>
    <w:rsid w:val="0027557E"/>
    <w:rsid w:val="00276323"/>
    <w:rsid w:val="00283C31"/>
    <w:rsid w:val="00284014"/>
    <w:rsid w:val="002853B0"/>
    <w:rsid w:val="00292327"/>
    <w:rsid w:val="002937DF"/>
    <w:rsid w:val="00293DB8"/>
    <w:rsid w:val="00294FD9"/>
    <w:rsid w:val="00297664"/>
    <w:rsid w:val="002A1310"/>
    <w:rsid w:val="002A1FC1"/>
    <w:rsid w:val="002A2767"/>
    <w:rsid w:val="002A3222"/>
    <w:rsid w:val="002A32F1"/>
    <w:rsid w:val="002A57C1"/>
    <w:rsid w:val="002A7078"/>
    <w:rsid w:val="002B2A2C"/>
    <w:rsid w:val="002B3503"/>
    <w:rsid w:val="002B4344"/>
    <w:rsid w:val="002B4AD1"/>
    <w:rsid w:val="002B4D14"/>
    <w:rsid w:val="002B6443"/>
    <w:rsid w:val="002C0139"/>
    <w:rsid w:val="002C1446"/>
    <w:rsid w:val="002C5FC0"/>
    <w:rsid w:val="002C7A37"/>
    <w:rsid w:val="002C7AB6"/>
    <w:rsid w:val="002D12B9"/>
    <w:rsid w:val="002D3236"/>
    <w:rsid w:val="002D4019"/>
    <w:rsid w:val="002D59BA"/>
    <w:rsid w:val="002D63AA"/>
    <w:rsid w:val="002D680D"/>
    <w:rsid w:val="002D7956"/>
    <w:rsid w:val="002E5206"/>
    <w:rsid w:val="002E5E2F"/>
    <w:rsid w:val="002F04AF"/>
    <w:rsid w:val="002F1630"/>
    <w:rsid w:val="002F2EE8"/>
    <w:rsid w:val="002F2F9B"/>
    <w:rsid w:val="002F5050"/>
    <w:rsid w:val="002F6974"/>
    <w:rsid w:val="002F6F42"/>
    <w:rsid w:val="002F714E"/>
    <w:rsid w:val="00301744"/>
    <w:rsid w:val="00304A61"/>
    <w:rsid w:val="003057F8"/>
    <w:rsid w:val="00313252"/>
    <w:rsid w:val="003156E4"/>
    <w:rsid w:val="003161B9"/>
    <w:rsid w:val="00316A42"/>
    <w:rsid w:val="003205B4"/>
    <w:rsid w:val="003241EC"/>
    <w:rsid w:val="003257FE"/>
    <w:rsid w:val="003274E6"/>
    <w:rsid w:val="00330EC7"/>
    <w:rsid w:val="00331312"/>
    <w:rsid w:val="0033661C"/>
    <w:rsid w:val="00337FB9"/>
    <w:rsid w:val="003402AA"/>
    <w:rsid w:val="00347A8E"/>
    <w:rsid w:val="00351312"/>
    <w:rsid w:val="00352159"/>
    <w:rsid w:val="00357A9A"/>
    <w:rsid w:val="00362675"/>
    <w:rsid w:val="003635A1"/>
    <w:rsid w:val="0037067D"/>
    <w:rsid w:val="00370C7B"/>
    <w:rsid w:val="00371C50"/>
    <w:rsid w:val="003737A1"/>
    <w:rsid w:val="003757DB"/>
    <w:rsid w:val="00375CF0"/>
    <w:rsid w:val="003832C9"/>
    <w:rsid w:val="00387F0D"/>
    <w:rsid w:val="00390028"/>
    <w:rsid w:val="00393C1A"/>
    <w:rsid w:val="0039405D"/>
    <w:rsid w:val="00394CD2"/>
    <w:rsid w:val="003961C0"/>
    <w:rsid w:val="003A0AEC"/>
    <w:rsid w:val="003A1726"/>
    <w:rsid w:val="003A3F12"/>
    <w:rsid w:val="003A5DDE"/>
    <w:rsid w:val="003B0AAE"/>
    <w:rsid w:val="003B17E1"/>
    <w:rsid w:val="003B284D"/>
    <w:rsid w:val="003B2D5D"/>
    <w:rsid w:val="003B5806"/>
    <w:rsid w:val="003B5964"/>
    <w:rsid w:val="003B7105"/>
    <w:rsid w:val="003C0AE3"/>
    <w:rsid w:val="003C1E78"/>
    <w:rsid w:val="003C2F17"/>
    <w:rsid w:val="003C4C0C"/>
    <w:rsid w:val="003C51E2"/>
    <w:rsid w:val="003C608A"/>
    <w:rsid w:val="003C65D8"/>
    <w:rsid w:val="003C7D27"/>
    <w:rsid w:val="003D2EEC"/>
    <w:rsid w:val="003D43E8"/>
    <w:rsid w:val="003D679F"/>
    <w:rsid w:val="003D7FAD"/>
    <w:rsid w:val="003E02C5"/>
    <w:rsid w:val="003E052A"/>
    <w:rsid w:val="003E059A"/>
    <w:rsid w:val="003E0A88"/>
    <w:rsid w:val="003E0EB3"/>
    <w:rsid w:val="003E1727"/>
    <w:rsid w:val="003E3A74"/>
    <w:rsid w:val="003E57F6"/>
    <w:rsid w:val="003F0D3B"/>
    <w:rsid w:val="003F49DC"/>
    <w:rsid w:val="003F5A15"/>
    <w:rsid w:val="003F789F"/>
    <w:rsid w:val="004000C3"/>
    <w:rsid w:val="00401F18"/>
    <w:rsid w:val="00406E78"/>
    <w:rsid w:val="00412C44"/>
    <w:rsid w:val="004208E8"/>
    <w:rsid w:val="00420ABB"/>
    <w:rsid w:val="00424254"/>
    <w:rsid w:val="00424EA1"/>
    <w:rsid w:val="00426EF9"/>
    <w:rsid w:val="0043149D"/>
    <w:rsid w:val="00431AB4"/>
    <w:rsid w:val="0043479A"/>
    <w:rsid w:val="00436707"/>
    <w:rsid w:val="004377E4"/>
    <w:rsid w:val="004378E1"/>
    <w:rsid w:val="004402C8"/>
    <w:rsid w:val="004408A6"/>
    <w:rsid w:val="00442FEC"/>
    <w:rsid w:val="00443ADA"/>
    <w:rsid w:val="00444CC3"/>
    <w:rsid w:val="004464C6"/>
    <w:rsid w:val="00446E5F"/>
    <w:rsid w:val="00447BBF"/>
    <w:rsid w:val="0045106A"/>
    <w:rsid w:val="004526A5"/>
    <w:rsid w:val="004539B9"/>
    <w:rsid w:val="00453E17"/>
    <w:rsid w:val="00456039"/>
    <w:rsid w:val="0046067F"/>
    <w:rsid w:val="00463865"/>
    <w:rsid w:val="00465D58"/>
    <w:rsid w:val="00466C1E"/>
    <w:rsid w:val="004675CA"/>
    <w:rsid w:val="0047191C"/>
    <w:rsid w:val="004723DF"/>
    <w:rsid w:val="0047242C"/>
    <w:rsid w:val="004769EE"/>
    <w:rsid w:val="004806A8"/>
    <w:rsid w:val="004818DC"/>
    <w:rsid w:val="00482664"/>
    <w:rsid w:val="00482F9E"/>
    <w:rsid w:val="00483264"/>
    <w:rsid w:val="004832E9"/>
    <w:rsid w:val="00483AF9"/>
    <w:rsid w:val="00484D68"/>
    <w:rsid w:val="00486749"/>
    <w:rsid w:val="00491479"/>
    <w:rsid w:val="00492664"/>
    <w:rsid w:val="004938E0"/>
    <w:rsid w:val="004A1872"/>
    <w:rsid w:val="004A18A6"/>
    <w:rsid w:val="004A336D"/>
    <w:rsid w:val="004B08D5"/>
    <w:rsid w:val="004B1637"/>
    <w:rsid w:val="004B28CB"/>
    <w:rsid w:val="004B43B0"/>
    <w:rsid w:val="004B4A25"/>
    <w:rsid w:val="004B75F8"/>
    <w:rsid w:val="004C2705"/>
    <w:rsid w:val="004C3FB5"/>
    <w:rsid w:val="004D2208"/>
    <w:rsid w:val="004D3575"/>
    <w:rsid w:val="004D3F14"/>
    <w:rsid w:val="004D3FA1"/>
    <w:rsid w:val="004D625B"/>
    <w:rsid w:val="004E081D"/>
    <w:rsid w:val="004E69E1"/>
    <w:rsid w:val="004E6CDF"/>
    <w:rsid w:val="004E75CE"/>
    <w:rsid w:val="004F096D"/>
    <w:rsid w:val="004F3718"/>
    <w:rsid w:val="004F43AE"/>
    <w:rsid w:val="004F5C12"/>
    <w:rsid w:val="005034F8"/>
    <w:rsid w:val="00504AA6"/>
    <w:rsid w:val="0050538B"/>
    <w:rsid w:val="005071EC"/>
    <w:rsid w:val="005079A6"/>
    <w:rsid w:val="0051010D"/>
    <w:rsid w:val="00512A9E"/>
    <w:rsid w:val="005131B2"/>
    <w:rsid w:val="00516B79"/>
    <w:rsid w:val="00517421"/>
    <w:rsid w:val="005177AB"/>
    <w:rsid w:val="00521065"/>
    <w:rsid w:val="00521E66"/>
    <w:rsid w:val="005233CC"/>
    <w:rsid w:val="005239B9"/>
    <w:rsid w:val="00524566"/>
    <w:rsid w:val="00532344"/>
    <w:rsid w:val="00534480"/>
    <w:rsid w:val="00536C1B"/>
    <w:rsid w:val="00541051"/>
    <w:rsid w:val="005425C9"/>
    <w:rsid w:val="005426D2"/>
    <w:rsid w:val="00542B29"/>
    <w:rsid w:val="00543F71"/>
    <w:rsid w:val="005440D4"/>
    <w:rsid w:val="00544864"/>
    <w:rsid w:val="00545CCB"/>
    <w:rsid w:val="00545FE3"/>
    <w:rsid w:val="0054754F"/>
    <w:rsid w:val="00547DD0"/>
    <w:rsid w:val="005502D6"/>
    <w:rsid w:val="00552ECD"/>
    <w:rsid w:val="00553332"/>
    <w:rsid w:val="00553628"/>
    <w:rsid w:val="00553905"/>
    <w:rsid w:val="00553E3C"/>
    <w:rsid w:val="0056066D"/>
    <w:rsid w:val="00560674"/>
    <w:rsid w:val="00561EE4"/>
    <w:rsid w:val="00570BF6"/>
    <w:rsid w:val="00573D46"/>
    <w:rsid w:val="005766C6"/>
    <w:rsid w:val="00576A3C"/>
    <w:rsid w:val="00577334"/>
    <w:rsid w:val="00577954"/>
    <w:rsid w:val="00577DC0"/>
    <w:rsid w:val="00580FF7"/>
    <w:rsid w:val="00585730"/>
    <w:rsid w:val="005919A8"/>
    <w:rsid w:val="00591F33"/>
    <w:rsid w:val="005923C5"/>
    <w:rsid w:val="00593CBB"/>
    <w:rsid w:val="00594F2D"/>
    <w:rsid w:val="00596BF6"/>
    <w:rsid w:val="0059757B"/>
    <w:rsid w:val="005A3D27"/>
    <w:rsid w:val="005A59C9"/>
    <w:rsid w:val="005A7B38"/>
    <w:rsid w:val="005B3DE1"/>
    <w:rsid w:val="005B54CD"/>
    <w:rsid w:val="005B7A43"/>
    <w:rsid w:val="005B7CC3"/>
    <w:rsid w:val="005C043D"/>
    <w:rsid w:val="005C14F2"/>
    <w:rsid w:val="005C26F7"/>
    <w:rsid w:val="005C2754"/>
    <w:rsid w:val="005C2D21"/>
    <w:rsid w:val="005C2DDC"/>
    <w:rsid w:val="005C54C7"/>
    <w:rsid w:val="005C71BB"/>
    <w:rsid w:val="005C740E"/>
    <w:rsid w:val="005D06FC"/>
    <w:rsid w:val="005D0ABC"/>
    <w:rsid w:val="005D1016"/>
    <w:rsid w:val="005D26C8"/>
    <w:rsid w:val="005E33F9"/>
    <w:rsid w:val="005E574C"/>
    <w:rsid w:val="005E65D4"/>
    <w:rsid w:val="005E7FA2"/>
    <w:rsid w:val="005F065A"/>
    <w:rsid w:val="005F0E66"/>
    <w:rsid w:val="005F2B6B"/>
    <w:rsid w:val="005F6EB8"/>
    <w:rsid w:val="006005A4"/>
    <w:rsid w:val="0060107E"/>
    <w:rsid w:val="0060497C"/>
    <w:rsid w:val="00605F08"/>
    <w:rsid w:val="00612269"/>
    <w:rsid w:val="006158A2"/>
    <w:rsid w:val="006160F7"/>
    <w:rsid w:val="0061619C"/>
    <w:rsid w:val="00616D5E"/>
    <w:rsid w:val="00621764"/>
    <w:rsid w:val="00623F07"/>
    <w:rsid w:val="00626E87"/>
    <w:rsid w:val="006271B5"/>
    <w:rsid w:val="006273DB"/>
    <w:rsid w:val="00627AAE"/>
    <w:rsid w:val="006320E5"/>
    <w:rsid w:val="0063643E"/>
    <w:rsid w:val="00636670"/>
    <w:rsid w:val="00637AB9"/>
    <w:rsid w:val="006406C0"/>
    <w:rsid w:val="0064098F"/>
    <w:rsid w:val="00641098"/>
    <w:rsid w:val="006432DF"/>
    <w:rsid w:val="0065081B"/>
    <w:rsid w:val="00650C4D"/>
    <w:rsid w:val="006510BB"/>
    <w:rsid w:val="006515F3"/>
    <w:rsid w:val="0065218B"/>
    <w:rsid w:val="0065414B"/>
    <w:rsid w:val="006544C9"/>
    <w:rsid w:val="006558A6"/>
    <w:rsid w:val="00662DA3"/>
    <w:rsid w:val="00663C44"/>
    <w:rsid w:val="00663CFE"/>
    <w:rsid w:val="00665DF5"/>
    <w:rsid w:val="00667D9E"/>
    <w:rsid w:val="00670A19"/>
    <w:rsid w:val="00672FAF"/>
    <w:rsid w:val="00674235"/>
    <w:rsid w:val="0067547E"/>
    <w:rsid w:val="0067671E"/>
    <w:rsid w:val="00680D3B"/>
    <w:rsid w:val="00684151"/>
    <w:rsid w:val="00686519"/>
    <w:rsid w:val="006868B4"/>
    <w:rsid w:val="00690D2E"/>
    <w:rsid w:val="00690F98"/>
    <w:rsid w:val="00691E3B"/>
    <w:rsid w:val="0069254C"/>
    <w:rsid w:val="00697995"/>
    <w:rsid w:val="006A07B1"/>
    <w:rsid w:val="006A2745"/>
    <w:rsid w:val="006A3891"/>
    <w:rsid w:val="006A396F"/>
    <w:rsid w:val="006A51A3"/>
    <w:rsid w:val="006A5ED1"/>
    <w:rsid w:val="006A5F2C"/>
    <w:rsid w:val="006A6205"/>
    <w:rsid w:val="006B2140"/>
    <w:rsid w:val="006B2276"/>
    <w:rsid w:val="006B37C2"/>
    <w:rsid w:val="006B3DDB"/>
    <w:rsid w:val="006B42F5"/>
    <w:rsid w:val="006D668C"/>
    <w:rsid w:val="006E02D9"/>
    <w:rsid w:val="006E158B"/>
    <w:rsid w:val="006E1D1F"/>
    <w:rsid w:val="006E1FD4"/>
    <w:rsid w:val="006E26B1"/>
    <w:rsid w:val="006E2B86"/>
    <w:rsid w:val="006E2E0C"/>
    <w:rsid w:val="006E3B87"/>
    <w:rsid w:val="006E3DA2"/>
    <w:rsid w:val="006E511E"/>
    <w:rsid w:val="006E663C"/>
    <w:rsid w:val="006E6FB0"/>
    <w:rsid w:val="006E7817"/>
    <w:rsid w:val="006F4341"/>
    <w:rsid w:val="006F5B74"/>
    <w:rsid w:val="006F5DAF"/>
    <w:rsid w:val="006F605F"/>
    <w:rsid w:val="0070068F"/>
    <w:rsid w:val="00700AB0"/>
    <w:rsid w:val="007010FE"/>
    <w:rsid w:val="0070231B"/>
    <w:rsid w:val="00702377"/>
    <w:rsid w:val="0070306C"/>
    <w:rsid w:val="007034B4"/>
    <w:rsid w:val="007057A0"/>
    <w:rsid w:val="007069A9"/>
    <w:rsid w:val="00713DB0"/>
    <w:rsid w:val="0071576A"/>
    <w:rsid w:val="00716F13"/>
    <w:rsid w:val="007219CF"/>
    <w:rsid w:val="00723DEB"/>
    <w:rsid w:val="007273CA"/>
    <w:rsid w:val="00731F6B"/>
    <w:rsid w:val="00733B7A"/>
    <w:rsid w:val="00734C62"/>
    <w:rsid w:val="00735585"/>
    <w:rsid w:val="0073776E"/>
    <w:rsid w:val="00740168"/>
    <w:rsid w:val="00740286"/>
    <w:rsid w:val="00740B81"/>
    <w:rsid w:val="0074121C"/>
    <w:rsid w:val="00743ED6"/>
    <w:rsid w:val="00743F87"/>
    <w:rsid w:val="0074533F"/>
    <w:rsid w:val="00747374"/>
    <w:rsid w:val="00755182"/>
    <w:rsid w:val="0075558B"/>
    <w:rsid w:val="00760C77"/>
    <w:rsid w:val="0076348D"/>
    <w:rsid w:val="00765723"/>
    <w:rsid w:val="00767272"/>
    <w:rsid w:val="007723A2"/>
    <w:rsid w:val="0077344E"/>
    <w:rsid w:val="00773583"/>
    <w:rsid w:val="0077593D"/>
    <w:rsid w:val="00776668"/>
    <w:rsid w:val="00782791"/>
    <w:rsid w:val="00784B25"/>
    <w:rsid w:val="007856A0"/>
    <w:rsid w:val="007923DB"/>
    <w:rsid w:val="00792F28"/>
    <w:rsid w:val="00793289"/>
    <w:rsid w:val="0079559D"/>
    <w:rsid w:val="00795D9A"/>
    <w:rsid w:val="00795DBE"/>
    <w:rsid w:val="007976ED"/>
    <w:rsid w:val="007A6DCE"/>
    <w:rsid w:val="007A7059"/>
    <w:rsid w:val="007A7320"/>
    <w:rsid w:val="007B08D0"/>
    <w:rsid w:val="007B0C91"/>
    <w:rsid w:val="007C1EC3"/>
    <w:rsid w:val="007C7061"/>
    <w:rsid w:val="007C72C4"/>
    <w:rsid w:val="007C7F6E"/>
    <w:rsid w:val="007D146C"/>
    <w:rsid w:val="007D63DF"/>
    <w:rsid w:val="007D6445"/>
    <w:rsid w:val="007D759E"/>
    <w:rsid w:val="007D767C"/>
    <w:rsid w:val="007D7782"/>
    <w:rsid w:val="007E1632"/>
    <w:rsid w:val="007E4A44"/>
    <w:rsid w:val="007E5BB3"/>
    <w:rsid w:val="007E68F8"/>
    <w:rsid w:val="007E6A2D"/>
    <w:rsid w:val="007E7290"/>
    <w:rsid w:val="007F049A"/>
    <w:rsid w:val="007F09E4"/>
    <w:rsid w:val="007F1762"/>
    <w:rsid w:val="007F2C7F"/>
    <w:rsid w:val="007F4DEE"/>
    <w:rsid w:val="007F505C"/>
    <w:rsid w:val="007F77E8"/>
    <w:rsid w:val="00801143"/>
    <w:rsid w:val="00801738"/>
    <w:rsid w:val="00805CAE"/>
    <w:rsid w:val="00806825"/>
    <w:rsid w:val="008103DB"/>
    <w:rsid w:val="00810CB7"/>
    <w:rsid w:val="00813CA7"/>
    <w:rsid w:val="00817956"/>
    <w:rsid w:val="0082175C"/>
    <w:rsid w:val="00830852"/>
    <w:rsid w:val="0083359D"/>
    <w:rsid w:val="00834C65"/>
    <w:rsid w:val="00836D19"/>
    <w:rsid w:val="00845AC2"/>
    <w:rsid w:val="00850A4E"/>
    <w:rsid w:val="00850CC8"/>
    <w:rsid w:val="00850D98"/>
    <w:rsid w:val="0085318A"/>
    <w:rsid w:val="00853F40"/>
    <w:rsid w:val="0085483E"/>
    <w:rsid w:val="008561A4"/>
    <w:rsid w:val="00857F46"/>
    <w:rsid w:val="0086221D"/>
    <w:rsid w:val="0086371E"/>
    <w:rsid w:val="00866DC4"/>
    <w:rsid w:val="008715A3"/>
    <w:rsid w:val="008723B4"/>
    <w:rsid w:val="00872EC6"/>
    <w:rsid w:val="00876626"/>
    <w:rsid w:val="00880971"/>
    <w:rsid w:val="00880EBF"/>
    <w:rsid w:val="00884924"/>
    <w:rsid w:val="00885F39"/>
    <w:rsid w:val="00893220"/>
    <w:rsid w:val="00893F2B"/>
    <w:rsid w:val="008A274A"/>
    <w:rsid w:val="008A4C89"/>
    <w:rsid w:val="008A4FB4"/>
    <w:rsid w:val="008A7F39"/>
    <w:rsid w:val="008B4541"/>
    <w:rsid w:val="008B6EA8"/>
    <w:rsid w:val="008C53F8"/>
    <w:rsid w:val="008C6712"/>
    <w:rsid w:val="008C6765"/>
    <w:rsid w:val="008C6800"/>
    <w:rsid w:val="008C6812"/>
    <w:rsid w:val="008C7687"/>
    <w:rsid w:val="008C7C01"/>
    <w:rsid w:val="008C7D02"/>
    <w:rsid w:val="008D2192"/>
    <w:rsid w:val="008D253B"/>
    <w:rsid w:val="008D5213"/>
    <w:rsid w:val="008D5E57"/>
    <w:rsid w:val="008D6EEF"/>
    <w:rsid w:val="008E028E"/>
    <w:rsid w:val="008E0CB4"/>
    <w:rsid w:val="008E153C"/>
    <w:rsid w:val="008E42A3"/>
    <w:rsid w:val="008E5283"/>
    <w:rsid w:val="008E5382"/>
    <w:rsid w:val="008E5F66"/>
    <w:rsid w:val="008F0C2B"/>
    <w:rsid w:val="008F444C"/>
    <w:rsid w:val="008F46F2"/>
    <w:rsid w:val="008F48AC"/>
    <w:rsid w:val="009001DA"/>
    <w:rsid w:val="00905CA9"/>
    <w:rsid w:val="00905D80"/>
    <w:rsid w:val="00907673"/>
    <w:rsid w:val="00907970"/>
    <w:rsid w:val="00907A16"/>
    <w:rsid w:val="00913F0D"/>
    <w:rsid w:val="00917C7F"/>
    <w:rsid w:val="009216B5"/>
    <w:rsid w:val="0092225F"/>
    <w:rsid w:val="00923BF2"/>
    <w:rsid w:val="00923E94"/>
    <w:rsid w:val="00924758"/>
    <w:rsid w:val="0092617B"/>
    <w:rsid w:val="009275B3"/>
    <w:rsid w:val="00931ECA"/>
    <w:rsid w:val="0093364C"/>
    <w:rsid w:val="0093406D"/>
    <w:rsid w:val="00934436"/>
    <w:rsid w:val="00936B5F"/>
    <w:rsid w:val="009409B2"/>
    <w:rsid w:val="00941754"/>
    <w:rsid w:val="00941996"/>
    <w:rsid w:val="00941AEB"/>
    <w:rsid w:val="009432B7"/>
    <w:rsid w:val="00945F38"/>
    <w:rsid w:val="009541A8"/>
    <w:rsid w:val="009566BC"/>
    <w:rsid w:val="009622DB"/>
    <w:rsid w:val="009625D8"/>
    <w:rsid w:val="00962D9F"/>
    <w:rsid w:val="00963454"/>
    <w:rsid w:val="0096483A"/>
    <w:rsid w:val="0097079E"/>
    <w:rsid w:val="00974185"/>
    <w:rsid w:val="00975D49"/>
    <w:rsid w:val="00975F55"/>
    <w:rsid w:val="009805CD"/>
    <w:rsid w:val="00981A7A"/>
    <w:rsid w:val="009827C6"/>
    <w:rsid w:val="0098472B"/>
    <w:rsid w:val="00985512"/>
    <w:rsid w:val="00985C2F"/>
    <w:rsid w:val="00986F8C"/>
    <w:rsid w:val="009873BA"/>
    <w:rsid w:val="00987EC9"/>
    <w:rsid w:val="00995297"/>
    <w:rsid w:val="00996F73"/>
    <w:rsid w:val="009A17DB"/>
    <w:rsid w:val="009A1F6C"/>
    <w:rsid w:val="009A2237"/>
    <w:rsid w:val="009A364D"/>
    <w:rsid w:val="009A3CA8"/>
    <w:rsid w:val="009A43D8"/>
    <w:rsid w:val="009A4F43"/>
    <w:rsid w:val="009A50F2"/>
    <w:rsid w:val="009A5611"/>
    <w:rsid w:val="009A7D86"/>
    <w:rsid w:val="009B09B7"/>
    <w:rsid w:val="009B1A46"/>
    <w:rsid w:val="009B2121"/>
    <w:rsid w:val="009B34D5"/>
    <w:rsid w:val="009B5631"/>
    <w:rsid w:val="009B5FB9"/>
    <w:rsid w:val="009B6350"/>
    <w:rsid w:val="009B751C"/>
    <w:rsid w:val="009C007F"/>
    <w:rsid w:val="009C4085"/>
    <w:rsid w:val="009C68A8"/>
    <w:rsid w:val="009D37A1"/>
    <w:rsid w:val="009D399D"/>
    <w:rsid w:val="009D60A9"/>
    <w:rsid w:val="009E0A96"/>
    <w:rsid w:val="009E2E27"/>
    <w:rsid w:val="009E7343"/>
    <w:rsid w:val="009F0642"/>
    <w:rsid w:val="009F6FD8"/>
    <w:rsid w:val="009F74D5"/>
    <w:rsid w:val="00A04B8A"/>
    <w:rsid w:val="00A12B2D"/>
    <w:rsid w:val="00A14C30"/>
    <w:rsid w:val="00A16C15"/>
    <w:rsid w:val="00A20D01"/>
    <w:rsid w:val="00A22B3F"/>
    <w:rsid w:val="00A22D0A"/>
    <w:rsid w:val="00A24C4A"/>
    <w:rsid w:val="00A303A6"/>
    <w:rsid w:val="00A308D3"/>
    <w:rsid w:val="00A30F27"/>
    <w:rsid w:val="00A33CE7"/>
    <w:rsid w:val="00A358B8"/>
    <w:rsid w:val="00A376DD"/>
    <w:rsid w:val="00A41086"/>
    <w:rsid w:val="00A4501C"/>
    <w:rsid w:val="00A46515"/>
    <w:rsid w:val="00A51194"/>
    <w:rsid w:val="00A51E42"/>
    <w:rsid w:val="00A544E8"/>
    <w:rsid w:val="00A5477A"/>
    <w:rsid w:val="00A556A4"/>
    <w:rsid w:val="00A56F9C"/>
    <w:rsid w:val="00A57151"/>
    <w:rsid w:val="00A60BA7"/>
    <w:rsid w:val="00A62A03"/>
    <w:rsid w:val="00A6496F"/>
    <w:rsid w:val="00A67E5F"/>
    <w:rsid w:val="00A721AB"/>
    <w:rsid w:val="00A729A9"/>
    <w:rsid w:val="00A74489"/>
    <w:rsid w:val="00A76449"/>
    <w:rsid w:val="00A80370"/>
    <w:rsid w:val="00A819EF"/>
    <w:rsid w:val="00A82594"/>
    <w:rsid w:val="00A852FB"/>
    <w:rsid w:val="00A85EE4"/>
    <w:rsid w:val="00A91F05"/>
    <w:rsid w:val="00A939F1"/>
    <w:rsid w:val="00A964AB"/>
    <w:rsid w:val="00A96724"/>
    <w:rsid w:val="00A96F65"/>
    <w:rsid w:val="00A97D01"/>
    <w:rsid w:val="00AA0CB9"/>
    <w:rsid w:val="00AA32C2"/>
    <w:rsid w:val="00AA5351"/>
    <w:rsid w:val="00AA63A2"/>
    <w:rsid w:val="00AA7110"/>
    <w:rsid w:val="00AA7E1E"/>
    <w:rsid w:val="00AB2036"/>
    <w:rsid w:val="00AB44D5"/>
    <w:rsid w:val="00AB5CBE"/>
    <w:rsid w:val="00AB60BF"/>
    <w:rsid w:val="00AC2CD0"/>
    <w:rsid w:val="00AC382A"/>
    <w:rsid w:val="00AC543D"/>
    <w:rsid w:val="00AC5959"/>
    <w:rsid w:val="00AC5F9F"/>
    <w:rsid w:val="00AD40CF"/>
    <w:rsid w:val="00AD5B26"/>
    <w:rsid w:val="00AD7F02"/>
    <w:rsid w:val="00AE128A"/>
    <w:rsid w:val="00AE23A6"/>
    <w:rsid w:val="00AE444D"/>
    <w:rsid w:val="00AE617B"/>
    <w:rsid w:val="00AE78F5"/>
    <w:rsid w:val="00AE7909"/>
    <w:rsid w:val="00AF0CC9"/>
    <w:rsid w:val="00AF1BB0"/>
    <w:rsid w:val="00AF2BB4"/>
    <w:rsid w:val="00AF42D7"/>
    <w:rsid w:val="00AF5B11"/>
    <w:rsid w:val="00AF68B6"/>
    <w:rsid w:val="00B00A31"/>
    <w:rsid w:val="00B02AF6"/>
    <w:rsid w:val="00B032C9"/>
    <w:rsid w:val="00B0422D"/>
    <w:rsid w:val="00B057A2"/>
    <w:rsid w:val="00B130FE"/>
    <w:rsid w:val="00B13DCF"/>
    <w:rsid w:val="00B204E2"/>
    <w:rsid w:val="00B22218"/>
    <w:rsid w:val="00B22601"/>
    <w:rsid w:val="00B228DA"/>
    <w:rsid w:val="00B23334"/>
    <w:rsid w:val="00B23AA0"/>
    <w:rsid w:val="00B26C42"/>
    <w:rsid w:val="00B26E56"/>
    <w:rsid w:val="00B30065"/>
    <w:rsid w:val="00B30D11"/>
    <w:rsid w:val="00B3123E"/>
    <w:rsid w:val="00B32393"/>
    <w:rsid w:val="00B341C5"/>
    <w:rsid w:val="00B36274"/>
    <w:rsid w:val="00B37038"/>
    <w:rsid w:val="00B37BBF"/>
    <w:rsid w:val="00B42D5A"/>
    <w:rsid w:val="00B5270C"/>
    <w:rsid w:val="00B54002"/>
    <w:rsid w:val="00B54E48"/>
    <w:rsid w:val="00B54E5E"/>
    <w:rsid w:val="00B55649"/>
    <w:rsid w:val="00B55EC9"/>
    <w:rsid w:val="00B64252"/>
    <w:rsid w:val="00B653A4"/>
    <w:rsid w:val="00B67478"/>
    <w:rsid w:val="00B67BA2"/>
    <w:rsid w:val="00B67D10"/>
    <w:rsid w:val="00B72337"/>
    <w:rsid w:val="00B808EE"/>
    <w:rsid w:val="00B8240C"/>
    <w:rsid w:val="00B82FFE"/>
    <w:rsid w:val="00B83F4C"/>
    <w:rsid w:val="00B84CA9"/>
    <w:rsid w:val="00B8679A"/>
    <w:rsid w:val="00B86B61"/>
    <w:rsid w:val="00B8787F"/>
    <w:rsid w:val="00B91915"/>
    <w:rsid w:val="00B92683"/>
    <w:rsid w:val="00B92DAB"/>
    <w:rsid w:val="00B942F7"/>
    <w:rsid w:val="00B9529F"/>
    <w:rsid w:val="00B9700B"/>
    <w:rsid w:val="00B978B8"/>
    <w:rsid w:val="00BA0D2E"/>
    <w:rsid w:val="00BA1F84"/>
    <w:rsid w:val="00BA7A0C"/>
    <w:rsid w:val="00BB1043"/>
    <w:rsid w:val="00BC1C8D"/>
    <w:rsid w:val="00BC1FDD"/>
    <w:rsid w:val="00BC38FE"/>
    <w:rsid w:val="00BC4374"/>
    <w:rsid w:val="00BC6D43"/>
    <w:rsid w:val="00BD1CC3"/>
    <w:rsid w:val="00BD2BCB"/>
    <w:rsid w:val="00BD3C1D"/>
    <w:rsid w:val="00BD4D30"/>
    <w:rsid w:val="00BD6EFE"/>
    <w:rsid w:val="00BE393B"/>
    <w:rsid w:val="00BE39CA"/>
    <w:rsid w:val="00BE48EF"/>
    <w:rsid w:val="00BE6B5D"/>
    <w:rsid w:val="00BE7C0C"/>
    <w:rsid w:val="00BF3C66"/>
    <w:rsid w:val="00BF54B6"/>
    <w:rsid w:val="00BF6E1D"/>
    <w:rsid w:val="00BF7B80"/>
    <w:rsid w:val="00BF7BB6"/>
    <w:rsid w:val="00C021B8"/>
    <w:rsid w:val="00C02333"/>
    <w:rsid w:val="00C02A58"/>
    <w:rsid w:val="00C05EEC"/>
    <w:rsid w:val="00C07023"/>
    <w:rsid w:val="00C074F6"/>
    <w:rsid w:val="00C10918"/>
    <w:rsid w:val="00C11877"/>
    <w:rsid w:val="00C141E9"/>
    <w:rsid w:val="00C15BAA"/>
    <w:rsid w:val="00C17230"/>
    <w:rsid w:val="00C20E4F"/>
    <w:rsid w:val="00C22684"/>
    <w:rsid w:val="00C23F36"/>
    <w:rsid w:val="00C2417D"/>
    <w:rsid w:val="00C251A7"/>
    <w:rsid w:val="00C26BE4"/>
    <w:rsid w:val="00C27558"/>
    <w:rsid w:val="00C31717"/>
    <w:rsid w:val="00C31AAB"/>
    <w:rsid w:val="00C338C9"/>
    <w:rsid w:val="00C351DA"/>
    <w:rsid w:val="00C37F31"/>
    <w:rsid w:val="00C40E43"/>
    <w:rsid w:val="00C40FD4"/>
    <w:rsid w:val="00C42A2C"/>
    <w:rsid w:val="00C43AB9"/>
    <w:rsid w:val="00C45B4E"/>
    <w:rsid w:val="00C4604F"/>
    <w:rsid w:val="00C462EA"/>
    <w:rsid w:val="00C50A01"/>
    <w:rsid w:val="00C50E70"/>
    <w:rsid w:val="00C5386E"/>
    <w:rsid w:val="00C56DE9"/>
    <w:rsid w:val="00C57045"/>
    <w:rsid w:val="00C57825"/>
    <w:rsid w:val="00C5785A"/>
    <w:rsid w:val="00C65901"/>
    <w:rsid w:val="00C706B7"/>
    <w:rsid w:val="00C73E61"/>
    <w:rsid w:val="00C75283"/>
    <w:rsid w:val="00C77F59"/>
    <w:rsid w:val="00C81973"/>
    <w:rsid w:val="00C81A0F"/>
    <w:rsid w:val="00C83131"/>
    <w:rsid w:val="00C91D4A"/>
    <w:rsid w:val="00C97926"/>
    <w:rsid w:val="00CA10BB"/>
    <w:rsid w:val="00CA37D0"/>
    <w:rsid w:val="00CA44AF"/>
    <w:rsid w:val="00CA4761"/>
    <w:rsid w:val="00CB006E"/>
    <w:rsid w:val="00CB5313"/>
    <w:rsid w:val="00CB7509"/>
    <w:rsid w:val="00CB786B"/>
    <w:rsid w:val="00CB7E68"/>
    <w:rsid w:val="00CC2DC5"/>
    <w:rsid w:val="00CC788E"/>
    <w:rsid w:val="00CD5203"/>
    <w:rsid w:val="00CD799C"/>
    <w:rsid w:val="00CE0516"/>
    <w:rsid w:val="00CE063F"/>
    <w:rsid w:val="00CE2C17"/>
    <w:rsid w:val="00CE3784"/>
    <w:rsid w:val="00CE58BD"/>
    <w:rsid w:val="00CE67CA"/>
    <w:rsid w:val="00CF1ACA"/>
    <w:rsid w:val="00CF1EAD"/>
    <w:rsid w:val="00CF2F8D"/>
    <w:rsid w:val="00CF39AA"/>
    <w:rsid w:val="00CF49D8"/>
    <w:rsid w:val="00D005BA"/>
    <w:rsid w:val="00D00C29"/>
    <w:rsid w:val="00D0275B"/>
    <w:rsid w:val="00D02B52"/>
    <w:rsid w:val="00D03D1A"/>
    <w:rsid w:val="00D06D27"/>
    <w:rsid w:val="00D11CE2"/>
    <w:rsid w:val="00D12FA3"/>
    <w:rsid w:val="00D1433D"/>
    <w:rsid w:val="00D1619D"/>
    <w:rsid w:val="00D1703E"/>
    <w:rsid w:val="00D20948"/>
    <w:rsid w:val="00D213DB"/>
    <w:rsid w:val="00D23495"/>
    <w:rsid w:val="00D2588B"/>
    <w:rsid w:val="00D27CC6"/>
    <w:rsid w:val="00D30BF6"/>
    <w:rsid w:val="00D3111B"/>
    <w:rsid w:val="00D3138D"/>
    <w:rsid w:val="00D34BFB"/>
    <w:rsid w:val="00D4195A"/>
    <w:rsid w:val="00D43306"/>
    <w:rsid w:val="00D43A48"/>
    <w:rsid w:val="00D44AD3"/>
    <w:rsid w:val="00D46FFF"/>
    <w:rsid w:val="00D47D09"/>
    <w:rsid w:val="00D50142"/>
    <w:rsid w:val="00D51970"/>
    <w:rsid w:val="00D546EE"/>
    <w:rsid w:val="00D56602"/>
    <w:rsid w:val="00D57E5D"/>
    <w:rsid w:val="00D608C5"/>
    <w:rsid w:val="00D62D4C"/>
    <w:rsid w:val="00D62EDA"/>
    <w:rsid w:val="00D65224"/>
    <w:rsid w:val="00D65FDC"/>
    <w:rsid w:val="00D67FFC"/>
    <w:rsid w:val="00D7070B"/>
    <w:rsid w:val="00D70729"/>
    <w:rsid w:val="00D715D9"/>
    <w:rsid w:val="00D71878"/>
    <w:rsid w:val="00D73305"/>
    <w:rsid w:val="00D77036"/>
    <w:rsid w:val="00D8056E"/>
    <w:rsid w:val="00D80C45"/>
    <w:rsid w:val="00D86D4D"/>
    <w:rsid w:val="00D92501"/>
    <w:rsid w:val="00D92A0D"/>
    <w:rsid w:val="00D92DA6"/>
    <w:rsid w:val="00D9450A"/>
    <w:rsid w:val="00D95147"/>
    <w:rsid w:val="00D958C4"/>
    <w:rsid w:val="00D96983"/>
    <w:rsid w:val="00DA1C87"/>
    <w:rsid w:val="00DA5545"/>
    <w:rsid w:val="00DA5973"/>
    <w:rsid w:val="00DA6AC5"/>
    <w:rsid w:val="00DB3F91"/>
    <w:rsid w:val="00DB421D"/>
    <w:rsid w:val="00DB44D8"/>
    <w:rsid w:val="00DB59C0"/>
    <w:rsid w:val="00DC0593"/>
    <w:rsid w:val="00DC0A0B"/>
    <w:rsid w:val="00DC3B6B"/>
    <w:rsid w:val="00DC43B1"/>
    <w:rsid w:val="00DC5007"/>
    <w:rsid w:val="00DC5DCD"/>
    <w:rsid w:val="00DC689E"/>
    <w:rsid w:val="00DD5CED"/>
    <w:rsid w:val="00DD6330"/>
    <w:rsid w:val="00DD6671"/>
    <w:rsid w:val="00DD7802"/>
    <w:rsid w:val="00DD78BD"/>
    <w:rsid w:val="00DD7CCB"/>
    <w:rsid w:val="00DE1678"/>
    <w:rsid w:val="00DE44CF"/>
    <w:rsid w:val="00DE6675"/>
    <w:rsid w:val="00DE671F"/>
    <w:rsid w:val="00DE69F6"/>
    <w:rsid w:val="00DE70DB"/>
    <w:rsid w:val="00DF0094"/>
    <w:rsid w:val="00DF0958"/>
    <w:rsid w:val="00DF545A"/>
    <w:rsid w:val="00DF548E"/>
    <w:rsid w:val="00DF66E6"/>
    <w:rsid w:val="00DF7931"/>
    <w:rsid w:val="00DF7ADF"/>
    <w:rsid w:val="00E02083"/>
    <w:rsid w:val="00E03DC0"/>
    <w:rsid w:val="00E04C8E"/>
    <w:rsid w:val="00E078D7"/>
    <w:rsid w:val="00E07C04"/>
    <w:rsid w:val="00E10987"/>
    <w:rsid w:val="00E110DF"/>
    <w:rsid w:val="00E131EA"/>
    <w:rsid w:val="00E1399E"/>
    <w:rsid w:val="00E16A02"/>
    <w:rsid w:val="00E21248"/>
    <w:rsid w:val="00E21B8D"/>
    <w:rsid w:val="00E25265"/>
    <w:rsid w:val="00E27F96"/>
    <w:rsid w:val="00E34AF5"/>
    <w:rsid w:val="00E35240"/>
    <w:rsid w:val="00E3599A"/>
    <w:rsid w:val="00E418F4"/>
    <w:rsid w:val="00E4287D"/>
    <w:rsid w:val="00E4666F"/>
    <w:rsid w:val="00E52AAB"/>
    <w:rsid w:val="00E541FD"/>
    <w:rsid w:val="00E54581"/>
    <w:rsid w:val="00E552F6"/>
    <w:rsid w:val="00E55FDA"/>
    <w:rsid w:val="00E56B1A"/>
    <w:rsid w:val="00E63F2A"/>
    <w:rsid w:val="00E6580C"/>
    <w:rsid w:val="00E71242"/>
    <w:rsid w:val="00E71AB8"/>
    <w:rsid w:val="00E72149"/>
    <w:rsid w:val="00E73C09"/>
    <w:rsid w:val="00E7464F"/>
    <w:rsid w:val="00E76C02"/>
    <w:rsid w:val="00E77DBD"/>
    <w:rsid w:val="00E804C7"/>
    <w:rsid w:val="00E80AA2"/>
    <w:rsid w:val="00E82A97"/>
    <w:rsid w:val="00E91255"/>
    <w:rsid w:val="00E97354"/>
    <w:rsid w:val="00E977A2"/>
    <w:rsid w:val="00EA4635"/>
    <w:rsid w:val="00EA5831"/>
    <w:rsid w:val="00EA70D3"/>
    <w:rsid w:val="00EB2656"/>
    <w:rsid w:val="00EB2791"/>
    <w:rsid w:val="00EC0C13"/>
    <w:rsid w:val="00ED1A61"/>
    <w:rsid w:val="00ED2DE2"/>
    <w:rsid w:val="00ED37BB"/>
    <w:rsid w:val="00ED4A91"/>
    <w:rsid w:val="00ED52F7"/>
    <w:rsid w:val="00ED5E49"/>
    <w:rsid w:val="00ED6BF6"/>
    <w:rsid w:val="00ED7D0D"/>
    <w:rsid w:val="00EE04DE"/>
    <w:rsid w:val="00EE07C8"/>
    <w:rsid w:val="00EE080A"/>
    <w:rsid w:val="00EE11D3"/>
    <w:rsid w:val="00EE317D"/>
    <w:rsid w:val="00EE4138"/>
    <w:rsid w:val="00EE4B60"/>
    <w:rsid w:val="00EF2859"/>
    <w:rsid w:val="00EF3389"/>
    <w:rsid w:val="00EF495E"/>
    <w:rsid w:val="00EF4E46"/>
    <w:rsid w:val="00F017E9"/>
    <w:rsid w:val="00F027E0"/>
    <w:rsid w:val="00F02F7A"/>
    <w:rsid w:val="00F03D64"/>
    <w:rsid w:val="00F04CC5"/>
    <w:rsid w:val="00F05BD1"/>
    <w:rsid w:val="00F06847"/>
    <w:rsid w:val="00F06B39"/>
    <w:rsid w:val="00F07882"/>
    <w:rsid w:val="00F14996"/>
    <w:rsid w:val="00F1540A"/>
    <w:rsid w:val="00F15AD5"/>
    <w:rsid w:val="00F226A5"/>
    <w:rsid w:val="00F228AA"/>
    <w:rsid w:val="00F268D0"/>
    <w:rsid w:val="00F26CC9"/>
    <w:rsid w:val="00F27846"/>
    <w:rsid w:val="00F328D4"/>
    <w:rsid w:val="00F347B8"/>
    <w:rsid w:val="00F351D4"/>
    <w:rsid w:val="00F36092"/>
    <w:rsid w:val="00F364EC"/>
    <w:rsid w:val="00F373DD"/>
    <w:rsid w:val="00F4009E"/>
    <w:rsid w:val="00F41C39"/>
    <w:rsid w:val="00F42735"/>
    <w:rsid w:val="00F434D7"/>
    <w:rsid w:val="00F45727"/>
    <w:rsid w:val="00F47330"/>
    <w:rsid w:val="00F4733E"/>
    <w:rsid w:val="00F500EC"/>
    <w:rsid w:val="00F509F6"/>
    <w:rsid w:val="00F5431A"/>
    <w:rsid w:val="00F547E6"/>
    <w:rsid w:val="00F551D6"/>
    <w:rsid w:val="00F56770"/>
    <w:rsid w:val="00F56FB4"/>
    <w:rsid w:val="00F60443"/>
    <w:rsid w:val="00F604AE"/>
    <w:rsid w:val="00F60964"/>
    <w:rsid w:val="00F63C6B"/>
    <w:rsid w:val="00F65501"/>
    <w:rsid w:val="00F6580F"/>
    <w:rsid w:val="00F7057B"/>
    <w:rsid w:val="00F70D92"/>
    <w:rsid w:val="00F73ADE"/>
    <w:rsid w:val="00F77A00"/>
    <w:rsid w:val="00F832B7"/>
    <w:rsid w:val="00F836E2"/>
    <w:rsid w:val="00F8492A"/>
    <w:rsid w:val="00F854B4"/>
    <w:rsid w:val="00F903A8"/>
    <w:rsid w:val="00F90401"/>
    <w:rsid w:val="00F91EB5"/>
    <w:rsid w:val="00F92D65"/>
    <w:rsid w:val="00F93936"/>
    <w:rsid w:val="00FA001C"/>
    <w:rsid w:val="00FA0E4A"/>
    <w:rsid w:val="00FA1065"/>
    <w:rsid w:val="00FA1C99"/>
    <w:rsid w:val="00FA3546"/>
    <w:rsid w:val="00FA57FD"/>
    <w:rsid w:val="00FB0A8B"/>
    <w:rsid w:val="00FB0FB0"/>
    <w:rsid w:val="00FB3720"/>
    <w:rsid w:val="00FB4C35"/>
    <w:rsid w:val="00FB54D5"/>
    <w:rsid w:val="00FB671F"/>
    <w:rsid w:val="00FC40BC"/>
    <w:rsid w:val="00FC4705"/>
    <w:rsid w:val="00FC6E1D"/>
    <w:rsid w:val="00FC71E1"/>
    <w:rsid w:val="00FC7CDC"/>
    <w:rsid w:val="00FD2ECC"/>
    <w:rsid w:val="00FD3740"/>
    <w:rsid w:val="00FD3F82"/>
    <w:rsid w:val="00FD59E0"/>
    <w:rsid w:val="00FD6E02"/>
    <w:rsid w:val="00FE27B0"/>
    <w:rsid w:val="00FE33CB"/>
    <w:rsid w:val="00FE455B"/>
    <w:rsid w:val="00FE7561"/>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5F9CACF6"/>
  <w15:docId w15:val="{CFA14B19-FCD2-480D-A16F-0549CC49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sid w:val="001E6C77"/>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sid w:val="001E6C77"/>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1E6C77"/>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character" w:customStyle="1" w:styleId="Marker2">
    <w:name w:val="Marker2"/>
    <w:basedOn w:val="Noklusjumarindkopasfonts"/>
    <w:rsid w:val="00453E17"/>
    <w:rPr>
      <w:color w:val="FF0000"/>
      <w:shd w:val="clear" w:color="auto" w:fill="auto"/>
    </w:rPr>
  </w:style>
  <w:style w:type="paragraph" w:customStyle="1" w:styleId="Datedadoption">
    <w:name w:val="Date d'adoption"/>
    <w:basedOn w:val="Parasts"/>
    <w:next w:val="Titreobjet"/>
    <w:rsid w:val="00453E17"/>
    <w:pPr>
      <w:spacing w:before="360" w:after="0" w:line="240" w:lineRule="auto"/>
      <w:jc w:val="center"/>
    </w:pPr>
    <w:rPr>
      <w:rFonts w:ascii="Times New Roman" w:eastAsiaTheme="minorHAnsi" w:hAnsi="Times New Roman"/>
      <w:b/>
      <w:sz w:val="24"/>
      <w:lang w:val="en-GB"/>
    </w:rPr>
  </w:style>
  <w:style w:type="paragraph" w:customStyle="1" w:styleId="Titreobjet">
    <w:name w:val="Titre objet"/>
    <w:basedOn w:val="Parasts"/>
    <w:next w:val="Parasts"/>
    <w:rsid w:val="00453E17"/>
    <w:pPr>
      <w:spacing w:before="360" w:after="360" w:line="240" w:lineRule="auto"/>
      <w:jc w:val="center"/>
    </w:pPr>
    <w:rPr>
      <w:rFonts w:ascii="Times New Roman" w:eastAsiaTheme="minorHAnsi" w:hAnsi="Times New Roman"/>
      <w:b/>
      <w:sz w:val="24"/>
      <w:lang w:val="en-GB"/>
    </w:rPr>
  </w:style>
  <w:style w:type="paragraph" w:customStyle="1" w:styleId="Typedudocument">
    <w:name w:val="Type du document"/>
    <w:basedOn w:val="Parasts"/>
    <w:next w:val="Titreobjet"/>
    <w:rsid w:val="00453E17"/>
    <w:pPr>
      <w:spacing w:before="360" w:after="0" w:line="240" w:lineRule="auto"/>
      <w:jc w:val="center"/>
    </w:pPr>
    <w:rPr>
      <w:rFonts w:ascii="Times New Roman" w:eastAsiaTheme="minorHAnsi" w:hAnsi="Times New Roman"/>
      <w:b/>
      <w:sz w:val="24"/>
      <w:lang w:val="en-GB"/>
    </w:rPr>
  </w:style>
  <w:style w:type="paragraph" w:customStyle="1" w:styleId="Considrant">
    <w:name w:val="Considérant"/>
    <w:basedOn w:val="Parasts"/>
    <w:rsid w:val="0027175C"/>
    <w:pPr>
      <w:numPr>
        <w:numId w:val="5"/>
      </w:numPr>
      <w:spacing w:before="120" w:after="120" w:line="240" w:lineRule="auto"/>
      <w:jc w:val="both"/>
    </w:pPr>
    <w:rPr>
      <w:rFonts w:ascii="Times New Roman" w:eastAsiaTheme="minorHAnsi" w:hAnsi="Times New Roman"/>
      <w:sz w:val="24"/>
      <w:lang w:val="en-GB"/>
    </w:rPr>
  </w:style>
  <w:style w:type="paragraph" w:customStyle="1" w:styleId="doc-ti">
    <w:name w:val="doc-ti"/>
    <w:basedOn w:val="Parasts"/>
    <w:rsid w:val="00C251A7"/>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gov.lv/zemkopibas-ministrija/apspriesanas/ministru-kabineta-noteikumu-projekts-grozijumi-ministru-kabineta-2009-?id=89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laizane@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B315E-E222-447F-A805-C7231FF1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10</Pages>
  <Words>11040</Words>
  <Characters>6294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 gada 17. februāra noteikumi Nr. 152 "Lopbarības augu sēklaudzēšanas un sēklu tirdzniecības noteikumi"” sākotnējās ietekmes novērtējuma ziņojums (anotācija)</vt:lpstr>
      <vt:lpstr>Ministru kabineta noteikumu projekta “Grozījumi Ministru kabineta 2009. gada 17. februāra noteikumi Nr. 152 "Lopbarības augu sēklaudzēšanas un sēklu tirdzniecības noteikumi"” sākotnējās ietekmes novērtējuma ziņojums (anotācija)</vt:lpstr>
    </vt:vector>
  </TitlesOfParts>
  <Company>Zemkopības Ministrija</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17. februāra noteikumi Nr. 152 "Lopbarības augu sēklaudzēšanas un sēklu tirdzniecības noteikumi"” sākotnējās ietekmes novērtējuma ziņojums (anotācija)</dc:title>
  <dc:subject>Anotācija</dc:subject>
  <dc:creator>Laura Laizāne</dc:creator>
  <dc:description>Laizāne 67027360_x000d_
laura.laizane@zm.gov.lv</dc:description>
  <cp:lastModifiedBy>Kristiāna Sebre</cp:lastModifiedBy>
  <cp:revision>9</cp:revision>
  <cp:lastPrinted>2018-04-12T11:27:00Z</cp:lastPrinted>
  <dcterms:created xsi:type="dcterms:W3CDTF">2020-03-21T18:10:00Z</dcterms:created>
  <dcterms:modified xsi:type="dcterms:W3CDTF">2020-03-24T07:59:00Z</dcterms:modified>
</cp:coreProperties>
</file>