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E928" w14:textId="7CAB4553" w:rsidR="00051FCD" w:rsidRPr="00BE5444" w:rsidRDefault="002D7FC5" w:rsidP="00D76050">
      <w:pPr>
        <w:suppressAutoHyphens/>
        <w:spacing w:after="0" w:line="240" w:lineRule="auto"/>
        <w:jc w:val="center"/>
        <w:rPr>
          <w:rFonts w:ascii="Times New Roman" w:eastAsia="Times New Roman" w:hAnsi="Times New Roman" w:cs="Times New Roman"/>
          <w:b/>
          <w:sz w:val="28"/>
          <w:szCs w:val="24"/>
          <w:lang w:eastAsia="ar-SA"/>
        </w:rPr>
      </w:pPr>
      <w:r w:rsidRPr="00BE5444">
        <w:rPr>
          <w:rFonts w:ascii="Times New Roman" w:eastAsia="Times New Roman" w:hAnsi="Times New Roman" w:cs="Times New Roman"/>
          <w:b/>
          <w:sz w:val="28"/>
          <w:szCs w:val="24"/>
          <w:lang w:eastAsia="ar-SA"/>
        </w:rPr>
        <w:t xml:space="preserve">Konceptuālais </w:t>
      </w:r>
      <w:r w:rsidR="00051FCD" w:rsidRPr="00BE5444">
        <w:rPr>
          <w:rFonts w:ascii="Times New Roman" w:eastAsia="Times New Roman" w:hAnsi="Times New Roman" w:cs="Times New Roman"/>
          <w:b/>
          <w:sz w:val="28"/>
          <w:szCs w:val="24"/>
          <w:lang w:eastAsia="ar-SA"/>
        </w:rPr>
        <w:t xml:space="preserve">ziņojums </w:t>
      </w:r>
    </w:p>
    <w:p w14:paraId="56695D13" w14:textId="77777777" w:rsidR="00051FCD" w:rsidRPr="00BE5444" w:rsidRDefault="00411379" w:rsidP="00D76050">
      <w:pPr>
        <w:suppressAutoHyphens/>
        <w:spacing w:after="0" w:line="240" w:lineRule="auto"/>
        <w:jc w:val="center"/>
        <w:rPr>
          <w:rFonts w:ascii="Times New Roman" w:eastAsia="Times New Roman" w:hAnsi="Times New Roman" w:cs="Times New Roman"/>
          <w:b/>
          <w:sz w:val="28"/>
          <w:szCs w:val="24"/>
          <w:lang w:eastAsia="ar-SA"/>
        </w:rPr>
      </w:pPr>
      <w:r w:rsidRPr="00BE5444">
        <w:rPr>
          <w:rFonts w:ascii="Times New Roman" w:eastAsia="Times New Roman" w:hAnsi="Times New Roman" w:cs="Times New Roman"/>
          <w:b/>
          <w:sz w:val="28"/>
          <w:szCs w:val="24"/>
          <w:lang w:eastAsia="ar-SA"/>
        </w:rPr>
        <w:t>“</w:t>
      </w:r>
      <w:r w:rsidR="00051FCD" w:rsidRPr="00BE5444">
        <w:rPr>
          <w:rFonts w:ascii="Times New Roman" w:eastAsia="Times New Roman" w:hAnsi="Times New Roman" w:cs="Times New Roman"/>
          <w:b/>
          <w:sz w:val="28"/>
          <w:szCs w:val="24"/>
          <w:lang w:eastAsia="ar-SA"/>
        </w:rPr>
        <w:t>Par attīstības sadarbībai pare</w:t>
      </w:r>
      <w:r w:rsidR="007205FA" w:rsidRPr="00BE5444">
        <w:rPr>
          <w:rFonts w:ascii="Times New Roman" w:eastAsia="Times New Roman" w:hAnsi="Times New Roman" w:cs="Times New Roman"/>
          <w:b/>
          <w:sz w:val="28"/>
          <w:szCs w:val="24"/>
          <w:lang w:eastAsia="ar-SA"/>
        </w:rPr>
        <w:t>dzētā finansējuma palielināšanu</w:t>
      </w:r>
      <w:r w:rsidR="00B07C04" w:rsidRPr="00BE5444">
        <w:rPr>
          <w:rFonts w:ascii="Times New Roman" w:eastAsia="Times New Roman" w:hAnsi="Times New Roman" w:cs="Times New Roman"/>
          <w:b/>
          <w:sz w:val="28"/>
          <w:szCs w:val="24"/>
          <w:lang w:eastAsia="ar-SA"/>
        </w:rPr>
        <w:t xml:space="preserve"> 2021. – 2025.gadā</w:t>
      </w:r>
      <w:r w:rsidRPr="00BE5444">
        <w:rPr>
          <w:rFonts w:ascii="Times New Roman" w:eastAsia="Times New Roman" w:hAnsi="Times New Roman" w:cs="Times New Roman"/>
          <w:b/>
          <w:sz w:val="28"/>
          <w:szCs w:val="24"/>
          <w:lang w:eastAsia="ar-SA"/>
        </w:rPr>
        <w:t>”</w:t>
      </w:r>
    </w:p>
    <w:p w14:paraId="23248EED" w14:textId="77777777" w:rsidR="00411379" w:rsidRDefault="00411379" w:rsidP="00D76050">
      <w:pPr>
        <w:suppressAutoHyphens/>
        <w:spacing w:after="0" w:line="240" w:lineRule="auto"/>
        <w:jc w:val="center"/>
        <w:rPr>
          <w:rFonts w:ascii="Times New Roman" w:eastAsia="Times New Roman" w:hAnsi="Times New Roman" w:cs="Times New Roman"/>
          <w:b/>
          <w:sz w:val="24"/>
          <w:szCs w:val="24"/>
          <w:lang w:eastAsia="ar-SA"/>
        </w:rPr>
      </w:pPr>
    </w:p>
    <w:p w14:paraId="4C8BD896" w14:textId="77777777" w:rsidR="003A286D" w:rsidRPr="00BE5444" w:rsidRDefault="003A286D" w:rsidP="002E77F6">
      <w:pPr>
        <w:suppressAutoHyphens/>
        <w:spacing w:after="0" w:line="240" w:lineRule="auto"/>
        <w:jc w:val="center"/>
        <w:rPr>
          <w:rFonts w:ascii="Times New Roman" w:eastAsia="Times New Roman" w:hAnsi="Times New Roman" w:cs="Times New Roman"/>
          <w:b/>
          <w:sz w:val="28"/>
          <w:szCs w:val="24"/>
          <w:lang w:eastAsia="ar-SA"/>
        </w:rPr>
      </w:pPr>
      <w:r w:rsidRPr="00BE5444">
        <w:rPr>
          <w:rFonts w:ascii="Times New Roman" w:eastAsia="Times New Roman" w:hAnsi="Times New Roman" w:cs="Times New Roman"/>
          <w:b/>
          <w:sz w:val="28"/>
          <w:szCs w:val="24"/>
          <w:lang w:eastAsia="ar-SA"/>
        </w:rPr>
        <w:t>Kopsavilkums</w:t>
      </w:r>
    </w:p>
    <w:p w14:paraId="2C00DF11" w14:textId="77777777" w:rsidR="003A286D" w:rsidRPr="00D76050" w:rsidRDefault="003A286D" w:rsidP="00D76050">
      <w:pPr>
        <w:suppressAutoHyphens/>
        <w:spacing w:after="0" w:line="240" w:lineRule="auto"/>
        <w:jc w:val="center"/>
        <w:rPr>
          <w:rFonts w:ascii="Times New Roman" w:eastAsia="Times New Roman" w:hAnsi="Times New Roman" w:cs="Times New Roman"/>
          <w:b/>
          <w:sz w:val="24"/>
          <w:szCs w:val="24"/>
          <w:lang w:eastAsia="ar-SA"/>
        </w:rPr>
      </w:pPr>
    </w:p>
    <w:p w14:paraId="387A4A38" w14:textId="77777777" w:rsidR="00445058" w:rsidRDefault="00470EF4" w:rsidP="00254644">
      <w:pPr>
        <w:keepNext/>
        <w:spacing w:after="24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Konceptuālā</w:t>
      </w:r>
      <w:r w:rsidRPr="009905B5">
        <w:rPr>
          <w:rFonts w:ascii="Times New Roman" w:eastAsia="Times New Roman" w:hAnsi="Times New Roman" w:cs="Times New Roman"/>
          <w:bCs/>
          <w:sz w:val="24"/>
          <w:szCs w:val="24"/>
          <w:lang w:eastAsia="lv-LV"/>
        </w:rPr>
        <w:t xml:space="preserve"> </w:t>
      </w:r>
      <w:r w:rsidR="00445058" w:rsidRPr="009905B5">
        <w:rPr>
          <w:rFonts w:ascii="Times New Roman" w:eastAsia="Times New Roman" w:hAnsi="Times New Roman" w:cs="Times New Roman"/>
          <w:bCs/>
          <w:sz w:val="24"/>
          <w:szCs w:val="24"/>
          <w:lang w:eastAsia="lv-LV"/>
        </w:rPr>
        <w:t xml:space="preserve">ziņojuma </w:t>
      </w:r>
      <w:r>
        <w:rPr>
          <w:rFonts w:ascii="Times New Roman" w:eastAsia="Times New Roman" w:hAnsi="Times New Roman" w:cs="Times New Roman"/>
          <w:bCs/>
          <w:sz w:val="24"/>
          <w:szCs w:val="24"/>
          <w:lang w:eastAsia="lv-LV"/>
        </w:rPr>
        <w:t>“</w:t>
      </w:r>
      <w:r w:rsidRPr="00470EF4">
        <w:rPr>
          <w:rFonts w:ascii="Times New Roman" w:eastAsia="Times New Roman" w:hAnsi="Times New Roman" w:cs="Times New Roman"/>
          <w:bCs/>
          <w:sz w:val="24"/>
          <w:szCs w:val="24"/>
          <w:lang w:eastAsia="lv-LV"/>
        </w:rPr>
        <w:t>Par attīstības sadarbībai paredzētā finansējuma palielināšanu 2021</w:t>
      </w:r>
      <w:r w:rsidR="00277AEA" w:rsidRPr="00470EF4">
        <w:rPr>
          <w:rFonts w:ascii="Times New Roman" w:eastAsia="Times New Roman" w:hAnsi="Times New Roman" w:cs="Times New Roman"/>
          <w:bCs/>
          <w:sz w:val="24"/>
          <w:szCs w:val="24"/>
          <w:lang w:eastAsia="lv-LV"/>
        </w:rPr>
        <w:t>.</w:t>
      </w:r>
      <w:r w:rsidR="00277AEA">
        <w:rPr>
          <w:rFonts w:ascii="Times New Roman" w:eastAsia="Times New Roman" w:hAnsi="Times New Roman" w:cs="Times New Roman"/>
          <w:bCs/>
          <w:sz w:val="24"/>
          <w:szCs w:val="24"/>
          <w:lang w:eastAsia="lv-LV"/>
        </w:rPr>
        <w:t> </w:t>
      </w:r>
      <w:r w:rsidRPr="00470EF4">
        <w:rPr>
          <w:rFonts w:ascii="Times New Roman" w:eastAsia="Times New Roman" w:hAnsi="Times New Roman" w:cs="Times New Roman"/>
          <w:bCs/>
          <w:sz w:val="24"/>
          <w:szCs w:val="24"/>
          <w:lang w:eastAsia="lv-LV"/>
        </w:rPr>
        <w:t>– 2025.gadā”</w:t>
      </w:r>
      <w:r w:rsidR="00C517AE">
        <w:rPr>
          <w:rFonts w:ascii="Times New Roman" w:eastAsia="Times New Roman" w:hAnsi="Times New Roman" w:cs="Times New Roman"/>
          <w:bCs/>
          <w:sz w:val="24"/>
          <w:szCs w:val="24"/>
          <w:lang w:eastAsia="lv-LV"/>
        </w:rPr>
        <w:t xml:space="preserve"> </w:t>
      </w:r>
      <w:r w:rsidR="00445058" w:rsidRPr="009905B5">
        <w:rPr>
          <w:rFonts w:ascii="Times New Roman" w:eastAsia="Times New Roman" w:hAnsi="Times New Roman" w:cs="Times New Roman"/>
          <w:bCs/>
          <w:sz w:val="24"/>
          <w:szCs w:val="24"/>
          <w:lang w:eastAsia="lv-LV"/>
        </w:rPr>
        <w:t xml:space="preserve">mērķis ir </w:t>
      </w:r>
      <w:r w:rsidR="00F03DA0" w:rsidRPr="009905B5">
        <w:rPr>
          <w:rFonts w:ascii="Times New Roman" w:eastAsia="Times New Roman" w:hAnsi="Times New Roman" w:cs="Times New Roman"/>
          <w:bCs/>
          <w:sz w:val="24"/>
          <w:szCs w:val="24"/>
          <w:lang w:eastAsia="lv-LV"/>
        </w:rPr>
        <w:t>piedāvāt modeļus Latvijas divpusējās attīstības sadarbības</w:t>
      </w:r>
      <w:r w:rsidR="00B16E6A" w:rsidRPr="009905B5">
        <w:rPr>
          <w:rFonts w:ascii="Times New Roman" w:eastAsia="Times New Roman" w:hAnsi="Times New Roman" w:cs="Times New Roman"/>
          <w:bCs/>
          <w:sz w:val="24"/>
          <w:szCs w:val="24"/>
          <w:lang w:eastAsia="lv-LV"/>
        </w:rPr>
        <w:t xml:space="preserve"> </w:t>
      </w:r>
      <w:r w:rsidR="00915EAA" w:rsidRPr="009905B5">
        <w:rPr>
          <w:rFonts w:ascii="Times New Roman" w:eastAsia="Times New Roman" w:hAnsi="Times New Roman" w:cs="Times New Roman"/>
          <w:bCs/>
          <w:sz w:val="24"/>
          <w:szCs w:val="24"/>
          <w:lang w:eastAsia="lv-LV"/>
        </w:rPr>
        <w:t>finansējum</w:t>
      </w:r>
      <w:r w:rsidR="00B3173A" w:rsidRPr="009905B5">
        <w:rPr>
          <w:rFonts w:ascii="Times New Roman" w:eastAsia="Times New Roman" w:hAnsi="Times New Roman" w:cs="Times New Roman"/>
          <w:bCs/>
          <w:sz w:val="24"/>
          <w:szCs w:val="24"/>
          <w:lang w:eastAsia="lv-LV"/>
        </w:rPr>
        <w:t>a palielināšanai, ņemot vērā nepieciešamību ievērot Latvijas apņemšanos līdz 2030</w:t>
      </w:r>
      <w:r w:rsidR="00A2733A">
        <w:rPr>
          <w:rFonts w:ascii="Times New Roman" w:eastAsia="Times New Roman" w:hAnsi="Times New Roman" w:cs="Times New Roman"/>
          <w:bCs/>
          <w:sz w:val="24"/>
          <w:szCs w:val="24"/>
          <w:lang w:eastAsia="lv-LV"/>
        </w:rPr>
        <w:t>. gad</w:t>
      </w:r>
      <w:r w:rsidR="00B3173A" w:rsidRPr="009905B5">
        <w:rPr>
          <w:rFonts w:ascii="Times New Roman" w:eastAsia="Times New Roman" w:hAnsi="Times New Roman" w:cs="Times New Roman"/>
          <w:bCs/>
          <w:sz w:val="24"/>
          <w:szCs w:val="24"/>
          <w:lang w:eastAsia="lv-LV"/>
        </w:rPr>
        <w:t>am palielināt oficiālās attīstības palīdzības</w:t>
      </w:r>
      <w:r w:rsidR="009F7813" w:rsidRPr="009905B5">
        <w:rPr>
          <w:rFonts w:ascii="Times New Roman" w:eastAsia="Times New Roman" w:hAnsi="Times New Roman" w:cs="Times New Roman"/>
          <w:bCs/>
          <w:sz w:val="24"/>
          <w:szCs w:val="24"/>
          <w:lang w:eastAsia="lv-LV"/>
        </w:rPr>
        <w:t xml:space="preserve"> </w:t>
      </w:r>
      <w:r w:rsidR="00C517AE">
        <w:rPr>
          <w:rFonts w:ascii="Times New Roman" w:eastAsia="Times New Roman" w:hAnsi="Times New Roman" w:cs="Times New Roman"/>
          <w:bCs/>
          <w:sz w:val="24"/>
          <w:szCs w:val="24"/>
          <w:lang w:eastAsia="lv-LV"/>
        </w:rPr>
        <w:t>(turpmāk – OAP) apjomu</w:t>
      </w:r>
      <w:r w:rsidR="00B3173A" w:rsidRPr="009905B5">
        <w:rPr>
          <w:rFonts w:ascii="Times New Roman" w:eastAsia="Times New Roman" w:hAnsi="Times New Roman" w:cs="Times New Roman"/>
          <w:bCs/>
          <w:sz w:val="24"/>
          <w:szCs w:val="24"/>
          <w:lang w:eastAsia="lv-LV"/>
        </w:rPr>
        <w:t xml:space="preserve"> līdz 0.33% no nacionālā kopienākuma</w:t>
      </w:r>
      <w:r w:rsidR="00C3278E">
        <w:rPr>
          <w:rFonts w:ascii="Times New Roman" w:eastAsia="Times New Roman" w:hAnsi="Times New Roman" w:cs="Times New Roman"/>
          <w:bCs/>
          <w:sz w:val="24"/>
          <w:szCs w:val="24"/>
          <w:lang w:eastAsia="lv-LV"/>
        </w:rPr>
        <w:t xml:space="preserve"> (turpmāk – NKI)</w:t>
      </w:r>
      <w:r w:rsidR="00B3173A" w:rsidRPr="009905B5">
        <w:rPr>
          <w:rFonts w:ascii="Times New Roman" w:eastAsia="Times New Roman" w:hAnsi="Times New Roman" w:cs="Times New Roman"/>
          <w:bCs/>
          <w:sz w:val="24"/>
          <w:szCs w:val="24"/>
          <w:lang w:eastAsia="lv-LV"/>
        </w:rPr>
        <w:t>.</w:t>
      </w:r>
      <w:r w:rsidR="002E253A">
        <w:rPr>
          <w:rFonts w:ascii="Times New Roman" w:eastAsia="Times New Roman" w:hAnsi="Times New Roman" w:cs="Times New Roman"/>
          <w:bCs/>
          <w:sz w:val="24"/>
          <w:szCs w:val="24"/>
          <w:lang w:eastAsia="lv-LV"/>
        </w:rPr>
        <w:t xml:space="preserve"> </w:t>
      </w:r>
      <w:r w:rsidR="00820E56">
        <w:rPr>
          <w:rFonts w:ascii="Times New Roman" w:eastAsia="Times New Roman" w:hAnsi="Times New Roman" w:cs="Times New Roman"/>
          <w:bCs/>
          <w:sz w:val="24"/>
          <w:szCs w:val="24"/>
          <w:lang w:eastAsia="lv-LV"/>
        </w:rPr>
        <w:t>Konceptuālais</w:t>
      </w:r>
      <w:r w:rsidR="00820E56" w:rsidRPr="009905B5">
        <w:rPr>
          <w:rFonts w:ascii="Times New Roman" w:eastAsia="Times New Roman" w:hAnsi="Times New Roman" w:cs="Times New Roman"/>
          <w:bCs/>
          <w:sz w:val="24"/>
          <w:szCs w:val="24"/>
          <w:lang w:eastAsia="lv-LV"/>
        </w:rPr>
        <w:t xml:space="preserve"> </w:t>
      </w:r>
      <w:r w:rsidR="00B3173A" w:rsidRPr="009905B5">
        <w:rPr>
          <w:rFonts w:ascii="Times New Roman" w:eastAsia="Times New Roman" w:hAnsi="Times New Roman" w:cs="Times New Roman"/>
          <w:bCs/>
          <w:sz w:val="24"/>
          <w:szCs w:val="24"/>
          <w:lang w:eastAsia="lv-LV"/>
        </w:rPr>
        <w:t>ziņojums pamato, kā finansējuma palielināšana divpusējai attīstības palīdzībai</w:t>
      </w:r>
      <w:r w:rsidR="0041134B">
        <w:rPr>
          <w:rFonts w:ascii="Times New Roman" w:eastAsia="Times New Roman" w:hAnsi="Times New Roman" w:cs="Times New Roman"/>
          <w:bCs/>
          <w:sz w:val="24"/>
          <w:szCs w:val="24"/>
          <w:lang w:eastAsia="lv-LV"/>
        </w:rPr>
        <w:t xml:space="preserve"> veicinātu Latvijas kā donor</w:t>
      </w:r>
      <w:r w:rsidR="00930DCC">
        <w:rPr>
          <w:rFonts w:ascii="Times New Roman" w:eastAsia="Times New Roman" w:hAnsi="Times New Roman" w:cs="Times New Roman"/>
          <w:bCs/>
          <w:sz w:val="24"/>
          <w:szCs w:val="24"/>
          <w:lang w:eastAsia="lv-LV"/>
        </w:rPr>
        <w:t xml:space="preserve">a </w:t>
      </w:r>
      <w:r w:rsidR="0041134B">
        <w:rPr>
          <w:rFonts w:ascii="Times New Roman" w:eastAsia="Times New Roman" w:hAnsi="Times New Roman" w:cs="Times New Roman"/>
          <w:bCs/>
          <w:sz w:val="24"/>
          <w:szCs w:val="24"/>
          <w:lang w:eastAsia="lv-LV"/>
        </w:rPr>
        <w:t xml:space="preserve">redzamību un paredzamību, </w:t>
      </w:r>
      <w:r w:rsidR="00CB0023">
        <w:rPr>
          <w:rFonts w:ascii="Times New Roman" w:eastAsia="Times New Roman" w:hAnsi="Times New Roman" w:cs="Times New Roman"/>
          <w:bCs/>
          <w:sz w:val="24"/>
          <w:szCs w:val="24"/>
          <w:lang w:eastAsia="lv-LV"/>
        </w:rPr>
        <w:t>ļautu pilnvērtīgāk izmantot Latvijā pieejam</w:t>
      </w:r>
      <w:r w:rsidR="0041134B">
        <w:rPr>
          <w:rFonts w:ascii="Times New Roman" w:eastAsia="Times New Roman" w:hAnsi="Times New Roman" w:cs="Times New Roman"/>
          <w:bCs/>
          <w:sz w:val="24"/>
          <w:szCs w:val="24"/>
          <w:lang w:eastAsia="lv-LV"/>
        </w:rPr>
        <w:t>o ekspertīzi un risinājumus ilgtspējīgas palīdzības nodrošināšanā</w:t>
      </w:r>
      <w:r w:rsidR="00576558">
        <w:rPr>
          <w:rFonts w:ascii="Times New Roman" w:eastAsia="Times New Roman" w:hAnsi="Times New Roman" w:cs="Times New Roman"/>
          <w:bCs/>
          <w:sz w:val="24"/>
          <w:szCs w:val="24"/>
          <w:lang w:eastAsia="lv-LV"/>
        </w:rPr>
        <w:t>, kā arī sniegtu jaunas iespējas Latvijas valsts institūcijām</w:t>
      </w:r>
      <w:r w:rsidR="005963F5">
        <w:rPr>
          <w:rFonts w:ascii="Times New Roman" w:eastAsia="Times New Roman" w:hAnsi="Times New Roman" w:cs="Times New Roman"/>
          <w:bCs/>
          <w:sz w:val="24"/>
          <w:szCs w:val="24"/>
          <w:lang w:eastAsia="lv-LV"/>
        </w:rPr>
        <w:t>, pilsoniskajai sabiedrībai</w:t>
      </w:r>
      <w:r w:rsidR="00576558">
        <w:rPr>
          <w:rFonts w:ascii="Times New Roman" w:eastAsia="Times New Roman" w:hAnsi="Times New Roman" w:cs="Times New Roman"/>
          <w:bCs/>
          <w:sz w:val="24"/>
          <w:szCs w:val="24"/>
          <w:lang w:eastAsia="lv-LV"/>
        </w:rPr>
        <w:t xml:space="preserve"> un privātajam sektoram, kas iesaistīti attīstības sadarbības projektu īstenošanā</w:t>
      </w:r>
      <w:r w:rsidR="0041134B">
        <w:rPr>
          <w:rFonts w:ascii="Times New Roman" w:eastAsia="Times New Roman" w:hAnsi="Times New Roman" w:cs="Times New Roman"/>
          <w:bCs/>
          <w:sz w:val="24"/>
          <w:szCs w:val="24"/>
          <w:lang w:eastAsia="lv-LV"/>
        </w:rPr>
        <w:t>.</w:t>
      </w:r>
      <w:r w:rsidR="00CB0023">
        <w:rPr>
          <w:rFonts w:ascii="Times New Roman" w:eastAsia="Times New Roman" w:hAnsi="Times New Roman" w:cs="Times New Roman"/>
          <w:bCs/>
          <w:sz w:val="24"/>
          <w:szCs w:val="24"/>
          <w:lang w:eastAsia="lv-LV"/>
        </w:rPr>
        <w:t xml:space="preserve"> </w:t>
      </w:r>
      <w:r w:rsidR="000977BE">
        <w:rPr>
          <w:rFonts w:ascii="Times New Roman" w:eastAsia="Times New Roman" w:hAnsi="Times New Roman" w:cs="Times New Roman"/>
          <w:bCs/>
          <w:sz w:val="24"/>
          <w:szCs w:val="24"/>
          <w:lang w:eastAsia="lv-LV"/>
        </w:rPr>
        <w:t xml:space="preserve">Konceptuālajā </w:t>
      </w:r>
      <w:r w:rsidR="007F4B8C">
        <w:rPr>
          <w:rFonts w:ascii="Times New Roman" w:eastAsia="Times New Roman" w:hAnsi="Times New Roman" w:cs="Times New Roman"/>
          <w:bCs/>
          <w:sz w:val="24"/>
          <w:szCs w:val="24"/>
          <w:lang w:eastAsia="lv-LV"/>
        </w:rPr>
        <w:t xml:space="preserve">ziņojumā argumentēts, ka Latvijas ieguldījums attīstības sadarbībā ir nepietiekams un nepieciešamība palielināt </w:t>
      </w:r>
      <w:r w:rsidR="008639EC">
        <w:rPr>
          <w:rFonts w:ascii="Times New Roman" w:eastAsia="Times New Roman" w:hAnsi="Times New Roman" w:cs="Times New Roman"/>
          <w:bCs/>
          <w:sz w:val="24"/>
          <w:szCs w:val="24"/>
          <w:lang w:eastAsia="lv-LV"/>
        </w:rPr>
        <w:t>tai</w:t>
      </w:r>
      <w:r w:rsidR="007F4B8C">
        <w:rPr>
          <w:rFonts w:ascii="Times New Roman" w:eastAsia="Times New Roman" w:hAnsi="Times New Roman" w:cs="Times New Roman"/>
          <w:bCs/>
          <w:sz w:val="24"/>
          <w:szCs w:val="24"/>
          <w:lang w:eastAsia="lv-LV"/>
        </w:rPr>
        <w:t xml:space="preserve"> atvēlēto finansējumu kļūs</w:t>
      </w:r>
      <w:r w:rsidR="008639EC">
        <w:rPr>
          <w:rFonts w:ascii="Times New Roman" w:eastAsia="Times New Roman" w:hAnsi="Times New Roman" w:cs="Times New Roman"/>
          <w:bCs/>
          <w:sz w:val="24"/>
          <w:szCs w:val="24"/>
          <w:lang w:eastAsia="lv-LV"/>
        </w:rPr>
        <w:t xml:space="preserve"> arvien</w:t>
      </w:r>
      <w:r w:rsidR="007F4B8C">
        <w:rPr>
          <w:rFonts w:ascii="Times New Roman" w:eastAsia="Times New Roman" w:hAnsi="Times New Roman" w:cs="Times New Roman"/>
          <w:bCs/>
          <w:sz w:val="24"/>
          <w:szCs w:val="24"/>
          <w:lang w:eastAsia="lv-LV"/>
        </w:rPr>
        <w:t xml:space="preserve"> akūtāka, jo īpaši ņemot vērā Latvijas izvirzīto mērķi tikt ievēlētai par A</w:t>
      </w:r>
      <w:r>
        <w:rPr>
          <w:rFonts w:ascii="Times New Roman" w:eastAsia="Times New Roman" w:hAnsi="Times New Roman" w:cs="Times New Roman"/>
          <w:bCs/>
          <w:sz w:val="24"/>
          <w:szCs w:val="24"/>
          <w:lang w:eastAsia="lv-LV"/>
        </w:rPr>
        <w:t xml:space="preserve">pvienoto </w:t>
      </w:r>
      <w:r w:rsidR="007F4B8C">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āciju Organizācijas</w:t>
      </w:r>
      <w:r w:rsidR="00C3278E">
        <w:rPr>
          <w:rFonts w:ascii="Times New Roman" w:eastAsia="Times New Roman" w:hAnsi="Times New Roman" w:cs="Times New Roman"/>
          <w:bCs/>
          <w:sz w:val="24"/>
          <w:szCs w:val="24"/>
          <w:lang w:eastAsia="lv-LV"/>
        </w:rPr>
        <w:t xml:space="preserve"> (turpmāk – ANO)</w:t>
      </w:r>
      <w:r w:rsidR="007F4B8C">
        <w:rPr>
          <w:rFonts w:ascii="Times New Roman" w:eastAsia="Times New Roman" w:hAnsi="Times New Roman" w:cs="Times New Roman"/>
          <w:bCs/>
          <w:sz w:val="24"/>
          <w:szCs w:val="24"/>
          <w:lang w:eastAsia="lv-LV"/>
        </w:rPr>
        <w:t xml:space="preserve"> Drošības padomes nepastāvīgo locekli 2026.</w:t>
      </w:r>
      <w:r w:rsidR="00411379">
        <w:rPr>
          <w:rFonts w:ascii="Times New Roman" w:eastAsia="Times New Roman" w:hAnsi="Times New Roman" w:cs="Times New Roman"/>
          <w:bCs/>
          <w:sz w:val="24"/>
          <w:szCs w:val="24"/>
          <w:lang w:eastAsia="lv-LV"/>
        </w:rPr>
        <w:t xml:space="preserve"> </w:t>
      </w:r>
      <w:r w:rsidR="007F4B8C">
        <w:rPr>
          <w:rFonts w:ascii="Times New Roman" w:eastAsia="Times New Roman" w:hAnsi="Times New Roman" w:cs="Times New Roman"/>
          <w:bCs/>
          <w:sz w:val="24"/>
          <w:szCs w:val="24"/>
          <w:lang w:eastAsia="lv-LV"/>
        </w:rPr>
        <w:t>-</w:t>
      </w:r>
      <w:r w:rsidR="00411379">
        <w:rPr>
          <w:rFonts w:ascii="Times New Roman" w:eastAsia="Times New Roman" w:hAnsi="Times New Roman" w:cs="Times New Roman"/>
          <w:bCs/>
          <w:sz w:val="24"/>
          <w:szCs w:val="24"/>
          <w:lang w:eastAsia="lv-LV"/>
        </w:rPr>
        <w:t xml:space="preserve"> </w:t>
      </w:r>
      <w:r w:rsidR="007F4B8C">
        <w:rPr>
          <w:rFonts w:ascii="Times New Roman" w:eastAsia="Times New Roman" w:hAnsi="Times New Roman" w:cs="Times New Roman"/>
          <w:bCs/>
          <w:sz w:val="24"/>
          <w:szCs w:val="24"/>
          <w:lang w:eastAsia="lv-LV"/>
        </w:rPr>
        <w:t>2027</w:t>
      </w:r>
      <w:r w:rsidR="00A2733A">
        <w:rPr>
          <w:rFonts w:ascii="Times New Roman" w:eastAsia="Times New Roman" w:hAnsi="Times New Roman" w:cs="Times New Roman"/>
          <w:bCs/>
          <w:sz w:val="24"/>
          <w:szCs w:val="24"/>
          <w:lang w:eastAsia="lv-LV"/>
        </w:rPr>
        <w:t>. gad</w:t>
      </w:r>
      <w:r w:rsidR="007F4B8C">
        <w:rPr>
          <w:rFonts w:ascii="Times New Roman" w:eastAsia="Times New Roman" w:hAnsi="Times New Roman" w:cs="Times New Roman"/>
          <w:bCs/>
          <w:sz w:val="24"/>
          <w:szCs w:val="24"/>
          <w:lang w:eastAsia="lv-LV"/>
        </w:rPr>
        <w:t xml:space="preserve">ā. Šobrīd Latvija atpaliek no nacionālā līmenī izvirzītajiem attīstības sadarbības </w:t>
      </w:r>
      <w:r w:rsidR="008639EC">
        <w:rPr>
          <w:rFonts w:ascii="Times New Roman" w:eastAsia="Times New Roman" w:hAnsi="Times New Roman" w:cs="Times New Roman"/>
          <w:bCs/>
          <w:sz w:val="24"/>
          <w:szCs w:val="24"/>
          <w:lang w:eastAsia="lv-LV"/>
        </w:rPr>
        <w:t xml:space="preserve">finansējuma </w:t>
      </w:r>
      <w:r w:rsidR="007F4B8C">
        <w:rPr>
          <w:rFonts w:ascii="Times New Roman" w:eastAsia="Times New Roman" w:hAnsi="Times New Roman" w:cs="Times New Roman"/>
          <w:bCs/>
          <w:sz w:val="24"/>
          <w:szCs w:val="24"/>
          <w:lang w:eastAsia="lv-LV"/>
        </w:rPr>
        <w:t>mēr</w:t>
      </w:r>
      <w:r w:rsidR="008639EC">
        <w:rPr>
          <w:rFonts w:ascii="Times New Roman" w:eastAsia="Times New Roman" w:hAnsi="Times New Roman" w:cs="Times New Roman"/>
          <w:bCs/>
          <w:sz w:val="24"/>
          <w:szCs w:val="24"/>
          <w:lang w:eastAsia="lv-LV"/>
        </w:rPr>
        <w:t>ķiem. Ja</w:t>
      </w:r>
      <w:r w:rsidR="00F90090">
        <w:rPr>
          <w:rFonts w:ascii="Times New Roman" w:eastAsia="Times New Roman" w:hAnsi="Times New Roman" w:cs="Times New Roman"/>
          <w:bCs/>
          <w:sz w:val="24"/>
          <w:szCs w:val="24"/>
          <w:lang w:eastAsia="lv-LV"/>
        </w:rPr>
        <w:t xml:space="preserve"> netiks pieņemts lēmums par </w:t>
      </w:r>
      <w:r w:rsidR="00AE5EEC">
        <w:rPr>
          <w:rFonts w:ascii="Times New Roman" w:eastAsia="Times New Roman" w:hAnsi="Times New Roman" w:cs="Times New Roman"/>
          <w:bCs/>
          <w:sz w:val="24"/>
          <w:szCs w:val="24"/>
          <w:lang w:eastAsia="lv-LV"/>
        </w:rPr>
        <w:t>mērķtiecīgu un pakāpenisku</w:t>
      </w:r>
      <w:r w:rsidR="00F90090">
        <w:rPr>
          <w:rFonts w:ascii="Times New Roman" w:eastAsia="Times New Roman" w:hAnsi="Times New Roman" w:cs="Times New Roman"/>
          <w:bCs/>
          <w:sz w:val="24"/>
          <w:szCs w:val="24"/>
          <w:lang w:eastAsia="lv-LV"/>
        </w:rPr>
        <w:t xml:space="preserve"> finansējuma palielināšanu attīstības sadarbībai, būs</w:t>
      </w:r>
      <w:r w:rsidR="007F4B8C">
        <w:rPr>
          <w:rFonts w:ascii="Times New Roman" w:eastAsia="Times New Roman" w:hAnsi="Times New Roman" w:cs="Times New Roman"/>
          <w:bCs/>
          <w:sz w:val="24"/>
          <w:szCs w:val="24"/>
          <w:lang w:eastAsia="lv-LV"/>
        </w:rPr>
        <w:t xml:space="preserve"> </w:t>
      </w:r>
      <w:r w:rsidR="00F90090">
        <w:rPr>
          <w:rFonts w:ascii="Times New Roman" w:eastAsia="Times New Roman" w:hAnsi="Times New Roman" w:cs="Times New Roman"/>
          <w:bCs/>
          <w:sz w:val="24"/>
          <w:szCs w:val="24"/>
          <w:lang w:eastAsia="lv-LV"/>
        </w:rPr>
        <w:t>apdraudēta</w:t>
      </w:r>
      <w:r w:rsidR="007F4B8C">
        <w:rPr>
          <w:rFonts w:ascii="Times New Roman" w:eastAsia="Times New Roman" w:hAnsi="Times New Roman" w:cs="Times New Roman"/>
          <w:bCs/>
          <w:sz w:val="24"/>
          <w:szCs w:val="24"/>
          <w:lang w:eastAsia="lv-LV"/>
        </w:rPr>
        <w:t xml:space="preserve"> oficiālās attīstības palīdzības saist</w:t>
      </w:r>
      <w:r w:rsidR="00F90090">
        <w:rPr>
          <w:rFonts w:ascii="Times New Roman" w:eastAsia="Times New Roman" w:hAnsi="Times New Roman" w:cs="Times New Roman"/>
          <w:bCs/>
          <w:sz w:val="24"/>
          <w:szCs w:val="24"/>
          <w:lang w:eastAsia="lv-LV"/>
        </w:rPr>
        <w:t>ību izpilde</w:t>
      </w:r>
      <w:r w:rsidR="007F4B8C">
        <w:rPr>
          <w:rFonts w:ascii="Times New Roman" w:eastAsia="Times New Roman" w:hAnsi="Times New Roman" w:cs="Times New Roman"/>
          <w:bCs/>
          <w:sz w:val="24"/>
          <w:szCs w:val="24"/>
          <w:lang w:eastAsia="lv-LV"/>
        </w:rPr>
        <w:t xml:space="preserve"> 2030</w:t>
      </w:r>
      <w:r w:rsidR="00A2733A">
        <w:rPr>
          <w:rFonts w:ascii="Times New Roman" w:eastAsia="Times New Roman" w:hAnsi="Times New Roman" w:cs="Times New Roman"/>
          <w:bCs/>
          <w:sz w:val="24"/>
          <w:szCs w:val="24"/>
          <w:lang w:eastAsia="lv-LV"/>
        </w:rPr>
        <w:t>. gad</w:t>
      </w:r>
      <w:r w:rsidR="007F4B8C">
        <w:rPr>
          <w:rFonts w:ascii="Times New Roman" w:eastAsia="Times New Roman" w:hAnsi="Times New Roman" w:cs="Times New Roman"/>
          <w:bCs/>
          <w:sz w:val="24"/>
          <w:szCs w:val="24"/>
          <w:lang w:eastAsia="lv-LV"/>
        </w:rPr>
        <w:t xml:space="preserve">ā. </w:t>
      </w:r>
    </w:p>
    <w:p w14:paraId="467E2547" w14:textId="77777777" w:rsidR="00470EF4" w:rsidRDefault="008639EC" w:rsidP="00254644">
      <w:pPr>
        <w:keepNext/>
        <w:spacing w:after="240" w:line="240" w:lineRule="auto"/>
        <w:jc w:val="both"/>
        <w:rPr>
          <w:rFonts w:ascii="Times New Roman" w:hAnsi="Times New Roman" w:cs="Times New Roman"/>
          <w:b/>
          <w:color w:val="1B1D1F"/>
          <w:sz w:val="24"/>
        </w:rPr>
      </w:pPr>
      <w:r w:rsidRPr="00F90090">
        <w:rPr>
          <w:rFonts w:ascii="Times New Roman" w:eastAsia="Times New Roman" w:hAnsi="Times New Roman" w:cs="Times New Roman"/>
          <w:b/>
          <w:bCs/>
          <w:sz w:val="24"/>
          <w:szCs w:val="24"/>
          <w:lang w:eastAsia="lv-LV"/>
        </w:rPr>
        <w:t>Ārlietu ministrija rekomendē laika periodā no 2021. līdz 2025</w:t>
      </w:r>
      <w:r w:rsidR="00A2733A">
        <w:rPr>
          <w:rFonts w:ascii="Times New Roman" w:eastAsia="Times New Roman" w:hAnsi="Times New Roman" w:cs="Times New Roman"/>
          <w:b/>
          <w:bCs/>
          <w:sz w:val="24"/>
          <w:szCs w:val="24"/>
          <w:lang w:eastAsia="lv-LV"/>
        </w:rPr>
        <w:t>. gad</w:t>
      </w:r>
      <w:r w:rsidRPr="00F90090">
        <w:rPr>
          <w:rFonts w:ascii="Times New Roman" w:eastAsia="Times New Roman" w:hAnsi="Times New Roman" w:cs="Times New Roman"/>
          <w:b/>
          <w:bCs/>
          <w:sz w:val="24"/>
          <w:szCs w:val="24"/>
          <w:lang w:eastAsia="lv-LV"/>
        </w:rPr>
        <w:t xml:space="preserve">am pakāpeniski palielināt Latvijas </w:t>
      </w:r>
      <w:r w:rsidR="00C3278E">
        <w:rPr>
          <w:rFonts w:ascii="Times New Roman" w:eastAsia="Times New Roman" w:hAnsi="Times New Roman" w:cs="Times New Roman"/>
          <w:b/>
          <w:bCs/>
          <w:sz w:val="24"/>
          <w:szCs w:val="24"/>
          <w:lang w:eastAsia="lv-LV"/>
        </w:rPr>
        <w:t>OAP</w:t>
      </w:r>
      <w:r w:rsidR="00470EF4" w:rsidRPr="00F90090">
        <w:rPr>
          <w:rFonts w:ascii="Times New Roman" w:eastAsia="Times New Roman" w:hAnsi="Times New Roman" w:cs="Times New Roman"/>
          <w:b/>
          <w:bCs/>
          <w:sz w:val="24"/>
          <w:szCs w:val="24"/>
          <w:lang w:eastAsia="lv-LV"/>
        </w:rPr>
        <w:t xml:space="preserve"> </w:t>
      </w:r>
      <w:r w:rsidRPr="00F90090">
        <w:rPr>
          <w:rFonts w:ascii="Times New Roman" w:eastAsia="Times New Roman" w:hAnsi="Times New Roman" w:cs="Times New Roman"/>
          <w:b/>
          <w:bCs/>
          <w:sz w:val="24"/>
          <w:szCs w:val="24"/>
          <w:lang w:eastAsia="lv-LV"/>
        </w:rPr>
        <w:t xml:space="preserve">līdz 0.19% no NKI un </w:t>
      </w:r>
      <w:r w:rsidR="00F90090" w:rsidRPr="00F90090">
        <w:rPr>
          <w:rFonts w:ascii="Times New Roman" w:eastAsia="Times New Roman" w:hAnsi="Times New Roman" w:cs="Times New Roman"/>
          <w:b/>
          <w:bCs/>
          <w:sz w:val="24"/>
          <w:szCs w:val="24"/>
          <w:lang w:eastAsia="lv-LV"/>
        </w:rPr>
        <w:t xml:space="preserve">pakāpeniski palielināt </w:t>
      </w:r>
      <w:r w:rsidRPr="00F90090">
        <w:rPr>
          <w:rFonts w:ascii="Times New Roman" w:eastAsia="Times New Roman" w:hAnsi="Times New Roman" w:cs="Times New Roman"/>
          <w:b/>
          <w:bCs/>
          <w:sz w:val="24"/>
          <w:szCs w:val="24"/>
          <w:lang w:eastAsia="lv-LV"/>
        </w:rPr>
        <w:t>Ārli</w:t>
      </w:r>
      <w:r w:rsidR="00F90090" w:rsidRPr="00F90090">
        <w:rPr>
          <w:rFonts w:ascii="Times New Roman" w:eastAsia="Times New Roman" w:hAnsi="Times New Roman" w:cs="Times New Roman"/>
          <w:b/>
          <w:bCs/>
          <w:sz w:val="24"/>
          <w:szCs w:val="24"/>
          <w:lang w:eastAsia="lv-LV"/>
        </w:rPr>
        <w:t>etu</w:t>
      </w:r>
      <w:r w:rsidR="00470EF4">
        <w:rPr>
          <w:rFonts w:ascii="Times New Roman" w:eastAsia="Times New Roman" w:hAnsi="Times New Roman" w:cs="Times New Roman"/>
          <w:b/>
          <w:bCs/>
          <w:sz w:val="24"/>
          <w:szCs w:val="24"/>
          <w:lang w:eastAsia="lv-LV"/>
        </w:rPr>
        <w:t xml:space="preserve"> </w:t>
      </w:r>
      <w:r w:rsidR="00F90090" w:rsidRPr="00F90090">
        <w:rPr>
          <w:rFonts w:ascii="Times New Roman" w:eastAsia="Times New Roman" w:hAnsi="Times New Roman" w:cs="Times New Roman"/>
          <w:b/>
          <w:bCs/>
          <w:sz w:val="24"/>
          <w:szCs w:val="24"/>
          <w:lang w:eastAsia="lv-LV"/>
        </w:rPr>
        <w:t>ministrijas</w:t>
      </w:r>
      <w:r w:rsidR="00F90090" w:rsidRPr="00F90090">
        <w:rPr>
          <w:rFonts w:ascii="Times New Roman" w:hAnsi="Times New Roman" w:cs="Times New Roman"/>
          <w:b/>
          <w:sz w:val="24"/>
        </w:rPr>
        <w:t xml:space="preserve"> </w:t>
      </w:r>
      <w:r w:rsidR="00F90090" w:rsidRPr="00F90090">
        <w:rPr>
          <w:rFonts w:ascii="Times New Roman" w:hAnsi="Times New Roman" w:cs="Times New Roman"/>
          <w:b/>
          <w:color w:val="1B1D1F"/>
          <w:sz w:val="24"/>
        </w:rPr>
        <w:t xml:space="preserve">budžeta programmā “Attīstības sadarbības projekti un starptautiskā palīdzība” pieejamo finansējumu līdz 7% no </w:t>
      </w:r>
      <w:r w:rsidR="00C3278E">
        <w:rPr>
          <w:rFonts w:ascii="Times New Roman" w:hAnsi="Times New Roman" w:cs="Times New Roman"/>
          <w:b/>
          <w:color w:val="1B1D1F"/>
          <w:sz w:val="24"/>
        </w:rPr>
        <w:t>OAP</w:t>
      </w:r>
      <w:r w:rsidR="00F90090">
        <w:rPr>
          <w:rFonts w:ascii="Times New Roman" w:hAnsi="Times New Roman" w:cs="Times New Roman"/>
          <w:b/>
          <w:color w:val="1B1D1F"/>
          <w:sz w:val="24"/>
        </w:rPr>
        <w:t>.</w:t>
      </w:r>
    </w:p>
    <w:p w14:paraId="7068F3F3" w14:textId="77777777" w:rsidR="00B7648E" w:rsidRPr="00BE5444" w:rsidRDefault="002D7FC5" w:rsidP="00C6786A">
      <w:pPr>
        <w:pStyle w:val="ListParagraph"/>
        <w:keepNext/>
        <w:numPr>
          <w:ilvl w:val="0"/>
          <w:numId w:val="1"/>
        </w:numPr>
        <w:spacing w:after="240" w:line="240" w:lineRule="auto"/>
        <w:jc w:val="center"/>
        <w:outlineLvl w:val="0"/>
        <w:rPr>
          <w:rFonts w:ascii="Times New Roman" w:eastAsia="Times New Roman" w:hAnsi="Times New Roman" w:cs="Times New Roman"/>
          <w:b/>
          <w:bCs/>
          <w:color w:val="FF0000"/>
          <w:sz w:val="28"/>
          <w:szCs w:val="24"/>
          <w:lang w:eastAsia="lv-LV"/>
        </w:rPr>
      </w:pPr>
      <w:r w:rsidRPr="00BE5444">
        <w:rPr>
          <w:rFonts w:ascii="Times New Roman" w:hAnsi="Times New Roman" w:cs="Times New Roman"/>
          <w:b/>
          <w:color w:val="1B1D1F"/>
          <w:sz w:val="28"/>
        </w:rPr>
        <w:t>Situācijas apraksts</w:t>
      </w:r>
    </w:p>
    <w:p w14:paraId="0563A558" w14:textId="5320B76E" w:rsidR="00470EF4" w:rsidRPr="00470EF4" w:rsidRDefault="00470EF4" w:rsidP="00470EF4">
      <w:pPr>
        <w:keepNext/>
        <w:spacing w:after="240" w:line="240" w:lineRule="auto"/>
        <w:jc w:val="both"/>
        <w:rPr>
          <w:rFonts w:ascii="Times New Roman" w:eastAsia="Times New Roman" w:hAnsi="Times New Roman" w:cs="Times New Roman"/>
          <w:b/>
          <w:bCs/>
          <w:color w:val="FF0000"/>
          <w:sz w:val="24"/>
          <w:szCs w:val="24"/>
          <w:lang w:eastAsia="lv-LV"/>
        </w:rPr>
      </w:pPr>
      <w:r w:rsidRPr="00470EF4">
        <w:rPr>
          <w:rFonts w:ascii="Times New Roman" w:eastAsia="Times New Roman" w:hAnsi="Times New Roman" w:cs="Times New Roman"/>
          <w:bCs/>
          <w:sz w:val="24"/>
          <w:szCs w:val="24"/>
          <w:lang w:eastAsia="lv-LV"/>
        </w:rPr>
        <w:t>Konceptuālais ziņojums “Par attīstības sadarbībai paredzētā finansējuma palielināšanu 2021. - 2025. gadā” (turpmāk</w:t>
      </w:r>
      <w:r w:rsidR="000977BE">
        <w:rPr>
          <w:rFonts w:ascii="Times New Roman" w:eastAsia="Times New Roman" w:hAnsi="Times New Roman" w:cs="Times New Roman"/>
          <w:bCs/>
          <w:sz w:val="24"/>
          <w:szCs w:val="24"/>
          <w:lang w:eastAsia="lv-LV"/>
        </w:rPr>
        <w:t xml:space="preserve"> - </w:t>
      </w:r>
      <w:r w:rsidRPr="00470EF4">
        <w:rPr>
          <w:rFonts w:ascii="Times New Roman" w:eastAsia="Times New Roman" w:hAnsi="Times New Roman" w:cs="Times New Roman"/>
          <w:bCs/>
          <w:sz w:val="24"/>
          <w:szCs w:val="24"/>
          <w:lang w:eastAsia="lv-LV"/>
        </w:rPr>
        <w:t xml:space="preserve"> Ziņojums) ir izstrādāts, </w:t>
      </w:r>
      <w:r w:rsidRPr="00470EF4">
        <w:rPr>
          <w:rFonts w:ascii="Times New Roman" w:eastAsia="Calibri" w:hAnsi="Times New Roman" w:cs="Times New Roman"/>
          <w:sz w:val="24"/>
          <w:szCs w:val="24"/>
          <w:lang w:eastAsia="lv-LV"/>
        </w:rPr>
        <w:t xml:space="preserve">pamatojoties uz </w:t>
      </w:r>
      <w:r w:rsidR="000977BE">
        <w:rPr>
          <w:rFonts w:ascii="Times New Roman" w:eastAsia="Calibri" w:hAnsi="Times New Roman" w:cs="Times New Roman"/>
          <w:sz w:val="24"/>
          <w:szCs w:val="24"/>
          <w:lang w:eastAsia="lv-LV"/>
        </w:rPr>
        <w:t xml:space="preserve">Ministru kabineta 2019.gada 7.maija rīkojumu Nr.210 “Par </w:t>
      </w:r>
      <w:r w:rsidRPr="00470EF4">
        <w:rPr>
          <w:rFonts w:ascii="Times New Roman" w:eastAsia="Calibri" w:hAnsi="Times New Roman" w:cs="Times New Roman"/>
          <w:sz w:val="24"/>
          <w:szCs w:val="24"/>
          <w:lang w:eastAsia="lv-LV"/>
        </w:rPr>
        <w:t>Valdības rīcības plān</w:t>
      </w:r>
      <w:r w:rsidR="000977BE">
        <w:rPr>
          <w:rFonts w:ascii="Times New Roman" w:eastAsia="Calibri" w:hAnsi="Times New Roman" w:cs="Times New Roman"/>
          <w:sz w:val="24"/>
          <w:szCs w:val="24"/>
          <w:lang w:eastAsia="lv-LV"/>
        </w:rPr>
        <w:t>u</w:t>
      </w:r>
      <w:r w:rsidRPr="00470EF4">
        <w:rPr>
          <w:rFonts w:ascii="Times New Roman" w:eastAsia="Calibri" w:hAnsi="Times New Roman" w:cs="Times New Roman"/>
          <w:sz w:val="24"/>
          <w:szCs w:val="24"/>
          <w:lang w:eastAsia="lv-LV"/>
        </w:rPr>
        <w:t xml:space="preserve"> Deklarācijas par Artura Krišjāņa Kariņa vadītā Ministru kabineta iecerēto darbību īstenošanai</w:t>
      </w:r>
      <w:r w:rsidR="000977BE">
        <w:rPr>
          <w:rFonts w:ascii="Times New Roman" w:eastAsia="Calibri" w:hAnsi="Times New Roman" w:cs="Times New Roman"/>
          <w:sz w:val="24"/>
          <w:szCs w:val="24"/>
          <w:lang w:eastAsia="lv-LV"/>
        </w:rPr>
        <w:t>”</w:t>
      </w:r>
      <w:r w:rsidRPr="00470EF4">
        <w:rPr>
          <w:rFonts w:ascii="Times New Roman" w:eastAsia="Calibri" w:hAnsi="Times New Roman" w:cs="Times New Roman"/>
          <w:sz w:val="24"/>
          <w:szCs w:val="24"/>
          <w:lang w:eastAsia="lv-LV"/>
        </w:rPr>
        <w:t xml:space="preserve"> 219.uzdevuma 1</w:t>
      </w:r>
      <w:r w:rsidR="000977BE" w:rsidRPr="00470EF4">
        <w:rPr>
          <w:rFonts w:ascii="Times New Roman" w:eastAsia="Calibri" w:hAnsi="Times New Roman" w:cs="Times New Roman"/>
          <w:sz w:val="24"/>
          <w:szCs w:val="24"/>
          <w:lang w:eastAsia="lv-LV"/>
        </w:rPr>
        <w:t>.</w:t>
      </w:r>
      <w:r w:rsidR="000977BE">
        <w:rPr>
          <w:rFonts w:ascii="Times New Roman" w:eastAsia="Calibri" w:hAnsi="Times New Roman" w:cs="Times New Roman"/>
          <w:sz w:val="24"/>
          <w:szCs w:val="24"/>
          <w:lang w:eastAsia="lv-LV"/>
        </w:rPr>
        <w:t> </w:t>
      </w:r>
      <w:r w:rsidRPr="00470EF4">
        <w:rPr>
          <w:rFonts w:ascii="Times New Roman" w:eastAsia="Calibri" w:hAnsi="Times New Roman" w:cs="Times New Roman"/>
          <w:sz w:val="24"/>
          <w:szCs w:val="24"/>
          <w:lang w:eastAsia="lv-LV"/>
        </w:rPr>
        <w:t xml:space="preserve">pasākumu un </w:t>
      </w:r>
      <w:r w:rsidRPr="00470EF4">
        <w:rPr>
          <w:rFonts w:ascii="Times New Roman" w:eastAsia="Times New Roman" w:hAnsi="Times New Roman" w:cs="Times New Roman"/>
          <w:bCs/>
          <w:sz w:val="24"/>
          <w:szCs w:val="24"/>
          <w:lang w:eastAsia="lv-LV"/>
        </w:rPr>
        <w:t xml:space="preserve">ņemot vērā </w:t>
      </w:r>
      <w:r w:rsidR="00C3278E">
        <w:rPr>
          <w:rFonts w:ascii="Times New Roman" w:eastAsia="Times New Roman" w:hAnsi="Times New Roman" w:cs="Times New Roman"/>
          <w:bCs/>
          <w:sz w:val="24"/>
          <w:szCs w:val="24"/>
          <w:lang w:eastAsia="lv-LV"/>
        </w:rPr>
        <w:t>ANO</w:t>
      </w:r>
      <w:r w:rsidRPr="00470EF4">
        <w:rPr>
          <w:rFonts w:ascii="Times New Roman" w:eastAsia="Times New Roman" w:hAnsi="Times New Roman" w:cs="Times New Roman"/>
          <w:bCs/>
          <w:sz w:val="24"/>
          <w:szCs w:val="24"/>
          <w:lang w:eastAsia="lv-LV"/>
        </w:rPr>
        <w:t xml:space="preserve"> Dienaskārtību ilgtspējīgai attīstībai 2030 un Latvijas kā Eiropas Savienības (turpmāk – ES) dalībvalsts saistības, līdzšinējos izvērtējumus par Latvijas attīstības sadarbības politikas īstenošanu, t.sk. informatīvo ziņojumu "Par Attīstības sadarbības politikas pamatnostādņu 2016. - 2020. gadam” īstenošanas starpposma novērtējumu</w:t>
      </w:r>
      <w:r w:rsidRPr="009905B5">
        <w:rPr>
          <w:rStyle w:val="FootnoteReference"/>
          <w:rFonts w:ascii="Times New Roman" w:eastAsia="Times New Roman" w:hAnsi="Times New Roman" w:cs="Times New Roman"/>
          <w:bCs/>
          <w:sz w:val="24"/>
          <w:szCs w:val="24"/>
          <w:lang w:eastAsia="lv-LV"/>
        </w:rPr>
        <w:footnoteReference w:id="1"/>
      </w:r>
      <w:r w:rsidRPr="00470EF4">
        <w:rPr>
          <w:rFonts w:ascii="Times New Roman" w:eastAsia="Times New Roman" w:hAnsi="Times New Roman" w:cs="Times New Roman"/>
          <w:bCs/>
          <w:sz w:val="24"/>
          <w:szCs w:val="24"/>
          <w:lang w:eastAsia="lv-LV"/>
        </w:rPr>
        <w:t xml:space="preserve">. </w:t>
      </w:r>
      <w:r w:rsidR="00820E56">
        <w:rPr>
          <w:rFonts w:ascii="Times New Roman" w:eastAsia="Times New Roman" w:hAnsi="Times New Roman" w:cs="Times New Roman"/>
          <w:bCs/>
          <w:sz w:val="24"/>
          <w:szCs w:val="24"/>
          <w:lang w:eastAsia="lv-LV"/>
        </w:rPr>
        <w:t>Z</w:t>
      </w:r>
      <w:r w:rsidRPr="00470EF4">
        <w:rPr>
          <w:rFonts w:ascii="Times New Roman" w:eastAsia="Times New Roman" w:hAnsi="Times New Roman" w:cs="Times New Roman"/>
          <w:bCs/>
          <w:sz w:val="24"/>
          <w:szCs w:val="24"/>
          <w:lang w:eastAsia="lv-LV"/>
        </w:rPr>
        <w:t>iņojums ņem vērā, ka 2020.gada laikā tiks izstrādātas attīstības sadarbības politikas pamatnostādnes laika periodam līdz 2025.gadam, kurās tiks noteiktas</w:t>
      </w:r>
      <w:r w:rsidR="00C6786A">
        <w:rPr>
          <w:rFonts w:ascii="Times New Roman" w:eastAsia="Times New Roman" w:hAnsi="Times New Roman" w:cs="Times New Roman"/>
          <w:bCs/>
          <w:sz w:val="24"/>
          <w:szCs w:val="24"/>
          <w:lang w:eastAsia="lv-LV"/>
        </w:rPr>
        <w:t xml:space="preserve">  </w:t>
      </w:r>
      <w:r w:rsidR="00C6786A">
        <w:rPr>
          <w:rFonts w:ascii="Times New Roman" w:eastAsia="Times New Roman" w:hAnsi="Times New Roman" w:cs="Times New Roman"/>
          <w:bCs/>
          <w:sz w:val="24"/>
          <w:szCs w:val="24"/>
          <w:lang w:eastAsia="lv-LV"/>
        </w:rPr>
        <w:lastRenderedPageBreak/>
        <w:t>L</w:t>
      </w:r>
      <w:r w:rsidRPr="00470EF4">
        <w:rPr>
          <w:rFonts w:ascii="Times New Roman" w:eastAsia="Times New Roman" w:hAnsi="Times New Roman" w:cs="Times New Roman"/>
          <w:bCs/>
          <w:sz w:val="24"/>
          <w:szCs w:val="24"/>
          <w:lang w:eastAsia="lv-LV"/>
        </w:rPr>
        <w:t xml:space="preserve">atvijas attīstības palīdzības ģeogrāfiskās un tematiskās prioritātes un palīdzības sniegšanas mehānismi. </w:t>
      </w:r>
    </w:p>
    <w:p w14:paraId="5ACAE261" w14:textId="77777777" w:rsidR="00DB27C7" w:rsidRPr="00B7648E" w:rsidRDefault="00051FCD" w:rsidP="00C6786A">
      <w:pPr>
        <w:pStyle w:val="ListParagraph"/>
        <w:keepNext/>
        <w:numPr>
          <w:ilvl w:val="1"/>
          <w:numId w:val="1"/>
        </w:numPr>
        <w:spacing w:after="240" w:line="240" w:lineRule="auto"/>
        <w:ind w:left="806" w:hanging="446"/>
        <w:jc w:val="center"/>
        <w:outlineLvl w:val="0"/>
        <w:rPr>
          <w:rFonts w:ascii="Times New Roman" w:eastAsia="Times New Roman" w:hAnsi="Times New Roman" w:cs="Times New Roman"/>
          <w:b/>
          <w:bCs/>
          <w:color w:val="FF0000"/>
          <w:sz w:val="24"/>
          <w:szCs w:val="24"/>
          <w:lang w:eastAsia="lv-LV"/>
        </w:rPr>
      </w:pPr>
      <w:r w:rsidRPr="00B7648E">
        <w:rPr>
          <w:rFonts w:ascii="Times New Roman" w:hAnsi="Times New Roman" w:cs="Times New Roman"/>
          <w:b/>
          <w:color w:val="1B1D1F"/>
          <w:sz w:val="24"/>
          <w:szCs w:val="24"/>
        </w:rPr>
        <w:t xml:space="preserve">Latvijas </w:t>
      </w:r>
      <w:r w:rsidR="00C3278E">
        <w:rPr>
          <w:rFonts w:ascii="Times New Roman" w:hAnsi="Times New Roman" w:cs="Times New Roman"/>
          <w:b/>
          <w:color w:val="1B1D1F"/>
          <w:sz w:val="24"/>
          <w:szCs w:val="24"/>
        </w:rPr>
        <w:t>OAP</w:t>
      </w:r>
      <w:r w:rsidR="00614355" w:rsidRPr="00B7648E">
        <w:rPr>
          <w:rFonts w:ascii="Times New Roman" w:hAnsi="Times New Roman" w:cs="Times New Roman"/>
          <w:b/>
          <w:color w:val="1B1D1F"/>
          <w:sz w:val="24"/>
          <w:szCs w:val="24"/>
        </w:rPr>
        <w:t xml:space="preserve"> saistības</w:t>
      </w:r>
    </w:p>
    <w:p w14:paraId="345B9308" w14:textId="77777777" w:rsidR="004D7E86" w:rsidRDefault="00614355" w:rsidP="00D76050">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2019</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apritēja 15 gadi kopš Latvija</w:t>
      </w:r>
      <w:r w:rsidR="00BD4D0F" w:rsidRPr="009905B5">
        <w:rPr>
          <w:rFonts w:ascii="Times New Roman" w:hAnsi="Times New Roman" w:cs="Times New Roman"/>
          <w:color w:val="1B1D1F"/>
          <w:sz w:val="24"/>
          <w:szCs w:val="24"/>
        </w:rPr>
        <w:t>s pievieno</w:t>
      </w:r>
      <w:r w:rsidR="00295C9E" w:rsidRPr="009905B5">
        <w:rPr>
          <w:rFonts w:ascii="Times New Roman" w:hAnsi="Times New Roman" w:cs="Times New Roman"/>
          <w:color w:val="1B1D1F"/>
          <w:sz w:val="24"/>
          <w:szCs w:val="24"/>
        </w:rPr>
        <w:t>jās</w:t>
      </w:r>
      <w:r w:rsidR="00BD4D0F" w:rsidRPr="009905B5">
        <w:rPr>
          <w:rFonts w:ascii="Times New Roman" w:hAnsi="Times New Roman" w:cs="Times New Roman"/>
          <w:color w:val="1B1D1F"/>
          <w:sz w:val="24"/>
          <w:szCs w:val="24"/>
        </w:rPr>
        <w:t xml:space="preserve"> </w:t>
      </w:r>
      <w:r w:rsidR="00295C9E" w:rsidRPr="009905B5">
        <w:rPr>
          <w:rFonts w:ascii="Times New Roman" w:hAnsi="Times New Roman" w:cs="Times New Roman"/>
          <w:color w:val="1B1D1F"/>
          <w:sz w:val="24"/>
          <w:szCs w:val="24"/>
        </w:rPr>
        <w:t xml:space="preserve">ES </w:t>
      </w:r>
      <w:r w:rsidR="00BD4D0F" w:rsidRPr="009905B5">
        <w:rPr>
          <w:rFonts w:ascii="Times New Roman" w:hAnsi="Times New Roman" w:cs="Times New Roman"/>
          <w:color w:val="1B1D1F"/>
          <w:sz w:val="24"/>
          <w:szCs w:val="24"/>
        </w:rPr>
        <w:t>un</w:t>
      </w:r>
      <w:r w:rsidR="00FD2D6C" w:rsidRPr="009905B5">
        <w:rPr>
          <w:rFonts w:ascii="Times New Roman" w:hAnsi="Times New Roman" w:cs="Times New Roman"/>
          <w:color w:val="1B1D1F"/>
          <w:sz w:val="24"/>
          <w:szCs w:val="24"/>
        </w:rPr>
        <w:t xml:space="preserve"> līdz ar to </w:t>
      </w:r>
      <w:r w:rsidR="00537B8A" w:rsidRPr="009905B5">
        <w:rPr>
          <w:rFonts w:ascii="Times New Roman" w:hAnsi="Times New Roman" w:cs="Times New Roman"/>
          <w:color w:val="1B1D1F"/>
          <w:sz w:val="24"/>
          <w:szCs w:val="24"/>
        </w:rPr>
        <w:t xml:space="preserve">no </w:t>
      </w:r>
      <w:r w:rsidR="00295C9E" w:rsidRPr="009905B5">
        <w:rPr>
          <w:rFonts w:ascii="Times New Roman" w:hAnsi="Times New Roman" w:cs="Times New Roman"/>
          <w:color w:val="1B1D1F"/>
          <w:sz w:val="24"/>
          <w:szCs w:val="24"/>
        </w:rPr>
        <w:t xml:space="preserve">palīdzības </w:t>
      </w:r>
      <w:r w:rsidR="00537B8A" w:rsidRPr="009905B5">
        <w:rPr>
          <w:rFonts w:ascii="Times New Roman" w:hAnsi="Times New Roman" w:cs="Times New Roman"/>
          <w:color w:val="1B1D1F"/>
          <w:sz w:val="24"/>
          <w:szCs w:val="24"/>
        </w:rPr>
        <w:t>saņēmēj</w:t>
      </w:r>
      <w:r w:rsidR="00295C9E" w:rsidRPr="009905B5">
        <w:rPr>
          <w:rFonts w:ascii="Times New Roman" w:hAnsi="Times New Roman" w:cs="Times New Roman"/>
          <w:color w:val="1B1D1F"/>
          <w:sz w:val="24"/>
          <w:szCs w:val="24"/>
        </w:rPr>
        <w:t>as</w:t>
      </w:r>
      <w:r w:rsidR="00537B8A" w:rsidRPr="009905B5">
        <w:rPr>
          <w:rFonts w:ascii="Times New Roman" w:hAnsi="Times New Roman" w:cs="Times New Roman"/>
          <w:color w:val="1B1D1F"/>
          <w:sz w:val="24"/>
          <w:szCs w:val="24"/>
        </w:rPr>
        <w:t xml:space="preserve"> kļuva </w:t>
      </w:r>
      <w:r w:rsidR="00BD4D0F" w:rsidRPr="009905B5">
        <w:rPr>
          <w:rFonts w:ascii="Times New Roman" w:hAnsi="Times New Roman" w:cs="Times New Roman"/>
          <w:color w:val="1B1D1F"/>
          <w:sz w:val="24"/>
          <w:szCs w:val="24"/>
        </w:rPr>
        <w:t xml:space="preserve">par </w:t>
      </w:r>
      <w:r w:rsidR="00930DCC" w:rsidRPr="009905B5">
        <w:rPr>
          <w:rFonts w:ascii="Times New Roman" w:hAnsi="Times New Roman" w:cs="Times New Roman"/>
          <w:color w:val="1B1D1F"/>
          <w:sz w:val="24"/>
          <w:szCs w:val="24"/>
        </w:rPr>
        <w:t>donor</w:t>
      </w:r>
      <w:r w:rsidR="00930DCC">
        <w:rPr>
          <w:rFonts w:ascii="Times New Roman" w:hAnsi="Times New Roman" w:cs="Times New Roman"/>
          <w:color w:val="1B1D1F"/>
          <w:sz w:val="24"/>
          <w:szCs w:val="24"/>
        </w:rPr>
        <w:t>u</w:t>
      </w:r>
      <w:r w:rsidR="00C06926">
        <w:rPr>
          <w:rFonts w:ascii="Times New Roman" w:hAnsi="Times New Roman" w:cs="Times New Roman"/>
          <w:color w:val="1B1D1F"/>
          <w:sz w:val="24"/>
          <w:szCs w:val="24"/>
        </w:rPr>
        <w:t xml:space="preserve">, </w:t>
      </w:r>
      <w:r w:rsidR="00BD4D0F" w:rsidRPr="009905B5">
        <w:rPr>
          <w:rFonts w:ascii="Times New Roman" w:hAnsi="Times New Roman" w:cs="Times New Roman"/>
          <w:color w:val="1B1D1F"/>
          <w:sz w:val="24"/>
          <w:szCs w:val="24"/>
        </w:rPr>
        <w:t>ar</w:t>
      </w:r>
      <w:r w:rsidRPr="009905B5">
        <w:rPr>
          <w:rFonts w:ascii="Times New Roman" w:hAnsi="Times New Roman" w:cs="Times New Roman"/>
          <w:color w:val="1B1D1F"/>
          <w:sz w:val="24"/>
          <w:szCs w:val="24"/>
        </w:rPr>
        <w:t xml:space="preserve"> </w:t>
      </w:r>
      <w:r w:rsidR="00051FCD" w:rsidRPr="009905B5">
        <w:rPr>
          <w:rFonts w:ascii="Times New Roman" w:hAnsi="Times New Roman" w:cs="Times New Roman"/>
          <w:color w:val="1B1D1F"/>
          <w:sz w:val="24"/>
          <w:szCs w:val="24"/>
        </w:rPr>
        <w:t>noteiktām saistībām globālās attīstības veicināšanā un palīdzības sniegšanā attīstības valstīm</w:t>
      </w:r>
      <w:r w:rsidR="00D6406F" w:rsidRPr="009905B5">
        <w:rPr>
          <w:rFonts w:ascii="Times New Roman" w:hAnsi="Times New Roman" w:cs="Times New Roman"/>
          <w:color w:val="1B1D1F"/>
          <w:sz w:val="24"/>
          <w:szCs w:val="24"/>
        </w:rPr>
        <w:t>.</w:t>
      </w:r>
      <w:r w:rsidR="004D7E86" w:rsidRPr="009905B5">
        <w:rPr>
          <w:rFonts w:ascii="Times New Roman" w:hAnsi="Times New Roman" w:cs="Times New Roman"/>
          <w:color w:val="1B1D1F"/>
          <w:sz w:val="24"/>
          <w:szCs w:val="24"/>
        </w:rPr>
        <w:t xml:space="preserve"> </w:t>
      </w:r>
    </w:p>
    <w:p w14:paraId="3824740C" w14:textId="77777777" w:rsidR="00C86438" w:rsidRPr="009905B5" w:rsidRDefault="008568F5" w:rsidP="00C05614">
      <w:pPr>
        <w:spacing w:line="240"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Latvijas</w:t>
      </w:r>
      <w:r w:rsidR="003344AB">
        <w:rPr>
          <w:rFonts w:ascii="Times New Roman" w:hAnsi="Times New Roman" w:cs="Times New Roman"/>
          <w:color w:val="1B1D1F"/>
          <w:sz w:val="24"/>
          <w:szCs w:val="24"/>
        </w:rPr>
        <w:t xml:space="preserve"> OAP</w:t>
      </w:r>
      <w:r>
        <w:rPr>
          <w:rFonts w:ascii="Times New Roman" w:hAnsi="Times New Roman" w:cs="Times New Roman"/>
          <w:color w:val="1B1D1F"/>
          <w:sz w:val="24"/>
          <w:szCs w:val="24"/>
        </w:rPr>
        <w:t xml:space="preserve"> saistības un mērķi izriet no vairākiem ANO un ES līmenī apstiprin</w:t>
      </w:r>
      <w:r w:rsidR="0002794F">
        <w:rPr>
          <w:rFonts w:ascii="Times New Roman" w:hAnsi="Times New Roman" w:cs="Times New Roman"/>
          <w:color w:val="1B1D1F"/>
          <w:sz w:val="24"/>
          <w:szCs w:val="24"/>
        </w:rPr>
        <w:t xml:space="preserve">ātiem </w:t>
      </w:r>
      <w:r w:rsidR="00DC446A">
        <w:rPr>
          <w:rFonts w:ascii="Times New Roman" w:hAnsi="Times New Roman" w:cs="Times New Roman"/>
          <w:color w:val="1B1D1F"/>
          <w:sz w:val="24"/>
          <w:szCs w:val="24"/>
        </w:rPr>
        <w:t xml:space="preserve">dokumentiem, </w:t>
      </w:r>
      <w:r>
        <w:rPr>
          <w:rFonts w:ascii="Times New Roman" w:hAnsi="Times New Roman" w:cs="Times New Roman"/>
          <w:color w:val="1B1D1F"/>
          <w:sz w:val="24"/>
          <w:szCs w:val="24"/>
        </w:rPr>
        <w:t>kā arī nacionālā līmenī apstiprinātiem politikas plānošanas dokumentiem. Aktuālais</w:t>
      </w:r>
      <w:r w:rsidR="00ED53F3" w:rsidRPr="009905B5">
        <w:rPr>
          <w:rFonts w:ascii="Times New Roman" w:hAnsi="Times New Roman" w:cs="Times New Roman"/>
          <w:color w:val="1B1D1F"/>
          <w:sz w:val="24"/>
          <w:szCs w:val="24"/>
        </w:rPr>
        <w:t xml:space="preserve"> </w:t>
      </w:r>
      <w:proofErr w:type="spellStart"/>
      <w:r w:rsidR="00ED53F3" w:rsidRPr="009905B5">
        <w:rPr>
          <w:rFonts w:ascii="Times New Roman" w:hAnsi="Times New Roman" w:cs="Times New Roman"/>
          <w:color w:val="1B1D1F"/>
          <w:sz w:val="24"/>
          <w:szCs w:val="24"/>
        </w:rPr>
        <w:t>ietvardokuments</w:t>
      </w:r>
      <w:proofErr w:type="spellEnd"/>
      <w:r w:rsidR="00915EAA" w:rsidRPr="009905B5">
        <w:rPr>
          <w:rFonts w:ascii="Times New Roman" w:hAnsi="Times New Roman" w:cs="Times New Roman"/>
          <w:color w:val="1B1D1F"/>
          <w:sz w:val="24"/>
          <w:szCs w:val="24"/>
        </w:rPr>
        <w:t xml:space="preserve"> globālās</w:t>
      </w:r>
      <w:r w:rsidR="00ED53F3" w:rsidRPr="009905B5">
        <w:rPr>
          <w:rFonts w:ascii="Times New Roman" w:hAnsi="Times New Roman" w:cs="Times New Roman"/>
          <w:color w:val="1B1D1F"/>
          <w:sz w:val="24"/>
          <w:szCs w:val="24"/>
        </w:rPr>
        <w:t xml:space="preserve"> attīstības jomā ir 2015</w:t>
      </w:r>
      <w:r w:rsidR="00A2733A">
        <w:rPr>
          <w:rFonts w:ascii="Times New Roman" w:hAnsi="Times New Roman" w:cs="Times New Roman"/>
          <w:color w:val="1B1D1F"/>
          <w:sz w:val="24"/>
          <w:szCs w:val="24"/>
        </w:rPr>
        <w:t>. gad</w:t>
      </w:r>
      <w:r w:rsidR="00ED53F3" w:rsidRPr="009905B5">
        <w:rPr>
          <w:rFonts w:ascii="Times New Roman" w:hAnsi="Times New Roman" w:cs="Times New Roman"/>
          <w:color w:val="1B1D1F"/>
          <w:sz w:val="24"/>
          <w:szCs w:val="24"/>
        </w:rPr>
        <w:t>ā ANO</w:t>
      </w:r>
      <w:r w:rsidR="003344AB">
        <w:rPr>
          <w:rFonts w:ascii="Times New Roman" w:hAnsi="Times New Roman" w:cs="Times New Roman"/>
          <w:color w:val="1B1D1F"/>
          <w:sz w:val="24"/>
          <w:szCs w:val="24"/>
        </w:rPr>
        <w:t xml:space="preserve"> Ģenerālās asamblej</w:t>
      </w:r>
      <w:r w:rsidR="00FB1892">
        <w:rPr>
          <w:rFonts w:ascii="Times New Roman" w:hAnsi="Times New Roman" w:cs="Times New Roman"/>
          <w:color w:val="1B1D1F"/>
          <w:sz w:val="24"/>
          <w:szCs w:val="24"/>
        </w:rPr>
        <w:t>as</w:t>
      </w:r>
      <w:r w:rsidR="003344AB">
        <w:rPr>
          <w:rFonts w:ascii="Times New Roman" w:hAnsi="Times New Roman" w:cs="Times New Roman"/>
          <w:color w:val="1B1D1F"/>
          <w:sz w:val="24"/>
          <w:szCs w:val="24"/>
        </w:rPr>
        <w:t xml:space="preserve"> </w:t>
      </w:r>
      <w:r w:rsidR="00FB1892">
        <w:rPr>
          <w:rFonts w:ascii="Times New Roman" w:hAnsi="Times New Roman" w:cs="Times New Roman"/>
          <w:color w:val="1B1D1F"/>
          <w:sz w:val="24"/>
          <w:szCs w:val="24"/>
        </w:rPr>
        <w:t>pieņemtā</w:t>
      </w:r>
      <w:r w:rsidR="003344AB">
        <w:rPr>
          <w:rFonts w:ascii="Times New Roman" w:hAnsi="Times New Roman" w:cs="Times New Roman"/>
          <w:color w:val="1B1D1F"/>
          <w:sz w:val="24"/>
          <w:szCs w:val="24"/>
        </w:rPr>
        <w:t xml:space="preserve"> Dienaskārtība ilgtspējīgai attīstībai</w:t>
      </w:r>
      <w:r w:rsidR="00FB1892">
        <w:rPr>
          <w:rFonts w:ascii="Times New Roman" w:hAnsi="Times New Roman" w:cs="Times New Roman"/>
          <w:color w:val="1B1D1F"/>
          <w:sz w:val="24"/>
          <w:szCs w:val="24"/>
        </w:rPr>
        <w:t xml:space="preserve"> 2030</w:t>
      </w:r>
      <w:r w:rsidR="003344AB">
        <w:rPr>
          <w:rFonts w:ascii="Times New Roman" w:hAnsi="Times New Roman" w:cs="Times New Roman"/>
          <w:color w:val="1B1D1F"/>
          <w:sz w:val="24"/>
          <w:szCs w:val="24"/>
        </w:rPr>
        <w:t xml:space="preserve"> (turpmāk - Dienaskārtība 2030)</w:t>
      </w:r>
      <w:r w:rsidR="003344AB">
        <w:rPr>
          <w:rStyle w:val="FootnoteReference"/>
          <w:rFonts w:ascii="Times New Roman" w:hAnsi="Times New Roman" w:cs="Times New Roman"/>
          <w:color w:val="1B1D1F"/>
          <w:sz w:val="24"/>
          <w:szCs w:val="24"/>
        </w:rPr>
        <w:footnoteReference w:id="2"/>
      </w:r>
      <w:r w:rsidR="00ED53F3" w:rsidRPr="009905B5">
        <w:rPr>
          <w:rFonts w:ascii="Times New Roman" w:hAnsi="Times New Roman" w:cs="Times New Roman"/>
          <w:color w:val="1B1D1F"/>
          <w:sz w:val="24"/>
          <w:szCs w:val="24"/>
        </w:rPr>
        <w:t xml:space="preserve">, kas </w:t>
      </w:r>
      <w:r w:rsidR="0002794F">
        <w:rPr>
          <w:rFonts w:ascii="Times New Roman" w:hAnsi="Times New Roman" w:cs="Times New Roman"/>
          <w:color w:val="1B1D1F"/>
          <w:sz w:val="24"/>
          <w:szCs w:val="24"/>
        </w:rPr>
        <w:t>ietver</w:t>
      </w:r>
      <w:r w:rsidR="0002794F" w:rsidRPr="009905B5">
        <w:rPr>
          <w:rFonts w:ascii="Times New Roman" w:hAnsi="Times New Roman" w:cs="Times New Roman"/>
          <w:color w:val="1B1D1F"/>
          <w:sz w:val="24"/>
          <w:szCs w:val="24"/>
        </w:rPr>
        <w:t xml:space="preserve"> </w:t>
      </w:r>
      <w:r w:rsidR="00ED53F3" w:rsidRPr="009905B5">
        <w:rPr>
          <w:rFonts w:ascii="Times New Roman" w:hAnsi="Times New Roman" w:cs="Times New Roman"/>
          <w:color w:val="1B1D1F"/>
          <w:sz w:val="24"/>
          <w:szCs w:val="24"/>
        </w:rPr>
        <w:t xml:space="preserve">17 ilgtspējīgas attīstības mērķus (turpmāk – IAM) un 169 apakšmērķus, kas sasniedzami, lai pasaulē mazinātos nabadzība un </w:t>
      </w:r>
      <w:r w:rsidR="00922504" w:rsidRPr="009905B5">
        <w:rPr>
          <w:rFonts w:ascii="Times New Roman" w:hAnsi="Times New Roman" w:cs="Times New Roman"/>
          <w:color w:val="1B1D1F"/>
          <w:sz w:val="24"/>
          <w:szCs w:val="24"/>
        </w:rPr>
        <w:t xml:space="preserve">pasaules </w:t>
      </w:r>
      <w:r w:rsidR="00ED53F3" w:rsidRPr="009905B5">
        <w:rPr>
          <w:rFonts w:ascii="Times New Roman" w:hAnsi="Times New Roman" w:cs="Times New Roman"/>
          <w:color w:val="1B1D1F"/>
          <w:sz w:val="24"/>
          <w:szCs w:val="24"/>
        </w:rPr>
        <w:t>attīstība būtu ilgtspējīga.</w:t>
      </w:r>
      <w:r w:rsidR="00ED53F3" w:rsidRPr="009905B5">
        <w:rPr>
          <w:rStyle w:val="FootnoteReference"/>
          <w:rFonts w:ascii="Times New Roman" w:hAnsi="Times New Roman" w:cs="Times New Roman"/>
          <w:color w:val="1B1D1F"/>
          <w:sz w:val="24"/>
          <w:szCs w:val="24"/>
        </w:rPr>
        <w:footnoteReference w:id="3"/>
      </w:r>
      <w:r w:rsidR="00ED53F3" w:rsidRPr="009905B5">
        <w:rPr>
          <w:rFonts w:ascii="Times New Roman" w:hAnsi="Times New Roman" w:cs="Times New Roman"/>
          <w:color w:val="1B1D1F"/>
          <w:sz w:val="24"/>
          <w:szCs w:val="24"/>
        </w:rPr>
        <w:t xml:space="preserve"> </w:t>
      </w:r>
      <w:r w:rsidR="00FB1892">
        <w:rPr>
          <w:rFonts w:ascii="Times New Roman" w:hAnsi="Times New Roman" w:cs="Times New Roman"/>
          <w:color w:val="1B1D1F"/>
          <w:sz w:val="24"/>
          <w:szCs w:val="24"/>
        </w:rPr>
        <w:t xml:space="preserve">Tostarp </w:t>
      </w:r>
      <w:r w:rsidR="00DC446A">
        <w:rPr>
          <w:rFonts w:ascii="Times New Roman" w:hAnsi="Times New Roman" w:cs="Times New Roman"/>
          <w:color w:val="1B1D1F"/>
          <w:sz w:val="24"/>
          <w:szCs w:val="24"/>
        </w:rPr>
        <w:t>17.2 apakšmēr</w:t>
      </w:r>
      <w:r w:rsidR="00FB1892">
        <w:rPr>
          <w:rFonts w:ascii="Times New Roman" w:hAnsi="Times New Roman" w:cs="Times New Roman"/>
          <w:color w:val="1B1D1F"/>
          <w:sz w:val="24"/>
          <w:szCs w:val="24"/>
        </w:rPr>
        <w:t>ķis paredz</w:t>
      </w:r>
      <w:r w:rsidR="00DC446A">
        <w:rPr>
          <w:rFonts w:ascii="Times New Roman" w:hAnsi="Times New Roman" w:cs="Times New Roman"/>
          <w:color w:val="1B1D1F"/>
          <w:sz w:val="24"/>
          <w:szCs w:val="24"/>
        </w:rPr>
        <w:t xml:space="preserve"> </w:t>
      </w:r>
      <w:r w:rsidR="00DC446A" w:rsidRPr="00DC446A">
        <w:rPr>
          <w:rFonts w:ascii="Times New Roman" w:hAnsi="Times New Roman" w:cs="Times New Roman"/>
          <w:color w:val="1B1D1F"/>
          <w:sz w:val="24"/>
          <w:szCs w:val="24"/>
        </w:rPr>
        <w:t xml:space="preserve">attīstīto valstu </w:t>
      </w:r>
      <w:r w:rsidR="000F233F">
        <w:rPr>
          <w:rFonts w:ascii="Times New Roman" w:hAnsi="Times New Roman" w:cs="Times New Roman"/>
          <w:color w:val="1B1D1F"/>
          <w:sz w:val="24"/>
          <w:szCs w:val="24"/>
        </w:rPr>
        <w:t>OAP</w:t>
      </w:r>
      <w:r w:rsidR="00DC446A" w:rsidRPr="00DC446A">
        <w:rPr>
          <w:rFonts w:ascii="Times New Roman" w:hAnsi="Times New Roman" w:cs="Times New Roman"/>
          <w:color w:val="1B1D1F"/>
          <w:sz w:val="24"/>
          <w:szCs w:val="24"/>
        </w:rPr>
        <w:t xml:space="preserve"> saistīb</w:t>
      </w:r>
      <w:r w:rsidR="00A768CC">
        <w:rPr>
          <w:rFonts w:ascii="Times New Roman" w:hAnsi="Times New Roman" w:cs="Times New Roman"/>
          <w:color w:val="1B1D1F"/>
          <w:sz w:val="24"/>
          <w:szCs w:val="24"/>
        </w:rPr>
        <w:t xml:space="preserve">u izpildi. </w:t>
      </w:r>
      <w:r w:rsidR="00DC446A">
        <w:rPr>
          <w:rFonts w:ascii="Times New Roman" w:hAnsi="Times New Roman" w:cs="Times New Roman"/>
          <w:color w:val="1B1D1F"/>
          <w:sz w:val="24"/>
          <w:szCs w:val="24"/>
        </w:rPr>
        <w:t>2015.gadā</w:t>
      </w:r>
      <w:r w:rsidR="00C01F7E" w:rsidRPr="009905B5">
        <w:rPr>
          <w:rFonts w:ascii="Times New Roman" w:hAnsi="Times New Roman" w:cs="Times New Roman"/>
          <w:color w:val="1B1D1F"/>
          <w:sz w:val="24"/>
          <w:szCs w:val="24"/>
        </w:rPr>
        <w:t xml:space="preserve"> ANO </w:t>
      </w:r>
      <w:r w:rsidR="00DC446A">
        <w:rPr>
          <w:rFonts w:ascii="Times New Roman" w:hAnsi="Times New Roman" w:cs="Times New Roman"/>
          <w:color w:val="1B1D1F"/>
          <w:sz w:val="24"/>
          <w:szCs w:val="24"/>
        </w:rPr>
        <w:t>līmeņa konferencē</w:t>
      </w:r>
      <w:r w:rsidR="00913708">
        <w:rPr>
          <w:rFonts w:ascii="Times New Roman" w:hAnsi="Times New Roman" w:cs="Times New Roman"/>
          <w:color w:val="1B1D1F"/>
          <w:sz w:val="24"/>
          <w:szCs w:val="24"/>
        </w:rPr>
        <w:t xml:space="preserve"> Adisabebā, Etiopijā</w:t>
      </w:r>
      <w:r w:rsidR="00DC446A">
        <w:rPr>
          <w:rFonts w:ascii="Times New Roman" w:hAnsi="Times New Roman" w:cs="Times New Roman"/>
          <w:color w:val="1B1D1F"/>
          <w:sz w:val="24"/>
          <w:szCs w:val="24"/>
        </w:rPr>
        <w:t xml:space="preserve"> un</w:t>
      </w:r>
      <w:r w:rsidR="00A768CC">
        <w:rPr>
          <w:rFonts w:ascii="Times New Roman" w:hAnsi="Times New Roman" w:cs="Times New Roman"/>
          <w:color w:val="1B1D1F"/>
          <w:sz w:val="24"/>
          <w:szCs w:val="24"/>
        </w:rPr>
        <w:t xml:space="preserve"> </w:t>
      </w:r>
      <w:r w:rsidR="00DC446A">
        <w:rPr>
          <w:rFonts w:ascii="Times New Roman" w:hAnsi="Times New Roman" w:cs="Times New Roman"/>
          <w:color w:val="1B1D1F"/>
          <w:sz w:val="24"/>
          <w:szCs w:val="24"/>
        </w:rPr>
        <w:t>ANO Ģenerāl</w:t>
      </w:r>
      <w:r w:rsidR="00A768CC">
        <w:rPr>
          <w:rFonts w:ascii="Times New Roman" w:hAnsi="Times New Roman" w:cs="Times New Roman"/>
          <w:color w:val="1B1D1F"/>
          <w:sz w:val="24"/>
          <w:szCs w:val="24"/>
        </w:rPr>
        <w:t>ajā asamblejā apstiprinātajā</w:t>
      </w:r>
      <w:r w:rsidR="00DC446A">
        <w:rPr>
          <w:rStyle w:val="FootnoteReference"/>
          <w:rFonts w:ascii="Times New Roman" w:hAnsi="Times New Roman" w:cs="Times New Roman"/>
          <w:color w:val="1B1D1F"/>
          <w:sz w:val="24"/>
          <w:szCs w:val="24"/>
        </w:rPr>
        <w:footnoteReference w:id="4"/>
      </w:r>
      <w:r w:rsidR="00DC446A">
        <w:rPr>
          <w:rFonts w:ascii="Times New Roman" w:hAnsi="Times New Roman" w:cs="Times New Roman"/>
          <w:color w:val="1B1D1F"/>
          <w:sz w:val="24"/>
          <w:szCs w:val="24"/>
        </w:rPr>
        <w:t xml:space="preserve"> </w:t>
      </w:r>
      <w:r w:rsidR="00C01F7E" w:rsidRPr="009905B5">
        <w:rPr>
          <w:rFonts w:ascii="Times New Roman" w:hAnsi="Times New Roman" w:cs="Times New Roman"/>
          <w:color w:val="1B1D1F"/>
          <w:sz w:val="24"/>
          <w:szCs w:val="24"/>
        </w:rPr>
        <w:t>Adisabebas Rīcības programmā par finansējumu attīstībai</w:t>
      </w:r>
      <w:r w:rsidR="00913708">
        <w:rPr>
          <w:rFonts w:ascii="Times New Roman" w:hAnsi="Times New Roman" w:cs="Times New Roman"/>
          <w:color w:val="1B1D1F"/>
          <w:sz w:val="24"/>
          <w:szCs w:val="24"/>
        </w:rPr>
        <w:t xml:space="preserve"> (turpmāk - Adisabebas Rīcības programma)</w:t>
      </w:r>
      <w:r w:rsidR="00A768CC">
        <w:rPr>
          <w:rFonts w:ascii="Times New Roman" w:hAnsi="Times New Roman" w:cs="Times New Roman"/>
          <w:color w:val="1B1D1F"/>
          <w:sz w:val="24"/>
          <w:szCs w:val="24"/>
        </w:rPr>
        <w:t xml:space="preserve"> arī norādīts uz</w:t>
      </w:r>
      <w:r w:rsidR="00C01F7E" w:rsidRPr="009905B5">
        <w:rPr>
          <w:rFonts w:ascii="Times New Roman" w:hAnsi="Times New Roman" w:cs="Times New Roman"/>
          <w:color w:val="1B1D1F"/>
          <w:sz w:val="24"/>
          <w:szCs w:val="24"/>
        </w:rPr>
        <w:t xml:space="preserve"> </w:t>
      </w:r>
      <w:r w:rsidR="00913708">
        <w:rPr>
          <w:rFonts w:ascii="Times New Roman" w:hAnsi="Times New Roman" w:cs="Times New Roman"/>
          <w:color w:val="1B1D1F"/>
          <w:sz w:val="24"/>
          <w:szCs w:val="24"/>
        </w:rPr>
        <w:t xml:space="preserve">nepieciešamību valstīm ievērot </w:t>
      </w:r>
      <w:r w:rsidR="00A768CC">
        <w:rPr>
          <w:rFonts w:ascii="Times New Roman" w:hAnsi="Times New Roman" w:cs="Times New Roman"/>
          <w:color w:val="1B1D1F"/>
          <w:sz w:val="24"/>
          <w:szCs w:val="24"/>
        </w:rPr>
        <w:t xml:space="preserve">OAP </w:t>
      </w:r>
      <w:r w:rsidR="00CB2518">
        <w:rPr>
          <w:rFonts w:ascii="Times New Roman" w:hAnsi="Times New Roman" w:cs="Times New Roman"/>
          <w:color w:val="1B1D1F"/>
          <w:sz w:val="24"/>
          <w:szCs w:val="24"/>
        </w:rPr>
        <w:t>saistības</w:t>
      </w:r>
      <w:r w:rsidR="00913708">
        <w:rPr>
          <w:rFonts w:ascii="Times New Roman" w:hAnsi="Times New Roman" w:cs="Times New Roman"/>
          <w:color w:val="1B1D1F"/>
          <w:sz w:val="24"/>
          <w:szCs w:val="24"/>
        </w:rPr>
        <w:t xml:space="preserve">, tostarp </w:t>
      </w:r>
      <w:r w:rsidR="00C01F7E" w:rsidRPr="009905B5">
        <w:rPr>
          <w:rFonts w:ascii="Times New Roman" w:hAnsi="Times New Roman" w:cs="Times New Roman"/>
          <w:color w:val="1B1D1F"/>
          <w:sz w:val="24"/>
          <w:szCs w:val="24"/>
        </w:rPr>
        <w:t xml:space="preserve">daudzu attīstīto valstu </w:t>
      </w:r>
      <w:r w:rsidR="00CB2518">
        <w:rPr>
          <w:rFonts w:ascii="Times New Roman" w:hAnsi="Times New Roman" w:cs="Times New Roman"/>
          <w:color w:val="1B1D1F"/>
          <w:sz w:val="24"/>
          <w:szCs w:val="24"/>
        </w:rPr>
        <w:t>saistības</w:t>
      </w:r>
      <w:r w:rsidR="00913708" w:rsidRPr="009905B5">
        <w:rPr>
          <w:rFonts w:ascii="Times New Roman" w:hAnsi="Times New Roman" w:cs="Times New Roman"/>
          <w:color w:val="1B1D1F"/>
          <w:sz w:val="24"/>
          <w:szCs w:val="24"/>
        </w:rPr>
        <w:t xml:space="preserve"> </w:t>
      </w:r>
      <w:r w:rsidR="00913708">
        <w:rPr>
          <w:rFonts w:ascii="Times New Roman" w:hAnsi="Times New Roman" w:cs="Times New Roman"/>
          <w:color w:val="1B1D1F"/>
          <w:sz w:val="24"/>
          <w:szCs w:val="24"/>
        </w:rPr>
        <w:t>atvēlēt</w:t>
      </w:r>
      <w:r w:rsidR="00C01F7E" w:rsidRPr="009905B5">
        <w:rPr>
          <w:rFonts w:ascii="Times New Roman" w:hAnsi="Times New Roman" w:cs="Times New Roman"/>
          <w:color w:val="1B1D1F"/>
          <w:sz w:val="24"/>
          <w:szCs w:val="24"/>
        </w:rPr>
        <w:t xml:space="preserve"> </w:t>
      </w:r>
      <w:r w:rsidR="009F7813" w:rsidRPr="009905B5">
        <w:rPr>
          <w:rFonts w:ascii="Times New Roman" w:hAnsi="Times New Roman" w:cs="Times New Roman"/>
          <w:color w:val="1B1D1F"/>
          <w:sz w:val="24"/>
          <w:szCs w:val="24"/>
        </w:rPr>
        <w:t>OAP</w:t>
      </w:r>
      <w:r w:rsidR="00C01F7E" w:rsidRPr="009905B5">
        <w:rPr>
          <w:rFonts w:ascii="Times New Roman" w:hAnsi="Times New Roman" w:cs="Times New Roman"/>
          <w:color w:val="1B1D1F"/>
          <w:sz w:val="24"/>
          <w:szCs w:val="24"/>
        </w:rPr>
        <w:t xml:space="preserve"> 0.7% no </w:t>
      </w:r>
      <w:r w:rsidR="009F7813" w:rsidRPr="009905B5">
        <w:rPr>
          <w:rFonts w:ascii="Times New Roman" w:hAnsi="Times New Roman" w:cs="Times New Roman"/>
          <w:color w:val="1B1D1F"/>
          <w:sz w:val="24"/>
          <w:szCs w:val="24"/>
        </w:rPr>
        <w:t>NKI</w:t>
      </w:r>
      <w:r w:rsidR="00C01F7E" w:rsidRPr="009905B5">
        <w:rPr>
          <w:rFonts w:ascii="Times New Roman" w:hAnsi="Times New Roman" w:cs="Times New Roman"/>
          <w:color w:val="1B1D1F"/>
          <w:sz w:val="24"/>
          <w:szCs w:val="24"/>
        </w:rPr>
        <w:t>.</w:t>
      </w:r>
      <w:r w:rsidR="002E253A">
        <w:rPr>
          <w:rFonts w:ascii="Times New Roman" w:hAnsi="Times New Roman" w:cs="Times New Roman"/>
          <w:color w:val="1B1D1F"/>
          <w:sz w:val="24"/>
          <w:szCs w:val="24"/>
        </w:rPr>
        <w:t xml:space="preserve"> </w:t>
      </w:r>
    </w:p>
    <w:p w14:paraId="6984B78A" w14:textId="77777777" w:rsidR="00926FD4" w:rsidRPr="009905B5" w:rsidRDefault="002B0B14"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2015</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w:t>
      </w:r>
      <w:r w:rsidR="00C01F7E" w:rsidRPr="009905B5">
        <w:rPr>
          <w:rFonts w:ascii="Times New Roman" w:hAnsi="Times New Roman" w:cs="Times New Roman"/>
          <w:b/>
          <w:color w:val="1B1D1F"/>
          <w:sz w:val="24"/>
          <w:szCs w:val="24"/>
        </w:rPr>
        <w:t xml:space="preserve"> </w:t>
      </w:r>
      <w:r w:rsidR="00FA39E4" w:rsidRPr="009905B5">
        <w:rPr>
          <w:rFonts w:ascii="Times New Roman" w:hAnsi="Times New Roman" w:cs="Times New Roman"/>
          <w:color w:val="1B1D1F"/>
          <w:sz w:val="24"/>
          <w:szCs w:val="24"/>
        </w:rPr>
        <w:t>ES un tās dalībvalst</w:t>
      </w:r>
      <w:r w:rsidR="00460215" w:rsidRPr="009905B5">
        <w:rPr>
          <w:rFonts w:ascii="Times New Roman" w:hAnsi="Times New Roman" w:cs="Times New Roman"/>
          <w:color w:val="1B1D1F"/>
          <w:sz w:val="24"/>
          <w:szCs w:val="24"/>
        </w:rPr>
        <w:t>is</w:t>
      </w:r>
      <w:r w:rsidR="00FA39E4"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 xml:space="preserve">atkārtoti apstiprināja kolektīvo apņemšanos </w:t>
      </w:r>
      <w:r w:rsidR="00FA39E4" w:rsidRPr="009905B5">
        <w:rPr>
          <w:rFonts w:ascii="Times New Roman" w:hAnsi="Times New Roman" w:cs="Times New Roman"/>
          <w:color w:val="1B1D1F"/>
          <w:sz w:val="24"/>
          <w:szCs w:val="24"/>
        </w:rPr>
        <w:t>līdz 2030</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00FA39E4" w:rsidRPr="009905B5">
        <w:rPr>
          <w:rFonts w:ascii="Times New Roman" w:hAnsi="Times New Roman" w:cs="Times New Roman"/>
          <w:color w:val="1B1D1F"/>
          <w:sz w:val="24"/>
          <w:szCs w:val="24"/>
        </w:rPr>
        <w:t>am attīs</w:t>
      </w:r>
      <w:r w:rsidR="00805BA1" w:rsidRPr="009905B5">
        <w:rPr>
          <w:rFonts w:ascii="Times New Roman" w:hAnsi="Times New Roman" w:cs="Times New Roman"/>
          <w:color w:val="1B1D1F"/>
          <w:sz w:val="24"/>
          <w:szCs w:val="24"/>
        </w:rPr>
        <w:t xml:space="preserve">tības </w:t>
      </w:r>
      <w:r w:rsidR="00AD65FA" w:rsidRPr="009905B5">
        <w:rPr>
          <w:rFonts w:ascii="Times New Roman" w:hAnsi="Times New Roman" w:cs="Times New Roman"/>
          <w:color w:val="1B1D1F"/>
          <w:sz w:val="24"/>
          <w:szCs w:val="24"/>
        </w:rPr>
        <w:t>palīdzībai veltīt</w:t>
      </w:r>
      <w:r w:rsidR="00805BA1" w:rsidRPr="009905B5">
        <w:rPr>
          <w:rFonts w:ascii="Times New Roman" w:hAnsi="Times New Roman" w:cs="Times New Roman"/>
          <w:color w:val="1B1D1F"/>
          <w:sz w:val="24"/>
          <w:szCs w:val="24"/>
        </w:rPr>
        <w:t xml:space="preserve"> 0.7</w:t>
      </w:r>
      <w:r w:rsidR="00FA39E4" w:rsidRPr="009905B5">
        <w:rPr>
          <w:rFonts w:ascii="Times New Roman" w:hAnsi="Times New Roman" w:cs="Times New Roman"/>
          <w:color w:val="1B1D1F"/>
          <w:sz w:val="24"/>
          <w:szCs w:val="24"/>
        </w:rPr>
        <w:t>% no NKI, tajā skaitā 0.15</w:t>
      </w:r>
      <w:r w:rsidR="007C03F4">
        <w:rPr>
          <w:rFonts w:ascii="Times New Roman" w:hAnsi="Times New Roman" w:cs="Times New Roman"/>
          <w:color w:val="1B1D1F"/>
          <w:sz w:val="24"/>
          <w:szCs w:val="24"/>
        </w:rPr>
        <w:t xml:space="preserve"> </w:t>
      </w:r>
      <w:r w:rsidR="00FA39E4"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FA39E4" w:rsidRPr="009905B5">
        <w:rPr>
          <w:rFonts w:ascii="Times New Roman" w:hAnsi="Times New Roman" w:cs="Times New Roman"/>
          <w:color w:val="1B1D1F"/>
          <w:sz w:val="24"/>
          <w:szCs w:val="24"/>
        </w:rPr>
        <w:t>0.20% no NKI novirzot vismazāk attīstītajām valstīm (</w:t>
      </w:r>
      <w:proofErr w:type="spellStart"/>
      <w:r w:rsidR="00FA39E4" w:rsidRPr="009905B5">
        <w:rPr>
          <w:rFonts w:ascii="Times New Roman" w:hAnsi="Times New Roman" w:cs="Times New Roman"/>
          <w:i/>
          <w:color w:val="1B1D1F"/>
          <w:sz w:val="24"/>
          <w:szCs w:val="24"/>
        </w:rPr>
        <w:t>least</w:t>
      </w:r>
      <w:proofErr w:type="spellEnd"/>
      <w:r w:rsidR="00FA39E4" w:rsidRPr="009905B5">
        <w:rPr>
          <w:rFonts w:ascii="Times New Roman" w:hAnsi="Times New Roman" w:cs="Times New Roman"/>
          <w:i/>
          <w:color w:val="1B1D1F"/>
          <w:sz w:val="24"/>
          <w:szCs w:val="24"/>
        </w:rPr>
        <w:t xml:space="preserve"> </w:t>
      </w:r>
      <w:proofErr w:type="spellStart"/>
      <w:r w:rsidR="00FA39E4" w:rsidRPr="009905B5">
        <w:rPr>
          <w:rFonts w:ascii="Times New Roman" w:hAnsi="Times New Roman" w:cs="Times New Roman"/>
          <w:i/>
          <w:color w:val="1B1D1F"/>
          <w:sz w:val="24"/>
          <w:szCs w:val="24"/>
        </w:rPr>
        <w:t>developed</w:t>
      </w:r>
      <w:proofErr w:type="spellEnd"/>
      <w:r w:rsidR="00FA39E4" w:rsidRPr="009905B5">
        <w:rPr>
          <w:rFonts w:ascii="Times New Roman" w:hAnsi="Times New Roman" w:cs="Times New Roman"/>
          <w:i/>
          <w:color w:val="1B1D1F"/>
          <w:sz w:val="24"/>
          <w:szCs w:val="24"/>
        </w:rPr>
        <w:t xml:space="preserve"> </w:t>
      </w:r>
      <w:proofErr w:type="spellStart"/>
      <w:r w:rsidR="00FA39E4" w:rsidRPr="009905B5">
        <w:rPr>
          <w:rFonts w:ascii="Times New Roman" w:hAnsi="Times New Roman" w:cs="Times New Roman"/>
          <w:i/>
          <w:color w:val="1B1D1F"/>
          <w:sz w:val="24"/>
          <w:szCs w:val="24"/>
        </w:rPr>
        <w:t>countries</w:t>
      </w:r>
      <w:proofErr w:type="spellEnd"/>
      <w:r w:rsidR="00FA39E4" w:rsidRPr="009905B5">
        <w:rPr>
          <w:rFonts w:ascii="Times New Roman" w:hAnsi="Times New Roman" w:cs="Times New Roman"/>
          <w:i/>
          <w:color w:val="1B1D1F"/>
          <w:sz w:val="24"/>
          <w:szCs w:val="24"/>
        </w:rPr>
        <w:t xml:space="preserve">; </w:t>
      </w:r>
      <w:r w:rsidR="005761DD" w:rsidRPr="009905B5">
        <w:rPr>
          <w:rFonts w:ascii="Times New Roman" w:hAnsi="Times New Roman" w:cs="Times New Roman"/>
          <w:color w:val="1B1D1F"/>
          <w:sz w:val="24"/>
          <w:szCs w:val="24"/>
        </w:rPr>
        <w:t>turpmāk – VAV), kas atspoguļojas arī</w:t>
      </w:r>
      <w:r w:rsidR="00FA39E4" w:rsidRPr="009905B5">
        <w:rPr>
          <w:rFonts w:ascii="Times New Roman" w:hAnsi="Times New Roman" w:cs="Times New Roman"/>
          <w:color w:val="1B1D1F"/>
          <w:sz w:val="24"/>
          <w:szCs w:val="24"/>
        </w:rPr>
        <w:t xml:space="preserve"> </w:t>
      </w:r>
      <w:r w:rsidR="005761DD" w:rsidRPr="009905B5">
        <w:rPr>
          <w:rFonts w:ascii="Times New Roman" w:hAnsi="Times New Roman" w:cs="Times New Roman"/>
          <w:color w:val="1B1D1F"/>
          <w:sz w:val="24"/>
          <w:szCs w:val="24"/>
        </w:rPr>
        <w:t xml:space="preserve">Adisabebas Rīcības programmā. </w:t>
      </w:r>
      <w:r w:rsidR="00AF0A2C">
        <w:rPr>
          <w:rFonts w:ascii="Times New Roman" w:hAnsi="Times New Roman" w:cs="Times New Roman"/>
          <w:color w:val="1B1D1F"/>
          <w:sz w:val="24"/>
          <w:szCs w:val="24"/>
        </w:rPr>
        <w:t>Atbilstoši 2015.gada 26.m</w:t>
      </w:r>
      <w:r w:rsidR="001249E0">
        <w:rPr>
          <w:rFonts w:ascii="Times New Roman" w:hAnsi="Times New Roman" w:cs="Times New Roman"/>
          <w:color w:val="1B1D1F"/>
          <w:sz w:val="24"/>
          <w:szCs w:val="24"/>
        </w:rPr>
        <w:t>a</w:t>
      </w:r>
      <w:r w:rsidR="00AF0A2C">
        <w:rPr>
          <w:rFonts w:ascii="Times New Roman" w:hAnsi="Times New Roman" w:cs="Times New Roman"/>
          <w:color w:val="1B1D1F"/>
          <w:sz w:val="24"/>
          <w:szCs w:val="24"/>
        </w:rPr>
        <w:t xml:space="preserve">ijā ES Padomē pieņemtajiem secinājumiem, </w:t>
      </w:r>
      <w:r w:rsidR="00FA39E4" w:rsidRPr="009905B5">
        <w:rPr>
          <w:rFonts w:ascii="Times New Roman" w:hAnsi="Times New Roman" w:cs="Times New Roman"/>
          <w:b/>
          <w:color w:val="1B1D1F"/>
          <w:sz w:val="24"/>
          <w:szCs w:val="24"/>
        </w:rPr>
        <w:t>Latvijai līdz 2030</w:t>
      </w:r>
      <w:r w:rsidR="00A2733A">
        <w:rPr>
          <w:rFonts w:ascii="Times New Roman" w:hAnsi="Times New Roman" w:cs="Times New Roman"/>
          <w:b/>
          <w:color w:val="1B1D1F"/>
          <w:sz w:val="24"/>
          <w:szCs w:val="24"/>
        </w:rPr>
        <w:t>. gad</w:t>
      </w:r>
      <w:r w:rsidR="00FA39E4" w:rsidRPr="009905B5">
        <w:rPr>
          <w:rFonts w:ascii="Times New Roman" w:hAnsi="Times New Roman" w:cs="Times New Roman"/>
          <w:b/>
          <w:color w:val="1B1D1F"/>
          <w:sz w:val="24"/>
          <w:szCs w:val="24"/>
        </w:rPr>
        <w:t>am attīstības sadarbībai jātiecas atvēlēt 0.33% no NKI</w:t>
      </w:r>
      <w:r w:rsidR="00FA39E4" w:rsidRPr="009905B5">
        <w:rPr>
          <w:rFonts w:ascii="Times New Roman" w:hAnsi="Times New Roman" w:cs="Times New Roman"/>
          <w:color w:val="1B1D1F"/>
          <w:sz w:val="24"/>
          <w:szCs w:val="24"/>
        </w:rPr>
        <w:t>, kā arī 0.15</w:t>
      </w:r>
      <w:r w:rsidR="007C03F4">
        <w:rPr>
          <w:rFonts w:ascii="Times New Roman" w:hAnsi="Times New Roman" w:cs="Times New Roman"/>
          <w:color w:val="1B1D1F"/>
          <w:sz w:val="24"/>
          <w:szCs w:val="24"/>
        </w:rPr>
        <w:t xml:space="preserve"> </w:t>
      </w:r>
      <w:r w:rsidR="00596CF7"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596CF7" w:rsidRPr="009905B5">
        <w:rPr>
          <w:rFonts w:ascii="Times New Roman" w:hAnsi="Times New Roman" w:cs="Times New Roman"/>
          <w:color w:val="1B1D1F"/>
          <w:sz w:val="24"/>
          <w:szCs w:val="24"/>
        </w:rPr>
        <w:t>0.20% no OAP/NKI jānovir</w:t>
      </w:r>
      <w:r w:rsidRPr="009905B5">
        <w:rPr>
          <w:rFonts w:ascii="Times New Roman" w:hAnsi="Times New Roman" w:cs="Times New Roman"/>
          <w:color w:val="1B1D1F"/>
          <w:sz w:val="24"/>
          <w:szCs w:val="24"/>
        </w:rPr>
        <w:t>za VAV (turpmāk – 2030 mērķis).</w:t>
      </w:r>
      <w:r w:rsidRPr="009905B5">
        <w:rPr>
          <w:rStyle w:val="FootnoteReference"/>
          <w:rFonts w:ascii="Times New Roman" w:hAnsi="Times New Roman" w:cs="Times New Roman"/>
          <w:color w:val="1B1D1F"/>
          <w:sz w:val="24"/>
          <w:szCs w:val="24"/>
        </w:rPr>
        <w:footnoteReference w:id="5"/>
      </w:r>
      <w:r w:rsidR="00D611BE">
        <w:rPr>
          <w:rFonts w:ascii="Times New Roman" w:hAnsi="Times New Roman" w:cs="Times New Roman"/>
          <w:color w:val="1B1D1F"/>
          <w:sz w:val="24"/>
          <w:szCs w:val="24"/>
        </w:rPr>
        <w:t xml:space="preserve"> </w:t>
      </w:r>
    </w:p>
    <w:p w14:paraId="23821867" w14:textId="77777777" w:rsidR="00470EF4" w:rsidRPr="001249E0" w:rsidRDefault="00596CF7" w:rsidP="00C05614">
      <w:pPr>
        <w:spacing w:line="240" w:lineRule="auto"/>
        <w:jc w:val="both"/>
        <w:rPr>
          <w:rFonts w:ascii="Times New Roman" w:hAnsi="Times New Roman" w:cs="Times New Roman"/>
          <w:b/>
          <w:color w:val="1B1D1F"/>
          <w:sz w:val="24"/>
          <w:szCs w:val="24"/>
        </w:rPr>
      </w:pPr>
      <w:r w:rsidRPr="009905B5">
        <w:rPr>
          <w:rFonts w:ascii="Times New Roman" w:hAnsi="Times New Roman" w:cs="Times New Roman"/>
          <w:color w:val="1B1D1F"/>
          <w:sz w:val="24"/>
          <w:szCs w:val="24"/>
        </w:rPr>
        <w:t xml:space="preserve">Tiecoties sasniegt 2030 mērķi, Latvijas </w:t>
      </w:r>
      <w:r w:rsidR="00483347" w:rsidRPr="009905B5">
        <w:rPr>
          <w:rFonts w:ascii="Times New Roman" w:hAnsi="Times New Roman" w:cs="Times New Roman"/>
          <w:color w:val="1B1D1F"/>
          <w:sz w:val="24"/>
          <w:szCs w:val="24"/>
        </w:rPr>
        <w:t>Attīstības sadarbības politikas pamatnostādnēs 2016.</w:t>
      </w:r>
      <w:r w:rsidR="007C03F4">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w:t>
      </w:r>
      <w:r w:rsidR="007C03F4">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2020</w:t>
      </w:r>
      <w:r w:rsidR="00A2733A">
        <w:rPr>
          <w:rFonts w:ascii="Times New Roman" w:hAnsi="Times New Roman" w:cs="Times New Roman"/>
          <w:color w:val="1B1D1F"/>
          <w:sz w:val="24"/>
          <w:szCs w:val="24"/>
        </w:rPr>
        <w:t>. gad</w:t>
      </w:r>
      <w:r w:rsidR="00483347" w:rsidRPr="009905B5">
        <w:rPr>
          <w:rFonts w:ascii="Times New Roman" w:hAnsi="Times New Roman" w:cs="Times New Roman"/>
          <w:color w:val="1B1D1F"/>
          <w:sz w:val="24"/>
          <w:szCs w:val="24"/>
        </w:rPr>
        <w:t>am</w:t>
      </w:r>
      <w:r w:rsidR="0016612C" w:rsidRPr="009905B5">
        <w:rPr>
          <w:rFonts w:ascii="Times New Roman" w:hAnsi="Times New Roman" w:cs="Times New Roman"/>
          <w:color w:val="1B1D1F"/>
          <w:sz w:val="24"/>
          <w:szCs w:val="24"/>
        </w:rPr>
        <w:t xml:space="preserve"> (turpmāk – Pamatnostādnes</w:t>
      </w:r>
      <w:r w:rsidR="00915EAA" w:rsidRPr="009905B5">
        <w:rPr>
          <w:rFonts w:ascii="Times New Roman" w:hAnsi="Times New Roman" w:cs="Times New Roman"/>
          <w:color w:val="1B1D1F"/>
          <w:sz w:val="24"/>
          <w:szCs w:val="24"/>
        </w:rPr>
        <w:t xml:space="preserve"> 2016 – 2020</w:t>
      </w:r>
      <w:r w:rsidR="0016612C" w:rsidRPr="009905B5">
        <w:rPr>
          <w:rFonts w:ascii="Times New Roman" w:hAnsi="Times New Roman" w:cs="Times New Roman"/>
          <w:color w:val="1B1D1F"/>
          <w:sz w:val="24"/>
          <w:szCs w:val="24"/>
        </w:rPr>
        <w:t>)</w:t>
      </w:r>
      <w:r w:rsidR="00483347"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ir</w:t>
      </w:r>
      <w:r w:rsidR="00483347" w:rsidRPr="009905B5">
        <w:rPr>
          <w:rFonts w:ascii="Times New Roman" w:hAnsi="Times New Roman" w:cs="Times New Roman"/>
          <w:color w:val="1B1D1F"/>
          <w:sz w:val="24"/>
          <w:szCs w:val="24"/>
        </w:rPr>
        <w:t xml:space="preserve"> izvirzīts</w:t>
      </w:r>
      <w:r w:rsidRPr="009905B5">
        <w:rPr>
          <w:rFonts w:ascii="Times New Roman" w:hAnsi="Times New Roman" w:cs="Times New Roman"/>
          <w:color w:val="1B1D1F"/>
          <w:sz w:val="24"/>
          <w:szCs w:val="24"/>
        </w:rPr>
        <w:t xml:space="preserve"> </w:t>
      </w:r>
      <w:r w:rsidR="00483347" w:rsidRPr="009905B5">
        <w:rPr>
          <w:rFonts w:ascii="Times New Roman" w:hAnsi="Times New Roman" w:cs="Times New Roman"/>
          <w:color w:val="1B1D1F"/>
          <w:sz w:val="24"/>
          <w:szCs w:val="24"/>
        </w:rPr>
        <w:t xml:space="preserve">mērķis </w:t>
      </w:r>
      <w:r w:rsidRPr="009905B5">
        <w:rPr>
          <w:rFonts w:ascii="Times New Roman" w:hAnsi="Times New Roman" w:cs="Times New Roman"/>
          <w:color w:val="1B1D1F"/>
          <w:sz w:val="24"/>
          <w:szCs w:val="24"/>
        </w:rPr>
        <w:t>līdz 2020</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Pr="009905B5">
        <w:rPr>
          <w:rFonts w:ascii="Times New Roman" w:hAnsi="Times New Roman" w:cs="Times New Roman"/>
          <w:color w:val="1B1D1F"/>
          <w:sz w:val="24"/>
          <w:szCs w:val="24"/>
        </w:rPr>
        <w:t xml:space="preserve">am palielināt Latvijas OAP līdz 0.17% no NKI (turpmāk – 2020 mērķis). </w:t>
      </w:r>
      <w:r w:rsidR="00063307" w:rsidRPr="009905B5">
        <w:rPr>
          <w:rFonts w:ascii="Times New Roman" w:hAnsi="Times New Roman" w:cs="Times New Roman"/>
          <w:b/>
          <w:color w:val="1B1D1F"/>
          <w:sz w:val="24"/>
          <w:szCs w:val="24"/>
        </w:rPr>
        <w:t>2018</w:t>
      </w:r>
      <w:r w:rsidR="000977BE">
        <w:rPr>
          <w:rFonts w:ascii="Times New Roman" w:hAnsi="Times New Roman" w:cs="Times New Roman"/>
          <w:b/>
          <w:color w:val="1B1D1F"/>
          <w:sz w:val="24"/>
          <w:szCs w:val="24"/>
        </w:rPr>
        <w:t>. </w:t>
      </w:r>
      <w:r w:rsidR="00A2733A">
        <w:rPr>
          <w:rFonts w:ascii="Times New Roman" w:hAnsi="Times New Roman" w:cs="Times New Roman"/>
          <w:b/>
          <w:color w:val="1B1D1F"/>
          <w:sz w:val="24"/>
          <w:szCs w:val="24"/>
        </w:rPr>
        <w:t>gad</w:t>
      </w:r>
      <w:r w:rsidR="00063307" w:rsidRPr="009905B5">
        <w:rPr>
          <w:rFonts w:ascii="Times New Roman" w:hAnsi="Times New Roman" w:cs="Times New Roman"/>
          <w:b/>
          <w:color w:val="1B1D1F"/>
          <w:sz w:val="24"/>
          <w:szCs w:val="24"/>
        </w:rPr>
        <w:t>ā Latvijas OAP bija 0.1% no NKI</w:t>
      </w:r>
      <w:r w:rsidRPr="009905B5">
        <w:rPr>
          <w:rFonts w:ascii="Times New Roman" w:hAnsi="Times New Roman" w:cs="Times New Roman"/>
          <w:color w:val="1B1D1F"/>
          <w:sz w:val="24"/>
          <w:szCs w:val="24"/>
        </w:rPr>
        <w:t xml:space="preserve">. </w:t>
      </w:r>
      <w:r w:rsidR="00C81FBD" w:rsidRPr="009905B5">
        <w:rPr>
          <w:rFonts w:ascii="Times New Roman" w:hAnsi="Times New Roman" w:cs="Times New Roman"/>
          <w:b/>
          <w:color w:val="1B1D1F"/>
          <w:sz w:val="24"/>
          <w:szCs w:val="24"/>
        </w:rPr>
        <w:t>2020</w:t>
      </w:r>
      <w:r w:rsidR="00A2733A">
        <w:rPr>
          <w:rFonts w:ascii="Times New Roman" w:hAnsi="Times New Roman" w:cs="Times New Roman"/>
          <w:b/>
          <w:color w:val="1B1D1F"/>
          <w:sz w:val="24"/>
          <w:szCs w:val="24"/>
        </w:rPr>
        <w:t>. gad</w:t>
      </w:r>
      <w:r w:rsidR="00C81FBD" w:rsidRPr="009905B5">
        <w:rPr>
          <w:rFonts w:ascii="Times New Roman" w:hAnsi="Times New Roman" w:cs="Times New Roman"/>
          <w:b/>
          <w:color w:val="1B1D1F"/>
          <w:sz w:val="24"/>
          <w:szCs w:val="24"/>
        </w:rPr>
        <w:t>ā</w:t>
      </w:r>
      <w:r w:rsidRPr="009905B5">
        <w:rPr>
          <w:rFonts w:ascii="Times New Roman" w:hAnsi="Times New Roman" w:cs="Times New Roman"/>
          <w:b/>
          <w:color w:val="1B1D1F"/>
          <w:sz w:val="24"/>
          <w:szCs w:val="24"/>
        </w:rPr>
        <w:t xml:space="preserve"> netiks </w:t>
      </w:r>
      <w:r w:rsidR="0018479D" w:rsidRPr="009905B5">
        <w:rPr>
          <w:rFonts w:ascii="Times New Roman" w:hAnsi="Times New Roman" w:cs="Times New Roman"/>
          <w:b/>
          <w:color w:val="1B1D1F"/>
          <w:sz w:val="24"/>
          <w:szCs w:val="24"/>
        </w:rPr>
        <w:t>sasniegti izvirzītie attīstības sadarbības finansēšanas mērķi un ir</w:t>
      </w:r>
      <w:r w:rsidR="00C9119D" w:rsidRPr="009905B5">
        <w:rPr>
          <w:rFonts w:ascii="Times New Roman" w:hAnsi="Times New Roman" w:cs="Times New Roman"/>
          <w:b/>
          <w:color w:val="1B1D1F"/>
          <w:sz w:val="24"/>
          <w:szCs w:val="24"/>
        </w:rPr>
        <w:t xml:space="preserve"> arī</w:t>
      </w:r>
      <w:r w:rsidR="0018479D" w:rsidRPr="009905B5">
        <w:rPr>
          <w:rFonts w:ascii="Times New Roman" w:hAnsi="Times New Roman" w:cs="Times New Roman"/>
          <w:b/>
          <w:color w:val="1B1D1F"/>
          <w:sz w:val="24"/>
          <w:szCs w:val="24"/>
        </w:rPr>
        <w:t xml:space="preserve"> apdraudēta 2030 mērķa sasniegšana. </w:t>
      </w:r>
    </w:p>
    <w:p w14:paraId="50EEF724" w14:textId="77777777" w:rsidR="00CA4EE4" w:rsidRDefault="000F233F" w:rsidP="00C05614">
      <w:pPr>
        <w:spacing w:after="0" w:line="240" w:lineRule="auto"/>
        <w:contextualSpacing/>
        <w:jc w:val="both"/>
        <w:rPr>
          <w:rFonts w:ascii="Times New Roman" w:eastAsia="Times New Roman" w:hAnsi="Times New Roman" w:cs="Times New Roman"/>
          <w:bCs/>
          <w:sz w:val="24"/>
          <w:szCs w:val="24"/>
        </w:rPr>
      </w:pPr>
      <w:r w:rsidRPr="005A0442">
        <w:rPr>
          <w:rFonts w:ascii="Times New Roman" w:eastAsia="Times New Roman" w:hAnsi="Times New Roman" w:cs="Times New Roman"/>
          <w:bCs/>
          <w:sz w:val="24"/>
          <w:szCs w:val="24"/>
        </w:rPr>
        <w:t>Latvijas s</w:t>
      </w:r>
      <w:r w:rsidR="0028728C" w:rsidRPr="005A0442">
        <w:rPr>
          <w:rFonts w:ascii="Times New Roman" w:eastAsia="Times New Roman" w:hAnsi="Times New Roman" w:cs="Times New Roman"/>
          <w:bCs/>
          <w:sz w:val="24"/>
          <w:szCs w:val="24"/>
        </w:rPr>
        <w:t>tarptautisk</w:t>
      </w:r>
      <w:r w:rsidR="004F3D4A" w:rsidRPr="005A0442">
        <w:rPr>
          <w:rFonts w:ascii="Times New Roman" w:eastAsia="Times New Roman" w:hAnsi="Times New Roman" w:cs="Times New Roman"/>
          <w:bCs/>
          <w:sz w:val="24"/>
          <w:szCs w:val="24"/>
        </w:rPr>
        <w:t>i izteikto</w:t>
      </w:r>
      <w:r w:rsidR="0028728C" w:rsidRPr="005A0442">
        <w:rPr>
          <w:rFonts w:ascii="Times New Roman" w:eastAsia="Times New Roman" w:hAnsi="Times New Roman" w:cs="Times New Roman"/>
          <w:bCs/>
          <w:sz w:val="24"/>
          <w:szCs w:val="24"/>
        </w:rPr>
        <w:t xml:space="preserve"> OAP apņemšanos un mērķu neizpilde </w:t>
      </w:r>
      <w:r w:rsidR="00C9119D" w:rsidRPr="005A0442">
        <w:rPr>
          <w:rFonts w:ascii="Times New Roman" w:eastAsia="Times New Roman" w:hAnsi="Times New Roman" w:cs="Times New Roman"/>
          <w:bCs/>
          <w:sz w:val="24"/>
          <w:szCs w:val="24"/>
        </w:rPr>
        <w:t xml:space="preserve">neparedz sankcijas, bet </w:t>
      </w:r>
      <w:r w:rsidR="00331DE2" w:rsidRPr="005A0442">
        <w:rPr>
          <w:rFonts w:ascii="Times New Roman" w:eastAsia="Times New Roman" w:hAnsi="Times New Roman" w:cs="Times New Roman"/>
          <w:bCs/>
          <w:sz w:val="24"/>
          <w:szCs w:val="24"/>
        </w:rPr>
        <w:t xml:space="preserve">tas </w:t>
      </w:r>
      <w:r w:rsidR="00BC7105" w:rsidRPr="005A0442">
        <w:rPr>
          <w:rFonts w:ascii="Times New Roman" w:eastAsia="Times New Roman" w:hAnsi="Times New Roman" w:cs="Times New Roman"/>
          <w:bCs/>
          <w:sz w:val="24"/>
          <w:szCs w:val="24"/>
        </w:rPr>
        <w:t>negatīvi ietekmē</w:t>
      </w:r>
      <w:r w:rsidR="00C9119D" w:rsidRPr="005A0442">
        <w:rPr>
          <w:rFonts w:ascii="Times New Roman" w:eastAsia="Times New Roman" w:hAnsi="Times New Roman" w:cs="Times New Roman"/>
          <w:bCs/>
          <w:sz w:val="24"/>
          <w:szCs w:val="24"/>
        </w:rPr>
        <w:t xml:space="preserve"> </w:t>
      </w:r>
      <w:r w:rsidRPr="005A0442">
        <w:rPr>
          <w:rFonts w:ascii="Times New Roman" w:eastAsia="Times New Roman" w:hAnsi="Times New Roman" w:cs="Times New Roman"/>
          <w:bCs/>
          <w:sz w:val="24"/>
          <w:szCs w:val="24"/>
        </w:rPr>
        <w:t>Latvijas kā donora</w:t>
      </w:r>
      <w:r w:rsidR="00C9119D" w:rsidRPr="005A0442">
        <w:rPr>
          <w:rFonts w:ascii="Times New Roman" w:eastAsia="Times New Roman" w:hAnsi="Times New Roman" w:cs="Times New Roman"/>
          <w:bCs/>
          <w:sz w:val="24"/>
          <w:szCs w:val="24"/>
        </w:rPr>
        <w:t xml:space="preserve"> un t</w:t>
      </w:r>
      <w:r w:rsidRPr="005A0442">
        <w:rPr>
          <w:rFonts w:ascii="Times New Roman" w:eastAsia="Times New Roman" w:hAnsi="Times New Roman" w:cs="Times New Roman"/>
          <w:bCs/>
          <w:sz w:val="24"/>
          <w:szCs w:val="24"/>
        </w:rPr>
        <w:t>ās politikas</w:t>
      </w:r>
      <w:r w:rsidR="00C9119D" w:rsidRPr="005A0442">
        <w:rPr>
          <w:rFonts w:ascii="Times New Roman" w:eastAsia="Times New Roman" w:hAnsi="Times New Roman" w:cs="Times New Roman"/>
          <w:bCs/>
          <w:sz w:val="24"/>
          <w:szCs w:val="24"/>
        </w:rPr>
        <w:t xml:space="preserve"> </w:t>
      </w:r>
      <w:r w:rsidR="00CA4EE4" w:rsidRPr="005A0442">
        <w:rPr>
          <w:rFonts w:ascii="Times New Roman" w:eastAsia="Times New Roman" w:hAnsi="Times New Roman" w:cs="Times New Roman"/>
          <w:bCs/>
          <w:sz w:val="24"/>
          <w:szCs w:val="24"/>
        </w:rPr>
        <w:t>ticamību</w:t>
      </w:r>
      <w:r w:rsidR="00C9119D" w:rsidRPr="005A0442">
        <w:rPr>
          <w:rFonts w:ascii="Times New Roman" w:eastAsia="Times New Roman" w:hAnsi="Times New Roman" w:cs="Times New Roman"/>
          <w:bCs/>
          <w:sz w:val="24"/>
          <w:szCs w:val="24"/>
        </w:rPr>
        <w:t>.</w:t>
      </w:r>
      <w:r w:rsidR="00BA6E9D">
        <w:rPr>
          <w:rFonts w:ascii="Times New Roman" w:eastAsia="Times New Roman" w:hAnsi="Times New Roman" w:cs="Times New Roman"/>
          <w:bCs/>
          <w:sz w:val="24"/>
          <w:szCs w:val="24"/>
        </w:rPr>
        <w:t xml:space="preserve"> No donoriem, kas ziņojuši </w:t>
      </w:r>
      <w:r w:rsidR="002906A3" w:rsidRPr="002906A3">
        <w:rPr>
          <w:rFonts w:ascii="Times New Roman" w:eastAsia="Times New Roman" w:hAnsi="Times New Roman" w:cs="Times New Roman"/>
          <w:bCs/>
          <w:sz w:val="24"/>
          <w:szCs w:val="24"/>
        </w:rPr>
        <w:t>Ekonomiskās sadarbības un attīstības organizācija</w:t>
      </w:r>
      <w:r w:rsidR="002906A3">
        <w:rPr>
          <w:rFonts w:ascii="Times New Roman" w:eastAsia="Times New Roman" w:hAnsi="Times New Roman" w:cs="Times New Roman"/>
          <w:bCs/>
          <w:sz w:val="24"/>
          <w:szCs w:val="24"/>
        </w:rPr>
        <w:t>i</w:t>
      </w:r>
      <w:r w:rsidR="002906A3" w:rsidRPr="002906A3">
        <w:rPr>
          <w:rFonts w:ascii="Times New Roman" w:eastAsia="Times New Roman" w:hAnsi="Times New Roman" w:cs="Times New Roman"/>
          <w:bCs/>
          <w:sz w:val="24"/>
          <w:szCs w:val="24"/>
        </w:rPr>
        <w:t xml:space="preserve"> </w:t>
      </w:r>
      <w:r w:rsidR="002906A3">
        <w:rPr>
          <w:rFonts w:ascii="Times New Roman" w:eastAsia="Times New Roman" w:hAnsi="Times New Roman" w:cs="Times New Roman"/>
          <w:bCs/>
          <w:sz w:val="24"/>
          <w:szCs w:val="24"/>
        </w:rPr>
        <w:t>(turpmāk –</w:t>
      </w:r>
      <w:r w:rsidR="000977BE">
        <w:rPr>
          <w:rFonts w:ascii="Times New Roman" w:eastAsia="Times New Roman" w:hAnsi="Times New Roman" w:cs="Times New Roman"/>
          <w:bCs/>
          <w:sz w:val="24"/>
          <w:szCs w:val="24"/>
        </w:rPr>
        <w:t xml:space="preserve"> </w:t>
      </w:r>
      <w:r w:rsidR="00BA6E9D">
        <w:rPr>
          <w:rFonts w:ascii="Times New Roman" w:eastAsia="Times New Roman" w:hAnsi="Times New Roman" w:cs="Times New Roman"/>
          <w:bCs/>
          <w:sz w:val="24"/>
          <w:szCs w:val="24"/>
        </w:rPr>
        <w:t>OECD</w:t>
      </w:r>
      <w:r w:rsidR="002906A3">
        <w:rPr>
          <w:rFonts w:ascii="Times New Roman" w:eastAsia="Times New Roman" w:hAnsi="Times New Roman" w:cs="Times New Roman"/>
          <w:bCs/>
          <w:sz w:val="24"/>
          <w:szCs w:val="24"/>
        </w:rPr>
        <w:t>)</w:t>
      </w:r>
      <w:r w:rsidR="00BA6E9D">
        <w:rPr>
          <w:rFonts w:ascii="Times New Roman" w:eastAsia="Times New Roman" w:hAnsi="Times New Roman" w:cs="Times New Roman"/>
          <w:bCs/>
          <w:sz w:val="24"/>
          <w:szCs w:val="24"/>
        </w:rPr>
        <w:t xml:space="preserve"> par sniegto OAP,</w:t>
      </w:r>
      <w:r w:rsidR="00F675D6" w:rsidRPr="009905B5">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 xml:space="preserve"> 2017. - 2018</w:t>
      </w:r>
      <w:r w:rsidR="00A2733A">
        <w:rPr>
          <w:rFonts w:ascii="Times New Roman" w:eastAsia="Times New Roman" w:hAnsi="Times New Roman" w:cs="Times New Roman"/>
          <w:bCs/>
          <w:sz w:val="24"/>
          <w:szCs w:val="24"/>
        </w:rPr>
        <w:t>. gad</w:t>
      </w:r>
      <w:r w:rsidR="005D66BB" w:rsidRPr="009905B5">
        <w:rPr>
          <w:rFonts w:ascii="Times New Roman" w:eastAsia="Times New Roman" w:hAnsi="Times New Roman" w:cs="Times New Roman"/>
          <w:bCs/>
          <w:sz w:val="24"/>
          <w:szCs w:val="24"/>
        </w:rPr>
        <w:t>ā tikai</w:t>
      </w:r>
      <w:r w:rsidR="002E253A">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Apvienot</w:t>
      </w:r>
      <w:r w:rsidR="007E34DE">
        <w:rPr>
          <w:rFonts w:ascii="Times New Roman" w:eastAsia="Times New Roman" w:hAnsi="Times New Roman" w:cs="Times New Roman"/>
          <w:bCs/>
          <w:sz w:val="24"/>
          <w:szCs w:val="24"/>
        </w:rPr>
        <w:t>ie</w:t>
      </w:r>
      <w:r w:rsidR="005D66BB" w:rsidRPr="009905B5">
        <w:rPr>
          <w:rFonts w:ascii="Times New Roman" w:eastAsia="Times New Roman" w:hAnsi="Times New Roman" w:cs="Times New Roman"/>
          <w:bCs/>
          <w:sz w:val="24"/>
          <w:szCs w:val="24"/>
        </w:rPr>
        <w:t xml:space="preserve"> Arābu Emirāti, Apvienotā Karaliste, Dānija, </w:t>
      </w:r>
      <w:r w:rsidR="005D66BB" w:rsidRPr="009905B5">
        <w:rPr>
          <w:rFonts w:ascii="Times New Roman" w:eastAsia="Times New Roman" w:hAnsi="Times New Roman" w:cs="Times New Roman"/>
          <w:bCs/>
          <w:sz w:val="24"/>
          <w:szCs w:val="24"/>
        </w:rPr>
        <w:lastRenderedPageBreak/>
        <w:t>Luksemburga, Norvēģija, Turcija, Zviedrija sasniedza 0.7% mērķi.</w:t>
      </w:r>
      <w:r w:rsidR="005D66BB" w:rsidRPr="009905B5">
        <w:rPr>
          <w:rStyle w:val="FootnoteReference"/>
          <w:rFonts w:ascii="Times New Roman" w:eastAsia="Times New Roman" w:hAnsi="Times New Roman" w:cs="Times New Roman"/>
          <w:bCs/>
          <w:sz w:val="24"/>
          <w:szCs w:val="24"/>
        </w:rPr>
        <w:footnoteReference w:id="6"/>
      </w:r>
      <w:r w:rsidR="005D66BB" w:rsidRPr="009905B5">
        <w:rPr>
          <w:rFonts w:ascii="Times New Roman" w:eastAsia="Times New Roman" w:hAnsi="Times New Roman" w:cs="Times New Roman"/>
          <w:bCs/>
          <w:sz w:val="24"/>
          <w:szCs w:val="24"/>
        </w:rPr>
        <w:t xml:space="preserve"> </w:t>
      </w:r>
      <w:r w:rsidR="007E34DE">
        <w:rPr>
          <w:rFonts w:ascii="Times New Roman" w:eastAsia="Times New Roman" w:hAnsi="Times New Roman" w:cs="Times New Roman"/>
          <w:bCs/>
          <w:sz w:val="24"/>
          <w:szCs w:val="24"/>
        </w:rPr>
        <w:t>V</w:t>
      </w:r>
      <w:r w:rsidR="000917AA" w:rsidRPr="009905B5">
        <w:rPr>
          <w:rFonts w:ascii="Times New Roman" w:eastAsia="Times New Roman" w:hAnsi="Times New Roman" w:cs="Times New Roman"/>
          <w:bCs/>
          <w:sz w:val="24"/>
          <w:szCs w:val="24"/>
        </w:rPr>
        <w:t>idējais OECD</w:t>
      </w:r>
      <w:r w:rsidR="002906A3">
        <w:rPr>
          <w:rFonts w:ascii="Times New Roman" w:eastAsia="Times New Roman" w:hAnsi="Times New Roman" w:cs="Times New Roman"/>
          <w:bCs/>
          <w:sz w:val="24"/>
          <w:szCs w:val="24"/>
        </w:rPr>
        <w:t xml:space="preserve"> Attīstības palīdzības komiteja (turpmāk - OECD </w:t>
      </w:r>
      <w:r w:rsidR="000917AA" w:rsidRPr="009905B5">
        <w:rPr>
          <w:rFonts w:ascii="Times New Roman" w:eastAsia="Times New Roman" w:hAnsi="Times New Roman" w:cs="Times New Roman"/>
          <w:bCs/>
          <w:sz w:val="24"/>
          <w:szCs w:val="24"/>
        </w:rPr>
        <w:t>DAC</w:t>
      </w:r>
      <w:r w:rsidR="002906A3">
        <w:rPr>
          <w:rFonts w:ascii="Times New Roman" w:eastAsia="Times New Roman" w:hAnsi="Times New Roman" w:cs="Times New Roman"/>
          <w:bCs/>
          <w:sz w:val="24"/>
          <w:szCs w:val="24"/>
        </w:rPr>
        <w:t>)</w:t>
      </w:r>
      <w:r w:rsidR="000917AA" w:rsidRPr="009905B5">
        <w:rPr>
          <w:rFonts w:ascii="Times New Roman" w:eastAsia="Times New Roman" w:hAnsi="Times New Roman" w:cs="Times New Roman"/>
          <w:bCs/>
          <w:sz w:val="24"/>
          <w:szCs w:val="24"/>
        </w:rPr>
        <w:t xml:space="preserve"> dalībvalsts rādītājs ir 0.31%, savukārt vidējais ES dalībvalsts</w:t>
      </w:r>
      <w:r w:rsidR="00CE17DE">
        <w:rPr>
          <w:rFonts w:ascii="Times New Roman" w:eastAsia="Times New Roman" w:hAnsi="Times New Roman" w:cs="Times New Roman"/>
          <w:bCs/>
          <w:sz w:val="24"/>
          <w:szCs w:val="24"/>
        </w:rPr>
        <w:t>, kas ir OECD DAC biedrs (turpmāk DAC-ES),</w:t>
      </w:r>
      <w:r w:rsidR="000917AA" w:rsidRPr="009905B5">
        <w:rPr>
          <w:rFonts w:ascii="Times New Roman" w:eastAsia="Times New Roman" w:hAnsi="Times New Roman" w:cs="Times New Roman"/>
          <w:bCs/>
          <w:sz w:val="24"/>
          <w:szCs w:val="24"/>
        </w:rPr>
        <w:t xml:space="preserve"> rādītājs ir 0.47%.</w:t>
      </w:r>
      <w:r w:rsidR="000917AA" w:rsidRPr="009905B5">
        <w:rPr>
          <w:rStyle w:val="FootnoteReference"/>
          <w:rFonts w:ascii="Times New Roman" w:eastAsia="Times New Roman" w:hAnsi="Times New Roman" w:cs="Times New Roman"/>
          <w:bCs/>
          <w:sz w:val="24"/>
          <w:szCs w:val="24"/>
        </w:rPr>
        <w:footnoteReference w:id="7"/>
      </w:r>
      <w:r w:rsidR="000917AA" w:rsidRPr="009905B5">
        <w:rPr>
          <w:rFonts w:ascii="Times New Roman" w:eastAsia="Times New Roman" w:hAnsi="Times New Roman" w:cs="Times New Roman"/>
          <w:bCs/>
          <w:sz w:val="24"/>
          <w:szCs w:val="24"/>
        </w:rPr>
        <w:t xml:space="preserve"> </w:t>
      </w:r>
      <w:r w:rsidR="005D66BB" w:rsidRPr="009905B5">
        <w:rPr>
          <w:rFonts w:ascii="Times New Roman" w:eastAsia="Times New Roman" w:hAnsi="Times New Roman" w:cs="Times New Roman"/>
          <w:bCs/>
          <w:sz w:val="24"/>
          <w:szCs w:val="24"/>
        </w:rPr>
        <w:t>Latvi</w:t>
      </w:r>
      <w:r w:rsidR="006E5EDB" w:rsidRPr="009905B5">
        <w:rPr>
          <w:rFonts w:ascii="Times New Roman" w:eastAsia="Times New Roman" w:hAnsi="Times New Roman" w:cs="Times New Roman"/>
          <w:bCs/>
          <w:sz w:val="24"/>
          <w:szCs w:val="24"/>
        </w:rPr>
        <w:t>ja nav vienīgā, kas sas</w:t>
      </w:r>
      <w:r w:rsidR="00C9119D" w:rsidRPr="009905B5">
        <w:rPr>
          <w:rFonts w:ascii="Times New Roman" w:eastAsia="Times New Roman" w:hAnsi="Times New Roman" w:cs="Times New Roman"/>
          <w:bCs/>
          <w:sz w:val="24"/>
          <w:szCs w:val="24"/>
        </w:rPr>
        <w:t>karas ar grūtībām izpildīt savus</w:t>
      </w:r>
      <w:r w:rsidR="006E5EDB" w:rsidRPr="009905B5">
        <w:rPr>
          <w:rFonts w:ascii="Times New Roman" w:eastAsia="Times New Roman" w:hAnsi="Times New Roman" w:cs="Times New Roman"/>
          <w:bCs/>
          <w:sz w:val="24"/>
          <w:szCs w:val="24"/>
        </w:rPr>
        <w:t xml:space="preserve"> attīstības</w:t>
      </w:r>
      <w:r w:rsidR="00C9119D" w:rsidRPr="009905B5">
        <w:rPr>
          <w:rFonts w:ascii="Times New Roman" w:eastAsia="Times New Roman" w:hAnsi="Times New Roman" w:cs="Times New Roman"/>
          <w:bCs/>
          <w:sz w:val="24"/>
          <w:szCs w:val="24"/>
        </w:rPr>
        <w:t xml:space="preserve"> palīdzības</w:t>
      </w:r>
      <w:r w:rsidR="006E5EDB" w:rsidRPr="009905B5">
        <w:rPr>
          <w:rFonts w:ascii="Times New Roman" w:eastAsia="Times New Roman" w:hAnsi="Times New Roman" w:cs="Times New Roman"/>
          <w:bCs/>
          <w:sz w:val="24"/>
          <w:szCs w:val="24"/>
        </w:rPr>
        <w:t xml:space="preserve"> finansējuma </w:t>
      </w:r>
      <w:r w:rsidR="00C9119D" w:rsidRPr="009905B5">
        <w:rPr>
          <w:rFonts w:ascii="Times New Roman" w:eastAsia="Times New Roman" w:hAnsi="Times New Roman" w:cs="Times New Roman"/>
          <w:bCs/>
          <w:sz w:val="24"/>
          <w:szCs w:val="24"/>
        </w:rPr>
        <w:t>mērķus</w:t>
      </w:r>
      <w:r w:rsidR="00E45D91">
        <w:rPr>
          <w:rFonts w:ascii="Times New Roman" w:eastAsia="Times New Roman" w:hAnsi="Times New Roman" w:cs="Times New Roman"/>
          <w:bCs/>
          <w:sz w:val="24"/>
          <w:szCs w:val="24"/>
        </w:rPr>
        <w:t>, t</w:t>
      </w:r>
      <w:r w:rsidR="005D66BB" w:rsidRPr="009905B5">
        <w:rPr>
          <w:rFonts w:ascii="Times New Roman" w:eastAsia="Times New Roman" w:hAnsi="Times New Roman" w:cs="Times New Roman"/>
          <w:bCs/>
          <w:sz w:val="24"/>
          <w:szCs w:val="24"/>
        </w:rPr>
        <w:t xml:space="preserve">omēr Latvijas </w:t>
      </w:r>
      <w:r w:rsidR="006E5EDB" w:rsidRPr="009905B5">
        <w:rPr>
          <w:rFonts w:ascii="Times New Roman" w:eastAsia="Times New Roman" w:hAnsi="Times New Roman" w:cs="Times New Roman"/>
          <w:bCs/>
          <w:sz w:val="24"/>
          <w:szCs w:val="24"/>
        </w:rPr>
        <w:t xml:space="preserve">gadījums ir citādāks. </w:t>
      </w:r>
      <w:r w:rsidR="00F675D6" w:rsidRPr="009905B5">
        <w:rPr>
          <w:rFonts w:ascii="Times New Roman" w:eastAsia="Times New Roman" w:hAnsi="Times New Roman" w:cs="Times New Roman"/>
          <w:bCs/>
          <w:sz w:val="24"/>
          <w:szCs w:val="24"/>
        </w:rPr>
        <w:t xml:space="preserve">Latvija jau </w:t>
      </w:r>
      <w:r w:rsidR="006E5EDB" w:rsidRPr="009905B5">
        <w:rPr>
          <w:rFonts w:ascii="Times New Roman" w:eastAsia="Times New Roman" w:hAnsi="Times New Roman" w:cs="Times New Roman"/>
          <w:bCs/>
          <w:sz w:val="24"/>
          <w:szCs w:val="24"/>
        </w:rPr>
        <w:t>izsenis attīstības</w:t>
      </w:r>
      <w:r w:rsidR="00F675D6" w:rsidRPr="009905B5">
        <w:rPr>
          <w:rFonts w:ascii="Times New Roman" w:eastAsia="Times New Roman" w:hAnsi="Times New Roman" w:cs="Times New Roman"/>
          <w:bCs/>
          <w:sz w:val="24"/>
          <w:szCs w:val="24"/>
        </w:rPr>
        <w:t xml:space="preserve"> sadarbībā ir bijusi “iedzinēja” lomā</w:t>
      </w:r>
      <w:r w:rsidR="006E5EDB" w:rsidRPr="009905B5">
        <w:rPr>
          <w:rFonts w:ascii="Times New Roman" w:eastAsia="Times New Roman" w:hAnsi="Times New Roman" w:cs="Times New Roman"/>
          <w:bCs/>
          <w:sz w:val="24"/>
          <w:szCs w:val="24"/>
        </w:rPr>
        <w:t xml:space="preserve">. </w:t>
      </w:r>
      <w:r w:rsidR="00C81FBD" w:rsidRPr="009905B5">
        <w:rPr>
          <w:rFonts w:ascii="Times New Roman" w:hAnsi="Times New Roman" w:cs="Times New Roman"/>
          <w:color w:val="1B1D1F"/>
          <w:sz w:val="24"/>
          <w:szCs w:val="24"/>
        </w:rPr>
        <w:t>15 gadu laikā Latvija vairākkārt ir izvirzījusi mērķi palielināt finansējumu attīstības sadarbībai, lai izp</w:t>
      </w:r>
      <w:r w:rsidR="00C9119D" w:rsidRPr="009905B5">
        <w:rPr>
          <w:rFonts w:ascii="Times New Roman" w:hAnsi="Times New Roman" w:cs="Times New Roman"/>
          <w:color w:val="1B1D1F"/>
          <w:sz w:val="24"/>
          <w:szCs w:val="24"/>
        </w:rPr>
        <w:t>ildītu vai vismaz tuvotos OAP mērķu</w:t>
      </w:r>
      <w:r w:rsidR="00C81FBD" w:rsidRPr="009905B5">
        <w:rPr>
          <w:rFonts w:ascii="Times New Roman" w:hAnsi="Times New Roman" w:cs="Times New Roman"/>
          <w:color w:val="1B1D1F"/>
          <w:sz w:val="24"/>
          <w:szCs w:val="24"/>
        </w:rPr>
        <w:t xml:space="preserve"> izpildei, kas izrietējušas no ES ietvaros apstiprinātajām saistībām. Līdz šim neviens no izvirzītajiem attīstības sadarbības finansējuma mērķiem nav sasniegts.</w:t>
      </w:r>
      <w:r w:rsidR="00E27604" w:rsidRPr="009905B5">
        <w:rPr>
          <w:rStyle w:val="FootnoteReference"/>
          <w:rFonts w:ascii="Times New Roman" w:hAnsi="Times New Roman" w:cs="Times New Roman"/>
          <w:color w:val="1B1D1F"/>
          <w:sz w:val="24"/>
          <w:szCs w:val="24"/>
        </w:rPr>
        <w:footnoteReference w:id="8"/>
      </w:r>
      <w:r w:rsidR="00C81FBD" w:rsidRPr="009905B5">
        <w:rPr>
          <w:rFonts w:ascii="Times New Roman" w:hAnsi="Times New Roman" w:cs="Times New Roman"/>
          <w:color w:val="1B1D1F"/>
          <w:sz w:val="24"/>
          <w:szCs w:val="24"/>
        </w:rPr>
        <w:t xml:space="preserve"> </w:t>
      </w:r>
      <w:r w:rsidR="006E5EDB" w:rsidRPr="009905B5">
        <w:rPr>
          <w:rFonts w:ascii="Times New Roman" w:eastAsia="Times New Roman" w:hAnsi="Times New Roman" w:cs="Times New Roman"/>
          <w:bCs/>
          <w:sz w:val="24"/>
          <w:szCs w:val="24"/>
        </w:rPr>
        <w:t>Latvijas OAP rādītāji gan procentuāli, gan absolūtos skaitļos ir vieni no mazākajiem ES dalībvalstu vidū</w:t>
      </w:r>
      <w:r w:rsidR="003C0DA1" w:rsidRPr="009905B5">
        <w:rPr>
          <w:rFonts w:ascii="Times New Roman" w:eastAsia="Times New Roman" w:hAnsi="Times New Roman" w:cs="Times New Roman"/>
          <w:bCs/>
          <w:sz w:val="24"/>
          <w:szCs w:val="24"/>
        </w:rPr>
        <w:t xml:space="preserve"> (2018</w:t>
      </w:r>
      <w:r w:rsidR="00A2733A">
        <w:rPr>
          <w:rFonts w:ascii="Times New Roman" w:eastAsia="Times New Roman" w:hAnsi="Times New Roman" w:cs="Times New Roman"/>
          <w:bCs/>
          <w:sz w:val="24"/>
          <w:szCs w:val="24"/>
        </w:rPr>
        <w:t>. gad</w:t>
      </w:r>
      <w:r w:rsidR="003C0DA1" w:rsidRPr="009905B5">
        <w:rPr>
          <w:rFonts w:ascii="Times New Roman" w:eastAsia="Times New Roman" w:hAnsi="Times New Roman" w:cs="Times New Roman"/>
          <w:bCs/>
          <w:sz w:val="24"/>
          <w:szCs w:val="24"/>
        </w:rPr>
        <w:t>ā 0.1% bija vēl tikai Horvātijai</w:t>
      </w:r>
      <w:r w:rsidR="002E3021">
        <w:rPr>
          <w:rStyle w:val="FootnoteReference"/>
          <w:rFonts w:ascii="Times New Roman" w:eastAsia="Times New Roman" w:hAnsi="Times New Roman" w:cs="Times New Roman"/>
          <w:bCs/>
          <w:sz w:val="24"/>
          <w:szCs w:val="24"/>
        </w:rPr>
        <w:footnoteReference w:id="9"/>
      </w:r>
      <w:r w:rsidR="003C0DA1" w:rsidRPr="009905B5">
        <w:rPr>
          <w:rFonts w:ascii="Times New Roman" w:eastAsia="Times New Roman" w:hAnsi="Times New Roman" w:cs="Times New Roman"/>
          <w:bCs/>
          <w:sz w:val="24"/>
          <w:szCs w:val="24"/>
        </w:rPr>
        <w:t>)</w:t>
      </w:r>
      <w:r w:rsidR="006E5EDB" w:rsidRPr="009905B5">
        <w:rPr>
          <w:rFonts w:ascii="Times New Roman" w:eastAsia="Times New Roman" w:hAnsi="Times New Roman" w:cs="Times New Roman"/>
          <w:bCs/>
          <w:sz w:val="24"/>
          <w:szCs w:val="24"/>
        </w:rPr>
        <w:t xml:space="preserve">. </w:t>
      </w:r>
    </w:p>
    <w:p w14:paraId="7A8C041B" w14:textId="77777777" w:rsidR="001249E0" w:rsidRPr="009905B5" w:rsidRDefault="001249E0" w:rsidP="00C05614">
      <w:pPr>
        <w:spacing w:after="0" w:line="240" w:lineRule="auto"/>
        <w:contextualSpacing/>
        <w:jc w:val="both"/>
        <w:rPr>
          <w:rFonts w:ascii="Times New Roman" w:eastAsia="Times New Roman" w:hAnsi="Times New Roman" w:cs="Times New Roman"/>
          <w:bCs/>
          <w:sz w:val="24"/>
          <w:szCs w:val="24"/>
        </w:rPr>
      </w:pPr>
    </w:p>
    <w:p w14:paraId="68866C74" w14:textId="77777777" w:rsidR="00EE4AA7" w:rsidRPr="00EE4AA7" w:rsidRDefault="00EE4AA7" w:rsidP="00EE4AA7">
      <w:pPr>
        <w:spacing w:after="0" w:line="240" w:lineRule="auto"/>
        <w:contextualSpacing/>
        <w:jc w:val="both"/>
        <w:rPr>
          <w:rFonts w:ascii="Times New Roman" w:eastAsia="Times New Roman" w:hAnsi="Times New Roman" w:cs="Times New Roman"/>
          <w:bCs/>
          <w:i/>
          <w:sz w:val="20"/>
          <w:szCs w:val="24"/>
        </w:rPr>
      </w:pPr>
      <w:r w:rsidRPr="009905B5">
        <w:rPr>
          <w:rFonts w:ascii="Times New Roman" w:hAnsi="Times New Roman" w:cs="Times New Roman"/>
          <w:noProof/>
          <w:lang w:eastAsia="lv-LV"/>
        </w:rPr>
        <w:drawing>
          <wp:anchor distT="0" distB="0" distL="114300" distR="114300" simplePos="0" relativeHeight="251660288" behindDoc="0" locked="0" layoutInCell="1" allowOverlap="1" wp14:anchorId="6BB64BE1" wp14:editId="4B89E09D">
            <wp:simplePos x="0" y="0"/>
            <wp:positionH relativeFrom="margin">
              <wp:align>left</wp:align>
            </wp:positionH>
            <wp:positionV relativeFrom="paragraph">
              <wp:posOffset>0</wp:posOffset>
            </wp:positionV>
            <wp:extent cx="5324475" cy="2867025"/>
            <wp:effectExtent l="0" t="0" r="0" b="0"/>
            <wp:wrapThrough wrapText="bothSides">
              <wp:wrapPolygon edited="0">
                <wp:start x="0" y="0"/>
                <wp:lineTo x="0" y="21385"/>
                <wp:lineTo x="21484" y="21385"/>
                <wp:lineTo x="2148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4"/>
          <w:szCs w:val="24"/>
        </w:rPr>
        <w:t>*</w:t>
      </w:r>
      <w:r w:rsidRPr="00EE4AA7">
        <w:rPr>
          <w:rFonts w:ascii="Times New Roman" w:eastAsia="Times New Roman" w:hAnsi="Times New Roman" w:cs="Times New Roman"/>
          <w:bCs/>
          <w:i/>
          <w:sz w:val="20"/>
          <w:szCs w:val="24"/>
        </w:rPr>
        <w:t>Avots:</w:t>
      </w:r>
      <w:r w:rsidRPr="00EE4AA7">
        <w:rPr>
          <w:rFonts w:ascii="Times New Roman" w:eastAsia="Times New Roman" w:hAnsi="Times New Roman" w:cs="Times New Roman"/>
          <w:bCs/>
          <w:sz w:val="20"/>
          <w:szCs w:val="24"/>
        </w:rPr>
        <w:t xml:space="preserve"> </w:t>
      </w:r>
      <w:r w:rsidRPr="00EE4AA7">
        <w:rPr>
          <w:rFonts w:ascii="Times New Roman" w:eastAsia="Times New Roman" w:hAnsi="Times New Roman" w:cs="Times New Roman"/>
          <w:bCs/>
          <w:i/>
          <w:sz w:val="20"/>
          <w:szCs w:val="24"/>
        </w:rPr>
        <w:t>2019. gada ziņojums Eiropadomei par ES attīstības palīdzības mērķiem – Padomes secinājumi (2019. gada 16. maijs)</w:t>
      </w:r>
      <w:r w:rsidR="003A3E8A">
        <w:rPr>
          <w:rStyle w:val="FootnoteReference"/>
          <w:rFonts w:ascii="Times New Roman" w:eastAsia="Times New Roman" w:hAnsi="Times New Roman" w:cs="Times New Roman"/>
          <w:bCs/>
          <w:i/>
          <w:sz w:val="20"/>
          <w:szCs w:val="24"/>
        </w:rPr>
        <w:footnoteReference w:id="10"/>
      </w:r>
    </w:p>
    <w:p w14:paraId="07FB86AB" w14:textId="77777777" w:rsidR="00EE4AA7" w:rsidRDefault="00EE4AA7" w:rsidP="00C05614">
      <w:pPr>
        <w:spacing w:after="0" w:line="240" w:lineRule="auto"/>
        <w:contextualSpacing/>
        <w:jc w:val="both"/>
        <w:rPr>
          <w:rFonts w:ascii="Times New Roman" w:eastAsia="Times New Roman" w:hAnsi="Times New Roman" w:cs="Times New Roman"/>
          <w:bCs/>
          <w:sz w:val="24"/>
          <w:szCs w:val="24"/>
        </w:rPr>
      </w:pPr>
    </w:p>
    <w:p w14:paraId="576A1082" w14:textId="77777777" w:rsidR="006E5EDB" w:rsidRDefault="006E5EDB" w:rsidP="00C05614">
      <w:pPr>
        <w:spacing w:after="0" w:line="240" w:lineRule="auto"/>
        <w:contextualSpacing/>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Latvija</w:t>
      </w:r>
      <w:r w:rsidR="00460215" w:rsidRPr="009905B5">
        <w:rPr>
          <w:rFonts w:ascii="Times New Roman" w:eastAsia="Times New Roman" w:hAnsi="Times New Roman" w:cs="Times New Roman"/>
          <w:bCs/>
          <w:sz w:val="24"/>
          <w:szCs w:val="24"/>
        </w:rPr>
        <w:t>s</w:t>
      </w:r>
      <w:r w:rsidRPr="009905B5">
        <w:rPr>
          <w:rFonts w:ascii="Times New Roman" w:eastAsia="Times New Roman" w:hAnsi="Times New Roman" w:cs="Times New Roman"/>
          <w:bCs/>
          <w:sz w:val="24"/>
          <w:szCs w:val="24"/>
        </w:rPr>
        <w:t xml:space="preserve"> OAP rādītāji un Ārlietu ministrijas </w:t>
      </w:r>
      <w:r w:rsidR="00460215" w:rsidRPr="009905B5">
        <w:rPr>
          <w:rFonts w:ascii="Times New Roman" w:eastAsia="Times New Roman" w:hAnsi="Times New Roman" w:cs="Times New Roman"/>
          <w:bCs/>
          <w:sz w:val="24"/>
          <w:szCs w:val="24"/>
        </w:rPr>
        <w:t xml:space="preserve">(turpmāk - ĀM) </w:t>
      </w:r>
      <w:r w:rsidRPr="009905B5">
        <w:rPr>
          <w:rFonts w:ascii="Times New Roman" w:eastAsia="Times New Roman" w:hAnsi="Times New Roman" w:cs="Times New Roman"/>
          <w:bCs/>
          <w:sz w:val="24"/>
          <w:szCs w:val="24"/>
        </w:rPr>
        <w:t>pārvaldītais divpusējās attīstības sadarbības budžets ir mazāk</w:t>
      </w:r>
      <w:r w:rsidR="003C0DA1" w:rsidRPr="009905B5">
        <w:rPr>
          <w:rFonts w:ascii="Times New Roman" w:eastAsia="Times New Roman" w:hAnsi="Times New Roman" w:cs="Times New Roman"/>
          <w:bCs/>
          <w:sz w:val="24"/>
          <w:szCs w:val="24"/>
        </w:rPr>
        <w:t>ie starp Baltijas valstīm (2018</w:t>
      </w:r>
      <w:r w:rsidR="00A2733A">
        <w:rPr>
          <w:rFonts w:ascii="Times New Roman" w:eastAsia="Times New Roman" w:hAnsi="Times New Roman" w:cs="Times New Roman"/>
          <w:bCs/>
          <w:sz w:val="24"/>
          <w:szCs w:val="24"/>
        </w:rPr>
        <w:t>. gad</w:t>
      </w:r>
      <w:r w:rsidR="003C0DA1" w:rsidRPr="009905B5">
        <w:rPr>
          <w:rFonts w:ascii="Times New Roman" w:eastAsia="Times New Roman" w:hAnsi="Times New Roman" w:cs="Times New Roman"/>
          <w:bCs/>
          <w:sz w:val="24"/>
          <w:szCs w:val="24"/>
        </w:rPr>
        <w:t xml:space="preserve">ā Lietuvas OAP bija 0.11%, Igaunijas – 0.16%). </w:t>
      </w:r>
      <w:r w:rsidR="00C81FBD" w:rsidRPr="009905B5">
        <w:rPr>
          <w:rFonts w:ascii="Times New Roman" w:eastAsia="Times New Roman" w:hAnsi="Times New Roman" w:cs="Times New Roman"/>
          <w:bCs/>
          <w:sz w:val="24"/>
          <w:szCs w:val="24"/>
        </w:rPr>
        <w:t xml:space="preserve">Šādi rādītāji ne </w:t>
      </w:r>
      <w:r w:rsidR="00CA4EE4" w:rsidRPr="009905B5">
        <w:rPr>
          <w:rFonts w:ascii="Times New Roman" w:eastAsia="Times New Roman" w:hAnsi="Times New Roman" w:cs="Times New Roman"/>
          <w:bCs/>
          <w:sz w:val="24"/>
          <w:szCs w:val="24"/>
        </w:rPr>
        <w:t xml:space="preserve">tikai negatīvi </w:t>
      </w:r>
      <w:r w:rsidR="007E34DE" w:rsidRPr="009905B5">
        <w:rPr>
          <w:rFonts w:ascii="Times New Roman" w:eastAsia="Times New Roman" w:hAnsi="Times New Roman" w:cs="Times New Roman"/>
          <w:bCs/>
          <w:sz w:val="24"/>
          <w:szCs w:val="24"/>
        </w:rPr>
        <w:t>izce</w:t>
      </w:r>
      <w:r w:rsidR="007E34DE">
        <w:rPr>
          <w:rFonts w:ascii="Times New Roman" w:eastAsia="Times New Roman" w:hAnsi="Times New Roman" w:cs="Times New Roman"/>
          <w:bCs/>
          <w:sz w:val="24"/>
          <w:szCs w:val="24"/>
        </w:rPr>
        <w:t>ļ</w:t>
      </w:r>
      <w:r w:rsidR="007E34DE" w:rsidRPr="009905B5">
        <w:rPr>
          <w:rFonts w:ascii="Times New Roman" w:eastAsia="Times New Roman" w:hAnsi="Times New Roman" w:cs="Times New Roman"/>
          <w:bCs/>
          <w:sz w:val="24"/>
          <w:szCs w:val="24"/>
        </w:rPr>
        <w:t xml:space="preserve"> </w:t>
      </w:r>
      <w:r w:rsidR="009B6DB5" w:rsidRPr="009905B5">
        <w:rPr>
          <w:rFonts w:ascii="Times New Roman" w:eastAsia="Times New Roman" w:hAnsi="Times New Roman" w:cs="Times New Roman"/>
          <w:bCs/>
          <w:sz w:val="24"/>
          <w:szCs w:val="24"/>
        </w:rPr>
        <w:t xml:space="preserve">uz pārējo ES dalībvalstu fona, </w:t>
      </w:r>
      <w:r w:rsidR="00C81FBD" w:rsidRPr="009905B5">
        <w:rPr>
          <w:rFonts w:ascii="Times New Roman" w:eastAsia="Times New Roman" w:hAnsi="Times New Roman" w:cs="Times New Roman"/>
          <w:bCs/>
          <w:sz w:val="24"/>
          <w:szCs w:val="24"/>
        </w:rPr>
        <w:t xml:space="preserve">bet </w:t>
      </w:r>
      <w:r w:rsidR="00E27604" w:rsidRPr="009905B5">
        <w:rPr>
          <w:rFonts w:ascii="Times New Roman" w:eastAsia="Times New Roman" w:hAnsi="Times New Roman" w:cs="Times New Roman"/>
          <w:bCs/>
          <w:sz w:val="24"/>
          <w:szCs w:val="24"/>
        </w:rPr>
        <w:t>mazais finansējums</w:t>
      </w:r>
      <w:r w:rsidR="00C81FBD" w:rsidRPr="009905B5">
        <w:rPr>
          <w:rFonts w:ascii="Times New Roman" w:eastAsia="Times New Roman" w:hAnsi="Times New Roman" w:cs="Times New Roman"/>
          <w:bCs/>
          <w:sz w:val="24"/>
          <w:szCs w:val="24"/>
        </w:rPr>
        <w:t xml:space="preserve"> attīstības sadarbībai </w:t>
      </w:r>
      <w:r w:rsidR="009B6DB5" w:rsidRPr="009905B5">
        <w:rPr>
          <w:rFonts w:ascii="Times New Roman" w:eastAsia="Times New Roman" w:hAnsi="Times New Roman" w:cs="Times New Roman"/>
          <w:bCs/>
          <w:sz w:val="24"/>
          <w:szCs w:val="24"/>
        </w:rPr>
        <w:t>arī li</w:t>
      </w:r>
      <w:r w:rsidR="00E27604" w:rsidRPr="009905B5">
        <w:rPr>
          <w:rFonts w:ascii="Times New Roman" w:eastAsia="Times New Roman" w:hAnsi="Times New Roman" w:cs="Times New Roman"/>
          <w:bCs/>
          <w:sz w:val="24"/>
          <w:szCs w:val="24"/>
        </w:rPr>
        <w:t>edz aktīvāk iesaistīties globālo</w:t>
      </w:r>
      <w:r w:rsidR="009B6DB5" w:rsidRPr="009905B5">
        <w:rPr>
          <w:rFonts w:ascii="Times New Roman" w:eastAsia="Times New Roman" w:hAnsi="Times New Roman" w:cs="Times New Roman"/>
          <w:bCs/>
          <w:sz w:val="24"/>
          <w:szCs w:val="24"/>
        </w:rPr>
        <w:t xml:space="preserve"> un </w:t>
      </w:r>
      <w:r w:rsidR="009B6DB5" w:rsidRPr="009905B5">
        <w:rPr>
          <w:rFonts w:ascii="Times New Roman" w:eastAsia="Times New Roman" w:hAnsi="Times New Roman" w:cs="Times New Roman"/>
          <w:bCs/>
          <w:sz w:val="24"/>
          <w:szCs w:val="24"/>
        </w:rPr>
        <w:lastRenderedPageBreak/>
        <w:t xml:space="preserve">partnervalstu attīstības izaicinājumu risināšanā, izmantojot Latvijas </w:t>
      </w:r>
      <w:r w:rsidR="00B16E6A" w:rsidRPr="009905B5">
        <w:rPr>
          <w:rFonts w:ascii="Times New Roman" w:eastAsia="Times New Roman" w:hAnsi="Times New Roman" w:cs="Times New Roman"/>
          <w:bCs/>
          <w:sz w:val="24"/>
          <w:szCs w:val="24"/>
        </w:rPr>
        <w:t>pieredzi,</w:t>
      </w:r>
      <w:r w:rsidR="0091403D" w:rsidRPr="009905B5">
        <w:rPr>
          <w:rFonts w:ascii="Times New Roman" w:eastAsia="Times New Roman" w:hAnsi="Times New Roman" w:cs="Times New Roman"/>
          <w:bCs/>
          <w:sz w:val="24"/>
          <w:szCs w:val="24"/>
        </w:rPr>
        <w:t xml:space="preserve"> ekspertīzi</w:t>
      </w:r>
      <w:r w:rsidR="00B16E6A" w:rsidRPr="009905B5">
        <w:rPr>
          <w:rFonts w:ascii="Times New Roman" w:eastAsia="Times New Roman" w:hAnsi="Times New Roman" w:cs="Times New Roman"/>
          <w:bCs/>
          <w:sz w:val="24"/>
          <w:szCs w:val="24"/>
        </w:rPr>
        <w:t xml:space="preserve"> un</w:t>
      </w:r>
      <w:r w:rsidR="0091403D" w:rsidRPr="009905B5">
        <w:rPr>
          <w:rFonts w:ascii="Times New Roman" w:eastAsia="Times New Roman" w:hAnsi="Times New Roman" w:cs="Times New Roman"/>
          <w:bCs/>
          <w:sz w:val="24"/>
          <w:szCs w:val="24"/>
        </w:rPr>
        <w:t xml:space="preserve"> </w:t>
      </w:r>
      <w:r w:rsidR="009B6DB5" w:rsidRPr="009905B5">
        <w:rPr>
          <w:rFonts w:ascii="Times New Roman" w:eastAsia="Times New Roman" w:hAnsi="Times New Roman" w:cs="Times New Roman"/>
          <w:bCs/>
          <w:sz w:val="24"/>
          <w:szCs w:val="24"/>
        </w:rPr>
        <w:t xml:space="preserve">Latvijā radītos risinājumus. </w:t>
      </w:r>
    </w:p>
    <w:p w14:paraId="1B082285" w14:textId="77777777" w:rsidR="001249E0" w:rsidRDefault="001249E0" w:rsidP="00C05614">
      <w:pPr>
        <w:spacing w:after="0" w:line="240" w:lineRule="auto"/>
        <w:contextualSpacing/>
        <w:jc w:val="both"/>
        <w:rPr>
          <w:rFonts w:ascii="Times New Roman" w:eastAsia="Times New Roman" w:hAnsi="Times New Roman" w:cs="Times New Roman"/>
          <w:bCs/>
          <w:sz w:val="24"/>
          <w:szCs w:val="24"/>
        </w:rPr>
      </w:pPr>
    </w:p>
    <w:p w14:paraId="2221133F" w14:textId="77777777" w:rsidR="003C0DA1" w:rsidRPr="009905B5" w:rsidRDefault="001249E0" w:rsidP="001249E0">
      <w:pPr>
        <w:spacing w:line="240" w:lineRule="auto"/>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 xml:space="preserve">Latvijas ieguldījums attīstības sadarbībā ir nepietiekams. </w:t>
      </w:r>
      <w:r w:rsidRPr="005A0442">
        <w:rPr>
          <w:rFonts w:ascii="Times New Roman" w:eastAsia="Times New Roman" w:hAnsi="Times New Roman" w:cs="Times New Roman"/>
          <w:bCs/>
          <w:sz w:val="24"/>
          <w:szCs w:val="24"/>
        </w:rPr>
        <w:t xml:space="preserve">Konsekventā </w:t>
      </w:r>
      <w:r w:rsidR="0028728C" w:rsidRPr="005A0442">
        <w:rPr>
          <w:rFonts w:ascii="Times New Roman" w:eastAsia="Times New Roman" w:hAnsi="Times New Roman" w:cs="Times New Roman"/>
          <w:bCs/>
          <w:sz w:val="24"/>
          <w:szCs w:val="24"/>
        </w:rPr>
        <w:t xml:space="preserve"> starptautisko apņemšanos</w:t>
      </w:r>
      <w:r w:rsidRPr="005A0442">
        <w:rPr>
          <w:rFonts w:ascii="Times New Roman" w:eastAsia="Times New Roman" w:hAnsi="Times New Roman" w:cs="Times New Roman"/>
          <w:bCs/>
          <w:sz w:val="24"/>
          <w:szCs w:val="24"/>
        </w:rPr>
        <w:t xml:space="preserve"> un nacionāli uzstādīto mērķu neizpilde</w:t>
      </w:r>
      <w:r w:rsidR="00F022FA" w:rsidRPr="005A0442">
        <w:rPr>
          <w:rFonts w:ascii="Times New Roman" w:eastAsia="Times New Roman" w:hAnsi="Times New Roman" w:cs="Times New Roman"/>
          <w:bCs/>
          <w:sz w:val="24"/>
          <w:szCs w:val="24"/>
        </w:rPr>
        <w:t xml:space="preserve"> rada risku, ka </w:t>
      </w:r>
      <w:r w:rsidR="000F233F" w:rsidRPr="005A0442">
        <w:rPr>
          <w:rFonts w:ascii="Times New Roman" w:eastAsia="Times New Roman" w:hAnsi="Times New Roman" w:cs="Times New Roman"/>
          <w:bCs/>
          <w:sz w:val="24"/>
          <w:szCs w:val="24"/>
        </w:rPr>
        <w:t xml:space="preserve">var </w:t>
      </w:r>
      <w:r w:rsidRPr="005A0442">
        <w:rPr>
          <w:rFonts w:ascii="Times New Roman" w:eastAsia="Times New Roman" w:hAnsi="Times New Roman" w:cs="Times New Roman"/>
          <w:bCs/>
          <w:sz w:val="24"/>
          <w:szCs w:val="24"/>
        </w:rPr>
        <w:t>mazin</w:t>
      </w:r>
      <w:r w:rsidR="000F233F" w:rsidRPr="005A0442">
        <w:rPr>
          <w:rFonts w:ascii="Times New Roman" w:eastAsia="Times New Roman" w:hAnsi="Times New Roman" w:cs="Times New Roman"/>
          <w:bCs/>
          <w:sz w:val="24"/>
          <w:szCs w:val="24"/>
        </w:rPr>
        <w:t>āties</w:t>
      </w:r>
      <w:r w:rsidRPr="005A0442">
        <w:rPr>
          <w:rFonts w:ascii="Times New Roman" w:eastAsia="Times New Roman" w:hAnsi="Times New Roman" w:cs="Times New Roman"/>
          <w:bCs/>
          <w:sz w:val="24"/>
          <w:szCs w:val="24"/>
        </w:rPr>
        <w:t xml:space="preserve"> ticamīb</w:t>
      </w:r>
      <w:r w:rsidR="00F022FA" w:rsidRPr="005A0442">
        <w:rPr>
          <w:rFonts w:ascii="Times New Roman" w:eastAsia="Times New Roman" w:hAnsi="Times New Roman" w:cs="Times New Roman"/>
          <w:bCs/>
          <w:sz w:val="24"/>
          <w:szCs w:val="24"/>
        </w:rPr>
        <w:t>a</w:t>
      </w:r>
      <w:r w:rsidRPr="005A0442">
        <w:rPr>
          <w:rFonts w:ascii="Times New Roman" w:eastAsia="Times New Roman" w:hAnsi="Times New Roman" w:cs="Times New Roman"/>
          <w:bCs/>
          <w:sz w:val="24"/>
          <w:szCs w:val="24"/>
        </w:rPr>
        <w:t xml:space="preserve"> Latvijas nodomiem sniegt ieguldījumu globālajā attīstībā</w:t>
      </w:r>
      <w:r w:rsidR="00F022FA" w:rsidRPr="005A0442">
        <w:rPr>
          <w:rFonts w:ascii="Times New Roman" w:eastAsia="Times New Roman" w:hAnsi="Times New Roman" w:cs="Times New Roman"/>
          <w:bCs/>
          <w:sz w:val="24"/>
          <w:szCs w:val="24"/>
        </w:rPr>
        <w:t xml:space="preserve"> un Latvijas iesaistes iespējas</w:t>
      </w:r>
      <w:r w:rsidRPr="00990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Š</w:t>
      </w:r>
      <w:r w:rsidRPr="009905B5">
        <w:rPr>
          <w:rFonts w:ascii="Times New Roman" w:eastAsia="Times New Roman" w:hAnsi="Times New Roman" w:cs="Times New Roman"/>
          <w:bCs/>
          <w:sz w:val="24"/>
          <w:szCs w:val="24"/>
        </w:rPr>
        <w:t>ī jautājuma aktualitāte tuvākajos gados tikai pieaugs, īpaši ņemot vērā Latvijas izvirzīto kandidatūru ANO Drošības padomes nepastāvīgo locekļu 2025</w:t>
      </w:r>
      <w:r>
        <w:rPr>
          <w:rFonts w:ascii="Times New Roman" w:eastAsia="Times New Roman" w:hAnsi="Times New Roman" w:cs="Times New Roman"/>
          <w:bCs/>
          <w:sz w:val="24"/>
          <w:szCs w:val="24"/>
        </w:rPr>
        <w:t>. gad</w:t>
      </w:r>
      <w:r w:rsidRPr="009905B5">
        <w:rPr>
          <w:rFonts w:ascii="Times New Roman" w:eastAsia="Times New Roman" w:hAnsi="Times New Roman" w:cs="Times New Roman"/>
          <w:bCs/>
          <w:sz w:val="24"/>
          <w:szCs w:val="24"/>
        </w:rPr>
        <w:t>a vēlēšanās uz 2026.</w:t>
      </w:r>
      <w:r>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2027</w:t>
      </w:r>
      <w:r>
        <w:rPr>
          <w:rFonts w:ascii="Times New Roman" w:eastAsia="Times New Roman" w:hAnsi="Times New Roman" w:cs="Times New Roman"/>
          <w:bCs/>
          <w:sz w:val="24"/>
          <w:szCs w:val="24"/>
        </w:rPr>
        <w:t>. gad</w:t>
      </w:r>
      <w:r w:rsidRPr="009905B5">
        <w:rPr>
          <w:rFonts w:ascii="Times New Roman" w:eastAsia="Times New Roman" w:hAnsi="Times New Roman" w:cs="Times New Roman"/>
          <w:bCs/>
          <w:sz w:val="24"/>
          <w:szCs w:val="24"/>
        </w:rPr>
        <w:t>a termiņu</w:t>
      </w:r>
      <w:r>
        <w:rPr>
          <w:rFonts w:ascii="Times New Roman" w:eastAsia="Times New Roman" w:hAnsi="Times New Roman" w:cs="Times New Roman"/>
          <w:bCs/>
          <w:sz w:val="24"/>
          <w:szCs w:val="24"/>
        </w:rPr>
        <w:t>, jo daudzām no attīstības valstīm būtisks apsvērums balsojumā ir kandidātvalstu sniegtais atbalsts konkrētajā valstī</w:t>
      </w:r>
      <w:r w:rsidRPr="009905B5">
        <w:rPr>
          <w:rFonts w:ascii="Times New Roman" w:eastAsia="Times New Roman" w:hAnsi="Times New Roman" w:cs="Times New Roman"/>
          <w:bCs/>
          <w:sz w:val="24"/>
          <w:szCs w:val="24"/>
        </w:rPr>
        <w:t xml:space="preserve">. </w:t>
      </w:r>
    </w:p>
    <w:p w14:paraId="69EC23F0" w14:textId="77777777" w:rsidR="00E04D12" w:rsidRPr="009905B5" w:rsidRDefault="00906815" w:rsidP="00C05614">
      <w:pPr>
        <w:spacing w:line="240" w:lineRule="auto"/>
        <w:jc w:val="both"/>
        <w:rPr>
          <w:rFonts w:ascii="Times New Roman" w:eastAsia="Times New Roman" w:hAnsi="Times New Roman" w:cs="Times New Roman"/>
          <w:bCs/>
          <w:sz w:val="24"/>
          <w:szCs w:val="24"/>
        </w:rPr>
      </w:pPr>
      <w:r w:rsidRPr="009905B5">
        <w:rPr>
          <w:rFonts w:ascii="Times New Roman" w:eastAsia="Times New Roman" w:hAnsi="Times New Roman" w:cs="Times New Roman"/>
          <w:bCs/>
          <w:sz w:val="24"/>
          <w:szCs w:val="24"/>
        </w:rPr>
        <w:t>Ņemot vērā</w:t>
      </w:r>
      <w:r w:rsidR="00BA284B" w:rsidRPr="009905B5">
        <w:rPr>
          <w:rFonts w:ascii="Times New Roman" w:eastAsia="Times New Roman" w:hAnsi="Times New Roman" w:cs="Times New Roman"/>
          <w:bCs/>
          <w:sz w:val="24"/>
          <w:szCs w:val="24"/>
        </w:rPr>
        <w:t xml:space="preserve"> minēto</w:t>
      </w:r>
      <w:r w:rsidRPr="009905B5">
        <w:rPr>
          <w:rFonts w:ascii="Times New Roman" w:eastAsia="Times New Roman" w:hAnsi="Times New Roman" w:cs="Times New Roman"/>
          <w:bCs/>
          <w:sz w:val="24"/>
          <w:szCs w:val="24"/>
        </w:rPr>
        <w:t xml:space="preserve">, </w:t>
      </w:r>
      <w:r w:rsidR="0091403D" w:rsidRPr="009905B5">
        <w:rPr>
          <w:rFonts w:ascii="Times New Roman" w:eastAsia="Times New Roman" w:hAnsi="Times New Roman" w:cs="Times New Roman"/>
          <w:bCs/>
          <w:sz w:val="24"/>
          <w:szCs w:val="24"/>
        </w:rPr>
        <w:t>ir nepieciešams</w:t>
      </w:r>
      <w:r w:rsidRPr="009905B5">
        <w:rPr>
          <w:rFonts w:ascii="Times New Roman" w:eastAsia="Times New Roman" w:hAnsi="Times New Roman" w:cs="Times New Roman"/>
          <w:bCs/>
          <w:sz w:val="24"/>
          <w:szCs w:val="24"/>
        </w:rPr>
        <w:t xml:space="preserve"> </w:t>
      </w:r>
      <w:r w:rsidR="0091403D" w:rsidRPr="009905B5">
        <w:rPr>
          <w:rFonts w:ascii="Times New Roman" w:eastAsia="Times New Roman" w:hAnsi="Times New Roman" w:cs="Times New Roman"/>
          <w:bCs/>
          <w:sz w:val="24"/>
          <w:szCs w:val="24"/>
        </w:rPr>
        <w:t>pieņemt lēmumu</w:t>
      </w:r>
      <w:r w:rsidR="00447B16" w:rsidRPr="009905B5">
        <w:rPr>
          <w:rFonts w:ascii="Times New Roman" w:eastAsia="Times New Roman" w:hAnsi="Times New Roman" w:cs="Times New Roman"/>
          <w:bCs/>
          <w:sz w:val="24"/>
          <w:szCs w:val="24"/>
        </w:rPr>
        <w:t>,</w:t>
      </w:r>
      <w:r w:rsidR="0091403D" w:rsidRPr="009905B5">
        <w:rPr>
          <w:rFonts w:ascii="Times New Roman" w:eastAsia="Times New Roman" w:hAnsi="Times New Roman" w:cs="Times New Roman"/>
          <w:bCs/>
          <w:sz w:val="24"/>
          <w:szCs w:val="24"/>
        </w:rPr>
        <w:t xml:space="preserve"> </w:t>
      </w:r>
      <w:r w:rsidRPr="009905B5">
        <w:rPr>
          <w:rFonts w:ascii="Times New Roman" w:eastAsia="Times New Roman" w:hAnsi="Times New Roman" w:cs="Times New Roman"/>
          <w:bCs/>
          <w:sz w:val="24"/>
          <w:szCs w:val="24"/>
        </w:rPr>
        <w:t xml:space="preserve">kādā mērā un veidā </w:t>
      </w:r>
      <w:r w:rsidR="00F603DB" w:rsidRPr="009905B5">
        <w:rPr>
          <w:rFonts w:ascii="Times New Roman" w:eastAsia="Times New Roman" w:hAnsi="Times New Roman" w:cs="Times New Roman"/>
          <w:bCs/>
          <w:sz w:val="24"/>
          <w:szCs w:val="24"/>
        </w:rPr>
        <w:t>vidējā termiņā līdz 2025</w:t>
      </w:r>
      <w:r w:rsidR="00A2733A">
        <w:rPr>
          <w:rFonts w:ascii="Times New Roman" w:eastAsia="Times New Roman" w:hAnsi="Times New Roman" w:cs="Times New Roman"/>
          <w:bCs/>
          <w:sz w:val="24"/>
          <w:szCs w:val="24"/>
        </w:rPr>
        <w:t>. gad</w:t>
      </w:r>
      <w:r w:rsidR="00F603DB" w:rsidRPr="009905B5">
        <w:rPr>
          <w:rFonts w:ascii="Times New Roman" w:eastAsia="Times New Roman" w:hAnsi="Times New Roman" w:cs="Times New Roman"/>
          <w:bCs/>
          <w:sz w:val="24"/>
          <w:szCs w:val="24"/>
        </w:rPr>
        <w:t xml:space="preserve">am </w:t>
      </w:r>
      <w:r w:rsidRPr="009905B5">
        <w:rPr>
          <w:rFonts w:ascii="Times New Roman" w:eastAsia="Times New Roman" w:hAnsi="Times New Roman" w:cs="Times New Roman"/>
          <w:bCs/>
          <w:sz w:val="24"/>
          <w:szCs w:val="24"/>
        </w:rPr>
        <w:t xml:space="preserve">tiks palielināts </w:t>
      </w:r>
      <w:r w:rsidR="00C96E73" w:rsidRPr="009905B5">
        <w:rPr>
          <w:rFonts w:ascii="Times New Roman" w:eastAsia="Times New Roman" w:hAnsi="Times New Roman" w:cs="Times New Roman"/>
          <w:bCs/>
          <w:sz w:val="24"/>
          <w:szCs w:val="24"/>
        </w:rPr>
        <w:t xml:space="preserve">finansējums </w:t>
      </w:r>
      <w:r w:rsidR="00FF1090" w:rsidRPr="009905B5">
        <w:rPr>
          <w:rFonts w:ascii="Times New Roman" w:eastAsia="Times New Roman" w:hAnsi="Times New Roman" w:cs="Times New Roman"/>
          <w:bCs/>
          <w:sz w:val="24"/>
          <w:szCs w:val="24"/>
        </w:rPr>
        <w:t>attīstības sadarbība</w:t>
      </w:r>
      <w:r w:rsidR="00C96E73" w:rsidRPr="009905B5">
        <w:rPr>
          <w:rFonts w:ascii="Times New Roman" w:eastAsia="Times New Roman" w:hAnsi="Times New Roman" w:cs="Times New Roman"/>
          <w:bCs/>
          <w:sz w:val="24"/>
          <w:szCs w:val="24"/>
        </w:rPr>
        <w:t>i</w:t>
      </w:r>
      <w:r w:rsidR="00FF1090" w:rsidRPr="009905B5">
        <w:rPr>
          <w:rFonts w:ascii="Times New Roman" w:eastAsia="Times New Roman" w:hAnsi="Times New Roman" w:cs="Times New Roman"/>
          <w:bCs/>
          <w:sz w:val="24"/>
          <w:szCs w:val="24"/>
        </w:rPr>
        <w:t xml:space="preserve">, lai </w:t>
      </w:r>
      <w:r w:rsidR="0091403D" w:rsidRPr="009905B5">
        <w:rPr>
          <w:rFonts w:ascii="Times New Roman" w:eastAsia="Times New Roman" w:hAnsi="Times New Roman" w:cs="Times New Roman"/>
          <w:bCs/>
          <w:sz w:val="24"/>
          <w:szCs w:val="24"/>
        </w:rPr>
        <w:t>virzīt</w:t>
      </w:r>
      <w:r w:rsidR="00447B16" w:rsidRPr="009905B5">
        <w:rPr>
          <w:rFonts w:ascii="Times New Roman" w:eastAsia="Times New Roman" w:hAnsi="Times New Roman" w:cs="Times New Roman"/>
          <w:bCs/>
          <w:sz w:val="24"/>
          <w:szCs w:val="24"/>
        </w:rPr>
        <w:t>o</w:t>
      </w:r>
      <w:r w:rsidR="00CA4EE4" w:rsidRPr="009905B5">
        <w:rPr>
          <w:rFonts w:ascii="Times New Roman" w:eastAsia="Times New Roman" w:hAnsi="Times New Roman" w:cs="Times New Roman"/>
          <w:bCs/>
          <w:sz w:val="24"/>
          <w:szCs w:val="24"/>
        </w:rPr>
        <w:t xml:space="preserve">s uz </w:t>
      </w:r>
      <w:r w:rsidR="00223DEC" w:rsidRPr="009905B5">
        <w:rPr>
          <w:rFonts w:ascii="Times New Roman" w:eastAsia="Times New Roman" w:hAnsi="Times New Roman" w:cs="Times New Roman"/>
          <w:bCs/>
          <w:sz w:val="24"/>
          <w:szCs w:val="24"/>
        </w:rPr>
        <w:t>2030</w:t>
      </w:r>
      <w:r w:rsidR="00223DEC">
        <w:rPr>
          <w:rFonts w:ascii="Times New Roman" w:eastAsia="Times New Roman" w:hAnsi="Times New Roman" w:cs="Times New Roman"/>
          <w:bCs/>
          <w:sz w:val="24"/>
          <w:szCs w:val="24"/>
        </w:rPr>
        <w:t> </w:t>
      </w:r>
      <w:r w:rsidR="00CA4EE4" w:rsidRPr="009905B5">
        <w:rPr>
          <w:rFonts w:ascii="Times New Roman" w:eastAsia="Times New Roman" w:hAnsi="Times New Roman" w:cs="Times New Roman"/>
          <w:bCs/>
          <w:sz w:val="24"/>
          <w:szCs w:val="24"/>
        </w:rPr>
        <w:t>mērķa</w:t>
      </w:r>
      <w:r w:rsidR="00E27604" w:rsidRPr="009905B5">
        <w:rPr>
          <w:rFonts w:ascii="Times New Roman" w:eastAsia="Times New Roman" w:hAnsi="Times New Roman" w:cs="Times New Roman"/>
          <w:bCs/>
          <w:sz w:val="24"/>
          <w:szCs w:val="24"/>
        </w:rPr>
        <w:t xml:space="preserve"> un</w:t>
      </w:r>
      <w:r w:rsidR="00447B16" w:rsidRPr="009905B5">
        <w:rPr>
          <w:rFonts w:ascii="Times New Roman" w:eastAsia="Times New Roman" w:hAnsi="Times New Roman" w:cs="Times New Roman"/>
          <w:bCs/>
          <w:sz w:val="24"/>
          <w:szCs w:val="24"/>
        </w:rPr>
        <w:t xml:space="preserve"> saistību izpildi. </w:t>
      </w:r>
    </w:p>
    <w:p w14:paraId="232B960A" w14:textId="77777777" w:rsidR="00C81FBD" w:rsidRPr="002D7FC5" w:rsidRDefault="00C81FBD" w:rsidP="00C6786A">
      <w:pPr>
        <w:pStyle w:val="ListParagraph"/>
        <w:numPr>
          <w:ilvl w:val="1"/>
          <w:numId w:val="1"/>
        </w:numPr>
        <w:spacing w:after="240" w:line="240" w:lineRule="auto"/>
        <w:ind w:left="806" w:hanging="446"/>
        <w:jc w:val="center"/>
        <w:outlineLvl w:val="0"/>
        <w:rPr>
          <w:rFonts w:ascii="Times New Roman" w:hAnsi="Times New Roman" w:cs="Times New Roman"/>
          <w:b/>
          <w:color w:val="1B1D1F"/>
          <w:sz w:val="24"/>
          <w:szCs w:val="24"/>
        </w:rPr>
      </w:pPr>
      <w:r w:rsidRPr="002D7FC5">
        <w:rPr>
          <w:rFonts w:ascii="Times New Roman" w:hAnsi="Times New Roman" w:cs="Times New Roman"/>
          <w:b/>
          <w:color w:val="1B1D1F"/>
          <w:sz w:val="24"/>
          <w:szCs w:val="24"/>
        </w:rPr>
        <w:t xml:space="preserve">Latvijas </w:t>
      </w:r>
      <w:r w:rsidR="001249E0">
        <w:rPr>
          <w:rFonts w:ascii="Times New Roman" w:hAnsi="Times New Roman" w:cs="Times New Roman"/>
          <w:b/>
          <w:color w:val="1B1D1F"/>
          <w:sz w:val="24"/>
          <w:szCs w:val="24"/>
        </w:rPr>
        <w:t>OAP</w:t>
      </w:r>
    </w:p>
    <w:p w14:paraId="5A27CE08" w14:textId="77777777" w:rsidR="00FC2A47" w:rsidRDefault="00C81FBD" w:rsidP="00D76050">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OAP ir procentuālā attiecība </w:t>
      </w:r>
      <w:r w:rsidR="00FA0E52" w:rsidRPr="009905B5">
        <w:rPr>
          <w:rFonts w:ascii="Times New Roman" w:hAnsi="Times New Roman" w:cs="Times New Roman"/>
          <w:color w:val="1B1D1F"/>
          <w:sz w:val="24"/>
          <w:szCs w:val="24"/>
        </w:rPr>
        <w:t xml:space="preserve">starp valsts sniegto finansējumu attīstībai un šīs valsts NKI. </w:t>
      </w:r>
      <w:r w:rsidR="00B25DE0" w:rsidRPr="009905B5">
        <w:rPr>
          <w:rFonts w:ascii="Times New Roman" w:hAnsi="Times New Roman" w:cs="Times New Roman"/>
          <w:color w:val="1B1D1F"/>
          <w:sz w:val="24"/>
          <w:szCs w:val="24"/>
        </w:rPr>
        <w:t>Līdz ar to</w:t>
      </w:r>
      <w:r w:rsidR="00B70F76" w:rsidRPr="009905B5">
        <w:rPr>
          <w:rFonts w:ascii="Times New Roman" w:hAnsi="Times New Roman" w:cs="Times New Roman"/>
          <w:color w:val="1B1D1F"/>
          <w:sz w:val="24"/>
          <w:szCs w:val="24"/>
        </w:rPr>
        <w:t xml:space="preserve"> </w:t>
      </w:r>
      <w:r w:rsidR="00582AFD">
        <w:rPr>
          <w:rFonts w:ascii="Times New Roman" w:hAnsi="Times New Roman" w:cs="Times New Roman"/>
          <w:color w:val="1B1D1F"/>
          <w:sz w:val="24"/>
          <w:szCs w:val="24"/>
        </w:rPr>
        <w:t xml:space="preserve">– </w:t>
      </w:r>
      <w:r w:rsidR="00B70F76" w:rsidRPr="009905B5">
        <w:rPr>
          <w:rFonts w:ascii="Times New Roman" w:hAnsi="Times New Roman" w:cs="Times New Roman"/>
          <w:color w:val="1B1D1F"/>
          <w:sz w:val="24"/>
          <w:szCs w:val="24"/>
        </w:rPr>
        <w:t>jo lielāks NKI, jo lielāks finansējums jāatvēl attīstības p</w:t>
      </w:r>
      <w:r w:rsidR="00B25DE0" w:rsidRPr="009905B5">
        <w:rPr>
          <w:rFonts w:ascii="Times New Roman" w:hAnsi="Times New Roman" w:cs="Times New Roman"/>
          <w:color w:val="1B1D1F"/>
          <w:sz w:val="24"/>
          <w:szCs w:val="24"/>
        </w:rPr>
        <w:t>alīdzībai. Šis ir izaicinājums daudziem</w:t>
      </w:r>
      <w:r w:rsidR="00B70F76" w:rsidRPr="009905B5">
        <w:rPr>
          <w:rFonts w:ascii="Times New Roman" w:hAnsi="Times New Roman" w:cs="Times New Roman"/>
          <w:color w:val="1B1D1F"/>
          <w:sz w:val="24"/>
          <w:szCs w:val="24"/>
        </w:rPr>
        <w:t xml:space="preserve"> </w:t>
      </w:r>
      <w:r w:rsidR="00B82F76" w:rsidRPr="009905B5">
        <w:rPr>
          <w:rFonts w:ascii="Times New Roman" w:hAnsi="Times New Roman" w:cs="Times New Roman"/>
          <w:color w:val="1B1D1F"/>
          <w:sz w:val="24"/>
          <w:szCs w:val="24"/>
        </w:rPr>
        <w:t>donor</w:t>
      </w:r>
      <w:r w:rsidR="00CA4EE4" w:rsidRPr="009905B5">
        <w:rPr>
          <w:rFonts w:ascii="Times New Roman" w:hAnsi="Times New Roman" w:cs="Times New Roman"/>
          <w:color w:val="1B1D1F"/>
          <w:sz w:val="24"/>
          <w:szCs w:val="24"/>
        </w:rPr>
        <w:t xml:space="preserve">iem. </w:t>
      </w:r>
      <w:r w:rsidR="00B25DE0" w:rsidRPr="00B16D77">
        <w:rPr>
          <w:rFonts w:ascii="Times New Roman" w:hAnsi="Times New Roman" w:cs="Times New Roman"/>
          <w:color w:val="1B1D1F"/>
          <w:sz w:val="24"/>
          <w:szCs w:val="24"/>
        </w:rPr>
        <w:t>Tas nozīmē, ka palīdzības apjomi ekonomiskās izaugsmes laikā ir jākāpina</w:t>
      </w:r>
      <w:r w:rsidR="00CA4EE4" w:rsidRPr="00B16D77">
        <w:rPr>
          <w:rFonts w:ascii="Times New Roman" w:hAnsi="Times New Roman" w:cs="Times New Roman"/>
          <w:color w:val="1B1D1F"/>
          <w:sz w:val="24"/>
          <w:szCs w:val="24"/>
        </w:rPr>
        <w:t>, bet</w:t>
      </w:r>
      <w:r w:rsidR="007E34DE" w:rsidRPr="00B16D77">
        <w:rPr>
          <w:rFonts w:ascii="Times New Roman" w:hAnsi="Times New Roman" w:cs="Times New Roman"/>
          <w:color w:val="1B1D1F"/>
          <w:sz w:val="24"/>
          <w:szCs w:val="24"/>
        </w:rPr>
        <w:t>,</w:t>
      </w:r>
      <w:r w:rsidR="00CA4EE4" w:rsidRPr="00B16D77">
        <w:rPr>
          <w:rFonts w:ascii="Times New Roman" w:hAnsi="Times New Roman" w:cs="Times New Roman"/>
          <w:color w:val="1B1D1F"/>
          <w:sz w:val="24"/>
          <w:szCs w:val="24"/>
        </w:rPr>
        <w:t xml:space="preserve"> pat to darot</w:t>
      </w:r>
      <w:r w:rsidR="007E34DE" w:rsidRPr="00B16D77">
        <w:rPr>
          <w:rFonts w:ascii="Times New Roman" w:hAnsi="Times New Roman" w:cs="Times New Roman"/>
          <w:color w:val="1B1D1F"/>
          <w:sz w:val="24"/>
          <w:szCs w:val="24"/>
        </w:rPr>
        <w:t>,</w:t>
      </w:r>
      <w:r w:rsidR="00CA4EE4" w:rsidRPr="00B16D77">
        <w:rPr>
          <w:rFonts w:ascii="Times New Roman" w:hAnsi="Times New Roman" w:cs="Times New Roman"/>
          <w:color w:val="1B1D1F"/>
          <w:sz w:val="24"/>
          <w:szCs w:val="24"/>
        </w:rPr>
        <w:t xml:space="preserve"> mērķis ne vienmēr ir sasniedzams. Ekonomiskās izaugsmes laikā NKI pieaugums var “noēst” palielināto finansējumu palīdzībai un OAP procentuālais rādītājs var palikt nemainīgs vai pat samazināties. </w:t>
      </w:r>
      <w:r w:rsidR="00E90C8F">
        <w:rPr>
          <w:rFonts w:ascii="Times New Roman" w:hAnsi="Times New Roman" w:cs="Times New Roman"/>
          <w:color w:val="1B1D1F"/>
          <w:sz w:val="24"/>
          <w:szCs w:val="24"/>
        </w:rPr>
        <w:t xml:space="preserve"> </w:t>
      </w:r>
      <w:r w:rsidR="00E45D91">
        <w:rPr>
          <w:rFonts w:ascii="Times New Roman" w:hAnsi="Times New Roman" w:cs="Times New Roman"/>
          <w:color w:val="1B1D1F"/>
          <w:sz w:val="24"/>
          <w:szCs w:val="24"/>
        </w:rPr>
        <w:t>A</w:t>
      </w:r>
      <w:r w:rsidR="00CA4EE4" w:rsidRPr="009905B5">
        <w:rPr>
          <w:rFonts w:ascii="Times New Roman" w:hAnsi="Times New Roman" w:cs="Times New Roman"/>
          <w:color w:val="1B1D1F"/>
          <w:sz w:val="24"/>
          <w:szCs w:val="24"/>
        </w:rPr>
        <w:t xml:space="preserve">ttīstības palīdzības finansējuma palielināšanai </w:t>
      </w:r>
      <w:r w:rsidR="00E45D91">
        <w:rPr>
          <w:rFonts w:ascii="Times New Roman" w:hAnsi="Times New Roman" w:cs="Times New Roman"/>
          <w:color w:val="1B1D1F"/>
          <w:sz w:val="24"/>
          <w:szCs w:val="24"/>
        </w:rPr>
        <w:t xml:space="preserve">nepieciešama </w:t>
      </w:r>
      <w:r w:rsidR="00E43B3B" w:rsidRPr="009905B5">
        <w:rPr>
          <w:rFonts w:ascii="Times New Roman" w:hAnsi="Times New Roman" w:cs="Times New Roman"/>
          <w:color w:val="1B1D1F"/>
          <w:sz w:val="24"/>
          <w:szCs w:val="24"/>
        </w:rPr>
        <w:t>sabiedrības izpratne un atbalsts</w:t>
      </w:r>
      <w:r w:rsidR="00F43E0D">
        <w:rPr>
          <w:rStyle w:val="FootnoteReference"/>
          <w:rFonts w:ascii="Times New Roman" w:hAnsi="Times New Roman" w:cs="Times New Roman"/>
          <w:color w:val="1B1D1F"/>
          <w:sz w:val="24"/>
          <w:szCs w:val="24"/>
        </w:rPr>
        <w:footnoteReference w:id="11"/>
      </w:r>
      <w:r w:rsidR="00E43B3B" w:rsidRPr="009905B5">
        <w:rPr>
          <w:rFonts w:ascii="Times New Roman" w:hAnsi="Times New Roman" w:cs="Times New Roman"/>
          <w:color w:val="1B1D1F"/>
          <w:sz w:val="24"/>
          <w:szCs w:val="24"/>
        </w:rPr>
        <w:t>, politisk</w:t>
      </w:r>
      <w:r w:rsidR="00B70F76" w:rsidRPr="009905B5">
        <w:rPr>
          <w:rFonts w:ascii="Times New Roman" w:hAnsi="Times New Roman" w:cs="Times New Roman"/>
          <w:color w:val="1B1D1F"/>
          <w:sz w:val="24"/>
          <w:szCs w:val="24"/>
        </w:rPr>
        <w:t>ā griba</w:t>
      </w:r>
      <w:r w:rsidR="00E43B3B" w:rsidRPr="009905B5">
        <w:rPr>
          <w:rFonts w:ascii="Times New Roman" w:hAnsi="Times New Roman" w:cs="Times New Roman"/>
          <w:color w:val="1B1D1F"/>
          <w:sz w:val="24"/>
          <w:szCs w:val="24"/>
        </w:rPr>
        <w:t xml:space="preserve"> un mērķtiecīga </w:t>
      </w:r>
      <w:r w:rsidR="00B70F76" w:rsidRPr="009905B5">
        <w:rPr>
          <w:rFonts w:ascii="Times New Roman" w:hAnsi="Times New Roman" w:cs="Times New Roman"/>
          <w:color w:val="1B1D1F"/>
          <w:sz w:val="24"/>
          <w:szCs w:val="24"/>
        </w:rPr>
        <w:t xml:space="preserve">palīdzības </w:t>
      </w:r>
      <w:r w:rsidR="00E43B3B" w:rsidRPr="009905B5">
        <w:rPr>
          <w:rFonts w:ascii="Times New Roman" w:hAnsi="Times New Roman" w:cs="Times New Roman"/>
          <w:color w:val="1B1D1F"/>
          <w:sz w:val="24"/>
          <w:szCs w:val="24"/>
        </w:rPr>
        <w:t>plānošana</w:t>
      </w:r>
      <w:r w:rsidR="00F43E0D">
        <w:rPr>
          <w:rFonts w:ascii="Times New Roman" w:hAnsi="Times New Roman" w:cs="Times New Roman"/>
          <w:color w:val="1B1D1F"/>
          <w:sz w:val="24"/>
          <w:szCs w:val="24"/>
        </w:rPr>
        <w:t>.</w:t>
      </w:r>
    </w:p>
    <w:p w14:paraId="4417DEED" w14:textId="77777777" w:rsidR="00FC2A47" w:rsidRDefault="00F974AD" w:rsidP="00FC2A47">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Par </w:t>
      </w:r>
      <w:r w:rsidRPr="009905B5">
        <w:rPr>
          <w:rFonts w:ascii="Times New Roman" w:hAnsi="Times New Roman" w:cs="Times New Roman"/>
          <w:b/>
          <w:color w:val="1B1D1F"/>
          <w:sz w:val="24"/>
          <w:szCs w:val="24"/>
        </w:rPr>
        <w:t>OAP ir uzskatāma resursu plūsma</w:t>
      </w:r>
      <w:r w:rsidRPr="009905B5">
        <w:rPr>
          <w:rFonts w:ascii="Times New Roman" w:hAnsi="Times New Roman" w:cs="Times New Roman"/>
          <w:color w:val="1B1D1F"/>
          <w:sz w:val="24"/>
          <w:szCs w:val="24"/>
        </w:rPr>
        <w:t xml:space="preserve"> uz </w:t>
      </w:r>
      <w:r w:rsidRPr="009905B5">
        <w:rPr>
          <w:rFonts w:ascii="Times New Roman" w:hAnsi="Times New Roman" w:cs="Times New Roman"/>
          <w:b/>
          <w:color w:val="1B1D1F"/>
          <w:sz w:val="24"/>
          <w:szCs w:val="24"/>
        </w:rPr>
        <w:t xml:space="preserve">OAP saņēmēju sarakstā iekļautajām valstīm un teritorijām </w:t>
      </w:r>
      <w:r w:rsidRPr="009905B5">
        <w:rPr>
          <w:rFonts w:ascii="Times New Roman" w:hAnsi="Times New Roman" w:cs="Times New Roman"/>
          <w:color w:val="1B1D1F"/>
          <w:sz w:val="24"/>
          <w:szCs w:val="24"/>
        </w:rPr>
        <w:t xml:space="preserve">(t.i. divpusējā palīdzība) un </w:t>
      </w:r>
      <w:r w:rsidRPr="009905B5">
        <w:rPr>
          <w:rFonts w:ascii="Times New Roman" w:hAnsi="Times New Roman" w:cs="Times New Roman"/>
          <w:b/>
          <w:color w:val="1B1D1F"/>
          <w:sz w:val="24"/>
          <w:szCs w:val="24"/>
        </w:rPr>
        <w:t xml:space="preserve">daudzpusējām institūcijām </w:t>
      </w:r>
      <w:r w:rsidRPr="009905B5">
        <w:rPr>
          <w:rFonts w:ascii="Times New Roman" w:hAnsi="Times New Roman" w:cs="Times New Roman"/>
          <w:color w:val="1B1D1F"/>
          <w:sz w:val="24"/>
          <w:szCs w:val="24"/>
        </w:rPr>
        <w:t xml:space="preserve">(t.i. daudzpusējā palīdzība), ko </w:t>
      </w:r>
      <w:r w:rsidRPr="009905B5">
        <w:rPr>
          <w:rFonts w:ascii="Times New Roman" w:hAnsi="Times New Roman" w:cs="Times New Roman"/>
          <w:b/>
          <w:color w:val="1B1D1F"/>
          <w:sz w:val="24"/>
          <w:szCs w:val="24"/>
        </w:rPr>
        <w:t>nodrošina publiskas institūcijas</w:t>
      </w:r>
      <w:r w:rsidRPr="009905B5">
        <w:rPr>
          <w:rFonts w:ascii="Times New Roman" w:hAnsi="Times New Roman" w:cs="Times New Roman"/>
          <w:color w:val="1B1D1F"/>
          <w:sz w:val="24"/>
          <w:szCs w:val="24"/>
        </w:rPr>
        <w:t xml:space="preserve">, t.sk. valsts un pašvaldības vai to padotības iestādes, un kura pēc būtības ir </w:t>
      </w:r>
      <w:r w:rsidRPr="009905B5">
        <w:rPr>
          <w:rFonts w:ascii="Times New Roman" w:hAnsi="Times New Roman" w:cs="Times New Roman"/>
          <w:b/>
          <w:color w:val="1B1D1F"/>
          <w:sz w:val="24"/>
          <w:szCs w:val="24"/>
        </w:rPr>
        <w:t>koncesija</w:t>
      </w:r>
      <w:r w:rsidRPr="009905B5">
        <w:rPr>
          <w:rFonts w:ascii="Times New Roman" w:hAnsi="Times New Roman" w:cs="Times New Roman"/>
          <w:color w:val="1B1D1F"/>
          <w:sz w:val="24"/>
          <w:szCs w:val="24"/>
        </w:rPr>
        <w:t xml:space="preserve"> (t.i. granti un arī aizdevumi</w:t>
      </w:r>
      <w:r w:rsidR="00B25DE0" w:rsidRPr="009905B5">
        <w:rPr>
          <w:rFonts w:ascii="Times New Roman" w:hAnsi="Times New Roman" w:cs="Times New Roman"/>
          <w:color w:val="1B1D1F"/>
          <w:sz w:val="24"/>
          <w:szCs w:val="24"/>
        </w:rPr>
        <w:t xml:space="preserve"> ar atvieglotiem nosacījumiem</w:t>
      </w:r>
      <w:r w:rsidRPr="009905B5">
        <w:rPr>
          <w:rFonts w:ascii="Times New Roman" w:hAnsi="Times New Roman" w:cs="Times New Roman"/>
          <w:color w:val="1B1D1F"/>
          <w:sz w:val="24"/>
          <w:szCs w:val="24"/>
        </w:rPr>
        <w:t xml:space="preserve">) un </w:t>
      </w:r>
      <w:r w:rsidRPr="009905B5">
        <w:rPr>
          <w:rFonts w:ascii="Times New Roman" w:hAnsi="Times New Roman" w:cs="Times New Roman"/>
          <w:b/>
          <w:color w:val="1B1D1F"/>
          <w:sz w:val="24"/>
          <w:szCs w:val="24"/>
        </w:rPr>
        <w:t>veikta ar galveno mērķi veicināt attīstības valstu ekonomisko attīstību un labklājību</w:t>
      </w:r>
      <w:r w:rsidRPr="009905B5">
        <w:rPr>
          <w:rFonts w:ascii="Times New Roman" w:hAnsi="Times New Roman" w:cs="Times New Roman"/>
          <w:color w:val="1B1D1F"/>
          <w:sz w:val="24"/>
          <w:szCs w:val="24"/>
        </w:rPr>
        <w:t>.</w:t>
      </w:r>
      <w:r w:rsidRPr="009905B5">
        <w:rPr>
          <w:rStyle w:val="FootnoteReference"/>
          <w:rFonts w:ascii="Times New Roman" w:hAnsi="Times New Roman" w:cs="Times New Roman"/>
          <w:color w:val="1B1D1F"/>
          <w:sz w:val="24"/>
          <w:szCs w:val="24"/>
        </w:rPr>
        <w:footnoteReference w:id="12"/>
      </w:r>
      <w:r w:rsidR="002E253A">
        <w:rPr>
          <w:rFonts w:ascii="Times New Roman" w:hAnsi="Times New Roman" w:cs="Times New Roman"/>
          <w:color w:val="1B1D1F"/>
          <w:sz w:val="24"/>
          <w:szCs w:val="24"/>
        </w:rPr>
        <w:t xml:space="preserve"> </w:t>
      </w:r>
    </w:p>
    <w:p w14:paraId="62CFF1A7" w14:textId="77777777" w:rsidR="00D611BE" w:rsidRDefault="00FA0E52" w:rsidP="00FC2A47">
      <w:pPr>
        <w:spacing w:before="160" w:line="240" w:lineRule="auto"/>
        <w:contextualSpacing/>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ES dalībvalstis, tajā skaitā Latvija, uzskaita </w:t>
      </w:r>
      <w:r w:rsidR="0088346F" w:rsidRPr="009905B5">
        <w:rPr>
          <w:rFonts w:ascii="Times New Roman" w:hAnsi="Times New Roman" w:cs="Times New Roman"/>
          <w:color w:val="1B1D1F"/>
          <w:sz w:val="24"/>
          <w:szCs w:val="24"/>
        </w:rPr>
        <w:t>valsts un pašvaldību</w:t>
      </w:r>
      <w:r w:rsidR="002E253A">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sniegto oficiālo palīdzību, izmantojot OECD</w:t>
      </w:r>
      <w:r w:rsidR="00CE17DE">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 xml:space="preserve">DAC vadlīnijas. </w:t>
      </w:r>
      <w:r w:rsidR="004E7227" w:rsidRPr="009905B5">
        <w:rPr>
          <w:rFonts w:ascii="Times New Roman" w:hAnsi="Times New Roman" w:cs="Times New Roman"/>
          <w:color w:val="1B1D1F"/>
          <w:sz w:val="24"/>
          <w:szCs w:val="24"/>
        </w:rPr>
        <w:t xml:space="preserve">Šo uzskaiti </w:t>
      </w:r>
      <w:r w:rsidR="0088346F" w:rsidRPr="009905B5">
        <w:rPr>
          <w:rFonts w:ascii="Times New Roman" w:hAnsi="Times New Roman" w:cs="Times New Roman"/>
          <w:color w:val="1B1D1F"/>
          <w:sz w:val="24"/>
          <w:szCs w:val="24"/>
        </w:rPr>
        <w:t>Latvijā veic Ā</w:t>
      </w:r>
      <w:r w:rsidR="00460215" w:rsidRPr="009905B5">
        <w:rPr>
          <w:rFonts w:ascii="Times New Roman" w:hAnsi="Times New Roman" w:cs="Times New Roman"/>
          <w:color w:val="1B1D1F"/>
          <w:sz w:val="24"/>
          <w:szCs w:val="24"/>
        </w:rPr>
        <w:t>M</w:t>
      </w:r>
      <w:r w:rsidR="0088346F" w:rsidRPr="009905B5">
        <w:rPr>
          <w:rFonts w:ascii="Times New Roman" w:hAnsi="Times New Roman" w:cs="Times New Roman"/>
          <w:color w:val="1B1D1F"/>
          <w:sz w:val="24"/>
          <w:szCs w:val="24"/>
        </w:rPr>
        <w:t xml:space="preserve"> un</w:t>
      </w:r>
      <w:r w:rsidR="004E7227" w:rsidRPr="009905B5">
        <w:rPr>
          <w:rFonts w:ascii="Times New Roman" w:hAnsi="Times New Roman" w:cs="Times New Roman"/>
          <w:color w:val="1B1D1F"/>
          <w:sz w:val="24"/>
          <w:szCs w:val="24"/>
        </w:rPr>
        <w:t xml:space="preserve"> apkop</w:t>
      </w:r>
      <w:r w:rsidR="0088346F" w:rsidRPr="009905B5">
        <w:rPr>
          <w:rFonts w:ascii="Times New Roman" w:hAnsi="Times New Roman" w:cs="Times New Roman"/>
          <w:color w:val="1B1D1F"/>
          <w:sz w:val="24"/>
          <w:szCs w:val="24"/>
        </w:rPr>
        <w:t xml:space="preserve">oto informāciju detalizētā veidā </w:t>
      </w:r>
      <w:r w:rsidR="00172256" w:rsidRPr="009905B5">
        <w:rPr>
          <w:rFonts w:ascii="Times New Roman" w:hAnsi="Times New Roman" w:cs="Times New Roman"/>
          <w:color w:val="1B1D1F"/>
          <w:sz w:val="24"/>
          <w:szCs w:val="24"/>
        </w:rPr>
        <w:t>katru gadu</w:t>
      </w:r>
      <w:r w:rsidR="00A63C18">
        <w:rPr>
          <w:rStyle w:val="FootnoteReference"/>
          <w:rFonts w:ascii="Times New Roman" w:hAnsi="Times New Roman" w:cs="Times New Roman"/>
          <w:color w:val="1B1D1F"/>
          <w:sz w:val="24"/>
          <w:szCs w:val="24"/>
        </w:rPr>
        <w:footnoteReference w:id="13"/>
      </w:r>
      <w:r w:rsidR="00172256" w:rsidRPr="009905B5">
        <w:rPr>
          <w:rFonts w:ascii="Times New Roman" w:hAnsi="Times New Roman" w:cs="Times New Roman"/>
          <w:color w:val="1B1D1F"/>
          <w:sz w:val="24"/>
          <w:szCs w:val="24"/>
        </w:rPr>
        <w:t xml:space="preserve"> </w:t>
      </w:r>
      <w:r w:rsidR="0088346F" w:rsidRPr="009905B5">
        <w:rPr>
          <w:rFonts w:ascii="Times New Roman" w:hAnsi="Times New Roman" w:cs="Times New Roman"/>
          <w:color w:val="1B1D1F"/>
          <w:sz w:val="24"/>
          <w:szCs w:val="24"/>
        </w:rPr>
        <w:t xml:space="preserve">iesniedz </w:t>
      </w:r>
      <w:r w:rsidR="004E7227" w:rsidRPr="009905B5">
        <w:rPr>
          <w:rFonts w:ascii="Times New Roman" w:hAnsi="Times New Roman" w:cs="Times New Roman"/>
          <w:color w:val="1B1D1F"/>
          <w:sz w:val="24"/>
          <w:szCs w:val="24"/>
        </w:rPr>
        <w:t xml:space="preserve">OECD. </w:t>
      </w:r>
    </w:p>
    <w:p w14:paraId="5E767F6A" w14:textId="77777777" w:rsidR="00820E56" w:rsidRDefault="00820E56" w:rsidP="00FC2A47">
      <w:pPr>
        <w:spacing w:before="160" w:line="240" w:lineRule="auto"/>
        <w:contextualSpacing/>
        <w:jc w:val="both"/>
        <w:rPr>
          <w:rFonts w:ascii="Times New Roman" w:hAnsi="Times New Roman" w:cs="Times New Roman"/>
          <w:color w:val="1B1D1F"/>
          <w:sz w:val="24"/>
          <w:szCs w:val="24"/>
        </w:rPr>
      </w:pPr>
    </w:p>
    <w:p w14:paraId="0302E6FE" w14:textId="77777777" w:rsidR="00E02D24" w:rsidRPr="00BE5444" w:rsidRDefault="00AF41D0" w:rsidP="00BE5444">
      <w:pPr>
        <w:spacing w:before="160" w:line="240" w:lineRule="auto"/>
        <w:contextualSpacing/>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2018</w:t>
      </w:r>
      <w:r w:rsidR="00A2733A">
        <w:rPr>
          <w:rFonts w:ascii="Times New Roman" w:hAnsi="Times New Roman" w:cs="Times New Roman"/>
          <w:b/>
          <w:color w:val="1B1D1F"/>
          <w:sz w:val="24"/>
          <w:szCs w:val="24"/>
        </w:rPr>
        <w:t>. gad</w:t>
      </w:r>
      <w:r w:rsidRPr="009905B5">
        <w:rPr>
          <w:rFonts w:ascii="Times New Roman" w:hAnsi="Times New Roman" w:cs="Times New Roman"/>
          <w:b/>
          <w:color w:val="1B1D1F"/>
          <w:sz w:val="24"/>
          <w:szCs w:val="24"/>
        </w:rPr>
        <w:t>ā Latvijas OAP bija 29 milj. EUR jeb 0.1% no NKI. No tā 4 milj. EUR (14%) bija divpusējā palīdzība un 25 milj. EUR (86%) bija daudzpusējā palīdzība</w:t>
      </w:r>
      <w:r w:rsidRPr="009905B5">
        <w:rPr>
          <w:rFonts w:ascii="Times New Roman" w:hAnsi="Times New Roman" w:cs="Times New Roman"/>
          <w:color w:val="1B1D1F"/>
          <w:sz w:val="24"/>
          <w:szCs w:val="24"/>
        </w:rPr>
        <w:t xml:space="preserve">. </w:t>
      </w:r>
    </w:p>
    <w:p w14:paraId="21645DD1" w14:textId="77777777" w:rsidR="00E02D24" w:rsidRDefault="00E02D24" w:rsidP="00C05614">
      <w:pPr>
        <w:spacing w:line="240" w:lineRule="auto"/>
        <w:jc w:val="both"/>
        <w:rPr>
          <w:rFonts w:ascii="Times New Roman" w:hAnsi="Times New Roman" w:cs="Times New Roman"/>
          <w:i/>
          <w:color w:val="1B1D1F"/>
          <w:sz w:val="24"/>
          <w:szCs w:val="24"/>
        </w:rPr>
      </w:pPr>
      <w:r w:rsidRPr="009905B5">
        <w:rPr>
          <w:rFonts w:ascii="Times New Roman" w:hAnsi="Times New Roman" w:cs="Times New Roman"/>
          <w:noProof/>
          <w:lang w:eastAsia="lv-LV"/>
        </w:rPr>
        <w:lastRenderedPageBreak/>
        <w:drawing>
          <wp:anchor distT="0" distB="0" distL="114300" distR="114300" simplePos="0" relativeHeight="251659264" behindDoc="0" locked="0" layoutInCell="1" allowOverlap="1" wp14:anchorId="037AB3D7" wp14:editId="1551F98D">
            <wp:simplePos x="0" y="0"/>
            <wp:positionH relativeFrom="margin">
              <wp:align>left</wp:align>
            </wp:positionH>
            <wp:positionV relativeFrom="paragraph">
              <wp:posOffset>12700</wp:posOffset>
            </wp:positionV>
            <wp:extent cx="5429250" cy="2819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26FCF9B" w14:textId="77777777" w:rsidR="001C5C64" w:rsidRPr="009905B5" w:rsidRDefault="00172256"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OAP</w:t>
      </w:r>
      <w:r w:rsidR="00D205B4" w:rsidRPr="009905B5">
        <w:rPr>
          <w:rFonts w:ascii="Times New Roman" w:hAnsi="Times New Roman" w:cs="Times New Roman"/>
          <w:b/>
          <w:color w:val="1B1D1F"/>
          <w:sz w:val="24"/>
          <w:szCs w:val="24"/>
        </w:rPr>
        <w:t xml:space="preserve"> </w:t>
      </w:r>
      <w:r w:rsidR="00267654" w:rsidRPr="009905B5">
        <w:rPr>
          <w:rFonts w:ascii="Times New Roman" w:hAnsi="Times New Roman" w:cs="Times New Roman"/>
          <w:b/>
          <w:color w:val="1B1D1F"/>
          <w:sz w:val="24"/>
          <w:szCs w:val="24"/>
        </w:rPr>
        <w:t>2018</w:t>
      </w:r>
      <w:r w:rsidR="00A2733A">
        <w:rPr>
          <w:rFonts w:ascii="Times New Roman" w:hAnsi="Times New Roman" w:cs="Times New Roman"/>
          <w:b/>
          <w:color w:val="1B1D1F"/>
          <w:sz w:val="24"/>
          <w:szCs w:val="24"/>
        </w:rPr>
        <w:t>. gad</w:t>
      </w:r>
      <w:r w:rsidR="00267654" w:rsidRPr="009905B5">
        <w:rPr>
          <w:rFonts w:ascii="Times New Roman" w:hAnsi="Times New Roman" w:cs="Times New Roman"/>
          <w:b/>
          <w:color w:val="1B1D1F"/>
          <w:sz w:val="24"/>
          <w:szCs w:val="24"/>
        </w:rPr>
        <w:t xml:space="preserve">ā </w:t>
      </w:r>
      <w:r w:rsidRPr="009905B5">
        <w:rPr>
          <w:rFonts w:ascii="Times New Roman" w:hAnsi="Times New Roman" w:cs="Times New Roman"/>
          <w:b/>
          <w:color w:val="1B1D1F"/>
          <w:sz w:val="24"/>
          <w:szCs w:val="24"/>
        </w:rPr>
        <w:t>veido</w:t>
      </w:r>
      <w:r w:rsidR="00267654" w:rsidRPr="009905B5">
        <w:rPr>
          <w:rFonts w:ascii="Times New Roman" w:hAnsi="Times New Roman" w:cs="Times New Roman"/>
          <w:b/>
          <w:color w:val="1B1D1F"/>
          <w:sz w:val="24"/>
          <w:szCs w:val="24"/>
        </w:rPr>
        <w:t>ja</w:t>
      </w:r>
      <w:r w:rsidR="00412C15" w:rsidRPr="009905B5">
        <w:rPr>
          <w:rFonts w:ascii="Times New Roman" w:hAnsi="Times New Roman" w:cs="Times New Roman"/>
          <w:b/>
          <w:color w:val="1B1D1F"/>
          <w:sz w:val="24"/>
          <w:szCs w:val="24"/>
        </w:rPr>
        <w:t xml:space="preserve"> šāds finansējums un izmaksas</w:t>
      </w:r>
      <w:r w:rsidRPr="009905B5">
        <w:rPr>
          <w:rFonts w:ascii="Times New Roman" w:hAnsi="Times New Roman" w:cs="Times New Roman"/>
          <w:color w:val="1B1D1F"/>
          <w:sz w:val="24"/>
          <w:szCs w:val="24"/>
        </w:rPr>
        <w:t xml:space="preserve">: </w:t>
      </w:r>
    </w:p>
    <w:p w14:paraId="367C2C06" w14:textId="77777777" w:rsidR="00172256" w:rsidRPr="009905B5" w:rsidRDefault="00EA6B2D"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77% veido d</w:t>
      </w:r>
      <w:r w:rsidR="00172256" w:rsidRPr="009905B5">
        <w:rPr>
          <w:rFonts w:ascii="Times New Roman" w:hAnsi="Times New Roman" w:cs="Times New Roman"/>
          <w:b/>
          <w:color w:val="1B1D1F"/>
          <w:sz w:val="24"/>
          <w:szCs w:val="24"/>
        </w:rPr>
        <w:t>aļa no</w:t>
      </w:r>
      <w:r w:rsidR="00172256" w:rsidRPr="009905B5">
        <w:rPr>
          <w:rFonts w:ascii="Times New Roman" w:hAnsi="Times New Roman" w:cs="Times New Roman"/>
          <w:color w:val="1B1D1F"/>
          <w:sz w:val="24"/>
          <w:szCs w:val="24"/>
        </w:rPr>
        <w:t xml:space="preserve"> </w:t>
      </w:r>
      <w:r w:rsidR="00172256" w:rsidRPr="009905B5">
        <w:rPr>
          <w:rFonts w:ascii="Times New Roman" w:hAnsi="Times New Roman" w:cs="Times New Roman"/>
          <w:b/>
          <w:color w:val="1B1D1F"/>
          <w:sz w:val="24"/>
          <w:szCs w:val="24"/>
        </w:rPr>
        <w:t xml:space="preserve">Latvijas ieguldījuma ES </w:t>
      </w:r>
      <w:r w:rsidR="004F40F4" w:rsidRPr="009905B5">
        <w:rPr>
          <w:rFonts w:ascii="Times New Roman" w:hAnsi="Times New Roman" w:cs="Times New Roman"/>
          <w:b/>
          <w:color w:val="1B1D1F"/>
          <w:sz w:val="24"/>
          <w:szCs w:val="24"/>
        </w:rPr>
        <w:t xml:space="preserve">vispārējā </w:t>
      </w:r>
      <w:r w:rsidR="00172256" w:rsidRPr="009905B5">
        <w:rPr>
          <w:rFonts w:ascii="Times New Roman" w:hAnsi="Times New Roman" w:cs="Times New Roman"/>
          <w:b/>
          <w:color w:val="1B1D1F"/>
          <w:sz w:val="24"/>
          <w:szCs w:val="24"/>
        </w:rPr>
        <w:t>budžetā</w:t>
      </w:r>
      <w:r w:rsidR="00E43B3B" w:rsidRPr="009905B5">
        <w:rPr>
          <w:rFonts w:ascii="Times New Roman" w:hAnsi="Times New Roman" w:cs="Times New Roman"/>
          <w:color w:val="1B1D1F"/>
          <w:sz w:val="24"/>
          <w:szCs w:val="24"/>
        </w:rPr>
        <w:t xml:space="preserve"> </w:t>
      </w:r>
      <w:r w:rsidR="00172256" w:rsidRPr="009905B5">
        <w:rPr>
          <w:rFonts w:ascii="Times New Roman" w:hAnsi="Times New Roman" w:cs="Times New Roman"/>
          <w:color w:val="1B1D1F"/>
          <w:sz w:val="24"/>
          <w:szCs w:val="24"/>
        </w:rPr>
        <w:t>(</w:t>
      </w:r>
      <w:r w:rsidR="004F40F4" w:rsidRPr="009905B5">
        <w:rPr>
          <w:rFonts w:ascii="Times New Roman" w:hAnsi="Times New Roman" w:cs="Times New Roman"/>
          <w:color w:val="1B1D1F"/>
          <w:sz w:val="24"/>
          <w:szCs w:val="24"/>
        </w:rPr>
        <w:t>izdevumiem, kuri veikti 4.izdevumu kategorijā</w:t>
      </w:r>
      <w:r w:rsidR="00172256" w:rsidRPr="009905B5">
        <w:rPr>
          <w:rFonts w:ascii="Times New Roman" w:hAnsi="Times New Roman" w:cs="Times New Roman"/>
          <w:color w:val="1B1D1F"/>
          <w:sz w:val="24"/>
          <w:szCs w:val="24"/>
        </w:rPr>
        <w:t>)</w:t>
      </w:r>
      <w:r w:rsidR="00E43B3B" w:rsidRPr="009905B5">
        <w:rPr>
          <w:rFonts w:ascii="Times New Roman" w:hAnsi="Times New Roman" w:cs="Times New Roman"/>
          <w:color w:val="1B1D1F"/>
          <w:sz w:val="24"/>
          <w:szCs w:val="24"/>
        </w:rPr>
        <w:t xml:space="preserve"> </w:t>
      </w:r>
      <w:r w:rsidR="00172256" w:rsidRPr="009905B5">
        <w:rPr>
          <w:rFonts w:ascii="Times New Roman" w:hAnsi="Times New Roman" w:cs="Times New Roman"/>
          <w:color w:val="1B1D1F"/>
          <w:sz w:val="24"/>
          <w:szCs w:val="24"/>
        </w:rPr>
        <w:t xml:space="preserve">un </w:t>
      </w:r>
      <w:r w:rsidR="00172256" w:rsidRPr="009905B5">
        <w:rPr>
          <w:rFonts w:ascii="Times New Roman" w:hAnsi="Times New Roman" w:cs="Times New Roman"/>
          <w:b/>
          <w:color w:val="1B1D1F"/>
          <w:sz w:val="24"/>
          <w:szCs w:val="24"/>
        </w:rPr>
        <w:t>Latvijas iemaksas Eiropas Attīstības fondā</w:t>
      </w:r>
      <w:r w:rsidR="00172256" w:rsidRPr="009905B5">
        <w:rPr>
          <w:rFonts w:ascii="Times New Roman" w:hAnsi="Times New Roman" w:cs="Times New Roman"/>
          <w:color w:val="1B1D1F"/>
          <w:sz w:val="24"/>
          <w:szCs w:val="24"/>
        </w:rPr>
        <w:t>;</w:t>
      </w:r>
    </w:p>
    <w:p w14:paraId="54B1BD4B" w14:textId="77777777" w:rsidR="00172256" w:rsidRPr="009905B5" w:rsidRDefault="00C22677" w:rsidP="00C05614">
      <w:pPr>
        <w:pStyle w:val="ListParagraph"/>
        <w:numPr>
          <w:ilvl w:val="0"/>
          <w:numId w:val="14"/>
        </w:numPr>
        <w:spacing w:line="240" w:lineRule="auto"/>
        <w:jc w:val="both"/>
        <w:rPr>
          <w:rFonts w:ascii="Times New Roman" w:hAnsi="Times New Roman" w:cs="Times New Roman"/>
          <w:color w:val="1B1D1F"/>
          <w:sz w:val="24"/>
          <w:szCs w:val="24"/>
        </w:rPr>
      </w:pPr>
      <w:r>
        <w:rPr>
          <w:rFonts w:ascii="Times New Roman" w:hAnsi="Times New Roman" w:cs="Times New Roman"/>
          <w:b/>
          <w:color w:val="1B1D1F"/>
          <w:sz w:val="24"/>
          <w:szCs w:val="24"/>
        </w:rPr>
        <w:t>8</w:t>
      </w:r>
      <w:r w:rsidR="00EA6B2D" w:rsidRPr="009905B5">
        <w:rPr>
          <w:rFonts w:ascii="Times New Roman" w:hAnsi="Times New Roman" w:cs="Times New Roman"/>
          <w:b/>
          <w:color w:val="1B1D1F"/>
          <w:sz w:val="24"/>
          <w:szCs w:val="24"/>
        </w:rPr>
        <w:t>% veido d</w:t>
      </w:r>
      <w:r w:rsidR="00172256" w:rsidRPr="009905B5">
        <w:rPr>
          <w:rFonts w:ascii="Times New Roman" w:hAnsi="Times New Roman" w:cs="Times New Roman"/>
          <w:b/>
          <w:color w:val="1B1D1F"/>
          <w:sz w:val="24"/>
          <w:szCs w:val="24"/>
        </w:rPr>
        <w:t>aļa no</w:t>
      </w:r>
      <w:r w:rsidR="00172256" w:rsidRPr="009905B5">
        <w:rPr>
          <w:rFonts w:ascii="Times New Roman" w:hAnsi="Times New Roman" w:cs="Times New Roman"/>
          <w:color w:val="1B1D1F"/>
          <w:sz w:val="24"/>
          <w:szCs w:val="24"/>
        </w:rPr>
        <w:t xml:space="preserve"> </w:t>
      </w:r>
      <w:r w:rsidR="00EA6B2D" w:rsidRPr="009905B5">
        <w:rPr>
          <w:rFonts w:ascii="Times New Roman" w:hAnsi="Times New Roman" w:cs="Times New Roman"/>
          <w:b/>
          <w:color w:val="1B1D1F"/>
          <w:sz w:val="24"/>
          <w:szCs w:val="24"/>
        </w:rPr>
        <w:t xml:space="preserve">Latvijas regulārajām iemaksām </w:t>
      </w:r>
      <w:r w:rsidR="00172256" w:rsidRPr="009905B5">
        <w:rPr>
          <w:rFonts w:ascii="Times New Roman" w:hAnsi="Times New Roman" w:cs="Times New Roman"/>
          <w:b/>
          <w:color w:val="1B1D1F"/>
          <w:sz w:val="24"/>
          <w:szCs w:val="24"/>
        </w:rPr>
        <w:t>starptautiskajās organizācijās</w:t>
      </w:r>
      <w:r w:rsidR="00172256" w:rsidRPr="009905B5">
        <w:rPr>
          <w:rStyle w:val="FootnoteReference"/>
          <w:rFonts w:ascii="Times New Roman" w:hAnsi="Times New Roman" w:cs="Times New Roman"/>
          <w:color w:val="1B1D1F"/>
          <w:sz w:val="24"/>
          <w:szCs w:val="24"/>
        </w:rPr>
        <w:footnoteReference w:id="14"/>
      </w:r>
      <w:r w:rsidR="005419CF" w:rsidRPr="009905B5">
        <w:rPr>
          <w:rFonts w:ascii="Times New Roman" w:hAnsi="Times New Roman" w:cs="Times New Roman"/>
          <w:color w:val="1B1D1F"/>
          <w:sz w:val="24"/>
          <w:szCs w:val="24"/>
        </w:rPr>
        <w:t xml:space="preserve"> </w:t>
      </w:r>
      <w:r w:rsidR="00EA6B2D" w:rsidRPr="009905B5">
        <w:rPr>
          <w:rFonts w:ascii="Times New Roman" w:hAnsi="Times New Roman" w:cs="Times New Roman"/>
          <w:color w:val="1B1D1F"/>
          <w:sz w:val="24"/>
          <w:szCs w:val="24"/>
        </w:rPr>
        <w:t>(ANO sistēmas organizācijas, Pasaules Bankas grupa u.c.)</w:t>
      </w:r>
      <w:r w:rsidR="00D152BE" w:rsidRPr="009905B5">
        <w:rPr>
          <w:rFonts w:ascii="Times New Roman" w:hAnsi="Times New Roman" w:cs="Times New Roman"/>
          <w:color w:val="1B1D1F"/>
          <w:sz w:val="24"/>
          <w:szCs w:val="24"/>
        </w:rPr>
        <w:t>;</w:t>
      </w:r>
    </w:p>
    <w:p w14:paraId="41B7BB4A" w14:textId="77777777" w:rsidR="00D205B4" w:rsidRPr="009905B5" w:rsidRDefault="00EA6B2D" w:rsidP="00C05614">
      <w:pPr>
        <w:pStyle w:val="ListParagraph"/>
        <w:numPr>
          <w:ilvl w:val="0"/>
          <w:numId w:val="14"/>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 xml:space="preserve">2% veido </w:t>
      </w:r>
      <w:r w:rsidR="00F67E7E" w:rsidRPr="009905B5">
        <w:rPr>
          <w:rFonts w:ascii="Times New Roman" w:hAnsi="Times New Roman" w:cs="Times New Roman"/>
          <w:b/>
          <w:color w:val="1B1D1F"/>
          <w:sz w:val="24"/>
          <w:szCs w:val="24"/>
        </w:rPr>
        <w:t>ĀM</w:t>
      </w:r>
      <w:r w:rsidR="00D205B4" w:rsidRPr="009905B5">
        <w:rPr>
          <w:rFonts w:ascii="Times New Roman" w:hAnsi="Times New Roman" w:cs="Times New Roman"/>
          <w:b/>
          <w:color w:val="1B1D1F"/>
          <w:sz w:val="24"/>
          <w:szCs w:val="24"/>
        </w:rPr>
        <w:t xml:space="preserve"> budžeta programma “Attīstības sadarbības projekti un starptautiskā palīdzība”</w:t>
      </w:r>
      <w:r w:rsidR="00D205B4" w:rsidRPr="009905B5">
        <w:rPr>
          <w:rFonts w:ascii="Times New Roman" w:hAnsi="Times New Roman" w:cs="Times New Roman"/>
          <w:color w:val="1B1D1F"/>
          <w:sz w:val="24"/>
          <w:szCs w:val="24"/>
        </w:rPr>
        <w:t>;</w:t>
      </w:r>
    </w:p>
    <w:p w14:paraId="4098E5F1" w14:textId="77777777" w:rsidR="005419CF" w:rsidRPr="009905B5" w:rsidRDefault="00C22677" w:rsidP="00C05614">
      <w:pPr>
        <w:pStyle w:val="ListParagraph"/>
        <w:numPr>
          <w:ilvl w:val="0"/>
          <w:numId w:val="14"/>
        </w:numPr>
        <w:spacing w:line="240" w:lineRule="auto"/>
        <w:jc w:val="both"/>
        <w:rPr>
          <w:rFonts w:ascii="Times New Roman" w:hAnsi="Times New Roman" w:cs="Times New Roman"/>
          <w:color w:val="1B1D1F"/>
          <w:sz w:val="24"/>
          <w:szCs w:val="24"/>
        </w:rPr>
      </w:pPr>
      <w:r>
        <w:rPr>
          <w:rFonts w:ascii="Times New Roman" w:hAnsi="Times New Roman" w:cs="Times New Roman"/>
          <w:b/>
          <w:color w:val="1B1D1F"/>
          <w:sz w:val="24"/>
          <w:szCs w:val="24"/>
        </w:rPr>
        <w:t>5</w:t>
      </w:r>
      <w:r w:rsidR="00F67E7E" w:rsidRPr="009905B5">
        <w:rPr>
          <w:rFonts w:ascii="Times New Roman" w:hAnsi="Times New Roman" w:cs="Times New Roman"/>
          <w:b/>
          <w:color w:val="1B1D1F"/>
          <w:sz w:val="24"/>
          <w:szCs w:val="24"/>
        </w:rPr>
        <w:t>% veido ĀM cita divpusējā palīdzība</w:t>
      </w:r>
      <w:r w:rsidR="008A4B01" w:rsidRPr="009905B5">
        <w:rPr>
          <w:rFonts w:ascii="Times New Roman" w:hAnsi="Times New Roman" w:cs="Times New Roman"/>
          <w:color w:val="1B1D1F"/>
          <w:sz w:val="24"/>
          <w:szCs w:val="24"/>
        </w:rPr>
        <w:t xml:space="preserve"> (t.</w:t>
      </w:r>
      <w:r w:rsidR="00F67E7E" w:rsidRPr="009905B5">
        <w:rPr>
          <w:rFonts w:ascii="Times New Roman" w:hAnsi="Times New Roman" w:cs="Times New Roman"/>
          <w:color w:val="1B1D1F"/>
          <w:sz w:val="24"/>
          <w:szCs w:val="24"/>
        </w:rPr>
        <w:t>s</w:t>
      </w:r>
      <w:r w:rsidR="008A4B01" w:rsidRPr="009905B5">
        <w:rPr>
          <w:rFonts w:ascii="Times New Roman" w:hAnsi="Times New Roman" w:cs="Times New Roman"/>
          <w:color w:val="1B1D1F"/>
          <w:sz w:val="24"/>
          <w:szCs w:val="24"/>
        </w:rPr>
        <w:t>k</w:t>
      </w:r>
      <w:r w:rsidR="00F67E7E" w:rsidRPr="009905B5">
        <w:rPr>
          <w:rFonts w:ascii="Times New Roman" w:hAnsi="Times New Roman" w:cs="Times New Roman"/>
          <w:color w:val="1B1D1F"/>
          <w:sz w:val="24"/>
          <w:szCs w:val="24"/>
        </w:rPr>
        <w:t xml:space="preserve">. </w:t>
      </w:r>
      <w:r w:rsidR="007E34DE">
        <w:rPr>
          <w:rFonts w:ascii="Times New Roman" w:hAnsi="Times New Roman" w:cs="Times New Roman"/>
          <w:color w:val="1B1D1F"/>
          <w:sz w:val="24"/>
          <w:szCs w:val="24"/>
        </w:rPr>
        <w:t>papildu</w:t>
      </w:r>
      <w:r w:rsidR="007E34DE" w:rsidRPr="009905B5">
        <w:rPr>
          <w:rFonts w:ascii="Times New Roman" w:hAnsi="Times New Roman" w:cs="Times New Roman"/>
          <w:color w:val="1B1D1F"/>
          <w:sz w:val="24"/>
          <w:szCs w:val="24"/>
        </w:rPr>
        <w:t xml:space="preserve"> </w:t>
      </w:r>
      <w:r w:rsidR="00F67E7E" w:rsidRPr="009905B5">
        <w:rPr>
          <w:rFonts w:ascii="Times New Roman" w:hAnsi="Times New Roman" w:cs="Times New Roman"/>
          <w:color w:val="1B1D1F"/>
          <w:sz w:val="24"/>
          <w:szCs w:val="24"/>
        </w:rPr>
        <w:t>iemaksas</w:t>
      </w:r>
      <w:r>
        <w:rPr>
          <w:rFonts w:ascii="Times New Roman" w:hAnsi="Times New Roman" w:cs="Times New Roman"/>
          <w:color w:val="1B1D1F"/>
          <w:sz w:val="24"/>
          <w:szCs w:val="24"/>
        </w:rPr>
        <w:t xml:space="preserve"> starptautiskajās organizācijās</w:t>
      </w:r>
      <w:r w:rsidR="00F67E7E" w:rsidRPr="009905B5">
        <w:rPr>
          <w:rFonts w:ascii="Times New Roman" w:hAnsi="Times New Roman" w:cs="Times New Roman"/>
          <w:color w:val="1B1D1F"/>
          <w:sz w:val="24"/>
          <w:szCs w:val="24"/>
        </w:rPr>
        <w:t xml:space="preserve">, izmaksas, kas saistāmas ar </w:t>
      </w:r>
      <w:r w:rsidR="00D02FB4">
        <w:rPr>
          <w:rFonts w:ascii="Times New Roman" w:hAnsi="Times New Roman" w:cs="Times New Roman"/>
          <w:color w:val="1B1D1F"/>
          <w:sz w:val="24"/>
          <w:szCs w:val="24"/>
        </w:rPr>
        <w:t>civilo ekspertu dalību misijām</w:t>
      </w:r>
      <w:r w:rsidR="00F67E7E" w:rsidRPr="009905B5">
        <w:rPr>
          <w:rFonts w:ascii="Times New Roman" w:hAnsi="Times New Roman" w:cs="Times New Roman"/>
          <w:color w:val="1B1D1F"/>
          <w:sz w:val="24"/>
          <w:szCs w:val="24"/>
        </w:rPr>
        <w:t>, u.c. atbalsts)</w:t>
      </w:r>
      <w:r w:rsidR="005419CF" w:rsidRPr="009905B5">
        <w:rPr>
          <w:rFonts w:ascii="Times New Roman" w:hAnsi="Times New Roman" w:cs="Times New Roman"/>
          <w:color w:val="1B1D1F"/>
          <w:sz w:val="24"/>
          <w:szCs w:val="24"/>
        </w:rPr>
        <w:t>;</w:t>
      </w:r>
    </w:p>
    <w:p w14:paraId="44BA2325" w14:textId="77777777" w:rsidR="00F67E7E" w:rsidRPr="009905B5" w:rsidRDefault="00D0558B" w:rsidP="00C05614">
      <w:pPr>
        <w:pStyle w:val="ListParagraph"/>
        <w:numPr>
          <w:ilvl w:val="0"/>
          <w:numId w:val="14"/>
        </w:numPr>
        <w:spacing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7% c</w:t>
      </w:r>
      <w:r w:rsidR="00F67E7E" w:rsidRPr="009905B5">
        <w:rPr>
          <w:rFonts w:ascii="Times New Roman" w:hAnsi="Times New Roman" w:cs="Times New Roman"/>
          <w:b/>
          <w:color w:val="1B1D1F"/>
          <w:sz w:val="24"/>
          <w:szCs w:val="24"/>
        </w:rPr>
        <w:t>itu valsts un pašvaldību iestā</w:t>
      </w:r>
      <w:r w:rsidRPr="009905B5">
        <w:rPr>
          <w:rFonts w:ascii="Times New Roman" w:hAnsi="Times New Roman" w:cs="Times New Roman"/>
          <w:b/>
          <w:color w:val="1B1D1F"/>
          <w:sz w:val="24"/>
          <w:szCs w:val="24"/>
        </w:rPr>
        <w:t>žu</w:t>
      </w:r>
      <w:r w:rsidR="00F67E7E" w:rsidRPr="009905B5">
        <w:rPr>
          <w:rFonts w:ascii="Times New Roman" w:hAnsi="Times New Roman" w:cs="Times New Roman"/>
          <w:b/>
          <w:color w:val="1B1D1F"/>
          <w:sz w:val="24"/>
          <w:szCs w:val="24"/>
        </w:rPr>
        <w:t xml:space="preserve"> </w:t>
      </w:r>
      <w:proofErr w:type="spellStart"/>
      <w:r w:rsidR="00F67E7E" w:rsidRPr="009905B5">
        <w:rPr>
          <w:rFonts w:ascii="Times New Roman" w:hAnsi="Times New Roman" w:cs="Times New Roman"/>
          <w:b/>
          <w:i/>
          <w:color w:val="1B1D1F"/>
          <w:sz w:val="24"/>
          <w:szCs w:val="24"/>
        </w:rPr>
        <w:t>ad</w:t>
      </w:r>
      <w:proofErr w:type="spellEnd"/>
      <w:r w:rsidR="00F67E7E" w:rsidRPr="009905B5">
        <w:rPr>
          <w:rFonts w:ascii="Times New Roman" w:hAnsi="Times New Roman" w:cs="Times New Roman"/>
          <w:b/>
          <w:i/>
          <w:color w:val="1B1D1F"/>
          <w:sz w:val="24"/>
          <w:szCs w:val="24"/>
        </w:rPr>
        <w:t xml:space="preserve"> </w:t>
      </w:r>
      <w:proofErr w:type="spellStart"/>
      <w:r w:rsidR="00F67E7E" w:rsidRPr="009905B5">
        <w:rPr>
          <w:rFonts w:ascii="Times New Roman" w:hAnsi="Times New Roman" w:cs="Times New Roman"/>
          <w:b/>
          <w:i/>
          <w:color w:val="1B1D1F"/>
          <w:sz w:val="24"/>
          <w:szCs w:val="24"/>
        </w:rPr>
        <w:t>hoc</w:t>
      </w:r>
      <w:proofErr w:type="spellEnd"/>
      <w:r w:rsidR="00F67E7E" w:rsidRPr="009905B5">
        <w:rPr>
          <w:rFonts w:ascii="Times New Roman" w:hAnsi="Times New Roman" w:cs="Times New Roman"/>
          <w:b/>
          <w:i/>
          <w:color w:val="1B1D1F"/>
          <w:sz w:val="24"/>
          <w:szCs w:val="24"/>
        </w:rPr>
        <w:t xml:space="preserve"> </w:t>
      </w:r>
      <w:r w:rsidR="00F67E7E" w:rsidRPr="009905B5">
        <w:rPr>
          <w:rFonts w:ascii="Times New Roman" w:hAnsi="Times New Roman" w:cs="Times New Roman"/>
          <w:b/>
          <w:color w:val="1B1D1F"/>
          <w:sz w:val="24"/>
          <w:szCs w:val="24"/>
        </w:rPr>
        <w:t>divpusējā palīdzība</w:t>
      </w:r>
      <w:r w:rsidR="00F67E7E" w:rsidRPr="009905B5">
        <w:rPr>
          <w:rFonts w:ascii="Times New Roman" w:hAnsi="Times New Roman" w:cs="Times New Roman"/>
          <w:color w:val="1B1D1F"/>
          <w:sz w:val="24"/>
          <w:szCs w:val="24"/>
        </w:rPr>
        <w:t>, kā arī bēgļu un patvērumu uzņemšanas iemaksas atbilstoši OECD</w:t>
      </w:r>
      <w:r w:rsidR="00CE17DE">
        <w:rPr>
          <w:rFonts w:ascii="Times New Roman" w:hAnsi="Times New Roman" w:cs="Times New Roman"/>
          <w:color w:val="1B1D1F"/>
          <w:sz w:val="24"/>
          <w:szCs w:val="24"/>
        </w:rPr>
        <w:t xml:space="preserve"> </w:t>
      </w:r>
      <w:r w:rsidR="00F67E7E" w:rsidRPr="009905B5">
        <w:rPr>
          <w:rFonts w:ascii="Times New Roman" w:hAnsi="Times New Roman" w:cs="Times New Roman"/>
          <w:color w:val="1B1D1F"/>
          <w:sz w:val="24"/>
          <w:szCs w:val="24"/>
        </w:rPr>
        <w:t>DAC kritērijiem;</w:t>
      </w:r>
    </w:p>
    <w:p w14:paraId="33E31F0E" w14:textId="77777777" w:rsidR="00D205B4" w:rsidRPr="009905B5" w:rsidRDefault="00F67E7E" w:rsidP="00C05614">
      <w:pPr>
        <w:pStyle w:val="ListParagraph"/>
        <w:numPr>
          <w:ilvl w:val="0"/>
          <w:numId w:val="14"/>
        </w:numPr>
        <w:spacing w:line="240" w:lineRule="auto"/>
        <w:jc w:val="both"/>
        <w:rPr>
          <w:rFonts w:ascii="Times New Roman" w:hAnsi="Times New Roman" w:cs="Times New Roman"/>
          <w:b/>
          <w:color w:val="1B1D1F"/>
          <w:sz w:val="24"/>
          <w:szCs w:val="24"/>
        </w:rPr>
      </w:pPr>
      <w:r w:rsidRPr="009905B5">
        <w:rPr>
          <w:rFonts w:ascii="Times New Roman" w:hAnsi="Times New Roman" w:cs="Times New Roman"/>
          <w:color w:val="1B1D1F"/>
          <w:sz w:val="24"/>
          <w:szCs w:val="24"/>
        </w:rPr>
        <w:t>1</w:t>
      </w:r>
      <w:r w:rsidRPr="009905B5">
        <w:rPr>
          <w:rFonts w:ascii="Times New Roman" w:hAnsi="Times New Roman" w:cs="Times New Roman"/>
          <w:b/>
          <w:color w:val="1B1D1F"/>
          <w:sz w:val="24"/>
          <w:szCs w:val="24"/>
        </w:rPr>
        <w:t>% veido administratīvās izmaksas</w:t>
      </w:r>
      <w:r w:rsidRPr="009905B5">
        <w:rPr>
          <w:rFonts w:ascii="Times New Roman" w:hAnsi="Times New Roman" w:cs="Times New Roman"/>
          <w:color w:val="1B1D1F"/>
          <w:sz w:val="24"/>
          <w:szCs w:val="24"/>
        </w:rPr>
        <w:t xml:space="preserve">, kas saistāmas ar </w:t>
      </w:r>
      <w:r w:rsidR="00D0558B" w:rsidRPr="009905B5">
        <w:rPr>
          <w:rFonts w:ascii="Times New Roman" w:hAnsi="Times New Roman" w:cs="Times New Roman"/>
          <w:color w:val="1B1D1F"/>
          <w:sz w:val="24"/>
          <w:szCs w:val="24"/>
        </w:rPr>
        <w:t>attīstības sadarbības politikas plānošanu un administrēšanu (</w:t>
      </w:r>
      <w:r w:rsidR="00845F35" w:rsidRPr="009905B5">
        <w:rPr>
          <w:rFonts w:ascii="Times New Roman" w:hAnsi="Times New Roman" w:cs="Times New Roman"/>
          <w:color w:val="1B1D1F"/>
          <w:sz w:val="24"/>
          <w:szCs w:val="24"/>
        </w:rPr>
        <w:t xml:space="preserve">primāri ĀM un </w:t>
      </w:r>
      <w:r w:rsidR="00D0558B" w:rsidRPr="009905B5">
        <w:rPr>
          <w:rFonts w:ascii="Times New Roman" w:hAnsi="Times New Roman" w:cs="Times New Roman"/>
          <w:color w:val="1B1D1F"/>
          <w:sz w:val="24"/>
          <w:szCs w:val="24"/>
        </w:rPr>
        <w:t>F</w:t>
      </w:r>
      <w:r w:rsidR="00C3278E">
        <w:rPr>
          <w:rFonts w:ascii="Times New Roman" w:hAnsi="Times New Roman" w:cs="Times New Roman"/>
          <w:color w:val="1B1D1F"/>
          <w:sz w:val="24"/>
          <w:szCs w:val="24"/>
        </w:rPr>
        <w:t>inanšu ministrijas (turpmāk - F</w:t>
      </w:r>
      <w:r w:rsidR="00D0558B" w:rsidRPr="009905B5">
        <w:rPr>
          <w:rFonts w:ascii="Times New Roman" w:hAnsi="Times New Roman" w:cs="Times New Roman"/>
          <w:color w:val="1B1D1F"/>
          <w:sz w:val="24"/>
          <w:szCs w:val="24"/>
        </w:rPr>
        <w:t>M)</w:t>
      </w:r>
      <w:r w:rsidR="00C3278E">
        <w:rPr>
          <w:rFonts w:ascii="Times New Roman" w:hAnsi="Times New Roman" w:cs="Times New Roman"/>
          <w:color w:val="1B1D1F"/>
          <w:sz w:val="24"/>
          <w:szCs w:val="24"/>
        </w:rPr>
        <w:t>)</w:t>
      </w:r>
      <w:r w:rsidR="00D152BE" w:rsidRPr="009905B5">
        <w:rPr>
          <w:rFonts w:ascii="Times New Roman" w:hAnsi="Times New Roman" w:cs="Times New Roman"/>
          <w:color w:val="1B1D1F"/>
          <w:sz w:val="24"/>
          <w:szCs w:val="24"/>
        </w:rPr>
        <w:t xml:space="preserve">. </w:t>
      </w:r>
    </w:p>
    <w:p w14:paraId="2B2B230B" w14:textId="77777777" w:rsidR="00912470" w:rsidRPr="009905B5" w:rsidRDefault="007237B8" w:rsidP="00C05614">
      <w:pPr>
        <w:tabs>
          <w:tab w:val="left" w:pos="1230"/>
        </w:tabs>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Latvijas OAP j</w:t>
      </w:r>
      <w:r w:rsidR="00412C15" w:rsidRPr="009905B5">
        <w:rPr>
          <w:rFonts w:ascii="Times New Roman" w:hAnsi="Times New Roman" w:cs="Times New Roman"/>
          <w:color w:val="1B1D1F"/>
          <w:sz w:val="24"/>
          <w:szCs w:val="24"/>
        </w:rPr>
        <w:t xml:space="preserve">au vēsturiski </w:t>
      </w:r>
      <w:r w:rsidRPr="009905B5">
        <w:rPr>
          <w:rFonts w:ascii="Times New Roman" w:hAnsi="Times New Roman" w:cs="Times New Roman"/>
          <w:color w:val="1B1D1F"/>
          <w:sz w:val="24"/>
          <w:szCs w:val="24"/>
        </w:rPr>
        <w:t>ir veidojusies šāda struktūra</w:t>
      </w:r>
      <w:r w:rsidR="00D0558B" w:rsidRPr="009905B5">
        <w:rPr>
          <w:rFonts w:ascii="Times New Roman" w:hAnsi="Times New Roman" w:cs="Times New Roman"/>
          <w:color w:val="1B1D1F"/>
          <w:sz w:val="24"/>
          <w:szCs w:val="24"/>
        </w:rPr>
        <w:t xml:space="preserve">. </w:t>
      </w:r>
      <w:r w:rsidR="00072DF6" w:rsidRPr="009905B5">
        <w:rPr>
          <w:rFonts w:ascii="Times New Roman" w:hAnsi="Times New Roman" w:cs="Times New Roman"/>
          <w:color w:val="1B1D1F"/>
          <w:sz w:val="24"/>
          <w:szCs w:val="24"/>
        </w:rPr>
        <w:t xml:space="preserve">Daudzpusējā ieguldījuma pārsvars ir </w:t>
      </w:r>
      <w:r w:rsidR="00912470" w:rsidRPr="009905B5">
        <w:rPr>
          <w:rFonts w:ascii="Times New Roman" w:hAnsi="Times New Roman" w:cs="Times New Roman"/>
          <w:color w:val="1B1D1F"/>
          <w:sz w:val="24"/>
          <w:szCs w:val="24"/>
        </w:rPr>
        <w:t>tipisk</w:t>
      </w:r>
      <w:r w:rsidR="0008157A">
        <w:rPr>
          <w:rFonts w:ascii="Times New Roman" w:hAnsi="Times New Roman" w:cs="Times New Roman"/>
          <w:color w:val="1B1D1F"/>
          <w:sz w:val="24"/>
          <w:szCs w:val="24"/>
        </w:rPr>
        <w:t>s</w:t>
      </w:r>
      <w:r w:rsidR="00072DF6" w:rsidRPr="009905B5">
        <w:rPr>
          <w:rFonts w:ascii="Times New Roman" w:hAnsi="Times New Roman" w:cs="Times New Roman"/>
          <w:color w:val="1B1D1F"/>
          <w:sz w:val="24"/>
          <w:szCs w:val="24"/>
        </w:rPr>
        <w:t xml:space="preserve"> </w:t>
      </w:r>
      <w:r w:rsidR="0071187B" w:rsidRPr="009905B5">
        <w:rPr>
          <w:rFonts w:ascii="Times New Roman" w:hAnsi="Times New Roman" w:cs="Times New Roman"/>
          <w:color w:val="1B1D1F"/>
          <w:sz w:val="24"/>
          <w:szCs w:val="24"/>
        </w:rPr>
        <w:t>“</w:t>
      </w:r>
      <w:r w:rsidR="00072DF6" w:rsidRPr="009905B5">
        <w:rPr>
          <w:rFonts w:ascii="Times New Roman" w:hAnsi="Times New Roman" w:cs="Times New Roman"/>
          <w:color w:val="1B1D1F"/>
          <w:sz w:val="24"/>
          <w:szCs w:val="24"/>
        </w:rPr>
        <w:t>jauniem donoriem</w:t>
      </w:r>
      <w:r w:rsidR="0071187B" w:rsidRPr="009905B5">
        <w:rPr>
          <w:rFonts w:ascii="Times New Roman" w:hAnsi="Times New Roman" w:cs="Times New Roman"/>
          <w:color w:val="1B1D1F"/>
          <w:sz w:val="24"/>
          <w:szCs w:val="24"/>
        </w:rPr>
        <w:t>”</w:t>
      </w:r>
      <w:r w:rsidR="00D152BE" w:rsidRPr="009905B5">
        <w:rPr>
          <w:rFonts w:ascii="Times New Roman" w:hAnsi="Times New Roman" w:cs="Times New Roman"/>
          <w:color w:val="1B1D1F"/>
          <w:sz w:val="24"/>
          <w:szCs w:val="24"/>
        </w:rPr>
        <w:t xml:space="preserve">. </w:t>
      </w:r>
      <w:r w:rsidR="00912470" w:rsidRPr="009905B5">
        <w:rPr>
          <w:rFonts w:ascii="Times New Roman" w:hAnsi="Times New Roman" w:cs="Times New Roman"/>
          <w:color w:val="1B1D1F"/>
          <w:sz w:val="24"/>
          <w:szCs w:val="24"/>
        </w:rPr>
        <w:t>Vienlaikus arī šajā jomā Latvija atpaliek no citām ES dalībvalstīm</w:t>
      </w:r>
      <w:r w:rsidR="002F65D0">
        <w:rPr>
          <w:rFonts w:ascii="Times New Roman" w:hAnsi="Times New Roman" w:cs="Times New Roman"/>
          <w:color w:val="1B1D1F"/>
          <w:sz w:val="24"/>
          <w:szCs w:val="24"/>
        </w:rPr>
        <w:t>, jo</w:t>
      </w:r>
      <w:r w:rsidR="00912470" w:rsidRPr="009905B5">
        <w:rPr>
          <w:rFonts w:ascii="Times New Roman" w:hAnsi="Times New Roman" w:cs="Times New Roman"/>
          <w:color w:val="1B1D1F"/>
          <w:sz w:val="24"/>
          <w:szCs w:val="24"/>
        </w:rPr>
        <w:t xml:space="preserve"> Latvijai ir zemākais divpusējās palīdzības īpatsvars (14%) starp ES dalībvalstīm, kas pievienoj</w:t>
      </w:r>
      <w:r w:rsidR="00915EAA" w:rsidRPr="009905B5">
        <w:rPr>
          <w:rFonts w:ascii="Times New Roman" w:hAnsi="Times New Roman" w:cs="Times New Roman"/>
          <w:color w:val="1B1D1F"/>
          <w:sz w:val="24"/>
          <w:szCs w:val="24"/>
        </w:rPr>
        <w:t>ušās ES kopš 2004</w:t>
      </w:r>
      <w:r w:rsidR="00A2733A">
        <w:rPr>
          <w:rFonts w:ascii="Times New Roman" w:hAnsi="Times New Roman" w:cs="Times New Roman"/>
          <w:color w:val="1B1D1F"/>
          <w:sz w:val="24"/>
          <w:szCs w:val="24"/>
        </w:rPr>
        <w:t>. gad</w:t>
      </w:r>
      <w:r w:rsidR="00915EAA" w:rsidRPr="009905B5">
        <w:rPr>
          <w:rFonts w:ascii="Times New Roman" w:hAnsi="Times New Roman" w:cs="Times New Roman"/>
          <w:color w:val="1B1D1F"/>
          <w:sz w:val="24"/>
          <w:szCs w:val="24"/>
        </w:rPr>
        <w:t>a</w:t>
      </w:r>
      <w:r w:rsidR="00912470" w:rsidRPr="009905B5">
        <w:rPr>
          <w:rFonts w:ascii="Times New Roman" w:hAnsi="Times New Roman" w:cs="Times New Roman"/>
          <w:color w:val="1B1D1F"/>
          <w:sz w:val="24"/>
          <w:szCs w:val="24"/>
        </w:rPr>
        <w:t xml:space="preserve">. </w:t>
      </w:r>
      <w:r w:rsidR="00C3278E">
        <w:rPr>
          <w:rFonts w:ascii="Times New Roman" w:hAnsi="Times New Roman" w:cs="Times New Roman"/>
          <w:color w:val="1B1D1F"/>
          <w:sz w:val="24"/>
          <w:szCs w:val="24"/>
        </w:rPr>
        <w:t xml:space="preserve">Dalībvalstu, kas pievienojās ES 2004.gadā (turpmāk - </w:t>
      </w:r>
      <w:r w:rsidR="00915EAA" w:rsidRPr="009905B5">
        <w:rPr>
          <w:rFonts w:ascii="Times New Roman" w:hAnsi="Times New Roman" w:cs="Times New Roman"/>
          <w:color w:val="1B1D1F"/>
          <w:sz w:val="24"/>
          <w:szCs w:val="24"/>
        </w:rPr>
        <w:t>ES</w:t>
      </w:r>
      <w:r w:rsidR="00845F35" w:rsidRPr="009905B5">
        <w:rPr>
          <w:rFonts w:ascii="Times New Roman" w:hAnsi="Times New Roman" w:cs="Times New Roman"/>
          <w:color w:val="1B1D1F"/>
          <w:sz w:val="24"/>
          <w:szCs w:val="24"/>
        </w:rPr>
        <w:t>-</w:t>
      </w:r>
      <w:r w:rsidR="00C3278E">
        <w:rPr>
          <w:rFonts w:ascii="Times New Roman" w:hAnsi="Times New Roman" w:cs="Times New Roman"/>
          <w:color w:val="1B1D1F"/>
          <w:sz w:val="24"/>
          <w:szCs w:val="24"/>
        </w:rPr>
        <w:t xml:space="preserve">10) </w:t>
      </w:r>
      <w:r w:rsidR="00574345">
        <w:rPr>
          <w:rFonts w:ascii="Times New Roman" w:hAnsi="Times New Roman" w:cs="Times New Roman"/>
          <w:color w:val="1B1D1F"/>
          <w:sz w:val="24"/>
          <w:szCs w:val="24"/>
        </w:rPr>
        <w:t>vidējais ir 32%</w:t>
      </w:r>
      <w:r w:rsidR="0008157A">
        <w:rPr>
          <w:rFonts w:ascii="Times New Roman" w:hAnsi="Times New Roman" w:cs="Times New Roman"/>
          <w:color w:val="1B1D1F"/>
          <w:sz w:val="24"/>
          <w:szCs w:val="24"/>
        </w:rPr>
        <w:t>,</w:t>
      </w:r>
      <w:r w:rsidR="00912470" w:rsidRPr="009905B5">
        <w:rPr>
          <w:rFonts w:ascii="Times New Roman" w:hAnsi="Times New Roman" w:cs="Times New Roman"/>
          <w:color w:val="1B1D1F"/>
          <w:sz w:val="24"/>
          <w:szCs w:val="24"/>
        </w:rPr>
        <w:t xml:space="preserve"> Lietuvai tas ir 26%, </w:t>
      </w:r>
      <w:r w:rsidR="002F65D0">
        <w:rPr>
          <w:rFonts w:ascii="Times New Roman" w:hAnsi="Times New Roman" w:cs="Times New Roman"/>
          <w:color w:val="1B1D1F"/>
          <w:sz w:val="24"/>
          <w:szCs w:val="24"/>
        </w:rPr>
        <w:t>bet</w:t>
      </w:r>
      <w:r w:rsidR="002F65D0" w:rsidRPr="009905B5">
        <w:rPr>
          <w:rFonts w:ascii="Times New Roman" w:hAnsi="Times New Roman" w:cs="Times New Roman"/>
          <w:color w:val="1B1D1F"/>
          <w:sz w:val="24"/>
          <w:szCs w:val="24"/>
        </w:rPr>
        <w:t xml:space="preserve"> </w:t>
      </w:r>
      <w:r w:rsidR="00912470" w:rsidRPr="009905B5">
        <w:rPr>
          <w:rFonts w:ascii="Times New Roman" w:hAnsi="Times New Roman" w:cs="Times New Roman"/>
          <w:color w:val="1B1D1F"/>
          <w:sz w:val="24"/>
          <w:szCs w:val="24"/>
        </w:rPr>
        <w:t xml:space="preserve">Igaunijai 47%. </w:t>
      </w:r>
    </w:p>
    <w:p w14:paraId="30EC375C" w14:textId="77777777" w:rsidR="002619EE" w:rsidRPr="009905B5" w:rsidRDefault="0008157A" w:rsidP="00671086">
      <w:pPr>
        <w:spacing w:before="200" w:line="240" w:lineRule="auto"/>
        <w:jc w:val="both"/>
        <w:rPr>
          <w:rFonts w:ascii="Times New Roman" w:hAnsi="Times New Roman" w:cs="Times New Roman"/>
          <w:color w:val="1B1D1F"/>
          <w:sz w:val="24"/>
          <w:szCs w:val="24"/>
        </w:rPr>
      </w:pPr>
      <w:r>
        <w:rPr>
          <w:rFonts w:ascii="Times New Roman" w:hAnsi="Times New Roman" w:cs="Times New Roman"/>
          <w:color w:val="1B1D1F"/>
          <w:sz w:val="24"/>
          <w:szCs w:val="24"/>
        </w:rPr>
        <w:t xml:space="preserve">Lai </w:t>
      </w:r>
      <w:r w:rsidR="007A18F0" w:rsidRPr="009905B5">
        <w:rPr>
          <w:rFonts w:ascii="Times New Roman" w:hAnsi="Times New Roman" w:cs="Times New Roman"/>
          <w:color w:val="1B1D1F"/>
          <w:sz w:val="24"/>
          <w:szCs w:val="24"/>
        </w:rPr>
        <w:t>veicināt</w:t>
      </w:r>
      <w:r>
        <w:rPr>
          <w:rFonts w:ascii="Times New Roman" w:hAnsi="Times New Roman" w:cs="Times New Roman"/>
          <w:color w:val="1B1D1F"/>
          <w:sz w:val="24"/>
          <w:szCs w:val="24"/>
        </w:rPr>
        <w:t>u</w:t>
      </w:r>
      <w:r w:rsidR="007A18F0" w:rsidRPr="009905B5">
        <w:rPr>
          <w:rFonts w:ascii="Times New Roman" w:hAnsi="Times New Roman" w:cs="Times New Roman"/>
          <w:color w:val="1B1D1F"/>
          <w:sz w:val="24"/>
          <w:szCs w:val="24"/>
        </w:rPr>
        <w:t xml:space="preserve"> Latvijas kā donora redzamību un stiprināt</w:t>
      </w:r>
      <w:r>
        <w:rPr>
          <w:rFonts w:ascii="Times New Roman" w:hAnsi="Times New Roman" w:cs="Times New Roman"/>
          <w:color w:val="1B1D1F"/>
          <w:sz w:val="24"/>
          <w:szCs w:val="24"/>
        </w:rPr>
        <w:t>u</w:t>
      </w:r>
      <w:r w:rsidR="007A18F0" w:rsidRPr="009905B5">
        <w:rPr>
          <w:rFonts w:ascii="Times New Roman" w:hAnsi="Times New Roman" w:cs="Times New Roman"/>
          <w:color w:val="1B1D1F"/>
          <w:sz w:val="24"/>
          <w:szCs w:val="24"/>
        </w:rPr>
        <w:t xml:space="preserve"> attīstības sadarbību</w:t>
      </w:r>
      <w:r w:rsidR="002E49B8" w:rsidRPr="009905B5">
        <w:rPr>
          <w:rFonts w:ascii="Times New Roman" w:hAnsi="Times New Roman" w:cs="Times New Roman"/>
          <w:color w:val="1B1D1F"/>
          <w:sz w:val="24"/>
          <w:szCs w:val="24"/>
        </w:rPr>
        <w:t xml:space="preserve"> kā</w:t>
      </w:r>
      <w:r w:rsidR="007A18F0" w:rsidRPr="009905B5">
        <w:rPr>
          <w:rFonts w:ascii="Times New Roman" w:hAnsi="Times New Roman" w:cs="Times New Roman"/>
          <w:color w:val="1B1D1F"/>
          <w:sz w:val="24"/>
          <w:szCs w:val="24"/>
        </w:rPr>
        <w:t xml:space="preserve"> </w:t>
      </w:r>
      <w:r w:rsidR="00582AFD">
        <w:rPr>
          <w:rFonts w:ascii="Times New Roman" w:hAnsi="Times New Roman" w:cs="Times New Roman"/>
          <w:color w:val="1B1D1F"/>
          <w:sz w:val="24"/>
          <w:szCs w:val="24"/>
        </w:rPr>
        <w:t xml:space="preserve">Latvijas </w:t>
      </w:r>
      <w:r w:rsidR="002E49B8" w:rsidRPr="009905B5">
        <w:rPr>
          <w:rFonts w:ascii="Times New Roman" w:hAnsi="Times New Roman" w:cs="Times New Roman"/>
          <w:color w:val="1B1D1F"/>
          <w:sz w:val="24"/>
          <w:szCs w:val="24"/>
        </w:rPr>
        <w:t>ārpolitikas</w:t>
      </w:r>
      <w:r w:rsidR="007A18F0" w:rsidRPr="009905B5">
        <w:rPr>
          <w:rFonts w:ascii="Times New Roman" w:hAnsi="Times New Roman" w:cs="Times New Roman"/>
          <w:color w:val="1B1D1F"/>
          <w:sz w:val="24"/>
          <w:szCs w:val="24"/>
        </w:rPr>
        <w:t xml:space="preserve"> instrumentu, jau vairākkārtēji ir aktualizē</w:t>
      </w:r>
      <w:r w:rsidR="00582AFD">
        <w:rPr>
          <w:rFonts w:ascii="Times New Roman" w:hAnsi="Times New Roman" w:cs="Times New Roman"/>
          <w:color w:val="1B1D1F"/>
          <w:sz w:val="24"/>
          <w:szCs w:val="24"/>
        </w:rPr>
        <w:t>ts</w:t>
      </w:r>
      <w:r w:rsidR="007A18F0" w:rsidRPr="009905B5">
        <w:rPr>
          <w:rFonts w:ascii="Times New Roman" w:hAnsi="Times New Roman" w:cs="Times New Roman"/>
          <w:color w:val="1B1D1F"/>
          <w:sz w:val="24"/>
          <w:szCs w:val="24"/>
        </w:rPr>
        <w:t xml:space="preserve"> jautājums par ĀM pārvaldītā divpusējā attīstības sadarbības budžeta palielināšanu. Šī nepieciešamība saglabājas un, tuvojoties 2030</w:t>
      </w:r>
      <w:r w:rsidR="00A2733A">
        <w:rPr>
          <w:rFonts w:ascii="Times New Roman" w:hAnsi="Times New Roman" w:cs="Times New Roman"/>
          <w:color w:val="1B1D1F"/>
          <w:sz w:val="24"/>
          <w:szCs w:val="24"/>
        </w:rPr>
        <w:t>. gad</w:t>
      </w:r>
      <w:r w:rsidR="007A18F0" w:rsidRPr="009905B5">
        <w:rPr>
          <w:rFonts w:ascii="Times New Roman" w:hAnsi="Times New Roman" w:cs="Times New Roman"/>
          <w:color w:val="1B1D1F"/>
          <w:sz w:val="24"/>
          <w:szCs w:val="24"/>
        </w:rPr>
        <w:t xml:space="preserve">am, kļūs arvien </w:t>
      </w:r>
      <w:r w:rsidR="002E49B8" w:rsidRPr="009905B5">
        <w:rPr>
          <w:rFonts w:ascii="Times New Roman" w:hAnsi="Times New Roman" w:cs="Times New Roman"/>
          <w:color w:val="1B1D1F"/>
          <w:sz w:val="24"/>
          <w:szCs w:val="24"/>
        </w:rPr>
        <w:t>akūtāka.</w:t>
      </w:r>
      <w:r w:rsidR="007A18F0" w:rsidRPr="009905B5">
        <w:rPr>
          <w:rFonts w:ascii="Times New Roman" w:hAnsi="Times New Roman" w:cs="Times New Roman"/>
          <w:color w:val="1B1D1F"/>
          <w:sz w:val="24"/>
          <w:szCs w:val="24"/>
        </w:rPr>
        <w:t xml:space="preserve"> </w:t>
      </w:r>
    </w:p>
    <w:p w14:paraId="7114A082" w14:textId="77777777" w:rsidR="005F03B9" w:rsidRPr="002D7FC5" w:rsidRDefault="00820E56" w:rsidP="00C6786A">
      <w:pPr>
        <w:pStyle w:val="ListParagraph"/>
        <w:numPr>
          <w:ilvl w:val="1"/>
          <w:numId w:val="1"/>
        </w:numPr>
        <w:spacing w:after="240" w:line="240" w:lineRule="auto"/>
        <w:ind w:left="806" w:hanging="446"/>
        <w:jc w:val="center"/>
        <w:outlineLvl w:val="0"/>
        <w:rPr>
          <w:rFonts w:ascii="Times New Roman" w:hAnsi="Times New Roman" w:cs="Times New Roman"/>
          <w:b/>
          <w:color w:val="1B1D1F"/>
          <w:sz w:val="24"/>
          <w:szCs w:val="24"/>
        </w:rPr>
      </w:pPr>
      <w:r>
        <w:rPr>
          <w:rFonts w:ascii="Times New Roman" w:hAnsi="Times New Roman" w:cs="Times New Roman"/>
          <w:b/>
          <w:color w:val="1B1D1F"/>
          <w:sz w:val="24"/>
          <w:szCs w:val="24"/>
        </w:rPr>
        <w:lastRenderedPageBreak/>
        <w:t>ĀM</w:t>
      </w:r>
      <w:r w:rsidR="005F03B9" w:rsidRPr="002D7FC5">
        <w:rPr>
          <w:rFonts w:ascii="Times New Roman" w:hAnsi="Times New Roman" w:cs="Times New Roman"/>
          <w:b/>
          <w:color w:val="1B1D1F"/>
          <w:sz w:val="24"/>
          <w:szCs w:val="24"/>
        </w:rPr>
        <w:t xml:space="preserve"> divpusējais attīstības sadarbības budžets</w:t>
      </w:r>
    </w:p>
    <w:p w14:paraId="3F5E7E22" w14:textId="0613A461" w:rsidR="00E04D12" w:rsidRPr="009905B5" w:rsidRDefault="00B82F76" w:rsidP="00D76050">
      <w:pPr>
        <w:spacing w:before="160" w:after="240"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ĀM divpusējais attīstības sadarbības budžets jau vairākus gadus stagnē</w:t>
      </w:r>
      <w:r w:rsidR="00C15387" w:rsidRPr="009905B5">
        <w:rPr>
          <w:rFonts w:ascii="Times New Roman" w:hAnsi="Times New Roman" w:cs="Times New Roman"/>
          <w:color w:val="1B1D1F"/>
          <w:sz w:val="24"/>
          <w:szCs w:val="24"/>
        </w:rPr>
        <w:t>. Kopš 2017</w:t>
      </w:r>
      <w:r w:rsidR="007C03F4">
        <w:rPr>
          <w:rFonts w:ascii="Times New Roman" w:hAnsi="Times New Roman" w:cs="Times New Roman"/>
          <w:color w:val="1B1D1F"/>
          <w:sz w:val="24"/>
          <w:szCs w:val="24"/>
        </w:rPr>
        <w:t>. </w:t>
      </w:r>
      <w:r w:rsidR="00A2733A">
        <w:rPr>
          <w:rFonts w:ascii="Times New Roman" w:hAnsi="Times New Roman" w:cs="Times New Roman"/>
          <w:color w:val="1B1D1F"/>
          <w:sz w:val="24"/>
          <w:szCs w:val="24"/>
        </w:rPr>
        <w:t>gad</w:t>
      </w:r>
      <w:r w:rsidR="00C15387" w:rsidRPr="009905B5">
        <w:rPr>
          <w:rFonts w:ascii="Times New Roman" w:hAnsi="Times New Roman" w:cs="Times New Roman"/>
          <w:color w:val="1B1D1F"/>
          <w:sz w:val="24"/>
          <w:szCs w:val="24"/>
        </w:rPr>
        <w:t>a tas ir 463 813 EUR, tādējādi</w:t>
      </w:r>
      <w:r w:rsidR="00B70F76" w:rsidRPr="009905B5">
        <w:rPr>
          <w:rFonts w:ascii="Times New Roman" w:hAnsi="Times New Roman" w:cs="Times New Roman"/>
          <w:color w:val="1B1D1F"/>
          <w:sz w:val="24"/>
          <w:szCs w:val="24"/>
        </w:rPr>
        <w:t xml:space="preserve"> ievērojami</w:t>
      </w:r>
      <w:r w:rsidR="00C15387" w:rsidRPr="009905B5">
        <w:rPr>
          <w:rFonts w:ascii="Times New Roman" w:hAnsi="Times New Roman" w:cs="Times New Roman"/>
          <w:color w:val="1B1D1F"/>
          <w:sz w:val="24"/>
          <w:szCs w:val="24"/>
        </w:rPr>
        <w:t xml:space="preserve"> atpaliekot no Pamatnostādnēs </w:t>
      </w:r>
      <w:r w:rsidR="005A0442">
        <w:rPr>
          <w:rFonts w:ascii="Times New Roman" w:hAnsi="Times New Roman" w:cs="Times New Roman"/>
          <w:color w:val="1B1D1F"/>
          <w:sz w:val="24"/>
          <w:szCs w:val="24"/>
        </w:rPr>
        <w:t xml:space="preserve">2016 -2020 </w:t>
      </w:r>
      <w:r w:rsidR="00C15387" w:rsidRPr="009905B5">
        <w:rPr>
          <w:rFonts w:ascii="Times New Roman" w:hAnsi="Times New Roman" w:cs="Times New Roman"/>
          <w:color w:val="1B1D1F"/>
          <w:sz w:val="24"/>
          <w:szCs w:val="24"/>
        </w:rPr>
        <w:t xml:space="preserve">nospraustajiem mērķiem. Tas ir arī būtiski mazāks nekā Igaunijas un Lietuvas </w:t>
      </w:r>
      <w:r w:rsidR="00D76050">
        <w:rPr>
          <w:rFonts w:ascii="Times New Roman" w:hAnsi="Times New Roman" w:cs="Times New Roman"/>
          <w:color w:val="1B1D1F"/>
          <w:sz w:val="24"/>
          <w:szCs w:val="24"/>
        </w:rPr>
        <w:t xml:space="preserve">ārlietu ministriju </w:t>
      </w:r>
      <w:r w:rsidR="00C15387" w:rsidRPr="009905B5">
        <w:rPr>
          <w:rFonts w:ascii="Times New Roman" w:hAnsi="Times New Roman" w:cs="Times New Roman"/>
          <w:color w:val="1B1D1F"/>
          <w:sz w:val="24"/>
          <w:szCs w:val="24"/>
        </w:rPr>
        <w:t>pārvaldītie attīstības sadarbības finansējuma apjom</w:t>
      </w:r>
      <w:r w:rsidR="00460215" w:rsidRPr="009905B5">
        <w:rPr>
          <w:rFonts w:ascii="Times New Roman" w:hAnsi="Times New Roman" w:cs="Times New Roman"/>
          <w:color w:val="1B1D1F"/>
          <w:sz w:val="24"/>
          <w:szCs w:val="24"/>
        </w:rPr>
        <w:t>i</w:t>
      </w:r>
      <w:r w:rsidR="00C15387" w:rsidRPr="009905B5">
        <w:rPr>
          <w:rFonts w:ascii="Times New Roman" w:hAnsi="Times New Roman" w:cs="Times New Roman"/>
          <w:color w:val="1B1D1F"/>
          <w:sz w:val="24"/>
          <w:szCs w:val="24"/>
        </w:rPr>
        <w:t>, kas 2017</w:t>
      </w:r>
      <w:r w:rsidR="00A2733A">
        <w:rPr>
          <w:rFonts w:ascii="Times New Roman" w:hAnsi="Times New Roman" w:cs="Times New Roman"/>
          <w:color w:val="1B1D1F"/>
          <w:sz w:val="24"/>
          <w:szCs w:val="24"/>
        </w:rPr>
        <w:t>. gad</w:t>
      </w:r>
      <w:r w:rsidR="00C15387" w:rsidRPr="009905B5">
        <w:rPr>
          <w:rFonts w:ascii="Times New Roman" w:hAnsi="Times New Roman" w:cs="Times New Roman"/>
          <w:color w:val="1B1D1F"/>
          <w:sz w:val="24"/>
          <w:szCs w:val="24"/>
        </w:rPr>
        <w:t xml:space="preserve">ā attiecīgi </w:t>
      </w:r>
      <w:r w:rsidR="00460215" w:rsidRPr="009905B5">
        <w:rPr>
          <w:rFonts w:ascii="Times New Roman" w:hAnsi="Times New Roman" w:cs="Times New Roman"/>
          <w:color w:val="1B1D1F"/>
          <w:sz w:val="24"/>
          <w:szCs w:val="24"/>
        </w:rPr>
        <w:t xml:space="preserve">bija </w:t>
      </w:r>
      <w:r w:rsidR="00C15387" w:rsidRPr="009905B5">
        <w:rPr>
          <w:rFonts w:ascii="Times New Roman" w:hAnsi="Times New Roman" w:cs="Times New Roman"/>
          <w:color w:val="1B1D1F"/>
          <w:sz w:val="24"/>
          <w:szCs w:val="24"/>
        </w:rPr>
        <w:t>11,9 milj. EUR un 1,9 milj. EUR.</w:t>
      </w:r>
      <w:r w:rsidR="00C15387" w:rsidRPr="009905B5">
        <w:rPr>
          <w:rStyle w:val="FootnoteReference"/>
          <w:rFonts w:ascii="Times New Roman" w:hAnsi="Times New Roman" w:cs="Times New Roman"/>
          <w:color w:val="1B1D1F"/>
          <w:sz w:val="24"/>
          <w:szCs w:val="24"/>
        </w:rPr>
        <w:footnoteReference w:id="15"/>
      </w:r>
    </w:p>
    <w:p w14:paraId="2719AF33" w14:textId="77777777" w:rsidR="00E04D12" w:rsidRDefault="002E6AA5" w:rsidP="00C6786A">
      <w:pPr>
        <w:spacing w:before="160" w:after="240" w:line="240" w:lineRule="auto"/>
        <w:jc w:val="both"/>
        <w:rPr>
          <w:rFonts w:ascii="Times New Roman" w:hAnsi="Times New Roman" w:cs="Times New Roman"/>
          <w:b/>
          <w:sz w:val="24"/>
          <w:szCs w:val="24"/>
        </w:rPr>
      </w:pPr>
      <w:r w:rsidRPr="009905B5">
        <w:rPr>
          <w:rFonts w:ascii="Times New Roman" w:hAnsi="Times New Roman" w:cs="Times New Roman"/>
          <w:sz w:val="24"/>
          <w:szCs w:val="24"/>
        </w:rPr>
        <w:t>Tabula Nr.</w:t>
      </w:r>
      <w:r w:rsidR="00CA7B52">
        <w:rPr>
          <w:rFonts w:ascii="Times New Roman" w:hAnsi="Times New Roman" w:cs="Times New Roman"/>
          <w:sz w:val="24"/>
          <w:szCs w:val="24"/>
        </w:rPr>
        <w:t>1</w:t>
      </w:r>
      <w:r w:rsidRPr="009905B5">
        <w:rPr>
          <w:rFonts w:ascii="Times New Roman" w:hAnsi="Times New Roman" w:cs="Times New Roman"/>
          <w:sz w:val="24"/>
          <w:szCs w:val="24"/>
        </w:rPr>
        <w:t xml:space="preserve">. </w:t>
      </w:r>
      <w:r w:rsidRPr="009905B5">
        <w:rPr>
          <w:rFonts w:ascii="Times New Roman" w:hAnsi="Times New Roman" w:cs="Times New Roman"/>
          <w:b/>
          <w:sz w:val="24"/>
          <w:szCs w:val="24"/>
        </w:rPr>
        <w:t xml:space="preserve">Latvijas divpusējai attīstības sadarbībai piešķirtais </w:t>
      </w:r>
      <w:r w:rsidR="006317D6">
        <w:rPr>
          <w:rFonts w:ascii="Times New Roman" w:hAnsi="Times New Roman" w:cs="Times New Roman"/>
          <w:b/>
          <w:sz w:val="24"/>
          <w:szCs w:val="24"/>
        </w:rPr>
        <w:t>finansējums</w:t>
      </w:r>
      <w:r w:rsidR="006317D6" w:rsidRPr="009905B5">
        <w:rPr>
          <w:rFonts w:ascii="Times New Roman" w:hAnsi="Times New Roman" w:cs="Times New Roman"/>
          <w:b/>
          <w:sz w:val="24"/>
          <w:szCs w:val="24"/>
        </w:rPr>
        <w:t xml:space="preserve"> </w:t>
      </w:r>
      <w:r w:rsidRPr="009905B5">
        <w:rPr>
          <w:rFonts w:ascii="Times New Roman" w:hAnsi="Times New Roman" w:cs="Times New Roman"/>
          <w:b/>
          <w:sz w:val="24"/>
          <w:szCs w:val="24"/>
        </w:rPr>
        <w:t>201</w:t>
      </w:r>
      <w:r w:rsidR="00A9356B">
        <w:rPr>
          <w:rFonts w:ascii="Times New Roman" w:hAnsi="Times New Roman" w:cs="Times New Roman"/>
          <w:b/>
          <w:sz w:val="24"/>
          <w:szCs w:val="24"/>
        </w:rPr>
        <w:t>6</w:t>
      </w:r>
      <w:r w:rsidRPr="009905B5">
        <w:rPr>
          <w:rFonts w:ascii="Times New Roman" w:hAnsi="Times New Roman" w:cs="Times New Roman"/>
          <w:b/>
          <w:sz w:val="24"/>
          <w:szCs w:val="24"/>
        </w:rPr>
        <w:t>.</w:t>
      </w:r>
      <w:r w:rsidR="002F2B07">
        <w:rPr>
          <w:rFonts w:ascii="Times New Roman" w:hAnsi="Times New Roman" w:cs="Times New Roman"/>
          <w:b/>
          <w:sz w:val="24"/>
          <w:szCs w:val="24"/>
        </w:rPr>
        <w:t xml:space="preserve"> </w:t>
      </w:r>
      <w:r w:rsidRPr="009905B5">
        <w:rPr>
          <w:rFonts w:ascii="Times New Roman" w:hAnsi="Times New Roman" w:cs="Times New Roman"/>
          <w:b/>
          <w:sz w:val="24"/>
          <w:szCs w:val="24"/>
        </w:rPr>
        <w:t>-</w:t>
      </w:r>
      <w:r w:rsidR="002F2B07">
        <w:rPr>
          <w:rFonts w:ascii="Times New Roman" w:hAnsi="Times New Roman" w:cs="Times New Roman"/>
          <w:b/>
          <w:sz w:val="24"/>
          <w:szCs w:val="24"/>
        </w:rPr>
        <w:t xml:space="preserve"> </w:t>
      </w:r>
      <w:r w:rsidRPr="009905B5">
        <w:rPr>
          <w:rFonts w:ascii="Times New Roman" w:hAnsi="Times New Roman" w:cs="Times New Roman"/>
          <w:b/>
          <w:sz w:val="24"/>
          <w:szCs w:val="24"/>
        </w:rPr>
        <w:t>20</w:t>
      </w:r>
      <w:r w:rsidR="003A7BA4">
        <w:rPr>
          <w:rFonts w:ascii="Times New Roman" w:hAnsi="Times New Roman" w:cs="Times New Roman"/>
          <w:b/>
          <w:sz w:val="24"/>
          <w:szCs w:val="24"/>
        </w:rPr>
        <w:t>20</w:t>
      </w:r>
      <w:r w:rsidR="002F2B07" w:rsidRPr="009905B5">
        <w:rPr>
          <w:rFonts w:ascii="Times New Roman" w:hAnsi="Times New Roman" w:cs="Times New Roman"/>
          <w:b/>
          <w:sz w:val="24"/>
          <w:szCs w:val="24"/>
        </w:rPr>
        <w:t>.</w:t>
      </w:r>
      <w:r w:rsidR="002F2B07">
        <w:rPr>
          <w:rFonts w:ascii="Times New Roman" w:hAnsi="Times New Roman" w:cs="Times New Roman"/>
          <w:b/>
          <w:sz w:val="24"/>
          <w:szCs w:val="24"/>
        </w:rPr>
        <w:t> </w:t>
      </w:r>
      <w:r w:rsidRPr="009905B5">
        <w:rPr>
          <w:rFonts w:ascii="Times New Roman" w:hAnsi="Times New Roman" w:cs="Times New Roman"/>
          <w:b/>
          <w:sz w:val="24"/>
          <w:szCs w:val="24"/>
        </w:rPr>
        <w:t>gad</w:t>
      </w:r>
      <w:r w:rsidR="00582AFD">
        <w:rPr>
          <w:rFonts w:ascii="Times New Roman" w:hAnsi="Times New Roman" w:cs="Times New Roman"/>
          <w:b/>
          <w:sz w:val="24"/>
          <w:szCs w:val="24"/>
        </w:rPr>
        <w:t>ā</w:t>
      </w:r>
      <w:r w:rsidRPr="009905B5">
        <w:rPr>
          <w:rFonts w:ascii="Times New Roman" w:hAnsi="Times New Roman" w:cs="Times New Roman"/>
          <w:b/>
          <w:sz w:val="24"/>
          <w:szCs w:val="24"/>
        </w:rPr>
        <w:t xml:space="preserve"> salīdzinājumā ar izvirzītajiem mērķiem</w:t>
      </w:r>
    </w:p>
    <w:tbl>
      <w:tblPr>
        <w:tblStyle w:val="TableGrid"/>
        <w:tblW w:w="0" w:type="auto"/>
        <w:tblLook w:val="04A0" w:firstRow="1" w:lastRow="0" w:firstColumn="1" w:lastColumn="0" w:noHBand="0" w:noVBand="1"/>
      </w:tblPr>
      <w:tblGrid>
        <w:gridCol w:w="1477"/>
        <w:gridCol w:w="2016"/>
        <w:gridCol w:w="1895"/>
        <w:gridCol w:w="1764"/>
        <w:gridCol w:w="1478"/>
      </w:tblGrid>
      <w:tr w:rsidR="00E86D08" w14:paraId="25CE1999" w14:textId="77777777" w:rsidTr="002D7FC5">
        <w:tc>
          <w:tcPr>
            <w:tcW w:w="1477" w:type="dxa"/>
            <w:vAlign w:val="center"/>
          </w:tcPr>
          <w:p w14:paraId="1F6310FE" w14:textId="77777777" w:rsidR="00E86D08" w:rsidRPr="00754DF1" w:rsidRDefault="00E86D08" w:rsidP="002D7FC5">
            <w:pPr>
              <w:jc w:val="center"/>
              <w:rPr>
                <w:rFonts w:ascii="Times New Roman" w:hAnsi="Times New Roman" w:cs="Times New Roman"/>
                <w:b/>
              </w:rPr>
            </w:pPr>
            <w:r w:rsidRPr="00754DF1">
              <w:rPr>
                <w:rFonts w:ascii="Times New Roman" w:hAnsi="Times New Roman" w:cs="Times New Roman"/>
                <w:b/>
              </w:rPr>
              <w:t>Gads</w:t>
            </w:r>
          </w:p>
        </w:tc>
        <w:tc>
          <w:tcPr>
            <w:tcW w:w="2016" w:type="dxa"/>
            <w:vAlign w:val="center"/>
          </w:tcPr>
          <w:p w14:paraId="368FB578" w14:textId="77777777" w:rsidR="00E86D08" w:rsidRPr="00754DF1" w:rsidRDefault="00E86D08" w:rsidP="002D7FC5">
            <w:pPr>
              <w:jc w:val="center"/>
              <w:rPr>
                <w:rFonts w:ascii="Times New Roman" w:hAnsi="Times New Roman" w:cs="Times New Roman"/>
              </w:rPr>
            </w:pPr>
            <w:r w:rsidRPr="00754DF1">
              <w:rPr>
                <w:rFonts w:ascii="Times New Roman" w:hAnsi="Times New Roman" w:cs="Times New Roman"/>
                <w:b/>
              </w:rPr>
              <w:t>Pamatnostādnēs 2016-2020 noteiktie mērķi, EUR</w:t>
            </w:r>
          </w:p>
        </w:tc>
        <w:tc>
          <w:tcPr>
            <w:tcW w:w="1895" w:type="dxa"/>
            <w:vAlign w:val="center"/>
          </w:tcPr>
          <w:p w14:paraId="4231843A" w14:textId="77777777" w:rsidR="00E86D08" w:rsidRPr="00754DF1" w:rsidRDefault="00E86D08" w:rsidP="002D7FC5">
            <w:pPr>
              <w:jc w:val="center"/>
              <w:rPr>
                <w:rFonts w:ascii="Times New Roman" w:hAnsi="Times New Roman" w:cs="Times New Roman"/>
              </w:rPr>
            </w:pPr>
            <w:r w:rsidRPr="00754DF1">
              <w:rPr>
                <w:rFonts w:ascii="Times New Roman" w:hAnsi="Times New Roman" w:cs="Times New Roman"/>
                <w:b/>
              </w:rPr>
              <w:t>Faktiskais finansējums, EUR</w:t>
            </w:r>
          </w:p>
        </w:tc>
        <w:tc>
          <w:tcPr>
            <w:tcW w:w="3242" w:type="dxa"/>
            <w:gridSpan w:val="2"/>
            <w:vAlign w:val="center"/>
          </w:tcPr>
          <w:p w14:paraId="00AA716D" w14:textId="77777777" w:rsidR="00E86D08" w:rsidRPr="00754DF1" w:rsidRDefault="00E86D08" w:rsidP="002D7FC5">
            <w:pPr>
              <w:jc w:val="center"/>
              <w:rPr>
                <w:rFonts w:ascii="Times New Roman" w:hAnsi="Times New Roman" w:cs="Times New Roman"/>
                <w:b/>
              </w:rPr>
            </w:pPr>
            <w:r w:rsidRPr="00754DF1">
              <w:rPr>
                <w:rFonts w:ascii="Times New Roman" w:hAnsi="Times New Roman" w:cs="Times New Roman"/>
                <w:b/>
              </w:rPr>
              <w:t>Starpība</w:t>
            </w:r>
          </w:p>
        </w:tc>
      </w:tr>
      <w:tr w:rsidR="00E86D08" w14:paraId="3EA8329A" w14:textId="77777777" w:rsidTr="002D7FC5">
        <w:tc>
          <w:tcPr>
            <w:tcW w:w="1477" w:type="dxa"/>
          </w:tcPr>
          <w:p w14:paraId="6EB8C27F" w14:textId="77777777" w:rsidR="00E86D08" w:rsidRPr="00754DF1" w:rsidRDefault="00E86D08" w:rsidP="002D7FC5">
            <w:pPr>
              <w:rPr>
                <w:rFonts w:ascii="Times New Roman" w:hAnsi="Times New Roman" w:cs="Times New Roman"/>
                <w:b/>
              </w:rPr>
            </w:pPr>
            <w:r w:rsidRPr="00754DF1">
              <w:rPr>
                <w:rFonts w:ascii="Times New Roman" w:hAnsi="Times New Roman" w:cs="Times New Roman"/>
                <w:b/>
              </w:rPr>
              <w:t>2016</w:t>
            </w:r>
          </w:p>
        </w:tc>
        <w:tc>
          <w:tcPr>
            <w:tcW w:w="2016" w:type="dxa"/>
          </w:tcPr>
          <w:p w14:paraId="410A6528"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592 000</w:t>
            </w:r>
          </w:p>
        </w:tc>
        <w:tc>
          <w:tcPr>
            <w:tcW w:w="1895" w:type="dxa"/>
          </w:tcPr>
          <w:p w14:paraId="46D777B0"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592 400</w:t>
            </w:r>
            <w:r>
              <w:rPr>
                <w:rStyle w:val="FootnoteReference"/>
                <w:rFonts w:ascii="Times New Roman" w:hAnsi="Times New Roman" w:cs="Times New Roman"/>
              </w:rPr>
              <w:footnoteReference w:id="16"/>
            </w:r>
          </w:p>
        </w:tc>
        <w:tc>
          <w:tcPr>
            <w:tcW w:w="1764" w:type="dxa"/>
          </w:tcPr>
          <w:p w14:paraId="531771B4" w14:textId="77777777" w:rsidR="00E86D08" w:rsidRPr="00754DF1" w:rsidRDefault="00E86D08" w:rsidP="002D7FC5">
            <w:pPr>
              <w:rPr>
                <w:rFonts w:ascii="Times New Roman" w:hAnsi="Times New Roman" w:cs="Times New Roman"/>
              </w:rPr>
            </w:pPr>
            <w:r>
              <w:rPr>
                <w:rFonts w:ascii="Times New Roman" w:hAnsi="Times New Roman" w:cs="Times New Roman"/>
              </w:rPr>
              <w:t>+400</w:t>
            </w:r>
          </w:p>
        </w:tc>
        <w:tc>
          <w:tcPr>
            <w:tcW w:w="1478" w:type="dxa"/>
          </w:tcPr>
          <w:p w14:paraId="4571ED44" w14:textId="77777777" w:rsidR="00E86D08" w:rsidRPr="00754DF1" w:rsidRDefault="00E86D08" w:rsidP="002D7FC5">
            <w:pPr>
              <w:rPr>
                <w:rFonts w:ascii="Times New Roman" w:hAnsi="Times New Roman" w:cs="Times New Roman"/>
              </w:rPr>
            </w:pPr>
            <w:r>
              <w:rPr>
                <w:rFonts w:ascii="Times New Roman" w:hAnsi="Times New Roman" w:cs="Times New Roman"/>
              </w:rPr>
              <w:t>0%</w:t>
            </w:r>
          </w:p>
        </w:tc>
      </w:tr>
      <w:tr w:rsidR="00E86D08" w14:paraId="33E7B9C2" w14:textId="77777777" w:rsidTr="002D7FC5">
        <w:tc>
          <w:tcPr>
            <w:tcW w:w="1477" w:type="dxa"/>
          </w:tcPr>
          <w:p w14:paraId="55AA232C" w14:textId="77777777" w:rsidR="00E86D08" w:rsidRPr="00754DF1" w:rsidRDefault="00E86D08" w:rsidP="002D7FC5">
            <w:pPr>
              <w:rPr>
                <w:rFonts w:ascii="Times New Roman" w:hAnsi="Times New Roman" w:cs="Times New Roman"/>
                <w:b/>
              </w:rPr>
            </w:pPr>
            <w:r w:rsidRPr="00754DF1">
              <w:rPr>
                <w:rFonts w:ascii="Times New Roman" w:hAnsi="Times New Roman" w:cs="Times New Roman"/>
                <w:b/>
              </w:rPr>
              <w:t>2017</w:t>
            </w:r>
          </w:p>
        </w:tc>
        <w:tc>
          <w:tcPr>
            <w:tcW w:w="2016" w:type="dxa"/>
          </w:tcPr>
          <w:p w14:paraId="7B143808"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1 092 000</w:t>
            </w:r>
          </w:p>
        </w:tc>
        <w:tc>
          <w:tcPr>
            <w:tcW w:w="1895" w:type="dxa"/>
          </w:tcPr>
          <w:p w14:paraId="51B67E12"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463 813</w:t>
            </w:r>
          </w:p>
        </w:tc>
        <w:tc>
          <w:tcPr>
            <w:tcW w:w="1764" w:type="dxa"/>
          </w:tcPr>
          <w:p w14:paraId="610F596B"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-628 187</w:t>
            </w:r>
          </w:p>
        </w:tc>
        <w:tc>
          <w:tcPr>
            <w:tcW w:w="1478" w:type="dxa"/>
          </w:tcPr>
          <w:p w14:paraId="24E658C1" w14:textId="77777777" w:rsidR="00E86D08" w:rsidRPr="00754DF1" w:rsidRDefault="00EF096C" w:rsidP="002D7FC5">
            <w:pPr>
              <w:rPr>
                <w:rFonts w:ascii="Times New Roman" w:hAnsi="Times New Roman" w:cs="Times New Roman"/>
              </w:rPr>
            </w:pPr>
            <w:r>
              <w:rPr>
                <w:rFonts w:ascii="Times New Roman" w:hAnsi="Times New Roman" w:cs="Times New Roman"/>
              </w:rPr>
              <w:t>-</w:t>
            </w:r>
            <w:r w:rsidR="00E86D08" w:rsidRPr="009905B5">
              <w:rPr>
                <w:rFonts w:ascii="Times New Roman" w:hAnsi="Times New Roman" w:cs="Times New Roman"/>
              </w:rPr>
              <w:t>57.5%</w:t>
            </w:r>
          </w:p>
        </w:tc>
      </w:tr>
      <w:tr w:rsidR="00E86D08" w14:paraId="3B04CC6D" w14:textId="77777777" w:rsidTr="002D7FC5">
        <w:tc>
          <w:tcPr>
            <w:tcW w:w="1477" w:type="dxa"/>
          </w:tcPr>
          <w:p w14:paraId="5BCE128E" w14:textId="77777777" w:rsidR="00E86D08" w:rsidRPr="00754DF1" w:rsidRDefault="00E86D08" w:rsidP="002D7FC5">
            <w:pPr>
              <w:rPr>
                <w:rFonts w:ascii="Times New Roman" w:hAnsi="Times New Roman" w:cs="Times New Roman"/>
                <w:b/>
              </w:rPr>
            </w:pPr>
            <w:r w:rsidRPr="00754DF1">
              <w:rPr>
                <w:rFonts w:ascii="Times New Roman" w:hAnsi="Times New Roman" w:cs="Times New Roman"/>
                <w:b/>
              </w:rPr>
              <w:t>2018</w:t>
            </w:r>
          </w:p>
        </w:tc>
        <w:tc>
          <w:tcPr>
            <w:tcW w:w="2016" w:type="dxa"/>
          </w:tcPr>
          <w:p w14:paraId="0BAAAB94"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1 592 000</w:t>
            </w:r>
          </w:p>
        </w:tc>
        <w:tc>
          <w:tcPr>
            <w:tcW w:w="1895" w:type="dxa"/>
          </w:tcPr>
          <w:p w14:paraId="2D850603"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463 813</w:t>
            </w:r>
          </w:p>
        </w:tc>
        <w:tc>
          <w:tcPr>
            <w:tcW w:w="1764" w:type="dxa"/>
          </w:tcPr>
          <w:p w14:paraId="6344723C"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-1 128 187</w:t>
            </w:r>
          </w:p>
        </w:tc>
        <w:tc>
          <w:tcPr>
            <w:tcW w:w="1478" w:type="dxa"/>
          </w:tcPr>
          <w:p w14:paraId="53DF5D22" w14:textId="77777777" w:rsidR="00E86D08" w:rsidRPr="00754DF1" w:rsidRDefault="00EF096C" w:rsidP="002D7FC5">
            <w:pPr>
              <w:rPr>
                <w:rFonts w:ascii="Times New Roman" w:hAnsi="Times New Roman" w:cs="Times New Roman"/>
              </w:rPr>
            </w:pPr>
            <w:r>
              <w:rPr>
                <w:rFonts w:ascii="Times New Roman" w:hAnsi="Times New Roman" w:cs="Times New Roman"/>
              </w:rPr>
              <w:t>-</w:t>
            </w:r>
            <w:r w:rsidR="00E86D08" w:rsidRPr="009905B5">
              <w:rPr>
                <w:rFonts w:ascii="Times New Roman" w:hAnsi="Times New Roman" w:cs="Times New Roman"/>
              </w:rPr>
              <w:t>70.9%</w:t>
            </w:r>
          </w:p>
        </w:tc>
      </w:tr>
      <w:tr w:rsidR="00E86D08" w14:paraId="287AC38F" w14:textId="77777777" w:rsidTr="002D7FC5">
        <w:tc>
          <w:tcPr>
            <w:tcW w:w="1477" w:type="dxa"/>
          </w:tcPr>
          <w:p w14:paraId="42233ABA" w14:textId="77777777" w:rsidR="00E86D08" w:rsidRPr="00754DF1" w:rsidRDefault="00E86D08" w:rsidP="002D7FC5">
            <w:pPr>
              <w:rPr>
                <w:rFonts w:ascii="Times New Roman" w:hAnsi="Times New Roman" w:cs="Times New Roman"/>
                <w:b/>
              </w:rPr>
            </w:pPr>
            <w:r w:rsidRPr="00754DF1">
              <w:rPr>
                <w:rFonts w:ascii="Times New Roman" w:hAnsi="Times New Roman" w:cs="Times New Roman"/>
                <w:b/>
              </w:rPr>
              <w:t>2019</w:t>
            </w:r>
          </w:p>
        </w:tc>
        <w:tc>
          <w:tcPr>
            <w:tcW w:w="2016" w:type="dxa"/>
          </w:tcPr>
          <w:p w14:paraId="5C90D633"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2 092 000</w:t>
            </w:r>
          </w:p>
        </w:tc>
        <w:tc>
          <w:tcPr>
            <w:tcW w:w="1895" w:type="dxa"/>
          </w:tcPr>
          <w:p w14:paraId="3B763A32"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463 813</w:t>
            </w:r>
          </w:p>
        </w:tc>
        <w:tc>
          <w:tcPr>
            <w:tcW w:w="1764" w:type="dxa"/>
          </w:tcPr>
          <w:p w14:paraId="41A35792"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-1 628 187</w:t>
            </w:r>
          </w:p>
        </w:tc>
        <w:tc>
          <w:tcPr>
            <w:tcW w:w="1478" w:type="dxa"/>
          </w:tcPr>
          <w:p w14:paraId="326359DA" w14:textId="77777777" w:rsidR="00E86D08" w:rsidRPr="00754DF1" w:rsidRDefault="00EF096C" w:rsidP="002D7FC5">
            <w:pPr>
              <w:rPr>
                <w:rFonts w:ascii="Times New Roman" w:hAnsi="Times New Roman" w:cs="Times New Roman"/>
              </w:rPr>
            </w:pPr>
            <w:r>
              <w:rPr>
                <w:rFonts w:ascii="Times New Roman" w:hAnsi="Times New Roman" w:cs="Times New Roman"/>
              </w:rPr>
              <w:t>-</w:t>
            </w:r>
            <w:r w:rsidR="00E86D08" w:rsidRPr="009905B5">
              <w:rPr>
                <w:rFonts w:ascii="Times New Roman" w:hAnsi="Times New Roman" w:cs="Times New Roman"/>
              </w:rPr>
              <w:t>77.8%</w:t>
            </w:r>
          </w:p>
        </w:tc>
      </w:tr>
      <w:tr w:rsidR="00E86D08" w14:paraId="275574F0" w14:textId="77777777" w:rsidTr="002D7FC5">
        <w:tc>
          <w:tcPr>
            <w:tcW w:w="1477" w:type="dxa"/>
          </w:tcPr>
          <w:p w14:paraId="08AD03BE" w14:textId="77777777" w:rsidR="00E86D08" w:rsidRPr="00754DF1" w:rsidRDefault="00E86D08" w:rsidP="002D7FC5">
            <w:pPr>
              <w:rPr>
                <w:rFonts w:ascii="Times New Roman" w:hAnsi="Times New Roman" w:cs="Times New Roman"/>
                <w:b/>
              </w:rPr>
            </w:pPr>
            <w:r w:rsidRPr="00754DF1">
              <w:rPr>
                <w:rFonts w:ascii="Times New Roman" w:hAnsi="Times New Roman" w:cs="Times New Roman"/>
                <w:b/>
              </w:rPr>
              <w:t>2020</w:t>
            </w:r>
          </w:p>
        </w:tc>
        <w:tc>
          <w:tcPr>
            <w:tcW w:w="2016" w:type="dxa"/>
          </w:tcPr>
          <w:p w14:paraId="70754BBD" w14:textId="77777777" w:rsidR="00E86D08" w:rsidRPr="00754DF1" w:rsidRDefault="00E86D08" w:rsidP="002D7FC5">
            <w:pPr>
              <w:rPr>
                <w:rFonts w:ascii="Times New Roman" w:hAnsi="Times New Roman" w:cs="Times New Roman"/>
              </w:rPr>
            </w:pPr>
            <w:r>
              <w:rPr>
                <w:rFonts w:ascii="Times New Roman" w:hAnsi="Times New Roman" w:cs="Times New Roman"/>
              </w:rPr>
              <w:t>2 592 000</w:t>
            </w:r>
          </w:p>
        </w:tc>
        <w:tc>
          <w:tcPr>
            <w:tcW w:w="1895" w:type="dxa"/>
          </w:tcPr>
          <w:p w14:paraId="5EE788F2" w14:textId="77777777" w:rsidR="00E86D08" w:rsidRPr="00754DF1" w:rsidRDefault="00E86D08" w:rsidP="002D7FC5">
            <w:pPr>
              <w:rPr>
                <w:rFonts w:ascii="Times New Roman" w:hAnsi="Times New Roman" w:cs="Times New Roman"/>
              </w:rPr>
            </w:pPr>
            <w:r w:rsidRPr="009905B5">
              <w:rPr>
                <w:rFonts w:ascii="Times New Roman" w:hAnsi="Times New Roman" w:cs="Times New Roman"/>
              </w:rPr>
              <w:t>463 813</w:t>
            </w:r>
          </w:p>
        </w:tc>
        <w:tc>
          <w:tcPr>
            <w:tcW w:w="1764" w:type="dxa"/>
          </w:tcPr>
          <w:p w14:paraId="737D8C58" w14:textId="77777777" w:rsidR="00E86D08" w:rsidRPr="00754DF1" w:rsidRDefault="00E86D08" w:rsidP="002D7FC5">
            <w:pPr>
              <w:rPr>
                <w:rFonts w:ascii="Times New Roman" w:hAnsi="Times New Roman" w:cs="Times New Roman"/>
              </w:rPr>
            </w:pPr>
            <w:r>
              <w:rPr>
                <w:rFonts w:ascii="Times New Roman" w:hAnsi="Times New Roman" w:cs="Times New Roman"/>
              </w:rPr>
              <w:t>-2 128 187</w:t>
            </w:r>
          </w:p>
        </w:tc>
        <w:tc>
          <w:tcPr>
            <w:tcW w:w="1478" w:type="dxa"/>
          </w:tcPr>
          <w:p w14:paraId="327E0368" w14:textId="77777777" w:rsidR="00E86D08" w:rsidRPr="00754DF1" w:rsidRDefault="00EF096C" w:rsidP="002D7FC5">
            <w:pPr>
              <w:rPr>
                <w:rFonts w:ascii="Times New Roman" w:hAnsi="Times New Roman" w:cs="Times New Roman"/>
              </w:rPr>
            </w:pPr>
            <w:r>
              <w:rPr>
                <w:rFonts w:ascii="Times New Roman" w:hAnsi="Times New Roman" w:cs="Times New Roman"/>
              </w:rPr>
              <w:t>-</w:t>
            </w:r>
            <w:r w:rsidR="00E86D08">
              <w:rPr>
                <w:rFonts w:ascii="Times New Roman" w:hAnsi="Times New Roman" w:cs="Times New Roman"/>
              </w:rPr>
              <w:t>82.1%</w:t>
            </w:r>
          </w:p>
        </w:tc>
      </w:tr>
    </w:tbl>
    <w:p w14:paraId="3F160484" w14:textId="65D5F95E" w:rsidR="000620A5" w:rsidRPr="000620A5" w:rsidRDefault="000620A5" w:rsidP="00235014">
      <w:pPr>
        <w:spacing w:before="240" w:after="120" w:line="240" w:lineRule="auto"/>
        <w:jc w:val="both"/>
        <w:rPr>
          <w:rFonts w:ascii="Times New Roman" w:hAnsi="Times New Roman" w:cs="Times New Roman"/>
          <w:color w:val="1B1D1F"/>
          <w:sz w:val="24"/>
          <w:szCs w:val="24"/>
        </w:rPr>
      </w:pPr>
      <w:r>
        <w:rPr>
          <w:rFonts w:ascii="Times New Roman" w:hAnsi="Times New Roman" w:cs="Times New Roman"/>
          <w:color w:val="1B1D1F"/>
          <w:sz w:val="24"/>
        </w:rPr>
        <w:t>V</w:t>
      </w:r>
      <w:r w:rsidRPr="00B82714">
        <w:rPr>
          <w:rFonts w:ascii="Times New Roman" w:hAnsi="Times New Roman" w:cs="Times New Roman"/>
          <w:color w:val="1B1D1F"/>
          <w:sz w:val="24"/>
        </w:rPr>
        <w:t>idēja termiņa budžeta ietvar</w:t>
      </w:r>
      <w:r>
        <w:rPr>
          <w:rFonts w:ascii="Times New Roman" w:hAnsi="Times New Roman" w:cs="Times New Roman"/>
          <w:color w:val="1B1D1F"/>
          <w:sz w:val="24"/>
        </w:rPr>
        <w:t>ā 2020., 2021. un 2022.</w:t>
      </w:r>
      <w:r w:rsidR="00DE63E0">
        <w:rPr>
          <w:rFonts w:ascii="Times New Roman" w:hAnsi="Times New Roman" w:cs="Times New Roman"/>
          <w:color w:val="1B1D1F"/>
          <w:sz w:val="24"/>
        </w:rPr>
        <w:t xml:space="preserve"> </w:t>
      </w:r>
      <w:r>
        <w:rPr>
          <w:rFonts w:ascii="Times New Roman" w:hAnsi="Times New Roman" w:cs="Times New Roman"/>
          <w:color w:val="1B1D1F"/>
          <w:sz w:val="24"/>
        </w:rPr>
        <w:t>gadam ĀM divpusējās attīstības sadarbības budžetam 2021. un 2022.gadā arī paredzēti 463 813 EUR.</w:t>
      </w:r>
    </w:p>
    <w:p w14:paraId="4AB824DA" w14:textId="77777777" w:rsidR="00C96E73" w:rsidRPr="009905B5" w:rsidRDefault="004F5769" w:rsidP="00671086">
      <w:pPr>
        <w:spacing w:before="160" w:after="12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ĀM divpusējais attīstības sadarbības finansējums</w:t>
      </w:r>
      <w:r w:rsidR="00C96E73" w:rsidRPr="009905B5">
        <w:rPr>
          <w:rFonts w:ascii="Times New Roman" w:hAnsi="Times New Roman" w:cs="Times New Roman"/>
          <w:color w:val="1B1D1F"/>
          <w:sz w:val="24"/>
          <w:szCs w:val="24"/>
        </w:rPr>
        <w:t xml:space="preserve"> tiek plānots </w:t>
      </w:r>
      <w:r w:rsidRPr="009905B5">
        <w:rPr>
          <w:rFonts w:ascii="Times New Roman" w:hAnsi="Times New Roman" w:cs="Times New Roman"/>
          <w:color w:val="1B1D1F"/>
          <w:sz w:val="24"/>
          <w:szCs w:val="24"/>
        </w:rPr>
        <w:t xml:space="preserve">fiskālā gada ietvaros, finansējuma sadali nosakot ikgadējos </w:t>
      </w:r>
      <w:r w:rsidR="00DE63E0">
        <w:rPr>
          <w:rFonts w:ascii="Times New Roman" w:hAnsi="Times New Roman" w:cs="Times New Roman"/>
          <w:color w:val="1B1D1F"/>
          <w:sz w:val="24"/>
          <w:szCs w:val="24"/>
        </w:rPr>
        <w:t>a</w:t>
      </w:r>
      <w:r w:rsidRPr="009905B5">
        <w:rPr>
          <w:rFonts w:ascii="Times New Roman" w:hAnsi="Times New Roman" w:cs="Times New Roman"/>
          <w:color w:val="1B1D1F"/>
          <w:sz w:val="24"/>
          <w:szCs w:val="24"/>
        </w:rPr>
        <w:t>ttīstības sadarbības politikas plānos.</w:t>
      </w:r>
      <w:r w:rsidR="00063A78" w:rsidRPr="009905B5">
        <w:rPr>
          <w:rStyle w:val="FootnoteReference"/>
          <w:rFonts w:ascii="Times New Roman" w:hAnsi="Times New Roman" w:cs="Times New Roman"/>
          <w:color w:val="1B1D1F"/>
          <w:sz w:val="24"/>
          <w:szCs w:val="24"/>
        </w:rPr>
        <w:footnoteReference w:id="17"/>
      </w:r>
      <w:r w:rsidRPr="009905B5">
        <w:rPr>
          <w:rFonts w:ascii="Times New Roman" w:hAnsi="Times New Roman" w:cs="Times New Roman"/>
          <w:color w:val="1B1D1F"/>
          <w:sz w:val="24"/>
          <w:szCs w:val="24"/>
        </w:rPr>
        <w:t xml:space="preserve"> Ar</w:t>
      </w:r>
      <w:r w:rsidR="009E1EC7" w:rsidRPr="009905B5">
        <w:rPr>
          <w:rFonts w:ascii="Times New Roman" w:hAnsi="Times New Roman" w:cs="Times New Roman"/>
          <w:color w:val="1B1D1F"/>
          <w:sz w:val="24"/>
          <w:szCs w:val="24"/>
        </w:rPr>
        <w:t xml:space="preserve"> finansējumu tiek īstenoti šādi pasākumi: </w:t>
      </w:r>
    </w:p>
    <w:p w14:paraId="156AA46D" w14:textId="77777777"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Granta projektu konkursi:</w:t>
      </w:r>
      <w:r w:rsidRPr="009905B5">
        <w:rPr>
          <w:rFonts w:ascii="Times New Roman" w:hAnsi="Times New Roman" w:cs="Times New Roman"/>
          <w:color w:val="1B1D1F"/>
          <w:sz w:val="24"/>
          <w:szCs w:val="24"/>
        </w:rPr>
        <w:t xml:space="preserve"> 1) attīstības sadarbības projektu īstenošanai prioritārajās partnervalstīs (50% finansējumu pare</w:t>
      </w:r>
      <w:r w:rsidR="00E905A9" w:rsidRPr="009905B5">
        <w:rPr>
          <w:rFonts w:ascii="Times New Roman" w:hAnsi="Times New Roman" w:cs="Times New Roman"/>
          <w:color w:val="1B1D1F"/>
          <w:sz w:val="24"/>
          <w:szCs w:val="24"/>
        </w:rPr>
        <w:t xml:space="preserve">dzot </w:t>
      </w:r>
      <w:r w:rsidR="00DE63E0" w:rsidRPr="00CC7C07">
        <w:rPr>
          <w:rFonts w:ascii="Times New Roman" w:eastAsia="Times New Roman" w:hAnsi="Times New Roman" w:cs="Times New Roman"/>
          <w:bCs/>
          <w:sz w:val="24"/>
          <w:szCs w:val="24"/>
        </w:rPr>
        <w:t>pilso</w:t>
      </w:r>
      <w:r w:rsidR="00DE63E0">
        <w:rPr>
          <w:rFonts w:ascii="Times New Roman" w:eastAsia="Times New Roman" w:hAnsi="Times New Roman" w:cs="Times New Roman"/>
          <w:bCs/>
          <w:sz w:val="24"/>
          <w:szCs w:val="24"/>
        </w:rPr>
        <w:t>niskās sabiedrības organizāciju</w:t>
      </w:r>
      <w:r w:rsidR="00DE63E0" w:rsidRPr="009905B5">
        <w:rPr>
          <w:rFonts w:ascii="Times New Roman" w:hAnsi="Times New Roman" w:cs="Times New Roman"/>
          <w:color w:val="1B1D1F"/>
          <w:sz w:val="24"/>
          <w:szCs w:val="24"/>
        </w:rPr>
        <w:t xml:space="preserve"> </w:t>
      </w:r>
      <w:r w:rsidR="00DE63E0">
        <w:rPr>
          <w:rFonts w:ascii="Times New Roman" w:hAnsi="Times New Roman" w:cs="Times New Roman"/>
          <w:color w:val="1B1D1F"/>
          <w:sz w:val="24"/>
          <w:szCs w:val="24"/>
        </w:rPr>
        <w:t xml:space="preserve">(turpmāk – </w:t>
      </w:r>
      <w:r w:rsidR="00E905A9" w:rsidRPr="009905B5">
        <w:rPr>
          <w:rFonts w:ascii="Times New Roman" w:hAnsi="Times New Roman" w:cs="Times New Roman"/>
          <w:color w:val="1B1D1F"/>
          <w:sz w:val="24"/>
          <w:szCs w:val="24"/>
        </w:rPr>
        <w:t>PSO</w:t>
      </w:r>
      <w:r w:rsidR="00DE63E0">
        <w:rPr>
          <w:rFonts w:ascii="Times New Roman" w:hAnsi="Times New Roman" w:cs="Times New Roman"/>
          <w:color w:val="1B1D1F"/>
          <w:sz w:val="24"/>
          <w:szCs w:val="24"/>
        </w:rPr>
        <w:t>)</w:t>
      </w:r>
      <w:r w:rsidR="00E905A9" w:rsidRPr="009905B5">
        <w:rPr>
          <w:rFonts w:ascii="Times New Roman" w:hAnsi="Times New Roman" w:cs="Times New Roman"/>
          <w:color w:val="1B1D1F"/>
          <w:sz w:val="24"/>
          <w:szCs w:val="24"/>
        </w:rPr>
        <w:t xml:space="preserve"> īstenotiem projektiem), </w:t>
      </w:r>
      <w:r w:rsidRPr="009905B5">
        <w:rPr>
          <w:rFonts w:ascii="Times New Roman" w:hAnsi="Times New Roman" w:cs="Times New Roman"/>
          <w:color w:val="1B1D1F"/>
          <w:sz w:val="24"/>
          <w:szCs w:val="24"/>
        </w:rPr>
        <w:t>2) līdzfinansējuma piešķiršanai PSO īstenotajiem attīstības sadarbības un globālās izglītības projektiem, kas ieguvuši finansējumu no citiem starptautiskajiem palīdzības finansētājiem;</w:t>
      </w:r>
    </w:p>
    <w:p w14:paraId="3732AC49" w14:textId="77777777"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Plānā iekļauti</w:t>
      </w:r>
      <w:r w:rsidR="00582AFD">
        <w:rPr>
          <w:rFonts w:ascii="Times New Roman" w:hAnsi="Times New Roman" w:cs="Times New Roman"/>
          <w:b/>
          <w:color w:val="1B1D1F"/>
          <w:sz w:val="24"/>
          <w:szCs w:val="24"/>
        </w:rPr>
        <w:t>e</w:t>
      </w:r>
      <w:r w:rsidRPr="009905B5">
        <w:rPr>
          <w:rFonts w:ascii="Times New Roman" w:hAnsi="Times New Roman" w:cs="Times New Roman"/>
          <w:b/>
          <w:color w:val="1B1D1F"/>
          <w:sz w:val="24"/>
          <w:szCs w:val="24"/>
        </w:rPr>
        <w:t xml:space="preserve"> projekti. </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ttīstības sadarbības</w:t>
      </w:r>
      <w:r w:rsidR="00E04CB8">
        <w:rPr>
          <w:rFonts w:ascii="Times New Roman" w:hAnsi="Times New Roman" w:cs="Times New Roman"/>
          <w:color w:val="1B1D1F"/>
          <w:sz w:val="24"/>
          <w:szCs w:val="24"/>
        </w:rPr>
        <w:t xml:space="preserve"> ilgtermiņa</w:t>
      </w:r>
      <w:r w:rsidRPr="009905B5">
        <w:rPr>
          <w:rFonts w:ascii="Times New Roman" w:hAnsi="Times New Roman" w:cs="Times New Roman"/>
          <w:color w:val="1B1D1F"/>
          <w:sz w:val="24"/>
          <w:szCs w:val="24"/>
        </w:rPr>
        <w:t xml:space="preserve"> projekti atbilstoši partnervalstu izteiktajām vajadzībām un Latvijas ekspertīzei un/vai projekti, kuru īstenošanā ir piesaistīts citu donoru līdzfinansējums vismaz 50% apmērā</w:t>
      </w:r>
      <w:r w:rsidR="00E905A9" w:rsidRPr="009905B5">
        <w:rPr>
          <w:rFonts w:ascii="Times New Roman" w:hAnsi="Times New Roman" w:cs="Times New Roman"/>
          <w:color w:val="1B1D1F"/>
          <w:sz w:val="24"/>
          <w:szCs w:val="24"/>
        </w:rPr>
        <w:t>;</w:t>
      </w:r>
    </w:p>
    <w:p w14:paraId="2E083953" w14:textId="77777777" w:rsidR="009E1EC7"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proofErr w:type="spellStart"/>
      <w:r w:rsidRPr="009905B5">
        <w:rPr>
          <w:rFonts w:ascii="Times New Roman" w:hAnsi="Times New Roman" w:cs="Times New Roman"/>
          <w:b/>
          <w:color w:val="1B1D1F"/>
          <w:sz w:val="24"/>
          <w:szCs w:val="24"/>
        </w:rPr>
        <w:t>Tiešfinansējums</w:t>
      </w:r>
      <w:proofErr w:type="spellEnd"/>
      <w:r w:rsidRPr="009905B5">
        <w:rPr>
          <w:rFonts w:ascii="Times New Roman" w:hAnsi="Times New Roman" w:cs="Times New Roman"/>
          <w:b/>
          <w:color w:val="1B1D1F"/>
          <w:sz w:val="24"/>
          <w:szCs w:val="24"/>
        </w:rPr>
        <w:t xml:space="preserve"> PSO. </w:t>
      </w:r>
      <w:r w:rsidRPr="009905B5">
        <w:rPr>
          <w:rFonts w:ascii="Times New Roman" w:hAnsi="Times New Roman" w:cs="Times New Roman"/>
          <w:color w:val="1B1D1F"/>
          <w:sz w:val="24"/>
          <w:szCs w:val="24"/>
        </w:rPr>
        <w:t xml:space="preserve">Jau vairākus gadus </w:t>
      </w:r>
      <w:proofErr w:type="spellStart"/>
      <w:r w:rsidRPr="009905B5">
        <w:rPr>
          <w:rFonts w:ascii="Times New Roman" w:hAnsi="Times New Roman" w:cs="Times New Roman"/>
          <w:color w:val="1B1D1F"/>
          <w:sz w:val="24"/>
          <w:szCs w:val="24"/>
        </w:rPr>
        <w:t>tiešfinansējums</w:t>
      </w:r>
      <w:proofErr w:type="spellEnd"/>
      <w:r w:rsidRPr="009905B5">
        <w:rPr>
          <w:rFonts w:ascii="Times New Roman" w:hAnsi="Times New Roman" w:cs="Times New Roman"/>
          <w:color w:val="1B1D1F"/>
          <w:sz w:val="24"/>
          <w:szCs w:val="24"/>
        </w:rPr>
        <w:t xml:space="preserve"> tiek piešķirts biedrībām “Latvijas Platforma attīstības sadarbībai” (LAPAS) un “Latvijas Pašvaldību savienība”, kas aktīvi iesaistās attīstības sadarbības politikas īstenošanā un pārstāv Latviju dažādos starptautiskos</w:t>
      </w:r>
      <w:r w:rsidR="00E905A9" w:rsidRPr="009905B5">
        <w:rPr>
          <w:rFonts w:ascii="Times New Roman" w:hAnsi="Times New Roman" w:cs="Times New Roman"/>
          <w:color w:val="1B1D1F"/>
          <w:sz w:val="24"/>
          <w:szCs w:val="24"/>
        </w:rPr>
        <w:t xml:space="preserve"> attīstības sadarbības formātos;</w:t>
      </w:r>
      <w:r w:rsidRPr="009905B5">
        <w:rPr>
          <w:rFonts w:ascii="Times New Roman" w:hAnsi="Times New Roman" w:cs="Times New Roman"/>
          <w:color w:val="1B1D1F"/>
          <w:sz w:val="24"/>
          <w:szCs w:val="24"/>
        </w:rPr>
        <w:t xml:space="preserve"> </w:t>
      </w:r>
    </w:p>
    <w:p w14:paraId="0C8BDF9A" w14:textId="77777777" w:rsidR="00B70F76" w:rsidRPr="009905B5" w:rsidRDefault="009E1EC7" w:rsidP="00C05614">
      <w:pPr>
        <w:pStyle w:val="ListParagraph"/>
        <w:numPr>
          <w:ilvl w:val="0"/>
          <w:numId w:val="17"/>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Sabiedrības informēšanas pasākumi</w:t>
      </w:r>
      <w:r w:rsidR="00D0558B" w:rsidRPr="009905B5">
        <w:rPr>
          <w:rFonts w:ascii="Times New Roman" w:hAnsi="Times New Roman" w:cs="Times New Roman"/>
          <w:b/>
          <w:color w:val="1B1D1F"/>
          <w:sz w:val="24"/>
          <w:szCs w:val="24"/>
        </w:rPr>
        <w:t>.</w:t>
      </w:r>
      <w:r w:rsidRPr="009905B5">
        <w:rPr>
          <w:rFonts w:ascii="Times New Roman" w:hAnsi="Times New Roman" w:cs="Times New Roman"/>
          <w:color w:val="1B1D1F"/>
          <w:sz w:val="24"/>
          <w:szCs w:val="24"/>
        </w:rPr>
        <w:t xml:space="preserve"> </w:t>
      </w:r>
    </w:p>
    <w:p w14:paraId="6D0DBE21" w14:textId="77777777" w:rsidR="004B4F51" w:rsidRPr="009905B5" w:rsidRDefault="005F03B9"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Neskatoties uz</w:t>
      </w:r>
      <w:r w:rsidR="002E253A">
        <w:rPr>
          <w:rFonts w:ascii="Times New Roman" w:hAnsi="Times New Roman" w:cs="Times New Roman"/>
          <w:color w:val="1B1D1F"/>
          <w:sz w:val="24"/>
          <w:szCs w:val="24"/>
        </w:rPr>
        <w:t xml:space="preserve"> </w:t>
      </w:r>
      <w:r w:rsidR="00E04CB8">
        <w:rPr>
          <w:rFonts w:ascii="Times New Roman" w:hAnsi="Times New Roman" w:cs="Times New Roman"/>
          <w:color w:val="1B1D1F"/>
          <w:sz w:val="24"/>
          <w:szCs w:val="24"/>
        </w:rPr>
        <w:t xml:space="preserve">nelielo </w:t>
      </w:r>
      <w:r w:rsidR="002E49B8" w:rsidRPr="009905B5">
        <w:rPr>
          <w:rFonts w:ascii="Times New Roman" w:hAnsi="Times New Roman" w:cs="Times New Roman"/>
          <w:color w:val="1B1D1F"/>
          <w:sz w:val="24"/>
          <w:szCs w:val="24"/>
        </w:rPr>
        <w:t>apjomu</w:t>
      </w:r>
      <w:r w:rsidRPr="009905B5">
        <w:rPr>
          <w:rFonts w:ascii="Times New Roman" w:hAnsi="Times New Roman" w:cs="Times New Roman"/>
          <w:color w:val="1B1D1F"/>
          <w:sz w:val="24"/>
          <w:szCs w:val="24"/>
        </w:rPr>
        <w:t xml:space="preserve">, </w:t>
      </w:r>
      <w:r w:rsidR="002E49B8" w:rsidRPr="009905B5">
        <w:rPr>
          <w:rFonts w:ascii="Times New Roman" w:hAnsi="Times New Roman" w:cs="Times New Roman"/>
          <w:color w:val="1B1D1F"/>
          <w:sz w:val="24"/>
          <w:szCs w:val="24"/>
        </w:rPr>
        <w:t>šis</w:t>
      </w:r>
      <w:r w:rsidRPr="009905B5">
        <w:rPr>
          <w:rFonts w:ascii="Times New Roman" w:hAnsi="Times New Roman" w:cs="Times New Roman"/>
          <w:color w:val="1B1D1F"/>
          <w:sz w:val="24"/>
          <w:szCs w:val="24"/>
        </w:rPr>
        <w:t xml:space="preserve"> ir vienīgais</w:t>
      </w:r>
      <w:r w:rsidR="00652187"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prognozējamais attīstības sadarbības finansējums. Nevienai citai valsts vai pašvaldību institūcijai nav speciāl</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finansējum</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attīstības sadarbības aktivitāšu īstenošanai. To īstenotās divpusējās attīstības sadarbības </w:t>
      </w:r>
      <w:r w:rsidRPr="009905B5">
        <w:rPr>
          <w:rFonts w:ascii="Times New Roman" w:hAnsi="Times New Roman" w:cs="Times New Roman"/>
          <w:color w:val="1B1D1F"/>
          <w:sz w:val="24"/>
          <w:szCs w:val="24"/>
        </w:rPr>
        <w:lastRenderedPageBreak/>
        <w:t>aktivitātes lielākoties tiek finansēt</w:t>
      </w:r>
      <w:r w:rsidR="00E04CB8">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s </w:t>
      </w:r>
      <w:proofErr w:type="spellStart"/>
      <w:r w:rsidRPr="009905B5">
        <w:rPr>
          <w:rFonts w:ascii="Times New Roman" w:hAnsi="Times New Roman" w:cs="Times New Roman"/>
          <w:i/>
          <w:color w:val="1B1D1F"/>
          <w:sz w:val="24"/>
          <w:szCs w:val="24"/>
        </w:rPr>
        <w:t>ad</w:t>
      </w:r>
      <w:proofErr w:type="spellEnd"/>
      <w:r w:rsidRPr="009905B5">
        <w:rPr>
          <w:rFonts w:ascii="Times New Roman" w:hAnsi="Times New Roman" w:cs="Times New Roman"/>
          <w:i/>
          <w:color w:val="1B1D1F"/>
          <w:sz w:val="24"/>
          <w:szCs w:val="24"/>
        </w:rPr>
        <w:t xml:space="preserve"> </w:t>
      </w:r>
      <w:proofErr w:type="spellStart"/>
      <w:r w:rsidRPr="009905B5">
        <w:rPr>
          <w:rFonts w:ascii="Times New Roman" w:hAnsi="Times New Roman" w:cs="Times New Roman"/>
          <w:i/>
          <w:color w:val="1B1D1F"/>
          <w:sz w:val="24"/>
          <w:szCs w:val="24"/>
        </w:rPr>
        <w:t>hoc</w:t>
      </w:r>
      <w:proofErr w:type="spellEnd"/>
      <w:r w:rsidRPr="009905B5">
        <w:rPr>
          <w:rFonts w:ascii="Times New Roman" w:hAnsi="Times New Roman" w:cs="Times New Roman"/>
          <w:i/>
          <w:color w:val="1B1D1F"/>
          <w:sz w:val="24"/>
          <w:szCs w:val="24"/>
        </w:rPr>
        <w:t xml:space="preserve"> </w:t>
      </w:r>
      <w:r w:rsidRPr="009905B5">
        <w:rPr>
          <w:rFonts w:ascii="Times New Roman" w:hAnsi="Times New Roman" w:cs="Times New Roman"/>
          <w:color w:val="1B1D1F"/>
          <w:sz w:val="24"/>
          <w:szCs w:val="24"/>
        </w:rPr>
        <w:t>veidā no iestāžu budžetiem</w:t>
      </w:r>
      <w:r w:rsidR="001708E4" w:rsidRPr="009905B5">
        <w:rPr>
          <w:rFonts w:ascii="Times New Roman" w:hAnsi="Times New Roman" w:cs="Times New Roman"/>
          <w:color w:val="1B1D1F"/>
          <w:sz w:val="24"/>
          <w:szCs w:val="24"/>
        </w:rPr>
        <w:t xml:space="preserve"> (ir arī plānotas</w:t>
      </w:r>
      <w:r w:rsidR="00582AFD">
        <w:rPr>
          <w:rFonts w:ascii="Times New Roman" w:hAnsi="Times New Roman" w:cs="Times New Roman"/>
          <w:color w:val="1B1D1F"/>
          <w:sz w:val="24"/>
          <w:szCs w:val="24"/>
        </w:rPr>
        <w:t xml:space="preserve"> divpusējās</w:t>
      </w:r>
      <w:r w:rsidR="001708E4" w:rsidRPr="009905B5">
        <w:rPr>
          <w:rFonts w:ascii="Times New Roman" w:hAnsi="Times New Roman" w:cs="Times New Roman"/>
          <w:color w:val="1B1D1F"/>
          <w:sz w:val="24"/>
          <w:szCs w:val="24"/>
        </w:rPr>
        <w:t xml:space="preserve"> aktivi</w:t>
      </w:r>
      <w:r w:rsidR="00E905A9" w:rsidRPr="009905B5">
        <w:rPr>
          <w:rFonts w:ascii="Times New Roman" w:hAnsi="Times New Roman" w:cs="Times New Roman"/>
          <w:color w:val="1B1D1F"/>
          <w:sz w:val="24"/>
          <w:szCs w:val="24"/>
        </w:rPr>
        <w:t>tātes un programmas, piemēram,</w:t>
      </w:r>
      <w:r w:rsidR="001708E4" w:rsidRPr="009905B5">
        <w:rPr>
          <w:rFonts w:ascii="Times New Roman" w:hAnsi="Times New Roman" w:cs="Times New Roman"/>
          <w:color w:val="1B1D1F"/>
          <w:sz w:val="24"/>
          <w:szCs w:val="24"/>
        </w:rPr>
        <w:t xml:space="preserve"> valsts stipendiju piešķiršana</w:t>
      </w:r>
      <w:r w:rsidR="00E905A9" w:rsidRPr="009905B5">
        <w:rPr>
          <w:rFonts w:ascii="Times New Roman" w:hAnsi="Times New Roman" w:cs="Times New Roman"/>
          <w:color w:val="1B1D1F"/>
          <w:sz w:val="24"/>
          <w:szCs w:val="24"/>
        </w:rPr>
        <w:t>,</w:t>
      </w:r>
      <w:r w:rsidR="00E04CB8">
        <w:rPr>
          <w:rFonts w:ascii="Times New Roman" w:hAnsi="Times New Roman" w:cs="Times New Roman"/>
          <w:color w:val="1B1D1F"/>
          <w:sz w:val="24"/>
          <w:szCs w:val="24"/>
        </w:rPr>
        <w:t xml:space="preserve"> dalība misijās,</w:t>
      </w:r>
      <w:r w:rsidR="00E905A9" w:rsidRPr="009905B5">
        <w:rPr>
          <w:rFonts w:ascii="Times New Roman" w:hAnsi="Times New Roman" w:cs="Times New Roman"/>
          <w:color w:val="1B1D1F"/>
          <w:sz w:val="24"/>
          <w:szCs w:val="24"/>
        </w:rPr>
        <w:t xml:space="preserve"> kas arī tiek uzskaitītas OAP</w:t>
      </w:r>
      <w:r w:rsidR="004B4F51" w:rsidRPr="009905B5">
        <w:rPr>
          <w:rFonts w:ascii="Times New Roman" w:hAnsi="Times New Roman" w:cs="Times New Roman"/>
          <w:color w:val="1B1D1F"/>
          <w:sz w:val="24"/>
          <w:szCs w:val="24"/>
        </w:rPr>
        <w:t xml:space="preserve"> u.c.</w:t>
      </w:r>
      <w:r w:rsidR="001708E4" w:rsidRPr="009905B5">
        <w:rPr>
          <w:rFonts w:ascii="Times New Roman" w:hAnsi="Times New Roman" w:cs="Times New Roman"/>
          <w:color w:val="1B1D1F"/>
          <w:sz w:val="24"/>
          <w:szCs w:val="24"/>
        </w:rPr>
        <w:t>)</w:t>
      </w:r>
      <w:r w:rsidRPr="009905B5">
        <w:rPr>
          <w:rFonts w:ascii="Times New Roman" w:hAnsi="Times New Roman" w:cs="Times New Roman"/>
          <w:color w:val="1B1D1F"/>
          <w:sz w:val="24"/>
          <w:szCs w:val="24"/>
        </w:rPr>
        <w:t xml:space="preserve">. Jaunām iniciatīvām </w:t>
      </w:r>
      <w:r w:rsidR="001708E4" w:rsidRPr="009905B5">
        <w:rPr>
          <w:rFonts w:ascii="Times New Roman" w:hAnsi="Times New Roman" w:cs="Times New Roman"/>
          <w:color w:val="1B1D1F"/>
          <w:sz w:val="24"/>
          <w:szCs w:val="24"/>
        </w:rPr>
        <w:t>i</w:t>
      </w:r>
      <w:r w:rsidR="006443E2" w:rsidRPr="009905B5">
        <w:rPr>
          <w:rFonts w:ascii="Times New Roman" w:hAnsi="Times New Roman" w:cs="Times New Roman"/>
          <w:color w:val="1B1D1F"/>
          <w:sz w:val="24"/>
          <w:szCs w:val="24"/>
        </w:rPr>
        <w:t>estādes</w:t>
      </w:r>
      <w:r w:rsidR="001708E4" w:rsidRPr="009905B5">
        <w:rPr>
          <w:rFonts w:ascii="Times New Roman" w:hAnsi="Times New Roman" w:cs="Times New Roman"/>
          <w:color w:val="1B1D1F"/>
          <w:sz w:val="24"/>
          <w:szCs w:val="24"/>
        </w:rPr>
        <w:t xml:space="preserve"> nereti cenšas piesaistīt</w:t>
      </w:r>
      <w:r w:rsidRPr="009905B5">
        <w:rPr>
          <w:rFonts w:ascii="Times New Roman" w:hAnsi="Times New Roman" w:cs="Times New Roman"/>
          <w:color w:val="1B1D1F"/>
          <w:sz w:val="24"/>
          <w:szCs w:val="24"/>
        </w:rPr>
        <w:t xml:space="preserve"> ĀM finansējumu, t.sk.</w:t>
      </w:r>
      <w:r w:rsidR="004B4F51" w:rsidRPr="009905B5">
        <w:rPr>
          <w:rFonts w:ascii="Times New Roman" w:hAnsi="Times New Roman" w:cs="Times New Roman"/>
          <w:color w:val="1B1D1F"/>
          <w:sz w:val="24"/>
          <w:szCs w:val="24"/>
        </w:rPr>
        <w:t xml:space="preserve"> piedaloties ĀM</w:t>
      </w:r>
      <w:r w:rsidRPr="009905B5">
        <w:rPr>
          <w:rFonts w:ascii="Times New Roman" w:hAnsi="Times New Roman" w:cs="Times New Roman"/>
          <w:color w:val="1B1D1F"/>
          <w:sz w:val="24"/>
          <w:szCs w:val="24"/>
        </w:rPr>
        <w:t xml:space="preserve"> granta </w:t>
      </w:r>
      <w:r w:rsidR="006119C7">
        <w:rPr>
          <w:rFonts w:ascii="Times New Roman" w:hAnsi="Times New Roman" w:cs="Times New Roman"/>
          <w:color w:val="1B1D1F"/>
          <w:sz w:val="24"/>
          <w:szCs w:val="24"/>
        </w:rPr>
        <w:t xml:space="preserve">projektu </w:t>
      </w:r>
      <w:r w:rsidRPr="009905B5">
        <w:rPr>
          <w:rFonts w:ascii="Times New Roman" w:hAnsi="Times New Roman" w:cs="Times New Roman"/>
          <w:color w:val="1B1D1F"/>
          <w:sz w:val="24"/>
          <w:szCs w:val="24"/>
        </w:rPr>
        <w:t xml:space="preserve">konkursos. </w:t>
      </w:r>
      <w:r w:rsidR="004B4F51" w:rsidRPr="009905B5">
        <w:rPr>
          <w:rFonts w:ascii="Times New Roman" w:hAnsi="Times New Roman" w:cs="Times New Roman"/>
          <w:color w:val="1B1D1F"/>
          <w:sz w:val="24"/>
          <w:szCs w:val="24"/>
        </w:rPr>
        <w:t>Tādējādi k</w:t>
      </w:r>
      <w:r w:rsidRPr="009905B5">
        <w:rPr>
          <w:rFonts w:ascii="Times New Roman" w:hAnsi="Times New Roman" w:cs="Times New Roman"/>
          <w:color w:val="1B1D1F"/>
          <w:sz w:val="24"/>
          <w:szCs w:val="24"/>
        </w:rPr>
        <w:t>opš 2016</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 xml:space="preserve">a </w:t>
      </w:r>
      <w:r w:rsidR="001708E4" w:rsidRPr="009905B5">
        <w:rPr>
          <w:rFonts w:ascii="Times New Roman" w:hAnsi="Times New Roman" w:cs="Times New Roman"/>
          <w:color w:val="1B1D1F"/>
          <w:sz w:val="24"/>
          <w:szCs w:val="24"/>
        </w:rPr>
        <w:t xml:space="preserve">valsts pārvaldes iestādes </w:t>
      </w:r>
      <w:r w:rsidR="00652187" w:rsidRPr="009905B5">
        <w:rPr>
          <w:rFonts w:ascii="Times New Roman" w:hAnsi="Times New Roman" w:cs="Times New Roman"/>
          <w:color w:val="1B1D1F"/>
          <w:sz w:val="24"/>
          <w:szCs w:val="24"/>
        </w:rPr>
        <w:t xml:space="preserve">(t.sk. </w:t>
      </w:r>
      <w:r w:rsidR="006443E2" w:rsidRPr="009905B5">
        <w:rPr>
          <w:rFonts w:ascii="Times New Roman" w:hAnsi="Times New Roman" w:cs="Times New Roman"/>
          <w:color w:val="1B1D1F"/>
          <w:sz w:val="24"/>
          <w:szCs w:val="24"/>
        </w:rPr>
        <w:t xml:space="preserve">SIA, kuros lielākā daļa pieder valsts </w:t>
      </w:r>
      <w:r w:rsidR="00E905A9" w:rsidRPr="009905B5">
        <w:rPr>
          <w:rFonts w:ascii="Times New Roman" w:hAnsi="Times New Roman" w:cs="Times New Roman"/>
          <w:color w:val="1B1D1F"/>
          <w:sz w:val="24"/>
          <w:szCs w:val="24"/>
        </w:rPr>
        <w:t>institūcijām</w:t>
      </w:r>
      <w:r w:rsidR="006443E2" w:rsidRPr="009905B5">
        <w:rPr>
          <w:rFonts w:ascii="Times New Roman" w:hAnsi="Times New Roman" w:cs="Times New Roman"/>
          <w:color w:val="1B1D1F"/>
          <w:sz w:val="24"/>
          <w:szCs w:val="24"/>
        </w:rPr>
        <w:t xml:space="preserve"> un </w:t>
      </w:r>
      <w:r w:rsidR="00652187" w:rsidRPr="009905B5">
        <w:rPr>
          <w:rFonts w:ascii="Times New Roman" w:hAnsi="Times New Roman" w:cs="Times New Roman"/>
          <w:color w:val="1B1D1F"/>
          <w:sz w:val="24"/>
          <w:szCs w:val="24"/>
        </w:rPr>
        <w:t>kas pilda publiskas funkcijas</w:t>
      </w:r>
      <w:r w:rsidR="00582AFD">
        <w:rPr>
          <w:rFonts w:ascii="Times New Roman" w:hAnsi="Times New Roman" w:cs="Times New Roman"/>
          <w:color w:val="1B1D1F"/>
          <w:sz w:val="24"/>
          <w:szCs w:val="24"/>
        </w:rPr>
        <w:t xml:space="preserve">, piemēram, </w:t>
      </w:r>
      <w:r w:rsidR="006443E2" w:rsidRPr="009905B5">
        <w:rPr>
          <w:rFonts w:ascii="Times New Roman" w:hAnsi="Times New Roman" w:cs="Times New Roman"/>
          <w:color w:val="1B1D1F"/>
          <w:sz w:val="24"/>
          <w:szCs w:val="24"/>
        </w:rPr>
        <w:t xml:space="preserve">SIA Latvijas Lauku konsultāciju un izglītības centrs, SIA Latvijas </w:t>
      </w:r>
      <w:r w:rsidR="00582AFD">
        <w:rPr>
          <w:rFonts w:ascii="Times New Roman" w:hAnsi="Times New Roman" w:cs="Times New Roman"/>
          <w:color w:val="1B1D1F"/>
          <w:sz w:val="24"/>
          <w:szCs w:val="24"/>
        </w:rPr>
        <w:t>s</w:t>
      </w:r>
      <w:r w:rsidR="006443E2" w:rsidRPr="009905B5">
        <w:rPr>
          <w:rFonts w:ascii="Times New Roman" w:hAnsi="Times New Roman" w:cs="Times New Roman"/>
          <w:color w:val="1B1D1F"/>
          <w:sz w:val="24"/>
          <w:szCs w:val="24"/>
        </w:rPr>
        <w:t>tandarts</w:t>
      </w:r>
      <w:r w:rsidR="00652187" w:rsidRPr="009905B5">
        <w:rPr>
          <w:rFonts w:ascii="Times New Roman" w:hAnsi="Times New Roman" w:cs="Times New Roman"/>
          <w:color w:val="1B1D1F"/>
          <w:sz w:val="24"/>
          <w:szCs w:val="24"/>
        </w:rPr>
        <w:t>) ir īstenojušas 21 projektu ar kopēju finan</w:t>
      </w:r>
      <w:r w:rsidR="004B4F51" w:rsidRPr="009905B5">
        <w:rPr>
          <w:rFonts w:ascii="Times New Roman" w:hAnsi="Times New Roman" w:cs="Times New Roman"/>
          <w:color w:val="1B1D1F"/>
          <w:sz w:val="24"/>
          <w:szCs w:val="24"/>
        </w:rPr>
        <w:t xml:space="preserve">sējumu aptuveni 448 </w:t>
      </w:r>
      <w:r w:rsidR="00582AFD" w:rsidRPr="009905B5">
        <w:rPr>
          <w:rFonts w:ascii="Times New Roman" w:hAnsi="Times New Roman" w:cs="Times New Roman"/>
          <w:color w:val="1B1D1F"/>
          <w:sz w:val="24"/>
          <w:szCs w:val="24"/>
        </w:rPr>
        <w:t>tūkst</w:t>
      </w:r>
      <w:r w:rsidR="004B4F51" w:rsidRPr="009905B5">
        <w:rPr>
          <w:rFonts w:ascii="Times New Roman" w:hAnsi="Times New Roman" w:cs="Times New Roman"/>
          <w:color w:val="1B1D1F"/>
          <w:sz w:val="24"/>
          <w:szCs w:val="24"/>
        </w:rPr>
        <w:t>. EUR apmērā. ĀM augstu novērtē visu īstenotāju sniegto ieguldījumu partnervalstu attīstībā un starpvalstu attiecību stiprināšanā un ir ieinteresēta turpināt atbalstīt š</w:t>
      </w:r>
      <w:r w:rsidR="00E905A9" w:rsidRPr="009905B5">
        <w:rPr>
          <w:rFonts w:ascii="Times New Roman" w:hAnsi="Times New Roman" w:cs="Times New Roman"/>
          <w:color w:val="1B1D1F"/>
          <w:sz w:val="24"/>
          <w:szCs w:val="24"/>
        </w:rPr>
        <w:t>ādas iniciatīvas</w:t>
      </w:r>
      <w:r w:rsidR="004B4F51" w:rsidRPr="009905B5">
        <w:rPr>
          <w:rFonts w:ascii="Times New Roman" w:hAnsi="Times New Roman" w:cs="Times New Roman"/>
          <w:color w:val="1B1D1F"/>
          <w:sz w:val="24"/>
          <w:szCs w:val="24"/>
        </w:rPr>
        <w:t xml:space="preserve"> arvien augstākā kvalitātē, t.sk. veicinot iesaisti ES un citu donoru projektos. </w:t>
      </w:r>
    </w:p>
    <w:p w14:paraId="4343F81E" w14:textId="77777777" w:rsidR="00E04D12" w:rsidRPr="009905B5" w:rsidRDefault="00652187" w:rsidP="00671086">
      <w:pPr>
        <w:spacing w:before="160" w:after="120" w:line="240" w:lineRule="auto"/>
        <w:jc w:val="both"/>
        <w:rPr>
          <w:rFonts w:ascii="Times New Roman" w:eastAsia="Calibri" w:hAnsi="Times New Roman" w:cs="Times New Roman"/>
          <w:sz w:val="24"/>
          <w:szCs w:val="24"/>
        </w:rPr>
      </w:pPr>
      <w:r w:rsidRPr="009905B5">
        <w:rPr>
          <w:rFonts w:ascii="Times New Roman" w:eastAsia="Calibri" w:hAnsi="Times New Roman" w:cs="Times New Roman"/>
          <w:sz w:val="24"/>
          <w:szCs w:val="24"/>
        </w:rPr>
        <w:t xml:space="preserve">Pēdējos gados nostiprinās Latvijas attīstības sadarbības īstenotāju </w:t>
      </w:r>
      <w:r w:rsidR="006443E2" w:rsidRPr="009905B5">
        <w:rPr>
          <w:rFonts w:ascii="Times New Roman" w:eastAsia="Calibri" w:hAnsi="Times New Roman" w:cs="Times New Roman"/>
          <w:sz w:val="24"/>
          <w:szCs w:val="24"/>
        </w:rPr>
        <w:t xml:space="preserve">interese par attīstības sadarbību un </w:t>
      </w:r>
      <w:r w:rsidR="00402AE4" w:rsidRPr="009905B5">
        <w:rPr>
          <w:rFonts w:ascii="Times New Roman" w:eastAsia="Calibri" w:hAnsi="Times New Roman" w:cs="Times New Roman"/>
          <w:sz w:val="24"/>
          <w:szCs w:val="24"/>
        </w:rPr>
        <w:t>spējas īstenot attīstības sadarbības projektus.</w:t>
      </w:r>
      <w:r w:rsidR="000B1AEB" w:rsidRPr="009905B5">
        <w:rPr>
          <w:rFonts w:ascii="Times New Roman" w:eastAsia="Calibri" w:hAnsi="Times New Roman" w:cs="Times New Roman"/>
          <w:sz w:val="24"/>
          <w:szCs w:val="24"/>
        </w:rPr>
        <w:t xml:space="preserve"> Par pieaugošo</w:t>
      </w:r>
      <w:r w:rsidRPr="009905B5">
        <w:rPr>
          <w:rFonts w:ascii="Times New Roman" w:eastAsia="Calibri" w:hAnsi="Times New Roman" w:cs="Times New Roman"/>
          <w:sz w:val="24"/>
          <w:szCs w:val="24"/>
        </w:rPr>
        <w:t xml:space="preserve"> </w:t>
      </w:r>
      <w:r w:rsidR="00F71E29" w:rsidRPr="009905B5">
        <w:rPr>
          <w:rFonts w:ascii="Times New Roman" w:eastAsia="Calibri" w:hAnsi="Times New Roman" w:cs="Times New Roman"/>
          <w:sz w:val="24"/>
          <w:szCs w:val="24"/>
        </w:rPr>
        <w:t xml:space="preserve">valsts un pašvaldību iestāžu, </w:t>
      </w:r>
      <w:r w:rsidRPr="009905B5">
        <w:rPr>
          <w:rFonts w:ascii="Times New Roman" w:eastAsia="Calibri" w:hAnsi="Times New Roman" w:cs="Times New Roman"/>
          <w:sz w:val="24"/>
          <w:szCs w:val="24"/>
        </w:rPr>
        <w:t>ekspertu,</w:t>
      </w:r>
      <w:r w:rsidRPr="009905B5">
        <w:rPr>
          <w:rFonts w:ascii="Times New Roman" w:eastAsia="Calibri" w:hAnsi="Times New Roman" w:cs="Times New Roman"/>
        </w:rPr>
        <w:t xml:space="preserve"> </w:t>
      </w:r>
      <w:r w:rsidR="00402AE4" w:rsidRPr="009905B5">
        <w:rPr>
          <w:rFonts w:ascii="Times New Roman" w:eastAsia="Calibri" w:hAnsi="Times New Roman" w:cs="Times New Roman"/>
          <w:sz w:val="24"/>
          <w:szCs w:val="24"/>
        </w:rPr>
        <w:t>PSO</w:t>
      </w:r>
      <w:r w:rsidR="000B1AEB" w:rsidRPr="009905B5">
        <w:rPr>
          <w:rFonts w:ascii="Times New Roman" w:eastAsia="Calibri" w:hAnsi="Times New Roman" w:cs="Times New Roman"/>
          <w:sz w:val="24"/>
          <w:szCs w:val="24"/>
        </w:rPr>
        <w:t xml:space="preserve"> un privātā sektora interesi</w:t>
      </w:r>
      <w:r w:rsidR="006443E2" w:rsidRPr="009905B5">
        <w:rPr>
          <w:rFonts w:ascii="Times New Roman" w:eastAsia="Calibri" w:hAnsi="Times New Roman" w:cs="Times New Roman"/>
          <w:sz w:val="24"/>
          <w:szCs w:val="24"/>
        </w:rPr>
        <w:t xml:space="preserve"> un spējām</w:t>
      </w:r>
      <w:r w:rsidR="000B1AEB" w:rsidRPr="009905B5">
        <w:rPr>
          <w:rFonts w:ascii="Times New Roman" w:eastAsia="Calibri" w:hAnsi="Times New Roman" w:cs="Times New Roman"/>
          <w:sz w:val="24"/>
          <w:szCs w:val="24"/>
        </w:rPr>
        <w:t>,</w:t>
      </w:r>
      <w:r w:rsidR="00F71E29" w:rsidRPr="009905B5">
        <w:rPr>
          <w:rFonts w:ascii="Times New Roman" w:eastAsia="Calibri" w:hAnsi="Times New Roman" w:cs="Times New Roman"/>
          <w:sz w:val="24"/>
          <w:szCs w:val="24"/>
        </w:rPr>
        <w:t xml:space="preserve"> liecina</w:t>
      </w:r>
      <w:r w:rsidR="00402AE4" w:rsidRPr="009905B5">
        <w:rPr>
          <w:rFonts w:ascii="Times New Roman" w:eastAsia="Calibri" w:hAnsi="Times New Roman" w:cs="Times New Roman"/>
          <w:sz w:val="24"/>
          <w:szCs w:val="24"/>
        </w:rPr>
        <w:t xml:space="preserve"> pieaugošais projektu iesniegumu skaits </w:t>
      </w:r>
      <w:r w:rsidR="00F71E29" w:rsidRPr="009905B5">
        <w:rPr>
          <w:rFonts w:ascii="Times New Roman" w:eastAsia="Calibri" w:hAnsi="Times New Roman" w:cs="Times New Roman"/>
          <w:sz w:val="24"/>
          <w:szCs w:val="24"/>
        </w:rPr>
        <w:t>ĀM attīstības sadarbības projektu granta konkursos</w:t>
      </w:r>
      <w:r w:rsidR="00E04CB8">
        <w:rPr>
          <w:rFonts w:ascii="Times New Roman" w:eastAsia="Calibri" w:hAnsi="Times New Roman" w:cs="Times New Roman"/>
          <w:sz w:val="24"/>
          <w:szCs w:val="24"/>
        </w:rPr>
        <w:t xml:space="preserve"> un pieteikto projektu kvalitāte</w:t>
      </w:r>
      <w:r w:rsidR="00F71E29" w:rsidRPr="009905B5">
        <w:rPr>
          <w:rFonts w:ascii="Times New Roman" w:eastAsia="Calibri" w:hAnsi="Times New Roman" w:cs="Times New Roman"/>
          <w:sz w:val="24"/>
          <w:szCs w:val="24"/>
        </w:rPr>
        <w:t xml:space="preserve">. Ierobežotā finansējuma dēļ granta konkursos pēdējos gados ir bijis iespējams atbalstīt tikai </w:t>
      </w:r>
      <w:r w:rsidR="006119C7">
        <w:rPr>
          <w:rFonts w:ascii="Times New Roman" w:eastAsia="Calibri" w:hAnsi="Times New Roman" w:cs="Times New Roman"/>
          <w:sz w:val="24"/>
          <w:szCs w:val="24"/>
        </w:rPr>
        <w:t xml:space="preserve">aptuveni </w:t>
      </w:r>
      <w:r w:rsidR="00F71E29" w:rsidRPr="009905B5">
        <w:rPr>
          <w:rFonts w:ascii="Times New Roman" w:eastAsia="Calibri" w:hAnsi="Times New Roman" w:cs="Times New Roman"/>
          <w:sz w:val="24"/>
          <w:szCs w:val="24"/>
        </w:rPr>
        <w:t>1/</w:t>
      </w:r>
      <w:r w:rsidR="00353D6E">
        <w:rPr>
          <w:rFonts w:ascii="Times New Roman" w:eastAsia="Calibri" w:hAnsi="Times New Roman" w:cs="Times New Roman"/>
          <w:sz w:val="24"/>
          <w:szCs w:val="24"/>
        </w:rPr>
        <w:t>3</w:t>
      </w:r>
      <w:r w:rsidR="00F71E29" w:rsidRPr="009905B5">
        <w:rPr>
          <w:rFonts w:ascii="Times New Roman" w:eastAsia="Calibri" w:hAnsi="Times New Roman" w:cs="Times New Roman"/>
          <w:sz w:val="24"/>
          <w:szCs w:val="24"/>
        </w:rPr>
        <w:t xml:space="preserve"> – 1/5 daļu no pieteikumiem. </w:t>
      </w:r>
    </w:p>
    <w:p w14:paraId="219261C1" w14:textId="77777777" w:rsidR="00F71E29" w:rsidRPr="009905B5" w:rsidRDefault="00F71E29" w:rsidP="00C6786A">
      <w:pPr>
        <w:spacing w:before="160" w:after="240" w:line="240" w:lineRule="auto"/>
        <w:jc w:val="both"/>
        <w:rPr>
          <w:rFonts w:ascii="Times New Roman" w:eastAsia="Calibri" w:hAnsi="Times New Roman" w:cs="Times New Roman"/>
          <w:b/>
          <w:sz w:val="24"/>
          <w:szCs w:val="24"/>
        </w:rPr>
      </w:pPr>
      <w:r w:rsidRPr="009905B5">
        <w:rPr>
          <w:rFonts w:ascii="Times New Roman" w:eastAsia="Calibri" w:hAnsi="Times New Roman" w:cs="Times New Roman"/>
          <w:b/>
          <w:sz w:val="24"/>
          <w:szCs w:val="24"/>
        </w:rPr>
        <w:t xml:space="preserve">Tabula Nr. </w:t>
      </w:r>
      <w:r w:rsidR="00CA7B52">
        <w:rPr>
          <w:rFonts w:ascii="Times New Roman" w:eastAsia="Calibri" w:hAnsi="Times New Roman" w:cs="Times New Roman"/>
          <w:b/>
          <w:sz w:val="24"/>
          <w:szCs w:val="24"/>
        </w:rPr>
        <w:t>2</w:t>
      </w:r>
      <w:r w:rsidRPr="009905B5">
        <w:rPr>
          <w:rFonts w:ascii="Times New Roman" w:eastAsia="Calibri" w:hAnsi="Times New Roman" w:cs="Times New Roman"/>
          <w:b/>
          <w:sz w:val="24"/>
          <w:szCs w:val="24"/>
        </w:rPr>
        <w:t xml:space="preserve"> Iesniegto un atbalstīto projektu skaits ĀM attīstības sadarbības granta projektu konkursos. </w:t>
      </w:r>
    </w:p>
    <w:tbl>
      <w:tblPr>
        <w:tblStyle w:val="TableGrid2"/>
        <w:tblW w:w="8635" w:type="dxa"/>
        <w:tblLook w:val="04A0" w:firstRow="1" w:lastRow="0" w:firstColumn="1" w:lastColumn="0" w:noHBand="0" w:noVBand="1"/>
      </w:tblPr>
      <w:tblGrid>
        <w:gridCol w:w="2875"/>
        <w:gridCol w:w="1530"/>
        <w:gridCol w:w="1350"/>
        <w:gridCol w:w="1350"/>
        <w:gridCol w:w="1530"/>
      </w:tblGrid>
      <w:tr w:rsidR="00F71E29" w:rsidRPr="009905B5" w14:paraId="74B47BF5" w14:textId="77777777" w:rsidTr="00536CF2">
        <w:tc>
          <w:tcPr>
            <w:tcW w:w="2875" w:type="dxa"/>
          </w:tcPr>
          <w:p w14:paraId="07BCEE33" w14:textId="77777777" w:rsidR="00F71E29" w:rsidRPr="009905B5" w:rsidRDefault="00F71E29" w:rsidP="00C05614">
            <w:pPr>
              <w:jc w:val="both"/>
              <w:rPr>
                <w:rFonts w:ascii="Times New Roman" w:hAnsi="Times New Roman" w:cs="Times New Roman"/>
                <w:b/>
                <w:color w:val="1B1D1F"/>
              </w:rPr>
            </w:pPr>
          </w:p>
        </w:tc>
        <w:tc>
          <w:tcPr>
            <w:tcW w:w="1530" w:type="dxa"/>
            <w:vAlign w:val="center"/>
          </w:tcPr>
          <w:p w14:paraId="760AE022"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2016</w:t>
            </w:r>
          </w:p>
        </w:tc>
        <w:tc>
          <w:tcPr>
            <w:tcW w:w="1350" w:type="dxa"/>
            <w:vAlign w:val="center"/>
          </w:tcPr>
          <w:p w14:paraId="1A456EBE"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2017</w:t>
            </w:r>
          </w:p>
        </w:tc>
        <w:tc>
          <w:tcPr>
            <w:tcW w:w="1350" w:type="dxa"/>
            <w:vAlign w:val="center"/>
          </w:tcPr>
          <w:p w14:paraId="74B62232"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2018</w:t>
            </w:r>
          </w:p>
        </w:tc>
        <w:tc>
          <w:tcPr>
            <w:tcW w:w="1530" w:type="dxa"/>
            <w:vAlign w:val="center"/>
          </w:tcPr>
          <w:p w14:paraId="0A4ADAB1" w14:textId="77777777" w:rsidR="00F71E29" w:rsidRPr="009905B5" w:rsidRDefault="00F71E29" w:rsidP="00C05614">
            <w:pPr>
              <w:jc w:val="center"/>
              <w:rPr>
                <w:rFonts w:ascii="Times New Roman" w:hAnsi="Times New Roman" w:cs="Times New Roman"/>
                <w:b/>
                <w:color w:val="1B1D1F"/>
              </w:rPr>
            </w:pPr>
            <w:r w:rsidRPr="009905B5">
              <w:rPr>
                <w:rFonts w:ascii="Times New Roman" w:hAnsi="Times New Roman" w:cs="Times New Roman"/>
                <w:b/>
                <w:color w:val="1B1D1F"/>
              </w:rPr>
              <w:t>2019</w:t>
            </w:r>
          </w:p>
        </w:tc>
      </w:tr>
      <w:tr w:rsidR="00F71E29" w:rsidRPr="009905B5" w14:paraId="259C5926" w14:textId="77777777" w:rsidTr="00536CF2">
        <w:tc>
          <w:tcPr>
            <w:tcW w:w="2875" w:type="dxa"/>
          </w:tcPr>
          <w:p w14:paraId="4B046708"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Iesniegto projektu skaits</w:t>
            </w:r>
          </w:p>
        </w:tc>
        <w:tc>
          <w:tcPr>
            <w:tcW w:w="1530" w:type="dxa"/>
            <w:vAlign w:val="center"/>
          </w:tcPr>
          <w:p w14:paraId="02F16FA8"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30</w:t>
            </w:r>
          </w:p>
        </w:tc>
        <w:tc>
          <w:tcPr>
            <w:tcW w:w="1350" w:type="dxa"/>
            <w:vAlign w:val="center"/>
          </w:tcPr>
          <w:p w14:paraId="03553A08"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w:t>
            </w:r>
          </w:p>
        </w:tc>
        <w:tc>
          <w:tcPr>
            <w:tcW w:w="1350" w:type="dxa"/>
            <w:vAlign w:val="center"/>
          </w:tcPr>
          <w:p w14:paraId="779FE8A5"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27</w:t>
            </w:r>
          </w:p>
        </w:tc>
        <w:tc>
          <w:tcPr>
            <w:tcW w:w="1530" w:type="dxa"/>
            <w:vAlign w:val="center"/>
          </w:tcPr>
          <w:p w14:paraId="4CAD0B6E"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36</w:t>
            </w:r>
          </w:p>
        </w:tc>
      </w:tr>
      <w:tr w:rsidR="00F71E29" w:rsidRPr="009905B5" w14:paraId="2D84793E" w14:textId="77777777" w:rsidTr="00536CF2">
        <w:tc>
          <w:tcPr>
            <w:tcW w:w="2875" w:type="dxa"/>
          </w:tcPr>
          <w:p w14:paraId="7A14C6A4"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 xml:space="preserve">Kopējā vērtība </w:t>
            </w:r>
            <w:r w:rsidRPr="009905B5">
              <w:rPr>
                <w:rFonts w:ascii="Times New Roman" w:hAnsi="Times New Roman" w:cs="Times New Roman"/>
                <w:color w:val="1B1D1F"/>
              </w:rPr>
              <w:t>(EUR)</w:t>
            </w:r>
          </w:p>
        </w:tc>
        <w:tc>
          <w:tcPr>
            <w:tcW w:w="1530" w:type="dxa"/>
            <w:vAlign w:val="center"/>
          </w:tcPr>
          <w:p w14:paraId="0A15787E"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968 021</w:t>
            </w:r>
          </w:p>
        </w:tc>
        <w:tc>
          <w:tcPr>
            <w:tcW w:w="1350" w:type="dxa"/>
            <w:vAlign w:val="center"/>
          </w:tcPr>
          <w:p w14:paraId="74BC3770"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662 646</w:t>
            </w:r>
          </w:p>
        </w:tc>
        <w:tc>
          <w:tcPr>
            <w:tcW w:w="1350" w:type="dxa"/>
            <w:vAlign w:val="center"/>
          </w:tcPr>
          <w:p w14:paraId="73A7B055"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896 768</w:t>
            </w:r>
          </w:p>
        </w:tc>
        <w:tc>
          <w:tcPr>
            <w:tcW w:w="1530" w:type="dxa"/>
            <w:vAlign w:val="center"/>
          </w:tcPr>
          <w:p w14:paraId="03249568"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1 215 814</w:t>
            </w:r>
          </w:p>
        </w:tc>
      </w:tr>
      <w:tr w:rsidR="00F71E29" w:rsidRPr="009905B5" w14:paraId="1B7F2D9C" w14:textId="77777777" w:rsidTr="00DD7654">
        <w:trPr>
          <w:trHeight w:val="201"/>
        </w:trPr>
        <w:tc>
          <w:tcPr>
            <w:tcW w:w="2875" w:type="dxa"/>
          </w:tcPr>
          <w:p w14:paraId="4E2C1DC9"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 xml:space="preserve">Konkursam pieejamais finansējums </w:t>
            </w:r>
            <w:r w:rsidRPr="009905B5">
              <w:rPr>
                <w:rFonts w:ascii="Times New Roman" w:hAnsi="Times New Roman" w:cs="Times New Roman"/>
                <w:color w:val="1B1D1F"/>
              </w:rPr>
              <w:t>(EUR)</w:t>
            </w:r>
          </w:p>
        </w:tc>
        <w:tc>
          <w:tcPr>
            <w:tcW w:w="1530" w:type="dxa"/>
            <w:vAlign w:val="center"/>
          </w:tcPr>
          <w:p w14:paraId="0D7F85D5" w14:textId="77777777" w:rsidR="00F71E29" w:rsidRPr="009905B5" w:rsidRDefault="00353D6E" w:rsidP="00C05614">
            <w:pPr>
              <w:jc w:val="center"/>
              <w:rPr>
                <w:rFonts w:ascii="Times New Roman" w:hAnsi="Times New Roman" w:cs="Times New Roman"/>
                <w:color w:val="1B1D1F"/>
              </w:rPr>
            </w:pPr>
            <w:r>
              <w:rPr>
                <w:rFonts w:ascii="Times New Roman" w:hAnsi="Times New Roman" w:cs="Times New Roman"/>
                <w:color w:val="1B1D1F"/>
              </w:rPr>
              <w:t>3</w:t>
            </w:r>
            <w:r w:rsidR="00F71E29" w:rsidRPr="009905B5">
              <w:rPr>
                <w:rFonts w:ascii="Times New Roman" w:hAnsi="Times New Roman" w:cs="Times New Roman"/>
                <w:color w:val="1B1D1F"/>
              </w:rPr>
              <w:t>31 000</w:t>
            </w:r>
          </w:p>
        </w:tc>
        <w:tc>
          <w:tcPr>
            <w:tcW w:w="1350" w:type="dxa"/>
            <w:vAlign w:val="center"/>
          </w:tcPr>
          <w:p w14:paraId="703DFFBD"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157 000</w:t>
            </w:r>
          </w:p>
        </w:tc>
        <w:tc>
          <w:tcPr>
            <w:tcW w:w="1350" w:type="dxa"/>
            <w:vAlign w:val="center"/>
          </w:tcPr>
          <w:p w14:paraId="1588DAD1"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213 013</w:t>
            </w:r>
          </w:p>
        </w:tc>
        <w:tc>
          <w:tcPr>
            <w:tcW w:w="1530" w:type="dxa"/>
            <w:vAlign w:val="center"/>
          </w:tcPr>
          <w:p w14:paraId="3E3F3FCB"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213 013</w:t>
            </w:r>
          </w:p>
        </w:tc>
      </w:tr>
      <w:tr w:rsidR="00F71E29" w:rsidRPr="009905B5" w14:paraId="0094293F" w14:textId="77777777" w:rsidTr="00536CF2">
        <w:tc>
          <w:tcPr>
            <w:tcW w:w="2875" w:type="dxa"/>
          </w:tcPr>
          <w:p w14:paraId="79056B7F" w14:textId="77777777" w:rsidR="00F71E29" w:rsidRPr="009905B5" w:rsidRDefault="00F71E29" w:rsidP="00C05614">
            <w:pPr>
              <w:jc w:val="both"/>
              <w:rPr>
                <w:rFonts w:ascii="Times New Roman" w:hAnsi="Times New Roman" w:cs="Times New Roman"/>
                <w:b/>
                <w:color w:val="1B1D1F"/>
              </w:rPr>
            </w:pPr>
            <w:r w:rsidRPr="009905B5">
              <w:rPr>
                <w:rFonts w:ascii="Times New Roman" w:hAnsi="Times New Roman" w:cs="Times New Roman"/>
                <w:b/>
                <w:color w:val="1B1D1F"/>
              </w:rPr>
              <w:t>Atbalstīto projektu skaits</w:t>
            </w:r>
          </w:p>
        </w:tc>
        <w:tc>
          <w:tcPr>
            <w:tcW w:w="1530" w:type="dxa"/>
            <w:vAlign w:val="center"/>
          </w:tcPr>
          <w:p w14:paraId="5FF9DF52" w14:textId="77777777" w:rsidR="00F71E29" w:rsidRPr="009905B5" w:rsidRDefault="00353D6E" w:rsidP="00C05614">
            <w:pPr>
              <w:jc w:val="center"/>
              <w:rPr>
                <w:rFonts w:ascii="Times New Roman" w:hAnsi="Times New Roman" w:cs="Times New Roman"/>
                <w:color w:val="1B1D1F"/>
              </w:rPr>
            </w:pPr>
            <w:r>
              <w:rPr>
                <w:rFonts w:ascii="Times New Roman" w:hAnsi="Times New Roman" w:cs="Times New Roman"/>
                <w:color w:val="1B1D1F"/>
              </w:rPr>
              <w:t>11</w:t>
            </w:r>
          </w:p>
        </w:tc>
        <w:tc>
          <w:tcPr>
            <w:tcW w:w="1350" w:type="dxa"/>
            <w:vAlign w:val="center"/>
          </w:tcPr>
          <w:p w14:paraId="0FF9341E"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5</w:t>
            </w:r>
          </w:p>
        </w:tc>
        <w:tc>
          <w:tcPr>
            <w:tcW w:w="1350" w:type="dxa"/>
            <w:vAlign w:val="center"/>
          </w:tcPr>
          <w:p w14:paraId="665128E1"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7</w:t>
            </w:r>
          </w:p>
        </w:tc>
        <w:tc>
          <w:tcPr>
            <w:tcW w:w="1530" w:type="dxa"/>
            <w:vAlign w:val="center"/>
          </w:tcPr>
          <w:p w14:paraId="529A329A" w14:textId="77777777" w:rsidR="00F71E29" w:rsidRPr="009905B5" w:rsidRDefault="00F71E29" w:rsidP="00C05614">
            <w:pPr>
              <w:jc w:val="center"/>
              <w:rPr>
                <w:rFonts w:ascii="Times New Roman" w:hAnsi="Times New Roman" w:cs="Times New Roman"/>
                <w:color w:val="1B1D1F"/>
              </w:rPr>
            </w:pPr>
            <w:r w:rsidRPr="009905B5">
              <w:rPr>
                <w:rFonts w:ascii="Times New Roman" w:hAnsi="Times New Roman" w:cs="Times New Roman"/>
                <w:color w:val="1B1D1F"/>
              </w:rPr>
              <w:t>7</w:t>
            </w:r>
          </w:p>
        </w:tc>
      </w:tr>
    </w:tbl>
    <w:p w14:paraId="4EFF0D8F" w14:textId="77777777" w:rsidR="002431C3" w:rsidRPr="009905B5" w:rsidRDefault="00AA0DF2" w:rsidP="00235014">
      <w:pPr>
        <w:spacing w:before="24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Šobrīd</w:t>
      </w:r>
      <w:r w:rsidR="00BA733C" w:rsidRPr="009905B5">
        <w:rPr>
          <w:rFonts w:ascii="Times New Roman" w:hAnsi="Times New Roman" w:cs="Times New Roman"/>
          <w:sz w:val="24"/>
          <w:szCs w:val="24"/>
        </w:rPr>
        <w:t xml:space="preserve"> atvēlētais finansējums </w:t>
      </w:r>
      <w:r w:rsidR="00EE3FD1" w:rsidRPr="009905B5">
        <w:rPr>
          <w:rFonts w:ascii="Times New Roman" w:hAnsi="Times New Roman" w:cs="Times New Roman"/>
          <w:sz w:val="24"/>
          <w:szCs w:val="24"/>
        </w:rPr>
        <w:t xml:space="preserve">neļauj pilnībā </w:t>
      </w:r>
      <w:r w:rsidR="006119C7">
        <w:rPr>
          <w:rFonts w:ascii="Times New Roman" w:hAnsi="Times New Roman" w:cs="Times New Roman"/>
          <w:sz w:val="24"/>
          <w:szCs w:val="24"/>
        </w:rPr>
        <w:t>realizēt</w:t>
      </w:r>
      <w:r w:rsidR="00EE3FD1" w:rsidRPr="009905B5">
        <w:rPr>
          <w:rFonts w:ascii="Times New Roman" w:hAnsi="Times New Roman" w:cs="Times New Roman"/>
          <w:sz w:val="24"/>
          <w:szCs w:val="24"/>
        </w:rPr>
        <w:t xml:space="preserve"> Latvijas </w:t>
      </w:r>
      <w:r w:rsidR="00BA733C" w:rsidRPr="009905B5">
        <w:rPr>
          <w:rFonts w:ascii="Times New Roman" w:hAnsi="Times New Roman" w:cs="Times New Roman"/>
          <w:sz w:val="24"/>
          <w:szCs w:val="24"/>
        </w:rPr>
        <w:t>īstenotāju</w:t>
      </w:r>
      <w:r w:rsidR="006443E2" w:rsidRPr="009905B5">
        <w:rPr>
          <w:rFonts w:ascii="Times New Roman" w:hAnsi="Times New Roman" w:cs="Times New Roman"/>
          <w:sz w:val="24"/>
          <w:szCs w:val="24"/>
        </w:rPr>
        <w:t xml:space="preserve"> </w:t>
      </w:r>
      <w:r w:rsidR="00BA733C" w:rsidRPr="009905B5">
        <w:rPr>
          <w:rFonts w:ascii="Times New Roman" w:hAnsi="Times New Roman" w:cs="Times New Roman"/>
          <w:sz w:val="24"/>
          <w:szCs w:val="24"/>
        </w:rPr>
        <w:t>potenciāl</w:t>
      </w:r>
      <w:r w:rsidR="00EE3FD1" w:rsidRPr="009905B5">
        <w:rPr>
          <w:rFonts w:ascii="Times New Roman" w:hAnsi="Times New Roman" w:cs="Times New Roman"/>
          <w:sz w:val="24"/>
          <w:szCs w:val="24"/>
        </w:rPr>
        <w:t>u</w:t>
      </w:r>
      <w:r w:rsidR="00BA733C" w:rsidRPr="009905B5">
        <w:rPr>
          <w:rFonts w:ascii="Times New Roman" w:hAnsi="Times New Roman" w:cs="Times New Roman"/>
          <w:sz w:val="24"/>
          <w:szCs w:val="24"/>
        </w:rPr>
        <w:t xml:space="preserve"> attīstības </w:t>
      </w:r>
      <w:r w:rsidRPr="009905B5">
        <w:rPr>
          <w:rFonts w:ascii="Times New Roman" w:hAnsi="Times New Roman" w:cs="Times New Roman"/>
          <w:sz w:val="24"/>
          <w:szCs w:val="24"/>
        </w:rPr>
        <w:t>sadarbības</w:t>
      </w:r>
      <w:r w:rsidR="00BA733C" w:rsidRPr="009905B5">
        <w:rPr>
          <w:rFonts w:ascii="Times New Roman" w:hAnsi="Times New Roman" w:cs="Times New Roman"/>
          <w:sz w:val="24"/>
          <w:szCs w:val="24"/>
        </w:rPr>
        <w:t xml:space="preserve"> </w:t>
      </w:r>
      <w:r w:rsidR="006A19F4" w:rsidRPr="009905B5">
        <w:rPr>
          <w:rFonts w:ascii="Times New Roman" w:hAnsi="Times New Roman" w:cs="Times New Roman"/>
          <w:sz w:val="24"/>
          <w:szCs w:val="24"/>
        </w:rPr>
        <w:t xml:space="preserve">jomā. </w:t>
      </w:r>
      <w:r w:rsidR="009039AA" w:rsidRPr="00C05614">
        <w:rPr>
          <w:rFonts w:ascii="Times New Roman" w:hAnsi="Times New Roman" w:cs="Times New Roman"/>
          <w:sz w:val="24"/>
          <w:szCs w:val="24"/>
        </w:rPr>
        <w:t>Esošajā situācijā tiek ierobežota</w:t>
      </w:r>
      <w:r w:rsidR="002431C3" w:rsidRPr="009905B5">
        <w:rPr>
          <w:rFonts w:ascii="Times New Roman" w:hAnsi="Times New Roman" w:cs="Times New Roman"/>
          <w:sz w:val="24"/>
          <w:szCs w:val="24"/>
        </w:rPr>
        <w:t xml:space="preserve"> pēctecība iepriekšējos gados īstenotajiem attīstības sadarbības projektiem, kā arī mērķorientētas politikas īstenošan</w:t>
      </w:r>
      <w:r w:rsidR="00460215" w:rsidRPr="009905B5">
        <w:rPr>
          <w:rFonts w:ascii="Times New Roman" w:hAnsi="Times New Roman" w:cs="Times New Roman"/>
          <w:sz w:val="24"/>
          <w:szCs w:val="24"/>
        </w:rPr>
        <w:t>a</w:t>
      </w:r>
      <w:r w:rsidR="002431C3" w:rsidRPr="009905B5">
        <w:rPr>
          <w:rFonts w:ascii="Times New Roman" w:hAnsi="Times New Roman" w:cs="Times New Roman"/>
          <w:sz w:val="24"/>
          <w:szCs w:val="24"/>
        </w:rPr>
        <w:t xml:space="preserve"> un ilgtspējīgu rezultātu sasniegšan</w:t>
      </w:r>
      <w:r w:rsidR="00460215" w:rsidRPr="009905B5">
        <w:rPr>
          <w:rFonts w:ascii="Times New Roman" w:hAnsi="Times New Roman" w:cs="Times New Roman"/>
          <w:sz w:val="24"/>
          <w:szCs w:val="24"/>
        </w:rPr>
        <w:t>a</w:t>
      </w:r>
      <w:r w:rsidR="002431C3" w:rsidRPr="009905B5">
        <w:rPr>
          <w:rFonts w:ascii="Times New Roman" w:hAnsi="Times New Roman" w:cs="Times New Roman"/>
          <w:sz w:val="24"/>
          <w:szCs w:val="24"/>
        </w:rPr>
        <w:t>, kas savukārt ietekmē Latvijas kā donora paredzamību</w:t>
      </w:r>
      <w:r w:rsidR="006119C7">
        <w:rPr>
          <w:rFonts w:ascii="Times New Roman" w:hAnsi="Times New Roman" w:cs="Times New Roman"/>
          <w:sz w:val="24"/>
          <w:szCs w:val="24"/>
        </w:rPr>
        <w:t xml:space="preserve"> un </w:t>
      </w:r>
      <w:r w:rsidR="006119C7" w:rsidRPr="009905B5">
        <w:rPr>
          <w:rFonts w:ascii="Times New Roman" w:hAnsi="Times New Roman" w:cs="Times New Roman"/>
          <w:sz w:val="24"/>
          <w:szCs w:val="24"/>
        </w:rPr>
        <w:t>atpazīstamību</w:t>
      </w:r>
      <w:r w:rsidR="002431C3" w:rsidRPr="009905B5">
        <w:rPr>
          <w:rFonts w:ascii="Times New Roman" w:hAnsi="Times New Roman" w:cs="Times New Roman"/>
          <w:sz w:val="24"/>
          <w:szCs w:val="24"/>
        </w:rPr>
        <w:t>.</w:t>
      </w:r>
    </w:p>
    <w:p w14:paraId="29B7FF38" w14:textId="77777777" w:rsidR="00FA0A0A" w:rsidRPr="009905B5" w:rsidRDefault="005F28EC" w:rsidP="00C05614">
      <w:pPr>
        <w:spacing w:before="120" w:after="0" w:line="240" w:lineRule="auto"/>
        <w:jc w:val="both"/>
        <w:rPr>
          <w:rFonts w:ascii="Times New Roman" w:eastAsia="Calibri" w:hAnsi="Times New Roman" w:cs="Times New Roman"/>
          <w:sz w:val="24"/>
          <w:szCs w:val="24"/>
        </w:rPr>
      </w:pPr>
      <w:r w:rsidRPr="009905B5">
        <w:rPr>
          <w:rFonts w:ascii="Times New Roman" w:hAnsi="Times New Roman" w:cs="Times New Roman"/>
          <w:sz w:val="24"/>
          <w:szCs w:val="24"/>
        </w:rPr>
        <w:t xml:space="preserve">Finansējuma palielināšana ļautu </w:t>
      </w:r>
      <w:r w:rsidRPr="009905B5">
        <w:rPr>
          <w:rFonts w:ascii="Times New Roman" w:eastAsia="Calibri" w:hAnsi="Times New Roman" w:cs="Times New Roman"/>
          <w:sz w:val="24"/>
          <w:szCs w:val="24"/>
        </w:rPr>
        <w:t>kvalitatīvākā un ilgtspējīgākā veidā nodot attīst</w:t>
      </w:r>
      <w:r w:rsidR="00F73CD8" w:rsidRPr="009905B5">
        <w:rPr>
          <w:rFonts w:ascii="Times New Roman" w:eastAsia="Calibri" w:hAnsi="Times New Roman" w:cs="Times New Roman"/>
          <w:sz w:val="24"/>
          <w:szCs w:val="24"/>
        </w:rPr>
        <w:t>ības valstīm Latvijas pārvaldes</w:t>
      </w:r>
      <w:r w:rsidRPr="009905B5">
        <w:rPr>
          <w:rFonts w:ascii="Times New Roman" w:eastAsia="Calibri" w:hAnsi="Times New Roman" w:cs="Times New Roman"/>
          <w:sz w:val="24"/>
          <w:szCs w:val="24"/>
        </w:rPr>
        <w:t xml:space="preserve"> pieredzi un </w:t>
      </w:r>
      <w:r w:rsidR="00F73CD8" w:rsidRPr="009905B5">
        <w:rPr>
          <w:rFonts w:ascii="Times New Roman" w:eastAsia="Calibri" w:hAnsi="Times New Roman" w:cs="Times New Roman"/>
          <w:sz w:val="24"/>
          <w:szCs w:val="24"/>
        </w:rPr>
        <w:t xml:space="preserve">labo </w:t>
      </w:r>
      <w:r w:rsidRPr="009905B5">
        <w:rPr>
          <w:rFonts w:ascii="Times New Roman" w:eastAsia="Calibri" w:hAnsi="Times New Roman" w:cs="Times New Roman"/>
          <w:sz w:val="24"/>
          <w:szCs w:val="24"/>
        </w:rPr>
        <w:t>praksi, PSO iniciatīvas sabiedrības iesaistes jomā, privātā sektora izstrādātus risinājumus, piemēram e-pār</w:t>
      </w:r>
      <w:r w:rsidR="006443E2" w:rsidRPr="009905B5">
        <w:rPr>
          <w:rFonts w:ascii="Times New Roman" w:eastAsia="Calibri" w:hAnsi="Times New Roman" w:cs="Times New Roman"/>
          <w:sz w:val="24"/>
          <w:szCs w:val="24"/>
        </w:rPr>
        <w:t>v</w:t>
      </w:r>
      <w:r w:rsidR="008921C9" w:rsidRPr="009905B5">
        <w:rPr>
          <w:rFonts w:ascii="Times New Roman" w:eastAsia="Calibri" w:hAnsi="Times New Roman" w:cs="Times New Roman"/>
          <w:sz w:val="24"/>
          <w:szCs w:val="24"/>
        </w:rPr>
        <w:t>aldes un tīro tehnoloģiju jomā. T</w:t>
      </w:r>
      <w:r w:rsidR="006443E2" w:rsidRPr="009905B5">
        <w:rPr>
          <w:rFonts w:ascii="Times New Roman" w:eastAsia="Calibri" w:hAnsi="Times New Roman" w:cs="Times New Roman"/>
          <w:sz w:val="24"/>
          <w:szCs w:val="24"/>
        </w:rPr>
        <w:t>ādējādi</w:t>
      </w:r>
      <w:r w:rsidR="008921C9" w:rsidRPr="009905B5">
        <w:rPr>
          <w:rFonts w:ascii="Times New Roman" w:eastAsia="Calibri" w:hAnsi="Times New Roman" w:cs="Times New Roman"/>
          <w:sz w:val="24"/>
          <w:szCs w:val="24"/>
        </w:rPr>
        <w:t xml:space="preserve"> Latvija</w:t>
      </w:r>
      <w:r w:rsidR="006443E2" w:rsidRPr="009905B5">
        <w:rPr>
          <w:rFonts w:ascii="Times New Roman" w:eastAsia="Calibri" w:hAnsi="Times New Roman" w:cs="Times New Roman"/>
          <w:sz w:val="24"/>
          <w:szCs w:val="24"/>
        </w:rPr>
        <w:t xml:space="preserve"> snie</w:t>
      </w:r>
      <w:r w:rsidR="008921C9" w:rsidRPr="009905B5">
        <w:rPr>
          <w:rFonts w:ascii="Times New Roman" w:eastAsia="Calibri" w:hAnsi="Times New Roman" w:cs="Times New Roman"/>
          <w:sz w:val="24"/>
          <w:szCs w:val="24"/>
        </w:rPr>
        <w:t>gtu</w:t>
      </w:r>
      <w:r w:rsidR="006443E2" w:rsidRPr="009905B5">
        <w:rPr>
          <w:rFonts w:ascii="Times New Roman" w:eastAsia="Calibri" w:hAnsi="Times New Roman" w:cs="Times New Roman"/>
          <w:sz w:val="24"/>
          <w:szCs w:val="24"/>
        </w:rPr>
        <w:t xml:space="preserve"> pieaugošu ieguldījumu attīstības valstu labklājības veicināšanā,</w:t>
      </w:r>
      <w:r w:rsidR="000C7781" w:rsidRPr="009905B5">
        <w:rPr>
          <w:rFonts w:ascii="Times New Roman" w:eastAsia="Calibri" w:hAnsi="Times New Roman" w:cs="Times New Roman"/>
          <w:sz w:val="24"/>
          <w:szCs w:val="24"/>
        </w:rPr>
        <w:t xml:space="preserve"> partnervalstu</w:t>
      </w:r>
      <w:r w:rsidR="006443E2" w:rsidRPr="009905B5">
        <w:rPr>
          <w:rFonts w:ascii="Times New Roman" w:eastAsia="Calibri" w:hAnsi="Times New Roman" w:cs="Times New Roman"/>
          <w:sz w:val="24"/>
          <w:szCs w:val="24"/>
        </w:rPr>
        <w:t xml:space="preserve"> uzņēmējdarbības vides uzlabošanā,</w:t>
      </w:r>
      <w:r w:rsidR="003D3E74" w:rsidRPr="009905B5">
        <w:rPr>
          <w:rFonts w:ascii="Times New Roman" w:eastAsia="Calibri" w:hAnsi="Times New Roman" w:cs="Times New Roman"/>
          <w:sz w:val="24"/>
          <w:szCs w:val="24"/>
        </w:rPr>
        <w:t xml:space="preserve"> kā arī palīdzētu attīstības valstīm pielāgoties laikmeta digitālajām un klimata pārmaiņām, cita starpā piedāvājot Latvijā izstrādātus risinājumus</w:t>
      </w:r>
      <w:r w:rsidR="00D02FB4">
        <w:rPr>
          <w:rFonts w:ascii="Times New Roman" w:eastAsia="Calibri" w:hAnsi="Times New Roman" w:cs="Times New Roman"/>
          <w:sz w:val="24"/>
          <w:szCs w:val="24"/>
        </w:rPr>
        <w:t>. Privātajam sektoram</w:t>
      </w:r>
      <w:r w:rsidR="003149FB">
        <w:rPr>
          <w:rFonts w:ascii="Times New Roman" w:eastAsia="Calibri" w:hAnsi="Times New Roman" w:cs="Times New Roman"/>
          <w:sz w:val="24"/>
          <w:szCs w:val="24"/>
        </w:rPr>
        <w:t xml:space="preserve">, aktīvi iesaistoties attīstības sadarbības projektu īstenošanā, </w:t>
      </w:r>
      <w:r w:rsidR="003149FB" w:rsidRPr="00125649">
        <w:rPr>
          <w:rFonts w:ascii="Times New Roman" w:eastAsia="Calibri" w:hAnsi="Times New Roman" w:cs="Times New Roman"/>
          <w:sz w:val="24"/>
          <w:szCs w:val="24"/>
        </w:rPr>
        <w:t>tā</w:t>
      </w:r>
      <w:r w:rsidR="00D02FB4" w:rsidRPr="00125649">
        <w:rPr>
          <w:rFonts w:ascii="Times New Roman" w:eastAsia="Calibri" w:hAnsi="Times New Roman" w:cs="Times New Roman"/>
          <w:sz w:val="24"/>
          <w:szCs w:val="24"/>
        </w:rPr>
        <w:t xml:space="preserve"> būtu iespēja iepazīstināt ar </w:t>
      </w:r>
      <w:r w:rsidR="00882C16" w:rsidRPr="00125649">
        <w:rPr>
          <w:rFonts w:ascii="Times New Roman" w:eastAsia="Calibri" w:hAnsi="Times New Roman" w:cs="Times New Roman"/>
          <w:sz w:val="24"/>
          <w:szCs w:val="24"/>
        </w:rPr>
        <w:t>savām</w:t>
      </w:r>
      <w:r w:rsidR="003149FB" w:rsidRPr="00125649">
        <w:rPr>
          <w:rFonts w:ascii="Times New Roman" w:eastAsia="Calibri" w:hAnsi="Times New Roman" w:cs="Times New Roman"/>
          <w:sz w:val="24"/>
          <w:szCs w:val="24"/>
        </w:rPr>
        <w:t xml:space="preserve"> </w:t>
      </w:r>
      <w:r w:rsidR="00D02FB4" w:rsidRPr="00125649">
        <w:rPr>
          <w:rFonts w:ascii="Times New Roman" w:eastAsia="Calibri" w:hAnsi="Times New Roman" w:cs="Times New Roman"/>
          <w:sz w:val="24"/>
          <w:szCs w:val="24"/>
        </w:rPr>
        <w:t>tehnoloģijā</w:t>
      </w:r>
      <w:r w:rsidR="003149FB" w:rsidRPr="00125649">
        <w:rPr>
          <w:rFonts w:ascii="Times New Roman" w:eastAsia="Calibri" w:hAnsi="Times New Roman" w:cs="Times New Roman"/>
          <w:sz w:val="24"/>
          <w:szCs w:val="24"/>
        </w:rPr>
        <w:t>m</w:t>
      </w:r>
      <w:r w:rsidR="00882C16" w:rsidRPr="00125649">
        <w:rPr>
          <w:rFonts w:ascii="Times New Roman" w:eastAsia="Calibri" w:hAnsi="Times New Roman" w:cs="Times New Roman"/>
          <w:sz w:val="24"/>
          <w:szCs w:val="24"/>
        </w:rPr>
        <w:t xml:space="preserve"> un pieejām</w:t>
      </w:r>
      <w:r w:rsidR="00D02FB4" w:rsidRPr="00125649">
        <w:rPr>
          <w:rFonts w:ascii="Times New Roman" w:eastAsia="Calibri" w:hAnsi="Times New Roman" w:cs="Times New Roman"/>
          <w:sz w:val="24"/>
          <w:szCs w:val="24"/>
        </w:rPr>
        <w:t xml:space="preserve"> un </w:t>
      </w:r>
      <w:r w:rsidR="003149FB" w:rsidRPr="00125649">
        <w:rPr>
          <w:rFonts w:ascii="Times New Roman" w:eastAsia="Calibri" w:hAnsi="Times New Roman" w:cs="Times New Roman"/>
          <w:sz w:val="24"/>
          <w:szCs w:val="24"/>
        </w:rPr>
        <w:t>potenciāli arī rast jaunas eksporta iespējas</w:t>
      </w:r>
      <w:r w:rsidR="003149FB">
        <w:rPr>
          <w:rFonts w:ascii="Times New Roman" w:eastAsia="Calibri" w:hAnsi="Times New Roman" w:cs="Times New Roman"/>
          <w:sz w:val="24"/>
          <w:szCs w:val="24"/>
        </w:rPr>
        <w:t>.</w:t>
      </w:r>
    </w:p>
    <w:p w14:paraId="12C6C53D" w14:textId="77777777" w:rsidR="00F73CD8" w:rsidRPr="009905B5" w:rsidRDefault="00452B9A"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Finansējuma palielināšana ļautu </w:t>
      </w:r>
      <w:r w:rsidR="003F100F" w:rsidRPr="009905B5">
        <w:rPr>
          <w:rFonts w:ascii="Times New Roman" w:hAnsi="Times New Roman" w:cs="Times New Roman"/>
          <w:sz w:val="24"/>
          <w:szCs w:val="24"/>
        </w:rPr>
        <w:t>īstenot</w:t>
      </w:r>
      <w:r w:rsidRPr="009905B5">
        <w:rPr>
          <w:rFonts w:ascii="Times New Roman" w:hAnsi="Times New Roman" w:cs="Times New Roman"/>
          <w:sz w:val="24"/>
          <w:szCs w:val="24"/>
        </w:rPr>
        <w:t xml:space="preserve"> ilgtermiņa aktivitātes</w:t>
      </w:r>
      <w:r w:rsidR="003F100F" w:rsidRPr="009905B5">
        <w:rPr>
          <w:rFonts w:ascii="Times New Roman" w:hAnsi="Times New Roman" w:cs="Times New Roman"/>
          <w:sz w:val="24"/>
          <w:szCs w:val="24"/>
        </w:rPr>
        <w:t>, stiprināt rezultātu ilgtspēju un</w:t>
      </w:r>
      <w:r w:rsidRPr="009905B5">
        <w:rPr>
          <w:rFonts w:ascii="Times New Roman" w:hAnsi="Times New Roman" w:cs="Times New Roman"/>
          <w:sz w:val="24"/>
          <w:szCs w:val="24"/>
        </w:rPr>
        <w:t xml:space="preserve"> aktīvāku sadarbību ar citiem donoriem. Pieaugot īstenotāju pieredzei divpusējās attīstības sadarbības projektu </w:t>
      </w:r>
      <w:r w:rsidR="00135531" w:rsidRPr="009905B5">
        <w:rPr>
          <w:rFonts w:ascii="Times New Roman" w:hAnsi="Times New Roman" w:cs="Times New Roman"/>
          <w:sz w:val="24"/>
          <w:szCs w:val="24"/>
        </w:rPr>
        <w:t>ieviešanā</w:t>
      </w:r>
      <w:r w:rsidRPr="009905B5">
        <w:rPr>
          <w:rFonts w:ascii="Times New Roman" w:hAnsi="Times New Roman" w:cs="Times New Roman"/>
          <w:sz w:val="24"/>
          <w:szCs w:val="24"/>
        </w:rPr>
        <w:t>, palielinātos arī Latvijas ekspertu, PSO, pr</w:t>
      </w:r>
      <w:r w:rsidR="003D3E74" w:rsidRPr="009905B5">
        <w:rPr>
          <w:rFonts w:ascii="Times New Roman" w:hAnsi="Times New Roman" w:cs="Times New Roman"/>
          <w:sz w:val="24"/>
          <w:szCs w:val="24"/>
        </w:rPr>
        <w:t>ivātā sektora s</w:t>
      </w:r>
      <w:r w:rsidRPr="009905B5">
        <w:rPr>
          <w:rFonts w:ascii="Times New Roman" w:hAnsi="Times New Roman" w:cs="Times New Roman"/>
          <w:sz w:val="24"/>
          <w:szCs w:val="24"/>
        </w:rPr>
        <w:t>pējas iesaistīties citu donoru projektos, t.sk. ES</w:t>
      </w:r>
      <w:r w:rsidR="002431C3" w:rsidRPr="009905B5">
        <w:rPr>
          <w:rFonts w:ascii="Times New Roman" w:hAnsi="Times New Roman" w:cs="Times New Roman"/>
          <w:sz w:val="24"/>
          <w:szCs w:val="24"/>
        </w:rPr>
        <w:t xml:space="preserve"> un citu starptautisko organizāciju</w:t>
      </w:r>
      <w:r w:rsidRPr="009905B5">
        <w:rPr>
          <w:rFonts w:ascii="Times New Roman" w:hAnsi="Times New Roman" w:cs="Times New Roman"/>
          <w:sz w:val="24"/>
          <w:szCs w:val="24"/>
        </w:rPr>
        <w:t xml:space="preserve"> finansēto projektu īstenošanā.</w:t>
      </w:r>
      <w:r w:rsidR="000C7781" w:rsidRPr="009905B5">
        <w:rPr>
          <w:rFonts w:ascii="Times New Roman" w:hAnsi="Times New Roman" w:cs="Times New Roman"/>
          <w:sz w:val="24"/>
          <w:szCs w:val="24"/>
        </w:rPr>
        <w:t xml:space="preserve"> </w:t>
      </w:r>
    </w:p>
    <w:p w14:paraId="6E8969FB" w14:textId="77777777" w:rsidR="000C7781" w:rsidRPr="009905B5" w:rsidRDefault="000C7781" w:rsidP="00C05614">
      <w:pPr>
        <w:spacing w:before="120" w:after="0" w:line="240" w:lineRule="auto"/>
        <w:jc w:val="both"/>
        <w:rPr>
          <w:rFonts w:ascii="Times New Roman" w:eastAsia="Calibri" w:hAnsi="Times New Roman" w:cs="Times New Roman"/>
          <w:sz w:val="24"/>
          <w:szCs w:val="24"/>
        </w:rPr>
      </w:pPr>
      <w:r w:rsidRPr="009905B5">
        <w:rPr>
          <w:rFonts w:ascii="Times New Roman" w:hAnsi="Times New Roman" w:cs="Times New Roman"/>
          <w:sz w:val="24"/>
          <w:szCs w:val="24"/>
        </w:rPr>
        <w:lastRenderedPageBreak/>
        <w:t>Papildu resursu atvēlē</w:t>
      </w:r>
      <w:r w:rsidR="00F42598" w:rsidRPr="009905B5">
        <w:rPr>
          <w:rFonts w:ascii="Times New Roman" w:hAnsi="Times New Roman" w:cs="Times New Roman"/>
          <w:sz w:val="24"/>
          <w:szCs w:val="24"/>
        </w:rPr>
        <w:t xml:space="preserve">šana </w:t>
      </w:r>
      <w:r w:rsidR="00135531" w:rsidRPr="009905B5">
        <w:rPr>
          <w:rFonts w:ascii="Times New Roman" w:hAnsi="Times New Roman" w:cs="Times New Roman"/>
          <w:sz w:val="24"/>
          <w:szCs w:val="24"/>
        </w:rPr>
        <w:t xml:space="preserve">dotu </w:t>
      </w:r>
      <w:r w:rsidRPr="009905B5">
        <w:rPr>
          <w:rFonts w:ascii="Times New Roman" w:hAnsi="Times New Roman" w:cs="Times New Roman"/>
          <w:sz w:val="24"/>
          <w:szCs w:val="24"/>
        </w:rPr>
        <w:t xml:space="preserve">iespēju </w:t>
      </w:r>
      <w:r w:rsidR="00FE663F" w:rsidRPr="009905B5">
        <w:rPr>
          <w:rFonts w:ascii="Times New Roman" w:hAnsi="Times New Roman" w:cs="Times New Roman"/>
          <w:sz w:val="24"/>
          <w:szCs w:val="24"/>
        </w:rPr>
        <w:t xml:space="preserve">arī plānveidīgi </w:t>
      </w:r>
      <w:r w:rsidR="00F42598" w:rsidRPr="009905B5">
        <w:rPr>
          <w:rFonts w:ascii="Times New Roman" w:hAnsi="Times New Roman" w:cs="Times New Roman"/>
          <w:sz w:val="24"/>
          <w:szCs w:val="24"/>
        </w:rPr>
        <w:t xml:space="preserve">sniegt </w:t>
      </w:r>
      <w:r w:rsidR="00F42598" w:rsidRPr="00DD7654">
        <w:rPr>
          <w:rFonts w:ascii="Times New Roman" w:hAnsi="Times New Roman" w:cs="Times New Roman"/>
          <w:sz w:val="24"/>
          <w:szCs w:val="24"/>
        </w:rPr>
        <w:t>humāno palīdzību</w:t>
      </w:r>
      <w:r w:rsidR="00F42598" w:rsidRPr="009905B5">
        <w:rPr>
          <w:rFonts w:ascii="Times New Roman" w:hAnsi="Times New Roman" w:cs="Times New Roman"/>
          <w:sz w:val="24"/>
          <w:szCs w:val="24"/>
        </w:rPr>
        <w:t xml:space="preserve"> </w:t>
      </w:r>
      <w:r w:rsidR="00582AFD">
        <w:rPr>
          <w:rFonts w:ascii="Times New Roman" w:hAnsi="Times New Roman" w:cs="Times New Roman"/>
          <w:sz w:val="24"/>
          <w:szCs w:val="24"/>
        </w:rPr>
        <w:t>iedzīvotājiem</w:t>
      </w:r>
      <w:r w:rsidR="00F42598" w:rsidRPr="009905B5">
        <w:rPr>
          <w:rFonts w:ascii="Times New Roman" w:hAnsi="Times New Roman" w:cs="Times New Roman"/>
          <w:sz w:val="24"/>
          <w:szCs w:val="24"/>
        </w:rPr>
        <w:t>, kur</w:t>
      </w:r>
      <w:r w:rsidR="00582AFD">
        <w:rPr>
          <w:rFonts w:ascii="Times New Roman" w:hAnsi="Times New Roman" w:cs="Times New Roman"/>
          <w:sz w:val="24"/>
          <w:szCs w:val="24"/>
        </w:rPr>
        <w:t>us</w:t>
      </w:r>
      <w:r w:rsidR="00F42598" w:rsidRPr="009905B5">
        <w:rPr>
          <w:rFonts w:ascii="Times New Roman" w:hAnsi="Times New Roman" w:cs="Times New Roman"/>
          <w:sz w:val="24"/>
          <w:szCs w:val="24"/>
        </w:rPr>
        <w:t xml:space="preserve"> skar ieilgušas </w:t>
      </w:r>
      <w:r w:rsidR="00582AFD">
        <w:rPr>
          <w:rFonts w:ascii="Times New Roman" w:hAnsi="Times New Roman" w:cs="Times New Roman"/>
          <w:sz w:val="24"/>
          <w:szCs w:val="24"/>
        </w:rPr>
        <w:t>humānās</w:t>
      </w:r>
      <w:r w:rsidR="00582AFD" w:rsidRPr="009905B5">
        <w:rPr>
          <w:rFonts w:ascii="Times New Roman" w:hAnsi="Times New Roman" w:cs="Times New Roman"/>
          <w:sz w:val="24"/>
          <w:szCs w:val="24"/>
        </w:rPr>
        <w:t xml:space="preserve"> </w:t>
      </w:r>
      <w:r w:rsidR="00F42598" w:rsidRPr="009905B5">
        <w:rPr>
          <w:rFonts w:ascii="Times New Roman" w:hAnsi="Times New Roman" w:cs="Times New Roman"/>
          <w:sz w:val="24"/>
          <w:szCs w:val="24"/>
        </w:rPr>
        <w:t xml:space="preserve">krīzes, kā arī </w:t>
      </w:r>
      <w:r w:rsidR="00135531" w:rsidRPr="009905B5">
        <w:rPr>
          <w:rFonts w:ascii="Times New Roman" w:hAnsi="Times New Roman" w:cs="Times New Roman"/>
          <w:sz w:val="24"/>
          <w:szCs w:val="24"/>
        </w:rPr>
        <w:t xml:space="preserve">ļautu </w:t>
      </w:r>
      <w:r w:rsidR="00F42598" w:rsidRPr="009905B5">
        <w:rPr>
          <w:rFonts w:ascii="Times New Roman" w:hAnsi="Times New Roman" w:cs="Times New Roman"/>
          <w:sz w:val="24"/>
          <w:szCs w:val="24"/>
        </w:rPr>
        <w:t xml:space="preserve">operatīvāk reaģēt jaunu krīžu gadījumā </w:t>
      </w:r>
      <w:r w:rsidR="00582AFD">
        <w:rPr>
          <w:rFonts w:ascii="Times New Roman" w:hAnsi="Times New Roman" w:cs="Times New Roman"/>
          <w:sz w:val="24"/>
          <w:szCs w:val="24"/>
        </w:rPr>
        <w:t xml:space="preserve">(piemēram, uz dabas katastrofām). </w:t>
      </w:r>
      <w:r w:rsidR="00582AFD" w:rsidRPr="00E564E7">
        <w:rPr>
          <w:rFonts w:ascii="Times New Roman" w:hAnsi="Times New Roman" w:cs="Times New Roman"/>
          <w:sz w:val="24"/>
          <w:szCs w:val="24"/>
        </w:rPr>
        <w:t>Latvijā humānās palīdzības sniegšanai joprojām nav atvēlēta atsevišķa budžeta līnija un netiek paredzēts ikgadējs pastā</w:t>
      </w:r>
      <w:r w:rsidR="00582AFD">
        <w:rPr>
          <w:rFonts w:ascii="Times New Roman" w:hAnsi="Times New Roman" w:cs="Times New Roman"/>
          <w:sz w:val="24"/>
          <w:szCs w:val="24"/>
        </w:rPr>
        <w:t xml:space="preserve">vīgs finansējums, tādēļ Latvija nodrošina humāno palīdzību </w:t>
      </w:r>
      <w:proofErr w:type="spellStart"/>
      <w:r w:rsidR="00582AFD" w:rsidRPr="00E564E7">
        <w:rPr>
          <w:rFonts w:ascii="Times New Roman" w:hAnsi="Times New Roman" w:cs="Times New Roman"/>
          <w:i/>
          <w:sz w:val="24"/>
          <w:szCs w:val="24"/>
        </w:rPr>
        <w:t>ad</w:t>
      </w:r>
      <w:proofErr w:type="spellEnd"/>
      <w:r w:rsidR="00582AFD" w:rsidRPr="00E564E7">
        <w:rPr>
          <w:rFonts w:ascii="Times New Roman" w:hAnsi="Times New Roman" w:cs="Times New Roman"/>
          <w:i/>
          <w:sz w:val="24"/>
          <w:szCs w:val="24"/>
        </w:rPr>
        <w:t xml:space="preserve"> </w:t>
      </w:r>
      <w:proofErr w:type="spellStart"/>
      <w:r w:rsidR="00582AFD" w:rsidRPr="00E564E7">
        <w:rPr>
          <w:rFonts w:ascii="Times New Roman" w:hAnsi="Times New Roman" w:cs="Times New Roman"/>
          <w:i/>
          <w:sz w:val="24"/>
          <w:szCs w:val="24"/>
        </w:rPr>
        <w:t>hoc</w:t>
      </w:r>
      <w:proofErr w:type="spellEnd"/>
      <w:r w:rsidR="00582AFD">
        <w:rPr>
          <w:rFonts w:ascii="Times New Roman" w:hAnsi="Times New Roman" w:cs="Times New Roman"/>
          <w:sz w:val="24"/>
          <w:szCs w:val="24"/>
        </w:rPr>
        <w:t xml:space="preserve"> un </w:t>
      </w:r>
      <w:r w:rsidR="00582AFD" w:rsidRPr="00E564E7">
        <w:rPr>
          <w:rFonts w:ascii="Times New Roman" w:hAnsi="Times New Roman" w:cs="Times New Roman"/>
          <w:sz w:val="24"/>
          <w:szCs w:val="24"/>
        </w:rPr>
        <w:t>visbiežāk</w:t>
      </w:r>
      <w:r w:rsidR="00582AFD">
        <w:rPr>
          <w:rFonts w:ascii="Times New Roman" w:hAnsi="Times New Roman" w:cs="Times New Roman"/>
          <w:sz w:val="24"/>
          <w:szCs w:val="24"/>
        </w:rPr>
        <w:t xml:space="preserve"> tā</w:t>
      </w:r>
      <w:r w:rsidR="00582AFD" w:rsidRPr="00E564E7">
        <w:rPr>
          <w:rFonts w:ascii="Times New Roman" w:hAnsi="Times New Roman" w:cs="Times New Roman"/>
          <w:sz w:val="24"/>
          <w:szCs w:val="24"/>
        </w:rPr>
        <w:t xml:space="preserve"> tiek nodrošināta no budžeta programmas “Līdzekļi neparedzētiem gadījumiem”</w:t>
      </w:r>
      <w:r w:rsidR="00DD7654">
        <w:rPr>
          <w:rFonts w:ascii="Times New Roman" w:hAnsi="Times New Roman" w:cs="Times New Roman"/>
          <w:sz w:val="24"/>
          <w:szCs w:val="24"/>
        </w:rPr>
        <w:t>.</w:t>
      </w:r>
    </w:p>
    <w:p w14:paraId="28B3C490" w14:textId="77777777" w:rsidR="00D6201A" w:rsidRDefault="00452B9A" w:rsidP="001B7725">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Sniedzot</w:t>
      </w:r>
      <w:r w:rsidR="00FA0A0A" w:rsidRPr="009905B5">
        <w:rPr>
          <w:rFonts w:ascii="Times New Roman" w:hAnsi="Times New Roman" w:cs="Times New Roman"/>
          <w:sz w:val="24"/>
          <w:szCs w:val="24"/>
        </w:rPr>
        <w:t xml:space="preserve"> lielāku</w:t>
      </w:r>
      <w:r w:rsidR="00E47B6E" w:rsidRPr="009905B5">
        <w:rPr>
          <w:rFonts w:ascii="Times New Roman" w:hAnsi="Times New Roman" w:cs="Times New Roman"/>
          <w:sz w:val="24"/>
          <w:szCs w:val="24"/>
        </w:rPr>
        <w:t xml:space="preserve"> ieguldījumu Latvijas partnervalstu attīstībā un globālu izaicinājumu risināšanā</w:t>
      </w:r>
      <w:r w:rsidRPr="009905B5">
        <w:rPr>
          <w:rFonts w:ascii="Times New Roman" w:hAnsi="Times New Roman" w:cs="Times New Roman"/>
          <w:sz w:val="24"/>
          <w:szCs w:val="24"/>
        </w:rPr>
        <w:t>, Latvija apliecinātu apņēmīb</w:t>
      </w:r>
      <w:r w:rsidR="00E47B6E" w:rsidRPr="009905B5">
        <w:rPr>
          <w:rFonts w:ascii="Times New Roman" w:hAnsi="Times New Roman" w:cs="Times New Roman"/>
          <w:sz w:val="24"/>
          <w:szCs w:val="24"/>
        </w:rPr>
        <w:t xml:space="preserve">u pildīt starptautiskās saistības un </w:t>
      </w:r>
      <w:r w:rsidR="00FA0A0A" w:rsidRPr="009905B5">
        <w:rPr>
          <w:rFonts w:ascii="Times New Roman" w:hAnsi="Times New Roman" w:cs="Times New Roman"/>
          <w:sz w:val="24"/>
          <w:szCs w:val="24"/>
        </w:rPr>
        <w:t>savu</w:t>
      </w:r>
      <w:r w:rsidRPr="009905B5">
        <w:rPr>
          <w:rFonts w:ascii="Times New Roman" w:hAnsi="Times New Roman" w:cs="Times New Roman"/>
          <w:sz w:val="24"/>
          <w:szCs w:val="24"/>
        </w:rPr>
        <w:t xml:space="preserve"> līdzatbildību </w:t>
      </w:r>
      <w:r w:rsidR="00FA0A0A" w:rsidRPr="009905B5">
        <w:rPr>
          <w:rFonts w:ascii="Times New Roman" w:hAnsi="Times New Roman" w:cs="Times New Roman"/>
          <w:sz w:val="24"/>
          <w:szCs w:val="24"/>
        </w:rPr>
        <w:t>miera</w:t>
      </w:r>
      <w:r w:rsidR="00582AFD">
        <w:rPr>
          <w:rFonts w:ascii="Times New Roman" w:hAnsi="Times New Roman" w:cs="Times New Roman"/>
          <w:sz w:val="24"/>
          <w:szCs w:val="24"/>
        </w:rPr>
        <w:t>,</w:t>
      </w:r>
      <w:r w:rsidR="00FA0A0A" w:rsidRPr="009905B5">
        <w:rPr>
          <w:rFonts w:ascii="Times New Roman" w:hAnsi="Times New Roman" w:cs="Times New Roman"/>
          <w:sz w:val="24"/>
          <w:szCs w:val="24"/>
        </w:rPr>
        <w:t xml:space="preserve"> drošības</w:t>
      </w:r>
      <w:r w:rsidRPr="009905B5">
        <w:rPr>
          <w:rFonts w:ascii="Times New Roman" w:hAnsi="Times New Roman" w:cs="Times New Roman"/>
          <w:sz w:val="24"/>
          <w:szCs w:val="24"/>
        </w:rPr>
        <w:t xml:space="preserve"> un </w:t>
      </w:r>
      <w:r w:rsidR="00FA0A0A" w:rsidRPr="009905B5">
        <w:rPr>
          <w:rFonts w:ascii="Times New Roman" w:hAnsi="Times New Roman" w:cs="Times New Roman"/>
          <w:sz w:val="24"/>
          <w:szCs w:val="24"/>
        </w:rPr>
        <w:t xml:space="preserve">ilgtspējīgas attīstības </w:t>
      </w:r>
      <w:r w:rsidR="00582AFD">
        <w:rPr>
          <w:rFonts w:ascii="Times New Roman" w:hAnsi="Times New Roman" w:cs="Times New Roman"/>
          <w:sz w:val="24"/>
          <w:szCs w:val="24"/>
        </w:rPr>
        <w:t xml:space="preserve">pasaulē </w:t>
      </w:r>
      <w:r w:rsidR="00FA0A0A" w:rsidRPr="009905B5">
        <w:rPr>
          <w:rFonts w:ascii="Times New Roman" w:hAnsi="Times New Roman" w:cs="Times New Roman"/>
          <w:sz w:val="24"/>
          <w:szCs w:val="24"/>
        </w:rPr>
        <w:t xml:space="preserve">veicināšanā. </w:t>
      </w:r>
      <w:r w:rsidR="001B7725" w:rsidRPr="00D02FB4">
        <w:rPr>
          <w:rFonts w:ascii="Times New Roman" w:hAnsi="Times New Roman" w:cs="Times New Roman"/>
          <w:sz w:val="24"/>
          <w:szCs w:val="24"/>
        </w:rPr>
        <w:t>Tas arī radītu pozitīvus priekšnoteikumus Latvijas kandidēšanai uz ANO Drošības Padomes nepastāvīgā locekļa vietu.</w:t>
      </w:r>
    </w:p>
    <w:p w14:paraId="13887DE4" w14:textId="77777777" w:rsidR="009F369A" w:rsidRDefault="009F369A" w:rsidP="00C6786A">
      <w:pPr>
        <w:pStyle w:val="ListParagraph"/>
        <w:numPr>
          <w:ilvl w:val="1"/>
          <w:numId w:val="1"/>
        </w:numPr>
        <w:spacing w:before="120" w:after="240" w:line="240" w:lineRule="auto"/>
        <w:ind w:left="806" w:hanging="446"/>
        <w:jc w:val="center"/>
        <w:outlineLvl w:val="0"/>
        <w:rPr>
          <w:rFonts w:ascii="Times New Roman" w:hAnsi="Times New Roman" w:cs="Times New Roman"/>
          <w:b/>
          <w:sz w:val="24"/>
          <w:szCs w:val="24"/>
        </w:rPr>
      </w:pPr>
      <w:r w:rsidRPr="009F369A">
        <w:rPr>
          <w:rFonts w:ascii="Times New Roman" w:hAnsi="Times New Roman" w:cs="Times New Roman"/>
          <w:b/>
          <w:sz w:val="24"/>
          <w:szCs w:val="24"/>
        </w:rPr>
        <w:t>Latvijas OAP mērķu izpilde 2016.-2020.gadā</w:t>
      </w:r>
    </w:p>
    <w:p w14:paraId="7652426E" w14:textId="77777777" w:rsidR="00BE5444" w:rsidRPr="00BE5444" w:rsidRDefault="00BE5444" w:rsidP="00BE5444">
      <w:pPr>
        <w:pStyle w:val="ListParagraph"/>
        <w:spacing w:before="120" w:after="0" w:line="240" w:lineRule="auto"/>
        <w:ind w:left="810"/>
        <w:rPr>
          <w:rFonts w:ascii="Times New Roman" w:hAnsi="Times New Roman" w:cs="Times New Roman"/>
          <w:b/>
          <w:sz w:val="24"/>
          <w:szCs w:val="24"/>
        </w:rPr>
      </w:pPr>
    </w:p>
    <w:p w14:paraId="4CCB756A" w14:textId="77777777" w:rsidR="00C07B8A" w:rsidRPr="00177E05" w:rsidRDefault="00BA4D85"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Latvijas NKI </w:t>
      </w:r>
      <w:r w:rsidR="003F100F"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3F100F" w:rsidRPr="009905B5">
        <w:rPr>
          <w:rFonts w:ascii="Times New Roman" w:hAnsi="Times New Roman" w:cs="Times New Roman"/>
          <w:color w:val="1B1D1F"/>
          <w:sz w:val="24"/>
          <w:szCs w:val="24"/>
        </w:rPr>
        <w:t xml:space="preserve">ā </w:t>
      </w:r>
      <w:r w:rsidR="00506430" w:rsidRPr="009905B5">
        <w:rPr>
          <w:rFonts w:ascii="Times New Roman" w:hAnsi="Times New Roman" w:cs="Times New Roman"/>
          <w:color w:val="1B1D1F"/>
          <w:sz w:val="24"/>
          <w:szCs w:val="24"/>
        </w:rPr>
        <w:t>bija 28</w:t>
      </w:r>
      <w:r w:rsidRPr="009905B5">
        <w:rPr>
          <w:rFonts w:ascii="Times New Roman" w:hAnsi="Times New Roman" w:cs="Times New Roman"/>
          <w:color w:val="1B1D1F"/>
          <w:sz w:val="24"/>
          <w:szCs w:val="24"/>
        </w:rPr>
        <w:t> </w:t>
      </w:r>
      <w:r w:rsidR="00506430" w:rsidRPr="009905B5">
        <w:rPr>
          <w:rFonts w:ascii="Times New Roman" w:hAnsi="Times New Roman" w:cs="Times New Roman"/>
          <w:color w:val="1B1D1F"/>
          <w:sz w:val="24"/>
          <w:szCs w:val="24"/>
        </w:rPr>
        <w:t>6</w:t>
      </w:r>
      <w:r w:rsidR="002A668D" w:rsidRPr="009905B5">
        <w:rPr>
          <w:rFonts w:ascii="Times New Roman" w:hAnsi="Times New Roman" w:cs="Times New Roman"/>
          <w:color w:val="1B1D1F"/>
          <w:sz w:val="24"/>
          <w:szCs w:val="24"/>
        </w:rPr>
        <w:t>49</w:t>
      </w:r>
      <w:r w:rsidRPr="009905B5">
        <w:rPr>
          <w:rFonts w:ascii="Times New Roman" w:hAnsi="Times New Roman" w:cs="Times New Roman"/>
          <w:color w:val="1B1D1F"/>
          <w:sz w:val="24"/>
          <w:szCs w:val="24"/>
        </w:rPr>
        <w:t> </w:t>
      </w:r>
      <w:r w:rsidR="003F100F" w:rsidRPr="009905B5">
        <w:rPr>
          <w:rFonts w:ascii="Times New Roman" w:hAnsi="Times New Roman" w:cs="Times New Roman"/>
          <w:color w:val="1B1D1F"/>
          <w:sz w:val="24"/>
          <w:szCs w:val="24"/>
        </w:rPr>
        <w:t>milj. EUR</w:t>
      </w:r>
      <w:r w:rsidR="00574345">
        <w:rPr>
          <w:rFonts w:ascii="Times New Roman" w:hAnsi="Times New Roman" w:cs="Times New Roman"/>
          <w:color w:val="1B1D1F"/>
          <w:sz w:val="24"/>
          <w:szCs w:val="24"/>
        </w:rPr>
        <w:t>.</w:t>
      </w:r>
      <w:r w:rsidR="009A2E65" w:rsidRPr="009905B5">
        <w:rPr>
          <w:rStyle w:val="FootnoteReference"/>
          <w:rFonts w:ascii="Times New Roman" w:hAnsi="Times New Roman" w:cs="Times New Roman"/>
          <w:color w:val="1B1D1F"/>
          <w:sz w:val="24"/>
          <w:szCs w:val="24"/>
        </w:rPr>
        <w:footnoteReference w:id="18"/>
      </w:r>
      <w:r w:rsidR="003F100F" w:rsidRPr="009905B5">
        <w:rPr>
          <w:rFonts w:ascii="Times New Roman" w:hAnsi="Times New Roman" w:cs="Times New Roman"/>
          <w:color w:val="1B1D1F"/>
          <w:sz w:val="24"/>
          <w:szCs w:val="24"/>
        </w:rPr>
        <w:t xml:space="preserve"> Ņemot vērā, ka Latvija šajā gadā sniedza palīdzību 29 milj. EUR apmērā, tās OAP bija 0.1% no NKI.</w:t>
      </w:r>
      <w:r w:rsidR="00574345">
        <w:rPr>
          <w:rStyle w:val="FootnoteReference"/>
          <w:rFonts w:ascii="Times New Roman" w:hAnsi="Times New Roman" w:cs="Times New Roman"/>
          <w:color w:val="1B1D1F"/>
          <w:sz w:val="24"/>
          <w:szCs w:val="24"/>
        </w:rPr>
        <w:footnoteReference w:id="19"/>
      </w:r>
      <w:r w:rsidR="00574345" w:rsidRPr="00574345">
        <w:rPr>
          <w:rStyle w:val="FootnoteReference"/>
          <w:rFonts w:ascii="Times New Roman" w:hAnsi="Times New Roman" w:cs="Times New Roman"/>
        </w:rPr>
        <w:t xml:space="preserve"> </w:t>
      </w:r>
      <w:r w:rsidR="003F100F" w:rsidRPr="009905B5">
        <w:rPr>
          <w:rFonts w:ascii="Times New Roman" w:hAnsi="Times New Roman" w:cs="Times New Roman"/>
          <w:color w:val="1B1D1F"/>
          <w:sz w:val="24"/>
          <w:szCs w:val="24"/>
        </w:rPr>
        <w:t xml:space="preserve">Ja Latvija jau </w:t>
      </w:r>
      <w:r w:rsidR="005A4E86"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5A4E86" w:rsidRPr="009905B5">
        <w:rPr>
          <w:rFonts w:ascii="Times New Roman" w:hAnsi="Times New Roman" w:cs="Times New Roman"/>
          <w:color w:val="1B1D1F"/>
          <w:sz w:val="24"/>
          <w:szCs w:val="24"/>
        </w:rPr>
        <w:t xml:space="preserve">ā būtu sasniegusi 2030 mērķi </w:t>
      </w:r>
      <w:r w:rsidR="00710F00" w:rsidRPr="009905B5">
        <w:rPr>
          <w:rFonts w:ascii="Times New Roman" w:hAnsi="Times New Roman" w:cs="Times New Roman"/>
          <w:color w:val="1B1D1F"/>
          <w:sz w:val="24"/>
          <w:szCs w:val="24"/>
        </w:rPr>
        <w:t>(</w:t>
      </w:r>
      <w:r w:rsidR="005A4E86" w:rsidRPr="009905B5">
        <w:rPr>
          <w:rFonts w:ascii="Times New Roman" w:hAnsi="Times New Roman" w:cs="Times New Roman"/>
          <w:color w:val="1B1D1F"/>
          <w:sz w:val="24"/>
          <w:szCs w:val="24"/>
        </w:rPr>
        <w:t>0.33% no NKI</w:t>
      </w:r>
      <w:r w:rsidR="00710F00" w:rsidRPr="009905B5">
        <w:rPr>
          <w:rFonts w:ascii="Times New Roman" w:hAnsi="Times New Roman" w:cs="Times New Roman"/>
          <w:color w:val="1B1D1F"/>
          <w:sz w:val="24"/>
          <w:szCs w:val="24"/>
        </w:rPr>
        <w:t>),</w:t>
      </w:r>
      <w:r w:rsidR="005A4E86" w:rsidRPr="009905B5">
        <w:rPr>
          <w:rFonts w:ascii="Times New Roman" w:hAnsi="Times New Roman" w:cs="Times New Roman"/>
          <w:color w:val="1B1D1F"/>
          <w:sz w:val="24"/>
          <w:szCs w:val="24"/>
        </w:rPr>
        <w:t xml:space="preserve"> sniegtā palīdzība būtu trīs reizes lielāka – aptuveni 96,6 milj. EUR. </w:t>
      </w:r>
    </w:p>
    <w:p w14:paraId="34643C4D" w14:textId="77777777" w:rsidR="00192752" w:rsidRPr="009905B5" w:rsidRDefault="00572A50" w:rsidP="002D27A8">
      <w:pPr>
        <w:spacing w:before="16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Pozitīvas ekonomiskās izaugsmes laikā </w:t>
      </w:r>
      <w:r w:rsidR="002906A3">
        <w:rPr>
          <w:rFonts w:ascii="Times New Roman" w:hAnsi="Times New Roman" w:cs="Times New Roman"/>
          <w:color w:val="1B1D1F"/>
          <w:sz w:val="24"/>
          <w:szCs w:val="24"/>
        </w:rPr>
        <w:t xml:space="preserve"> OAP</w:t>
      </w:r>
      <w:r w:rsidRPr="009905B5">
        <w:rPr>
          <w:rFonts w:ascii="Times New Roman" w:hAnsi="Times New Roman" w:cs="Times New Roman"/>
          <w:color w:val="1B1D1F"/>
          <w:sz w:val="24"/>
          <w:szCs w:val="24"/>
        </w:rPr>
        <w:t xml:space="preserve"> apjomi būtu jāpalielina</w:t>
      </w:r>
      <w:r w:rsidR="006C2764">
        <w:rPr>
          <w:rFonts w:ascii="Times New Roman" w:hAnsi="Times New Roman" w:cs="Times New Roman"/>
          <w:color w:val="1B1D1F"/>
          <w:sz w:val="24"/>
          <w:szCs w:val="24"/>
        </w:rPr>
        <w:t xml:space="preserve"> arī tāpēc</w:t>
      </w:r>
      <w:r w:rsidRPr="009905B5">
        <w:rPr>
          <w:rFonts w:ascii="Times New Roman" w:hAnsi="Times New Roman" w:cs="Times New Roman"/>
          <w:color w:val="1B1D1F"/>
          <w:sz w:val="24"/>
          <w:szCs w:val="24"/>
        </w:rPr>
        <w:t>,</w:t>
      </w:r>
      <w:r w:rsidR="006C2764">
        <w:rPr>
          <w:rFonts w:ascii="Times New Roman" w:hAnsi="Times New Roman" w:cs="Times New Roman"/>
          <w:color w:val="1B1D1F"/>
          <w:sz w:val="24"/>
          <w:szCs w:val="24"/>
        </w:rPr>
        <w:t xml:space="preserve"> ka</w:t>
      </w:r>
      <w:r w:rsidRPr="009905B5">
        <w:rPr>
          <w:rFonts w:ascii="Times New Roman" w:hAnsi="Times New Roman" w:cs="Times New Roman"/>
          <w:color w:val="1B1D1F"/>
          <w:sz w:val="24"/>
          <w:szCs w:val="24"/>
        </w:rPr>
        <w:t xml:space="preserve"> pretējā gadījumā OAP procentuālajā izteiksmē </w:t>
      </w:r>
      <w:r w:rsidR="006C2764">
        <w:rPr>
          <w:rFonts w:ascii="Times New Roman" w:hAnsi="Times New Roman" w:cs="Times New Roman"/>
          <w:color w:val="1B1D1F"/>
          <w:sz w:val="24"/>
          <w:szCs w:val="24"/>
        </w:rPr>
        <w:t>samazināsies kā tas noticis 2018</w:t>
      </w:r>
      <w:r w:rsidR="00A2733A">
        <w:rPr>
          <w:rFonts w:ascii="Times New Roman" w:hAnsi="Times New Roman" w:cs="Times New Roman"/>
          <w:color w:val="1B1D1F"/>
          <w:sz w:val="24"/>
          <w:szCs w:val="24"/>
        </w:rPr>
        <w:t>. gad</w:t>
      </w:r>
      <w:r w:rsidR="006C2764">
        <w:rPr>
          <w:rFonts w:ascii="Times New Roman" w:hAnsi="Times New Roman" w:cs="Times New Roman"/>
          <w:color w:val="1B1D1F"/>
          <w:sz w:val="24"/>
          <w:szCs w:val="24"/>
        </w:rPr>
        <w:t>ā.</w:t>
      </w:r>
    </w:p>
    <w:p w14:paraId="046A12D2" w14:textId="77777777" w:rsidR="00572A50" w:rsidRPr="009905B5" w:rsidRDefault="00572A50" w:rsidP="00C6786A">
      <w:pPr>
        <w:spacing w:before="160" w:after="24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Tabula Nr. </w:t>
      </w:r>
      <w:r w:rsidR="00CA7B52">
        <w:rPr>
          <w:rFonts w:ascii="Times New Roman" w:hAnsi="Times New Roman" w:cs="Times New Roman"/>
          <w:b/>
          <w:color w:val="1B1D1F"/>
          <w:sz w:val="24"/>
          <w:szCs w:val="24"/>
        </w:rPr>
        <w:t>3</w:t>
      </w:r>
      <w:r w:rsidRPr="009905B5">
        <w:rPr>
          <w:rFonts w:ascii="Times New Roman" w:hAnsi="Times New Roman" w:cs="Times New Roman"/>
          <w:b/>
          <w:color w:val="1B1D1F"/>
          <w:sz w:val="24"/>
          <w:szCs w:val="24"/>
        </w:rPr>
        <w:t>. Latvijas OAP – mērķi, faktiskais izpildījums un prognozes aktuālajā plānošanas periodā (2016 -2020)</w:t>
      </w:r>
    </w:p>
    <w:tbl>
      <w:tblPr>
        <w:tblStyle w:val="TableGrid"/>
        <w:tblW w:w="0" w:type="auto"/>
        <w:tblLook w:val="04A0" w:firstRow="1" w:lastRow="0" w:firstColumn="1" w:lastColumn="0" w:noHBand="0" w:noVBand="1"/>
      </w:tblPr>
      <w:tblGrid>
        <w:gridCol w:w="2830"/>
        <w:gridCol w:w="1160"/>
        <w:gridCol w:w="1160"/>
        <w:gridCol w:w="1160"/>
        <w:gridCol w:w="1160"/>
        <w:gridCol w:w="1160"/>
      </w:tblGrid>
      <w:tr w:rsidR="00572A50" w:rsidRPr="009905B5" w14:paraId="47F68EF7" w14:textId="77777777" w:rsidTr="00B104B1">
        <w:tc>
          <w:tcPr>
            <w:tcW w:w="2830" w:type="dxa"/>
          </w:tcPr>
          <w:p w14:paraId="7460A248" w14:textId="77777777" w:rsidR="00572A50" w:rsidRPr="00633422" w:rsidRDefault="00572A50" w:rsidP="00C05614">
            <w:pPr>
              <w:jc w:val="both"/>
              <w:rPr>
                <w:rFonts w:ascii="Times New Roman" w:hAnsi="Times New Roman" w:cs="Times New Roman"/>
                <w:b/>
                <w:color w:val="1B1D1F"/>
              </w:rPr>
            </w:pPr>
          </w:p>
        </w:tc>
        <w:tc>
          <w:tcPr>
            <w:tcW w:w="1160" w:type="dxa"/>
          </w:tcPr>
          <w:p w14:paraId="3A3E9380"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2016</w:t>
            </w:r>
          </w:p>
        </w:tc>
        <w:tc>
          <w:tcPr>
            <w:tcW w:w="1160" w:type="dxa"/>
          </w:tcPr>
          <w:p w14:paraId="0DAD6C58"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2017</w:t>
            </w:r>
          </w:p>
        </w:tc>
        <w:tc>
          <w:tcPr>
            <w:tcW w:w="1160" w:type="dxa"/>
            <w:shd w:val="clear" w:color="auto" w:fill="F2F2F2" w:themeFill="background1" w:themeFillShade="F2"/>
          </w:tcPr>
          <w:p w14:paraId="51223373" w14:textId="77777777" w:rsidR="00572A50" w:rsidRPr="00633422" w:rsidRDefault="00572A50" w:rsidP="00574345">
            <w:pPr>
              <w:jc w:val="both"/>
              <w:rPr>
                <w:rFonts w:ascii="Times New Roman" w:hAnsi="Times New Roman" w:cs="Times New Roman"/>
                <w:b/>
                <w:color w:val="1B1D1F"/>
              </w:rPr>
            </w:pPr>
            <w:r w:rsidRPr="00633422">
              <w:rPr>
                <w:rFonts w:ascii="Times New Roman" w:hAnsi="Times New Roman" w:cs="Times New Roman"/>
                <w:b/>
                <w:color w:val="1B1D1F"/>
              </w:rPr>
              <w:t>2018</w:t>
            </w:r>
          </w:p>
        </w:tc>
        <w:tc>
          <w:tcPr>
            <w:tcW w:w="1160" w:type="dxa"/>
            <w:shd w:val="clear" w:color="auto" w:fill="D9D9D9" w:themeFill="background1" w:themeFillShade="D9"/>
          </w:tcPr>
          <w:p w14:paraId="281CA78F"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2019</w:t>
            </w:r>
          </w:p>
        </w:tc>
        <w:tc>
          <w:tcPr>
            <w:tcW w:w="1160" w:type="dxa"/>
            <w:shd w:val="clear" w:color="auto" w:fill="D9D9D9" w:themeFill="background1" w:themeFillShade="D9"/>
          </w:tcPr>
          <w:p w14:paraId="6E54D830"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2020</w:t>
            </w:r>
          </w:p>
        </w:tc>
      </w:tr>
      <w:tr w:rsidR="00572A50" w:rsidRPr="009905B5" w14:paraId="0ECDFB8B" w14:textId="77777777" w:rsidTr="00B104B1">
        <w:tc>
          <w:tcPr>
            <w:tcW w:w="2830" w:type="dxa"/>
          </w:tcPr>
          <w:p w14:paraId="58D7785D"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NKI (milj. EUR)</w:t>
            </w:r>
          </w:p>
        </w:tc>
        <w:tc>
          <w:tcPr>
            <w:tcW w:w="1160" w:type="dxa"/>
          </w:tcPr>
          <w:p w14:paraId="5D31716F"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25 102</w:t>
            </w:r>
            <w:r w:rsidR="00192752" w:rsidRPr="00633422">
              <w:rPr>
                <w:rStyle w:val="FootnoteReference"/>
                <w:rFonts w:ascii="Times New Roman" w:hAnsi="Times New Roman" w:cs="Times New Roman"/>
                <w:color w:val="1B1D1F"/>
              </w:rPr>
              <w:footnoteReference w:id="20"/>
            </w:r>
          </w:p>
        </w:tc>
        <w:tc>
          <w:tcPr>
            <w:tcW w:w="1160" w:type="dxa"/>
          </w:tcPr>
          <w:p w14:paraId="4CD98D82"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26 846</w:t>
            </w:r>
            <w:r w:rsidR="00192752" w:rsidRPr="00633422">
              <w:rPr>
                <w:rStyle w:val="FootnoteReference"/>
                <w:rFonts w:ascii="Times New Roman" w:hAnsi="Times New Roman" w:cs="Times New Roman"/>
                <w:color w:val="1B1D1F"/>
              </w:rPr>
              <w:footnoteReference w:id="21"/>
            </w:r>
          </w:p>
        </w:tc>
        <w:tc>
          <w:tcPr>
            <w:tcW w:w="1160" w:type="dxa"/>
            <w:shd w:val="clear" w:color="auto" w:fill="F2F2F2" w:themeFill="background1" w:themeFillShade="F2"/>
          </w:tcPr>
          <w:p w14:paraId="51169A6E"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w:t>
            </w:r>
            <w:r w:rsidR="00F42598" w:rsidRPr="00633422">
              <w:rPr>
                <w:rFonts w:ascii="Times New Roman" w:hAnsi="Times New Roman" w:cs="Times New Roman"/>
                <w:color w:val="1B1D1F"/>
              </w:rPr>
              <w:t>8 6</w:t>
            </w:r>
            <w:r w:rsidR="002A668D" w:rsidRPr="00633422">
              <w:rPr>
                <w:rFonts w:ascii="Times New Roman" w:hAnsi="Times New Roman" w:cs="Times New Roman"/>
                <w:color w:val="1B1D1F"/>
              </w:rPr>
              <w:t>49</w:t>
            </w:r>
            <w:r w:rsidR="00192752" w:rsidRPr="00633422">
              <w:rPr>
                <w:rStyle w:val="FootnoteReference"/>
                <w:rFonts w:ascii="Times New Roman" w:hAnsi="Times New Roman" w:cs="Times New Roman"/>
                <w:color w:val="1B1D1F"/>
              </w:rPr>
              <w:footnoteReference w:id="22"/>
            </w:r>
            <w:r w:rsidRPr="00633422">
              <w:rPr>
                <w:rFonts w:ascii="Times New Roman" w:hAnsi="Times New Roman" w:cs="Times New Roman"/>
                <w:color w:val="1B1D1F"/>
              </w:rPr>
              <w:t xml:space="preserve"> </w:t>
            </w:r>
          </w:p>
        </w:tc>
        <w:tc>
          <w:tcPr>
            <w:tcW w:w="1160" w:type="dxa"/>
            <w:shd w:val="clear" w:color="auto" w:fill="D9D9D9" w:themeFill="background1" w:themeFillShade="D9"/>
          </w:tcPr>
          <w:p w14:paraId="6B2F3E82"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31 185</w:t>
            </w:r>
            <w:r w:rsidRPr="00633422">
              <w:rPr>
                <w:rStyle w:val="FootnoteReference"/>
                <w:rFonts w:ascii="Times New Roman" w:hAnsi="Times New Roman" w:cs="Times New Roman"/>
                <w:i/>
                <w:color w:val="1B1D1F"/>
              </w:rPr>
              <w:footnoteReference w:id="23"/>
            </w:r>
          </w:p>
        </w:tc>
        <w:tc>
          <w:tcPr>
            <w:tcW w:w="1160" w:type="dxa"/>
            <w:shd w:val="clear" w:color="auto" w:fill="D9D9D9" w:themeFill="background1" w:themeFillShade="D9"/>
          </w:tcPr>
          <w:p w14:paraId="0E7DE52F"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32 925</w:t>
            </w:r>
            <w:r w:rsidRPr="00633422">
              <w:rPr>
                <w:rStyle w:val="FootnoteReference"/>
                <w:rFonts w:ascii="Times New Roman" w:hAnsi="Times New Roman" w:cs="Times New Roman"/>
                <w:i/>
                <w:color w:val="1B1D1F"/>
              </w:rPr>
              <w:footnoteReference w:id="24"/>
            </w:r>
          </w:p>
        </w:tc>
      </w:tr>
      <w:tr w:rsidR="00572A50" w:rsidRPr="009905B5" w14:paraId="630D6AAB" w14:textId="77777777" w:rsidTr="00B104B1">
        <w:tc>
          <w:tcPr>
            <w:tcW w:w="2830" w:type="dxa"/>
          </w:tcPr>
          <w:p w14:paraId="0F37B135"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0.01% izteikts milj. EUR</w:t>
            </w:r>
          </w:p>
        </w:tc>
        <w:tc>
          <w:tcPr>
            <w:tcW w:w="1160" w:type="dxa"/>
          </w:tcPr>
          <w:p w14:paraId="6695EA16"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2,5</w:t>
            </w:r>
            <w:r w:rsidR="002A668D" w:rsidRPr="00633422">
              <w:rPr>
                <w:rFonts w:ascii="Times New Roman" w:hAnsi="Times New Roman" w:cs="Times New Roman"/>
                <w:color w:val="1B1D1F"/>
              </w:rPr>
              <w:t>1</w:t>
            </w:r>
          </w:p>
        </w:tc>
        <w:tc>
          <w:tcPr>
            <w:tcW w:w="1160" w:type="dxa"/>
          </w:tcPr>
          <w:p w14:paraId="204231CD" w14:textId="77777777"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2,68</w:t>
            </w:r>
          </w:p>
        </w:tc>
        <w:tc>
          <w:tcPr>
            <w:tcW w:w="1160" w:type="dxa"/>
            <w:shd w:val="clear" w:color="auto" w:fill="F2F2F2" w:themeFill="background1" w:themeFillShade="F2"/>
          </w:tcPr>
          <w:p w14:paraId="267D36DA" w14:textId="77777777"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2,86</w:t>
            </w:r>
          </w:p>
        </w:tc>
        <w:tc>
          <w:tcPr>
            <w:tcW w:w="1160" w:type="dxa"/>
            <w:shd w:val="clear" w:color="auto" w:fill="D9D9D9" w:themeFill="background1" w:themeFillShade="D9"/>
          </w:tcPr>
          <w:p w14:paraId="2CAE1792"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(3,1</w:t>
            </w:r>
            <w:r w:rsidR="003D3E74" w:rsidRPr="00633422">
              <w:rPr>
                <w:rFonts w:ascii="Times New Roman" w:hAnsi="Times New Roman" w:cs="Times New Roman"/>
                <w:i/>
                <w:color w:val="1B1D1F"/>
              </w:rPr>
              <w:t>2</w:t>
            </w:r>
            <w:r w:rsidRPr="00633422">
              <w:rPr>
                <w:rFonts w:ascii="Times New Roman" w:hAnsi="Times New Roman" w:cs="Times New Roman"/>
                <w:i/>
                <w:color w:val="1B1D1F"/>
              </w:rPr>
              <w:t>)</w:t>
            </w:r>
          </w:p>
        </w:tc>
        <w:tc>
          <w:tcPr>
            <w:tcW w:w="1160" w:type="dxa"/>
            <w:shd w:val="clear" w:color="auto" w:fill="D9D9D9" w:themeFill="background1" w:themeFillShade="D9"/>
          </w:tcPr>
          <w:p w14:paraId="2DCB15BB"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3,29</w:t>
            </w:r>
            <w:r w:rsidRPr="00633422">
              <w:rPr>
                <w:rFonts w:ascii="Times New Roman" w:hAnsi="Times New Roman" w:cs="Times New Roman"/>
                <w:i/>
                <w:color w:val="1B1D1F"/>
              </w:rPr>
              <w:t>)</w:t>
            </w:r>
          </w:p>
        </w:tc>
      </w:tr>
      <w:tr w:rsidR="00572A50" w:rsidRPr="009905B5" w14:paraId="304B4D6D" w14:textId="77777777" w:rsidTr="00B104B1">
        <w:tc>
          <w:tcPr>
            <w:tcW w:w="2830" w:type="dxa"/>
          </w:tcPr>
          <w:p w14:paraId="14C203C1"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OAP/NKI% mērķis Pamatnostādnēs 2016 - 2020</w:t>
            </w:r>
          </w:p>
        </w:tc>
        <w:tc>
          <w:tcPr>
            <w:tcW w:w="1160" w:type="dxa"/>
          </w:tcPr>
          <w:p w14:paraId="7216D096"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0.09</w:t>
            </w:r>
          </w:p>
        </w:tc>
        <w:tc>
          <w:tcPr>
            <w:tcW w:w="1160" w:type="dxa"/>
          </w:tcPr>
          <w:p w14:paraId="704D03A6"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w:t>
            </w:r>
          </w:p>
        </w:tc>
        <w:tc>
          <w:tcPr>
            <w:tcW w:w="1160" w:type="dxa"/>
            <w:shd w:val="clear" w:color="auto" w:fill="F2F2F2" w:themeFill="background1" w:themeFillShade="F2"/>
          </w:tcPr>
          <w:p w14:paraId="5591EC91"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0.12</w:t>
            </w:r>
          </w:p>
        </w:tc>
        <w:tc>
          <w:tcPr>
            <w:tcW w:w="1160" w:type="dxa"/>
            <w:shd w:val="clear" w:color="auto" w:fill="D9D9D9" w:themeFill="background1" w:themeFillShade="D9"/>
          </w:tcPr>
          <w:p w14:paraId="5A2D5ADB"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0.14</w:t>
            </w:r>
          </w:p>
        </w:tc>
        <w:tc>
          <w:tcPr>
            <w:tcW w:w="1160" w:type="dxa"/>
            <w:shd w:val="clear" w:color="auto" w:fill="D9D9D9" w:themeFill="background1" w:themeFillShade="D9"/>
          </w:tcPr>
          <w:p w14:paraId="190357C8"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0.17</w:t>
            </w:r>
          </w:p>
        </w:tc>
      </w:tr>
      <w:tr w:rsidR="00572A50" w:rsidRPr="009905B5" w14:paraId="2F353EBD" w14:textId="77777777" w:rsidTr="00B104B1">
        <w:tc>
          <w:tcPr>
            <w:tcW w:w="2830" w:type="dxa"/>
          </w:tcPr>
          <w:p w14:paraId="53E62A29"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 milj. EUR mērķis</w:t>
            </w:r>
          </w:p>
        </w:tc>
        <w:tc>
          <w:tcPr>
            <w:tcW w:w="1160" w:type="dxa"/>
          </w:tcPr>
          <w:p w14:paraId="3FEC3F63"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22,5</w:t>
            </w:r>
            <w:r w:rsidR="002A668D" w:rsidRPr="00633422">
              <w:rPr>
                <w:rFonts w:ascii="Times New Roman" w:hAnsi="Times New Roman" w:cs="Times New Roman"/>
                <w:color w:val="1B1D1F"/>
              </w:rPr>
              <w:t>9</w:t>
            </w:r>
          </w:p>
        </w:tc>
        <w:tc>
          <w:tcPr>
            <w:tcW w:w="1160" w:type="dxa"/>
          </w:tcPr>
          <w:p w14:paraId="6548804B" w14:textId="77777777"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26,85</w:t>
            </w:r>
          </w:p>
        </w:tc>
        <w:tc>
          <w:tcPr>
            <w:tcW w:w="1160" w:type="dxa"/>
            <w:shd w:val="clear" w:color="auto" w:fill="F2F2F2" w:themeFill="background1" w:themeFillShade="F2"/>
          </w:tcPr>
          <w:p w14:paraId="296EBA74" w14:textId="77777777" w:rsidR="00572A50" w:rsidRPr="00633422" w:rsidRDefault="002A668D" w:rsidP="00C05614">
            <w:pPr>
              <w:jc w:val="both"/>
              <w:rPr>
                <w:rFonts w:ascii="Times New Roman" w:hAnsi="Times New Roman" w:cs="Times New Roman"/>
                <w:i/>
                <w:color w:val="1B1D1F"/>
              </w:rPr>
            </w:pPr>
            <w:r w:rsidRPr="00633422">
              <w:rPr>
                <w:rFonts w:ascii="Times New Roman" w:hAnsi="Times New Roman" w:cs="Times New Roman"/>
                <w:i/>
                <w:color w:val="1B1D1F"/>
              </w:rPr>
              <w:t>34,38</w:t>
            </w:r>
          </w:p>
        </w:tc>
        <w:tc>
          <w:tcPr>
            <w:tcW w:w="1160" w:type="dxa"/>
            <w:shd w:val="clear" w:color="auto" w:fill="D9D9D9" w:themeFill="background1" w:themeFillShade="D9"/>
          </w:tcPr>
          <w:p w14:paraId="17F3BBA0"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43,66</w:t>
            </w:r>
            <w:r w:rsidRPr="00633422">
              <w:rPr>
                <w:rFonts w:ascii="Times New Roman" w:hAnsi="Times New Roman" w:cs="Times New Roman"/>
                <w:i/>
                <w:color w:val="1B1D1F"/>
              </w:rPr>
              <w:t>)</w:t>
            </w:r>
          </w:p>
        </w:tc>
        <w:tc>
          <w:tcPr>
            <w:tcW w:w="1160" w:type="dxa"/>
            <w:shd w:val="clear" w:color="auto" w:fill="D9D9D9" w:themeFill="background1" w:themeFillShade="D9"/>
          </w:tcPr>
          <w:p w14:paraId="7C71A789"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55,97</w:t>
            </w:r>
            <w:r w:rsidRPr="00633422">
              <w:rPr>
                <w:rFonts w:ascii="Times New Roman" w:hAnsi="Times New Roman" w:cs="Times New Roman"/>
                <w:i/>
                <w:color w:val="1B1D1F"/>
              </w:rPr>
              <w:t>)</w:t>
            </w:r>
          </w:p>
        </w:tc>
      </w:tr>
      <w:tr w:rsidR="00572A50" w:rsidRPr="009905B5" w14:paraId="0A253FC3" w14:textId="77777777" w:rsidTr="00B104B1">
        <w:tc>
          <w:tcPr>
            <w:tcW w:w="2830" w:type="dxa"/>
          </w:tcPr>
          <w:p w14:paraId="28B497D4"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OAP/NKI% faktiskais</w:t>
            </w:r>
          </w:p>
        </w:tc>
        <w:tc>
          <w:tcPr>
            <w:tcW w:w="1160" w:type="dxa"/>
          </w:tcPr>
          <w:p w14:paraId="33315837"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1160" w:type="dxa"/>
          </w:tcPr>
          <w:p w14:paraId="0711F24D"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1160" w:type="dxa"/>
            <w:shd w:val="clear" w:color="auto" w:fill="F2F2F2" w:themeFill="background1" w:themeFillShade="F2"/>
          </w:tcPr>
          <w:p w14:paraId="56892FEA"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 xml:space="preserve">0.1 </w:t>
            </w:r>
          </w:p>
        </w:tc>
        <w:tc>
          <w:tcPr>
            <w:tcW w:w="1160" w:type="dxa"/>
            <w:shd w:val="clear" w:color="auto" w:fill="D9D9D9" w:themeFill="background1" w:themeFillShade="D9"/>
          </w:tcPr>
          <w:p w14:paraId="680009D5" w14:textId="77777777"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0.096</w:t>
            </w:r>
          </w:p>
        </w:tc>
        <w:tc>
          <w:tcPr>
            <w:tcW w:w="1160" w:type="dxa"/>
            <w:shd w:val="clear" w:color="auto" w:fill="D9D9D9" w:themeFill="background1" w:themeFillShade="D9"/>
          </w:tcPr>
          <w:p w14:paraId="64862ACF" w14:textId="77777777"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0.094</w:t>
            </w:r>
          </w:p>
        </w:tc>
      </w:tr>
      <w:tr w:rsidR="00572A50" w:rsidRPr="009905B5" w14:paraId="7A48EBC5" w14:textId="77777777" w:rsidTr="00B104B1">
        <w:tc>
          <w:tcPr>
            <w:tcW w:w="2830" w:type="dxa"/>
          </w:tcPr>
          <w:p w14:paraId="520BD948"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 xml:space="preserve">OAP milj. EUR </w:t>
            </w:r>
          </w:p>
        </w:tc>
        <w:tc>
          <w:tcPr>
            <w:tcW w:w="1160" w:type="dxa"/>
          </w:tcPr>
          <w:p w14:paraId="2B9B76E6"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27,3</w:t>
            </w:r>
          </w:p>
        </w:tc>
        <w:tc>
          <w:tcPr>
            <w:tcW w:w="1160" w:type="dxa"/>
          </w:tcPr>
          <w:p w14:paraId="062D23EF"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28,3</w:t>
            </w:r>
          </w:p>
        </w:tc>
        <w:tc>
          <w:tcPr>
            <w:tcW w:w="1160" w:type="dxa"/>
            <w:shd w:val="clear" w:color="auto" w:fill="F2F2F2" w:themeFill="background1" w:themeFillShade="F2"/>
          </w:tcPr>
          <w:p w14:paraId="0CC83B27"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29,1</w:t>
            </w:r>
          </w:p>
        </w:tc>
        <w:tc>
          <w:tcPr>
            <w:tcW w:w="1160" w:type="dxa"/>
            <w:shd w:val="clear" w:color="auto" w:fill="D9D9D9" w:themeFill="background1" w:themeFillShade="D9"/>
          </w:tcPr>
          <w:p w14:paraId="78920AE6"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(30)</w:t>
            </w:r>
            <w:r w:rsidR="007E25D8" w:rsidRPr="00633422">
              <w:rPr>
                <w:rStyle w:val="FootnoteReference"/>
                <w:rFonts w:ascii="Times New Roman" w:hAnsi="Times New Roman" w:cs="Times New Roman"/>
                <w:i/>
                <w:color w:val="1B1D1F"/>
              </w:rPr>
              <w:footnoteReference w:id="25"/>
            </w:r>
          </w:p>
        </w:tc>
        <w:tc>
          <w:tcPr>
            <w:tcW w:w="1160" w:type="dxa"/>
            <w:shd w:val="clear" w:color="auto" w:fill="D9D9D9" w:themeFill="background1" w:themeFillShade="D9"/>
          </w:tcPr>
          <w:p w14:paraId="15B9218D" w14:textId="77777777"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(30,9</w:t>
            </w:r>
            <w:r w:rsidR="00572A50" w:rsidRPr="00633422">
              <w:rPr>
                <w:rFonts w:ascii="Times New Roman" w:hAnsi="Times New Roman" w:cs="Times New Roman"/>
                <w:i/>
                <w:color w:val="1B1D1F"/>
              </w:rPr>
              <w:t>)</w:t>
            </w:r>
            <w:r w:rsidR="007E25D8" w:rsidRPr="00633422">
              <w:rPr>
                <w:rStyle w:val="FootnoteReference"/>
                <w:rFonts w:ascii="Times New Roman" w:hAnsi="Times New Roman" w:cs="Times New Roman"/>
                <w:i/>
                <w:color w:val="1B1D1F"/>
              </w:rPr>
              <w:footnoteReference w:id="26"/>
            </w:r>
          </w:p>
        </w:tc>
      </w:tr>
      <w:tr w:rsidR="00572A50" w:rsidRPr="009905B5" w14:paraId="7FD9955C" w14:textId="77777777" w:rsidTr="00B104B1">
        <w:tc>
          <w:tcPr>
            <w:tcW w:w="2830" w:type="dxa"/>
          </w:tcPr>
          <w:p w14:paraId="5A89E4B1" w14:textId="77777777" w:rsidR="00572A50" w:rsidRPr="00633422" w:rsidRDefault="00572A50" w:rsidP="00C05614">
            <w:pPr>
              <w:jc w:val="both"/>
              <w:rPr>
                <w:rFonts w:ascii="Times New Roman" w:hAnsi="Times New Roman" w:cs="Times New Roman"/>
                <w:b/>
                <w:color w:val="1B1D1F"/>
              </w:rPr>
            </w:pPr>
            <w:r w:rsidRPr="00633422">
              <w:rPr>
                <w:rFonts w:ascii="Times New Roman" w:hAnsi="Times New Roman" w:cs="Times New Roman"/>
                <w:b/>
                <w:color w:val="1B1D1F"/>
              </w:rPr>
              <w:t>Starpība starp mērķi un faktisko (milj. EUR)</w:t>
            </w:r>
          </w:p>
        </w:tc>
        <w:tc>
          <w:tcPr>
            <w:tcW w:w="1160" w:type="dxa"/>
          </w:tcPr>
          <w:p w14:paraId="77174B84"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 xml:space="preserve">+4,8 </w:t>
            </w:r>
          </w:p>
        </w:tc>
        <w:tc>
          <w:tcPr>
            <w:tcW w:w="1160" w:type="dxa"/>
          </w:tcPr>
          <w:p w14:paraId="53B8F266" w14:textId="77777777" w:rsidR="00572A50" w:rsidRPr="00633422" w:rsidRDefault="00572A50" w:rsidP="00C05614">
            <w:pPr>
              <w:jc w:val="both"/>
              <w:rPr>
                <w:rFonts w:ascii="Times New Roman" w:hAnsi="Times New Roman" w:cs="Times New Roman"/>
                <w:color w:val="1B1D1F"/>
              </w:rPr>
            </w:pPr>
            <w:r w:rsidRPr="00633422">
              <w:rPr>
                <w:rFonts w:ascii="Times New Roman" w:hAnsi="Times New Roman" w:cs="Times New Roman"/>
                <w:color w:val="1B1D1F"/>
              </w:rPr>
              <w:t>+1,3</w:t>
            </w:r>
          </w:p>
        </w:tc>
        <w:tc>
          <w:tcPr>
            <w:tcW w:w="1160" w:type="dxa"/>
            <w:shd w:val="clear" w:color="auto" w:fill="F2F2F2" w:themeFill="background1" w:themeFillShade="F2"/>
          </w:tcPr>
          <w:p w14:paraId="79381F2C" w14:textId="77777777" w:rsidR="00572A50" w:rsidRPr="00633422" w:rsidRDefault="002A668D" w:rsidP="00C05614">
            <w:pPr>
              <w:jc w:val="both"/>
              <w:rPr>
                <w:rFonts w:ascii="Times New Roman" w:hAnsi="Times New Roman" w:cs="Times New Roman"/>
                <w:color w:val="1B1D1F"/>
              </w:rPr>
            </w:pPr>
            <w:r w:rsidRPr="00633422">
              <w:rPr>
                <w:rFonts w:ascii="Times New Roman" w:hAnsi="Times New Roman" w:cs="Times New Roman"/>
                <w:color w:val="1B1D1F"/>
              </w:rPr>
              <w:t>-5,28</w:t>
            </w:r>
          </w:p>
        </w:tc>
        <w:tc>
          <w:tcPr>
            <w:tcW w:w="1160" w:type="dxa"/>
            <w:shd w:val="clear" w:color="auto" w:fill="D9D9D9" w:themeFill="background1" w:themeFillShade="D9"/>
          </w:tcPr>
          <w:p w14:paraId="7910DF4E" w14:textId="77777777" w:rsidR="00572A50" w:rsidRPr="00633422" w:rsidRDefault="00572A50" w:rsidP="00C05614">
            <w:pPr>
              <w:jc w:val="both"/>
              <w:rPr>
                <w:rFonts w:ascii="Times New Roman" w:hAnsi="Times New Roman" w:cs="Times New Roman"/>
                <w:i/>
                <w:color w:val="1B1D1F"/>
              </w:rPr>
            </w:pPr>
            <w:r w:rsidRPr="00633422">
              <w:rPr>
                <w:rFonts w:ascii="Times New Roman" w:hAnsi="Times New Roman" w:cs="Times New Roman"/>
                <w:i/>
                <w:color w:val="1B1D1F"/>
              </w:rPr>
              <w:t>-</w:t>
            </w:r>
            <w:r w:rsidR="003D3E74" w:rsidRPr="00633422">
              <w:rPr>
                <w:rFonts w:ascii="Times New Roman" w:hAnsi="Times New Roman" w:cs="Times New Roman"/>
                <w:i/>
                <w:color w:val="1B1D1F"/>
              </w:rPr>
              <w:t>13,66</w:t>
            </w:r>
          </w:p>
        </w:tc>
        <w:tc>
          <w:tcPr>
            <w:tcW w:w="1160" w:type="dxa"/>
            <w:shd w:val="clear" w:color="auto" w:fill="D9D9D9" w:themeFill="background1" w:themeFillShade="D9"/>
          </w:tcPr>
          <w:p w14:paraId="1753AB26" w14:textId="77777777" w:rsidR="00572A50" w:rsidRPr="00633422" w:rsidRDefault="003D3E74" w:rsidP="00C05614">
            <w:pPr>
              <w:jc w:val="both"/>
              <w:rPr>
                <w:rFonts w:ascii="Times New Roman" w:hAnsi="Times New Roman" w:cs="Times New Roman"/>
                <w:i/>
                <w:color w:val="1B1D1F"/>
              </w:rPr>
            </w:pPr>
            <w:r w:rsidRPr="00633422">
              <w:rPr>
                <w:rFonts w:ascii="Times New Roman" w:hAnsi="Times New Roman" w:cs="Times New Roman"/>
                <w:i/>
                <w:color w:val="1B1D1F"/>
              </w:rPr>
              <w:t>-25,07</w:t>
            </w:r>
          </w:p>
        </w:tc>
      </w:tr>
    </w:tbl>
    <w:p w14:paraId="1EB4E0A1" w14:textId="40062C3C" w:rsidR="005324D7" w:rsidRPr="009905B5" w:rsidRDefault="003D3E74" w:rsidP="00235014">
      <w:pPr>
        <w:spacing w:before="24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K</w:t>
      </w:r>
      <w:r w:rsidR="00572A50" w:rsidRPr="009905B5">
        <w:rPr>
          <w:rFonts w:ascii="Times New Roman" w:hAnsi="Times New Roman" w:cs="Times New Roman"/>
          <w:color w:val="1B1D1F"/>
          <w:sz w:val="24"/>
          <w:szCs w:val="24"/>
        </w:rPr>
        <w:t>ā redzams Tabulā Nr.</w:t>
      </w:r>
      <w:r w:rsidR="00F90090">
        <w:rPr>
          <w:rFonts w:ascii="Times New Roman" w:hAnsi="Times New Roman" w:cs="Times New Roman"/>
          <w:color w:val="1B1D1F"/>
          <w:sz w:val="24"/>
          <w:szCs w:val="24"/>
        </w:rPr>
        <w:t>3</w:t>
      </w:r>
      <w:r w:rsidR="00572A50" w:rsidRPr="009905B5">
        <w:rPr>
          <w:rFonts w:ascii="Times New Roman" w:hAnsi="Times New Roman" w:cs="Times New Roman"/>
          <w:color w:val="1B1D1F"/>
          <w:sz w:val="24"/>
          <w:szCs w:val="24"/>
        </w:rPr>
        <w:t>,</w:t>
      </w:r>
      <w:r w:rsidR="00710F00" w:rsidRPr="009905B5">
        <w:rPr>
          <w:rFonts w:ascii="Times New Roman" w:hAnsi="Times New Roman" w:cs="Times New Roman"/>
          <w:color w:val="1B1D1F"/>
          <w:sz w:val="24"/>
          <w:szCs w:val="24"/>
        </w:rPr>
        <w:t xml:space="preserve"> līdz 2017</w:t>
      </w:r>
      <w:r w:rsidR="00A2733A">
        <w:rPr>
          <w:rFonts w:ascii="Times New Roman" w:hAnsi="Times New Roman" w:cs="Times New Roman"/>
          <w:color w:val="1B1D1F"/>
          <w:sz w:val="24"/>
          <w:szCs w:val="24"/>
        </w:rPr>
        <w:t>. gad</w:t>
      </w:r>
      <w:r w:rsidR="00710F00" w:rsidRPr="009905B5">
        <w:rPr>
          <w:rFonts w:ascii="Times New Roman" w:hAnsi="Times New Roman" w:cs="Times New Roman"/>
          <w:color w:val="1B1D1F"/>
          <w:sz w:val="24"/>
          <w:szCs w:val="24"/>
        </w:rPr>
        <w:t>a</w:t>
      </w:r>
      <w:r w:rsidR="00135531" w:rsidRPr="009905B5">
        <w:rPr>
          <w:rFonts w:ascii="Times New Roman" w:hAnsi="Times New Roman" w:cs="Times New Roman"/>
          <w:color w:val="1B1D1F"/>
          <w:sz w:val="24"/>
          <w:szCs w:val="24"/>
        </w:rPr>
        <w:t>m</w:t>
      </w:r>
      <w:r w:rsidR="00710F00" w:rsidRPr="009905B5">
        <w:rPr>
          <w:rFonts w:ascii="Times New Roman" w:hAnsi="Times New Roman" w:cs="Times New Roman"/>
          <w:color w:val="1B1D1F"/>
          <w:sz w:val="24"/>
          <w:szCs w:val="24"/>
        </w:rPr>
        <w:t xml:space="preserve"> Latvija izpildīja un pat pārsniedza Pamatnostādnēs </w:t>
      </w:r>
      <w:r w:rsidRPr="009905B5">
        <w:rPr>
          <w:rFonts w:ascii="Times New Roman" w:hAnsi="Times New Roman" w:cs="Times New Roman"/>
          <w:color w:val="1B1D1F"/>
          <w:sz w:val="24"/>
          <w:szCs w:val="24"/>
        </w:rPr>
        <w:t xml:space="preserve">2016-2020 </w:t>
      </w:r>
      <w:r w:rsidR="00710F00" w:rsidRPr="009905B5">
        <w:rPr>
          <w:rFonts w:ascii="Times New Roman" w:hAnsi="Times New Roman" w:cs="Times New Roman"/>
          <w:color w:val="1B1D1F"/>
          <w:sz w:val="24"/>
          <w:szCs w:val="24"/>
        </w:rPr>
        <w:t xml:space="preserve">uzstādītos mērķus. </w:t>
      </w:r>
      <w:r w:rsidR="00572A50" w:rsidRPr="009905B5">
        <w:rPr>
          <w:rFonts w:ascii="Times New Roman" w:hAnsi="Times New Roman" w:cs="Times New Roman"/>
          <w:color w:val="1B1D1F"/>
          <w:sz w:val="24"/>
          <w:szCs w:val="24"/>
        </w:rPr>
        <w:t>2018</w:t>
      </w:r>
      <w:r w:rsidR="00A2733A">
        <w:rPr>
          <w:rFonts w:ascii="Times New Roman" w:hAnsi="Times New Roman" w:cs="Times New Roman"/>
          <w:color w:val="1B1D1F"/>
          <w:sz w:val="24"/>
          <w:szCs w:val="24"/>
        </w:rPr>
        <w:t>. gad</w:t>
      </w:r>
      <w:r w:rsidR="00572A50" w:rsidRPr="009905B5">
        <w:rPr>
          <w:rFonts w:ascii="Times New Roman" w:hAnsi="Times New Roman" w:cs="Times New Roman"/>
          <w:color w:val="1B1D1F"/>
          <w:sz w:val="24"/>
          <w:szCs w:val="24"/>
        </w:rPr>
        <w:t>ā</w:t>
      </w:r>
      <w:r w:rsidR="006C2764">
        <w:rPr>
          <w:rFonts w:ascii="Times New Roman" w:hAnsi="Times New Roman" w:cs="Times New Roman"/>
          <w:color w:val="1B1D1F"/>
          <w:sz w:val="24"/>
          <w:szCs w:val="24"/>
        </w:rPr>
        <w:t>, kad</w:t>
      </w:r>
      <w:r w:rsidR="00572A50" w:rsidRPr="009905B5">
        <w:rPr>
          <w:rFonts w:ascii="Times New Roman" w:hAnsi="Times New Roman" w:cs="Times New Roman"/>
          <w:color w:val="1B1D1F"/>
          <w:sz w:val="24"/>
          <w:szCs w:val="24"/>
        </w:rPr>
        <w:t xml:space="preserve"> </w:t>
      </w:r>
      <w:r w:rsidR="00710F00" w:rsidRPr="009905B5">
        <w:rPr>
          <w:rFonts w:ascii="Times New Roman" w:hAnsi="Times New Roman" w:cs="Times New Roman"/>
          <w:color w:val="1B1D1F"/>
          <w:sz w:val="24"/>
          <w:szCs w:val="24"/>
        </w:rPr>
        <w:t xml:space="preserve">divpusējai attīstības sadarbībai finansējums netika palielināts, iemaksas starptautiskajās organizācijās būtiski </w:t>
      </w:r>
      <w:r w:rsidR="00710F00" w:rsidRPr="009905B5">
        <w:rPr>
          <w:rFonts w:ascii="Times New Roman" w:hAnsi="Times New Roman" w:cs="Times New Roman"/>
          <w:color w:val="1B1D1F"/>
          <w:sz w:val="24"/>
          <w:szCs w:val="24"/>
        </w:rPr>
        <w:lastRenderedPageBreak/>
        <w:t>nepalielinājās un vienlaikus NKI</w:t>
      </w:r>
      <w:r w:rsidR="00572A50" w:rsidRPr="009905B5">
        <w:rPr>
          <w:rFonts w:ascii="Times New Roman" w:hAnsi="Times New Roman" w:cs="Times New Roman"/>
          <w:color w:val="1B1D1F"/>
          <w:sz w:val="24"/>
          <w:szCs w:val="24"/>
        </w:rPr>
        <w:t xml:space="preserve"> turpināja pieaugt, </w:t>
      </w:r>
      <w:r w:rsidR="00710F00" w:rsidRPr="009905B5">
        <w:rPr>
          <w:rFonts w:ascii="Times New Roman" w:hAnsi="Times New Roman" w:cs="Times New Roman"/>
          <w:color w:val="1B1D1F"/>
          <w:sz w:val="24"/>
          <w:szCs w:val="24"/>
        </w:rPr>
        <w:t>netika izpildīts Pamatnostādnēs nospraustais mērķis un OAP procentuālajā izteiksmē samazinājās salīdzinājumā ar 2016. un 2017</w:t>
      </w:r>
      <w:r w:rsidR="00A2733A">
        <w:rPr>
          <w:rFonts w:ascii="Times New Roman" w:hAnsi="Times New Roman" w:cs="Times New Roman"/>
          <w:color w:val="1B1D1F"/>
          <w:sz w:val="24"/>
          <w:szCs w:val="24"/>
        </w:rPr>
        <w:t>. gad</w:t>
      </w:r>
      <w:r w:rsidR="00710F00" w:rsidRPr="009905B5">
        <w:rPr>
          <w:rFonts w:ascii="Times New Roman" w:hAnsi="Times New Roman" w:cs="Times New Roman"/>
          <w:color w:val="1B1D1F"/>
          <w:sz w:val="24"/>
          <w:szCs w:val="24"/>
        </w:rPr>
        <w:t>u</w:t>
      </w:r>
      <w:r w:rsidR="00AD1E72" w:rsidRPr="009905B5">
        <w:rPr>
          <w:rFonts w:ascii="Times New Roman" w:hAnsi="Times New Roman" w:cs="Times New Roman"/>
          <w:color w:val="1B1D1F"/>
          <w:sz w:val="24"/>
          <w:szCs w:val="24"/>
        </w:rPr>
        <w:t>.</w:t>
      </w:r>
      <w:r w:rsidR="00425632" w:rsidRPr="009905B5">
        <w:rPr>
          <w:rStyle w:val="FootnoteReference"/>
          <w:rFonts w:ascii="Times New Roman" w:hAnsi="Times New Roman" w:cs="Times New Roman"/>
          <w:color w:val="1B1D1F"/>
          <w:sz w:val="24"/>
          <w:szCs w:val="24"/>
        </w:rPr>
        <w:footnoteReference w:id="27"/>
      </w:r>
    </w:p>
    <w:p w14:paraId="1C1A3EFB" w14:textId="77777777" w:rsidR="00B7648E" w:rsidRDefault="00CC502B" w:rsidP="00C6786A">
      <w:pPr>
        <w:spacing w:after="240"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Plānojot, kā Latvija sasniegs 2030 mērķus, jārēķinās ar to, ka Pamatnostādnēs </w:t>
      </w:r>
      <w:r w:rsidR="003D3E74" w:rsidRPr="009905B5">
        <w:rPr>
          <w:rFonts w:ascii="Times New Roman" w:hAnsi="Times New Roman" w:cs="Times New Roman"/>
          <w:color w:val="1B1D1F"/>
          <w:sz w:val="24"/>
          <w:szCs w:val="24"/>
        </w:rPr>
        <w:t xml:space="preserve">2016-2020 </w:t>
      </w:r>
      <w:r w:rsidR="002904CC" w:rsidRPr="009905B5">
        <w:rPr>
          <w:rFonts w:ascii="Times New Roman" w:hAnsi="Times New Roman" w:cs="Times New Roman"/>
          <w:color w:val="1B1D1F"/>
          <w:sz w:val="24"/>
          <w:szCs w:val="24"/>
        </w:rPr>
        <w:t>nospraustie</w:t>
      </w:r>
      <w:r w:rsidRPr="009905B5">
        <w:rPr>
          <w:rFonts w:ascii="Times New Roman" w:hAnsi="Times New Roman" w:cs="Times New Roman"/>
          <w:color w:val="1B1D1F"/>
          <w:sz w:val="24"/>
          <w:szCs w:val="24"/>
        </w:rPr>
        <w:t xml:space="preserve"> mērķi netiks sasniegti. Kā redzams Tabulā Nr.</w:t>
      </w:r>
      <w:r w:rsidR="00F90090">
        <w:rPr>
          <w:rFonts w:ascii="Times New Roman" w:hAnsi="Times New Roman" w:cs="Times New Roman"/>
          <w:color w:val="1B1D1F"/>
          <w:sz w:val="24"/>
          <w:szCs w:val="24"/>
        </w:rPr>
        <w:t>3</w:t>
      </w:r>
      <w:r w:rsidRPr="009905B5">
        <w:rPr>
          <w:rFonts w:ascii="Times New Roman" w:hAnsi="Times New Roman" w:cs="Times New Roman"/>
          <w:color w:val="1B1D1F"/>
          <w:sz w:val="24"/>
          <w:szCs w:val="24"/>
        </w:rPr>
        <w:t>, jau 2018</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Latvija no nospraustā OAP</w:t>
      </w:r>
      <w:r w:rsidR="003D3E74" w:rsidRPr="009905B5">
        <w:rPr>
          <w:rFonts w:ascii="Times New Roman" w:hAnsi="Times New Roman" w:cs="Times New Roman"/>
          <w:color w:val="1B1D1F"/>
          <w:sz w:val="24"/>
          <w:szCs w:val="24"/>
        </w:rPr>
        <w:t xml:space="preserve"> mērķa atpalika par aptuveni </w:t>
      </w:r>
      <w:r w:rsidR="002A668D" w:rsidRPr="009905B5">
        <w:rPr>
          <w:rFonts w:ascii="Times New Roman" w:hAnsi="Times New Roman" w:cs="Times New Roman"/>
          <w:color w:val="1B1D1F"/>
          <w:sz w:val="24"/>
          <w:szCs w:val="24"/>
        </w:rPr>
        <w:t>5</w:t>
      </w:r>
      <w:r w:rsidRPr="009905B5">
        <w:rPr>
          <w:rFonts w:ascii="Times New Roman" w:hAnsi="Times New Roman" w:cs="Times New Roman"/>
          <w:color w:val="1B1D1F"/>
          <w:sz w:val="24"/>
          <w:szCs w:val="24"/>
        </w:rPr>
        <w:t xml:space="preserve"> milj. EUR. Pieņemot, ka 2019</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un 2020</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OAP pieaugums absolūtos skaitļos būs līdzvērtīgs pieaugumam 2016.-2018</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ā (aptuveni 0,9 milj. EUR), plaisa turpinās pieaugt.</w:t>
      </w:r>
      <w:r w:rsidR="002904CC" w:rsidRPr="009905B5">
        <w:rPr>
          <w:rFonts w:ascii="Times New Roman" w:hAnsi="Times New Roman" w:cs="Times New Roman"/>
          <w:color w:val="1B1D1F"/>
          <w:sz w:val="24"/>
          <w:szCs w:val="24"/>
        </w:rPr>
        <w:t xml:space="preserve"> </w:t>
      </w:r>
    </w:p>
    <w:p w14:paraId="7991FE0E" w14:textId="60FAD2D2" w:rsidR="005F77BD" w:rsidRPr="005F77BD" w:rsidRDefault="007443E8" w:rsidP="00C6786A">
      <w:pPr>
        <w:pStyle w:val="ListParagraph"/>
        <w:numPr>
          <w:ilvl w:val="0"/>
          <w:numId w:val="1"/>
        </w:numPr>
        <w:spacing w:before="120" w:after="240" w:line="240" w:lineRule="auto"/>
        <w:jc w:val="center"/>
        <w:outlineLvl w:val="0"/>
        <w:rPr>
          <w:rFonts w:ascii="Times New Roman" w:hAnsi="Times New Roman" w:cs="Times New Roman"/>
          <w:b/>
          <w:sz w:val="28"/>
          <w:szCs w:val="24"/>
        </w:rPr>
      </w:pPr>
      <w:r w:rsidRPr="00BE5444">
        <w:rPr>
          <w:rFonts w:ascii="Times New Roman" w:hAnsi="Times New Roman" w:cs="Times New Roman"/>
          <w:b/>
          <w:sz w:val="28"/>
          <w:szCs w:val="24"/>
        </w:rPr>
        <w:t xml:space="preserve"> </w:t>
      </w:r>
      <w:r w:rsidR="00B7648E" w:rsidRPr="00BE5444">
        <w:rPr>
          <w:rFonts w:ascii="Times New Roman" w:hAnsi="Times New Roman" w:cs="Times New Roman"/>
          <w:b/>
          <w:sz w:val="28"/>
          <w:szCs w:val="24"/>
        </w:rPr>
        <w:t xml:space="preserve">Piedāvātie risinājumi un </w:t>
      </w:r>
      <w:r w:rsidR="00FB5DC6" w:rsidRPr="00BE5444">
        <w:rPr>
          <w:rFonts w:ascii="Times New Roman" w:hAnsi="Times New Roman" w:cs="Times New Roman"/>
          <w:b/>
          <w:sz w:val="28"/>
          <w:szCs w:val="24"/>
        </w:rPr>
        <w:t>ietekme</w:t>
      </w:r>
    </w:p>
    <w:p w14:paraId="297C82BD" w14:textId="77777777" w:rsidR="009F369A" w:rsidRPr="009F369A" w:rsidRDefault="009F369A" w:rsidP="00C6786A">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Lai</w:t>
      </w:r>
      <w:r w:rsidRPr="0005577C">
        <w:rPr>
          <w:rFonts w:ascii="Times New Roman" w:hAnsi="Times New Roman" w:cs="Times New Roman"/>
          <w:sz w:val="24"/>
          <w:szCs w:val="24"/>
        </w:rPr>
        <w:t xml:space="preserve"> virz</w:t>
      </w:r>
      <w:r>
        <w:rPr>
          <w:rFonts w:ascii="Times New Roman" w:hAnsi="Times New Roman" w:cs="Times New Roman"/>
          <w:sz w:val="24"/>
          <w:szCs w:val="24"/>
        </w:rPr>
        <w:t>ītos</w:t>
      </w:r>
      <w:r w:rsidRPr="0005577C">
        <w:rPr>
          <w:rFonts w:ascii="Times New Roman" w:hAnsi="Times New Roman" w:cs="Times New Roman"/>
          <w:sz w:val="24"/>
          <w:szCs w:val="24"/>
        </w:rPr>
        <w:t xml:space="preserve"> uz </w:t>
      </w:r>
      <w:r>
        <w:rPr>
          <w:rFonts w:ascii="Times New Roman" w:hAnsi="Times New Roman" w:cs="Times New Roman"/>
          <w:sz w:val="24"/>
          <w:szCs w:val="24"/>
        </w:rPr>
        <w:t xml:space="preserve">2030 mērķa izpildi, nepieciešams palielināt Latvijas OAP. </w:t>
      </w:r>
      <w:r w:rsidRPr="0005577C">
        <w:rPr>
          <w:rFonts w:ascii="Times New Roman" w:hAnsi="Times New Roman" w:cs="Times New Roman"/>
          <w:sz w:val="24"/>
          <w:szCs w:val="24"/>
        </w:rPr>
        <w:t xml:space="preserve"> </w:t>
      </w:r>
      <w:r>
        <w:rPr>
          <w:rFonts w:ascii="Times New Roman" w:hAnsi="Times New Roman" w:cs="Times New Roman"/>
          <w:sz w:val="24"/>
          <w:szCs w:val="24"/>
        </w:rPr>
        <w:t>Līdz ar to, Ziņojumā tiek piedāvāti risinājuma varianti Latvijas OAP kāpināšanai. Pirmkārt, tiek piedāvāti modeļi OAP mērķa noteikšanai 2025.gadam. Otrkārt, tiek piedāvāti risinājuma varianti divpusējās OAP palielināšanai</w:t>
      </w:r>
      <w:r w:rsidR="0085606E">
        <w:rPr>
          <w:rFonts w:ascii="Times New Roman" w:hAnsi="Times New Roman" w:cs="Times New Roman"/>
          <w:sz w:val="24"/>
          <w:szCs w:val="24"/>
        </w:rPr>
        <w:t xml:space="preserve"> un</w:t>
      </w:r>
      <w:r w:rsidR="00B856D1">
        <w:rPr>
          <w:rFonts w:ascii="Times New Roman" w:hAnsi="Times New Roman" w:cs="Times New Roman"/>
          <w:sz w:val="24"/>
          <w:szCs w:val="24"/>
        </w:rPr>
        <w:t xml:space="preserve"> konkrēti </w:t>
      </w:r>
      <w:r>
        <w:rPr>
          <w:rFonts w:ascii="Times New Roman" w:hAnsi="Times New Roman" w:cs="Times New Roman"/>
          <w:sz w:val="24"/>
          <w:szCs w:val="24"/>
        </w:rPr>
        <w:t>finansējuma palielinā</w:t>
      </w:r>
      <w:r w:rsidR="00B856D1">
        <w:rPr>
          <w:rFonts w:ascii="Times New Roman" w:hAnsi="Times New Roman" w:cs="Times New Roman"/>
          <w:sz w:val="24"/>
          <w:szCs w:val="24"/>
        </w:rPr>
        <w:t>šanas modeļi</w:t>
      </w:r>
      <w:r>
        <w:rPr>
          <w:rFonts w:ascii="Times New Roman" w:hAnsi="Times New Roman" w:cs="Times New Roman"/>
          <w:sz w:val="24"/>
          <w:szCs w:val="24"/>
        </w:rPr>
        <w:t xml:space="preserve"> ĀM budžeta programmai “</w:t>
      </w:r>
      <w:r w:rsidRPr="009F369A">
        <w:rPr>
          <w:rFonts w:ascii="Times New Roman" w:hAnsi="Times New Roman" w:cs="Times New Roman"/>
          <w:sz w:val="24"/>
          <w:szCs w:val="24"/>
        </w:rPr>
        <w:t>Attīstības sadarbības projekti un starptautiskā palīdzība</w:t>
      </w:r>
      <w:r>
        <w:rPr>
          <w:rFonts w:ascii="Times New Roman" w:hAnsi="Times New Roman" w:cs="Times New Roman"/>
          <w:sz w:val="24"/>
          <w:szCs w:val="24"/>
        </w:rPr>
        <w:t xml:space="preserve">”. </w:t>
      </w:r>
    </w:p>
    <w:p w14:paraId="0CC103A0" w14:textId="472CA900" w:rsidR="005F77BD" w:rsidRPr="005F77BD" w:rsidRDefault="00B7648E" w:rsidP="00C6786A">
      <w:pPr>
        <w:pStyle w:val="ListParagraph"/>
        <w:numPr>
          <w:ilvl w:val="1"/>
          <w:numId w:val="1"/>
        </w:numPr>
        <w:spacing w:before="200" w:after="240" w:line="240" w:lineRule="auto"/>
        <w:ind w:left="806" w:hanging="446"/>
        <w:jc w:val="center"/>
        <w:outlineLvl w:val="0"/>
        <w:rPr>
          <w:rFonts w:ascii="Times New Roman" w:hAnsi="Times New Roman" w:cs="Times New Roman"/>
          <w:b/>
          <w:color w:val="1B1D1F"/>
          <w:sz w:val="24"/>
          <w:szCs w:val="24"/>
        </w:rPr>
      </w:pPr>
      <w:r w:rsidRPr="00B856D1">
        <w:rPr>
          <w:rFonts w:ascii="Times New Roman" w:hAnsi="Times New Roman" w:cs="Times New Roman"/>
          <w:b/>
          <w:color w:val="1B1D1F"/>
          <w:sz w:val="24"/>
          <w:szCs w:val="24"/>
        </w:rPr>
        <w:t xml:space="preserve">Latvijas OAP </w:t>
      </w:r>
      <w:r w:rsidR="004F0080" w:rsidRPr="00B856D1">
        <w:rPr>
          <w:rFonts w:ascii="Times New Roman" w:hAnsi="Times New Roman" w:cs="Times New Roman"/>
          <w:b/>
          <w:color w:val="1B1D1F"/>
          <w:sz w:val="24"/>
          <w:szCs w:val="24"/>
        </w:rPr>
        <w:t>mēr</w:t>
      </w:r>
      <w:r w:rsidR="00384564" w:rsidRPr="00B856D1">
        <w:rPr>
          <w:rFonts w:ascii="Times New Roman" w:hAnsi="Times New Roman" w:cs="Times New Roman"/>
          <w:b/>
          <w:color w:val="1B1D1F"/>
          <w:sz w:val="24"/>
          <w:szCs w:val="24"/>
        </w:rPr>
        <w:t>ķ</w:t>
      </w:r>
      <w:r w:rsidR="00B856D1">
        <w:rPr>
          <w:rFonts w:ascii="Times New Roman" w:hAnsi="Times New Roman" w:cs="Times New Roman"/>
          <w:b/>
          <w:color w:val="1B1D1F"/>
          <w:sz w:val="24"/>
          <w:szCs w:val="24"/>
        </w:rPr>
        <w:t xml:space="preserve">a </w:t>
      </w:r>
      <w:r w:rsidR="005A023A">
        <w:rPr>
          <w:rFonts w:ascii="Times New Roman" w:hAnsi="Times New Roman" w:cs="Times New Roman"/>
          <w:b/>
          <w:color w:val="1B1D1F"/>
          <w:sz w:val="24"/>
          <w:szCs w:val="24"/>
        </w:rPr>
        <w:t xml:space="preserve">modeļi </w:t>
      </w:r>
    </w:p>
    <w:p w14:paraId="0D5CC799" w14:textId="77777777" w:rsidR="00BC6E18" w:rsidRDefault="002904CC"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Plānojot OAP pieaugumu līdz 2030</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am, nepieciešams definēt jaunus mērķus nākamajam plānošanas periodam - 2021.-2025</w:t>
      </w:r>
      <w:r w:rsidR="00A2733A">
        <w:rPr>
          <w:rFonts w:ascii="Times New Roman" w:hAnsi="Times New Roman" w:cs="Times New Roman"/>
          <w:color w:val="1B1D1F"/>
          <w:sz w:val="24"/>
          <w:szCs w:val="24"/>
        </w:rPr>
        <w:t>. gad</w:t>
      </w:r>
      <w:r w:rsidRPr="009905B5">
        <w:rPr>
          <w:rFonts w:ascii="Times New Roman" w:hAnsi="Times New Roman" w:cs="Times New Roman"/>
          <w:color w:val="1B1D1F"/>
          <w:sz w:val="24"/>
          <w:szCs w:val="24"/>
        </w:rPr>
        <w:t xml:space="preserve">am. </w:t>
      </w:r>
      <w:r w:rsidR="000B264D" w:rsidRPr="009905B5">
        <w:rPr>
          <w:rFonts w:ascii="Times New Roman" w:hAnsi="Times New Roman" w:cs="Times New Roman"/>
          <w:color w:val="1B1D1F"/>
          <w:sz w:val="24"/>
          <w:szCs w:val="24"/>
        </w:rPr>
        <w:t>Tabul</w:t>
      </w:r>
      <w:r w:rsidR="00A868DF">
        <w:rPr>
          <w:rFonts w:ascii="Times New Roman" w:hAnsi="Times New Roman" w:cs="Times New Roman"/>
          <w:color w:val="1B1D1F"/>
          <w:sz w:val="24"/>
          <w:szCs w:val="24"/>
        </w:rPr>
        <w:t>ā</w:t>
      </w:r>
      <w:r w:rsidR="000B3B06" w:rsidRPr="009905B5">
        <w:rPr>
          <w:rFonts w:ascii="Times New Roman" w:hAnsi="Times New Roman" w:cs="Times New Roman"/>
          <w:color w:val="1B1D1F"/>
          <w:sz w:val="24"/>
          <w:szCs w:val="24"/>
        </w:rPr>
        <w:t xml:space="preserve"> Nr. </w:t>
      </w:r>
      <w:r w:rsidR="00F90090">
        <w:rPr>
          <w:rFonts w:ascii="Times New Roman" w:hAnsi="Times New Roman" w:cs="Times New Roman"/>
          <w:color w:val="1B1D1F"/>
          <w:sz w:val="24"/>
          <w:szCs w:val="24"/>
        </w:rPr>
        <w:t>4</w:t>
      </w:r>
      <w:r w:rsidR="000B3B06" w:rsidRPr="009905B5">
        <w:rPr>
          <w:rFonts w:ascii="Times New Roman" w:hAnsi="Times New Roman" w:cs="Times New Roman"/>
          <w:color w:val="1B1D1F"/>
          <w:sz w:val="24"/>
          <w:szCs w:val="24"/>
        </w:rPr>
        <w:t xml:space="preserve"> piedāvā</w:t>
      </w:r>
      <w:r w:rsidR="00FF0541" w:rsidRPr="009905B5">
        <w:rPr>
          <w:rFonts w:ascii="Times New Roman" w:hAnsi="Times New Roman" w:cs="Times New Roman"/>
          <w:color w:val="1B1D1F"/>
          <w:sz w:val="24"/>
          <w:szCs w:val="24"/>
        </w:rPr>
        <w:t>ti trīs modeļi</w:t>
      </w:r>
      <w:r w:rsidR="000B3B06" w:rsidRPr="009905B5">
        <w:rPr>
          <w:rFonts w:ascii="Times New Roman" w:hAnsi="Times New Roman" w:cs="Times New Roman"/>
          <w:color w:val="1B1D1F"/>
          <w:sz w:val="24"/>
          <w:szCs w:val="24"/>
        </w:rPr>
        <w:t xml:space="preserve">, kā virzīties uz 2030 mērķu sasniegšanu. </w:t>
      </w:r>
      <w:r w:rsidR="008F4A2C">
        <w:rPr>
          <w:rFonts w:ascii="Times New Roman" w:hAnsi="Times New Roman" w:cs="Times New Roman"/>
          <w:color w:val="1B1D1F"/>
          <w:sz w:val="24"/>
          <w:szCs w:val="24"/>
        </w:rPr>
        <w:t xml:space="preserve">Jebkura modeļa mērķtiecīga īstenošanai būtu pozitīva ietekme uz 2030 mērķa izpildi. </w:t>
      </w:r>
      <w:r w:rsidR="000B3B06" w:rsidRPr="009905B5">
        <w:rPr>
          <w:rFonts w:ascii="Times New Roman" w:hAnsi="Times New Roman" w:cs="Times New Roman"/>
          <w:color w:val="1B1D1F"/>
          <w:sz w:val="24"/>
          <w:szCs w:val="24"/>
        </w:rPr>
        <w:t>Modeļiem atšķiras ambīciju līmenis, kā arī tempi, kādā OAP būtu jākāpina.</w:t>
      </w:r>
      <w:r w:rsidR="002E253A">
        <w:rPr>
          <w:rFonts w:ascii="Times New Roman" w:hAnsi="Times New Roman" w:cs="Times New Roman"/>
          <w:color w:val="1B1D1F"/>
          <w:sz w:val="24"/>
          <w:szCs w:val="24"/>
        </w:rPr>
        <w:t xml:space="preserve"> </w:t>
      </w:r>
      <w:r w:rsidR="009F369A">
        <w:rPr>
          <w:rFonts w:ascii="Times New Roman" w:hAnsi="Times New Roman" w:cs="Times New Roman"/>
          <w:color w:val="1B1D1F"/>
          <w:sz w:val="24"/>
          <w:szCs w:val="24"/>
        </w:rPr>
        <w:t xml:space="preserve">Ņemot vērā pieejamās NKI prognozes un pieņemot, </w:t>
      </w:r>
      <w:r w:rsidR="00384564">
        <w:rPr>
          <w:rFonts w:ascii="Times New Roman" w:hAnsi="Times New Roman" w:cs="Times New Roman"/>
          <w:color w:val="1B1D1F"/>
          <w:sz w:val="24"/>
          <w:szCs w:val="24"/>
        </w:rPr>
        <w:t xml:space="preserve">jebkura </w:t>
      </w:r>
      <w:r w:rsidR="009F369A">
        <w:rPr>
          <w:rFonts w:ascii="Times New Roman" w:hAnsi="Times New Roman" w:cs="Times New Roman"/>
          <w:color w:val="1B1D1F"/>
          <w:sz w:val="24"/>
          <w:szCs w:val="24"/>
        </w:rPr>
        <w:t xml:space="preserve">modeļa īstenošanai </w:t>
      </w:r>
      <w:r w:rsidR="00384564">
        <w:rPr>
          <w:rFonts w:ascii="Times New Roman" w:hAnsi="Times New Roman" w:cs="Times New Roman"/>
          <w:color w:val="1B1D1F"/>
          <w:sz w:val="24"/>
          <w:szCs w:val="24"/>
        </w:rPr>
        <w:t>būtu</w:t>
      </w:r>
      <w:r w:rsidR="009F369A">
        <w:rPr>
          <w:rFonts w:ascii="Times New Roman" w:hAnsi="Times New Roman" w:cs="Times New Roman"/>
          <w:color w:val="1B1D1F"/>
          <w:sz w:val="24"/>
          <w:szCs w:val="24"/>
        </w:rPr>
        <w:t xml:space="preserve"> nepieciešams</w:t>
      </w:r>
      <w:r w:rsidR="00384564">
        <w:rPr>
          <w:rFonts w:ascii="Times New Roman" w:hAnsi="Times New Roman" w:cs="Times New Roman"/>
          <w:color w:val="1B1D1F"/>
          <w:sz w:val="24"/>
          <w:szCs w:val="24"/>
        </w:rPr>
        <w:t xml:space="preserve"> papildu finansējums</w:t>
      </w:r>
      <w:r w:rsidR="008F4A2C">
        <w:rPr>
          <w:rFonts w:ascii="Times New Roman" w:hAnsi="Times New Roman" w:cs="Times New Roman"/>
          <w:color w:val="1B1D1F"/>
          <w:sz w:val="24"/>
          <w:szCs w:val="24"/>
        </w:rPr>
        <w:t xml:space="preserve">. </w:t>
      </w:r>
    </w:p>
    <w:p w14:paraId="3B61DFEC" w14:textId="77777777" w:rsidR="000917AA" w:rsidRPr="009905B5" w:rsidRDefault="000917AA" w:rsidP="00C6786A">
      <w:pPr>
        <w:spacing w:before="160" w:after="24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Tabula Nr. </w:t>
      </w:r>
      <w:r w:rsidR="00CA7B52">
        <w:rPr>
          <w:rFonts w:ascii="Times New Roman" w:hAnsi="Times New Roman" w:cs="Times New Roman"/>
          <w:b/>
          <w:color w:val="1B1D1F"/>
          <w:sz w:val="24"/>
          <w:szCs w:val="24"/>
        </w:rPr>
        <w:t>4</w:t>
      </w:r>
      <w:r w:rsidRPr="009905B5">
        <w:rPr>
          <w:rFonts w:ascii="Times New Roman" w:hAnsi="Times New Roman" w:cs="Times New Roman"/>
          <w:b/>
          <w:color w:val="1B1D1F"/>
          <w:sz w:val="24"/>
          <w:szCs w:val="24"/>
        </w:rPr>
        <w:t xml:space="preserve">. Latvijas OAP </w:t>
      </w:r>
      <w:r w:rsidR="00D546E5">
        <w:rPr>
          <w:rFonts w:ascii="Times New Roman" w:hAnsi="Times New Roman" w:cs="Times New Roman"/>
          <w:b/>
          <w:color w:val="1B1D1F"/>
          <w:sz w:val="24"/>
          <w:szCs w:val="24"/>
        </w:rPr>
        <w:t>pieauguma modeļi nākamajā plānošanas periodā</w:t>
      </w:r>
      <w:r w:rsidRPr="009905B5">
        <w:rPr>
          <w:rFonts w:ascii="Times New Roman" w:hAnsi="Times New Roman" w:cs="Times New Roman"/>
          <w:b/>
          <w:color w:val="1B1D1F"/>
          <w:sz w:val="24"/>
          <w:szCs w:val="24"/>
        </w:rPr>
        <w:t xml:space="preserve"> (</w:t>
      </w:r>
      <w:r w:rsidR="00A868DF">
        <w:rPr>
          <w:rFonts w:ascii="Times New Roman" w:hAnsi="Times New Roman" w:cs="Times New Roman"/>
          <w:b/>
          <w:color w:val="1B1D1F"/>
          <w:sz w:val="24"/>
          <w:szCs w:val="24"/>
        </w:rPr>
        <w:t>2021-2025</w:t>
      </w:r>
      <w:r w:rsidRPr="009905B5">
        <w:rPr>
          <w:rFonts w:ascii="Times New Roman" w:hAnsi="Times New Roman" w:cs="Times New Roman"/>
          <w:b/>
          <w:color w:val="1B1D1F"/>
          <w:sz w:val="24"/>
          <w:szCs w:val="24"/>
        </w:rPr>
        <w:t>)</w:t>
      </w:r>
    </w:p>
    <w:tbl>
      <w:tblPr>
        <w:tblStyle w:val="TableGrid"/>
        <w:tblW w:w="8725" w:type="dxa"/>
        <w:tblLook w:val="04A0" w:firstRow="1" w:lastRow="0" w:firstColumn="1" w:lastColumn="0" w:noHBand="0" w:noVBand="1"/>
      </w:tblPr>
      <w:tblGrid>
        <w:gridCol w:w="3316"/>
        <w:gridCol w:w="909"/>
        <w:gridCol w:w="900"/>
        <w:gridCol w:w="900"/>
        <w:gridCol w:w="900"/>
        <w:gridCol w:w="924"/>
        <w:gridCol w:w="876"/>
      </w:tblGrid>
      <w:tr w:rsidR="00FF0541" w:rsidRPr="009905B5" w14:paraId="5D3A769C" w14:textId="77777777" w:rsidTr="00F040C6">
        <w:tc>
          <w:tcPr>
            <w:tcW w:w="3316" w:type="dxa"/>
          </w:tcPr>
          <w:p w14:paraId="34D82213" w14:textId="77777777" w:rsidR="00FF0541" w:rsidRPr="00633422" w:rsidRDefault="00FF0541" w:rsidP="00C05614">
            <w:pPr>
              <w:jc w:val="both"/>
              <w:rPr>
                <w:rFonts w:ascii="Times New Roman" w:hAnsi="Times New Roman" w:cs="Times New Roman"/>
                <w:b/>
                <w:color w:val="1B1D1F"/>
                <w:lang w:val="en-US"/>
              </w:rPr>
            </w:pPr>
          </w:p>
        </w:tc>
        <w:tc>
          <w:tcPr>
            <w:tcW w:w="909" w:type="dxa"/>
          </w:tcPr>
          <w:p w14:paraId="629FF55D"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2021</w:t>
            </w:r>
          </w:p>
        </w:tc>
        <w:tc>
          <w:tcPr>
            <w:tcW w:w="900" w:type="dxa"/>
          </w:tcPr>
          <w:p w14:paraId="2D94CF0C"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2022</w:t>
            </w:r>
          </w:p>
        </w:tc>
        <w:tc>
          <w:tcPr>
            <w:tcW w:w="900" w:type="dxa"/>
            <w:shd w:val="clear" w:color="auto" w:fill="FFFFFF" w:themeFill="background1"/>
          </w:tcPr>
          <w:p w14:paraId="40D7C62B" w14:textId="77777777"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2023</w:t>
            </w:r>
          </w:p>
        </w:tc>
        <w:tc>
          <w:tcPr>
            <w:tcW w:w="900" w:type="dxa"/>
            <w:shd w:val="clear" w:color="auto" w:fill="FFFFFF" w:themeFill="background1"/>
          </w:tcPr>
          <w:p w14:paraId="30DA2C0D" w14:textId="77777777"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2024</w:t>
            </w:r>
          </w:p>
        </w:tc>
        <w:tc>
          <w:tcPr>
            <w:tcW w:w="924" w:type="dxa"/>
            <w:tcBorders>
              <w:right w:val="double" w:sz="4" w:space="0" w:color="auto"/>
            </w:tcBorders>
            <w:shd w:val="clear" w:color="auto" w:fill="FFFFFF" w:themeFill="background1"/>
          </w:tcPr>
          <w:p w14:paraId="3CD8ACB0" w14:textId="77777777"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2025</w:t>
            </w:r>
          </w:p>
        </w:tc>
        <w:tc>
          <w:tcPr>
            <w:tcW w:w="876" w:type="dxa"/>
            <w:vMerge w:val="restart"/>
            <w:tcBorders>
              <w:left w:val="double" w:sz="4" w:space="0" w:color="auto"/>
            </w:tcBorders>
            <w:shd w:val="clear" w:color="auto" w:fill="FFFFFF" w:themeFill="background1"/>
            <w:vAlign w:val="center"/>
          </w:tcPr>
          <w:p w14:paraId="5F65BE18" w14:textId="77777777" w:rsidR="00FF0541" w:rsidRPr="00633422" w:rsidRDefault="00FF0541" w:rsidP="00C05614">
            <w:pPr>
              <w:jc w:val="both"/>
              <w:rPr>
                <w:rFonts w:ascii="Times New Roman" w:hAnsi="Times New Roman" w:cs="Times New Roman"/>
                <w:b/>
              </w:rPr>
            </w:pPr>
            <w:r w:rsidRPr="00633422">
              <w:rPr>
                <w:rFonts w:ascii="Times New Roman" w:hAnsi="Times New Roman" w:cs="Times New Roman"/>
                <w:b/>
              </w:rPr>
              <w:t>0.33%</w:t>
            </w:r>
          </w:p>
        </w:tc>
      </w:tr>
      <w:tr w:rsidR="00FF0541" w:rsidRPr="009905B5" w14:paraId="26D0FE9F" w14:textId="77777777" w:rsidTr="00F040C6">
        <w:tc>
          <w:tcPr>
            <w:tcW w:w="3316" w:type="dxa"/>
            <w:tcBorders>
              <w:bottom w:val="single" w:sz="4" w:space="0" w:color="auto"/>
            </w:tcBorders>
          </w:tcPr>
          <w:p w14:paraId="26E51AFC"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NK</w:t>
            </w:r>
            <w:r w:rsidR="006C2764" w:rsidRPr="00633422">
              <w:rPr>
                <w:rFonts w:ascii="Times New Roman" w:hAnsi="Times New Roman" w:cs="Times New Roman"/>
                <w:b/>
                <w:color w:val="1B1D1F"/>
              </w:rPr>
              <w:t>I</w:t>
            </w:r>
            <w:r w:rsidRPr="00633422">
              <w:rPr>
                <w:rFonts w:ascii="Times New Roman" w:hAnsi="Times New Roman" w:cs="Times New Roman"/>
                <w:b/>
                <w:color w:val="1B1D1F"/>
              </w:rPr>
              <w:t xml:space="preserve"> (milj. EUR)</w:t>
            </w:r>
            <w:r w:rsidR="000C7781" w:rsidRPr="00633422">
              <w:rPr>
                <w:rStyle w:val="FootnoteReference"/>
                <w:rFonts w:ascii="Times New Roman" w:hAnsi="Times New Roman" w:cs="Times New Roman"/>
                <w:b/>
                <w:color w:val="1B1D1F"/>
              </w:rPr>
              <w:footnoteReference w:id="28"/>
            </w:r>
          </w:p>
        </w:tc>
        <w:tc>
          <w:tcPr>
            <w:tcW w:w="909" w:type="dxa"/>
            <w:tcBorders>
              <w:bottom w:val="single" w:sz="4" w:space="0" w:color="auto"/>
            </w:tcBorders>
          </w:tcPr>
          <w:p w14:paraId="3E4906FF" w14:textId="77777777"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34 658</w:t>
            </w:r>
          </w:p>
        </w:tc>
        <w:tc>
          <w:tcPr>
            <w:tcW w:w="900" w:type="dxa"/>
            <w:tcBorders>
              <w:bottom w:val="single" w:sz="4" w:space="0" w:color="auto"/>
            </w:tcBorders>
          </w:tcPr>
          <w:p w14:paraId="129E2920" w14:textId="77777777"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36 482</w:t>
            </w:r>
          </w:p>
        </w:tc>
        <w:tc>
          <w:tcPr>
            <w:tcW w:w="900" w:type="dxa"/>
            <w:tcBorders>
              <w:bottom w:val="single" w:sz="4" w:space="0" w:color="auto"/>
            </w:tcBorders>
            <w:shd w:val="clear" w:color="auto" w:fill="FFFFFF" w:themeFill="background1"/>
          </w:tcPr>
          <w:p w14:paraId="589C64D9" w14:textId="77777777" w:rsidR="00FF0541" w:rsidRPr="00633422" w:rsidRDefault="00F040C6" w:rsidP="00C05614">
            <w:pPr>
              <w:jc w:val="both"/>
              <w:rPr>
                <w:rFonts w:ascii="Times New Roman" w:hAnsi="Times New Roman" w:cs="Times New Roman"/>
              </w:rPr>
            </w:pPr>
            <w:r w:rsidRPr="00633422">
              <w:rPr>
                <w:rFonts w:ascii="Times New Roman" w:hAnsi="Times New Roman" w:cs="Times New Roman"/>
              </w:rPr>
              <w:t>38 333</w:t>
            </w:r>
          </w:p>
        </w:tc>
        <w:tc>
          <w:tcPr>
            <w:tcW w:w="900" w:type="dxa"/>
            <w:tcBorders>
              <w:bottom w:val="single" w:sz="4" w:space="0" w:color="auto"/>
            </w:tcBorders>
            <w:shd w:val="clear" w:color="auto" w:fill="FFFFFF" w:themeFill="background1"/>
          </w:tcPr>
          <w:p w14:paraId="02D5C9D4" w14:textId="77777777" w:rsidR="00FF0541" w:rsidRPr="00633422" w:rsidRDefault="00F040C6" w:rsidP="00C05614">
            <w:pPr>
              <w:jc w:val="both"/>
              <w:rPr>
                <w:rFonts w:ascii="Times New Roman" w:hAnsi="Times New Roman" w:cs="Times New Roman"/>
              </w:rPr>
            </w:pPr>
            <w:r w:rsidRPr="00633422">
              <w:rPr>
                <w:rFonts w:ascii="Times New Roman" w:hAnsi="Times New Roman" w:cs="Times New Roman"/>
              </w:rPr>
              <w:t>40 256</w:t>
            </w:r>
          </w:p>
        </w:tc>
        <w:tc>
          <w:tcPr>
            <w:tcW w:w="924" w:type="dxa"/>
            <w:tcBorders>
              <w:bottom w:val="single" w:sz="4" w:space="0" w:color="auto"/>
              <w:right w:val="double" w:sz="4" w:space="0" w:color="auto"/>
            </w:tcBorders>
            <w:shd w:val="clear" w:color="auto" w:fill="FFFFFF" w:themeFill="background1"/>
          </w:tcPr>
          <w:p w14:paraId="5EAC7A31" w14:textId="77777777" w:rsidR="00FF0541" w:rsidRPr="00633422" w:rsidRDefault="00F040C6" w:rsidP="00C05614">
            <w:pPr>
              <w:jc w:val="both"/>
              <w:rPr>
                <w:rFonts w:ascii="Times New Roman" w:hAnsi="Times New Roman" w:cs="Times New Roman"/>
              </w:rPr>
            </w:pPr>
            <w:r w:rsidRPr="00633422">
              <w:rPr>
                <w:rFonts w:ascii="Times New Roman" w:hAnsi="Times New Roman" w:cs="Times New Roman"/>
              </w:rPr>
              <w:t>42 265</w:t>
            </w:r>
          </w:p>
        </w:tc>
        <w:tc>
          <w:tcPr>
            <w:tcW w:w="876" w:type="dxa"/>
            <w:vMerge/>
            <w:tcBorders>
              <w:left w:val="double" w:sz="4" w:space="0" w:color="auto"/>
            </w:tcBorders>
            <w:shd w:val="clear" w:color="auto" w:fill="FFFFFF" w:themeFill="background1"/>
          </w:tcPr>
          <w:p w14:paraId="19D8A224" w14:textId="77777777" w:rsidR="00FF0541" w:rsidRPr="00633422" w:rsidRDefault="00FF0541" w:rsidP="00C05614">
            <w:pPr>
              <w:jc w:val="both"/>
              <w:rPr>
                <w:rFonts w:ascii="Times New Roman" w:hAnsi="Times New Roman" w:cs="Times New Roman"/>
                <w:i/>
              </w:rPr>
            </w:pPr>
          </w:p>
        </w:tc>
      </w:tr>
      <w:tr w:rsidR="00FF0541" w:rsidRPr="009905B5" w14:paraId="374AFCC2" w14:textId="77777777" w:rsidTr="00F040C6">
        <w:tc>
          <w:tcPr>
            <w:tcW w:w="3316" w:type="dxa"/>
            <w:tcBorders>
              <w:top w:val="single" w:sz="12" w:space="0" w:color="auto"/>
              <w:bottom w:val="single" w:sz="4" w:space="0" w:color="auto"/>
            </w:tcBorders>
            <w:shd w:val="clear" w:color="auto" w:fill="D9D9D9" w:themeFill="background1" w:themeFillShade="D9"/>
          </w:tcPr>
          <w:p w14:paraId="3AC4CE70"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1</w:t>
            </w:r>
          </w:p>
          <w:p w14:paraId="2B306CC4" w14:textId="77777777" w:rsidR="00FF0541" w:rsidRPr="00633422" w:rsidRDefault="00FF0541" w:rsidP="00C05614">
            <w:pPr>
              <w:jc w:val="right"/>
              <w:rPr>
                <w:rFonts w:ascii="Times New Roman" w:hAnsi="Times New Roman" w:cs="Times New Roman"/>
                <w:i/>
                <w:color w:val="1B1D1F"/>
              </w:rPr>
            </w:pPr>
            <w:r w:rsidRPr="00633422">
              <w:rPr>
                <w:rFonts w:ascii="Times New Roman" w:hAnsi="Times New Roman" w:cs="Times New Roman"/>
                <w:i/>
                <w:color w:val="1B1D1F"/>
              </w:rPr>
              <w:t>“Pusceļā līdz 2030 mērķim”</w:t>
            </w:r>
          </w:p>
        </w:tc>
        <w:tc>
          <w:tcPr>
            <w:tcW w:w="909" w:type="dxa"/>
            <w:tcBorders>
              <w:top w:val="single" w:sz="12" w:space="0" w:color="auto"/>
              <w:bottom w:val="single" w:sz="4" w:space="0" w:color="auto"/>
            </w:tcBorders>
            <w:shd w:val="clear" w:color="auto" w:fill="D9D9D9" w:themeFill="background1" w:themeFillShade="D9"/>
          </w:tcPr>
          <w:p w14:paraId="7BC95904"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900" w:type="dxa"/>
            <w:tcBorders>
              <w:top w:val="single" w:sz="12" w:space="0" w:color="auto"/>
              <w:bottom w:val="single" w:sz="4" w:space="0" w:color="auto"/>
            </w:tcBorders>
            <w:shd w:val="clear" w:color="auto" w:fill="D9D9D9" w:themeFill="background1" w:themeFillShade="D9"/>
          </w:tcPr>
          <w:p w14:paraId="7668E908"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0.12</w:t>
            </w:r>
          </w:p>
        </w:tc>
        <w:tc>
          <w:tcPr>
            <w:tcW w:w="900" w:type="dxa"/>
            <w:tcBorders>
              <w:top w:val="single" w:sz="12" w:space="0" w:color="auto"/>
              <w:bottom w:val="single" w:sz="4" w:space="0" w:color="auto"/>
            </w:tcBorders>
            <w:shd w:val="clear" w:color="auto" w:fill="D9D9D9" w:themeFill="background1" w:themeFillShade="D9"/>
          </w:tcPr>
          <w:p w14:paraId="31C0DE67"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0.13</w:t>
            </w:r>
          </w:p>
        </w:tc>
        <w:tc>
          <w:tcPr>
            <w:tcW w:w="900" w:type="dxa"/>
            <w:tcBorders>
              <w:top w:val="single" w:sz="12" w:space="0" w:color="auto"/>
              <w:bottom w:val="single" w:sz="4" w:space="0" w:color="auto"/>
            </w:tcBorders>
            <w:shd w:val="clear" w:color="auto" w:fill="D9D9D9" w:themeFill="background1" w:themeFillShade="D9"/>
          </w:tcPr>
          <w:p w14:paraId="4F20F10E"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0.15</w:t>
            </w:r>
          </w:p>
        </w:tc>
        <w:tc>
          <w:tcPr>
            <w:tcW w:w="924" w:type="dxa"/>
            <w:tcBorders>
              <w:top w:val="single" w:sz="12" w:space="0" w:color="auto"/>
              <w:bottom w:val="single" w:sz="4" w:space="0" w:color="auto"/>
              <w:right w:val="double" w:sz="4" w:space="0" w:color="auto"/>
            </w:tcBorders>
            <w:shd w:val="clear" w:color="auto" w:fill="D9D9D9" w:themeFill="background1" w:themeFillShade="D9"/>
          </w:tcPr>
          <w:p w14:paraId="3DCC858C"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0.17</w:t>
            </w:r>
          </w:p>
        </w:tc>
        <w:tc>
          <w:tcPr>
            <w:tcW w:w="876" w:type="dxa"/>
            <w:vMerge w:val="restart"/>
            <w:tcBorders>
              <w:top w:val="single" w:sz="12" w:space="0" w:color="auto"/>
              <w:left w:val="double" w:sz="4" w:space="0" w:color="auto"/>
            </w:tcBorders>
            <w:shd w:val="clear" w:color="auto" w:fill="D9D9D9" w:themeFill="background1" w:themeFillShade="D9"/>
            <w:vAlign w:val="center"/>
          </w:tcPr>
          <w:p w14:paraId="6A2C0F11" w14:textId="77777777"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-0.16</w:t>
            </w:r>
          </w:p>
        </w:tc>
      </w:tr>
      <w:tr w:rsidR="00FF0541" w:rsidRPr="009905B5" w14:paraId="355884BF" w14:textId="77777777" w:rsidTr="00F040C6">
        <w:tc>
          <w:tcPr>
            <w:tcW w:w="3316" w:type="dxa"/>
            <w:tcBorders>
              <w:bottom w:val="single" w:sz="12" w:space="0" w:color="auto"/>
            </w:tcBorders>
            <w:shd w:val="clear" w:color="auto" w:fill="D9D9D9" w:themeFill="background1" w:themeFillShade="D9"/>
          </w:tcPr>
          <w:p w14:paraId="52CF6270" w14:textId="77777777" w:rsidR="00FF0541" w:rsidRPr="00633422" w:rsidRDefault="00FF0541"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09" w:type="dxa"/>
            <w:tcBorders>
              <w:bottom w:val="single" w:sz="12" w:space="0" w:color="auto"/>
            </w:tcBorders>
            <w:shd w:val="clear" w:color="auto" w:fill="D9D9D9" w:themeFill="background1" w:themeFillShade="D9"/>
          </w:tcPr>
          <w:p w14:paraId="790032DC"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38,12</w:t>
            </w:r>
          </w:p>
        </w:tc>
        <w:tc>
          <w:tcPr>
            <w:tcW w:w="900" w:type="dxa"/>
            <w:tcBorders>
              <w:bottom w:val="single" w:sz="12" w:space="0" w:color="auto"/>
            </w:tcBorders>
            <w:shd w:val="clear" w:color="auto" w:fill="D9D9D9" w:themeFill="background1" w:themeFillShade="D9"/>
          </w:tcPr>
          <w:p w14:paraId="17AC0967"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43,78</w:t>
            </w:r>
          </w:p>
        </w:tc>
        <w:tc>
          <w:tcPr>
            <w:tcW w:w="900" w:type="dxa"/>
            <w:tcBorders>
              <w:bottom w:val="single" w:sz="12" w:space="0" w:color="auto"/>
            </w:tcBorders>
            <w:shd w:val="clear" w:color="auto" w:fill="D9D9D9" w:themeFill="background1" w:themeFillShade="D9"/>
          </w:tcPr>
          <w:p w14:paraId="3DF1620D"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49,83</w:t>
            </w:r>
          </w:p>
        </w:tc>
        <w:tc>
          <w:tcPr>
            <w:tcW w:w="900" w:type="dxa"/>
            <w:tcBorders>
              <w:bottom w:val="single" w:sz="12" w:space="0" w:color="auto"/>
            </w:tcBorders>
            <w:shd w:val="clear" w:color="auto" w:fill="D9D9D9" w:themeFill="background1" w:themeFillShade="D9"/>
          </w:tcPr>
          <w:p w14:paraId="704B57F3" w14:textId="77777777"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60</w:t>
            </w:r>
            <w:r w:rsidR="00925299" w:rsidRPr="00633422">
              <w:rPr>
                <w:rFonts w:ascii="Times New Roman" w:hAnsi="Times New Roman" w:cs="Times New Roman"/>
                <w:b/>
                <w:color w:val="1B1D1F"/>
              </w:rPr>
              <w:t>,38</w:t>
            </w:r>
          </w:p>
        </w:tc>
        <w:tc>
          <w:tcPr>
            <w:tcW w:w="924" w:type="dxa"/>
            <w:tcBorders>
              <w:bottom w:val="single" w:sz="12" w:space="0" w:color="auto"/>
              <w:right w:val="double" w:sz="4" w:space="0" w:color="auto"/>
            </w:tcBorders>
            <w:shd w:val="clear" w:color="auto" w:fill="D9D9D9" w:themeFill="background1" w:themeFillShade="D9"/>
          </w:tcPr>
          <w:p w14:paraId="1579ED35" w14:textId="77777777"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71</w:t>
            </w:r>
            <w:r w:rsidR="00925299" w:rsidRPr="00633422">
              <w:rPr>
                <w:rFonts w:ascii="Times New Roman" w:hAnsi="Times New Roman" w:cs="Times New Roman"/>
                <w:b/>
                <w:color w:val="1B1D1F"/>
              </w:rPr>
              <w:t>,85</w:t>
            </w:r>
          </w:p>
        </w:tc>
        <w:tc>
          <w:tcPr>
            <w:tcW w:w="876" w:type="dxa"/>
            <w:vMerge/>
            <w:tcBorders>
              <w:left w:val="double" w:sz="4" w:space="0" w:color="auto"/>
              <w:bottom w:val="single" w:sz="12" w:space="0" w:color="auto"/>
            </w:tcBorders>
            <w:shd w:val="clear" w:color="auto" w:fill="D9D9D9" w:themeFill="background1" w:themeFillShade="D9"/>
            <w:vAlign w:val="center"/>
          </w:tcPr>
          <w:p w14:paraId="018DBB56" w14:textId="77777777" w:rsidR="00FF0541" w:rsidRPr="00633422" w:rsidRDefault="00FF0541" w:rsidP="00C05614">
            <w:pPr>
              <w:jc w:val="both"/>
              <w:rPr>
                <w:rFonts w:ascii="Times New Roman" w:hAnsi="Times New Roman" w:cs="Times New Roman"/>
                <w:i/>
                <w:color w:val="1B1D1F"/>
              </w:rPr>
            </w:pPr>
          </w:p>
        </w:tc>
      </w:tr>
      <w:tr w:rsidR="00FF0541" w:rsidRPr="009905B5" w14:paraId="5E94CE7D" w14:textId="77777777" w:rsidTr="00F040C6">
        <w:tc>
          <w:tcPr>
            <w:tcW w:w="3316" w:type="dxa"/>
            <w:tcBorders>
              <w:top w:val="single" w:sz="12" w:space="0" w:color="auto"/>
              <w:bottom w:val="single" w:sz="4" w:space="0" w:color="auto"/>
            </w:tcBorders>
            <w:shd w:val="clear" w:color="auto" w:fill="A6A6A6" w:themeFill="background1" w:themeFillShade="A6"/>
          </w:tcPr>
          <w:p w14:paraId="1FE95733"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2</w:t>
            </w:r>
          </w:p>
          <w:p w14:paraId="55C30D44"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i/>
                <w:color w:val="1B1D1F"/>
              </w:rPr>
              <w:t>“Pusceļā līdz 2030 mērķim +</w:t>
            </w:r>
            <w:r w:rsidR="0076530C" w:rsidRPr="00633422">
              <w:rPr>
                <w:rFonts w:ascii="Times New Roman" w:hAnsi="Times New Roman" w:cs="Times New Roman"/>
                <w:i/>
                <w:color w:val="1B1D1F"/>
              </w:rPr>
              <w:t>”</w:t>
            </w:r>
            <w:r w:rsidRPr="00633422">
              <w:rPr>
                <w:rFonts w:ascii="Times New Roman" w:hAnsi="Times New Roman" w:cs="Times New Roman"/>
                <w:i/>
                <w:color w:val="1B1D1F"/>
              </w:rPr>
              <w:t xml:space="preserve"> </w:t>
            </w:r>
          </w:p>
        </w:tc>
        <w:tc>
          <w:tcPr>
            <w:tcW w:w="909" w:type="dxa"/>
            <w:tcBorders>
              <w:top w:val="single" w:sz="12" w:space="0" w:color="auto"/>
              <w:bottom w:val="single" w:sz="4" w:space="0" w:color="auto"/>
            </w:tcBorders>
            <w:shd w:val="clear" w:color="auto" w:fill="A6A6A6" w:themeFill="background1" w:themeFillShade="A6"/>
          </w:tcPr>
          <w:p w14:paraId="36E0C1B5"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0.11</w:t>
            </w:r>
          </w:p>
        </w:tc>
        <w:tc>
          <w:tcPr>
            <w:tcW w:w="900" w:type="dxa"/>
            <w:tcBorders>
              <w:top w:val="single" w:sz="12" w:space="0" w:color="auto"/>
              <w:bottom w:val="single" w:sz="4" w:space="0" w:color="auto"/>
            </w:tcBorders>
            <w:shd w:val="clear" w:color="auto" w:fill="A6A6A6" w:themeFill="background1" w:themeFillShade="A6"/>
          </w:tcPr>
          <w:p w14:paraId="6774105F"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0.13</w:t>
            </w:r>
          </w:p>
        </w:tc>
        <w:tc>
          <w:tcPr>
            <w:tcW w:w="900" w:type="dxa"/>
            <w:tcBorders>
              <w:top w:val="single" w:sz="12" w:space="0" w:color="auto"/>
              <w:bottom w:val="single" w:sz="4" w:space="0" w:color="auto"/>
            </w:tcBorders>
            <w:shd w:val="clear" w:color="auto" w:fill="A6A6A6" w:themeFill="background1" w:themeFillShade="A6"/>
          </w:tcPr>
          <w:p w14:paraId="6AA5019F"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0.15</w:t>
            </w:r>
          </w:p>
        </w:tc>
        <w:tc>
          <w:tcPr>
            <w:tcW w:w="900" w:type="dxa"/>
            <w:tcBorders>
              <w:top w:val="single" w:sz="12" w:space="0" w:color="auto"/>
              <w:bottom w:val="single" w:sz="4" w:space="0" w:color="auto"/>
            </w:tcBorders>
            <w:shd w:val="clear" w:color="auto" w:fill="A6A6A6" w:themeFill="background1" w:themeFillShade="A6"/>
          </w:tcPr>
          <w:p w14:paraId="573C2D4B"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0.17</w:t>
            </w:r>
          </w:p>
        </w:tc>
        <w:tc>
          <w:tcPr>
            <w:tcW w:w="924" w:type="dxa"/>
            <w:tcBorders>
              <w:top w:val="single" w:sz="12" w:space="0" w:color="auto"/>
              <w:bottom w:val="single" w:sz="4" w:space="0" w:color="auto"/>
              <w:right w:val="double" w:sz="4" w:space="0" w:color="auto"/>
            </w:tcBorders>
            <w:shd w:val="clear" w:color="auto" w:fill="A6A6A6" w:themeFill="background1" w:themeFillShade="A6"/>
          </w:tcPr>
          <w:p w14:paraId="3AA26BBD"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0.19</w:t>
            </w:r>
          </w:p>
        </w:tc>
        <w:tc>
          <w:tcPr>
            <w:tcW w:w="876" w:type="dxa"/>
            <w:vMerge w:val="restart"/>
            <w:tcBorders>
              <w:top w:val="single" w:sz="12" w:space="0" w:color="auto"/>
              <w:left w:val="double" w:sz="4" w:space="0" w:color="auto"/>
            </w:tcBorders>
            <w:shd w:val="clear" w:color="auto" w:fill="A6A6A6" w:themeFill="background1" w:themeFillShade="A6"/>
            <w:vAlign w:val="center"/>
          </w:tcPr>
          <w:p w14:paraId="040C152B" w14:textId="77777777"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-0.14</w:t>
            </w:r>
          </w:p>
        </w:tc>
      </w:tr>
      <w:tr w:rsidR="00FF0541" w:rsidRPr="009905B5" w14:paraId="7F15FB80" w14:textId="77777777" w:rsidTr="00F040C6">
        <w:tc>
          <w:tcPr>
            <w:tcW w:w="3316" w:type="dxa"/>
            <w:tcBorders>
              <w:bottom w:val="single" w:sz="12" w:space="0" w:color="auto"/>
            </w:tcBorders>
            <w:shd w:val="clear" w:color="auto" w:fill="A6A6A6" w:themeFill="background1" w:themeFillShade="A6"/>
          </w:tcPr>
          <w:p w14:paraId="0DC27046" w14:textId="77777777" w:rsidR="00FF0541" w:rsidRPr="00633422" w:rsidRDefault="00FF0541"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09" w:type="dxa"/>
            <w:tcBorders>
              <w:bottom w:val="single" w:sz="12" w:space="0" w:color="auto"/>
            </w:tcBorders>
            <w:shd w:val="clear" w:color="auto" w:fill="A6A6A6" w:themeFill="background1" w:themeFillShade="A6"/>
          </w:tcPr>
          <w:p w14:paraId="7759DF41"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38,12</w:t>
            </w:r>
          </w:p>
        </w:tc>
        <w:tc>
          <w:tcPr>
            <w:tcW w:w="900" w:type="dxa"/>
            <w:tcBorders>
              <w:bottom w:val="single" w:sz="12" w:space="0" w:color="auto"/>
            </w:tcBorders>
            <w:shd w:val="clear" w:color="auto" w:fill="A6A6A6" w:themeFill="background1" w:themeFillShade="A6"/>
          </w:tcPr>
          <w:p w14:paraId="4DD6B8CC"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47,43</w:t>
            </w:r>
          </w:p>
        </w:tc>
        <w:tc>
          <w:tcPr>
            <w:tcW w:w="900" w:type="dxa"/>
            <w:tcBorders>
              <w:bottom w:val="single" w:sz="12" w:space="0" w:color="auto"/>
            </w:tcBorders>
            <w:shd w:val="clear" w:color="auto" w:fill="A6A6A6" w:themeFill="background1" w:themeFillShade="A6"/>
          </w:tcPr>
          <w:p w14:paraId="417C5170" w14:textId="77777777"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57</w:t>
            </w:r>
            <w:r w:rsidR="00925299" w:rsidRPr="00633422">
              <w:rPr>
                <w:rFonts w:ascii="Times New Roman" w:hAnsi="Times New Roman" w:cs="Times New Roman"/>
                <w:b/>
                <w:color w:val="1B1D1F"/>
              </w:rPr>
              <w:t>,50</w:t>
            </w:r>
          </w:p>
        </w:tc>
        <w:tc>
          <w:tcPr>
            <w:tcW w:w="900" w:type="dxa"/>
            <w:tcBorders>
              <w:bottom w:val="single" w:sz="12" w:space="0" w:color="auto"/>
            </w:tcBorders>
            <w:shd w:val="clear" w:color="auto" w:fill="A6A6A6" w:themeFill="background1" w:themeFillShade="A6"/>
          </w:tcPr>
          <w:p w14:paraId="594CFBAB" w14:textId="77777777" w:rsidR="00FF0541" w:rsidRPr="00633422" w:rsidRDefault="00F040C6" w:rsidP="00C05614">
            <w:pPr>
              <w:jc w:val="both"/>
              <w:rPr>
                <w:rFonts w:ascii="Times New Roman" w:hAnsi="Times New Roman" w:cs="Times New Roman"/>
                <w:b/>
                <w:color w:val="1B1D1F"/>
              </w:rPr>
            </w:pPr>
            <w:r w:rsidRPr="00633422">
              <w:rPr>
                <w:rFonts w:ascii="Times New Roman" w:hAnsi="Times New Roman" w:cs="Times New Roman"/>
                <w:b/>
                <w:color w:val="1B1D1F"/>
              </w:rPr>
              <w:t>68</w:t>
            </w:r>
            <w:r w:rsidR="00925299" w:rsidRPr="00633422">
              <w:rPr>
                <w:rFonts w:ascii="Times New Roman" w:hAnsi="Times New Roman" w:cs="Times New Roman"/>
                <w:b/>
                <w:color w:val="1B1D1F"/>
              </w:rPr>
              <w:t>,44</w:t>
            </w:r>
          </w:p>
        </w:tc>
        <w:tc>
          <w:tcPr>
            <w:tcW w:w="924" w:type="dxa"/>
            <w:tcBorders>
              <w:bottom w:val="single" w:sz="12" w:space="0" w:color="auto"/>
              <w:right w:val="double" w:sz="4" w:space="0" w:color="auto"/>
            </w:tcBorders>
            <w:shd w:val="clear" w:color="auto" w:fill="A6A6A6" w:themeFill="background1" w:themeFillShade="A6"/>
          </w:tcPr>
          <w:p w14:paraId="795FC1FC" w14:textId="77777777" w:rsidR="00FF0541"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80,30</w:t>
            </w:r>
          </w:p>
        </w:tc>
        <w:tc>
          <w:tcPr>
            <w:tcW w:w="876" w:type="dxa"/>
            <w:vMerge/>
            <w:tcBorders>
              <w:left w:val="double" w:sz="4" w:space="0" w:color="auto"/>
              <w:bottom w:val="single" w:sz="12" w:space="0" w:color="auto"/>
            </w:tcBorders>
            <w:shd w:val="clear" w:color="auto" w:fill="A6A6A6" w:themeFill="background1" w:themeFillShade="A6"/>
            <w:vAlign w:val="center"/>
          </w:tcPr>
          <w:p w14:paraId="69A1CBD8" w14:textId="77777777" w:rsidR="00FF0541" w:rsidRPr="00633422" w:rsidRDefault="00FF0541" w:rsidP="00C05614">
            <w:pPr>
              <w:jc w:val="both"/>
              <w:rPr>
                <w:rFonts w:ascii="Times New Roman" w:hAnsi="Times New Roman" w:cs="Times New Roman"/>
                <w:i/>
                <w:color w:val="1B1D1F"/>
              </w:rPr>
            </w:pPr>
          </w:p>
        </w:tc>
      </w:tr>
      <w:tr w:rsidR="00FF0541" w:rsidRPr="009905B5" w14:paraId="06BF2101" w14:textId="77777777" w:rsidTr="00F040C6">
        <w:tc>
          <w:tcPr>
            <w:tcW w:w="3316" w:type="dxa"/>
            <w:tcBorders>
              <w:top w:val="single" w:sz="12" w:space="0" w:color="auto"/>
              <w:bottom w:val="single" w:sz="4" w:space="0" w:color="auto"/>
            </w:tcBorders>
            <w:shd w:val="clear" w:color="auto" w:fill="808080" w:themeFill="background1" w:themeFillShade="80"/>
          </w:tcPr>
          <w:p w14:paraId="095E5C22" w14:textId="77777777" w:rsidR="00FF0541" w:rsidRPr="00633422" w:rsidRDefault="00FF0541"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3</w:t>
            </w:r>
          </w:p>
          <w:p w14:paraId="040136EF" w14:textId="77777777" w:rsidR="00FF0541" w:rsidRPr="00633422" w:rsidRDefault="0076530C" w:rsidP="00C05614">
            <w:pPr>
              <w:jc w:val="right"/>
              <w:rPr>
                <w:rFonts w:ascii="Times New Roman" w:hAnsi="Times New Roman" w:cs="Times New Roman"/>
                <w:b/>
                <w:color w:val="1B1D1F"/>
              </w:rPr>
            </w:pPr>
            <w:r w:rsidRPr="00633422">
              <w:rPr>
                <w:rFonts w:ascii="Times New Roman" w:hAnsi="Times New Roman" w:cs="Times New Roman"/>
                <w:i/>
                <w:color w:val="1B1D1F"/>
              </w:rPr>
              <w:t>“</w:t>
            </w:r>
            <w:r w:rsidR="00FF0541" w:rsidRPr="00633422">
              <w:rPr>
                <w:rFonts w:ascii="Times New Roman" w:hAnsi="Times New Roman" w:cs="Times New Roman"/>
                <w:i/>
                <w:color w:val="1B1D1F"/>
              </w:rPr>
              <w:t>2/3 līdz 2030 mērķim</w:t>
            </w:r>
            <w:r w:rsidRPr="00633422">
              <w:rPr>
                <w:rFonts w:ascii="Times New Roman" w:hAnsi="Times New Roman" w:cs="Times New Roman"/>
                <w:i/>
                <w:color w:val="1B1D1F"/>
              </w:rPr>
              <w:t>”</w:t>
            </w:r>
          </w:p>
        </w:tc>
        <w:tc>
          <w:tcPr>
            <w:tcW w:w="909" w:type="dxa"/>
            <w:tcBorders>
              <w:top w:val="single" w:sz="12" w:space="0" w:color="auto"/>
              <w:bottom w:val="single" w:sz="4" w:space="0" w:color="auto"/>
            </w:tcBorders>
            <w:shd w:val="clear" w:color="auto" w:fill="808080" w:themeFill="background1" w:themeFillShade="80"/>
          </w:tcPr>
          <w:p w14:paraId="3DA5133D"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0.12</w:t>
            </w:r>
          </w:p>
        </w:tc>
        <w:tc>
          <w:tcPr>
            <w:tcW w:w="900" w:type="dxa"/>
            <w:tcBorders>
              <w:top w:val="single" w:sz="12" w:space="0" w:color="auto"/>
              <w:bottom w:val="single" w:sz="4" w:space="0" w:color="auto"/>
            </w:tcBorders>
            <w:shd w:val="clear" w:color="auto" w:fill="808080" w:themeFill="background1" w:themeFillShade="80"/>
          </w:tcPr>
          <w:p w14:paraId="00DFEFA5"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0.14</w:t>
            </w:r>
          </w:p>
        </w:tc>
        <w:tc>
          <w:tcPr>
            <w:tcW w:w="900" w:type="dxa"/>
            <w:tcBorders>
              <w:top w:val="single" w:sz="12" w:space="0" w:color="auto"/>
              <w:bottom w:val="single" w:sz="4" w:space="0" w:color="auto"/>
            </w:tcBorders>
            <w:shd w:val="clear" w:color="auto" w:fill="808080" w:themeFill="background1" w:themeFillShade="80"/>
          </w:tcPr>
          <w:p w14:paraId="29F9304F"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0.16</w:t>
            </w:r>
          </w:p>
        </w:tc>
        <w:tc>
          <w:tcPr>
            <w:tcW w:w="900" w:type="dxa"/>
            <w:tcBorders>
              <w:top w:val="single" w:sz="12" w:space="0" w:color="auto"/>
              <w:bottom w:val="single" w:sz="4" w:space="0" w:color="auto"/>
            </w:tcBorders>
            <w:shd w:val="clear" w:color="auto" w:fill="808080" w:themeFill="background1" w:themeFillShade="80"/>
          </w:tcPr>
          <w:p w14:paraId="57BF1659"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0.19</w:t>
            </w:r>
          </w:p>
        </w:tc>
        <w:tc>
          <w:tcPr>
            <w:tcW w:w="924" w:type="dxa"/>
            <w:tcBorders>
              <w:top w:val="single" w:sz="12" w:space="0" w:color="auto"/>
              <w:bottom w:val="single" w:sz="4" w:space="0" w:color="auto"/>
              <w:right w:val="double" w:sz="4" w:space="0" w:color="auto"/>
            </w:tcBorders>
            <w:shd w:val="clear" w:color="auto" w:fill="808080" w:themeFill="background1" w:themeFillShade="80"/>
          </w:tcPr>
          <w:p w14:paraId="58C93CE5" w14:textId="77777777" w:rsidR="00FF0541" w:rsidRPr="00633422" w:rsidRDefault="00FF0541" w:rsidP="00C05614">
            <w:pPr>
              <w:jc w:val="both"/>
              <w:rPr>
                <w:rFonts w:ascii="Times New Roman" w:hAnsi="Times New Roman" w:cs="Times New Roman"/>
                <w:b/>
                <w:color w:val="1B1D1F"/>
              </w:rPr>
            </w:pPr>
            <w:r w:rsidRPr="00633422">
              <w:rPr>
                <w:rFonts w:ascii="Times New Roman" w:hAnsi="Times New Roman" w:cs="Times New Roman"/>
                <w:b/>
                <w:color w:val="1B1D1F"/>
              </w:rPr>
              <w:t>0.22</w:t>
            </w:r>
          </w:p>
        </w:tc>
        <w:tc>
          <w:tcPr>
            <w:tcW w:w="876" w:type="dxa"/>
            <w:vMerge w:val="restart"/>
            <w:tcBorders>
              <w:top w:val="single" w:sz="12" w:space="0" w:color="auto"/>
              <w:left w:val="double" w:sz="4" w:space="0" w:color="auto"/>
            </w:tcBorders>
            <w:shd w:val="clear" w:color="auto" w:fill="808080" w:themeFill="background1" w:themeFillShade="80"/>
            <w:vAlign w:val="center"/>
          </w:tcPr>
          <w:p w14:paraId="3B31F635" w14:textId="77777777" w:rsidR="00FF0541" w:rsidRPr="00633422" w:rsidRDefault="00FF0541" w:rsidP="00C05614">
            <w:pPr>
              <w:jc w:val="both"/>
              <w:rPr>
                <w:rFonts w:ascii="Times New Roman" w:hAnsi="Times New Roman" w:cs="Times New Roman"/>
                <w:color w:val="1B1D1F"/>
              </w:rPr>
            </w:pPr>
            <w:r w:rsidRPr="00633422">
              <w:rPr>
                <w:rFonts w:ascii="Times New Roman" w:hAnsi="Times New Roman" w:cs="Times New Roman"/>
                <w:color w:val="1B1D1F"/>
              </w:rPr>
              <w:t>-0.11</w:t>
            </w:r>
          </w:p>
        </w:tc>
      </w:tr>
      <w:tr w:rsidR="00FF0541" w:rsidRPr="009905B5" w14:paraId="297D2D43" w14:textId="77777777" w:rsidTr="00F040C6">
        <w:tc>
          <w:tcPr>
            <w:tcW w:w="3316" w:type="dxa"/>
            <w:tcBorders>
              <w:bottom w:val="single" w:sz="12" w:space="0" w:color="auto"/>
            </w:tcBorders>
            <w:shd w:val="clear" w:color="auto" w:fill="808080" w:themeFill="background1" w:themeFillShade="80"/>
          </w:tcPr>
          <w:p w14:paraId="6D61DD5B" w14:textId="77777777" w:rsidR="00FF0541" w:rsidRPr="009905B5" w:rsidRDefault="00FF0541" w:rsidP="00C05614">
            <w:pPr>
              <w:jc w:val="right"/>
              <w:rPr>
                <w:rFonts w:ascii="Times New Roman" w:hAnsi="Times New Roman" w:cs="Times New Roman"/>
                <w:b/>
                <w:color w:val="1B1D1F"/>
                <w:sz w:val="24"/>
                <w:szCs w:val="24"/>
              </w:rPr>
            </w:pPr>
            <w:r w:rsidRPr="009905B5">
              <w:rPr>
                <w:rFonts w:ascii="Times New Roman" w:hAnsi="Times New Roman" w:cs="Times New Roman"/>
                <w:color w:val="1B1D1F"/>
                <w:sz w:val="24"/>
                <w:szCs w:val="24"/>
              </w:rPr>
              <w:t>milj. EUR</w:t>
            </w:r>
          </w:p>
        </w:tc>
        <w:tc>
          <w:tcPr>
            <w:tcW w:w="909" w:type="dxa"/>
            <w:tcBorders>
              <w:bottom w:val="single" w:sz="12" w:space="0" w:color="auto"/>
            </w:tcBorders>
            <w:shd w:val="clear" w:color="auto" w:fill="808080" w:themeFill="background1" w:themeFillShade="80"/>
          </w:tcPr>
          <w:p w14:paraId="5E75DC86" w14:textId="77777777"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41,59</w:t>
            </w:r>
          </w:p>
        </w:tc>
        <w:tc>
          <w:tcPr>
            <w:tcW w:w="900" w:type="dxa"/>
            <w:tcBorders>
              <w:bottom w:val="single" w:sz="12" w:space="0" w:color="auto"/>
            </w:tcBorders>
            <w:shd w:val="clear" w:color="auto" w:fill="808080" w:themeFill="background1" w:themeFillShade="80"/>
          </w:tcPr>
          <w:p w14:paraId="6A99F33E" w14:textId="77777777"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51,07</w:t>
            </w:r>
          </w:p>
        </w:tc>
        <w:tc>
          <w:tcPr>
            <w:tcW w:w="900" w:type="dxa"/>
            <w:tcBorders>
              <w:bottom w:val="single" w:sz="12" w:space="0" w:color="auto"/>
            </w:tcBorders>
            <w:shd w:val="clear" w:color="auto" w:fill="808080" w:themeFill="background1" w:themeFillShade="80"/>
          </w:tcPr>
          <w:p w14:paraId="2F158750" w14:textId="77777777"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61,33</w:t>
            </w:r>
          </w:p>
        </w:tc>
        <w:tc>
          <w:tcPr>
            <w:tcW w:w="900" w:type="dxa"/>
            <w:tcBorders>
              <w:bottom w:val="single" w:sz="12" w:space="0" w:color="auto"/>
            </w:tcBorders>
            <w:shd w:val="clear" w:color="auto" w:fill="808080" w:themeFill="background1" w:themeFillShade="80"/>
          </w:tcPr>
          <w:p w14:paraId="67F4D037" w14:textId="77777777" w:rsidR="00FF0541" w:rsidRPr="009905B5" w:rsidRDefault="007865FA"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76</w:t>
            </w:r>
            <w:r w:rsidR="00925299" w:rsidRPr="009905B5">
              <w:rPr>
                <w:rFonts w:ascii="Times New Roman" w:hAnsi="Times New Roman" w:cs="Times New Roman"/>
                <w:b/>
                <w:color w:val="1B1D1F"/>
                <w:sz w:val="24"/>
                <w:szCs w:val="24"/>
              </w:rPr>
              <w:t>,49</w:t>
            </w:r>
          </w:p>
        </w:tc>
        <w:tc>
          <w:tcPr>
            <w:tcW w:w="924" w:type="dxa"/>
            <w:tcBorders>
              <w:bottom w:val="single" w:sz="12" w:space="0" w:color="auto"/>
              <w:right w:val="double" w:sz="4" w:space="0" w:color="auto"/>
            </w:tcBorders>
            <w:shd w:val="clear" w:color="auto" w:fill="808080" w:themeFill="background1" w:themeFillShade="80"/>
          </w:tcPr>
          <w:p w14:paraId="35E4CB1D" w14:textId="77777777" w:rsidR="00FF0541" w:rsidRPr="009905B5" w:rsidRDefault="00925299" w:rsidP="00C05614">
            <w:pPr>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92,98</w:t>
            </w:r>
          </w:p>
        </w:tc>
        <w:tc>
          <w:tcPr>
            <w:tcW w:w="876" w:type="dxa"/>
            <w:vMerge/>
            <w:tcBorders>
              <w:left w:val="double" w:sz="4" w:space="0" w:color="auto"/>
              <w:bottom w:val="single" w:sz="12" w:space="0" w:color="auto"/>
            </w:tcBorders>
            <w:shd w:val="clear" w:color="auto" w:fill="808080" w:themeFill="background1" w:themeFillShade="80"/>
          </w:tcPr>
          <w:p w14:paraId="2550D80D" w14:textId="77777777" w:rsidR="00FF0541" w:rsidRPr="009905B5" w:rsidRDefault="00FF0541" w:rsidP="00C05614">
            <w:pPr>
              <w:jc w:val="both"/>
              <w:rPr>
                <w:rFonts w:ascii="Times New Roman" w:hAnsi="Times New Roman" w:cs="Times New Roman"/>
                <w:i/>
                <w:color w:val="1B1D1F"/>
                <w:sz w:val="24"/>
                <w:szCs w:val="24"/>
              </w:rPr>
            </w:pPr>
          </w:p>
        </w:tc>
      </w:tr>
    </w:tbl>
    <w:p w14:paraId="423E2234" w14:textId="77777777" w:rsidR="00B974EB" w:rsidRPr="009905B5" w:rsidRDefault="00B974EB" w:rsidP="002D27A8">
      <w:pPr>
        <w:spacing w:before="160" w:line="240" w:lineRule="auto"/>
        <w:jc w:val="both"/>
        <w:rPr>
          <w:rFonts w:ascii="Times New Roman" w:hAnsi="Times New Roman" w:cs="Times New Roman"/>
          <w:b/>
          <w:color w:val="1B1D1F"/>
          <w:sz w:val="24"/>
          <w:szCs w:val="24"/>
        </w:rPr>
      </w:pPr>
      <w:r w:rsidRPr="009905B5">
        <w:rPr>
          <w:rFonts w:ascii="Times New Roman" w:hAnsi="Times New Roman" w:cs="Times New Roman"/>
          <w:b/>
          <w:color w:val="1B1D1F"/>
          <w:sz w:val="24"/>
          <w:szCs w:val="24"/>
        </w:rPr>
        <w:t xml:space="preserve">Ņemot vērā Latvijas </w:t>
      </w:r>
      <w:r w:rsidR="00C07B8A" w:rsidRPr="009905B5">
        <w:rPr>
          <w:rFonts w:ascii="Times New Roman" w:hAnsi="Times New Roman" w:cs="Times New Roman"/>
          <w:b/>
          <w:color w:val="1B1D1F"/>
          <w:sz w:val="24"/>
          <w:szCs w:val="24"/>
        </w:rPr>
        <w:t xml:space="preserve">OAP </w:t>
      </w:r>
      <w:r w:rsidRPr="009905B5">
        <w:rPr>
          <w:rFonts w:ascii="Times New Roman" w:hAnsi="Times New Roman" w:cs="Times New Roman"/>
          <w:b/>
          <w:color w:val="1B1D1F"/>
          <w:sz w:val="24"/>
          <w:szCs w:val="24"/>
        </w:rPr>
        <w:t>stru</w:t>
      </w:r>
      <w:r w:rsidR="00FF0541" w:rsidRPr="009905B5">
        <w:rPr>
          <w:rFonts w:ascii="Times New Roman" w:hAnsi="Times New Roman" w:cs="Times New Roman"/>
          <w:b/>
          <w:color w:val="1B1D1F"/>
          <w:sz w:val="24"/>
          <w:szCs w:val="24"/>
        </w:rPr>
        <w:t>ktūru, OAP</w:t>
      </w:r>
      <w:r w:rsidR="00B856D1">
        <w:rPr>
          <w:rFonts w:ascii="Times New Roman" w:hAnsi="Times New Roman" w:cs="Times New Roman"/>
          <w:b/>
          <w:color w:val="1B1D1F"/>
          <w:sz w:val="24"/>
          <w:szCs w:val="24"/>
        </w:rPr>
        <w:t xml:space="preserve"> mērķi var sasniegt</w:t>
      </w:r>
      <w:r w:rsidR="00624D9D" w:rsidRPr="009905B5">
        <w:rPr>
          <w:rFonts w:ascii="Times New Roman" w:hAnsi="Times New Roman" w:cs="Times New Roman"/>
          <w:b/>
          <w:color w:val="1B1D1F"/>
          <w:sz w:val="24"/>
          <w:szCs w:val="24"/>
        </w:rPr>
        <w:t>:</w:t>
      </w:r>
    </w:p>
    <w:p w14:paraId="64B30DF0" w14:textId="77777777" w:rsidR="00C06227" w:rsidRPr="00C06227" w:rsidRDefault="00C06227" w:rsidP="00C06227">
      <w:pPr>
        <w:pStyle w:val="ListParagraph"/>
        <w:numPr>
          <w:ilvl w:val="0"/>
          <w:numId w:val="36"/>
        </w:numPr>
        <w:rPr>
          <w:rFonts w:ascii="Times New Roman" w:hAnsi="Times New Roman" w:cs="Times New Roman"/>
          <w:color w:val="1B1D1F"/>
          <w:sz w:val="24"/>
          <w:szCs w:val="24"/>
        </w:rPr>
      </w:pPr>
      <w:r w:rsidRPr="00C06227">
        <w:rPr>
          <w:rFonts w:ascii="Times New Roman" w:hAnsi="Times New Roman" w:cs="Times New Roman"/>
          <w:b/>
          <w:color w:val="1B1D1F"/>
          <w:sz w:val="24"/>
          <w:szCs w:val="24"/>
        </w:rPr>
        <w:t>Palielinot divpusējo palīdzību</w:t>
      </w:r>
      <w:r w:rsidRPr="00C06227">
        <w:rPr>
          <w:rFonts w:ascii="Times New Roman" w:hAnsi="Times New Roman" w:cs="Times New Roman"/>
          <w:color w:val="1B1D1F"/>
          <w:sz w:val="24"/>
          <w:szCs w:val="24"/>
        </w:rPr>
        <w:t>, kas tiek finansēta no:</w:t>
      </w:r>
    </w:p>
    <w:p w14:paraId="442AA35A" w14:textId="77777777" w:rsidR="00C06227" w:rsidRPr="00C06227" w:rsidRDefault="00C06227" w:rsidP="00820E56">
      <w:pPr>
        <w:pStyle w:val="ListParagraph"/>
        <w:numPr>
          <w:ilvl w:val="0"/>
          <w:numId w:val="37"/>
        </w:numPr>
        <w:jc w:val="both"/>
        <w:rPr>
          <w:rFonts w:ascii="Times New Roman" w:hAnsi="Times New Roman" w:cs="Times New Roman"/>
          <w:color w:val="1B1D1F"/>
          <w:sz w:val="24"/>
          <w:szCs w:val="24"/>
        </w:rPr>
      </w:pPr>
      <w:r w:rsidRPr="00C06227">
        <w:rPr>
          <w:rFonts w:ascii="Times New Roman" w:hAnsi="Times New Roman" w:cs="Times New Roman"/>
          <w:b/>
          <w:color w:val="1B1D1F"/>
          <w:sz w:val="24"/>
          <w:szCs w:val="24"/>
        </w:rPr>
        <w:lastRenderedPageBreak/>
        <w:t>ĀM budžeta programmas “Attīstības sadarbības projekti un starptautiskā palīdzība”</w:t>
      </w:r>
      <w:r w:rsidRPr="00C06227">
        <w:rPr>
          <w:rFonts w:ascii="Times New Roman" w:hAnsi="Times New Roman" w:cs="Times New Roman"/>
          <w:color w:val="1B1D1F"/>
          <w:sz w:val="24"/>
          <w:szCs w:val="24"/>
        </w:rPr>
        <w:t>;</w:t>
      </w:r>
    </w:p>
    <w:p w14:paraId="32C99481" w14:textId="77777777" w:rsidR="00C06227" w:rsidRDefault="00C06227" w:rsidP="00820E56">
      <w:pPr>
        <w:pStyle w:val="ListParagraph"/>
        <w:numPr>
          <w:ilvl w:val="0"/>
          <w:numId w:val="37"/>
        </w:numPr>
        <w:spacing w:line="240" w:lineRule="auto"/>
        <w:jc w:val="both"/>
        <w:rPr>
          <w:rFonts w:ascii="Times New Roman" w:hAnsi="Times New Roman" w:cs="Times New Roman"/>
          <w:i/>
          <w:color w:val="1B1D1F"/>
          <w:sz w:val="24"/>
          <w:szCs w:val="24"/>
        </w:rPr>
      </w:pPr>
      <w:r w:rsidRPr="00C06227">
        <w:rPr>
          <w:rFonts w:ascii="Times New Roman" w:hAnsi="Times New Roman" w:cs="Times New Roman"/>
          <w:b/>
          <w:color w:val="1B1D1F"/>
          <w:sz w:val="24"/>
          <w:szCs w:val="24"/>
        </w:rPr>
        <w:t>Citu valsts pārvaldes un pašvaldību iestāžu budžetiem</w:t>
      </w:r>
      <w:r w:rsidRPr="00C06227">
        <w:rPr>
          <w:rFonts w:ascii="Times New Roman" w:hAnsi="Times New Roman" w:cs="Times New Roman"/>
          <w:color w:val="1B1D1F"/>
          <w:sz w:val="24"/>
          <w:szCs w:val="24"/>
        </w:rPr>
        <w:t xml:space="preserve"> (šobrīd galvenokārt </w:t>
      </w:r>
      <w:proofErr w:type="spellStart"/>
      <w:r w:rsidRPr="00C06227">
        <w:rPr>
          <w:rFonts w:ascii="Times New Roman" w:hAnsi="Times New Roman" w:cs="Times New Roman"/>
          <w:i/>
          <w:color w:val="1B1D1F"/>
          <w:sz w:val="24"/>
          <w:szCs w:val="24"/>
        </w:rPr>
        <w:t>ad</w:t>
      </w:r>
      <w:proofErr w:type="spellEnd"/>
      <w:r w:rsidRPr="00C06227">
        <w:rPr>
          <w:rFonts w:ascii="Times New Roman" w:hAnsi="Times New Roman" w:cs="Times New Roman"/>
          <w:i/>
          <w:color w:val="1B1D1F"/>
          <w:sz w:val="24"/>
          <w:szCs w:val="24"/>
        </w:rPr>
        <w:t xml:space="preserve"> </w:t>
      </w:r>
      <w:proofErr w:type="spellStart"/>
      <w:r w:rsidRPr="00C06227">
        <w:rPr>
          <w:rFonts w:ascii="Times New Roman" w:hAnsi="Times New Roman" w:cs="Times New Roman"/>
          <w:i/>
          <w:color w:val="1B1D1F"/>
          <w:sz w:val="24"/>
          <w:szCs w:val="24"/>
        </w:rPr>
        <w:t>hoc</w:t>
      </w:r>
      <w:proofErr w:type="spellEnd"/>
      <w:r w:rsidRPr="00C06227">
        <w:rPr>
          <w:rFonts w:ascii="Times New Roman" w:hAnsi="Times New Roman" w:cs="Times New Roman"/>
          <w:i/>
          <w:color w:val="1B1D1F"/>
          <w:sz w:val="24"/>
          <w:szCs w:val="24"/>
        </w:rPr>
        <w:t xml:space="preserve"> </w:t>
      </w:r>
      <w:r w:rsidRPr="00C06227">
        <w:rPr>
          <w:rFonts w:ascii="Times New Roman" w:hAnsi="Times New Roman" w:cs="Times New Roman"/>
          <w:color w:val="1B1D1F"/>
          <w:sz w:val="24"/>
          <w:szCs w:val="24"/>
        </w:rPr>
        <w:t>veidā</w:t>
      </w:r>
      <w:r w:rsidRPr="00C06227">
        <w:rPr>
          <w:rFonts w:ascii="Times New Roman" w:hAnsi="Times New Roman" w:cs="Times New Roman"/>
          <w:i/>
          <w:color w:val="1B1D1F"/>
          <w:sz w:val="24"/>
          <w:szCs w:val="24"/>
        </w:rPr>
        <w:t>).</w:t>
      </w:r>
    </w:p>
    <w:p w14:paraId="7A52E669" w14:textId="77777777" w:rsidR="00C06227" w:rsidRPr="00820E56" w:rsidRDefault="00C06227" w:rsidP="00820E56">
      <w:pPr>
        <w:pStyle w:val="ListParagraph"/>
        <w:spacing w:line="240" w:lineRule="auto"/>
        <w:ind w:left="1080"/>
        <w:jc w:val="both"/>
        <w:rPr>
          <w:rFonts w:ascii="Times New Roman" w:hAnsi="Times New Roman" w:cs="Times New Roman"/>
          <w:color w:val="1B1D1F"/>
          <w:sz w:val="24"/>
          <w:szCs w:val="24"/>
        </w:rPr>
      </w:pPr>
    </w:p>
    <w:p w14:paraId="595E4A45" w14:textId="3653C571" w:rsidR="00A64754" w:rsidRPr="00871ECD" w:rsidRDefault="00CC7C07" w:rsidP="00871ECD">
      <w:pPr>
        <w:pStyle w:val="ListParagraph"/>
        <w:numPr>
          <w:ilvl w:val="0"/>
          <w:numId w:val="36"/>
        </w:numPr>
        <w:spacing w:line="240" w:lineRule="auto"/>
        <w:jc w:val="both"/>
        <w:rPr>
          <w:rFonts w:ascii="Times New Roman" w:hAnsi="Times New Roman" w:cs="Times New Roman"/>
          <w:color w:val="1B1D1F"/>
          <w:sz w:val="24"/>
          <w:szCs w:val="24"/>
        </w:rPr>
      </w:pPr>
      <w:r w:rsidRPr="00820E56">
        <w:rPr>
          <w:rFonts w:ascii="Times New Roman" w:hAnsi="Times New Roman" w:cs="Times New Roman"/>
          <w:b/>
          <w:color w:val="1B1D1F"/>
          <w:sz w:val="24"/>
          <w:szCs w:val="24"/>
        </w:rPr>
        <w:t>Palielinot daudzpusējo palīdzību</w:t>
      </w:r>
      <w:r w:rsidRPr="00820E56">
        <w:rPr>
          <w:rFonts w:ascii="Times New Roman" w:hAnsi="Times New Roman" w:cs="Times New Roman"/>
          <w:color w:val="1B1D1F"/>
          <w:sz w:val="24"/>
          <w:szCs w:val="24"/>
        </w:rPr>
        <w:t xml:space="preserve"> t.i. iemaksas starptautiskās organizācijās, </w:t>
      </w:r>
      <w:r w:rsidR="00633833">
        <w:rPr>
          <w:rFonts w:ascii="Times New Roman" w:hAnsi="Times New Roman" w:cs="Times New Roman"/>
          <w:color w:val="1B1D1F"/>
          <w:sz w:val="24"/>
          <w:szCs w:val="24"/>
        </w:rPr>
        <w:t xml:space="preserve">starptautiskajās finanšu institūcijās, </w:t>
      </w:r>
      <w:r w:rsidRPr="00820E56">
        <w:rPr>
          <w:rFonts w:ascii="Times New Roman" w:hAnsi="Times New Roman" w:cs="Times New Roman"/>
          <w:color w:val="1B1D1F"/>
          <w:sz w:val="24"/>
          <w:szCs w:val="24"/>
        </w:rPr>
        <w:t>programmās, fondos</w:t>
      </w:r>
      <w:r w:rsidR="00390069">
        <w:rPr>
          <w:rFonts w:ascii="Times New Roman" w:hAnsi="Times New Roman" w:cs="Times New Roman"/>
          <w:color w:val="1B1D1F"/>
          <w:sz w:val="24"/>
          <w:szCs w:val="24"/>
        </w:rPr>
        <w:t>.</w:t>
      </w:r>
      <w:r w:rsidR="00194577">
        <w:rPr>
          <w:rStyle w:val="FootnoteReference"/>
          <w:rFonts w:ascii="Times New Roman" w:hAnsi="Times New Roman" w:cs="Times New Roman"/>
          <w:color w:val="1B1D1F"/>
          <w:sz w:val="24"/>
          <w:szCs w:val="24"/>
        </w:rPr>
        <w:footnoteReference w:id="29"/>
      </w:r>
      <w:r w:rsidRPr="00820E56">
        <w:rPr>
          <w:rFonts w:ascii="Times New Roman" w:hAnsi="Times New Roman" w:cs="Times New Roman"/>
          <w:color w:val="1B1D1F"/>
          <w:sz w:val="24"/>
          <w:szCs w:val="24"/>
        </w:rPr>
        <w:t xml:space="preserve"> Gadījumos, ja iemaksas tiek izmantotas īpašos fondos vai mehānismos, vai konkrētu starptautisko organizāciju projektu vai mērķu sasniegšanai, tā varētu tikt uzskaitīta kā divpusējā palīdzība.</w:t>
      </w:r>
    </w:p>
    <w:p w14:paraId="11542A49" w14:textId="1D2E0CE2" w:rsidR="001C43A4" w:rsidRDefault="003D3E74"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Tā kā plaisa starp O</w:t>
      </w:r>
      <w:r w:rsidR="0091170F" w:rsidRPr="009905B5">
        <w:rPr>
          <w:rFonts w:ascii="Times New Roman" w:hAnsi="Times New Roman" w:cs="Times New Roman"/>
          <w:color w:val="1B1D1F"/>
          <w:sz w:val="24"/>
          <w:szCs w:val="24"/>
        </w:rPr>
        <w:t>A</w:t>
      </w:r>
      <w:r w:rsidRPr="009905B5">
        <w:rPr>
          <w:rFonts w:ascii="Times New Roman" w:hAnsi="Times New Roman" w:cs="Times New Roman"/>
          <w:color w:val="1B1D1F"/>
          <w:sz w:val="24"/>
          <w:szCs w:val="24"/>
        </w:rPr>
        <w:t>P</w:t>
      </w:r>
      <w:r w:rsidR="0091170F" w:rsidRPr="009905B5">
        <w:rPr>
          <w:rFonts w:ascii="Times New Roman" w:hAnsi="Times New Roman" w:cs="Times New Roman"/>
          <w:color w:val="1B1D1F"/>
          <w:sz w:val="24"/>
          <w:szCs w:val="24"/>
        </w:rPr>
        <w:t xml:space="preserve"> mērķi un faktisko OAP apjomu</w:t>
      </w:r>
      <w:r w:rsidR="00F30A02" w:rsidRPr="009905B5">
        <w:rPr>
          <w:rFonts w:ascii="Times New Roman" w:hAnsi="Times New Roman" w:cs="Times New Roman"/>
          <w:color w:val="1B1D1F"/>
          <w:sz w:val="24"/>
          <w:szCs w:val="24"/>
        </w:rPr>
        <w:t xml:space="preserve"> turpina pieaugt</w:t>
      </w:r>
      <w:r w:rsidR="006C2764">
        <w:rPr>
          <w:rFonts w:ascii="Times New Roman" w:hAnsi="Times New Roman" w:cs="Times New Roman"/>
          <w:color w:val="1B1D1F"/>
          <w:sz w:val="24"/>
          <w:szCs w:val="24"/>
        </w:rPr>
        <w:t xml:space="preserve">, </w:t>
      </w:r>
      <w:r w:rsidR="0091170F" w:rsidRPr="009905B5">
        <w:rPr>
          <w:rFonts w:ascii="Times New Roman" w:hAnsi="Times New Roman" w:cs="Times New Roman"/>
          <w:color w:val="1B1D1F"/>
          <w:sz w:val="24"/>
          <w:szCs w:val="24"/>
        </w:rPr>
        <w:t xml:space="preserve">būtu </w:t>
      </w:r>
      <w:r w:rsidR="00135531" w:rsidRPr="009905B5">
        <w:rPr>
          <w:rFonts w:ascii="Times New Roman" w:hAnsi="Times New Roman" w:cs="Times New Roman"/>
          <w:color w:val="1B1D1F"/>
          <w:sz w:val="24"/>
          <w:szCs w:val="24"/>
        </w:rPr>
        <w:t xml:space="preserve">nepieciešams </w:t>
      </w:r>
      <w:r w:rsidR="0091170F" w:rsidRPr="009905B5">
        <w:rPr>
          <w:rFonts w:ascii="Times New Roman" w:hAnsi="Times New Roman" w:cs="Times New Roman"/>
          <w:color w:val="1B1D1F"/>
          <w:sz w:val="24"/>
          <w:szCs w:val="24"/>
        </w:rPr>
        <w:t>kāpināt gan daudzpusējo, gan divp</w:t>
      </w:r>
      <w:r w:rsidRPr="009905B5">
        <w:rPr>
          <w:rFonts w:ascii="Times New Roman" w:hAnsi="Times New Roman" w:cs="Times New Roman"/>
          <w:color w:val="1B1D1F"/>
          <w:sz w:val="24"/>
          <w:szCs w:val="24"/>
        </w:rPr>
        <w:t>usējo palīdzību</w:t>
      </w:r>
      <w:r w:rsidR="00F30A02" w:rsidRPr="009905B5">
        <w:rPr>
          <w:rFonts w:ascii="Times New Roman" w:hAnsi="Times New Roman" w:cs="Times New Roman"/>
          <w:color w:val="1B1D1F"/>
          <w:sz w:val="24"/>
          <w:szCs w:val="24"/>
        </w:rPr>
        <w:t xml:space="preserve">. </w:t>
      </w:r>
      <w:r w:rsidR="00030FF4" w:rsidRPr="009905B5">
        <w:rPr>
          <w:rFonts w:ascii="Times New Roman" w:hAnsi="Times New Roman" w:cs="Times New Roman"/>
          <w:color w:val="1B1D1F"/>
          <w:sz w:val="24"/>
          <w:szCs w:val="24"/>
        </w:rPr>
        <w:t>V</w:t>
      </w:r>
      <w:r w:rsidRPr="009905B5">
        <w:rPr>
          <w:rFonts w:ascii="Times New Roman" w:hAnsi="Times New Roman" w:cs="Times New Roman"/>
          <w:color w:val="1B1D1F"/>
          <w:sz w:val="24"/>
          <w:szCs w:val="24"/>
        </w:rPr>
        <w:t>ienlaikus tieši divpusējās palīdzības kāpināšana varētu celt</w:t>
      </w:r>
      <w:r w:rsidR="002E253A">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Latvijas kā donora redzamību</w:t>
      </w:r>
      <w:r w:rsidR="00882C16">
        <w:rPr>
          <w:rFonts w:ascii="Times New Roman" w:hAnsi="Times New Roman" w:cs="Times New Roman"/>
          <w:color w:val="1B1D1F"/>
          <w:sz w:val="24"/>
          <w:szCs w:val="24"/>
        </w:rPr>
        <w:t>, Latvijas sniegtās palīdzības paredzamību un ilgtspēju, kā arī</w:t>
      </w:r>
      <w:r w:rsidR="006C2764">
        <w:rPr>
          <w:rFonts w:ascii="Times New Roman" w:hAnsi="Times New Roman" w:cs="Times New Roman"/>
          <w:color w:val="1B1D1F"/>
          <w:sz w:val="24"/>
          <w:szCs w:val="24"/>
        </w:rPr>
        <w:t xml:space="preserve"> dotu papildu iespējas Latvijas projektu īstenotājiem</w:t>
      </w:r>
      <w:r w:rsidR="003149FB">
        <w:rPr>
          <w:rFonts w:ascii="Times New Roman" w:hAnsi="Times New Roman" w:cs="Times New Roman"/>
          <w:color w:val="1B1D1F"/>
          <w:sz w:val="24"/>
          <w:szCs w:val="24"/>
        </w:rPr>
        <w:t xml:space="preserve"> iesaistīties palīdzības sniegšanā attīstības valstīm</w:t>
      </w:r>
      <w:r w:rsidR="00E524B3">
        <w:rPr>
          <w:rFonts w:ascii="Times New Roman" w:hAnsi="Times New Roman" w:cs="Times New Roman"/>
          <w:color w:val="1B1D1F"/>
          <w:sz w:val="24"/>
          <w:szCs w:val="24"/>
        </w:rPr>
        <w:t xml:space="preserve">, </w:t>
      </w:r>
      <w:r w:rsidR="00E524B3" w:rsidRPr="005A0442">
        <w:rPr>
          <w:rFonts w:ascii="Times New Roman" w:hAnsi="Times New Roman" w:cs="Times New Roman"/>
          <w:color w:val="1B1D1F"/>
          <w:sz w:val="24"/>
          <w:szCs w:val="24"/>
        </w:rPr>
        <w:t>tādējādi pozitīvi ietekmējot esošo situāciju.</w:t>
      </w:r>
      <w:r w:rsidR="003149FB">
        <w:rPr>
          <w:rFonts w:ascii="Times New Roman" w:hAnsi="Times New Roman" w:cs="Times New Roman"/>
          <w:color w:val="1B1D1F"/>
          <w:sz w:val="24"/>
          <w:szCs w:val="24"/>
        </w:rPr>
        <w:t xml:space="preserve"> </w:t>
      </w:r>
    </w:p>
    <w:p w14:paraId="64E6F79A" w14:textId="7A611AC3" w:rsidR="00C06227" w:rsidRPr="00820E56" w:rsidRDefault="00E02D24" w:rsidP="00C05614">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C06227" w:rsidRPr="00CC7C07">
        <w:rPr>
          <w:rFonts w:ascii="Times New Roman" w:eastAsia="Times New Roman" w:hAnsi="Times New Roman" w:cs="Times New Roman"/>
          <w:bCs/>
          <w:sz w:val="24"/>
          <w:szCs w:val="24"/>
        </w:rPr>
        <w:t>ivpusējā palīdzība, piemēram, attīstības sadarbības projekti, sniedz donoriem redzamību, divpusējās politikas ieguvumus, kā arī iespējas pilnveidot savas attīstības sadarbības sistēmas un kopienas spējas. Ņemot vērā partnervalsts vajadzības un attīstības kontekstu, sniedzot divpusējo palīdzību donora atbildībā ir palīdzības mērķa un veidu noteikšana, atbilstošākā ieviesēja izvēle (kas nereti – un Latvijas gadījumā gandrīz vienmēr – ir donora valsts pārvaldes vai pašvaldību iestādes, kā arī PSO, privātā sektora organizācijas). Divpusējā palīdzībā donoram ir lielāka kontrole pār finansējuma izlietošanas nosacījumiem, līdz ar to iespējams nodrošināt, ka donora ieguldījums ir arī pienācīgi izcelts un redzams. Turklāt, plānojot divpusējo attīstības palīdzību, ir plašākas iespējas veicināt sinerģijas ar drošības, tirdzniecības, ārējās ekonomikas, kā arī migrācijas politikām un to instrumentiem. Divpusējie palīdzības projekti nodrošina redzamību tieši Latvijai, kas būs būtiski, strādājot pie Latvijas ievēlēšanas ANO Drošības padomē 2025. gadā.</w:t>
      </w:r>
    </w:p>
    <w:p w14:paraId="0BB5BAEC" w14:textId="748EB007" w:rsidR="00A64754" w:rsidRPr="009905B5" w:rsidRDefault="00A64754" w:rsidP="00A64754">
      <w:pPr>
        <w:tabs>
          <w:tab w:val="left" w:pos="1230"/>
        </w:tabs>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Daudzpusējā palīdzība ir vitāli nepieciešama globālās attīstības sekmēšanā, kvalitatīvas un koordinētas palīdzības sniegšanā. Piemēram, Latvija ar daudzpusējās palīdzības instrumentiem </w:t>
      </w:r>
      <w:r>
        <w:rPr>
          <w:rFonts w:ascii="Times New Roman" w:hAnsi="Times New Roman" w:cs="Times New Roman"/>
          <w:color w:val="1B1D1F"/>
          <w:sz w:val="24"/>
          <w:szCs w:val="24"/>
        </w:rPr>
        <w:t>var</w:t>
      </w:r>
      <w:r w:rsidRPr="009905B5">
        <w:rPr>
          <w:rFonts w:ascii="Times New Roman" w:hAnsi="Times New Roman" w:cs="Times New Roman"/>
          <w:color w:val="1B1D1F"/>
          <w:sz w:val="24"/>
          <w:szCs w:val="24"/>
        </w:rPr>
        <w:t xml:space="preserve"> sniegt palīdzību un atbalstu valstīm vai reģioniem, kuros Latvijai ir ierobežota pieredze un nav klātbūtnes, kā arī atbalstīt </w:t>
      </w:r>
      <w:r w:rsidR="00747A22">
        <w:rPr>
          <w:rFonts w:ascii="Times New Roman" w:hAnsi="Times New Roman" w:cs="Times New Roman"/>
          <w:color w:val="1B1D1F"/>
          <w:sz w:val="24"/>
          <w:szCs w:val="24"/>
        </w:rPr>
        <w:t xml:space="preserve">globālu </w:t>
      </w:r>
      <w:r w:rsidR="00747A22" w:rsidRPr="009905B5">
        <w:rPr>
          <w:rFonts w:ascii="Times New Roman" w:hAnsi="Times New Roman" w:cs="Times New Roman"/>
          <w:color w:val="1B1D1F"/>
          <w:sz w:val="24"/>
          <w:szCs w:val="24"/>
        </w:rPr>
        <w:t>izaicinājum</w:t>
      </w:r>
      <w:r w:rsidR="00747A22">
        <w:rPr>
          <w:rFonts w:ascii="Times New Roman" w:hAnsi="Times New Roman" w:cs="Times New Roman"/>
          <w:color w:val="1B1D1F"/>
          <w:sz w:val="24"/>
          <w:szCs w:val="24"/>
        </w:rPr>
        <w:t>u</w:t>
      </w:r>
      <w:r w:rsidR="00747A22"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risināšanu</w:t>
      </w:r>
      <w:r w:rsidR="00F837F7">
        <w:rPr>
          <w:rFonts w:ascii="Times New Roman" w:hAnsi="Times New Roman" w:cs="Times New Roman"/>
          <w:color w:val="1B1D1F"/>
          <w:sz w:val="24"/>
          <w:szCs w:val="24"/>
        </w:rPr>
        <w:t>, tai skaitā</w:t>
      </w:r>
      <w:r w:rsidR="00194577">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dzimumu līdztiesīb</w:t>
      </w:r>
      <w:r>
        <w:rPr>
          <w:rFonts w:ascii="Times New Roman" w:hAnsi="Times New Roman" w:cs="Times New Roman"/>
          <w:color w:val="1B1D1F"/>
          <w:sz w:val="24"/>
          <w:szCs w:val="24"/>
        </w:rPr>
        <w:t>as</w:t>
      </w:r>
      <w:r w:rsidRPr="009905B5">
        <w:rPr>
          <w:rFonts w:ascii="Times New Roman" w:hAnsi="Times New Roman" w:cs="Times New Roman"/>
          <w:color w:val="1B1D1F"/>
          <w:sz w:val="24"/>
          <w:szCs w:val="24"/>
        </w:rPr>
        <w:t>, mediju brīvīb</w:t>
      </w:r>
      <w:r>
        <w:rPr>
          <w:rFonts w:ascii="Times New Roman" w:hAnsi="Times New Roman" w:cs="Times New Roman"/>
          <w:color w:val="1B1D1F"/>
          <w:sz w:val="24"/>
          <w:szCs w:val="24"/>
        </w:rPr>
        <w:t>as veicināšanā</w:t>
      </w:r>
      <w:r w:rsidR="00194577">
        <w:rPr>
          <w:rFonts w:ascii="Times New Roman" w:hAnsi="Times New Roman" w:cs="Times New Roman"/>
          <w:color w:val="1B1D1F"/>
          <w:sz w:val="24"/>
          <w:szCs w:val="24"/>
        </w:rPr>
        <w:t xml:space="preserve">, klimata pārmaiņu radīto seku risināšanā, </w:t>
      </w:r>
      <w:r w:rsidR="00627F5C">
        <w:rPr>
          <w:rFonts w:ascii="Times New Roman" w:hAnsi="Times New Roman" w:cs="Times New Roman"/>
          <w:color w:val="1B1D1F"/>
          <w:sz w:val="24"/>
          <w:szCs w:val="24"/>
        </w:rPr>
        <w:t xml:space="preserve">palīdzības sniegšanā </w:t>
      </w:r>
      <w:r w:rsidR="00194577">
        <w:rPr>
          <w:rFonts w:ascii="Times New Roman" w:hAnsi="Times New Roman" w:cs="Times New Roman"/>
          <w:color w:val="1B1D1F"/>
          <w:sz w:val="24"/>
          <w:szCs w:val="24"/>
        </w:rPr>
        <w:t>nestabil</w:t>
      </w:r>
      <w:r w:rsidR="00627F5C">
        <w:rPr>
          <w:rFonts w:ascii="Times New Roman" w:hAnsi="Times New Roman" w:cs="Times New Roman"/>
          <w:color w:val="1B1D1F"/>
          <w:sz w:val="24"/>
          <w:szCs w:val="24"/>
        </w:rPr>
        <w:t>ām</w:t>
      </w:r>
      <w:r w:rsidR="00194577">
        <w:rPr>
          <w:rFonts w:ascii="Times New Roman" w:hAnsi="Times New Roman" w:cs="Times New Roman"/>
          <w:color w:val="1B1D1F"/>
          <w:sz w:val="24"/>
          <w:szCs w:val="24"/>
        </w:rPr>
        <w:t xml:space="preserve"> un konflikt</w:t>
      </w:r>
      <w:r w:rsidR="00627F5C">
        <w:rPr>
          <w:rFonts w:ascii="Times New Roman" w:hAnsi="Times New Roman" w:cs="Times New Roman"/>
          <w:color w:val="1B1D1F"/>
          <w:sz w:val="24"/>
          <w:szCs w:val="24"/>
        </w:rPr>
        <w:t>u</w:t>
      </w:r>
      <w:r w:rsidR="00194577">
        <w:rPr>
          <w:rFonts w:ascii="Times New Roman" w:hAnsi="Times New Roman" w:cs="Times New Roman"/>
          <w:color w:val="1B1D1F"/>
          <w:sz w:val="24"/>
          <w:szCs w:val="24"/>
        </w:rPr>
        <w:t xml:space="preserve"> skart</w:t>
      </w:r>
      <w:r w:rsidR="00627F5C">
        <w:rPr>
          <w:rFonts w:ascii="Times New Roman" w:hAnsi="Times New Roman" w:cs="Times New Roman"/>
          <w:color w:val="1B1D1F"/>
          <w:sz w:val="24"/>
          <w:szCs w:val="24"/>
        </w:rPr>
        <w:t>ām</w:t>
      </w:r>
      <w:r w:rsidR="00194577">
        <w:rPr>
          <w:rFonts w:ascii="Times New Roman" w:hAnsi="Times New Roman" w:cs="Times New Roman"/>
          <w:color w:val="1B1D1F"/>
          <w:sz w:val="24"/>
          <w:szCs w:val="24"/>
        </w:rPr>
        <w:t xml:space="preserve"> </w:t>
      </w:r>
      <w:r w:rsidR="00633833">
        <w:rPr>
          <w:rFonts w:ascii="Times New Roman" w:hAnsi="Times New Roman" w:cs="Times New Roman"/>
          <w:color w:val="1B1D1F"/>
          <w:sz w:val="24"/>
          <w:szCs w:val="24"/>
        </w:rPr>
        <w:t>valstīm</w:t>
      </w:r>
      <w:r w:rsidR="00194577">
        <w:rPr>
          <w:rFonts w:ascii="Times New Roman" w:hAnsi="Times New Roman" w:cs="Times New Roman"/>
          <w:color w:val="1B1D1F"/>
          <w:sz w:val="24"/>
          <w:szCs w:val="24"/>
        </w:rPr>
        <w:t xml:space="preserve">, </w:t>
      </w:r>
      <w:r w:rsidR="001200F0">
        <w:rPr>
          <w:rFonts w:ascii="Times New Roman" w:hAnsi="Times New Roman" w:cs="Times New Roman"/>
          <w:color w:val="1B1D1F"/>
          <w:sz w:val="24"/>
          <w:szCs w:val="24"/>
        </w:rPr>
        <w:t>iekšējo resursu mobilizēšanā (tai skaitā nodokļu iekasēšanā)</w:t>
      </w:r>
      <w:r w:rsidR="00633833">
        <w:rPr>
          <w:rFonts w:ascii="Times New Roman" w:hAnsi="Times New Roman" w:cs="Times New Roman"/>
          <w:color w:val="1B1D1F"/>
          <w:sz w:val="24"/>
          <w:szCs w:val="24"/>
        </w:rPr>
        <w:t>, nelegālu finanšu plūsmu novēršanā</w:t>
      </w:r>
      <w:r w:rsidR="003177D0">
        <w:rPr>
          <w:rFonts w:ascii="Times New Roman" w:hAnsi="Times New Roman" w:cs="Times New Roman"/>
          <w:color w:val="1B1D1F"/>
          <w:sz w:val="24"/>
          <w:szCs w:val="24"/>
        </w:rPr>
        <w:t xml:space="preserve"> </w:t>
      </w:r>
      <w:r w:rsidR="00194577">
        <w:rPr>
          <w:rFonts w:ascii="Times New Roman" w:hAnsi="Times New Roman" w:cs="Times New Roman"/>
          <w:color w:val="1B1D1F"/>
          <w:sz w:val="24"/>
          <w:szCs w:val="24"/>
        </w:rPr>
        <w:t>un nevienlīdzības mazināšanā.</w:t>
      </w:r>
    </w:p>
    <w:p w14:paraId="3A109C41" w14:textId="1C0D0341" w:rsidR="00E3506B" w:rsidRPr="00E3506B" w:rsidRDefault="00E3506B" w:rsidP="00E3506B">
      <w:pPr>
        <w:tabs>
          <w:tab w:val="left" w:pos="1230"/>
        </w:tabs>
        <w:spacing w:line="240" w:lineRule="auto"/>
        <w:jc w:val="both"/>
        <w:rPr>
          <w:rFonts w:ascii="Times New Roman" w:hAnsi="Times New Roman" w:cs="Times New Roman"/>
          <w:color w:val="1B1D1F"/>
          <w:sz w:val="24"/>
          <w:szCs w:val="24"/>
        </w:rPr>
      </w:pPr>
      <w:r w:rsidRPr="00E3506B">
        <w:rPr>
          <w:rFonts w:ascii="Times New Roman" w:hAnsi="Times New Roman" w:cs="Times New Roman"/>
          <w:color w:val="1B1D1F"/>
          <w:sz w:val="24"/>
          <w:szCs w:val="24"/>
        </w:rPr>
        <w:t xml:space="preserve">Daudzpusējās palīdzības kontekstā donoru (dalībvalstu) ieguldījums starptautiskajās organizācijās un starptautiskajās finanšu institūcijās ir nozīmīgs finansējuma avots, ar kura palīdzību tiek koordinētā veidā realizēta IAM sasniegšana globālā līmenī. Vienlaikus jārēķinās, ka daudzpusējās palīdzības kontekstā ir sarežģītāk nodrošināt donora ieguldījuma redzamību. </w:t>
      </w:r>
    </w:p>
    <w:p w14:paraId="3E3262C4" w14:textId="317AF9BF" w:rsidR="00E3506B" w:rsidRDefault="00E3506B" w:rsidP="00E3506B">
      <w:pPr>
        <w:tabs>
          <w:tab w:val="left" w:pos="1230"/>
        </w:tabs>
        <w:spacing w:line="240" w:lineRule="auto"/>
        <w:jc w:val="both"/>
        <w:rPr>
          <w:rFonts w:ascii="Times New Roman" w:hAnsi="Times New Roman" w:cs="Times New Roman"/>
          <w:color w:val="1B1D1F"/>
          <w:sz w:val="24"/>
          <w:szCs w:val="24"/>
        </w:rPr>
      </w:pPr>
      <w:r w:rsidRPr="00E3506B">
        <w:rPr>
          <w:rFonts w:ascii="Times New Roman" w:hAnsi="Times New Roman" w:cs="Times New Roman"/>
          <w:color w:val="1B1D1F"/>
          <w:sz w:val="24"/>
          <w:szCs w:val="24"/>
        </w:rPr>
        <w:lastRenderedPageBreak/>
        <w:t xml:space="preserve">Palielinot ieguldījumu starptautiskās organizācijas un finanšu institūcijās, tiek stiprināta arī dalībvalstu ietekme un iespējas piedalīties šo organizāciju attīstības sadarbības politiku veidošanā, īstenošanā un uzraudzībā. Vienlaikus jāņem vērā, ka donoru iemaksām starptautiskajās organizācijās vai finanšu institūcijās (t.s. </w:t>
      </w:r>
      <w:proofErr w:type="spellStart"/>
      <w:r w:rsidRPr="00E3506B">
        <w:rPr>
          <w:rFonts w:ascii="Times New Roman" w:hAnsi="Times New Roman" w:cs="Times New Roman"/>
          <w:color w:val="1B1D1F"/>
          <w:sz w:val="24"/>
          <w:szCs w:val="24"/>
        </w:rPr>
        <w:t>core</w:t>
      </w:r>
      <w:proofErr w:type="spellEnd"/>
      <w:r w:rsidRPr="00E3506B">
        <w:rPr>
          <w:rFonts w:ascii="Times New Roman" w:hAnsi="Times New Roman" w:cs="Times New Roman"/>
          <w:color w:val="1B1D1F"/>
          <w:sz w:val="24"/>
          <w:szCs w:val="24"/>
        </w:rPr>
        <w:t xml:space="preserve"> </w:t>
      </w:r>
      <w:proofErr w:type="spellStart"/>
      <w:r w:rsidRPr="00E3506B">
        <w:rPr>
          <w:rFonts w:ascii="Times New Roman" w:hAnsi="Times New Roman" w:cs="Times New Roman"/>
          <w:color w:val="1B1D1F"/>
          <w:sz w:val="24"/>
          <w:szCs w:val="24"/>
        </w:rPr>
        <w:t>funding</w:t>
      </w:r>
      <w:proofErr w:type="spellEnd"/>
      <w:r w:rsidRPr="00E3506B">
        <w:rPr>
          <w:rFonts w:ascii="Times New Roman" w:hAnsi="Times New Roman" w:cs="Times New Roman"/>
          <w:color w:val="1B1D1F"/>
          <w:sz w:val="24"/>
          <w:szCs w:val="24"/>
        </w:rPr>
        <w:t>) “zūd identitāte”. Arī situācijā, ja  tiek piešķirts starptautiskai organizācijai vai institūcijai konkrēta projekta īstenošanai,  tas var tikt identificēts ar organizāciju, kas to ievieš</w:t>
      </w:r>
      <w:r>
        <w:rPr>
          <w:rFonts w:ascii="Times New Roman" w:hAnsi="Times New Roman" w:cs="Times New Roman"/>
          <w:color w:val="1B1D1F"/>
          <w:sz w:val="24"/>
          <w:szCs w:val="24"/>
        </w:rPr>
        <w:t>, nevis donoru, kas to finansē.</w:t>
      </w:r>
    </w:p>
    <w:p w14:paraId="3E99913B" w14:textId="1E6EB221" w:rsidR="00631970" w:rsidRPr="009905B5" w:rsidRDefault="00631970" w:rsidP="00C05614">
      <w:pPr>
        <w:spacing w:line="240" w:lineRule="auto"/>
        <w:jc w:val="both"/>
        <w:rPr>
          <w:rFonts w:ascii="Times New Roman" w:hAnsi="Times New Roman" w:cs="Times New Roman"/>
          <w:color w:val="1B1D1F"/>
          <w:sz w:val="24"/>
          <w:szCs w:val="24"/>
        </w:rPr>
      </w:pPr>
      <w:r w:rsidRPr="009905B5">
        <w:rPr>
          <w:rFonts w:ascii="Times New Roman" w:hAnsi="Times New Roman" w:cs="Times New Roman"/>
          <w:color w:val="1B1D1F"/>
          <w:sz w:val="24"/>
          <w:szCs w:val="24"/>
        </w:rPr>
        <w:t xml:space="preserve">Vidējā termiņā daudzpusējās palīdzības apjomus ietekmēs šādi faktori: </w:t>
      </w:r>
    </w:p>
    <w:p w14:paraId="24656099" w14:textId="77777777" w:rsidR="004215C3" w:rsidRPr="009905B5" w:rsidRDefault="00631970" w:rsidP="00C05614">
      <w:pPr>
        <w:pStyle w:val="ListParagraph"/>
        <w:numPr>
          <w:ilvl w:val="0"/>
          <w:numId w:val="28"/>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Nākamais</w:t>
      </w:r>
      <w:r w:rsidR="002E6AA5" w:rsidRPr="009905B5">
        <w:rPr>
          <w:rFonts w:ascii="Times New Roman" w:hAnsi="Times New Roman" w:cs="Times New Roman"/>
          <w:b/>
          <w:color w:val="1B1D1F"/>
          <w:sz w:val="24"/>
          <w:szCs w:val="24"/>
        </w:rPr>
        <w:t xml:space="preserve"> ES daudzgadu b</w:t>
      </w:r>
      <w:r w:rsidRPr="009905B5">
        <w:rPr>
          <w:rFonts w:ascii="Times New Roman" w:hAnsi="Times New Roman" w:cs="Times New Roman"/>
          <w:b/>
          <w:color w:val="1B1D1F"/>
          <w:sz w:val="24"/>
          <w:szCs w:val="24"/>
        </w:rPr>
        <w:t>udžets</w:t>
      </w:r>
      <w:r w:rsidRPr="009905B5">
        <w:rPr>
          <w:rFonts w:ascii="Times New Roman" w:hAnsi="Times New Roman" w:cs="Times New Roman"/>
          <w:color w:val="1B1D1F"/>
          <w:sz w:val="24"/>
          <w:szCs w:val="24"/>
        </w:rPr>
        <w:t xml:space="preserve">. Turpinās sarunas par ES daudzgadu budžetu, </w:t>
      </w:r>
      <w:r w:rsidR="002E6AA5" w:rsidRPr="009905B5">
        <w:rPr>
          <w:rFonts w:ascii="Times New Roman" w:hAnsi="Times New Roman" w:cs="Times New Roman"/>
          <w:color w:val="1B1D1F"/>
          <w:sz w:val="24"/>
          <w:szCs w:val="24"/>
        </w:rPr>
        <w:t>tai skaitā ES attīstības sada</w:t>
      </w:r>
      <w:r w:rsidR="008E6DE8" w:rsidRPr="009905B5">
        <w:rPr>
          <w:rFonts w:ascii="Times New Roman" w:hAnsi="Times New Roman" w:cs="Times New Roman"/>
          <w:color w:val="1B1D1F"/>
          <w:sz w:val="24"/>
          <w:szCs w:val="24"/>
        </w:rPr>
        <w:t>rbības finansējuma arhitektūru</w:t>
      </w:r>
      <w:r w:rsidRPr="009905B5">
        <w:rPr>
          <w:rFonts w:ascii="Times New Roman" w:hAnsi="Times New Roman" w:cs="Times New Roman"/>
          <w:color w:val="1B1D1F"/>
          <w:sz w:val="24"/>
          <w:szCs w:val="24"/>
        </w:rPr>
        <w:t>.</w:t>
      </w:r>
      <w:r w:rsidR="008E6DE8" w:rsidRPr="009905B5">
        <w:rPr>
          <w:rFonts w:ascii="Times New Roman" w:hAnsi="Times New Roman" w:cs="Times New Roman"/>
          <w:color w:val="1B1D1F"/>
          <w:sz w:val="24"/>
          <w:szCs w:val="24"/>
        </w:rPr>
        <w:t xml:space="preserve"> </w:t>
      </w:r>
      <w:r w:rsidRPr="009905B5">
        <w:rPr>
          <w:rFonts w:ascii="Times New Roman" w:hAnsi="Times New Roman" w:cs="Times New Roman"/>
          <w:color w:val="1B1D1F"/>
          <w:sz w:val="24"/>
          <w:szCs w:val="24"/>
        </w:rPr>
        <w:t>Š</w:t>
      </w:r>
      <w:r w:rsidR="002E6AA5" w:rsidRPr="009905B5">
        <w:rPr>
          <w:rFonts w:ascii="Times New Roman" w:hAnsi="Times New Roman" w:cs="Times New Roman"/>
          <w:color w:val="1B1D1F"/>
          <w:sz w:val="24"/>
          <w:szCs w:val="24"/>
        </w:rPr>
        <w:t xml:space="preserve">obrīd ir grūti prognozēt, </w:t>
      </w:r>
      <w:r w:rsidR="009B5E4D" w:rsidRPr="009905B5">
        <w:rPr>
          <w:rFonts w:ascii="Times New Roman" w:hAnsi="Times New Roman" w:cs="Times New Roman"/>
          <w:color w:val="1B1D1F"/>
          <w:sz w:val="24"/>
          <w:szCs w:val="24"/>
        </w:rPr>
        <w:t>kāds</w:t>
      </w:r>
      <w:r w:rsidR="002E6AA5" w:rsidRPr="009905B5">
        <w:rPr>
          <w:rFonts w:ascii="Times New Roman" w:hAnsi="Times New Roman" w:cs="Times New Roman"/>
          <w:color w:val="1B1D1F"/>
          <w:sz w:val="24"/>
          <w:szCs w:val="24"/>
        </w:rPr>
        <w:t xml:space="preserve"> būs no Latvijas sagaidītais ieguldījums</w:t>
      </w:r>
      <w:r w:rsidR="009B5E4D" w:rsidRPr="009905B5">
        <w:rPr>
          <w:rFonts w:ascii="Times New Roman" w:hAnsi="Times New Roman" w:cs="Times New Roman"/>
          <w:color w:val="1B1D1F"/>
          <w:sz w:val="24"/>
          <w:szCs w:val="24"/>
        </w:rPr>
        <w:t xml:space="preserve"> ES vispārējā budžetā un Eiropas Attīstības fondā</w:t>
      </w:r>
      <w:r w:rsidR="008E6DE8" w:rsidRPr="009905B5">
        <w:rPr>
          <w:rFonts w:ascii="Times New Roman" w:hAnsi="Times New Roman" w:cs="Times New Roman"/>
          <w:color w:val="1B1D1F"/>
          <w:sz w:val="24"/>
          <w:szCs w:val="24"/>
        </w:rPr>
        <w:t>, kas šobrīd veido lielāko daļu no Latvijas OAP</w:t>
      </w:r>
      <w:r w:rsidR="004215C3" w:rsidRPr="009905B5">
        <w:rPr>
          <w:rFonts w:ascii="Times New Roman" w:hAnsi="Times New Roman" w:cs="Times New Roman"/>
          <w:color w:val="1B1D1F"/>
          <w:sz w:val="24"/>
          <w:szCs w:val="24"/>
        </w:rPr>
        <w:t>.</w:t>
      </w:r>
    </w:p>
    <w:p w14:paraId="60379117" w14:textId="77777777" w:rsidR="006C2B5F" w:rsidRPr="009905B5" w:rsidRDefault="006C2B5F" w:rsidP="00C05614">
      <w:pPr>
        <w:pStyle w:val="ListParagraph"/>
        <w:spacing w:line="240" w:lineRule="auto"/>
        <w:jc w:val="both"/>
        <w:rPr>
          <w:rFonts w:ascii="Times New Roman" w:hAnsi="Times New Roman" w:cs="Times New Roman"/>
          <w:color w:val="1B1D1F"/>
          <w:sz w:val="24"/>
          <w:szCs w:val="24"/>
        </w:rPr>
      </w:pPr>
    </w:p>
    <w:p w14:paraId="4EC61272" w14:textId="645A6F74" w:rsidR="004215C3" w:rsidRPr="009905B5" w:rsidRDefault="004215C3" w:rsidP="00C05614">
      <w:pPr>
        <w:pStyle w:val="ListParagraph"/>
        <w:numPr>
          <w:ilvl w:val="0"/>
          <w:numId w:val="28"/>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Iemaksas citās starptautiskajās organizācijās</w:t>
      </w:r>
      <w:r w:rsidRPr="009905B5">
        <w:rPr>
          <w:rFonts w:ascii="Times New Roman" w:hAnsi="Times New Roman" w:cs="Times New Roman"/>
          <w:color w:val="1B1D1F"/>
          <w:sz w:val="24"/>
          <w:szCs w:val="24"/>
        </w:rPr>
        <w:t>. P</w:t>
      </w:r>
      <w:r w:rsidR="00F4391A" w:rsidRPr="009905B5">
        <w:rPr>
          <w:rFonts w:ascii="Times New Roman" w:hAnsi="Times New Roman" w:cs="Times New Roman"/>
          <w:color w:val="1B1D1F"/>
          <w:sz w:val="24"/>
          <w:szCs w:val="24"/>
        </w:rPr>
        <w:t>recīzas prognozes</w:t>
      </w:r>
      <w:r w:rsidRPr="009905B5">
        <w:rPr>
          <w:rFonts w:ascii="Times New Roman" w:hAnsi="Times New Roman" w:cs="Times New Roman"/>
          <w:color w:val="1B1D1F"/>
          <w:sz w:val="24"/>
          <w:szCs w:val="24"/>
        </w:rPr>
        <w:t xml:space="preserve"> par nākotnes iemaksām</w:t>
      </w:r>
      <w:r w:rsidR="000917AA" w:rsidRPr="009905B5">
        <w:rPr>
          <w:rFonts w:ascii="Times New Roman" w:hAnsi="Times New Roman" w:cs="Times New Roman"/>
          <w:color w:val="1B1D1F"/>
          <w:sz w:val="24"/>
          <w:szCs w:val="24"/>
        </w:rPr>
        <w:t xml:space="preserve"> šobrīd</w:t>
      </w:r>
      <w:r w:rsidR="00F4391A" w:rsidRPr="009905B5">
        <w:rPr>
          <w:rFonts w:ascii="Times New Roman" w:hAnsi="Times New Roman" w:cs="Times New Roman"/>
          <w:color w:val="1B1D1F"/>
          <w:sz w:val="24"/>
          <w:szCs w:val="24"/>
        </w:rPr>
        <w:t xml:space="preserve"> nav</w:t>
      </w:r>
      <w:r w:rsidR="00FF0541" w:rsidRPr="009905B5">
        <w:rPr>
          <w:rFonts w:ascii="Times New Roman" w:hAnsi="Times New Roman" w:cs="Times New Roman"/>
          <w:color w:val="1B1D1F"/>
          <w:sz w:val="24"/>
          <w:szCs w:val="24"/>
        </w:rPr>
        <w:t xml:space="preserve"> pieeja</w:t>
      </w:r>
      <w:r w:rsidRPr="009905B5">
        <w:rPr>
          <w:rFonts w:ascii="Times New Roman" w:hAnsi="Times New Roman" w:cs="Times New Roman"/>
          <w:color w:val="1B1D1F"/>
          <w:sz w:val="24"/>
          <w:szCs w:val="24"/>
        </w:rPr>
        <w:t>mas, vienlaikus jāņem vēr</w:t>
      </w:r>
      <w:r w:rsidR="00853F15" w:rsidRPr="009905B5">
        <w:rPr>
          <w:rFonts w:ascii="Times New Roman" w:hAnsi="Times New Roman" w:cs="Times New Roman"/>
          <w:color w:val="1B1D1F"/>
          <w:sz w:val="24"/>
          <w:szCs w:val="24"/>
        </w:rPr>
        <w:t>ā sekojoši aspekti:</w:t>
      </w:r>
    </w:p>
    <w:p w14:paraId="1FBE7941" w14:textId="3AA28ED0" w:rsidR="004215C3" w:rsidRDefault="004215C3" w:rsidP="00C05614">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dalība Pasaules Bankas grupas kapitāla stiprināšanā</w:t>
      </w:r>
      <w:r w:rsidR="00CE5F3A">
        <w:rPr>
          <w:rFonts w:ascii="Times New Roman" w:hAnsi="Times New Roman" w:cs="Times New Roman"/>
          <w:color w:val="1B1D1F"/>
          <w:sz w:val="24"/>
          <w:szCs w:val="24"/>
        </w:rPr>
        <w:t xml:space="preserve"> (k</w:t>
      </w:r>
      <w:r w:rsidRPr="009905B5">
        <w:rPr>
          <w:rFonts w:ascii="Times New Roman" w:hAnsi="Times New Roman" w:cs="Times New Roman"/>
          <w:color w:val="1B1D1F"/>
          <w:sz w:val="24"/>
          <w:szCs w:val="24"/>
        </w:rPr>
        <w:t>opējais</w:t>
      </w:r>
      <w:r w:rsidR="00853F15" w:rsidRPr="009905B5">
        <w:rPr>
          <w:rFonts w:ascii="Times New Roman" w:hAnsi="Times New Roman" w:cs="Times New Roman"/>
          <w:color w:val="1B1D1F"/>
          <w:sz w:val="24"/>
          <w:szCs w:val="24"/>
        </w:rPr>
        <w:t xml:space="preserve"> ieguldījums </w:t>
      </w:r>
      <w:r w:rsidR="001B7725">
        <w:rPr>
          <w:rFonts w:ascii="Times New Roman" w:hAnsi="Times New Roman" w:cs="Times New Roman"/>
          <w:color w:val="1B1D1F"/>
          <w:sz w:val="24"/>
          <w:szCs w:val="24"/>
        </w:rPr>
        <w:t>8,</w:t>
      </w:r>
      <w:r w:rsidR="00627F5C">
        <w:rPr>
          <w:rFonts w:ascii="Times New Roman" w:hAnsi="Times New Roman" w:cs="Times New Roman"/>
          <w:color w:val="1B1D1F"/>
          <w:sz w:val="24"/>
          <w:szCs w:val="24"/>
        </w:rPr>
        <w:t>9</w:t>
      </w:r>
      <w:r w:rsidR="001B7725">
        <w:rPr>
          <w:rFonts w:ascii="Times New Roman" w:hAnsi="Times New Roman" w:cs="Times New Roman"/>
          <w:color w:val="1B1D1F"/>
          <w:sz w:val="24"/>
          <w:szCs w:val="24"/>
        </w:rPr>
        <w:t>7 milj. EUR</w:t>
      </w:r>
      <w:r w:rsidR="00CE5F3A">
        <w:rPr>
          <w:rFonts w:ascii="Times New Roman" w:hAnsi="Times New Roman" w:cs="Times New Roman"/>
          <w:color w:val="1B1D1F"/>
          <w:sz w:val="24"/>
          <w:szCs w:val="24"/>
        </w:rPr>
        <w:t>)</w:t>
      </w:r>
      <w:r w:rsidR="00F82714">
        <w:rPr>
          <w:rFonts w:ascii="Times New Roman" w:hAnsi="Times New Roman" w:cs="Times New Roman"/>
          <w:color w:val="1B1D1F"/>
          <w:sz w:val="24"/>
          <w:szCs w:val="24"/>
        </w:rPr>
        <w:t>.</w:t>
      </w:r>
    </w:p>
    <w:p w14:paraId="693E8448" w14:textId="3ADB0E73" w:rsidR="00B1318A" w:rsidRDefault="00B1318A" w:rsidP="0023443E">
      <w:pPr>
        <w:pStyle w:val="ListParagraph"/>
        <w:numPr>
          <w:ilvl w:val="0"/>
          <w:numId w:val="29"/>
        </w:numPr>
        <w:spacing w:line="240" w:lineRule="auto"/>
        <w:jc w:val="both"/>
        <w:rPr>
          <w:rFonts w:ascii="Times New Roman" w:hAnsi="Times New Roman" w:cs="Times New Roman"/>
          <w:color w:val="1B1D1F"/>
          <w:sz w:val="24"/>
          <w:szCs w:val="24"/>
        </w:rPr>
      </w:pPr>
      <w:r>
        <w:rPr>
          <w:rFonts w:ascii="Times New Roman" w:hAnsi="Times New Roman" w:cs="Times New Roman"/>
          <w:b/>
          <w:color w:val="1B1D1F"/>
          <w:sz w:val="24"/>
          <w:szCs w:val="24"/>
        </w:rPr>
        <w:t xml:space="preserve">Latvijas dalība </w:t>
      </w:r>
      <w:r w:rsidR="0023443E">
        <w:rPr>
          <w:rFonts w:ascii="Times New Roman" w:hAnsi="Times New Roman" w:cs="Times New Roman"/>
          <w:b/>
          <w:color w:val="1B1D1F"/>
          <w:sz w:val="24"/>
          <w:szCs w:val="24"/>
        </w:rPr>
        <w:t>IDA</w:t>
      </w:r>
      <w:r>
        <w:rPr>
          <w:rFonts w:ascii="Times New Roman" w:hAnsi="Times New Roman" w:cs="Times New Roman"/>
          <w:b/>
          <w:color w:val="1B1D1F"/>
          <w:sz w:val="24"/>
          <w:szCs w:val="24"/>
        </w:rPr>
        <w:t xml:space="preserve"> resursu </w:t>
      </w:r>
      <w:r w:rsidR="00724D7F">
        <w:rPr>
          <w:rFonts w:ascii="Times New Roman" w:hAnsi="Times New Roman" w:cs="Times New Roman"/>
          <w:b/>
          <w:color w:val="1B1D1F"/>
          <w:sz w:val="24"/>
          <w:szCs w:val="24"/>
        </w:rPr>
        <w:t>19</w:t>
      </w:r>
      <w:r w:rsidR="0023443E">
        <w:rPr>
          <w:rFonts w:ascii="Times New Roman" w:hAnsi="Times New Roman" w:cs="Times New Roman"/>
          <w:b/>
          <w:color w:val="1B1D1F"/>
          <w:sz w:val="24"/>
          <w:szCs w:val="24"/>
        </w:rPr>
        <w:t>.</w:t>
      </w:r>
      <w:r>
        <w:rPr>
          <w:rFonts w:ascii="Times New Roman" w:hAnsi="Times New Roman" w:cs="Times New Roman"/>
          <w:b/>
          <w:color w:val="1B1D1F"/>
          <w:sz w:val="24"/>
          <w:szCs w:val="24"/>
        </w:rPr>
        <w:t xml:space="preserve">papildināšanā </w:t>
      </w:r>
      <w:r w:rsidR="0023443E">
        <w:rPr>
          <w:rFonts w:ascii="Times New Roman" w:hAnsi="Times New Roman" w:cs="Times New Roman"/>
          <w:b/>
          <w:color w:val="1B1D1F"/>
          <w:sz w:val="24"/>
          <w:szCs w:val="24"/>
        </w:rPr>
        <w:t xml:space="preserve">(IDA19) </w:t>
      </w:r>
      <w:r w:rsidR="00CE5F3A">
        <w:rPr>
          <w:rFonts w:ascii="Times New Roman" w:hAnsi="Times New Roman" w:cs="Times New Roman"/>
          <w:color w:val="1B1D1F"/>
          <w:sz w:val="24"/>
          <w:szCs w:val="24"/>
        </w:rPr>
        <w:t>(k</w:t>
      </w:r>
      <w:r>
        <w:rPr>
          <w:rFonts w:ascii="Times New Roman" w:hAnsi="Times New Roman" w:cs="Times New Roman"/>
          <w:color w:val="1B1D1F"/>
          <w:sz w:val="24"/>
          <w:szCs w:val="24"/>
        </w:rPr>
        <w:t xml:space="preserve">opējais ieguldījums </w:t>
      </w:r>
      <w:r w:rsidR="0023443E">
        <w:rPr>
          <w:rFonts w:ascii="Times New Roman" w:hAnsi="Times New Roman" w:cs="Times New Roman"/>
          <w:color w:val="1B1D1F"/>
          <w:sz w:val="24"/>
          <w:szCs w:val="24"/>
        </w:rPr>
        <w:t>EUR 3.73 milj.</w:t>
      </w:r>
      <w:r w:rsidR="00CE5F3A">
        <w:rPr>
          <w:rFonts w:ascii="Times New Roman" w:hAnsi="Times New Roman" w:cs="Times New Roman"/>
          <w:color w:val="1B1D1F"/>
          <w:sz w:val="24"/>
          <w:szCs w:val="24"/>
        </w:rPr>
        <w:t xml:space="preserve">, </w:t>
      </w:r>
      <w:r w:rsidR="0023443E">
        <w:rPr>
          <w:rFonts w:ascii="Times New Roman" w:hAnsi="Times New Roman" w:cs="Times New Roman"/>
          <w:color w:val="1B1D1F"/>
          <w:sz w:val="24"/>
          <w:szCs w:val="24"/>
        </w:rPr>
        <w:t xml:space="preserve">kas ir </w:t>
      </w:r>
      <w:r w:rsidR="0023443E" w:rsidRPr="0023443E">
        <w:rPr>
          <w:rFonts w:ascii="Times New Roman" w:hAnsi="Times New Roman" w:cs="Times New Roman"/>
          <w:color w:val="1B1D1F"/>
          <w:sz w:val="24"/>
          <w:szCs w:val="24"/>
        </w:rPr>
        <w:t xml:space="preserve">pieaugums </w:t>
      </w:r>
      <w:r w:rsidR="0023443E">
        <w:rPr>
          <w:rFonts w:ascii="Times New Roman" w:hAnsi="Times New Roman" w:cs="Times New Roman"/>
          <w:color w:val="1B1D1F"/>
          <w:sz w:val="24"/>
          <w:szCs w:val="24"/>
        </w:rPr>
        <w:t>par 50.72%, salīdzinot ar IDA</w:t>
      </w:r>
      <w:r w:rsidR="00CE5F3A">
        <w:rPr>
          <w:rFonts w:ascii="Times New Roman" w:hAnsi="Times New Roman" w:cs="Times New Roman"/>
          <w:color w:val="1B1D1F"/>
          <w:sz w:val="24"/>
          <w:szCs w:val="24"/>
        </w:rPr>
        <w:t>18</w:t>
      </w:r>
      <w:r w:rsidR="00633833">
        <w:rPr>
          <w:rFonts w:ascii="Times New Roman" w:hAnsi="Times New Roman" w:cs="Times New Roman"/>
          <w:color w:val="1B1D1F"/>
          <w:sz w:val="24"/>
          <w:szCs w:val="24"/>
        </w:rPr>
        <w:t>)</w:t>
      </w:r>
      <w:r>
        <w:rPr>
          <w:rFonts w:ascii="Times New Roman" w:hAnsi="Times New Roman" w:cs="Times New Roman"/>
          <w:color w:val="1B1D1F"/>
          <w:sz w:val="24"/>
          <w:szCs w:val="24"/>
        </w:rPr>
        <w:t>.</w:t>
      </w:r>
    </w:p>
    <w:p w14:paraId="3F3A1427" w14:textId="40C57952" w:rsidR="0023443E" w:rsidRDefault="0023443E" w:rsidP="0023443E">
      <w:pPr>
        <w:pStyle w:val="ListParagraph"/>
        <w:numPr>
          <w:ilvl w:val="0"/>
          <w:numId w:val="29"/>
        </w:numPr>
        <w:spacing w:line="240" w:lineRule="auto"/>
        <w:jc w:val="both"/>
        <w:rPr>
          <w:rFonts w:ascii="Times New Roman" w:hAnsi="Times New Roman" w:cs="Times New Roman"/>
          <w:color w:val="1B1D1F"/>
          <w:sz w:val="24"/>
          <w:szCs w:val="24"/>
        </w:rPr>
      </w:pPr>
      <w:r>
        <w:rPr>
          <w:rFonts w:ascii="Times New Roman" w:hAnsi="Times New Roman" w:cs="Times New Roman"/>
          <w:b/>
          <w:color w:val="1B1D1F"/>
          <w:sz w:val="24"/>
          <w:szCs w:val="24"/>
        </w:rPr>
        <w:t>Latvijas dalība IDA resursu 20.</w:t>
      </w:r>
      <w:r w:rsidRPr="00190D34">
        <w:rPr>
          <w:rFonts w:ascii="Times New Roman" w:hAnsi="Times New Roman" w:cs="Times New Roman"/>
          <w:b/>
          <w:color w:val="1B1D1F"/>
          <w:sz w:val="24"/>
          <w:szCs w:val="24"/>
        </w:rPr>
        <w:t>papildināšanā</w:t>
      </w:r>
      <w:r>
        <w:rPr>
          <w:rFonts w:ascii="Times New Roman" w:hAnsi="Times New Roman" w:cs="Times New Roman"/>
          <w:b/>
          <w:color w:val="1B1D1F"/>
          <w:sz w:val="24"/>
          <w:szCs w:val="24"/>
        </w:rPr>
        <w:t xml:space="preserve"> (IDA20)</w:t>
      </w:r>
      <w:r w:rsidR="00CE5F3A">
        <w:rPr>
          <w:rFonts w:ascii="Times New Roman" w:hAnsi="Times New Roman" w:cs="Times New Roman"/>
          <w:b/>
          <w:color w:val="1B1D1F"/>
          <w:sz w:val="24"/>
          <w:szCs w:val="24"/>
        </w:rPr>
        <w:t xml:space="preserve">, </w:t>
      </w:r>
      <w:r w:rsidR="00CE5F3A" w:rsidRPr="00190D34">
        <w:rPr>
          <w:rFonts w:ascii="Times New Roman" w:hAnsi="Times New Roman" w:cs="Times New Roman"/>
          <w:color w:val="1B1D1F"/>
          <w:sz w:val="24"/>
          <w:szCs w:val="24"/>
        </w:rPr>
        <w:t>plānojot</w:t>
      </w:r>
      <w:r>
        <w:rPr>
          <w:rFonts w:ascii="Times New Roman" w:hAnsi="Times New Roman" w:cs="Times New Roman"/>
          <w:b/>
          <w:color w:val="1B1D1F"/>
          <w:sz w:val="24"/>
          <w:szCs w:val="24"/>
        </w:rPr>
        <w:t xml:space="preserve"> </w:t>
      </w:r>
      <w:r>
        <w:rPr>
          <w:rFonts w:ascii="Times New Roman" w:hAnsi="Times New Roman" w:cs="Times New Roman"/>
          <w:color w:val="1B1D1F"/>
          <w:sz w:val="24"/>
          <w:szCs w:val="24"/>
        </w:rPr>
        <w:t>Latvijas ieguldījuma palielināšanu, salīdzinot ar IDA19.</w:t>
      </w:r>
    </w:p>
    <w:p w14:paraId="1E65BDE9" w14:textId="2E25F0A8" w:rsidR="00043E37" w:rsidRPr="009905B5" w:rsidRDefault="00043E37" w:rsidP="00043E37">
      <w:pPr>
        <w:pStyle w:val="ListParagraph"/>
        <w:numPr>
          <w:ilvl w:val="0"/>
          <w:numId w:val="29"/>
        </w:numPr>
        <w:spacing w:line="240" w:lineRule="auto"/>
        <w:jc w:val="both"/>
        <w:rPr>
          <w:rFonts w:ascii="Times New Roman" w:hAnsi="Times New Roman" w:cs="Times New Roman"/>
          <w:color w:val="1B1D1F"/>
          <w:sz w:val="24"/>
          <w:szCs w:val="24"/>
        </w:rPr>
      </w:pPr>
      <w:r>
        <w:rPr>
          <w:rFonts w:ascii="Times New Roman" w:hAnsi="Times New Roman" w:cs="Times New Roman"/>
          <w:b/>
          <w:color w:val="1B1D1F"/>
          <w:sz w:val="24"/>
          <w:szCs w:val="24"/>
        </w:rPr>
        <w:t>Latvijas dalība Pasaules Bankas g</w:t>
      </w:r>
      <w:r w:rsidRPr="00043E37">
        <w:rPr>
          <w:rFonts w:ascii="Times New Roman" w:hAnsi="Times New Roman" w:cs="Times New Roman"/>
          <w:b/>
          <w:color w:val="1B1D1F"/>
          <w:sz w:val="24"/>
          <w:szCs w:val="24"/>
        </w:rPr>
        <w:t xml:space="preserve">rupas Daudzpusējā </w:t>
      </w:r>
      <w:r w:rsidR="000355D6">
        <w:rPr>
          <w:rFonts w:ascii="Times New Roman" w:hAnsi="Times New Roman" w:cs="Times New Roman"/>
          <w:b/>
          <w:color w:val="1B1D1F"/>
          <w:sz w:val="24"/>
          <w:szCs w:val="24"/>
        </w:rPr>
        <w:t xml:space="preserve">trasta </w:t>
      </w:r>
      <w:r w:rsidRPr="00043E37">
        <w:rPr>
          <w:rFonts w:ascii="Times New Roman" w:hAnsi="Times New Roman" w:cs="Times New Roman"/>
          <w:b/>
          <w:color w:val="1B1D1F"/>
          <w:sz w:val="24"/>
          <w:szCs w:val="24"/>
        </w:rPr>
        <w:t>fondā dzimumu līdztiesības</w:t>
      </w:r>
      <w:r w:rsidR="00627F5C">
        <w:rPr>
          <w:rFonts w:ascii="Times New Roman" w:hAnsi="Times New Roman" w:cs="Times New Roman"/>
          <w:b/>
          <w:color w:val="1B1D1F"/>
          <w:sz w:val="24"/>
          <w:szCs w:val="24"/>
        </w:rPr>
        <w:t xml:space="preserve"> veicināšanai</w:t>
      </w:r>
      <w:r w:rsidR="00CE5F3A">
        <w:rPr>
          <w:rFonts w:ascii="Times New Roman" w:hAnsi="Times New Roman" w:cs="Times New Roman"/>
          <w:color w:val="1B1D1F"/>
          <w:sz w:val="24"/>
          <w:szCs w:val="24"/>
        </w:rPr>
        <w:t>.</w:t>
      </w:r>
      <w:r w:rsidR="0023443E">
        <w:rPr>
          <w:rFonts w:ascii="Times New Roman" w:hAnsi="Times New Roman" w:cs="Times New Roman"/>
          <w:b/>
          <w:color w:val="1B1D1F"/>
          <w:sz w:val="24"/>
          <w:szCs w:val="24"/>
        </w:rPr>
        <w:t xml:space="preserve"> </w:t>
      </w:r>
      <w:r w:rsidR="00CE5F3A" w:rsidRPr="00190D34">
        <w:rPr>
          <w:rFonts w:ascii="Times New Roman" w:hAnsi="Times New Roman" w:cs="Times New Roman"/>
          <w:color w:val="1B1D1F"/>
          <w:sz w:val="24"/>
          <w:szCs w:val="24"/>
        </w:rPr>
        <w:t>T</w:t>
      </w:r>
      <w:r w:rsidR="0023443E">
        <w:rPr>
          <w:rFonts w:ascii="Times New Roman" w:hAnsi="Times New Roman" w:cs="Times New Roman"/>
          <w:color w:val="1B1D1F"/>
          <w:sz w:val="24"/>
          <w:szCs w:val="24"/>
        </w:rPr>
        <w:t>iek apsvērts</w:t>
      </w:r>
      <w:r w:rsidR="00CE5F3A">
        <w:rPr>
          <w:rFonts w:ascii="Times New Roman" w:hAnsi="Times New Roman" w:cs="Times New Roman"/>
          <w:color w:val="1B1D1F"/>
          <w:sz w:val="24"/>
          <w:szCs w:val="24"/>
        </w:rPr>
        <w:t xml:space="preserve"> palielināt</w:t>
      </w:r>
      <w:r w:rsidR="0023443E">
        <w:rPr>
          <w:rFonts w:ascii="Times New Roman" w:hAnsi="Times New Roman" w:cs="Times New Roman"/>
          <w:color w:val="1B1D1F"/>
          <w:sz w:val="24"/>
          <w:szCs w:val="24"/>
        </w:rPr>
        <w:t xml:space="preserve"> Latvijas ieguld</w:t>
      </w:r>
      <w:r w:rsidR="00CE5F3A">
        <w:rPr>
          <w:rFonts w:ascii="Times New Roman" w:hAnsi="Times New Roman" w:cs="Times New Roman"/>
          <w:color w:val="1B1D1F"/>
          <w:sz w:val="24"/>
          <w:szCs w:val="24"/>
        </w:rPr>
        <w:t>ījuma apjomu</w:t>
      </w:r>
      <w:r w:rsidR="0023443E">
        <w:rPr>
          <w:rFonts w:ascii="Times New Roman" w:hAnsi="Times New Roman" w:cs="Times New Roman"/>
          <w:color w:val="1B1D1F"/>
          <w:sz w:val="24"/>
          <w:szCs w:val="24"/>
        </w:rPr>
        <w:t>.</w:t>
      </w:r>
      <w:r w:rsidR="00633833" w:rsidDel="0023443E">
        <w:rPr>
          <w:rFonts w:ascii="Times New Roman" w:hAnsi="Times New Roman" w:cs="Times New Roman"/>
          <w:color w:val="1B1D1F"/>
          <w:sz w:val="24"/>
          <w:szCs w:val="24"/>
        </w:rPr>
        <w:t xml:space="preserve"> </w:t>
      </w:r>
    </w:p>
    <w:p w14:paraId="403361DF" w14:textId="567FD960" w:rsidR="006C2B5F" w:rsidRPr="009905B5" w:rsidRDefault="00853F15" w:rsidP="000355D6">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ieguldījums migrācijas pamatcēloņu risināšanā.</w:t>
      </w:r>
      <w:r w:rsidRPr="009905B5">
        <w:rPr>
          <w:rFonts w:ascii="Times New Roman" w:hAnsi="Times New Roman" w:cs="Times New Roman"/>
          <w:color w:val="1B1D1F"/>
          <w:sz w:val="24"/>
          <w:szCs w:val="24"/>
        </w:rPr>
        <w:t xml:space="preserve"> Latvija jau līdz šim </w:t>
      </w:r>
      <w:r w:rsidR="00135531" w:rsidRPr="009905B5">
        <w:rPr>
          <w:rFonts w:ascii="Times New Roman" w:hAnsi="Times New Roman" w:cs="Times New Roman"/>
          <w:color w:val="1B1D1F"/>
          <w:sz w:val="24"/>
          <w:szCs w:val="24"/>
        </w:rPr>
        <w:t xml:space="preserve">ir </w:t>
      </w:r>
      <w:r w:rsidRPr="009905B5">
        <w:rPr>
          <w:rFonts w:ascii="Times New Roman" w:hAnsi="Times New Roman" w:cs="Times New Roman"/>
          <w:color w:val="1B1D1F"/>
          <w:sz w:val="24"/>
          <w:szCs w:val="24"/>
        </w:rPr>
        <w:t>veikusi iemaksa</w:t>
      </w:r>
      <w:r w:rsidR="006C2B5F" w:rsidRPr="009905B5">
        <w:rPr>
          <w:rFonts w:ascii="Times New Roman" w:hAnsi="Times New Roman" w:cs="Times New Roman"/>
          <w:color w:val="1B1D1F"/>
          <w:sz w:val="24"/>
          <w:szCs w:val="24"/>
        </w:rPr>
        <w:t>s</w:t>
      </w:r>
      <w:r w:rsidRPr="009905B5">
        <w:rPr>
          <w:rFonts w:ascii="Times New Roman" w:hAnsi="Times New Roman" w:cs="Times New Roman"/>
          <w:color w:val="1B1D1F"/>
          <w:sz w:val="24"/>
          <w:szCs w:val="24"/>
        </w:rPr>
        <w:t>, piemēram, ES trasta fondā Āfrikai, kur</w:t>
      </w:r>
      <w:r w:rsidR="00135531" w:rsidRPr="009905B5">
        <w:rPr>
          <w:rFonts w:ascii="Times New Roman" w:hAnsi="Times New Roman" w:cs="Times New Roman"/>
          <w:color w:val="1B1D1F"/>
          <w:sz w:val="24"/>
          <w:szCs w:val="24"/>
        </w:rPr>
        <w:t>a</w:t>
      </w:r>
      <w:r w:rsidRPr="009905B5">
        <w:rPr>
          <w:rFonts w:ascii="Times New Roman" w:hAnsi="Times New Roman" w:cs="Times New Roman"/>
          <w:color w:val="1B1D1F"/>
          <w:sz w:val="24"/>
          <w:szCs w:val="24"/>
        </w:rPr>
        <w:t xml:space="preserve"> mērķis </w:t>
      </w:r>
      <w:r w:rsidR="00431889" w:rsidRPr="009905B5">
        <w:rPr>
          <w:rFonts w:ascii="Times New Roman" w:hAnsi="Times New Roman" w:cs="Times New Roman"/>
          <w:color w:val="1B1D1F"/>
          <w:sz w:val="24"/>
          <w:szCs w:val="24"/>
        </w:rPr>
        <w:t xml:space="preserve">ir </w:t>
      </w:r>
      <w:r w:rsidR="006C2B5F" w:rsidRPr="009905B5">
        <w:rPr>
          <w:rFonts w:ascii="Times New Roman" w:hAnsi="Times New Roman" w:cs="Times New Roman"/>
          <w:color w:val="1B1D1F"/>
          <w:sz w:val="24"/>
          <w:szCs w:val="24"/>
        </w:rPr>
        <w:t>veicināt stabilitāti dažādos Āfrikas reģionos, risināt piespiedu pārvietošanas un nelikumīgas migrācijas galvenos cēloņus, veicinot ekonomiskās iespējas, iespēju vienlīdzību, drošību un attīstību, kā arī labāku migrācijas pārvaldi. Vienlaikus jāņem vērā, ka OECD</w:t>
      </w:r>
      <w:r w:rsidR="00CE17DE">
        <w:rPr>
          <w:rFonts w:ascii="Times New Roman" w:hAnsi="Times New Roman" w:cs="Times New Roman"/>
          <w:color w:val="1B1D1F"/>
          <w:sz w:val="24"/>
          <w:szCs w:val="24"/>
        </w:rPr>
        <w:t xml:space="preserve"> </w:t>
      </w:r>
      <w:r w:rsidR="006C2B5F" w:rsidRPr="009905B5">
        <w:rPr>
          <w:rFonts w:ascii="Times New Roman" w:hAnsi="Times New Roman" w:cs="Times New Roman"/>
          <w:color w:val="1B1D1F"/>
          <w:sz w:val="24"/>
          <w:szCs w:val="24"/>
        </w:rPr>
        <w:t xml:space="preserve">DAC ietvaros arvien vairāk aktualizējas jautājums, ciktāl šāda veida palīdzība un atbalsts ir uzskaitāma kā OAP. </w:t>
      </w:r>
    </w:p>
    <w:p w14:paraId="25C8AFF3" w14:textId="77777777" w:rsidR="00C6786A" w:rsidRDefault="006C2B5F" w:rsidP="005F77BD">
      <w:pPr>
        <w:pStyle w:val="ListParagraph"/>
        <w:numPr>
          <w:ilvl w:val="0"/>
          <w:numId w:val="29"/>
        </w:numPr>
        <w:spacing w:line="240" w:lineRule="auto"/>
        <w:jc w:val="both"/>
        <w:rPr>
          <w:rFonts w:ascii="Times New Roman" w:hAnsi="Times New Roman" w:cs="Times New Roman"/>
          <w:color w:val="1B1D1F"/>
          <w:sz w:val="24"/>
          <w:szCs w:val="24"/>
        </w:rPr>
      </w:pPr>
      <w:r w:rsidRPr="009905B5">
        <w:rPr>
          <w:rFonts w:ascii="Times New Roman" w:hAnsi="Times New Roman" w:cs="Times New Roman"/>
          <w:b/>
          <w:color w:val="1B1D1F"/>
          <w:sz w:val="24"/>
          <w:szCs w:val="24"/>
        </w:rPr>
        <w:t>Latvijas ieguldījums ar klimata pārmaiņām saistīto izaicinājumu risināšanā.</w:t>
      </w:r>
      <w:r w:rsidRPr="009905B5">
        <w:rPr>
          <w:rFonts w:ascii="Times New Roman" w:hAnsi="Times New Roman" w:cs="Times New Roman"/>
          <w:color w:val="1B1D1F"/>
          <w:sz w:val="24"/>
          <w:szCs w:val="24"/>
        </w:rPr>
        <w:t xml:space="preserve"> Latvija jau šobrīd veic dažādas iemaksas ANO sistēmas organizācijām un programmām, kas nodarbojas ar klimata pārmaiņu jautājumiem. Ņemot vērā, ka jautājuma aktualitāte arvien pieaug un Latvija šobrīd ir pozicionējusi sevi kā ambiciozas klimata pārmaiņas politikas atbalstītāju</w:t>
      </w:r>
      <w:r w:rsidR="00E71A28" w:rsidRPr="009905B5">
        <w:rPr>
          <w:rFonts w:ascii="Times New Roman" w:hAnsi="Times New Roman" w:cs="Times New Roman"/>
          <w:color w:val="1B1D1F"/>
          <w:sz w:val="24"/>
          <w:szCs w:val="24"/>
        </w:rPr>
        <w:t xml:space="preserve">, iespējams nākotnē pieaugs arī Latvijas iemaksas organizācijās, fondos un programmās. </w:t>
      </w:r>
      <w:r w:rsidR="00043E37">
        <w:rPr>
          <w:rFonts w:ascii="Times New Roman" w:hAnsi="Times New Roman" w:cs="Times New Roman"/>
          <w:color w:val="1B1D1F"/>
          <w:sz w:val="24"/>
          <w:szCs w:val="24"/>
        </w:rPr>
        <w:t xml:space="preserve">2019.gadā Latvija pievienojās </w:t>
      </w:r>
      <w:r w:rsidR="00043E37" w:rsidRPr="00043E37">
        <w:rPr>
          <w:rFonts w:ascii="Times New Roman" w:hAnsi="Times New Roman" w:cs="Times New Roman"/>
          <w:color w:val="1B1D1F"/>
          <w:sz w:val="24"/>
          <w:szCs w:val="24"/>
        </w:rPr>
        <w:t>finanšu minist</w:t>
      </w:r>
      <w:r w:rsidR="00F60AE3">
        <w:rPr>
          <w:rFonts w:ascii="Times New Roman" w:hAnsi="Times New Roman" w:cs="Times New Roman"/>
          <w:color w:val="1B1D1F"/>
          <w:sz w:val="24"/>
          <w:szCs w:val="24"/>
        </w:rPr>
        <w:t xml:space="preserve">ru klimata politikas koalīcijai, kas izveidota </w:t>
      </w:r>
      <w:r w:rsidR="00043E37" w:rsidRPr="00043E37">
        <w:rPr>
          <w:rFonts w:ascii="Times New Roman" w:hAnsi="Times New Roman" w:cs="Times New Roman"/>
          <w:color w:val="1B1D1F"/>
          <w:sz w:val="24"/>
          <w:szCs w:val="24"/>
        </w:rPr>
        <w:t>sadarbībā ar Pasaules Bankas grupu</w:t>
      </w:r>
      <w:r w:rsidR="00F60AE3">
        <w:rPr>
          <w:rFonts w:ascii="Times New Roman" w:hAnsi="Times New Roman" w:cs="Times New Roman"/>
          <w:color w:val="1B1D1F"/>
          <w:sz w:val="24"/>
          <w:szCs w:val="24"/>
        </w:rPr>
        <w:t>, Starptautisko</w:t>
      </w:r>
      <w:r w:rsidR="00043E37" w:rsidRPr="00043E37">
        <w:rPr>
          <w:rFonts w:ascii="Times New Roman" w:hAnsi="Times New Roman" w:cs="Times New Roman"/>
          <w:color w:val="1B1D1F"/>
          <w:sz w:val="24"/>
          <w:szCs w:val="24"/>
        </w:rPr>
        <w:t xml:space="preserve"> Valūtas fondu  un </w:t>
      </w:r>
      <w:r w:rsidR="00F60AE3">
        <w:rPr>
          <w:rFonts w:ascii="Times New Roman" w:hAnsi="Times New Roman" w:cs="Times New Roman"/>
          <w:color w:val="1B1D1F"/>
          <w:sz w:val="24"/>
          <w:szCs w:val="24"/>
        </w:rPr>
        <w:t>ANO</w:t>
      </w:r>
      <w:r w:rsidR="00F17C3D">
        <w:rPr>
          <w:rFonts w:ascii="Times New Roman" w:hAnsi="Times New Roman" w:cs="Times New Roman"/>
          <w:color w:val="1B1D1F"/>
          <w:sz w:val="24"/>
          <w:szCs w:val="24"/>
        </w:rPr>
        <w:t xml:space="preserve"> un kuras </w:t>
      </w:r>
      <w:r w:rsidR="00F17C3D" w:rsidRPr="00F17C3D">
        <w:rPr>
          <w:rFonts w:ascii="Times New Roman" w:hAnsi="Times New Roman" w:cs="Times New Roman"/>
          <w:color w:val="1B1D1F"/>
          <w:sz w:val="24"/>
          <w:szCs w:val="24"/>
        </w:rPr>
        <w:t>mērķis ir veicināt nacionāla un globāla līmeņa rīcību klimata pārmaiņu radīto seku mazināšanai, izmantojot fiskālo politiku, publisko finanšu pārvaldību un piesaistot privāto finansējumu</w:t>
      </w:r>
      <w:r w:rsidR="00F60AE3">
        <w:rPr>
          <w:rFonts w:ascii="Times New Roman" w:hAnsi="Times New Roman" w:cs="Times New Roman"/>
          <w:color w:val="1B1D1F"/>
          <w:sz w:val="24"/>
          <w:szCs w:val="24"/>
        </w:rPr>
        <w:t>.</w:t>
      </w:r>
    </w:p>
    <w:p w14:paraId="3184A8A4" w14:textId="77777777" w:rsidR="00C6786A" w:rsidRPr="00C6786A" w:rsidRDefault="00030FF4" w:rsidP="005F77BD">
      <w:pPr>
        <w:pStyle w:val="ListParagraph"/>
        <w:numPr>
          <w:ilvl w:val="0"/>
          <w:numId w:val="29"/>
        </w:numPr>
        <w:spacing w:line="240" w:lineRule="auto"/>
        <w:jc w:val="both"/>
        <w:rPr>
          <w:rFonts w:ascii="Times New Roman" w:hAnsi="Times New Roman" w:cs="Times New Roman"/>
          <w:color w:val="1B1D1F"/>
          <w:sz w:val="24"/>
          <w:szCs w:val="24"/>
        </w:rPr>
      </w:pPr>
      <w:r w:rsidRPr="00C6786A">
        <w:rPr>
          <w:rFonts w:ascii="Times New Roman" w:hAnsi="Times New Roman" w:cs="Times New Roman"/>
          <w:b/>
          <w:color w:val="1B1D1F"/>
          <w:sz w:val="24"/>
          <w:szCs w:val="24"/>
        </w:rPr>
        <w:t xml:space="preserve">Nepieciešamība </w:t>
      </w:r>
      <w:r w:rsidR="001B7725" w:rsidRPr="00C6786A">
        <w:rPr>
          <w:rFonts w:ascii="Times New Roman" w:hAnsi="Times New Roman" w:cs="Times New Roman"/>
          <w:b/>
          <w:color w:val="1B1D1F"/>
          <w:sz w:val="24"/>
          <w:szCs w:val="24"/>
        </w:rPr>
        <w:t>atbalstīt starptautisko organizāciju darbu – starptautiskas programmas un projektus</w:t>
      </w:r>
      <w:r w:rsidR="001B7725" w:rsidRPr="00C6786A">
        <w:rPr>
          <w:rFonts w:ascii="Times New Roman" w:hAnsi="Times New Roman" w:cs="Times New Roman"/>
          <w:color w:val="1B1D1F"/>
          <w:sz w:val="24"/>
          <w:szCs w:val="24"/>
        </w:rPr>
        <w:t xml:space="preserve"> – globālo labumu veicināšanai vai konkrētu reģionu</w:t>
      </w:r>
      <w:r w:rsidRPr="00C6786A">
        <w:rPr>
          <w:rFonts w:ascii="Times New Roman" w:hAnsi="Times New Roman" w:cs="Times New Roman"/>
          <w:color w:val="1B1D1F"/>
          <w:sz w:val="24"/>
          <w:szCs w:val="24"/>
        </w:rPr>
        <w:t xml:space="preserve"> </w:t>
      </w:r>
      <w:r w:rsidR="005E4359" w:rsidRPr="00C6786A">
        <w:rPr>
          <w:rFonts w:ascii="Times New Roman" w:hAnsi="Times New Roman" w:cs="Times New Roman"/>
          <w:color w:val="1B1D1F"/>
          <w:sz w:val="24"/>
          <w:szCs w:val="24"/>
        </w:rPr>
        <w:t>un</w:t>
      </w:r>
      <w:r w:rsidR="00253F7A" w:rsidRPr="00C6786A">
        <w:rPr>
          <w:rFonts w:ascii="Times New Roman" w:hAnsi="Times New Roman" w:cs="Times New Roman"/>
          <w:color w:val="1B1D1F"/>
          <w:sz w:val="24"/>
          <w:szCs w:val="24"/>
        </w:rPr>
        <w:t xml:space="preserve"> valstu atbalstam, </w:t>
      </w:r>
      <w:r w:rsidR="006E550B" w:rsidRPr="00C6786A">
        <w:rPr>
          <w:rFonts w:ascii="Times New Roman" w:hAnsi="Times New Roman" w:cs="Times New Roman"/>
          <w:color w:val="1B1D1F"/>
          <w:sz w:val="24"/>
          <w:szCs w:val="24"/>
        </w:rPr>
        <w:t>tādējādi</w:t>
      </w:r>
      <w:r w:rsidR="00253F7A" w:rsidRPr="00C6786A">
        <w:rPr>
          <w:rFonts w:ascii="Times New Roman" w:hAnsi="Times New Roman" w:cs="Times New Roman"/>
          <w:color w:val="1B1D1F"/>
          <w:sz w:val="24"/>
          <w:szCs w:val="24"/>
        </w:rPr>
        <w:t xml:space="preserve"> sekmējot ar</w:t>
      </w:r>
      <w:r w:rsidR="006E550B" w:rsidRPr="00C6786A">
        <w:rPr>
          <w:rFonts w:ascii="Times New Roman" w:hAnsi="Times New Roman" w:cs="Times New Roman"/>
          <w:color w:val="1B1D1F"/>
          <w:sz w:val="24"/>
          <w:szCs w:val="24"/>
        </w:rPr>
        <w:t>ī</w:t>
      </w:r>
      <w:r w:rsidR="00253F7A" w:rsidRPr="00C6786A">
        <w:rPr>
          <w:rFonts w:ascii="Times New Roman" w:hAnsi="Times New Roman" w:cs="Times New Roman"/>
          <w:color w:val="1B1D1F"/>
          <w:sz w:val="24"/>
          <w:szCs w:val="24"/>
        </w:rPr>
        <w:t xml:space="preserve"> Latvijas īstenotāj</w:t>
      </w:r>
      <w:r w:rsidR="006E550B" w:rsidRPr="00C6786A">
        <w:rPr>
          <w:rFonts w:ascii="Times New Roman" w:hAnsi="Times New Roman" w:cs="Times New Roman"/>
          <w:color w:val="1B1D1F"/>
          <w:sz w:val="24"/>
          <w:szCs w:val="24"/>
        </w:rPr>
        <w:t>u un ekspertu sadarbību ar starptautiskajām organizācijām</w:t>
      </w:r>
      <w:r w:rsidR="00253F7A" w:rsidRPr="00C6786A">
        <w:rPr>
          <w:rFonts w:ascii="Times New Roman" w:hAnsi="Times New Roman" w:cs="Times New Roman"/>
          <w:color w:val="1B1D1F"/>
          <w:sz w:val="24"/>
          <w:szCs w:val="24"/>
        </w:rPr>
        <w:t>.</w:t>
      </w:r>
      <w:r w:rsidR="006E550B" w:rsidRPr="00C6786A">
        <w:rPr>
          <w:rFonts w:ascii="Times New Roman" w:hAnsi="Times New Roman" w:cs="Times New Roman"/>
          <w:color w:val="1B1D1F"/>
          <w:sz w:val="24"/>
          <w:szCs w:val="24"/>
        </w:rPr>
        <w:t xml:space="preserve"> Šādas sadarbības </w:t>
      </w:r>
      <w:r w:rsidR="006E550B" w:rsidRPr="00C6786A">
        <w:rPr>
          <w:rFonts w:ascii="Times New Roman" w:hAnsi="Times New Roman" w:cs="Times New Roman"/>
          <w:color w:val="1B1D1F"/>
          <w:sz w:val="24"/>
          <w:szCs w:val="24"/>
        </w:rPr>
        <w:lastRenderedPageBreak/>
        <w:t xml:space="preserve">veicināšana īpaši aktualizēsies saistībā ar </w:t>
      </w:r>
      <w:r w:rsidR="00FF0541" w:rsidRPr="00C6786A">
        <w:rPr>
          <w:rFonts w:ascii="Times New Roman" w:hAnsi="Times New Roman" w:cs="Times New Roman"/>
          <w:color w:val="1B1D1F"/>
          <w:sz w:val="24"/>
          <w:szCs w:val="24"/>
        </w:rPr>
        <w:t xml:space="preserve">Latvijas kandidatūru </w:t>
      </w:r>
      <w:r w:rsidR="00425632" w:rsidRPr="00C6786A">
        <w:rPr>
          <w:rFonts w:ascii="Times New Roman" w:eastAsia="Times New Roman" w:hAnsi="Times New Roman" w:cs="Times New Roman"/>
          <w:bCs/>
          <w:sz w:val="24"/>
          <w:szCs w:val="24"/>
        </w:rPr>
        <w:t>ANO Drošības padomes nepastāvīgo locekļ</w:t>
      </w:r>
      <w:r w:rsidR="006E550B" w:rsidRPr="00C6786A">
        <w:rPr>
          <w:rFonts w:ascii="Times New Roman" w:eastAsia="Times New Roman" w:hAnsi="Times New Roman" w:cs="Times New Roman"/>
          <w:bCs/>
          <w:sz w:val="24"/>
          <w:szCs w:val="24"/>
        </w:rPr>
        <w:t>a vēlēšanām</w:t>
      </w:r>
      <w:r w:rsidR="00425632" w:rsidRPr="00C6786A">
        <w:rPr>
          <w:rFonts w:ascii="Times New Roman" w:eastAsia="Times New Roman" w:hAnsi="Times New Roman" w:cs="Times New Roman"/>
          <w:bCs/>
          <w:sz w:val="24"/>
          <w:szCs w:val="24"/>
        </w:rPr>
        <w:t>.</w:t>
      </w:r>
      <w:r w:rsidR="005F77BD" w:rsidRPr="00C6786A">
        <w:rPr>
          <w:rFonts w:ascii="Times New Roman" w:eastAsia="Times New Roman" w:hAnsi="Times New Roman" w:cs="Times New Roman"/>
          <w:bCs/>
          <w:sz w:val="24"/>
          <w:szCs w:val="24"/>
        </w:rPr>
        <w:t xml:space="preserve"> </w:t>
      </w:r>
    </w:p>
    <w:p w14:paraId="219E2369" w14:textId="4171233E" w:rsidR="00C6786A" w:rsidRPr="00C6786A" w:rsidRDefault="007443E8" w:rsidP="00C6786A">
      <w:pPr>
        <w:spacing w:after="240" w:line="240" w:lineRule="auto"/>
        <w:jc w:val="both"/>
        <w:rPr>
          <w:rFonts w:ascii="Times New Roman" w:hAnsi="Times New Roman" w:cs="Times New Roman"/>
          <w:color w:val="1B1D1F"/>
          <w:sz w:val="24"/>
          <w:szCs w:val="24"/>
        </w:rPr>
      </w:pPr>
      <w:r w:rsidRPr="00C6786A">
        <w:rPr>
          <w:rFonts w:ascii="Times New Roman" w:hAnsi="Times New Roman" w:cs="Times New Roman"/>
          <w:sz w:val="24"/>
        </w:rPr>
        <w:t xml:space="preserve">Līdz ar to </w:t>
      </w:r>
      <w:r w:rsidR="000355D6" w:rsidRPr="00C6786A">
        <w:rPr>
          <w:rFonts w:ascii="Times New Roman" w:hAnsi="Times New Roman" w:cs="Times New Roman"/>
          <w:sz w:val="24"/>
        </w:rPr>
        <w:t>prognozējams</w:t>
      </w:r>
      <w:r w:rsidRPr="00C6786A">
        <w:rPr>
          <w:rFonts w:ascii="Times New Roman" w:hAnsi="Times New Roman" w:cs="Times New Roman"/>
          <w:sz w:val="24"/>
        </w:rPr>
        <w:t xml:space="preserve">, ka vidējā un ilgtermiņā Latvijas daudzpusējās palīdzības apjomi </w:t>
      </w:r>
      <w:r w:rsidR="00331DE2" w:rsidRPr="00C6786A">
        <w:rPr>
          <w:rFonts w:ascii="Times New Roman" w:hAnsi="Times New Roman" w:cs="Times New Roman"/>
          <w:sz w:val="24"/>
        </w:rPr>
        <w:t>varētu palielināties</w:t>
      </w:r>
      <w:r w:rsidRPr="00C6786A">
        <w:rPr>
          <w:rFonts w:ascii="Times New Roman" w:hAnsi="Times New Roman" w:cs="Times New Roman"/>
          <w:sz w:val="24"/>
        </w:rPr>
        <w:t xml:space="preserve">, tādējādi sniedzot ieguldījumu 2030 mērķa sasniegšanā. </w:t>
      </w:r>
      <w:r w:rsidR="00331DE2" w:rsidRPr="00C6786A">
        <w:rPr>
          <w:rFonts w:ascii="Times New Roman" w:hAnsi="Times New Roman" w:cs="Times New Roman"/>
          <w:sz w:val="24"/>
        </w:rPr>
        <w:t>Tāpēc</w:t>
      </w:r>
      <w:r w:rsidR="00C06227" w:rsidRPr="00C6786A">
        <w:rPr>
          <w:rFonts w:ascii="Times New Roman" w:hAnsi="Times New Roman" w:cs="Times New Roman"/>
          <w:sz w:val="24"/>
        </w:rPr>
        <w:t>, ņemot vērā nepieciešamību veicināt Latvijas kā donora redzamību, it īpaši kontekstā ar ANO Drošības padomes vēlēšanu kampaņu, kā arī pilnvērtīgi realizēt Latvijas īstenotāju potenciālu attīstības sadarbības jomā, nepieciešams palielināt finansējumu Latvijas divpusējai attīstības sadarbībai</w:t>
      </w:r>
      <w:r w:rsidR="00820E56" w:rsidRPr="00C6786A">
        <w:rPr>
          <w:rFonts w:ascii="Times New Roman" w:hAnsi="Times New Roman" w:cs="Times New Roman"/>
          <w:sz w:val="24"/>
        </w:rPr>
        <w:t xml:space="preserve">. </w:t>
      </w:r>
    </w:p>
    <w:p w14:paraId="21BCDE4E" w14:textId="77777777" w:rsidR="001E0378" w:rsidRPr="00BE5444" w:rsidRDefault="0085606E" w:rsidP="00C6786A">
      <w:pPr>
        <w:pStyle w:val="ListParagraph"/>
        <w:numPr>
          <w:ilvl w:val="1"/>
          <w:numId w:val="1"/>
        </w:numPr>
        <w:spacing w:after="240" w:line="240" w:lineRule="auto"/>
        <w:ind w:left="806" w:hanging="446"/>
        <w:jc w:val="center"/>
        <w:outlineLvl w:val="0"/>
        <w:rPr>
          <w:rFonts w:ascii="Times New Roman" w:hAnsi="Times New Roman" w:cs="Times New Roman"/>
          <w:color w:val="1B1D1F"/>
          <w:sz w:val="24"/>
          <w:szCs w:val="24"/>
        </w:rPr>
      </w:pPr>
      <w:r w:rsidRPr="00BE5444">
        <w:rPr>
          <w:rFonts w:ascii="Times New Roman" w:hAnsi="Times New Roman" w:cs="Times New Roman"/>
          <w:b/>
          <w:sz w:val="24"/>
        </w:rPr>
        <w:t>D</w:t>
      </w:r>
      <w:r w:rsidR="00425632" w:rsidRPr="00BE5444">
        <w:rPr>
          <w:rFonts w:ascii="Times New Roman" w:hAnsi="Times New Roman" w:cs="Times New Roman"/>
          <w:b/>
          <w:sz w:val="24"/>
        </w:rPr>
        <w:t xml:space="preserve">ivpusējās </w:t>
      </w:r>
      <w:r w:rsidRPr="00BE5444">
        <w:rPr>
          <w:rFonts w:ascii="Times New Roman" w:hAnsi="Times New Roman" w:cs="Times New Roman"/>
          <w:b/>
          <w:sz w:val="24"/>
        </w:rPr>
        <w:t>palīdzības</w:t>
      </w:r>
      <w:r w:rsidR="00425632" w:rsidRPr="00BE5444">
        <w:rPr>
          <w:rFonts w:ascii="Times New Roman" w:hAnsi="Times New Roman" w:cs="Times New Roman"/>
          <w:b/>
          <w:sz w:val="24"/>
        </w:rPr>
        <w:t xml:space="preserve"> palielināšana</w:t>
      </w:r>
    </w:p>
    <w:p w14:paraId="65A9216A" w14:textId="77777777" w:rsidR="00572086" w:rsidRDefault="00572086" w:rsidP="0085606E">
      <w:pPr>
        <w:spacing w:line="240" w:lineRule="auto"/>
        <w:jc w:val="both"/>
        <w:rPr>
          <w:rFonts w:ascii="Times New Roman" w:hAnsi="Times New Roman" w:cs="Times New Roman"/>
          <w:color w:val="1B1D1F"/>
          <w:sz w:val="24"/>
        </w:rPr>
      </w:pPr>
      <w:r w:rsidRPr="009905B5">
        <w:rPr>
          <w:rFonts w:ascii="Times New Roman" w:hAnsi="Times New Roman" w:cs="Times New Roman"/>
          <w:sz w:val="24"/>
        </w:rPr>
        <w:t>ĀM</w:t>
      </w:r>
      <w:r>
        <w:rPr>
          <w:rFonts w:ascii="Times New Roman" w:hAnsi="Times New Roman" w:cs="Times New Roman"/>
          <w:sz w:val="24"/>
        </w:rPr>
        <w:t xml:space="preserve"> salīdzinājumā ar citām iestādēm</w:t>
      </w:r>
      <w:r w:rsidRPr="009905B5">
        <w:rPr>
          <w:rFonts w:ascii="Times New Roman" w:hAnsi="Times New Roman" w:cs="Times New Roman"/>
          <w:sz w:val="24"/>
        </w:rPr>
        <w:t xml:space="preserve"> ir vislabāk pozicionēta pārraudzīt attīstības sadarbības finansējumu un nodrošināt</w:t>
      </w:r>
      <w:r w:rsidRPr="009905B5">
        <w:rPr>
          <w:rFonts w:ascii="Times New Roman" w:hAnsi="Times New Roman" w:cs="Times New Roman"/>
          <w:color w:val="1B1D1F"/>
          <w:sz w:val="24"/>
        </w:rPr>
        <w:t>, ka finansējums tiek izlietots atbilstoši attīstības sadarbības politikas mērķiem un prioritātēm, veicin</w:t>
      </w:r>
      <w:r>
        <w:rPr>
          <w:rFonts w:ascii="Times New Roman" w:hAnsi="Times New Roman" w:cs="Times New Roman"/>
          <w:color w:val="1B1D1F"/>
          <w:sz w:val="24"/>
        </w:rPr>
        <w:t>āt</w:t>
      </w:r>
      <w:r w:rsidRPr="009905B5">
        <w:rPr>
          <w:rFonts w:ascii="Times New Roman" w:hAnsi="Times New Roman" w:cs="Times New Roman"/>
          <w:color w:val="1B1D1F"/>
          <w:sz w:val="24"/>
        </w:rPr>
        <w:t xml:space="preserve"> sinerģijas ar ārpolitikas, tirdzniecības, drošības politikas mērķiem un nodrošin</w:t>
      </w:r>
      <w:r>
        <w:rPr>
          <w:rFonts w:ascii="Times New Roman" w:hAnsi="Times New Roman" w:cs="Times New Roman"/>
          <w:color w:val="1B1D1F"/>
          <w:sz w:val="24"/>
        </w:rPr>
        <w:t>āt</w:t>
      </w:r>
      <w:r w:rsidRPr="009905B5">
        <w:rPr>
          <w:rFonts w:ascii="Times New Roman" w:hAnsi="Times New Roman" w:cs="Times New Roman"/>
          <w:color w:val="1B1D1F"/>
          <w:sz w:val="24"/>
        </w:rPr>
        <w:t xml:space="preserve"> redzamību Latvijai</w:t>
      </w:r>
      <w:r>
        <w:rPr>
          <w:rFonts w:ascii="Times New Roman" w:hAnsi="Times New Roman" w:cs="Times New Roman"/>
          <w:color w:val="1B1D1F"/>
          <w:sz w:val="24"/>
        </w:rPr>
        <w:t xml:space="preserve"> kā donoram un ilgtspējīgas attīstības sekmētājai. </w:t>
      </w:r>
      <w:r w:rsidRPr="009905B5">
        <w:rPr>
          <w:rFonts w:ascii="Times New Roman" w:hAnsi="Times New Roman" w:cs="Times New Roman"/>
          <w:color w:val="1B1D1F"/>
          <w:sz w:val="24"/>
        </w:rPr>
        <w:t xml:space="preserve"> </w:t>
      </w:r>
    </w:p>
    <w:p w14:paraId="2473B980" w14:textId="77777777" w:rsidR="0085606E" w:rsidRPr="009905B5" w:rsidRDefault="0085606E" w:rsidP="0085606E">
      <w:pPr>
        <w:spacing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2018</w:t>
      </w:r>
      <w:r>
        <w:rPr>
          <w:rFonts w:ascii="Times New Roman" w:hAnsi="Times New Roman" w:cs="Times New Roman"/>
          <w:color w:val="1B1D1F"/>
          <w:sz w:val="24"/>
        </w:rPr>
        <w:t>. gad</w:t>
      </w:r>
      <w:r w:rsidRPr="009905B5">
        <w:rPr>
          <w:rFonts w:ascii="Times New Roman" w:hAnsi="Times New Roman" w:cs="Times New Roman"/>
          <w:color w:val="1B1D1F"/>
          <w:sz w:val="24"/>
        </w:rPr>
        <w:t>ā ĀM budžeta programma “Attīstības sadarbības projekti un starptautiskā palīdzība” veidoja aptuveni 2% no Latvijas OAP. Vienlaikus, kā iepriekš norādīts, ĀM granta konkursos pieprasītais finansējums vairākas reizes pārsniedz konkursā pieejamo finansējumu.</w:t>
      </w:r>
      <w:r>
        <w:rPr>
          <w:rFonts w:ascii="Times New Roman" w:hAnsi="Times New Roman" w:cs="Times New Roman"/>
          <w:color w:val="1B1D1F"/>
          <w:sz w:val="24"/>
        </w:rPr>
        <w:t xml:space="preserve"> </w:t>
      </w:r>
      <w:r w:rsidRPr="009905B5">
        <w:rPr>
          <w:rFonts w:ascii="Times New Roman" w:hAnsi="Times New Roman" w:cs="Times New Roman"/>
          <w:color w:val="1B1D1F"/>
          <w:sz w:val="24"/>
        </w:rPr>
        <w:t>Ierobežotais finansējums sašaurina iespējas plānot ilgtermiņa aktivitātes un turpināt izvērst sadarbību ar citiem donoriem</w:t>
      </w:r>
      <w:r>
        <w:rPr>
          <w:rFonts w:ascii="Times New Roman" w:hAnsi="Times New Roman" w:cs="Times New Roman"/>
          <w:color w:val="1B1D1F"/>
          <w:sz w:val="24"/>
        </w:rPr>
        <w:t>, no kuriem piesaistītais finansējums jau šobrīd ir ļāvis ievērojami izvērst attīstības sadarbības aktivitātes</w:t>
      </w:r>
      <w:r w:rsidRPr="009905B5">
        <w:rPr>
          <w:rFonts w:ascii="Times New Roman" w:hAnsi="Times New Roman" w:cs="Times New Roman"/>
          <w:sz w:val="24"/>
        </w:rPr>
        <w:t xml:space="preserve">. </w:t>
      </w:r>
    </w:p>
    <w:p w14:paraId="4E282726" w14:textId="746C479E" w:rsidR="005F77BD" w:rsidRPr="0085606E" w:rsidRDefault="0085606E" w:rsidP="00C6786A">
      <w:pPr>
        <w:spacing w:after="240"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Ņemot vērā</w:t>
      </w:r>
      <w:r>
        <w:rPr>
          <w:rFonts w:ascii="Times New Roman" w:hAnsi="Times New Roman" w:cs="Times New Roman"/>
          <w:color w:val="1B1D1F"/>
          <w:sz w:val="24"/>
        </w:rPr>
        <w:t xml:space="preserve"> </w:t>
      </w:r>
      <w:r w:rsidRPr="009905B5">
        <w:rPr>
          <w:rFonts w:ascii="Times New Roman" w:hAnsi="Times New Roman" w:cs="Times New Roman"/>
          <w:color w:val="1B1D1F"/>
          <w:sz w:val="24"/>
        </w:rPr>
        <w:t>augstāk minēto, nepieciešams palielināt finansējumu ĀM budžeta programmai “Attīstības sadarbības proje</w:t>
      </w:r>
      <w:r w:rsidR="00572086">
        <w:rPr>
          <w:rFonts w:ascii="Times New Roman" w:hAnsi="Times New Roman" w:cs="Times New Roman"/>
          <w:color w:val="1B1D1F"/>
          <w:sz w:val="24"/>
        </w:rPr>
        <w:t xml:space="preserve">kti un starptautiskā palīdzība”. Vienlaikus būtu izvērtējama arī iespēja stiprināt citu institūciju, kas ir pieredzējuši attīstības sadarbības īstenotāji, spējas </w:t>
      </w:r>
      <w:r w:rsidR="00E87E3A">
        <w:rPr>
          <w:rFonts w:ascii="Times New Roman" w:hAnsi="Times New Roman" w:cs="Times New Roman"/>
          <w:color w:val="1B1D1F"/>
          <w:sz w:val="24"/>
        </w:rPr>
        <w:t>finansēt attīstības sadarbības aktivitātes.</w:t>
      </w:r>
    </w:p>
    <w:p w14:paraId="7F869C71" w14:textId="77777777" w:rsidR="001E0378" w:rsidRPr="0085606E" w:rsidRDefault="0085606E" w:rsidP="00C6786A">
      <w:pPr>
        <w:spacing w:after="240" w:line="240" w:lineRule="auto"/>
        <w:jc w:val="center"/>
        <w:outlineLvl w:val="0"/>
        <w:rPr>
          <w:rFonts w:ascii="Times New Roman" w:hAnsi="Times New Roman" w:cs="Times New Roman"/>
          <w:color w:val="1B1D1F"/>
          <w:szCs w:val="24"/>
        </w:rPr>
      </w:pPr>
      <w:r>
        <w:rPr>
          <w:rFonts w:ascii="Times New Roman" w:hAnsi="Times New Roman" w:cs="Times New Roman"/>
          <w:b/>
          <w:color w:val="1B1D1F"/>
          <w:sz w:val="24"/>
          <w:szCs w:val="24"/>
        </w:rPr>
        <w:t>2.2.1. Modeļi f</w:t>
      </w:r>
      <w:r w:rsidR="001E0378" w:rsidRPr="0085606E">
        <w:rPr>
          <w:rFonts w:ascii="Times New Roman" w:hAnsi="Times New Roman" w:cs="Times New Roman"/>
          <w:b/>
          <w:color w:val="1B1D1F"/>
          <w:sz w:val="24"/>
          <w:szCs w:val="24"/>
        </w:rPr>
        <w:t>inansējuma palielināšana</w:t>
      </w:r>
      <w:r>
        <w:rPr>
          <w:rFonts w:ascii="Times New Roman" w:hAnsi="Times New Roman" w:cs="Times New Roman"/>
          <w:b/>
          <w:color w:val="1B1D1F"/>
          <w:sz w:val="24"/>
          <w:szCs w:val="24"/>
        </w:rPr>
        <w:t>i</w:t>
      </w:r>
      <w:r w:rsidR="001E0378" w:rsidRPr="0085606E">
        <w:rPr>
          <w:rFonts w:ascii="Times New Roman" w:hAnsi="Times New Roman" w:cs="Times New Roman"/>
          <w:b/>
          <w:color w:val="1B1D1F"/>
          <w:sz w:val="24"/>
          <w:szCs w:val="24"/>
        </w:rPr>
        <w:t xml:space="preserve"> ĀM budžeta programmai “Attīstības sadarbības projekti un starptautiskā palīdzība”</w:t>
      </w:r>
    </w:p>
    <w:p w14:paraId="701C0895" w14:textId="1BCF824C" w:rsidR="005F77BD" w:rsidRPr="005F77BD" w:rsidRDefault="00B104B1" w:rsidP="00C6786A">
      <w:pPr>
        <w:spacing w:before="160" w:after="240" w:line="240" w:lineRule="auto"/>
        <w:jc w:val="both"/>
        <w:rPr>
          <w:rFonts w:ascii="Times New Roman" w:hAnsi="Times New Roman" w:cs="Times New Roman"/>
          <w:color w:val="1B1D1F"/>
          <w:sz w:val="24"/>
        </w:rPr>
      </w:pPr>
      <w:r w:rsidRPr="009905B5">
        <w:rPr>
          <w:rFonts w:ascii="Times New Roman" w:hAnsi="Times New Roman" w:cs="Times New Roman"/>
          <w:color w:val="1B1D1F"/>
          <w:sz w:val="24"/>
        </w:rPr>
        <w:t>Plānojot finansējuma pieaugumu budžeta programmai līdz 2025</w:t>
      </w:r>
      <w:r w:rsidR="00A2733A">
        <w:rPr>
          <w:rFonts w:ascii="Times New Roman" w:hAnsi="Times New Roman" w:cs="Times New Roman"/>
          <w:color w:val="1B1D1F"/>
          <w:sz w:val="24"/>
        </w:rPr>
        <w:t>. gad</w:t>
      </w:r>
      <w:r w:rsidRPr="009905B5">
        <w:rPr>
          <w:rFonts w:ascii="Times New Roman" w:hAnsi="Times New Roman" w:cs="Times New Roman"/>
          <w:color w:val="1B1D1F"/>
          <w:sz w:val="24"/>
        </w:rPr>
        <w:t xml:space="preserve">am, </w:t>
      </w:r>
      <w:r w:rsidR="00C21763" w:rsidRPr="009905B5">
        <w:rPr>
          <w:rFonts w:ascii="Times New Roman" w:hAnsi="Times New Roman" w:cs="Times New Roman"/>
          <w:color w:val="1B1D1F"/>
          <w:sz w:val="24"/>
        </w:rPr>
        <w:t xml:space="preserve">būtu </w:t>
      </w:r>
      <w:r w:rsidRPr="009905B5">
        <w:rPr>
          <w:rFonts w:ascii="Times New Roman" w:hAnsi="Times New Roman" w:cs="Times New Roman"/>
          <w:color w:val="1B1D1F"/>
          <w:sz w:val="24"/>
        </w:rPr>
        <w:t>nepieciešams</w:t>
      </w:r>
      <w:r w:rsidR="00C21763" w:rsidRPr="009905B5">
        <w:rPr>
          <w:rFonts w:ascii="Times New Roman" w:hAnsi="Times New Roman" w:cs="Times New Roman"/>
          <w:color w:val="1B1D1F"/>
          <w:sz w:val="24"/>
        </w:rPr>
        <w:t xml:space="preserve"> izveidot sasaisti ar </w:t>
      </w:r>
      <w:r w:rsidR="007149FB" w:rsidRPr="009905B5">
        <w:rPr>
          <w:rFonts w:ascii="Times New Roman" w:hAnsi="Times New Roman" w:cs="Times New Roman"/>
          <w:color w:val="1B1D1F"/>
          <w:sz w:val="24"/>
        </w:rPr>
        <w:t xml:space="preserve">Latvijas </w:t>
      </w:r>
      <w:r w:rsidR="00C21763" w:rsidRPr="009905B5">
        <w:rPr>
          <w:rFonts w:ascii="Times New Roman" w:hAnsi="Times New Roman" w:cs="Times New Roman"/>
          <w:color w:val="1B1D1F"/>
          <w:sz w:val="24"/>
        </w:rPr>
        <w:t xml:space="preserve">OAP mērķiem </w:t>
      </w:r>
      <w:r w:rsidRPr="009905B5">
        <w:rPr>
          <w:rFonts w:ascii="Times New Roman" w:hAnsi="Times New Roman" w:cs="Times New Roman"/>
          <w:color w:val="1B1D1F"/>
          <w:sz w:val="24"/>
        </w:rPr>
        <w:t>2021.-2025</w:t>
      </w:r>
      <w:r w:rsidR="00A2733A">
        <w:rPr>
          <w:rFonts w:ascii="Times New Roman" w:hAnsi="Times New Roman" w:cs="Times New Roman"/>
          <w:color w:val="1B1D1F"/>
          <w:sz w:val="24"/>
        </w:rPr>
        <w:t>. gad</w:t>
      </w:r>
      <w:r w:rsidRPr="009905B5">
        <w:rPr>
          <w:rFonts w:ascii="Times New Roman" w:hAnsi="Times New Roman" w:cs="Times New Roman"/>
          <w:color w:val="1B1D1F"/>
          <w:sz w:val="24"/>
        </w:rPr>
        <w:t>am.</w:t>
      </w:r>
      <w:r w:rsidR="006443A7" w:rsidRPr="009905B5">
        <w:rPr>
          <w:rFonts w:ascii="Times New Roman" w:hAnsi="Times New Roman" w:cs="Times New Roman"/>
          <w:color w:val="1B1D1F"/>
          <w:sz w:val="24"/>
        </w:rPr>
        <w:t xml:space="preserve"> Līdz ar to</w:t>
      </w:r>
      <w:r w:rsidR="00F82714">
        <w:rPr>
          <w:rFonts w:ascii="Times New Roman" w:hAnsi="Times New Roman" w:cs="Times New Roman"/>
          <w:color w:val="1B1D1F"/>
          <w:sz w:val="24"/>
        </w:rPr>
        <w:t xml:space="preserve"> ĀM</w:t>
      </w:r>
      <w:r w:rsidR="006443A7" w:rsidRPr="009905B5">
        <w:rPr>
          <w:rFonts w:ascii="Times New Roman" w:hAnsi="Times New Roman" w:cs="Times New Roman"/>
          <w:color w:val="1B1D1F"/>
          <w:sz w:val="24"/>
        </w:rPr>
        <w:t xml:space="preserve"> piedāvā </w:t>
      </w:r>
      <w:r w:rsidR="00F82714">
        <w:rPr>
          <w:rFonts w:ascii="Times New Roman" w:hAnsi="Times New Roman" w:cs="Times New Roman"/>
          <w:color w:val="1B1D1F"/>
          <w:sz w:val="24"/>
        </w:rPr>
        <w:t>palielināt</w:t>
      </w:r>
      <w:r w:rsidR="007149FB" w:rsidRPr="009905B5">
        <w:rPr>
          <w:rFonts w:ascii="Times New Roman" w:hAnsi="Times New Roman" w:cs="Times New Roman"/>
          <w:color w:val="1B1D1F"/>
          <w:sz w:val="24"/>
        </w:rPr>
        <w:t xml:space="preserve"> ĀM budžeta programmas “Attīstības sadarbības projekti un starptautiskā palīdzība” </w:t>
      </w:r>
      <w:r w:rsidR="00F82714" w:rsidRPr="009905B5">
        <w:rPr>
          <w:rFonts w:ascii="Times New Roman" w:hAnsi="Times New Roman" w:cs="Times New Roman"/>
          <w:color w:val="1B1D1F"/>
          <w:sz w:val="24"/>
        </w:rPr>
        <w:t>daļ</w:t>
      </w:r>
      <w:r w:rsidR="00F82714">
        <w:rPr>
          <w:rFonts w:ascii="Times New Roman" w:hAnsi="Times New Roman" w:cs="Times New Roman"/>
          <w:color w:val="1B1D1F"/>
          <w:sz w:val="24"/>
        </w:rPr>
        <w:t xml:space="preserve">u </w:t>
      </w:r>
      <w:r w:rsidR="007149FB" w:rsidRPr="009905B5">
        <w:rPr>
          <w:rFonts w:ascii="Times New Roman" w:hAnsi="Times New Roman" w:cs="Times New Roman"/>
          <w:color w:val="1B1D1F"/>
          <w:sz w:val="24"/>
        </w:rPr>
        <w:t>kopējā OAP, kas būtu visparedzamākais veids divpusējās palīdzības apjomu</w:t>
      </w:r>
      <w:r w:rsidR="006443A7" w:rsidRPr="009905B5">
        <w:rPr>
          <w:rFonts w:ascii="Times New Roman" w:hAnsi="Times New Roman" w:cs="Times New Roman"/>
          <w:color w:val="1B1D1F"/>
          <w:sz w:val="24"/>
        </w:rPr>
        <w:t xml:space="preserve"> </w:t>
      </w:r>
      <w:r w:rsidR="007149FB" w:rsidRPr="009905B5">
        <w:rPr>
          <w:rFonts w:ascii="Times New Roman" w:hAnsi="Times New Roman" w:cs="Times New Roman"/>
          <w:color w:val="1B1D1F"/>
          <w:sz w:val="24"/>
        </w:rPr>
        <w:t>palielināšanai. Tabulā</w:t>
      </w:r>
      <w:r w:rsidRPr="009905B5">
        <w:rPr>
          <w:rFonts w:ascii="Times New Roman" w:hAnsi="Times New Roman" w:cs="Times New Roman"/>
          <w:color w:val="1B1D1F"/>
          <w:sz w:val="24"/>
        </w:rPr>
        <w:t xml:space="preserve"> Nr. </w:t>
      </w:r>
      <w:r w:rsidR="0041134B">
        <w:rPr>
          <w:rFonts w:ascii="Times New Roman" w:hAnsi="Times New Roman" w:cs="Times New Roman"/>
          <w:color w:val="1B1D1F"/>
          <w:sz w:val="24"/>
        </w:rPr>
        <w:t>5</w:t>
      </w:r>
      <w:r w:rsidRPr="009905B5">
        <w:rPr>
          <w:rFonts w:ascii="Times New Roman" w:hAnsi="Times New Roman" w:cs="Times New Roman"/>
          <w:color w:val="1B1D1F"/>
          <w:sz w:val="24"/>
        </w:rPr>
        <w:t xml:space="preserve"> piedāvāti trīs</w:t>
      </w:r>
      <w:r w:rsidR="00587130" w:rsidRPr="009905B5">
        <w:rPr>
          <w:rFonts w:ascii="Times New Roman" w:hAnsi="Times New Roman" w:cs="Times New Roman"/>
          <w:color w:val="1B1D1F"/>
          <w:sz w:val="24"/>
        </w:rPr>
        <w:t xml:space="preserve"> modeļi finansējuma palielināšanai, tiecoties panākt, ka budžeta programma veido 5</w:t>
      </w:r>
      <w:r w:rsidR="00DE63E0">
        <w:rPr>
          <w:rFonts w:ascii="Times New Roman" w:hAnsi="Times New Roman" w:cs="Times New Roman"/>
          <w:color w:val="1B1D1F"/>
          <w:sz w:val="24"/>
        </w:rPr>
        <w:t> </w:t>
      </w:r>
      <w:r w:rsidR="00587130" w:rsidRPr="009905B5">
        <w:rPr>
          <w:rFonts w:ascii="Times New Roman" w:hAnsi="Times New Roman" w:cs="Times New Roman"/>
          <w:color w:val="1B1D1F"/>
          <w:sz w:val="24"/>
        </w:rPr>
        <w:t>-</w:t>
      </w:r>
      <w:r w:rsidR="00DE63E0">
        <w:rPr>
          <w:rFonts w:ascii="Times New Roman" w:hAnsi="Times New Roman" w:cs="Times New Roman"/>
          <w:color w:val="1B1D1F"/>
          <w:sz w:val="24"/>
        </w:rPr>
        <w:t> </w:t>
      </w:r>
      <w:r w:rsidR="00587130" w:rsidRPr="009905B5">
        <w:rPr>
          <w:rFonts w:ascii="Times New Roman" w:hAnsi="Times New Roman" w:cs="Times New Roman"/>
          <w:color w:val="1B1D1F"/>
          <w:sz w:val="24"/>
        </w:rPr>
        <w:t>10% no Latvijas OAP mērķa</w:t>
      </w:r>
      <w:r w:rsidRPr="009905B5">
        <w:rPr>
          <w:rFonts w:ascii="Times New Roman" w:hAnsi="Times New Roman" w:cs="Times New Roman"/>
          <w:color w:val="1B1D1F"/>
          <w:sz w:val="24"/>
        </w:rPr>
        <w:t xml:space="preserve">. </w:t>
      </w:r>
    </w:p>
    <w:p w14:paraId="1C230451" w14:textId="77777777" w:rsidR="00C6786A" w:rsidRDefault="00C6786A" w:rsidP="002D27A8">
      <w:pPr>
        <w:spacing w:before="160" w:line="240" w:lineRule="auto"/>
        <w:jc w:val="both"/>
        <w:rPr>
          <w:rFonts w:ascii="Times New Roman" w:hAnsi="Times New Roman" w:cs="Times New Roman"/>
          <w:b/>
          <w:color w:val="1B1D1F"/>
          <w:sz w:val="24"/>
          <w:szCs w:val="24"/>
        </w:rPr>
      </w:pPr>
    </w:p>
    <w:p w14:paraId="1243A92F" w14:textId="77777777" w:rsidR="00C6786A" w:rsidRDefault="00C6786A" w:rsidP="002D27A8">
      <w:pPr>
        <w:spacing w:before="160" w:line="240" w:lineRule="auto"/>
        <w:jc w:val="both"/>
        <w:rPr>
          <w:rFonts w:ascii="Times New Roman" w:hAnsi="Times New Roman" w:cs="Times New Roman"/>
          <w:b/>
          <w:color w:val="1B1D1F"/>
          <w:sz w:val="24"/>
          <w:szCs w:val="24"/>
        </w:rPr>
      </w:pPr>
    </w:p>
    <w:p w14:paraId="2F567A6C" w14:textId="77777777" w:rsidR="00C6786A" w:rsidRDefault="00C6786A" w:rsidP="002D27A8">
      <w:pPr>
        <w:spacing w:before="160" w:line="240" w:lineRule="auto"/>
        <w:jc w:val="both"/>
        <w:rPr>
          <w:rFonts w:ascii="Times New Roman" w:hAnsi="Times New Roman" w:cs="Times New Roman"/>
          <w:b/>
          <w:color w:val="1B1D1F"/>
          <w:sz w:val="24"/>
          <w:szCs w:val="24"/>
        </w:rPr>
      </w:pPr>
    </w:p>
    <w:p w14:paraId="4D9DB337" w14:textId="77777777" w:rsidR="00C6786A" w:rsidRDefault="00C6786A" w:rsidP="002D27A8">
      <w:pPr>
        <w:spacing w:before="160" w:line="240" w:lineRule="auto"/>
        <w:jc w:val="both"/>
        <w:rPr>
          <w:rFonts w:ascii="Times New Roman" w:hAnsi="Times New Roman" w:cs="Times New Roman"/>
          <w:b/>
          <w:color w:val="1B1D1F"/>
          <w:sz w:val="24"/>
          <w:szCs w:val="24"/>
        </w:rPr>
      </w:pPr>
    </w:p>
    <w:p w14:paraId="1801D392" w14:textId="77777777" w:rsidR="00C6786A" w:rsidRDefault="00C6786A" w:rsidP="002D27A8">
      <w:pPr>
        <w:spacing w:before="160" w:line="240" w:lineRule="auto"/>
        <w:jc w:val="both"/>
        <w:rPr>
          <w:rFonts w:ascii="Times New Roman" w:hAnsi="Times New Roman" w:cs="Times New Roman"/>
          <w:b/>
          <w:color w:val="1B1D1F"/>
          <w:sz w:val="24"/>
          <w:szCs w:val="24"/>
        </w:rPr>
      </w:pPr>
    </w:p>
    <w:p w14:paraId="499AFD66" w14:textId="3E7E8D5C" w:rsidR="0091170F" w:rsidRPr="00AC7B06" w:rsidRDefault="00B104B1" w:rsidP="002D27A8">
      <w:pPr>
        <w:spacing w:before="160" w:line="240" w:lineRule="auto"/>
        <w:jc w:val="both"/>
        <w:rPr>
          <w:rFonts w:ascii="Times New Roman" w:hAnsi="Times New Roman" w:cs="Times New Roman"/>
          <w:color w:val="1B1D1F"/>
          <w:sz w:val="24"/>
        </w:rPr>
      </w:pPr>
      <w:r w:rsidRPr="009905B5">
        <w:rPr>
          <w:rFonts w:ascii="Times New Roman" w:hAnsi="Times New Roman" w:cs="Times New Roman"/>
          <w:b/>
          <w:color w:val="1B1D1F"/>
          <w:sz w:val="24"/>
          <w:szCs w:val="24"/>
        </w:rPr>
        <w:lastRenderedPageBreak/>
        <w:t>Tabul</w:t>
      </w:r>
      <w:r w:rsidR="00520EA4" w:rsidRPr="009905B5">
        <w:rPr>
          <w:rFonts w:ascii="Times New Roman" w:hAnsi="Times New Roman" w:cs="Times New Roman"/>
          <w:b/>
          <w:color w:val="1B1D1F"/>
          <w:sz w:val="24"/>
          <w:szCs w:val="24"/>
        </w:rPr>
        <w:t xml:space="preserve">a Nr. </w:t>
      </w:r>
      <w:r w:rsidR="00CA7B52">
        <w:rPr>
          <w:rFonts w:ascii="Times New Roman" w:hAnsi="Times New Roman" w:cs="Times New Roman"/>
          <w:b/>
          <w:color w:val="1B1D1F"/>
          <w:sz w:val="24"/>
          <w:szCs w:val="24"/>
        </w:rPr>
        <w:t>5</w:t>
      </w:r>
      <w:r w:rsidR="00520EA4" w:rsidRPr="009905B5">
        <w:rPr>
          <w:rFonts w:ascii="Times New Roman" w:hAnsi="Times New Roman" w:cs="Times New Roman"/>
          <w:b/>
          <w:color w:val="1B1D1F"/>
          <w:sz w:val="24"/>
          <w:szCs w:val="24"/>
        </w:rPr>
        <w:t>.</w:t>
      </w:r>
      <w:r w:rsidR="002E253A">
        <w:rPr>
          <w:rFonts w:ascii="Times New Roman" w:hAnsi="Times New Roman" w:cs="Times New Roman"/>
          <w:b/>
          <w:color w:val="1B1D1F"/>
          <w:sz w:val="24"/>
          <w:szCs w:val="24"/>
        </w:rPr>
        <w:t xml:space="preserve"> </w:t>
      </w:r>
      <w:r w:rsidR="00520EA4" w:rsidRPr="009905B5">
        <w:rPr>
          <w:rFonts w:ascii="Times New Roman" w:hAnsi="Times New Roman" w:cs="Times New Roman"/>
          <w:b/>
          <w:color w:val="1B1D1F"/>
          <w:sz w:val="24"/>
          <w:szCs w:val="24"/>
        </w:rPr>
        <w:t>B</w:t>
      </w:r>
      <w:r w:rsidR="00520EA4" w:rsidRPr="009905B5">
        <w:rPr>
          <w:rFonts w:ascii="Times New Roman" w:hAnsi="Times New Roman" w:cs="Times New Roman"/>
          <w:b/>
          <w:sz w:val="24"/>
          <w:szCs w:val="28"/>
        </w:rPr>
        <w:t>udžeta programmas “Attīstības sadarbības projekti un starptautiskā palīdzība” finansējuma palielināšana modeļi</w:t>
      </w:r>
    </w:p>
    <w:tbl>
      <w:tblPr>
        <w:tblStyle w:val="TableGrid"/>
        <w:tblW w:w="8725" w:type="dxa"/>
        <w:tblLook w:val="04A0" w:firstRow="1" w:lastRow="0" w:firstColumn="1" w:lastColumn="0" w:noHBand="0" w:noVBand="1"/>
      </w:tblPr>
      <w:tblGrid>
        <w:gridCol w:w="3993"/>
        <w:gridCol w:w="989"/>
        <w:gridCol w:w="989"/>
        <w:gridCol w:w="918"/>
        <w:gridCol w:w="918"/>
        <w:gridCol w:w="918"/>
      </w:tblGrid>
      <w:tr w:rsidR="0091170F" w:rsidRPr="009905B5" w14:paraId="23A87DC0" w14:textId="77777777" w:rsidTr="002D27A8">
        <w:tc>
          <w:tcPr>
            <w:tcW w:w="3993" w:type="dxa"/>
          </w:tcPr>
          <w:p w14:paraId="59F80A05" w14:textId="77777777" w:rsidR="0091170F" w:rsidRPr="00633422" w:rsidRDefault="0091170F" w:rsidP="00C05614">
            <w:pPr>
              <w:jc w:val="both"/>
              <w:rPr>
                <w:rFonts w:ascii="Times New Roman" w:hAnsi="Times New Roman" w:cs="Times New Roman"/>
                <w:b/>
                <w:color w:val="1B1D1F"/>
              </w:rPr>
            </w:pPr>
          </w:p>
        </w:tc>
        <w:tc>
          <w:tcPr>
            <w:tcW w:w="989" w:type="dxa"/>
          </w:tcPr>
          <w:p w14:paraId="1BA54519" w14:textId="77777777" w:rsidR="0091170F" w:rsidRPr="00633422" w:rsidRDefault="0091170F" w:rsidP="00C05614">
            <w:pPr>
              <w:jc w:val="both"/>
              <w:rPr>
                <w:rFonts w:ascii="Times New Roman" w:hAnsi="Times New Roman" w:cs="Times New Roman"/>
                <w:b/>
                <w:color w:val="1B1D1F"/>
              </w:rPr>
            </w:pPr>
            <w:r w:rsidRPr="00633422">
              <w:rPr>
                <w:rFonts w:ascii="Times New Roman" w:hAnsi="Times New Roman" w:cs="Times New Roman"/>
                <w:b/>
                <w:color w:val="1B1D1F"/>
              </w:rPr>
              <w:t>2021</w:t>
            </w:r>
          </w:p>
        </w:tc>
        <w:tc>
          <w:tcPr>
            <w:tcW w:w="989" w:type="dxa"/>
          </w:tcPr>
          <w:p w14:paraId="2E589D69" w14:textId="77777777" w:rsidR="0091170F" w:rsidRPr="00633422" w:rsidRDefault="0091170F" w:rsidP="00C05614">
            <w:pPr>
              <w:jc w:val="both"/>
              <w:rPr>
                <w:rFonts w:ascii="Times New Roman" w:hAnsi="Times New Roman" w:cs="Times New Roman"/>
                <w:b/>
                <w:color w:val="1B1D1F"/>
              </w:rPr>
            </w:pPr>
            <w:r w:rsidRPr="00633422">
              <w:rPr>
                <w:rFonts w:ascii="Times New Roman" w:hAnsi="Times New Roman" w:cs="Times New Roman"/>
                <w:b/>
                <w:color w:val="1B1D1F"/>
              </w:rPr>
              <w:t>2022</w:t>
            </w:r>
          </w:p>
        </w:tc>
        <w:tc>
          <w:tcPr>
            <w:tcW w:w="918" w:type="dxa"/>
            <w:shd w:val="clear" w:color="auto" w:fill="FFFFFF" w:themeFill="background1"/>
          </w:tcPr>
          <w:p w14:paraId="189B8A02"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2023</w:t>
            </w:r>
          </w:p>
        </w:tc>
        <w:tc>
          <w:tcPr>
            <w:tcW w:w="918" w:type="dxa"/>
            <w:shd w:val="clear" w:color="auto" w:fill="FFFFFF" w:themeFill="background1"/>
          </w:tcPr>
          <w:p w14:paraId="220A1F6F"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2024</w:t>
            </w:r>
          </w:p>
        </w:tc>
        <w:tc>
          <w:tcPr>
            <w:tcW w:w="918" w:type="dxa"/>
            <w:tcBorders>
              <w:right w:val="single" w:sz="4" w:space="0" w:color="auto"/>
            </w:tcBorders>
            <w:shd w:val="clear" w:color="auto" w:fill="FFFFFF" w:themeFill="background1"/>
          </w:tcPr>
          <w:p w14:paraId="79649B58" w14:textId="77777777" w:rsidR="0091170F" w:rsidRPr="00633422" w:rsidRDefault="0091170F" w:rsidP="00C05614">
            <w:pPr>
              <w:jc w:val="both"/>
              <w:rPr>
                <w:rFonts w:ascii="Times New Roman" w:hAnsi="Times New Roman" w:cs="Times New Roman"/>
                <w:b/>
              </w:rPr>
            </w:pPr>
            <w:r w:rsidRPr="00633422">
              <w:rPr>
                <w:rFonts w:ascii="Times New Roman" w:hAnsi="Times New Roman" w:cs="Times New Roman"/>
                <w:b/>
              </w:rPr>
              <w:t>2025</w:t>
            </w:r>
          </w:p>
        </w:tc>
      </w:tr>
      <w:tr w:rsidR="0091170F" w:rsidRPr="009905B5" w14:paraId="55D75A7A" w14:textId="77777777" w:rsidTr="002D27A8">
        <w:tc>
          <w:tcPr>
            <w:tcW w:w="3993" w:type="dxa"/>
            <w:tcBorders>
              <w:bottom w:val="single" w:sz="4" w:space="0" w:color="auto"/>
            </w:tcBorders>
          </w:tcPr>
          <w:p w14:paraId="11ECEF1E"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NK</w:t>
            </w:r>
            <w:r w:rsidR="00F82714" w:rsidRPr="00633422">
              <w:rPr>
                <w:rFonts w:ascii="Times New Roman" w:hAnsi="Times New Roman" w:cs="Times New Roman"/>
                <w:color w:val="1B1D1F"/>
              </w:rPr>
              <w:t>I</w:t>
            </w:r>
            <w:r w:rsidRPr="00633422">
              <w:rPr>
                <w:rFonts w:ascii="Times New Roman" w:hAnsi="Times New Roman" w:cs="Times New Roman"/>
                <w:color w:val="1B1D1F"/>
              </w:rPr>
              <w:t xml:space="preserve"> (milj. EUR)</w:t>
            </w:r>
            <w:r w:rsidR="00F82714" w:rsidRPr="00633422">
              <w:rPr>
                <w:rStyle w:val="FootnoteReference"/>
                <w:rFonts w:ascii="Times New Roman" w:hAnsi="Times New Roman" w:cs="Times New Roman"/>
                <w:color w:val="1B1D1F"/>
              </w:rPr>
              <w:footnoteReference w:id="30"/>
            </w:r>
          </w:p>
        </w:tc>
        <w:tc>
          <w:tcPr>
            <w:tcW w:w="989" w:type="dxa"/>
            <w:tcBorders>
              <w:bottom w:val="single" w:sz="4" w:space="0" w:color="auto"/>
            </w:tcBorders>
          </w:tcPr>
          <w:p w14:paraId="499E067F"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34 658</w:t>
            </w:r>
          </w:p>
        </w:tc>
        <w:tc>
          <w:tcPr>
            <w:tcW w:w="989" w:type="dxa"/>
            <w:tcBorders>
              <w:bottom w:val="single" w:sz="4" w:space="0" w:color="auto"/>
            </w:tcBorders>
          </w:tcPr>
          <w:p w14:paraId="4E6C239B"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36 482</w:t>
            </w:r>
          </w:p>
        </w:tc>
        <w:tc>
          <w:tcPr>
            <w:tcW w:w="918" w:type="dxa"/>
            <w:tcBorders>
              <w:bottom w:val="single" w:sz="4" w:space="0" w:color="auto"/>
            </w:tcBorders>
            <w:shd w:val="clear" w:color="auto" w:fill="FFFFFF" w:themeFill="background1"/>
          </w:tcPr>
          <w:p w14:paraId="259ED99C"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38 333</w:t>
            </w:r>
          </w:p>
        </w:tc>
        <w:tc>
          <w:tcPr>
            <w:tcW w:w="918" w:type="dxa"/>
            <w:tcBorders>
              <w:bottom w:val="single" w:sz="4" w:space="0" w:color="auto"/>
            </w:tcBorders>
            <w:shd w:val="clear" w:color="auto" w:fill="FFFFFF" w:themeFill="background1"/>
          </w:tcPr>
          <w:p w14:paraId="5A0F0984"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40 256</w:t>
            </w:r>
          </w:p>
        </w:tc>
        <w:tc>
          <w:tcPr>
            <w:tcW w:w="918" w:type="dxa"/>
            <w:tcBorders>
              <w:bottom w:val="single" w:sz="4" w:space="0" w:color="auto"/>
              <w:right w:val="single" w:sz="4" w:space="0" w:color="auto"/>
            </w:tcBorders>
            <w:shd w:val="clear" w:color="auto" w:fill="FFFFFF" w:themeFill="background1"/>
          </w:tcPr>
          <w:p w14:paraId="0DECF09C"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42 265</w:t>
            </w:r>
          </w:p>
        </w:tc>
      </w:tr>
      <w:tr w:rsidR="0091170F" w:rsidRPr="009905B5" w14:paraId="4A263380" w14:textId="77777777" w:rsidTr="002D27A8">
        <w:trPr>
          <w:trHeight w:val="135"/>
        </w:trPr>
        <w:tc>
          <w:tcPr>
            <w:tcW w:w="3993" w:type="dxa"/>
            <w:tcBorders>
              <w:bottom w:val="single" w:sz="12" w:space="0" w:color="auto"/>
            </w:tcBorders>
          </w:tcPr>
          <w:p w14:paraId="41B6D0F0"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0.01% izteikts milj. EUR</w:t>
            </w:r>
          </w:p>
        </w:tc>
        <w:tc>
          <w:tcPr>
            <w:tcW w:w="989" w:type="dxa"/>
            <w:tcBorders>
              <w:bottom w:val="single" w:sz="12" w:space="0" w:color="auto"/>
            </w:tcBorders>
          </w:tcPr>
          <w:p w14:paraId="1D7A6021" w14:textId="77777777" w:rsidR="0091170F"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3,47</w:t>
            </w:r>
          </w:p>
        </w:tc>
        <w:tc>
          <w:tcPr>
            <w:tcW w:w="989" w:type="dxa"/>
            <w:tcBorders>
              <w:bottom w:val="single" w:sz="12" w:space="0" w:color="auto"/>
            </w:tcBorders>
          </w:tcPr>
          <w:p w14:paraId="7AC69CC3"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3,6</w:t>
            </w:r>
            <w:r w:rsidR="00925299" w:rsidRPr="00633422">
              <w:rPr>
                <w:rFonts w:ascii="Times New Roman" w:hAnsi="Times New Roman" w:cs="Times New Roman"/>
                <w:color w:val="1B1D1F"/>
              </w:rPr>
              <w:t>5</w:t>
            </w:r>
          </w:p>
        </w:tc>
        <w:tc>
          <w:tcPr>
            <w:tcW w:w="918" w:type="dxa"/>
            <w:tcBorders>
              <w:bottom w:val="single" w:sz="12" w:space="0" w:color="auto"/>
            </w:tcBorders>
            <w:shd w:val="clear" w:color="auto" w:fill="FFFFFF" w:themeFill="background1"/>
          </w:tcPr>
          <w:p w14:paraId="3078EFAF"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3,8</w:t>
            </w:r>
            <w:r w:rsidR="00925299" w:rsidRPr="00633422">
              <w:rPr>
                <w:rFonts w:ascii="Times New Roman" w:hAnsi="Times New Roman" w:cs="Times New Roman"/>
              </w:rPr>
              <w:t>3</w:t>
            </w:r>
          </w:p>
        </w:tc>
        <w:tc>
          <w:tcPr>
            <w:tcW w:w="918" w:type="dxa"/>
            <w:tcBorders>
              <w:bottom w:val="single" w:sz="12" w:space="0" w:color="auto"/>
            </w:tcBorders>
            <w:shd w:val="clear" w:color="auto" w:fill="FFFFFF" w:themeFill="background1"/>
          </w:tcPr>
          <w:p w14:paraId="2A8FD661"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4</w:t>
            </w:r>
            <w:r w:rsidR="00925299" w:rsidRPr="00633422">
              <w:rPr>
                <w:rFonts w:ascii="Times New Roman" w:hAnsi="Times New Roman" w:cs="Times New Roman"/>
              </w:rPr>
              <w:t>,03</w:t>
            </w:r>
          </w:p>
        </w:tc>
        <w:tc>
          <w:tcPr>
            <w:tcW w:w="918" w:type="dxa"/>
            <w:tcBorders>
              <w:bottom w:val="single" w:sz="12" w:space="0" w:color="auto"/>
              <w:right w:val="single" w:sz="4" w:space="0" w:color="auto"/>
            </w:tcBorders>
            <w:shd w:val="clear" w:color="auto" w:fill="FFFFFF" w:themeFill="background1"/>
          </w:tcPr>
          <w:p w14:paraId="6B201DDA" w14:textId="77777777" w:rsidR="0091170F" w:rsidRPr="00633422" w:rsidRDefault="007865FA" w:rsidP="00C05614">
            <w:pPr>
              <w:jc w:val="both"/>
              <w:rPr>
                <w:rFonts w:ascii="Times New Roman" w:hAnsi="Times New Roman" w:cs="Times New Roman"/>
              </w:rPr>
            </w:pPr>
            <w:r w:rsidRPr="00633422">
              <w:rPr>
                <w:rFonts w:ascii="Times New Roman" w:hAnsi="Times New Roman" w:cs="Times New Roman"/>
              </w:rPr>
              <w:t>4,2</w:t>
            </w:r>
            <w:r w:rsidR="00925299" w:rsidRPr="00633422">
              <w:rPr>
                <w:rFonts w:ascii="Times New Roman" w:hAnsi="Times New Roman" w:cs="Times New Roman"/>
              </w:rPr>
              <w:t>3</w:t>
            </w:r>
          </w:p>
        </w:tc>
      </w:tr>
      <w:tr w:rsidR="0091170F" w:rsidRPr="009905B5" w14:paraId="0472B000" w14:textId="77777777" w:rsidTr="00E42A79">
        <w:tc>
          <w:tcPr>
            <w:tcW w:w="3993" w:type="dxa"/>
            <w:tcBorders>
              <w:top w:val="single" w:sz="4" w:space="0" w:color="auto"/>
              <w:bottom w:val="single" w:sz="4" w:space="0" w:color="auto"/>
            </w:tcBorders>
            <w:shd w:val="clear" w:color="auto" w:fill="F2F2F2" w:themeFill="background1" w:themeFillShade="F2"/>
          </w:tcPr>
          <w:p w14:paraId="3692805B" w14:textId="77777777" w:rsidR="0091170F" w:rsidRPr="00633422" w:rsidRDefault="0091170F" w:rsidP="00C05614">
            <w:pPr>
              <w:jc w:val="right"/>
              <w:rPr>
                <w:rFonts w:ascii="Times New Roman" w:hAnsi="Times New Roman" w:cs="Times New Roman"/>
                <w:b/>
                <w:color w:val="1B1D1F"/>
              </w:rPr>
            </w:pPr>
            <w:r w:rsidRPr="00633422">
              <w:rPr>
                <w:rFonts w:ascii="Times New Roman" w:hAnsi="Times New Roman" w:cs="Times New Roman"/>
                <w:b/>
                <w:color w:val="1B1D1F"/>
              </w:rPr>
              <w:t>OAP/NKI% - MODELIS 1</w:t>
            </w:r>
          </w:p>
          <w:p w14:paraId="2D52E825" w14:textId="77777777" w:rsidR="0091170F" w:rsidRPr="00633422" w:rsidRDefault="0091170F" w:rsidP="00C05614">
            <w:pPr>
              <w:jc w:val="right"/>
              <w:rPr>
                <w:rFonts w:ascii="Times New Roman" w:hAnsi="Times New Roman" w:cs="Times New Roman"/>
                <w:i/>
                <w:color w:val="1B1D1F"/>
              </w:rPr>
            </w:pPr>
            <w:r w:rsidRPr="00633422">
              <w:rPr>
                <w:rFonts w:ascii="Times New Roman" w:hAnsi="Times New Roman" w:cs="Times New Roman"/>
                <w:i/>
                <w:color w:val="1B1D1F"/>
              </w:rPr>
              <w:t>“Pusceļā līdz 2030 mērķim”</w:t>
            </w:r>
          </w:p>
        </w:tc>
        <w:tc>
          <w:tcPr>
            <w:tcW w:w="989" w:type="dxa"/>
            <w:tcBorders>
              <w:top w:val="single" w:sz="4" w:space="0" w:color="auto"/>
              <w:bottom w:val="single" w:sz="4" w:space="0" w:color="auto"/>
            </w:tcBorders>
            <w:shd w:val="clear" w:color="auto" w:fill="F2F2F2" w:themeFill="background1" w:themeFillShade="F2"/>
          </w:tcPr>
          <w:p w14:paraId="60A0990C"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0.11</w:t>
            </w:r>
          </w:p>
        </w:tc>
        <w:tc>
          <w:tcPr>
            <w:tcW w:w="989" w:type="dxa"/>
            <w:tcBorders>
              <w:top w:val="single" w:sz="4" w:space="0" w:color="auto"/>
              <w:bottom w:val="single" w:sz="4" w:space="0" w:color="auto"/>
            </w:tcBorders>
            <w:shd w:val="clear" w:color="auto" w:fill="F2F2F2" w:themeFill="background1" w:themeFillShade="F2"/>
          </w:tcPr>
          <w:p w14:paraId="0C1C57C0"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0.12</w:t>
            </w:r>
          </w:p>
        </w:tc>
        <w:tc>
          <w:tcPr>
            <w:tcW w:w="918" w:type="dxa"/>
            <w:tcBorders>
              <w:top w:val="single" w:sz="4" w:space="0" w:color="auto"/>
              <w:bottom w:val="single" w:sz="4" w:space="0" w:color="auto"/>
            </w:tcBorders>
            <w:shd w:val="clear" w:color="auto" w:fill="F2F2F2" w:themeFill="background1" w:themeFillShade="F2"/>
          </w:tcPr>
          <w:p w14:paraId="365F13ED"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0.13</w:t>
            </w:r>
          </w:p>
        </w:tc>
        <w:tc>
          <w:tcPr>
            <w:tcW w:w="918" w:type="dxa"/>
            <w:tcBorders>
              <w:top w:val="single" w:sz="4" w:space="0" w:color="auto"/>
              <w:bottom w:val="single" w:sz="4" w:space="0" w:color="auto"/>
            </w:tcBorders>
            <w:shd w:val="clear" w:color="auto" w:fill="F2F2F2" w:themeFill="background1" w:themeFillShade="F2"/>
          </w:tcPr>
          <w:p w14:paraId="788C4742"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0.15</w:t>
            </w:r>
          </w:p>
        </w:tc>
        <w:tc>
          <w:tcPr>
            <w:tcW w:w="918" w:type="dxa"/>
            <w:tcBorders>
              <w:top w:val="single" w:sz="4" w:space="0" w:color="auto"/>
              <w:bottom w:val="single" w:sz="4" w:space="0" w:color="auto"/>
              <w:right w:val="single" w:sz="4" w:space="0" w:color="auto"/>
            </w:tcBorders>
            <w:shd w:val="clear" w:color="auto" w:fill="F2F2F2" w:themeFill="background1" w:themeFillShade="F2"/>
          </w:tcPr>
          <w:p w14:paraId="389698DA" w14:textId="77777777" w:rsidR="0091170F" w:rsidRPr="00633422" w:rsidRDefault="0091170F" w:rsidP="00C05614">
            <w:pPr>
              <w:jc w:val="both"/>
              <w:rPr>
                <w:rFonts w:ascii="Times New Roman" w:hAnsi="Times New Roman" w:cs="Times New Roman"/>
                <w:color w:val="1B1D1F"/>
              </w:rPr>
            </w:pPr>
            <w:r w:rsidRPr="00633422">
              <w:rPr>
                <w:rFonts w:ascii="Times New Roman" w:hAnsi="Times New Roman" w:cs="Times New Roman"/>
                <w:color w:val="1B1D1F"/>
              </w:rPr>
              <w:t>0.17</w:t>
            </w:r>
          </w:p>
        </w:tc>
      </w:tr>
      <w:tr w:rsidR="007865FA" w:rsidRPr="009905B5" w14:paraId="1087ED87" w14:textId="77777777" w:rsidTr="00E42A79">
        <w:tc>
          <w:tcPr>
            <w:tcW w:w="3993" w:type="dxa"/>
            <w:tcBorders>
              <w:bottom w:val="single" w:sz="4" w:space="0" w:color="auto"/>
            </w:tcBorders>
            <w:shd w:val="clear" w:color="auto" w:fill="F2F2F2" w:themeFill="background1" w:themeFillShade="F2"/>
          </w:tcPr>
          <w:p w14:paraId="3ED6AA72" w14:textId="77777777" w:rsidR="007865FA" w:rsidRPr="00633422" w:rsidRDefault="007865FA" w:rsidP="00C05614">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89" w:type="dxa"/>
            <w:tcBorders>
              <w:bottom w:val="single" w:sz="4" w:space="0" w:color="auto"/>
            </w:tcBorders>
            <w:shd w:val="clear" w:color="auto" w:fill="F2F2F2" w:themeFill="background1" w:themeFillShade="F2"/>
          </w:tcPr>
          <w:p w14:paraId="4C55A4F7" w14:textId="77777777"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38,12</w:t>
            </w:r>
          </w:p>
        </w:tc>
        <w:tc>
          <w:tcPr>
            <w:tcW w:w="989" w:type="dxa"/>
            <w:tcBorders>
              <w:bottom w:val="single" w:sz="4" w:space="0" w:color="auto"/>
            </w:tcBorders>
            <w:shd w:val="clear" w:color="auto" w:fill="F2F2F2" w:themeFill="background1" w:themeFillShade="F2"/>
          </w:tcPr>
          <w:p w14:paraId="0CA6717F" w14:textId="77777777" w:rsidR="007865FA" w:rsidRPr="00633422" w:rsidRDefault="00925299" w:rsidP="00C05614">
            <w:pPr>
              <w:jc w:val="both"/>
              <w:rPr>
                <w:rFonts w:ascii="Times New Roman" w:hAnsi="Times New Roman" w:cs="Times New Roman"/>
                <w:color w:val="1B1D1F"/>
              </w:rPr>
            </w:pPr>
            <w:r w:rsidRPr="00633422">
              <w:rPr>
                <w:rFonts w:ascii="Times New Roman" w:hAnsi="Times New Roman" w:cs="Times New Roman"/>
                <w:color w:val="1B1D1F"/>
              </w:rPr>
              <w:t>43,78</w:t>
            </w:r>
          </w:p>
        </w:tc>
        <w:tc>
          <w:tcPr>
            <w:tcW w:w="918" w:type="dxa"/>
            <w:tcBorders>
              <w:bottom w:val="single" w:sz="4" w:space="0" w:color="auto"/>
            </w:tcBorders>
            <w:shd w:val="clear" w:color="auto" w:fill="F2F2F2" w:themeFill="background1" w:themeFillShade="F2"/>
          </w:tcPr>
          <w:p w14:paraId="685CDFD7" w14:textId="77777777" w:rsidR="007865FA" w:rsidRPr="00633422" w:rsidRDefault="00925299" w:rsidP="00C05614">
            <w:pPr>
              <w:jc w:val="both"/>
              <w:rPr>
                <w:rFonts w:ascii="Times New Roman" w:hAnsi="Times New Roman" w:cs="Times New Roman"/>
                <w:i/>
                <w:color w:val="1B1D1F"/>
              </w:rPr>
            </w:pPr>
            <w:r w:rsidRPr="00633422">
              <w:rPr>
                <w:rFonts w:ascii="Times New Roman" w:hAnsi="Times New Roman" w:cs="Times New Roman"/>
                <w:color w:val="1B1D1F"/>
              </w:rPr>
              <w:t>49,83</w:t>
            </w:r>
          </w:p>
        </w:tc>
        <w:tc>
          <w:tcPr>
            <w:tcW w:w="918" w:type="dxa"/>
            <w:tcBorders>
              <w:bottom w:val="single" w:sz="4" w:space="0" w:color="auto"/>
            </w:tcBorders>
            <w:shd w:val="clear" w:color="auto" w:fill="F2F2F2" w:themeFill="background1" w:themeFillShade="F2"/>
          </w:tcPr>
          <w:p w14:paraId="4E04189E" w14:textId="77777777"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60</w:t>
            </w:r>
            <w:r w:rsidR="00925299" w:rsidRPr="00633422">
              <w:rPr>
                <w:rFonts w:ascii="Times New Roman" w:hAnsi="Times New Roman" w:cs="Times New Roman"/>
                <w:color w:val="1B1D1F"/>
              </w:rPr>
              <w:t>,38</w:t>
            </w:r>
          </w:p>
        </w:tc>
        <w:tc>
          <w:tcPr>
            <w:tcW w:w="918" w:type="dxa"/>
            <w:tcBorders>
              <w:bottom w:val="single" w:sz="4" w:space="0" w:color="auto"/>
              <w:right w:val="single" w:sz="4" w:space="0" w:color="auto"/>
            </w:tcBorders>
            <w:shd w:val="clear" w:color="auto" w:fill="F2F2F2" w:themeFill="background1" w:themeFillShade="F2"/>
          </w:tcPr>
          <w:p w14:paraId="0E313341" w14:textId="77777777" w:rsidR="007865FA" w:rsidRPr="00633422" w:rsidRDefault="007865FA" w:rsidP="00C05614">
            <w:pPr>
              <w:jc w:val="both"/>
              <w:rPr>
                <w:rFonts w:ascii="Times New Roman" w:hAnsi="Times New Roman" w:cs="Times New Roman"/>
                <w:i/>
                <w:color w:val="1B1D1F"/>
              </w:rPr>
            </w:pPr>
            <w:r w:rsidRPr="00633422">
              <w:rPr>
                <w:rFonts w:ascii="Times New Roman" w:hAnsi="Times New Roman" w:cs="Times New Roman"/>
                <w:color w:val="1B1D1F"/>
              </w:rPr>
              <w:t>71</w:t>
            </w:r>
            <w:r w:rsidR="00925299" w:rsidRPr="00633422">
              <w:rPr>
                <w:rFonts w:ascii="Times New Roman" w:hAnsi="Times New Roman" w:cs="Times New Roman"/>
                <w:color w:val="1B1D1F"/>
              </w:rPr>
              <w:t>,85</w:t>
            </w:r>
          </w:p>
        </w:tc>
      </w:tr>
      <w:tr w:rsidR="007865FA" w:rsidRPr="009905B5" w14:paraId="4BF55E91" w14:textId="77777777" w:rsidTr="00E42A79">
        <w:tc>
          <w:tcPr>
            <w:tcW w:w="3993" w:type="dxa"/>
            <w:tcBorders>
              <w:bottom w:val="single" w:sz="4" w:space="0" w:color="auto"/>
            </w:tcBorders>
            <w:shd w:val="clear" w:color="auto" w:fill="F2F2F2" w:themeFill="background1" w:themeFillShade="F2"/>
          </w:tcPr>
          <w:p w14:paraId="49B00E43" w14:textId="77777777"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 xml:space="preserve">ĀM budžeta programma </w:t>
            </w:r>
            <w:r w:rsidR="00925299" w:rsidRPr="00633422">
              <w:rPr>
                <w:rFonts w:ascii="Times New Roman" w:hAnsi="Times New Roman" w:cs="Times New Roman"/>
                <w:b/>
                <w:color w:val="1B1D1F"/>
              </w:rPr>
              <w:t>5</w:t>
            </w:r>
            <w:r w:rsidRPr="00633422">
              <w:rPr>
                <w:rFonts w:ascii="Times New Roman" w:hAnsi="Times New Roman" w:cs="Times New Roman"/>
                <w:b/>
                <w:color w:val="1B1D1F"/>
              </w:rPr>
              <w:t>% no OAP</w:t>
            </w:r>
            <w:r w:rsidR="00925299" w:rsidRPr="00633422">
              <w:rPr>
                <w:rFonts w:ascii="Times New Roman" w:hAnsi="Times New Roman" w:cs="Times New Roman"/>
                <w:b/>
                <w:color w:val="1B1D1F"/>
              </w:rPr>
              <w:t xml:space="preserve"> </w:t>
            </w:r>
          </w:p>
        </w:tc>
        <w:tc>
          <w:tcPr>
            <w:tcW w:w="989" w:type="dxa"/>
            <w:tcBorders>
              <w:bottom w:val="single" w:sz="4" w:space="0" w:color="auto"/>
            </w:tcBorders>
            <w:shd w:val="clear" w:color="auto" w:fill="F2F2F2" w:themeFill="background1" w:themeFillShade="F2"/>
          </w:tcPr>
          <w:p w14:paraId="021FFF5A"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F2F2F2" w:themeFill="background1" w:themeFillShade="F2"/>
          </w:tcPr>
          <w:p w14:paraId="2093DF76"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F2F2F2" w:themeFill="background1" w:themeFillShade="F2"/>
          </w:tcPr>
          <w:p w14:paraId="63F07B72"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F2F2F2" w:themeFill="background1" w:themeFillShade="F2"/>
          </w:tcPr>
          <w:p w14:paraId="1BBCC37F"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5%</w:t>
            </w:r>
          </w:p>
        </w:tc>
        <w:tc>
          <w:tcPr>
            <w:tcW w:w="918" w:type="dxa"/>
            <w:tcBorders>
              <w:bottom w:val="single" w:sz="4" w:space="0" w:color="auto"/>
              <w:right w:val="single" w:sz="4" w:space="0" w:color="auto"/>
            </w:tcBorders>
            <w:shd w:val="clear" w:color="auto" w:fill="F2F2F2" w:themeFill="background1" w:themeFillShade="F2"/>
          </w:tcPr>
          <w:p w14:paraId="33A49503"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5%</w:t>
            </w:r>
          </w:p>
        </w:tc>
      </w:tr>
      <w:tr w:rsidR="007865FA" w:rsidRPr="009905B5" w14:paraId="4B712AB1" w14:textId="77777777" w:rsidTr="00E42A79">
        <w:tc>
          <w:tcPr>
            <w:tcW w:w="3993" w:type="dxa"/>
            <w:tcBorders>
              <w:top w:val="single" w:sz="4" w:space="0" w:color="auto"/>
              <w:bottom w:val="single" w:sz="4" w:space="0" w:color="auto"/>
            </w:tcBorders>
            <w:shd w:val="clear" w:color="auto" w:fill="F2F2F2" w:themeFill="background1" w:themeFillShade="F2"/>
          </w:tcPr>
          <w:p w14:paraId="1F39CFA6" w14:textId="77777777" w:rsidR="007865FA" w:rsidRPr="00633422" w:rsidRDefault="007865FA" w:rsidP="00C05614">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tcBorders>
              <w:top w:val="single" w:sz="4" w:space="0" w:color="auto"/>
              <w:bottom w:val="single" w:sz="4" w:space="0" w:color="auto"/>
            </w:tcBorders>
            <w:shd w:val="clear" w:color="auto" w:fill="F2F2F2" w:themeFill="background1" w:themeFillShade="F2"/>
          </w:tcPr>
          <w:p w14:paraId="07DFC729" w14:textId="77777777"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1,14</w:t>
            </w:r>
          </w:p>
        </w:tc>
        <w:tc>
          <w:tcPr>
            <w:tcW w:w="989" w:type="dxa"/>
            <w:tcBorders>
              <w:top w:val="single" w:sz="4" w:space="0" w:color="auto"/>
              <w:bottom w:val="single" w:sz="4" w:space="0" w:color="auto"/>
            </w:tcBorders>
            <w:shd w:val="clear" w:color="auto" w:fill="F2F2F2" w:themeFill="background1" w:themeFillShade="F2"/>
          </w:tcPr>
          <w:p w14:paraId="2EE817AF" w14:textId="77777777"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1,75</w:t>
            </w:r>
          </w:p>
        </w:tc>
        <w:tc>
          <w:tcPr>
            <w:tcW w:w="918" w:type="dxa"/>
            <w:tcBorders>
              <w:top w:val="single" w:sz="4" w:space="0" w:color="auto"/>
              <w:bottom w:val="single" w:sz="4" w:space="0" w:color="auto"/>
            </w:tcBorders>
            <w:shd w:val="clear" w:color="auto" w:fill="F2F2F2" w:themeFill="background1" w:themeFillShade="F2"/>
          </w:tcPr>
          <w:p w14:paraId="18E1595C" w14:textId="77777777"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1,99</w:t>
            </w:r>
          </w:p>
        </w:tc>
        <w:tc>
          <w:tcPr>
            <w:tcW w:w="918" w:type="dxa"/>
            <w:tcBorders>
              <w:top w:val="single" w:sz="4" w:space="0" w:color="auto"/>
              <w:bottom w:val="single" w:sz="4" w:space="0" w:color="auto"/>
            </w:tcBorders>
            <w:shd w:val="clear" w:color="auto" w:fill="F2F2F2" w:themeFill="background1" w:themeFillShade="F2"/>
          </w:tcPr>
          <w:p w14:paraId="182DEE86" w14:textId="77777777" w:rsidR="007865FA" w:rsidRPr="00633422" w:rsidRDefault="007865FA" w:rsidP="00C05614">
            <w:pPr>
              <w:jc w:val="both"/>
              <w:rPr>
                <w:rFonts w:ascii="Times New Roman" w:hAnsi="Times New Roman" w:cs="Times New Roman"/>
                <w:b/>
                <w:color w:val="1B1D1F"/>
              </w:rPr>
            </w:pPr>
            <w:r w:rsidRPr="00633422">
              <w:rPr>
                <w:rFonts w:ascii="Times New Roman" w:hAnsi="Times New Roman" w:cs="Times New Roman"/>
                <w:b/>
                <w:color w:val="1B1D1F"/>
              </w:rPr>
              <w:t>3</w:t>
            </w:r>
            <w:r w:rsidR="00925299" w:rsidRPr="00633422">
              <w:rPr>
                <w:rFonts w:ascii="Times New Roman" w:hAnsi="Times New Roman" w:cs="Times New Roman"/>
                <w:b/>
                <w:color w:val="1B1D1F"/>
              </w:rPr>
              <w:t>,02</w:t>
            </w:r>
          </w:p>
        </w:tc>
        <w:tc>
          <w:tcPr>
            <w:tcW w:w="918" w:type="dxa"/>
            <w:tcBorders>
              <w:top w:val="single" w:sz="4" w:space="0" w:color="auto"/>
              <w:bottom w:val="single" w:sz="4" w:space="0" w:color="auto"/>
              <w:right w:val="single" w:sz="4" w:space="0" w:color="auto"/>
            </w:tcBorders>
            <w:shd w:val="clear" w:color="auto" w:fill="F2F2F2" w:themeFill="background1" w:themeFillShade="F2"/>
          </w:tcPr>
          <w:p w14:paraId="352444D3" w14:textId="77777777" w:rsidR="007865FA" w:rsidRPr="00633422" w:rsidRDefault="00925299" w:rsidP="00C05614">
            <w:pPr>
              <w:jc w:val="both"/>
              <w:rPr>
                <w:rFonts w:ascii="Times New Roman" w:hAnsi="Times New Roman" w:cs="Times New Roman"/>
                <w:b/>
                <w:color w:val="1B1D1F"/>
              </w:rPr>
            </w:pPr>
            <w:r w:rsidRPr="00633422">
              <w:rPr>
                <w:rFonts w:ascii="Times New Roman" w:hAnsi="Times New Roman" w:cs="Times New Roman"/>
                <w:b/>
                <w:color w:val="1B1D1F"/>
              </w:rPr>
              <w:t>3,59</w:t>
            </w:r>
          </w:p>
        </w:tc>
      </w:tr>
      <w:tr w:rsidR="00E42A79" w:rsidRPr="009905B5" w14:paraId="5226D4CC" w14:textId="77777777" w:rsidTr="00E42A79">
        <w:tc>
          <w:tcPr>
            <w:tcW w:w="3993" w:type="dxa"/>
            <w:tcBorders>
              <w:top w:val="single" w:sz="4" w:space="0" w:color="auto"/>
              <w:bottom w:val="single" w:sz="4" w:space="0" w:color="auto"/>
            </w:tcBorders>
            <w:shd w:val="clear" w:color="auto" w:fill="F2F2F2" w:themeFill="background1" w:themeFillShade="F2"/>
          </w:tcPr>
          <w:p w14:paraId="4F7FB28C" w14:textId="77777777" w:rsidR="00E42A79" w:rsidRDefault="00E42A79" w:rsidP="00E42A79">
            <w:pPr>
              <w:jc w:val="right"/>
              <w:rPr>
                <w:rFonts w:ascii="Times New Roman" w:hAnsi="Times New Roman" w:cs="Times New Roman"/>
                <w:i/>
                <w:color w:val="1B1D1F"/>
              </w:rPr>
            </w:pPr>
            <w:r w:rsidRPr="004D4436">
              <w:rPr>
                <w:rFonts w:ascii="Times New Roman" w:hAnsi="Times New Roman" w:cs="Times New Roman"/>
                <w:i/>
                <w:color w:val="1B1D1F"/>
              </w:rPr>
              <w:t xml:space="preserve">Papildu nepieciešamais finansējums </w:t>
            </w:r>
          </w:p>
          <w:p w14:paraId="70F1946D" w14:textId="77777777" w:rsidR="00E42A79" w:rsidRPr="00633422" w:rsidRDefault="00E42A79" w:rsidP="00E42A79">
            <w:pPr>
              <w:jc w:val="right"/>
              <w:rPr>
                <w:rFonts w:ascii="Times New Roman" w:hAnsi="Times New Roman" w:cs="Times New Roman"/>
                <w:b/>
                <w:color w:val="1B1D1F"/>
              </w:rPr>
            </w:pPr>
            <w:r w:rsidRPr="004D4436">
              <w:rPr>
                <w:rFonts w:ascii="Times New Roman" w:hAnsi="Times New Roman" w:cs="Times New Roman"/>
                <w:i/>
                <w:color w:val="1B1D1F"/>
              </w:rPr>
              <w:t>(</w:t>
            </w:r>
            <w:r>
              <w:rPr>
                <w:rFonts w:ascii="Times New Roman" w:hAnsi="Times New Roman" w:cs="Times New Roman"/>
                <w:i/>
                <w:color w:val="1B1D1F"/>
              </w:rPr>
              <w:t xml:space="preserve">bāze (2020.g.) - </w:t>
            </w:r>
            <w:r w:rsidRPr="004D4436">
              <w:rPr>
                <w:rFonts w:ascii="Times New Roman" w:hAnsi="Times New Roman" w:cs="Times New Roman"/>
                <w:i/>
                <w:color w:val="1B1D1F"/>
              </w:rPr>
              <w:t>463 813 EUR)</w:t>
            </w:r>
          </w:p>
        </w:tc>
        <w:tc>
          <w:tcPr>
            <w:tcW w:w="989" w:type="dxa"/>
            <w:tcBorders>
              <w:top w:val="single" w:sz="4" w:space="0" w:color="auto"/>
              <w:bottom w:val="single" w:sz="4" w:space="0" w:color="auto"/>
            </w:tcBorders>
            <w:shd w:val="clear" w:color="auto" w:fill="F2F2F2" w:themeFill="background1" w:themeFillShade="F2"/>
          </w:tcPr>
          <w:p w14:paraId="7ED80531"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+0,680</w:t>
            </w:r>
          </w:p>
        </w:tc>
        <w:tc>
          <w:tcPr>
            <w:tcW w:w="989" w:type="dxa"/>
            <w:tcBorders>
              <w:top w:val="single" w:sz="4" w:space="0" w:color="auto"/>
              <w:bottom w:val="single" w:sz="4" w:space="0" w:color="auto"/>
            </w:tcBorders>
            <w:shd w:val="clear" w:color="auto" w:fill="F2F2F2" w:themeFill="background1" w:themeFillShade="F2"/>
          </w:tcPr>
          <w:p w14:paraId="404C22B6"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w:t>
            </w:r>
            <w:r>
              <w:rPr>
                <w:rFonts w:ascii="Times New Roman" w:hAnsi="Times New Roman" w:cs="Times New Roman"/>
                <w:i/>
                <w:color w:val="1B1D1F"/>
              </w:rPr>
              <w:t>1,287</w:t>
            </w:r>
          </w:p>
        </w:tc>
        <w:tc>
          <w:tcPr>
            <w:tcW w:w="918" w:type="dxa"/>
            <w:tcBorders>
              <w:top w:val="single" w:sz="4" w:space="0" w:color="auto"/>
              <w:bottom w:val="single" w:sz="4" w:space="0" w:color="auto"/>
            </w:tcBorders>
            <w:shd w:val="clear" w:color="auto" w:fill="F2F2F2" w:themeFill="background1" w:themeFillShade="F2"/>
          </w:tcPr>
          <w:p w14:paraId="43DC67F9"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b/>
                <w:i/>
                <w:color w:val="1B1D1F"/>
              </w:rPr>
              <w:t>+</w:t>
            </w:r>
            <w:r>
              <w:rPr>
                <w:rFonts w:ascii="Times New Roman" w:hAnsi="Times New Roman" w:cs="Times New Roman"/>
                <w:i/>
                <w:color w:val="1B1D1F"/>
              </w:rPr>
              <w:t>1,530</w:t>
            </w:r>
          </w:p>
        </w:tc>
        <w:tc>
          <w:tcPr>
            <w:tcW w:w="918" w:type="dxa"/>
            <w:tcBorders>
              <w:top w:val="single" w:sz="4" w:space="0" w:color="auto"/>
              <w:bottom w:val="single" w:sz="4" w:space="0" w:color="auto"/>
            </w:tcBorders>
            <w:shd w:val="clear" w:color="auto" w:fill="F2F2F2" w:themeFill="background1" w:themeFillShade="F2"/>
          </w:tcPr>
          <w:p w14:paraId="798D9CB6" w14:textId="77777777" w:rsidR="00E42A79" w:rsidRPr="00633422" w:rsidRDefault="00E42A79" w:rsidP="00E42A79">
            <w:pPr>
              <w:jc w:val="both"/>
              <w:rPr>
                <w:rFonts w:ascii="Times New Roman" w:hAnsi="Times New Roman" w:cs="Times New Roman"/>
                <w:b/>
                <w:i/>
                <w:color w:val="1B1D1F"/>
              </w:rPr>
            </w:pPr>
            <w:r w:rsidRPr="00633422">
              <w:rPr>
                <w:rFonts w:ascii="Times New Roman" w:hAnsi="Times New Roman" w:cs="Times New Roman"/>
                <w:b/>
                <w:i/>
                <w:color w:val="1B1D1F"/>
              </w:rPr>
              <w:t>+</w:t>
            </w:r>
            <w:r>
              <w:rPr>
                <w:rFonts w:ascii="Times New Roman" w:hAnsi="Times New Roman" w:cs="Times New Roman"/>
                <w:i/>
                <w:color w:val="1B1D1F"/>
              </w:rPr>
              <w:t>2,555</w:t>
            </w:r>
          </w:p>
        </w:tc>
        <w:tc>
          <w:tcPr>
            <w:tcW w:w="918" w:type="dxa"/>
            <w:tcBorders>
              <w:top w:val="single" w:sz="4" w:space="0" w:color="auto"/>
              <w:bottom w:val="single" w:sz="4" w:space="0" w:color="auto"/>
              <w:right w:val="single" w:sz="4" w:space="0" w:color="auto"/>
            </w:tcBorders>
            <w:shd w:val="clear" w:color="auto" w:fill="F2F2F2" w:themeFill="background1" w:themeFillShade="F2"/>
          </w:tcPr>
          <w:p w14:paraId="48C1E97A"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w:t>
            </w:r>
            <w:r>
              <w:rPr>
                <w:rFonts w:ascii="Times New Roman" w:hAnsi="Times New Roman" w:cs="Times New Roman"/>
                <w:i/>
                <w:color w:val="1B1D1F"/>
              </w:rPr>
              <w:t>3,129</w:t>
            </w:r>
          </w:p>
        </w:tc>
      </w:tr>
      <w:tr w:rsidR="00E42A79" w:rsidRPr="009905B5" w14:paraId="56C4FC6A" w14:textId="77777777" w:rsidTr="00E42A79">
        <w:tc>
          <w:tcPr>
            <w:tcW w:w="3993" w:type="dxa"/>
            <w:tcBorders>
              <w:top w:val="single" w:sz="4" w:space="0" w:color="auto"/>
              <w:bottom w:val="single" w:sz="4" w:space="0" w:color="auto"/>
            </w:tcBorders>
            <w:shd w:val="clear" w:color="auto" w:fill="D9D9D9" w:themeFill="background1" w:themeFillShade="D9"/>
          </w:tcPr>
          <w:p w14:paraId="36BE6A08"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OAP/NKI% - MODELIS 2</w:t>
            </w:r>
          </w:p>
          <w:p w14:paraId="41F6792B"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i/>
                <w:color w:val="1B1D1F"/>
              </w:rPr>
              <w:t>“Pusceļā līdz 2030 mērķim +</w:t>
            </w:r>
            <w:r w:rsidRPr="00633422">
              <w:rPr>
                <w:rFonts w:ascii="Times New Roman" w:hAnsi="Times New Roman" w:cs="Times New Roman"/>
                <w:color w:val="1B1D1F"/>
              </w:rPr>
              <w:t>”</w:t>
            </w:r>
            <w:r w:rsidRPr="00633422">
              <w:rPr>
                <w:rFonts w:ascii="Times New Roman" w:hAnsi="Times New Roman" w:cs="Times New Roman"/>
                <w:i/>
                <w:color w:val="1B1D1F"/>
              </w:rPr>
              <w:t xml:space="preserve"> </w:t>
            </w:r>
          </w:p>
        </w:tc>
        <w:tc>
          <w:tcPr>
            <w:tcW w:w="989" w:type="dxa"/>
            <w:tcBorders>
              <w:top w:val="single" w:sz="4" w:space="0" w:color="auto"/>
              <w:bottom w:val="single" w:sz="4" w:space="0" w:color="auto"/>
            </w:tcBorders>
            <w:shd w:val="clear" w:color="auto" w:fill="D9D9D9" w:themeFill="background1" w:themeFillShade="D9"/>
          </w:tcPr>
          <w:p w14:paraId="27932C4E"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0.11</w:t>
            </w:r>
          </w:p>
        </w:tc>
        <w:tc>
          <w:tcPr>
            <w:tcW w:w="989" w:type="dxa"/>
            <w:tcBorders>
              <w:top w:val="single" w:sz="4" w:space="0" w:color="auto"/>
              <w:bottom w:val="single" w:sz="4" w:space="0" w:color="auto"/>
            </w:tcBorders>
            <w:shd w:val="clear" w:color="auto" w:fill="D9D9D9" w:themeFill="background1" w:themeFillShade="D9"/>
          </w:tcPr>
          <w:p w14:paraId="54178354"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0.13</w:t>
            </w:r>
          </w:p>
        </w:tc>
        <w:tc>
          <w:tcPr>
            <w:tcW w:w="918" w:type="dxa"/>
            <w:tcBorders>
              <w:top w:val="single" w:sz="4" w:space="0" w:color="auto"/>
              <w:bottom w:val="single" w:sz="4" w:space="0" w:color="auto"/>
            </w:tcBorders>
            <w:shd w:val="clear" w:color="auto" w:fill="D9D9D9" w:themeFill="background1" w:themeFillShade="D9"/>
          </w:tcPr>
          <w:p w14:paraId="251602F0"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0.15</w:t>
            </w:r>
          </w:p>
        </w:tc>
        <w:tc>
          <w:tcPr>
            <w:tcW w:w="918" w:type="dxa"/>
            <w:tcBorders>
              <w:top w:val="single" w:sz="4" w:space="0" w:color="auto"/>
              <w:bottom w:val="single" w:sz="4" w:space="0" w:color="auto"/>
            </w:tcBorders>
            <w:shd w:val="clear" w:color="auto" w:fill="D9D9D9" w:themeFill="background1" w:themeFillShade="D9"/>
          </w:tcPr>
          <w:p w14:paraId="587B675C"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0.17</w:t>
            </w:r>
          </w:p>
        </w:tc>
        <w:tc>
          <w:tcPr>
            <w:tcW w:w="918" w:type="dxa"/>
            <w:tcBorders>
              <w:top w:val="single" w:sz="4" w:space="0" w:color="auto"/>
              <w:bottom w:val="single" w:sz="4" w:space="0" w:color="auto"/>
              <w:right w:val="single" w:sz="4" w:space="0" w:color="auto"/>
            </w:tcBorders>
            <w:shd w:val="clear" w:color="auto" w:fill="D9D9D9" w:themeFill="background1" w:themeFillShade="D9"/>
          </w:tcPr>
          <w:p w14:paraId="11391AC7"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0.19</w:t>
            </w:r>
          </w:p>
        </w:tc>
      </w:tr>
      <w:tr w:rsidR="00E42A79" w:rsidRPr="009905B5" w14:paraId="5DDA2CCC" w14:textId="77777777" w:rsidTr="00E42A79">
        <w:tc>
          <w:tcPr>
            <w:tcW w:w="3993" w:type="dxa"/>
            <w:tcBorders>
              <w:bottom w:val="single" w:sz="4" w:space="0" w:color="auto"/>
            </w:tcBorders>
            <w:shd w:val="clear" w:color="auto" w:fill="D9D9D9" w:themeFill="background1" w:themeFillShade="D9"/>
          </w:tcPr>
          <w:p w14:paraId="5E144A38" w14:textId="77777777" w:rsidR="00E42A79" w:rsidRPr="00633422" w:rsidRDefault="00E42A79" w:rsidP="00E42A79">
            <w:pPr>
              <w:jc w:val="right"/>
              <w:rPr>
                <w:rFonts w:ascii="Times New Roman" w:hAnsi="Times New Roman" w:cs="Times New Roman"/>
                <w:color w:val="1B1D1F"/>
              </w:rPr>
            </w:pPr>
            <w:r w:rsidRPr="00633422">
              <w:rPr>
                <w:rFonts w:ascii="Times New Roman" w:hAnsi="Times New Roman" w:cs="Times New Roman"/>
                <w:color w:val="1B1D1F"/>
              </w:rPr>
              <w:t>milj. EUR</w:t>
            </w:r>
          </w:p>
        </w:tc>
        <w:tc>
          <w:tcPr>
            <w:tcW w:w="989" w:type="dxa"/>
            <w:tcBorders>
              <w:bottom w:val="single" w:sz="4" w:space="0" w:color="auto"/>
            </w:tcBorders>
            <w:shd w:val="clear" w:color="auto" w:fill="D9D9D9" w:themeFill="background1" w:themeFillShade="D9"/>
          </w:tcPr>
          <w:p w14:paraId="4B702CC5"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38,12</w:t>
            </w:r>
          </w:p>
        </w:tc>
        <w:tc>
          <w:tcPr>
            <w:tcW w:w="989" w:type="dxa"/>
            <w:tcBorders>
              <w:bottom w:val="single" w:sz="4" w:space="0" w:color="auto"/>
            </w:tcBorders>
            <w:shd w:val="clear" w:color="auto" w:fill="D9D9D9" w:themeFill="background1" w:themeFillShade="D9"/>
          </w:tcPr>
          <w:p w14:paraId="29726705"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47,43</w:t>
            </w:r>
          </w:p>
        </w:tc>
        <w:tc>
          <w:tcPr>
            <w:tcW w:w="918" w:type="dxa"/>
            <w:tcBorders>
              <w:bottom w:val="single" w:sz="4" w:space="0" w:color="auto"/>
            </w:tcBorders>
            <w:shd w:val="clear" w:color="auto" w:fill="D9D9D9" w:themeFill="background1" w:themeFillShade="D9"/>
          </w:tcPr>
          <w:p w14:paraId="24E70269"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57,50</w:t>
            </w:r>
          </w:p>
        </w:tc>
        <w:tc>
          <w:tcPr>
            <w:tcW w:w="918" w:type="dxa"/>
            <w:tcBorders>
              <w:bottom w:val="single" w:sz="4" w:space="0" w:color="auto"/>
            </w:tcBorders>
            <w:shd w:val="clear" w:color="auto" w:fill="D9D9D9" w:themeFill="background1" w:themeFillShade="D9"/>
          </w:tcPr>
          <w:p w14:paraId="4D543695"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color w:val="1B1D1F"/>
              </w:rPr>
              <w:t>68,44</w:t>
            </w:r>
          </w:p>
        </w:tc>
        <w:tc>
          <w:tcPr>
            <w:tcW w:w="918" w:type="dxa"/>
            <w:tcBorders>
              <w:bottom w:val="single" w:sz="4" w:space="0" w:color="auto"/>
              <w:right w:val="single" w:sz="4" w:space="0" w:color="auto"/>
            </w:tcBorders>
            <w:shd w:val="clear" w:color="auto" w:fill="D9D9D9" w:themeFill="background1" w:themeFillShade="D9"/>
          </w:tcPr>
          <w:p w14:paraId="32BED410"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color w:val="1B1D1F"/>
              </w:rPr>
              <w:t>80,30</w:t>
            </w:r>
          </w:p>
        </w:tc>
      </w:tr>
      <w:tr w:rsidR="00E42A79" w:rsidRPr="009905B5" w14:paraId="0C8B3D90" w14:textId="77777777" w:rsidTr="00E42A79">
        <w:tc>
          <w:tcPr>
            <w:tcW w:w="3993" w:type="dxa"/>
            <w:tcBorders>
              <w:bottom w:val="single" w:sz="4" w:space="0" w:color="auto"/>
            </w:tcBorders>
            <w:shd w:val="clear" w:color="auto" w:fill="D9D9D9" w:themeFill="background1" w:themeFillShade="D9"/>
          </w:tcPr>
          <w:p w14:paraId="15F576C9"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ĀM budžeta programma 7% no OAP</w:t>
            </w:r>
          </w:p>
        </w:tc>
        <w:tc>
          <w:tcPr>
            <w:tcW w:w="989" w:type="dxa"/>
            <w:tcBorders>
              <w:bottom w:val="single" w:sz="4" w:space="0" w:color="auto"/>
            </w:tcBorders>
            <w:shd w:val="clear" w:color="auto" w:fill="D9D9D9" w:themeFill="background1" w:themeFillShade="D9"/>
          </w:tcPr>
          <w:p w14:paraId="04DACD59"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D9D9D9" w:themeFill="background1" w:themeFillShade="D9"/>
          </w:tcPr>
          <w:p w14:paraId="59047804"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D9D9D9" w:themeFill="background1" w:themeFillShade="D9"/>
          </w:tcPr>
          <w:p w14:paraId="1B7D237F"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5%</w:t>
            </w:r>
          </w:p>
        </w:tc>
        <w:tc>
          <w:tcPr>
            <w:tcW w:w="918" w:type="dxa"/>
            <w:tcBorders>
              <w:bottom w:val="single" w:sz="4" w:space="0" w:color="auto"/>
            </w:tcBorders>
            <w:shd w:val="clear" w:color="auto" w:fill="D9D9D9" w:themeFill="background1" w:themeFillShade="D9"/>
          </w:tcPr>
          <w:p w14:paraId="2AC78426"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6%</w:t>
            </w:r>
          </w:p>
        </w:tc>
        <w:tc>
          <w:tcPr>
            <w:tcW w:w="918" w:type="dxa"/>
            <w:tcBorders>
              <w:bottom w:val="single" w:sz="4" w:space="0" w:color="auto"/>
              <w:right w:val="single" w:sz="4" w:space="0" w:color="auto"/>
            </w:tcBorders>
            <w:shd w:val="clear" w:color="auto" w:fill="D9D9D9" w:themeFill="background1" w:themeFillShade="D9"/>
          </w:tcPr>
          <w:p w14:paraId="43256472"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7%</w:t>
            </w:r>
          </w:p>
        </w:tc>
      </w:tr>
      <w:tr w:rsidR="00E42A79" w:rsidRPr="009905B5" w14:paraId="1BF66AA9" w14:textId="77777777" w:rsidTr="00E42A79">
        <w:tc>
          <w:tcPr>
            <w:tcW w:w="3993" w:type="dxa"/>
            <w:tcBorders>
              <w:top w:val="single" w:sz="4" w:space="0" w:color="auto"/>
              <w:bottom w:val="single" w:sz="4" w:space="0" w:color="auto"/>
            </w:tcBorders>
            <w:shd w:val="clear" w:color="auto" w:fill="D9D9D9" w:themeFill="background1" w:themeFillShade="D9"/>
          </w:tcPr>
          <w:p w14:paraId="54C5701D"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tcBorders>
              <w:bottom w:val="single" w:sz="4" w:space="0" w:color="auto"/>
            </w:tcBorders>
            <w:shd w:val="clear" w:color="auto" w:fill="D9D9D9" w:themeFill="background1" w:themeFillShade="D9"/>
          </w:tcPr>
          <w:p w14:paraId="356AE838"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1,14</w:t>
            </w:r>
          </w:p>
        </w:tc>
        <w:tc>
          <w:tcPr>
            <w:tcW w:w="989" w:type="dxa"/>
            <w:tcBorders>
              <w:bottom w:val="single" w:sz="4" w:space="0" w:color="auto"/>
            </w:tcBorders>
            <w:shd w:val="clear" w:color="auto" w:fill="D9D9D9" w:themeFill="background1" w:themeFillShade="D9"/>
          </w:tcPr>
          <w:p w14:paraId="615B8475"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1,90</w:t>
            </w:r>
          </w:p>
        </w:tc>
        <w:tc>
          <w:tcPr>
            <w:tcW w:w="918" w:type="dxa"/>
            <w:tcBorders>
              <w:bottom w:val="single" w:sz="4" w:space="0" w:color="auto"/>
            </w:tcBorders>
            <w:shd w:val="clear" w:color="auto" w:fill="D9D9D9" w:themeFill="background1" w:themeFillShade="D9"/>
          </w:tcPr>
          <w:p w14:paraId="0EF56DB9"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2,87</w:t>
            </w:r>
          </w:p>
        </w:tc>
        <w:tc>
          <w:tcPr>
            <w:tcW w:w="918" w:type="dxa"/>
            <w:tcBorders>
              <w:bottom w:val="single" w:sz="4" w:space="0" w:color="auto"/>
            </w:tcBorders>
            <w:shd w:val="clear" w:color="auto" w:fill="D9D9D9" w:themeFill="background1" w:themeFillShade="D9"/>
          </w:tcPr>
          <w:p w14:paraId="787F174A"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4,11</w:t>
            </w:r>
          </w:p>
        </w:tc>
        <w:tc>
          <w:tcPr>
            <w:tcW w:w="918" w:type="dxa"/>
            <w:tcBorders>
              <w:bottom w:val="single" w:sz="4" w:space="0" w:color="auto"/>
              <w:right w:val="single" w:sz="4" w:space="0" w:color="auto"/>
            </w:tcBorders>
            <w:shd w:val="clear" w:color="auto" w:fill="D9D9D9" w:themeFill="background1" w:themeFillShade="D9"/>
          </w:tcPr>
          <w:p w14:paraId="3EAD5DDB"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5,62</w:t>
            </w:r>
          </w:p>
        </w:tc>
      </w:tr>
      <w:tr w:rsidR="00E42A79" w:rsidRPr="009905B5" w14:paraId="6BD5A70E" w14:textId="77777777" w:rsidTr="00E42A79">
        <w:tc>
          <w:tcPr>
            <w:tcW w:w="3993" w:type="dxa"/>
            <w:tcBorders>
              <w:top w:val="single" w:sz="4" w:space="0" w:color="auto"/>
              <w:bottom w:val="single" w:sz="4" w:space="0" w:color="auto"/>
            </w:tcBorders>
            <w:shd w:val="clear" w:color="auto" w:fill="D9D9D9" w:themeFill="background1" w:themeFillShade="D9"/>
          </w:tcPr>
          <w:p w14:paraId="57668F8A" w14:textId="77777777" w:rsidR="00E42A79" w:rsidRDefault="00E42A79" w:rsidP="00E42A79">
            <w:pPr>
              <w:jc w:val="right"/>
              <w:rPr>
                <w:rFonts w:ascii="Times New Roman" w:hAnsi="Times New Roman" w:cs="Times New Roman"/>
                <w:i/>
                <w:color w:val="1B1D1F"/>
              </w:rPr>
            </w:pPr>
            <w:r w:rsidRPr="004D4436">
              <w:rPr>
                <w:rFonts w:ascii="Times New Roman" w:hAnsi="Times New Roman" w:cs="Times New Roman"/>
                <w:i/>
                <w:color w:val="1B1D1F"/>
              </w:rPr>
              <w:t xml:space="preserve">Papildu nepieciešamais finansējums </w:t>
            </w:r>
          </w:p>
          <w:p w14:paraId="149D792D" w14:textId="77777777" w:rsidR="00E42A79" w:rsidRPr="00633422" w:rsidRDefault="00E42A79" w:rsidP="00E42A79">
            <w:pPr>
              <w:jc w:val="right"/>
              <w:rPr>
                <w:rFonts w:ascii="Times New Roman" w:hAnsi="Times New Roman" w:cs="Times New Roman"/>
                <w:b/>
                <w:color w:val="1B1D1F"/>
              </w:rPr>
            </w:pPr>
            <w:r w:rsidRPr="004D4436">
              <w:rPr>
                <w:rFonts w:ascii="Times New Roman" w:hAnsi="Times New Roman" w:cs="Times New Roman"/>
                <w:i/>
                <w:color w:val="1B1D1F"/>
              </w:rPr>
              <w:t>(</w:t>
            </w:r>
            <w:r>
              <w:rPr>
                <w:rFonts w:ascii="Times New Roman" w:hAnsi="Times New Roman" w:cs="Times New Roman"/>
                <w:i/>
                <w:color w:val="1B1D1F"/>
              </w:rPr>
              <w:t xml:space="preserve">bāze (2020.g.) - </w:t>
            </w:r>
            <w:r w:rsidRPr="004D4436">
              <w:rPr>
                <w:rFonts w:ascii="Times New Roman" w:hAnsi="Times New Roman" w:cs="Times New Roman"/>
                <w:i/>
                <w:color w:val="1B1D1F"/>
              </w:rPr>
              <w:t>463 813 EUR)</w:t>
            </w:r>
          </w:p>
        </w:tc>
        <w:tc>
          <w:tcPr>
            <w:tcW w:w="989" w:type="dxa"/>
            <w:tcBorders>
              <w:top w:val="single" w:sz="4" w:space="0" w:color="auto"/>
              <w:bottom w:val="single" w:sz="4" w:space="0" w:color="auto"/>
            </w:tcBorders>
            <w:shd w:val="clear" w:color="auto" w:fill="D9D9D9" w:themeFill="background1" w:themeFillShade="D9"/>
          </w:tcPr>
          <w:p w14:paraId="783E773B"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+0,680</w:t>
            </w:r>
          </w:p>
        </w:tc>
        <w:tc>
          <w:tcPr>
            <w:tcW w:w="989" w:type="dxa"/>
            <w:tcBorders>
              <w:top w:val="single" w:sz="4" w:space="0" w:color="auto"/>
              <w:bottom w:val="single" w:sz="4" w:space="0" w:color="auto"/>
            </w:tcBorders>
            <w:shd w:val="clear" w:color="auto" w:fill="D9D9D9" w:themeFill="background1" w:themeFillShade="D9"/>
          </w:tcPr>
          <w:p w14:paraId="0F710201"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+1,433</w:t>
            </w:r>
          </w:p>
        </w:tc>
        <w:tc>
          <w:tcPr>
            <w:tcW w:w="918" w:type="dxa"/>
            <w:tcBorders>
              <w:top w:val="single" w:sz="4" w:space="0" w:color="auto"/>
              <w:bottom w:val="single" w:sz="4" w:space="0" w:color="auto"/>
            </w:tcBorders>
            <w:shd w:val="clear" w:color="auto" w:fill="D9D9D9" w:themeFill="background1" w:themeFillShade="D9"/>
          </w:tcPr>
          <w:p w14:paraId="7D66A5AB"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w:t>
            </w:r>
            <w:r>
              <w:rPr>
                <w:rFonts w:ascii="Times New Roman" w:hAnsi="Times New Roman" w:cs="Times New Roman"/>
                <w:i/>
                <w:color w:val="1B1D1F"/>
              </w:rPr>
              <w:t>2,411</w:t>
            </w:r>
          </w:p>
        </w:tc>
        <w:tc>
          <w:tcPr>
            <w:tcW w:w="918" w:type="dxa"/>
            <w:tcBorders>
              <w:top w:val="single" w:sz="4" w:space="0" w:color="auto"/>
              <w:bottom w:val="single" w:sz="4" w:space="0" w:color="auto"/>
            </w:tcBorders>
            <w:shd w:val="clear" w:color="auto" w:fill="D9D9D9" w:themeFill="background1" w:themeFillShade="D9"/>
          </w:tcPr>
          <w:p w14:paraId="65EE91FF"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+3,642</w:t>
            </w:r>
          </w:p>
        </w:tc>
        <w:tc>
          <w:tcPr>
            <w:tcW w:w="918" w:type="dxa"/>
            <w:tcBorders>
              <w:top w:val="single" w:sz="4" w:space="0" w:color="auto"/>
              <w:bottom w:val="single" w:sz="4" w:space="0" w:color="auto"/>
              <w:right w:val="single" w:sz="4" w:space="0" w:color="auto"/>
            </w:tcBorders>
            <w:shd w:val="clear" w:color="auto" w:fill="D9D9D9" w:themeFill="background1" w:themeFillShade="D9"/>
          </w:tcPr>
          <w:p w14:paraId="0C63CDAA"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+5,157</w:t>
            </w:r>
          </w:p>
        </w:tc>
      </w:tr>
      <w:tr w:rsidR="00E42A79" w:rsidRPr="009905B5" w14:paraId="61FFD2FE" w14:textId="77777777" w:rsidTr="00E42A79">
        <w:tc>
          <w:tcPr>
            <w:tcW w:w="3993" w:type="dxa"/>
            <w:tcBorders>
              <w:top w:val="single" w:sz="12" w:space="0" w:color="auto"/>
              <w:bottom w:val="single" w:sz="4" w:space="0" w:color="auto"/>
            </w:tcBorders>
            <w:shd w:val="clear" w:color="auto" w:fill="BFBFBF" w:themeFill="background1" w:themeFillShade="BF"/>
          </w:tcPr>
          <w:p w14:paraId="7E76BC0B"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OAP/NKI% - MODELIS 3</w:t>
            </w:r>
          </w:p>
          <w:p w14:paraId="2C18EADB"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i/>
                <w:color w:val="1B1D1F"/>
              </w:rPr>
              <w:t>“2/3 līdz 2030 mērķim”</w:t>
            </w:r>
          </w:p>
        </w:tc>
        <w:tc>
          <w:tcPr>
            <w:tcW w:w="989" w:type="dxa"/>
            <w:tcBorders>
              <w:top w:val="single" w:sz="12" w:space="0" w:color="auto"/>
              <w:bottom w:val="single" w:sz="4" w:space="0" w:color="auto"/>
            </w:tcBorders>
            <w:shd w:val="clear" w:color="auto" w:fill="BFBFBF" w:themeFill="background1" w:themeFillShade="BF"/>
          </w:tcPr>
          <w:p w14:paraId="52F6ACF2"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0.12</w:t>
            </w:r>
          </w:p>
        </w:tc>
        <w:tc>
          <w:tcPr>
            <w:tcW w:w="989" w:type="dxa"/>
            <w:tcBorders>
              <w:top w:val="single" w:sz="12" w:space="0" w:color="auto"/>
              <w:bottom w:val="single" w:sz="4" w:space="0" w:color="auto"/>
            </w:tcBorders>
            <w:shd w:val="clear" w:color="auto" w:fill="BFBFBF" w:themeFill="background1" w:themeFillShade="BF"/>
          </w:tcPr>
          <w:p w14:paraId="5C55B480"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0.14</w:t>
            </w:r>
          </w:p>
        </w:tc>
        <w:tc>
          <w:tcPr>
            <w:tcW w:w="918" w:type="dxa"/>
            <w:tcBorders>
              <w:top w:val="single" w:sz="12" w:space="0" w:color="auto"/>
              <w:bottom w:val="single" w:sz="4" w:space="0" w:color="auto"/>
            </w:tcBorders>
            <w:shd w:val="clear" w:color="auto" w:fill="BFBFBF" w:themeFill="background1" w:themeFillShade="BF"/>
          </w:tcPr>
          <w:p w14:paraId="5EFA849D"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0.16</w:t>
            </w:r>
          </w:p>
        </w:tc>
        <w:tc>
          <w:tcPr>
            <w:tcW w:w="918" w:type="dxa"/>
            <w:tcBorders>
              <w:top w:val="single" w:sz="12" w:space="0" w:color="auto"/>
              <w:bottom w:val="single" w:sz="4" w:space="0" w:color="auto"/>
            </w:tcBorders>
            <w:shd w:val="clear" w:color="auto" w:fill="BFBFBF" w:themeFill="background1" w:themeFillShade="BF"/>
          </w:tcPr>
          <w:p w14:paraId="4BBE6D60"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0.19</w:t>
            </w:r>
          </w:p>
        </w:tc>
        <w:tc>
          <w:tcPr>
            <w:tcW w:w="918" w:type="dxa"/>
            <w:tcBorders>
              <w:top w:val="single" w:sz="12" w:space="0" w:color="auto"/>
              <w:bottom w:val="single" w:sz="4" w:space="0" w:color="auto"/>
              <w:right w:val="single" w:sz="4" w:space="0" w:color="auto"/>
            </w:tcBorders>
            <w:shd w:val="clear" w:color="auto" w:fill="BFBFBF" w:themeFill="background1" w:themeFillShade="BF"/>
          </w:tcPr>
          <w:p w14:paraId="6376DCC1"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0.22</w:t>
            </w:r>
          </w:p>
        </w:tc>
      </w:tr>
      <w:tr w:rsidR="00E42A79" w:rsidRPr="009905B5" w14:paraId="27D4F5A9" w14:textId="77777777" w:rsidTr="00E42A79">
        <w:tc>
          <w:tcPr>
            <w:tcW w:w="3993" w:type="dxa"/>
            <w:shd w:val="clear" w:color="auto" w:fill="BFBFBF" w:themeFill="background1" w:themeFillShade="BF"/>
          </w:tcPr>
          <w:p w14:paraId="2E4E5648"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color w:val="1B1D1F"/>
              </w:rPr>
              <w:t>milj. EUR</w:t>
            </w:r>
          </w:p>
        </w:tc>
        <w:tc>
          <w:tcPr>
            <w:tcW w:w="989" w:type="dxa"/>
            <w:shd w:val="clear" w:color="auto" w:fill="BFBFBF" w:themeFill="background1" w:themeFillShade="BF"/>
          </w:tcPr>
          <w:p w14:paraId="0E50D33D"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41,59</w:t>
            </w:r>
          </w:p>
        </w:tc>
        <w:tc>
          <w:tcPr>
            <w:tcW w:w="989" w:type="dxa"/>
            <w:shd w:val="clear" w:color="auto" w:fill="BFBFBF" w:themeFill="background1" w:themeFillShade="BF"/>
          </w:tcPr>
          <w:p w14:paraId="4DC47EC9" w14:textId="77777777" w:rsidR="00E42A79" w:rsidRPr="00633422" w:rsidRDefault="00E42A79" w:rsidP="00E42A79">
            <w:pPr>
              <w:jc w:val="both"/>
              <w:rPr>
                <w:rFonts w:ascii="Times New Roman" w:hAnsi="Times New Roman" w:cs="Times New Roman"/>
                <w:color w:val="1B1D1F"/>
              </w:rPr>
            </w:pPr>
            <w:r w:rsidRPr="00633422">
              <w:rPr>
                <w:rFonts w:ascii="Times New Roman" w:hAnsi="Times New Roman" w:cs="Times New Roman"/>
                <w:color w:val="1B1D1F"/>
              </w:rPr>
              <w:t>51,</w:t>
            </w:r>
            <w:r w:rsidR="00EF096C">
              <w:rPr>
                <w:rFonts w:ascii="Times New Roman" w:hAnsi="Times New Roman" w:cs="Times New Roman"/>
                <w:color w:val="1B1D1F"/>
              </w:rPr>
              <w:t>0</w:t>
            </w:r>
            <w:r w:rsidRPr="00633422">
              <w:rPr>
                <w:rFonts w:ascii="Times New Roman" w:hAnsi="Times New Roman" w:cs="Times New Roman"/>
                <w:color w:val="1B1D1F"/>
              </w:rPr>
              <w:t>7</w:t>
            </w:r>
          </w:p>
        </w:tc>
        <w:tc>
          <w:tcPr>
            <w:tcW w:w="918" w:type="dxa"/>
            <w:tcBorders>
              <w:bottom w:val="single" w:sz="4" w:space="0" w:color="auto"/>
            </w:tcBorders>
            <w:shd w:val="clear" w:color="auto" w:fill="BFBFBF" w:themeFill="background1" w:themeFillShade="BF"/>
          </w:tcPr>
          <w:p w14:paraId="0640C4A2"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color w:val="1B1D1F"/>
              </w:rPr>
              <w:t>61,33</w:t>
            </w:r>
          </w:p>
        </w:tc>
        <w:tc>
          <w:tcPr>
            <w:tcW w:w="918" w:type="dxa"/>
            <w:tcBorders>
              <w:bottom w:val="single" w:sz="4" w:space="0" w:color="auto"/>
            </w:tcBorders>
            <w:shd w:val="clear" w:color="auto" w:fill="BFBFBF" w:themeFill="background1" w:themeFillShade="BF"/>
          </w:tcPr>
          <w:p w14:paraId="7DC425A2"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color w:val="1B1D1F"/>
              </w:rPr>
              <w:t>76,49</w:t>
            </w:r>
          </w:p>
        </w:tc>
        <w:tc>
          <w:tcPr>
            <w:tcW w:w="918" w:type="dxa"/>
            <w:tcBorders>
              <w:bottom w:val="single" w:sz="4" w:space="0" w:color="auto"/>
              <w:right w:val="single" w:sz="4" w:space="0" w:color="auto"/>
            </w:tcBorders>
            <w:shd w:val="clear" w:color="auto" w:fill="BFBFBF" w:themeFill="background1" w:themeFillShade="BF"/>
          </w:tcPr>
          <w:p w14:paraId="68E4AD30"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color w:val="1B1D1F"/>
              </w:rPr>
              <w:t>92,98</w:t>
            </w:r>
          </w:p>
        </w:tc>
      </w:tr>
      <w:tr w:rsidR="00E42A79" w:rsidRPr="009905B5" w14:paraId="598D8664" w14:textId="77777777" w:rsidTr="00E42A79">
        <w:tc>
          <w:tcPr>
            <w:tcW w:w="3993" w:type="dxa"/>
            <w:tcBorders>
              <w:bottom w:val="single" w:sz="4" w:space="0" w:color="auto"/>
            </w:tcBorders>
            <w:shd w:val="clear" w:color="auto" w:fill="BFBFBF" w:themeFill="background1" w:themeFillShade="BF"/>
          </w:tcPr>
          <w:p w14:paraId="2FE12B76"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ĀM budžeta programma 10% no OAP</w:t>
            </w:r>
          </w:p>
        </w:tc>
        <w:tc>
          <w:tcPr>
            <w:tcW w:w="989" w:type="dxa"/>
            <w:tcBorders>
              <w:bottom w:val="single" w:sz="4" w:space="0" w:color="auto"/>
            </w:tcBorders>
            <w:shd w:val="clear" w:color="auto" w:fill="BFBFBF" w:themeFill="background1" w:themeFillShade="BF"/>
          </w:tcPr>
          <w:p w14:paraId="6C4D2A40"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3%</w:t>
            </w:r>
          </w:p>
        </w:tc>
        <w:tc>
          <w:tcPr>
            <w:tcW w:w="989" w:type="dxa"/>
            <w:tcBorders>
              <w:bottom w:val="single" w:sz="4" w:space="0" w:color="auto"/>
            </w:tcBorders>
            <w:shd w:val="clear" w:color="auto" w:fill="BFBFBF" w:themeFill="background1" w:themeFillShade="BF"/>
          </w:tcPr>
          <w:p w14:paraId="675AD807"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4%</w:t>
            </w:r>
          </w:p>
        </w:tc>
        <w:tc>
          <w:tcPr>
            <w:tcW w:w="918" w:type="dxa"/>
            <w:tcBorders>
              <w:bottom w:val="single" w:sz="4" w:space="0" w:color="auto"/>
            </w:tcBorders>
            <w:shd w:val="clear" w:color="auto" w:fill="BFBFBF" w:themeFill="background1" w:themeFillShade="BF"/>
          </w:tcPr>
          <w:p w14:paraId="231E6B46"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6%</w:t>
            </w:r>
          </w:p>
        </w:tc>
        <w:tc>
          <w:tcPr>
            <w:tcW w:w="918" w:type="dxa"/>
            <w:tcBorders>
              <w:bottom w:val="single" w:sz="4" w:space="0" w:color="auto"/>
            </w:tcBorders>
            <w:shd w:val="clear" w:color="auto" w:fill="BFBFBF" w:themeFill="background1" w:themeFillShade="BF"/>
          </w:tcPr>
          <w:p w14:paraId="61061107"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8%</w:t>
            </w:r>
          </w:p>
        </w:tc>
        <w:tc>
          <w:tcPr>
            <w:tcW w:w="918" w:type="dxa"/>
            <w:tcBorders>
              <w:bottom w:val="single" w:sz="4" w:space="0" w:color="auto"/>
              <w:right w:val="single" w:sz="4" w:space="0" w:color="auto"/>
            </w:tcBorders>
            <w:shd w:val="clear" w:color="auto" w:fill="BFBFBF" w:themeFill="background1" w:themeFillShade="BF"/>
          </w:tcPr>
          <w:p w14:paraId="40C82703"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10%</w:t>
            </w:r>
          </w:p>
        </w:tc>
      </w:tr>
      <w:tr w:rsidR="00E42A79" w:rsidRPr="009905B5" w14:paraId="0661B3F6" w14:textId="77777777" w:rsidTr="00E42A79">
        <w:tc>
          <w:tcPr>
            <w:tcW w:w="3993" w:type="dxa"/>
            <w:tcBorders>
              <w:top w:val="single" w:sz="4" w:space="0" w:color="auto"/>
              <w:bottom w:val="single" w:sz="4" w:space="0" w:color="auto"/>
            </w:tcBorders>
            <w:shd w:val="clear" w:color="auto" w:fill="BFBFBF" w:themeFill="background1" w:themeFillShade="BF"/>
          </w:tcPr>
          <w:p w14:paraId="25697E2D" w14:textId="77777777" w:rsidR="00E42A79" w:rsidRPr="00633422" w:rsidRDefault="00E42A79" w:rsidP="00E42A79">
            <w:pPr>
              <w:jc w:val="right"/>
              <w:rPr>
                <w:rFonts w:ascii="Times New Roman" w:hAnsi="Times New Roman" w:cs="Times New Roman"/>
                <w:b/>
                <w:color w:val="1B1D1F"/>
              </w:rPr>
            </w:pPr>
            <w:r w:rsidRPr="00633422">
              <w:rPr>
                <w:rFonts w:ascii="Times New Roman" w:hAnsi="Times New Roman" w:cs="Times New Roman"/>
                <w:b/>
                <w:color w:val="1B1D1F"/>
              </w:rPr>
              <w:t>milj. EUR</w:t>
            </w:r>
          </w:p>
        </w:tc>
        <w:tc>
          <w:tcPr>
            <w:tcW w:w="989" w:type="dxa"/>
            <w:shd w:val="clear" w:color="auto" w:fill="BFBFBF" w:themeFill="background1" w:themeFillShade="BF"/>
          </w:tcPr>
          <w:p w14:paraId="5B1A41A3"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1,25</w:t>
            </w:r>
          </w:p>
        </w:tc>
        <w:tc>
          <w:tcPr>
            <w:tcW w:w="989" w:type="dxa"/>
            <w:shd w:val="clear" w:color="auto" w:fill="BFBFBF" w:themeFill="background1" w:themeFillShade="BF"/>
          </w:tcPr>
          <w:p w14:paraId="1954FA63"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2,04</w:t>
            </w:r>
          </w:p>
        </w:tc>
        <w:tc>
          <w:tcPr>
            <w:tcW w:w="918" w:type="dxa"/>
            <w:shd w:val="clear" w:color="auto" w:fill="BFBFBF" w:themeFill="background1" w:themeFillShade="BF"/>
          </w:tcPr>
          <w:p w14:paraId="6C165837"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3,68</w:t>
            </w:r>
          </w:p>
        </w:tc>
        <w:tc>
          <w:tcPr>
            <w:tcW w:w="918" w:type="dxa"/>
            <w:shd w:val="clear" w:color="auto" w:fill="BFBFBF" w:themeFill="background1" w:themeFillShade="BF"/>
          </w:tcPr>
          <w:p w14:paraId="30433549"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6,12</w:t>
            </w:r>
          </w:p>
        </w:tc>
        <w:tc>
          <w:tcPr>
            <w:tcW w:w="918" w:type="dxa"/>
            <w:tcBorders>
              <w:right w:val="single" w:sz="4" w:space="0" w:color="auto"/>
            </w:tcBorders>
            <w:shd w:val="clear" w:color="auto" w:fill="BFBFBF" w:themeFill="background1" w:themeFillShade="BF"/>
          </w:tcPr>
          <w:p w14:paraId="1D5FFC60" w14:textId="77777777" w:rsidR="00E42A79" w:rsidRPr="00633422" w:rsidRDefault="00E42A79" w:rsidP="00E42A79">
            <w:pPr>
              <w:jc w:val="both"/>
              <w:rPr>
                <w:rFonts w:ascii="Times New Roman" w:hAnsi="Times New Roman" w:cs="Times New Roman"/>
                <w:b/>
                <w:color w:val="1B1D1F"/>
              </w:rPr>
            </w:pPr>
            <w:r w:rsidRPr="00633422">
              <w:rPr>
                <w:rFonts w:ascii="Times New Roman" w:hAnsi="Times New Roman" w:cs="Times New Roman"/>
                <w:b/>
                <w:color w:val="1B1D1F"/>
              </w:rPr>
              <w:t>9,30</w:t>
            </w:r>
          </w:p>
        </w:tc>
      </w:tr>
      <w:tr w:rsidR="00E42A79" w:rsidRPr="009905B5" w14:paraId="06FEC185" w14:textId="77777777" w:rsidTr="00E42A79">
        <w:tc>
          <w:tcPr>
            <w:tcW w:w="3993" w:type="dxa"/>
            <w:tcBorders>
              <w:top w:val="single" w:sz="4" w:space="0" w:color="auto"/>
              <w:bottom w:val="single" w:sz="12" w:space="0" w:color="auto"/>
            </w:tcBorders>
            <w:shd w:val="clear" w:color="auto" w:fill="BFBFBF" w:themeFill="background1" w:themeFillShade="BF"/>
          </w:tcPr>
          <w:p w14:paraId="6D41A9F9" w14:textId="77777777" w:rsidR="00E42A79" w:rsidRDefault="00E42A79" w:rsidP="00E42A79">
            <w:pPr>
              <w:jc w:val="right"/>
              <w:rPr>
                <w:rFonts w:ascii="Times New Roman" w:hAnsi="Times New Roman" w:cs="Times New Roman"/>
                <w:i/>
                <w:color w:val="1B1D1F"/>
              </w:rPr>
            </w:pPr>
            <w:r w:rsidRPr="004D4436">
              <w:rPr>
                <w:rFonts w:ascii="Times New Roman" w:hAnsi="Times New Roman" w:cs="Times New Roman"/>
                <w:i/>
                <w:color w:val="1B1D1F"/>
              </w:rPr>
              <w:t xml:space="preserve">Papildu nepieciešamais finansējums </w:t>
            </w:r>
          </w:p>
          <w:p w14:paraId="0B22ABD9" w14:textId="77777777" w:rsidR="00E42A79" w:rsidRPr="00633422" w:rsidRDefault="00E42A79" w:rsidP="00E42A79">
            <w:pPr>
              <w:jc w:val="right"/>
              <w:rPr>
                <w:rFonts w:ascii="Times New Roman" w:hAnsi="Times New Roman" w:cs="Times New Roman"/>
                <w:b/>
                <w:color w:val="1B1D1F"/>
              </w:rPr>
            </w:pPr>
            <w:r w:rsidRPr="004D4436">
              <w:rPr>
                <w:rFonts w:ascii="Times New Roman" w:hAnsi="Times New Roman" w:cs="Times New Roman"/>
                <w:i/>
                <w:color w:val="1B1D1F"/>
              </w:rPr>
              <w:t>(</w:t>
            </w:r>
            <w:r>
              <w:rPr>
                <w:rFonts w:ascii="Times New Roman" w:hAnsi="Times New Roman" w:cs="Times New Roman"/>
                <w:i/>
                <w:color w:val="1B1D1F"/>
              </w:rPr>
              <w:t xml:space="preserve">bāze (2020.g.) - </w:t>
            </w:r>
            <w:r w:rsidRPr="004D4436">
              <w:rPr>
                <w:rFonts w:ascii="Times New Roman" w:hAnsi="Times New Roman" w:cs="Times New Roman"/>
                <w:i/>
                <w:color w:val="1B1D1F"/>
              </w:rPr>
              <w:t>463 813 EUR)</w:t>
            </w:r>
          </w:p>
        </w:tc>
        <w:tc>
          <w:tcPr>
            <w:tcW w:w="989" w:type="dxa"/>
            <w:tcBorders>
              <w:bottom w:val="single" w:sz="12" w:space="0" w:color="auto"/>
            </w:tcBorders>
            <w:shd w:val="clear" w:color="auto" w:fill="BFBFBF" w:themeFill="background1" w:themeFillShade="BF"/>
          </w:tcPr>
          <w:p w14:paraId="4C275702"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+0,784</w:t>
            </w:r>
          </w:p>
        </w:tc>
        <w:tc>
          <w:tcPr>
            <w:tcW w:w="989" w:type="dxa"/>
            <w:tcBorders>
              <w:bottom w:val="single" w:sz="12" w:space="0" w:color="auto"/>
            </w:tcBorders>
            <w:shd w:val="clear" w:color="auto" w:fill="BFBFBF" w:themeFill="background1" w:themeFillShade="BF"/>
          </w:tcPr>
          <w:p w14:paraId="1C41C3E4"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+1,579</w:t>
            </w:r>
          </w:p>
        </w:tc>
        <w:tc>
          <w:tcPr>
            <w:tcW w:w="918" w:type="dxa"/>
            <w:tcBorders>
              <w:bottom w:val="single" w:sz="12" w:space="0" w:color="auto"/>
            </w:tcBorders>
            <w:shd w:val="clear" w:color="auto" w:fill="BFBFBF" w:themeFill="background1" w:themeFillShade="BF"/>
          </w:tcPr>
          <w:p w14:paraId="2204C557"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+3,216</w:t>
            </w:r>
          </w:p>
        </w:tc>
        <w:tc>
          <w:tcPr>
            <w:tcW w:w="918" w:type="dxa"/>
            <w:tcBorders>
              <w:bottom w:val="single" w:sz="12" w:space="0" w:color="auto"/>
            </w:tcBorders>
            <w:shd w:val="clear" w:color="auto" w:fill="BFBFBF" w:themeFill="background1" w:themeFillShade="BF"/>
          </w:tcPr>
          <w:p w14:paraId="2C136755" w14:textId="77777777" w:rsidR="00E42A79" w:rsidRPr="00633422" w:rsidRDefault="00E42A79" w:rsidP="00E42A79">
            <w:pPr>
              <w:jc w:val="both"/>
              <w:rPr>
                <w:rFonts w:ascii="Times New Roman" w:hAnsi="Times New Roman" w:cs="Times New Roman"/>
                <w:i/>
                <w:color w:val="1B1D1F"/>
              </w:rPr>
            </w:pPr>
            <w:r>
              <w:rPr>
                <w:rFonts w:ascii="Times New Roman" w:hAnsi="Times New Roman" w:cs="Times New Roman"/>
                <w:i/>
                <w:color w:val="1B1D1F"/>
              </w:rPr>
              <w:t>+5,655</w:t>
            </w:r>
          </w:p>
        </w:tc>
        <w:tc>
          <w:tcPr>
            <w:tcW w:w="918" w:type="dxa"/>
            <w:tcBorders>
              <w:bottom w:val="single" w:sz="12" w:space="0" w:color="auto"/>
              <w:right w:val="single" w:sz="4" w:space="0" w:color="auto"/>
            </w:tcBorders>
            <w:shd w:val="clear" w:color="auto" w:fill="BFBFBF" w:themeFill="background1" w:themeFillShade="BF"/>
          </w:tcPr>
          <w:p w14:paraId="7F7001B7" w14:textId="77777777" w:rsidR="00E42A79" w:rsidRPr="00633422"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w:t>
            </w:r>
            <w:r>
              <w:rPr>
                <w:rFonts w:ascii="Times New Roman" w:hAnsi="Times New Roman" w:cs="Times New Roman"/>
                <w:i/>
                <w:color w:val="1B1D1F"/>
              </w:rPr>
              <w:t>8,834</w:t>
            </w:r>
          </w:p>
        </w:tc>
      </w:tr>
    </w:tbl>
    <w:p w14:paraId="7652BE7D" w14:textId="77777777" w:rsidR="002D27A8" w:rsidRPr="002D27A8" w:rsidRDefault="002D27A8" w:rsidP="00235014">
      <w:pPr>
        <w:spacing w:before="24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Plānojot ĀM budžeta programmas finansējuma pieaugumu kā procentuālu daļu no OAP mērķiem</w:t>
      </w:r>
      <w:r>
        <w:rPr>
          <w:rFonts w:ascii="Times New Roman" w:hAnsi="Times New Roman" w:cs="Times New Roman"/>
          <w:sz w:val="24"/>
          <w:szCs w:val="24"/>
        </w:rPr>
        <w:t>, tiktu</w:t>
      </w:r>
      <w:r w:rsidRPr="009905B5">
        <w:rPr>
          <w:rFonts w:ascii="Times New Roman" w:hAnsi="Times New Roman" w:cs="Times New Roman"/>
          <w:sz w:val="24"/>
          <w:szCs w:val="24"/>
        </w:rPr>
        <w:t xml:space="preserve"> nodrošināt</w:t>
      </w:r>
      <w:r>
        <w:rPr>
          <w:rFonts w:ascii="Times New Roman" w:hAnsi="Times New Roman" w:cs="Times New Roman"/>
          <w:sz w:val="24"/>
          <w:szCs w:val="24"/>
        </w:rPr>
        <w:t>s</w:t>
      </w:r>
      <w:r w:rsidRPr="009905B5">
        <w:rPr>
          <w:rFonts w:ascii="Times New Roman" w:hAnsi="Times New Roman" w:cs="Times New Roman"/>
          <w:sz w:val="24"/>
          <w:szCs w:val="24"/>
        </w:rPr>
        <w:t>, ka divpusējai attīstības sadarbībai pieejamais finansējums pieaugs pakāpeniski. Ja arī OAP mērķi netiks izpildīti, Latvijas divpusējās OAP līmenis pieaugs, tādējādi demonstrējot Latvijas apņēmību palielināt finansējumu un tiekties sasniegt 2030 mērķus. Situācijā, ja NK</w:t>
      </w:r>
      <w:r>
        <w:rPr>
          <w:rFonts w:ascii="Times New Roman" w:hAnsi="Times New Roman" w:cs="Times New Roman"/>
          <w:sz w:val="24"/>
          <w:szCs w:val="24"/>
        </w:rPr>
        <w:t>I</w:t>
      </w:r>
      <w:r w:rsidRPr="009905B5">
        <w:rPr>
          <w:rFonts w:ascii="Times New Roman" w:hAnsi="Times New Roman" w:cs="Times New Roman"/>
          <w:sz w:val="24"/>
          <w:szCs w:val="24"/>
        </w:rPr>
        <w:t xml:space="preserve"> prognozes nepiepildītos (būtu mazākas), divpusējās palīdzības pieaugums būtu straujāks. </w:t>
      </w:r>
    </w:p>
    <w:p w14:paraId="5F62C3EF" w14:textId="77777777" w:rsidR="002D27A8" w:rsidRDefault="002D27A8" w:rsidP="002D27A8">
      <w:pPr>
        <w:spacing w:before="120" w:after="0" w:line="240" w:lineRule="auto"/>
        <w:jc w:val="both"/>
        <w:rPr>
          <w:rFonts w:ascii="Times New Roman" w:hAnsi="Times New Roman" w:cs="Times New Roman"/>
          <w:sz w:val="24"/>
          <w:szCs w:val="24"/>
        </w:rPr>
      </w:pPr>
      <w:r w:rsidRPr="009258D8">
        <w:rPr>
          <w:rFonts w:ascii="Times New Roman" w:hAnsi="Times New Roman" w:cs="Times New Roman"/>
          <w:sz w:val="24"/>
          <w:szCs w:val="24"/>
        </w:rPr>
        <w:t>Piedāvātie modeļi paredz OAP un divpusējā attīstības sadarbības budžeta kāpināšanu līdz 2025.gadam, lai tiektos sasniegt 2030 mērķi. No izvēlētā modeļa (kā arī faktiskās ekonomiskās situācijas  t.i. Latvijas NKI) būs atkarīgs, cik strauji būs kāpināms attīstības palīdzībai atvēlētais finansējums līdz 2030.gadam.</w:t>
      </w:r>
      <w:r>
        <w:rPr>
          <w:rFonts w:ascii="Times New Roman" w:hAnsi="Times New Roman" w:cs="Times New Roman"/>
          <w:sz w:val="24"/>
          <w:szCs w:val="24"/>
        </w:rPr>
        <w:t xml:space="preserve"> </w:t>
      </w:r>
    </w:p>
    <w:p w14:paraId="6B0391D8" w14:textId="77777777" w:rsidR="0085606E" w:rsidRDefault="0085606E" w:rsidP="002D27A8">
      <w:pPr>
        <w:spacing w:before="120" w:after="0" w:line="240" w:lineRule="auto"/>
        <w:jc w:val="both"/>
        <w:rPr>
          <w:rFonts w:ascii="Times New Roman" w:hAnsi="Times New Roman" w:cs="Times New Roman"/>
          <w:sz w:val="24"/>
          <w:szCs w:val="24"/>
        </w:rPr>
      </w:pPr>
    </w:p>
    <w:p w14:paraId="02FF0C80" w14:textId="77777777" w:rsidR="0085606E" w:rsidRPr="009905B5" w:rsidRDefault="0085606E" w:rsidP="0085606E">
      <w:pPr>
        <w:spacing w:line="240" w:lineRule="auto"/>
        <w:jc w:val="both"/>
        <w:rPr>
          <w:rFonts w:ascii="Times New Roman" w:hAnsi="Times New Roman" w:cs="Times New Roman"/>
          <w:sz w:val="24"/>
          <w:szCs w:val="28"/>
        </w:rPr>
      </w:pPr>
      <w:r w:rsidRPr="009905B5">
        <w:rPr>
          <w:rFonts w:ascii="Times New Roman" w:hAnsi="Times New Roman" w:cs="Times New Roman"/>
          <w:sz w:val="24"/>
          <w:szCs w:val="28"/>
        </w:rPr>
        <w:t xml:space="preserve">Papildu finansējums ĀM budžeta programmai “Attīstības sadarbības projekti un starptautiskā palīdzība” tiktu novirzīts: </w:t>
      </w:r>
    </w:p>
    <w:p w14:paraId="0D8F35E3" w14:textId="77777777" w:rsidR="0085606E" w:rsidRPr="009905B5" w:rsidRDefault="0085606E" w:rsidP="0085606E">
      <w:pPr>
        <w:pStyle w:val="ListParagraph"/>
        <w:numPr>
          <w:ilvl w:val="0"/>
          <w:numId w:val="19"/>
        </w:numPr>
        <w:spacing w:line="240" w:lineRule="auto"/>
        <w:jc w:val="both"/>
        <w:rPr>
          <w:rFonts w:ascii="Times New Roman" w:hAnsi="Times New Roman" w:cs="Times New Roman"/>
          <w:sz w:val="24"/>
          <w:szCs w:val="28"/>
        </w:rPr>
      </w:pPr>
      <w:r w:rsidRPr="009905B5">
        <w:rPr>
          <w:rFonts w:ascii="Times New Roman" w:hAnsi="Times New Roman" w:cs="Times New Roman"/>
          <w:b/>
          <w:sz w:val="24"/>
          <w:szCs w:val="28"/>
        </w:rPr>
        <w:t>Attīstības sadarbības granta projektu konkursam.</w:t>
      </w:r>
      <w:r w:rsidRPr="009905B5">
        <w:rPr>
          <w:rFonts w:ascii="Times New Roman" w:hAnsi="Times New Roman" w:cs="Times New Roman"/>
          <w:sz w:val="24"/>
          <w:szCs w:val="28"/>
        </w:rPr>
        <w:t xml:space="preserve"> Finansējuma palielinājums rastu iespēju izskatīt konkrētam mērķim paredzētu granta konkursu rīkošanu, piemēram, lai atbalstītu vides projektus, projektus</w:t>
      </w:r>
      <w:r>
        <w:rPr>
          <w:rFonts w:ascii="Times New Roman" w:hAnsi="Times New Roman" w:cs="Times New Roman"/>
          <w:sz w:val="24"/>
          <w:szCs w:val="28"/>
        </w:rPr>
        <w:t xml:space="preserve"> </w:t>
      </w:r>
      <w:r w:rsidRPr="009905B5">
        <w:rPr>
          <w:rFonts w:ascii="Times New Roman" w:hAnsi="Times New Roman" w:cs="Times New Roman"/>
          <w:sz w:val="24"/>
          <w:szCs w:val="28"/>
        </w:rPr>
        <w:t>pilsoniskās sabiedrības, uzņēmējdarbības attīstībai</w:t>
      </w:r>
      <w:r>
        <w:rPr>
          <w:rFonts w:ascii="Times New Roman" w:hAnsi="Times New Roman" w:cs="Times New Roman"/>
          <w:sz w:val="24"/>
          <w:szCs w:val="28"/>
        </w:rPr>
        <w:t>, dzimumu līdztiesības veicināšanai</w:t>
      </w:r>
      <w:r w:rsidRPr="009905B5">
        <w:rPr>
          <w:rFonts w:ascii="Times New Roman" w:hAnsi="Times New Roman" w:cs="Times New Roman"/>
          <w:sz w:val="24"/>
          <w:szCs w:val="28"/>
        </w:rPr>
        <w:t xml:space="preserve"> u.c. </w:t>
      </w:r>
    </w:p>
    <w:p w14:paraId="4A12FF76" w14:textId="77777777" w:rsidR="0085606E" w:rsidRPr="009905B5" w:rsidRDefault="0085606E" w:rsidP="0085606E">
      <w:pPr>
        <w:pStyle w:val="ListParagraph"/>
        <w:numPr>
          <w:ilvl w:val="0"/>
          <w:numId w:val="19"/>
        </w:numPr>
        <w:spacing w:line="240" w:lineRule="auto"/>
        <w:jc w:val="both"/>
        <w:rPr>
          <w:rFonts w:ascii="Times New Roman" w:hAnsi="Times New Roman" w:cs="Times New Roman"/>
          <w:sz w:val="24"/>
          <w:szCs w:val="28"/>
        </w:rPr>
      </w:pPr>
      <w:r w:rsidRPr="009905B5">
        <w:rPr>
          <w:rFonts w:ascii="Times New Roman" w:hAnsi="Times New Roman" w:cs="Times New Roman"/>
          <w:b/>
          <w:sz w:val="24"/>
          <w:szCs w:val="28"/>
        </w:rPr>
        <w:t>Stratēģisko projektu īstenošanai, pēc iespējas veicinot sadarbību ar citiem donoriem</w:t>
      </w:r>
      <w:r w:rsidRPr="009905B5">
        <w:rPr>
          <w:rFonts w:ascii="Times New Roman" w:hAnsi="Times New Roman" w:cs="Times New Roman"/>
          <w:sz w:val="24"/>
          <w:szCs w:val="28"/>
        </w:rPr>
        <w:t>, t.sk. piesaistot to līdzfinansējumu Latvijas iniciētajiem projektiem.</w:t>
      </w:r>
    </w:p>
    <w:p w14:paraId="55DF32F9" w14:textId="77777777" w:rsidR="0085606E" w:rsidRPr="009905B5" w:rsidRDefault="0085606E" w:rsidP="0085606E">
      <w:pPr>
        <w:pStyle w:val="ListParagraph"/>
        <w:numPr>
          <w:ilvl w:val="0"/>
          <w:numId w:val="19"/>
        </w:numPr>
        <w:spacing w:line="240" w:lineRule="auto"/>
        <w:jc w:val="both"/>
        <w:rPr>
          <w:rFonts w:ascii="Times New Roman" w:hAnsi="Times New Roman" w:cs="Times New Roman"/>
          <w:color w:val="1B1D1F"/>
        </w:rPr>
      </w:pPr>
      <w:r w:rsidRPr="009905B5">
        <w:rPr>
          <w:rFonts w:ascii="Times New Roman" w:hAnsi="Times New Roman" w:cs="Times New Roman"/>
          <w:sz w:val="24"/>
          <w:szCs w:val="28"/>
        </w:rPr>
        <w:lastRenderedPageBreak/>
        <w:t xml:space="preserve">Turpinot pieaugt īstenotāju iesaistei citu donoru, īpaši ES, finansētos projektos, būtu nepieciešams palielināt </w:t>
      </w:r>
      <w:r w:rsidRPr="009905B5">
        <w:rPr>
          <w:rFonts w:ascii="Times New Roman" w:hAnsi="Times New Roman" w:cs="Times New Roman"/>
          <w:b/>
          <w:sz w:val="24"/>
          <w:szCs w:val="28"/>
        </w:rPr>
        <w:t>līdzfinansējuma granta projektu konkursā pieejamo finansējumu</w:t>
      </w:r>
      <w:r w:rsidRPr="009905B5">
        <w:rPr>
          <w:rFonts w:ascii="Times New Roman" w:hAnsi="Times New Roman" w:cs="Times New Roman"/>
          <w:sz w:val="24"/>
          <w:szCs w:val="28"/>
        </w:rPr>
        <w:t xml:space="preserve">. </w:t>
      </w:r>
    </w:p>
    <w:p w14:paraId="6EB363E1" w14:textId="5459323A" w:rsidR="0085606E" w:rsidRPr="00C6786A" w:rsidRDefault="0085606E" w:rsidP="00C6786A">
      <w:pPr>
        <w:pStyle w:val="ListParagraph"/>
        <w:numPr>
          <w:ilvl w:val="0"/>
          <w:numId w:val="19"/>
        </w:numPr>
        <w:spacing w:after="240" w:line="240" w:lineRule="auto"/>
        <w:jc w:val="both"/>
        <w:rPr>
          <w:rFonts w:ascii="Times New Roman" w:hAnsi="Times New Roman" w:cs="Times New Roman"/>
          <w:b/>
          <w:color w:val="1B1D1F"/>
        </w:rPr>
      </w:pPr>
      <w:r w:rsidRPr="009905B5">
        <w:rPr>
          <w:rFonts w:ascii="Times New Roman" w:hAnsi="Times New Roman" w:cs="Times New Roman"/>
          <w:b/>
          <w:sz w:val="24"/>
          <w:szCs w:val="28"/>
        </w:rPr>
        <w:t>Humānajai palīdzībai ieilgušajām un jaun</w:t>
      </w:r>
      <w:r>
        <w:rPr>
          <w:rFonts w:ascii="Times New Roman" w:hAnsi="Times New Roman" w:cs="Times New Roman"/>
          <w:b/>
          <w:sz w:val="24"/>
          <w:szCs w:val="28"/>
        </w:rPr>
        <w:t>aj</w:t>
      </w:r>
      <w:r w:rsidRPr="009905B5">
        <w:rPr>
          <w:rFonts w:ascii="Times New Roman" w:hAnsi="Times New Roman" w:cs="Times New Roman"/>
          <w:b/>
          <w:sz w:val="24"/>
          <w:szCs w:val="28"/>
        </w:rPr>
        <w:t xml:space="preserve">ām krīzēm, </w:t>
      </w:r>
      <w:r>
        <w:rPr>
          <w:rFonts w:ascii="Times New Roman" w:hAnsi="Times New Roman" w:cs="Times New Roman"/>
          <w:b/>
          <w:sz w:val="24"/>
          <w:szCs w:val="28"/>
        </w:rPr>
        <w:t>dabas</w:t>
      </w:r>
      <w:r w:rsidRPr="009905B5">
        <w:rPr>
          <w:rFonts w:ascii="Times New Roman" w:hAnsi="Times New Roman" w:cs="Times New Roman"/>
          <w:b/>
          <w:sz w:val="24"/>
          <w:szCs w:val="28"/>
        </w:rPr>
        <w:t xml:space="preserve"> katastrof</w:t>
      </w:r>
      <w:r>
        <w:rPr>
          <w:rFonts w:ascii="Times New Roman" w:hAnsi="Times New Roman" w:cs="Times New Roman"/>
          <w:b/>
          <w:sz w:val="24"/>
          <w:szCs w:val="28"/>
        </w:rPr>
        <w:t>u izraisīto seku novēršanai</w:t>
      </w:r>
      <w:r w:rsidRPr="009905B5">
        <w:rPr>
          <w:rFonts w:ascii="Times New Roman" w:hAnsi="Times New Roman" w:cs="Times New Roman"/>
          <w:b/>
          <w:sz w:val="24"/>
          <w:szCs w:val="28"/>
        </w:rPr>
        <w:t xml:space="preserve">. </w:t>
      </w:r>
      <w:r w:rsidRPr="009905B5">
        <w:rPr>
          <w:rFonts w:ascii="Times New Roman" w:hAnsi="Times New Roman" w:cs="Times New Roman"/>
          <w:sz w:val="24"/>
          <w:szCs w:val="28"/>
        </w:rPr>
        <w:t>Latvija ir viena no retajām ES dalībvalstīm, kur humānā palīdzība netiek sniegta plānveidīgi. Palīdzība tiktu sniegta</w:t>
      </w:r>
      <w:r>
        <w:rPr>
          <w:rFonts w:ascii="Times New Roman" w:hAnsi="Times New Roman" w:cs="Times New Roman"/>
          <w:sz w:val="24"/>
          <w:szCs w:val="28"/>
        </w:rPr>
        <w:t>,</w:t>
      </w:r>
      <w:r w:rsidRPr="009905B5">
        <w:rPr>
          <w:rFonts w:ascii="Times New Roman" w:hAnsi="Times New Roman" w:cs="Times New Roman"/>
          <w:sz w:val="24"/>
          <w:szCs w:val="28"/>
        </w:rPr>
        <w:t xml:space="preserve"> izmantojot daudzpusējos kanālus, tādējādi nodrošinot koordinētu un vajadzībās balstītu atbalsta sniegšanu</w:t>
      </w:r>
      <w:r>
        <w:rPr>
          <w:rFonts w:ascii="Times New Roman" w:hAnsi="Times New Roman" w:cs="Times New Roman"/>
          <w:sz w:val="24"/>
          <w:szCs w:val="28"/>
        </w:rPr>
        <w:t>, vienlaicīgi mazinot finansējuma daļu, kas tiek novirzīta administratīvajām izmaksām</w:t>
      </w:r>
      <w:r w:rsidRPr="009905B5">
        <w:rPr>
          <w:rFonts w:ascii="Times New Roman" w:hAnsi="Times New Roman" w:cs="Times New Roman"/>
          <w:sz w:val="24"/>
          <w:szCs w:val="28"/>
        </w:rPr>
        <w:t xml:space="preserve">. </w:t>
      </w:r>
    </w:p>
    <w:p w14:paraId="7136362E" w14:textId="213709F0" w:rsidR="00C6786A" w:rsidRPr="00BE5444" w:rsidRDefault="00C6786A" w:rsidP="00C6786A">
      <w:pPr>
        <w:pStyle w:val="ListParagraph"/>
        <w:spacing w:line="240" w:lineRule="auto"/>
        <w:jc w:val="both"/>
        <w:rPr>
          <w:rFonts w:ascii="Times New Roman" w:hAnsi="Times New Roman" w:cs="Times New Roman"/>
          <w:b/>
          <w:color w:val="1B1D1F"/>
        </w:rPr>
      </w:pPr>
    </w:p>
    <w:p w14:paraId="730B9E61" w14:textId="77777777" w:rsidR="00572A50" w:rsidRPr="0085606E" w:rsidRDefault="0085606E" w:rsidP="00C6786A">
      <w:pPr>
        <w:spacing w:before="160" w:after="240" w:line="240" w:lineRule="auto"/>
        <w:ind w:left="360"/>
        <w:jc w:val="center"/>
        <w:outlineLvl w:val="0"/>
        <w:rPr>
          <w:rFonts w:ascii="Times New Roman" w:hAnsi="Times New Roman" w:cs="Times New Roman"/>
          <w:b/>
          <w:sz w:val="24"/>
          <w:szCs w:val="24"/>
        </w:rPr>
      </w:pPr>
      <w:r>
        <w:rPr>
          <w:rFonts w:ascii="Times New Roman" w:hAnsi="Times New Roman" w:cs="Times New Roman"/>
          <w:b/>
          <w:sz w:val="24"/>
          <w:szCs w:val="24"/>
        </w:rPr>
        <w:t xml:space="preserve">2.2.2. </w:t>
      </w:r>
      <w:r w:rsidR="00587130" w:rsidRPr="0085606E">
        <w:rPr>
          <w:rFonts w:ascii="Times New Roman" w:hAnsi="Times New Roman" w:cs="Times New Roman"/>
          <w:b/>
          <w:sz w:val="24"/>
          <w:szCs w:val="24"/>
        </w:rPr>
        <w:t xml:space="preserve">Finansējuma palielināšana citu </w:t>
      </w:r>
      <w:r w:rsidR="00BF2B0F" w:rsidRPr="0085606E">
        <w:rPr>
          <w:rFonts w:ascii="Times New Roman" w:hAnsi="Times New Roman" w:cs="Times New Roman"/>
          <w:b/>
          <w:sz w:val="24"/>
          <w:szCs w:val="24"/>
        </w:rPr>
        <w:t xml:space="preserve">institūciju </w:t>
      </w:r>
      <w:r w:rsidR="00A66C26" w:rsidRPr="0085606E">
        <w:rPr>
          <w:rFonts w:ascii="Times New Roman" w:hAnsi="Times New Roman" w:cs="Times New Roman"/>
          <w:b/>
          <w:sz w:val="24"/>
          <w:szCs w:val="24"/>
        </w:rPr>
        <w:t>īstenotaj</w:t>
      </w:r>
      <w:r w:rsidR="00431889" w:rsidRPr="0085606E">
        <w:rPr>
          <w:rFonts w:ascii="Times New Roman" w:hAnsi="Times New Roman" w:cs="Times New Roman"/>
          <w:b/>
          <w:sz w:val="24"/>
          <w:szCs w:val="24"/>
        </w:rPr>
        <w:t>ām</w:t>
      </w:r>
      <w:r w:rsidR="00A66C26" w:rsidRPr="0085606E">
        <w:rPr>
          <w:rFonts w:ascii="Times New Roman" w:hAnsi="Times New Roman" w:cs="Times New Roman"/>
          <w:b/>
          <w:sz w:val="24"/>
          <w:szCs w:val="24"/>
        </w:rPr>
        <w:t xml:space="preserve"> attīstības sadarbības aktivitātēm</w:t>
      </w:r>
    </w:p>
    <w:p w14:paraId="1FC7E1F5" w14:textId="77777777" w:rsidR="0076530C" w:rsidRPr="009905B5" w:rsidRDefault="00520EA4"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Tie</w:t>
      </w:r>
      <w:r w:rsidR="00F167A4" w:rsidRPr="009905B5">
        <w:rPr>
          <w:rFonts w:ascii="Times New Roman" w:hAnsi="Times New Roman" w:cs="Times New Roman"/>
          <w:sz w:val="24"/>
          <w:szCs w:val="24"/>
        </w:rPr>
        <w:t xml:space="preserve">coties sasniegt 2030 mērķi un vienlaikus </w:t>
      </w:r>
      <w:r w:rsidRPr="009905B5">
        <w:rPr>
          <w:rFonts w:ascii="Times New Roman" w:hAnsi="Times New Roman" w:cs="Times New Roman"/>
          <w:sz w:val="24"/>
          <w:szCs w:val="24"/>
        </w:rPr>
        <w:t>stiprin</w:t>
      </w:r>
      <w:r w:rsidR="00A404AF">
        <w:rPr>
          <w:rFonts w:ascii="Times New Roman" w:hAnsi="Times New Roman" w:cs="Times New Roman"/>
          <w:sz w:val="24"/>
          <w:szCs w:val="24"/>
        </w:rPr>
        <w:t>o</w:t>
      </w:r>
      <w:r w:rsidRPr="009905B5">
        <w:rPr>
          <w:rFonts w:ascii="Times New Roman" w:hAnsi="Times New Roman" w:cs="Times New Roman"/>
          <w:sz w:val="24"/>
          <w:szCs w:val="24"/>
        </w:rPr>
        <w:t>t valsts i</w:t>
      </w:r>
      <w:r w:rsidR="00BF2B0F">
        <w:rPr>
          <w:rFonts w:ascii="Times New Roman" w:hAnsi="Times New Roman" w:cs="Times New Roman"/>
          <w:sz w:val="24"/>
          <w:szCs w:val="24"/>
        </w:rPr>
        <w:t>nstitūciju</w:t>
      </w:r>
      <w:r w:rsidR="00F167A4" w:rsidRPr="009905B5">
        <w:rPr>
          <w:rFonts w:ascii="Times New Roman" w:hAnsi="Times New Roman" w:cs="Times New Roman"/>
          <w:sz w:val="24"/>
          <w:szCs w:val="24"/>
        </w:rPr>
        <w:t xml:space="preserve"> spējas īstenot attīstības sadarbības projektus un aktivitātes, apsveram</w:t>
      </w:r>
      <w:r w:rsidR="00DE63E0">
        <w:rPr>
          <w:rFonts w:ascii="Times New Roman" w:hAnsi="Times New Roman" w:cs="Times New Roman"/>
          <w:sz w:val="24"/>
          <w:szCs w:val="24"/>
        </w:rPr>
        <w:t>a</w:t>
      </w:r>
      <w:r w:rsidR="00F167A4" w:rsidRPr="009905B5">
        <w:rPr>
          <w:rFonts w:ascii="Times New Roman" w:hAnsi="Times New Roman" w:cs="Times New Roman"/>
          <w:sz w:val="24"/>
          <w:szCs w:val="24"/>
        </w:rPr>
        <w:t xml:space="preserve"> būtu </w:t>
      </w:r>
      <w:r w:rsidR="00034E2A">
        <w:rPr>
          <w:rFonts w:ascii="Times New Roman" w:hAnsi="Times New Roman" w:cs="Times New Roman"/>
          <w:sz w:val="24"/>
          <w:szCs w:val="24"/>
        </w:rPr>
        <w:t>arī iespēja</w:t>
      </w:r>
      <w:r w:rsidR="00F167A4" w:rsidRPr="009905B5">
        <w:rPr>
          <w:rFonts w:ascii="Times New Roman" w:hAnsi="Times New Roman" w:cs="Times New Roman"/>
          <w:sz w:val="24"/>
          <w:szCs w:val="24"/>
        </w:rPr>
        <w:t xml:space="preserve"> atsevišķām i</w:t>
      </w:r>
      <w:r w:rsidR="00BF2B0F">
        <w:rPr>
          <w:rFonts w:ascii="Times New Roman" w:hAnsi="Times New Roman" w:cs="Times New Roman"/>
          <w:sz w:val="24"/>
          <w:szCs w:val="24"/>
        </w:rPr>
        <w:t>nstitūcijām</w:t>
      </w:r>
      <w:r w:rsidRPr="009905B5">
        <w:rPr>
          <w:rFonts w:ascii="Times New Roman" w:hAnsi="Times New Roman" w:cs="Times New Roman"/>
          <w:sz w:val="24"/>
          <w:szCs w:val="24"/>
        </w:rPr>
        <w:t xml:space="preserve"> ikgadējos budžetos paredzēt finansējumu attīstības </w:t>
      </w:r>
      <w:r w:rsidR="00F167A4" w:rsidRPr="009905B5">
        <w:rPr>
          <w:rFonts w:ascii="Times New Roman" w:hAnsi="Times New Roman" w:cs="Times New Roman"/>
          <w:sz w:val="24"/>
          <w:szCs w:val="24"/>
        </w:rPr>
        <w:t xml:space="preserve">sadarbības īstenošanai. Alternatīvi būtu </w:t>
      </w:r>
      <w:r w:rsidR="00431889" w:rsidRPr="009905B5">
        <w:rPr>
          <w:rFonts w:ascii="Times New Roman" w:hAnsi="Times New Roman" w:cs="Times New Roman"/>
          <w:sz w:val="24"/>
          <w:szCs w:val="24"/>
        </w:rPr>
        <w:t>izvērtējama iespēja</w:t>
      </w:r>
      <w:r w:rsidR="00F167A4" w:rsidRPr="009905B5">
        <w:rPr>
          <w:rFonts w:ascii="Times New Roman" w:hAnsi="Times New Roman" w:cs="Times New Roman"/>
          <w:sz w:val="24"/>
          <w:szCs w:val="24"/>
        </w:rPr>
        <w:t xml:space="preserve"> </w:t>
      </w:r>
      <w:r w:rsidR="00431889" w:rsidRPr="009905B5">
        <w:rPr>
          <w:rFonts w:ascii="Times New Roman" w:hAnsi="Times New Roman" w:cs="Times New Roman"/>
          <w:sz w:val="24"/>
          <w:szCs w:val="24"/>
        </w:rPr>
        <w:t>noteikt</w:t>
      </w:r>
      <w:r w:rsidR="00F167A4" w:rsidRPr="009905B5">
        <w:rPr>
          <w:rFonts w:ascii="Times New Roman" w:hAnsi="Times New Roman" w:cs="Times New Roman"/>
          <w:sz w:val="24"/>
          <w:szCs w:val="24"/>
        </w:rPr>
        <w:t xml:space="preserve">, ka daļa no </w:t>
      </w:r>
      <w:r w:rsidRPr="009905B5">
        <w:rPr>
          <w:rFonts w:ascii="Times New Roman" w:hAnsi="Times New Roman" w:cs="Times New Roman"/>
          <w:sz w:val="24"/>
          <w:szCs w:val="24"/>
        </w:rPr>
        <w:t>finansējuma, kas paredzēt</w:t>
      </w:r>
      <w:r w:rsidR="00431889" w:rsidRPr="009905B5">
        <w:rPr>
          <w:rFonts w:ascii="Times New Roman" w:hAnsi="Times New Roman" w:cs="Times New Roman"/>
          <w:sz w:val="24"/>
          <w:szCs w:val="24"/>
        </w:rPr>
        <w:t>a</w:t>
      </w:r>
      <w:r w:rsidRPr="009905B5">
        <w:rPr>
          <w:rFonts w:ascii="Times New Roman" w:hAnsi="Times New Roman" w:cs="Times New Roman"/>
          <w:sz w:val="24"/>
          <w:szCs w:val="24"/>
        </w:rPr>
        <w:t xml:space="preserve"> starptautisk</w:t>
      </w:r>
      <w:r w:rsidR="00F167A4" w:rsidRPr="009905B5">
        <w:rPr>
          <w:rFonts w:ascii="Times New Roman" w:hAnsi="Times New Roman" w:cs="Times New Roman"/>
          <w:sz w:val="24"/>
          <w:szCs w:val="24"/>
        </w:rPr>
        <w:t>ās sadarbības īstenošanai, būtu izlietojam</w:t>
      </w:r>
      <w:r w:rsidR="00431889" w:rsidRPr="009905B5">
        <w:rPr>
          <w:rFonts w:ascii="Times New Roman" w:hAnsi="Times New Roman" w:cs="Times New Roman"/>
          <w:sz w:val="24"/>
          <w:szCs w:val="24"/>
        </w:rPr>
        <w:t>a</w:t>
      </w:r>
      <w:r w:rsidRPr="009905B5">
        <w:rPr>
          <w:rFonts w:ascii="Times New Roman" w:hAnsi="Times New Roman" w:cs="Times New Roman"/>
          <w:sz w:val="24"/>
          <w:szCs w:val="24"/>
        </w:rPr>
        <w:t xml:space="preserve"> ar attīstības mērķi </w:t>
      </w:r>
      <w:r w:rsidR="00F167A4" w:rsidRPr="009905B5">
        <w:rPr>
          <w:rFonts w:ascii="Times New Roman" w:hAnsi="Times New Roman" w:cs="Times New Roman"/>
          <w:sz w:val="24"/>
          <w:szCs w:val="24"/>
        </w:rPr>
        <w:t>atbilstoši OECD</w:t>
      </w:r>
      <w:r w:rsidR="00CE17DE">
        <w:rPr>
          <w:rFonts w:ascii="Times New Roman" w:hAnsi="Times New Roman" w:cs="Times New Roman"/>
          <w:sz w:val="24"/>
          <w:szCs w:val="24"/>
        </w:rPr>
        <w:t xml:space="preserve"> </w:t>
      </w:r>
      <w:r w:rsidR="00F167A4" w:rsidRPr="009905B5">
        <w:rPr>
          <w:rFonts w:ascii="Times New Roman" w:hAnsi="Times New Roman" w:cs="Times New Roman"/>
          <w:sz w:val="24"/>
          <w:szCs w:val="24"/>
        </w:rPr>
        <w:t>DAC vadlīnijām.</w:t>
      </w:r>
      <w:r w:rsidR="00CD0859">
        <w:rPr>
          <w:rStyle w:val="FootnoteReference"/>
          <w:rFonts w:ascii="Times New Roman" w:hAnsi="Times New Roman" w:cs="Times New Roman"/>
          <w:sz w:val="24"/>
          <w:szCs w:val="24"/>
        </w:rPr>
        <w:footnoteReference w:id="31"/>
      </w:r>
      <w:r w:rsidR="008A57FF">
        <w:rPr>
          <w:rFonts w:ascii="Times New Roman" w:hAnsi="Times New Roman" w:cs="Times New Roman"/>
          <w:sz w:val="24"/>
          <w:szCs w:val="24"/>
        </w:rPr>
        <w:t xml:space="preserve"> </w:t>
      </w:r>
    </w:p>
    <w:p w14:paraId="36656526" w14:textId="07015EFC" w:rsidR="000F233F" w:rsidRPr="005F77BD" w:rsidRDefault="00F167A4"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Kā jau minēts, vairākas </w:t>
      </w:r>
      <w:r w:rsidR="00CB3540">
        <w:rPr>
          <w:rFonts w:ascii="Times New Roman" w:hAnsi="Times New Roman" w:cs="Times New Roman"/>
          <w:sz w:val="24"/>
          <w:szCs w:val="24"/>
        </w:rPr>
        <w:t xml:space="preserve"> </w:t>
      </w:r>
      <w:r w:rsidR="00BF2B0F">
        <w:rPr>
          <w:rFonts w:ascii="Times New Roman" w:hAnsi="Times New Roman" w:cs="Times New Roman"/>
          <w:sz w:val="24"/>
          <w:szCs w:val="24"/>
        </w:rPr>
        <w:t>institūcijas</w:t>
      </w:r>
      <w:r w:rsidR="004E307A">
        <w:rPr>
          <w:rFonts w:ascii="Times New Roman" w:hAnsi="Times New Roman" w:cs="Times New Roman"/>
          <w:sz w:val="24"/>
          <w:szCs w:val="24"/>
        </w:rPr>
        <w:t xml:space="preserve"> </w:t>
      </w:r>
      <w:r w:rsidRPr="009905B5">
        <w:rPr>
          <w:rFonts w:ascii="Times New Roman" w:hAnsi="Times New Roman" w:cs="Times New Roman"/>
          <w:sz w:val="24"/>
          <w:szCs w:val="24"/>
        </w:rPr>
        <w:t xml:space="preserve">jau šobrīd ir aktīvi attīstības sadarbības projektu un aktivitāšu īstenotāji. </w:t>
      </w:r>
      <w:r w:rsidR="00BF2B0F">
        <w:rPr>
          <w:rFonts w:ascii="Times New Roman" w:hAnsi="Times New Roman" w:cs="Times New Roman"/>
          <w:sz w:val="24"/>
          <w:szCs w:val="24"/>
        </w:rPr>
        <w:t>Institūciju</w:t>
      </w:r>
      <w:r w:rsidR="00BF2B0F" w:rsidRPr="009905B5">
        <w:rPr>
          <w:rFonts w:ascii="Times New Roman" w:hAnsi="Times New Roman" w:cs="Times New Roman"/>
          <w:sz w:val="24"/>
          <w:szCs w:val="24"/>
        </w:rPr>
        <w:t xml:space="preserve"> </w:t>
      </w:r>
      <w:r w:rsidRPr="009905B5">
        <w:rPr>
          <w:rFonts w:ascii="Times New Roman" w:hAnsi="Times New Roman" w:cs="Times New Roman"/>
          <w:sz w:val="24"/>
          <w:szCs w:val="24"/>
        </w:rPr>
        <w:t xml:space="preserve">pieredze neaprobežojas ar ĀM finansētu projektu īstenošanu, bet ietver arī būtisku </w:t>
      </w:r>
      <w:r w:rsidR="00133084" w:rsidRPr="009905B5">
        <w:rPr>
          <w:rFonts w:ascii="Times New Roman" w:hAnsi="Times New Roman" w:cs="Times New Roman"/>
          <w:sz w:val="24"/>
          <w:szCs w:val="24"/>
        </w:rPr>
        <w:t xml:space="preserve">pieredzi ES finansēto projektu, t.sk. </w:t>
      </w:r>
      <w:proofErr w:type="spellStart"/>
      <w:r w:rsidR="00133084" w:rsidRPr="009905B5">
        <w:rPr>
          <w:rFonts w:ascii="Times New Roman" w:hAnsi="Times New Roman" w:cs="Times New Roman"/>
          <w:i/>
          <w:sz w:val="24"/>
          <w:szCs w:val="24"/>
        </w:rPr>
        <w:t>Twinning</w:t>
      </w:r>
      <w:proofErr w:type="spellEnd"/>
      <w:r w:rsidR="00133084" w:rsidRPr="009905B5">
        <w:rPr>
          <w:rFonts w:ascii="Times New Roman" w:hAnsi="Times New Roman" w:cs="Times New Roman"/>
          <w:sz w:val="24"/>
          <w:szCs w:val="24"/>
        </w:rPr>
        <w:t xml:space="preserve">, un citu donoru projektu īstenošanā. </w:t>
      </w:r>
      <w:r w:rsidR="00A61BBE" w:rsidRPr="009905B5">
        <w:rPr>
          <w:rFonts w:ascii="Times New Roman" w:hAnsi="Times New Roman" w:cs="Times New Roman"/>
          <w:sz w:val="24"/>
          <w:szCs w:val="24"/>
        </w:rPr>
        <w:t xml:space="preserve">Finansējuma pieejamība attīstības sadarbības aktivitāšu īstenošanai veicinātu ne tikai to spējas ieviest projektus, bet arī starptautisko prestižu. Tas nodrošinātu paredzamību gan pašām </w:t>
      </w:r>
      <w:r w:rsidR="00BF2B0F">
        <w:rPr>
          <w:rFonts w:ascii="Times New Roman" w:hAnsi="Times New Roman" w:cs="Times New Roman"/>
          <w:sz w:val="24"/>
          <w:szCs w:val="24"/>
        </w:rPr>
        <w:t>institūcijām</w:t>
      </w:r>
      <w:r w:rsidR="00A61BBE" w:rsidRPr="009905B5">
        <w:rPr>
          <w:rFonts w:ascii="Times New Roman" w:hAnsi="Times New Roman" w:cs="Times New Roman"/>
          <w:sz w:val="24"/>
          <w:szCs w:val="24"/>
        </w:rPr>
        <w:t xml:space="preserve">, gan </w:t>
      </w:r>
      <w:r w:rsidR="00A404AF" w:rsidRPr="009905B5">
        <w:rPr>
          <w:rFonts w:ascii="Times New Roman" w:hAnsi="Times New Roman" w:cs="Times New Roman"/>
          <w:sz w:val="24"/>
          <w:szCs w:val="24"/>
        </w:rPr>
        <w:t>t</w:t>
      </w:r>
      <w:r w:rsidR="00A404AF">
        <w:rPr>
          <w:rFonts w:ascii="Times New Roman" w:hAnsi="Times New Roman" w:cs="Times New Roman"/>
          <w:sz w:val="24"/>
          <w:szCs w:val="24"/>
        </w:rPr>
        <w:t>o</w:t>
      </w:r>
      <w:r w:rsidR="00A404AF" w:rsidRPr="009905B5">
        <w:rPr>
          <w:rFonts w:ascii="Times New Roman" w:hAnsi="Times New Roman" w:cs="Times New Roman"/>
          <w:sz w:val="24"/>
          <w:szCs w:val="24"/>
        </w:rPr>
        <w:t xml:space="preserve"> </w:t>
      </w:r>
      <w:r w:rsidR="00A61BBE" w:rsidRPr="009905B5">
        <w:rPr>
          <w:rFonts w:ascii="Times New Roman" w:hAnsi="Times New Roman" w:cs="Times New Roman"/>
          <w:sz w:val="24"/>
          <w:szCs w:val="24"/>
        </w:rPr>
        <w:t>partneriem attīstības valstīs, kas</w:t>
      </w:r>
      <w:r w:rsidR="00A404AF">
        <w:rPr>
          <w:rFonts w:ascii="Times New Roman" w:hAnsi="Times New Roman" w:cs="Times New Roman"/>
          <w:sz w:val="24"/>
          <w:szCs w:val="24"/>
        </w:rPr>
        <w:t xml:space="preserve"> ir</w:t>
      </w:r>
      <w:r w:rsidR="00A61BBE" w:rsidRPr="009905B5">
        <w:rPr>
          <w:rFonts w:ascii="Times New Roman" w:hAnsi="Times New Roman" w:cs="Times New Roman"/>
          <w:sz w:val="24"/>
          <w:szCs w:val="24"/>
        </w:rPr>
        <w:t xml:space="preserve"> ieinteresēti saņemt atbalstu. Finansējumu būtu iespējams izmantot, lai iesaistītos citu donoru projektos.</w:t>
      </w:r>
    </w:p>
    <w:p w14:paraId="6AE63633" w14:textId="77777777" w:rsidR="0007077C" w:rsidRPr="00593C92" w:rsidRDefault="00BF2B0F" w:rsidP="00C05614">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Institūcijas</w:t>
      </w:r>
      <w:r w:rsidR="00034E2A">
        <w:rPr>
          <w:rFonts w:ascii="Times New Roman" w:hAnsi="Times New Roman" w:cs="Times New Roman"/>
          <w:b/>
          <w:sz w:val="24"/>
          <w:szCs w:val="24"/>
        </w:rPr>
        <w:t>, kas iesaistītas attīstības sadarbības projektu un aktivitāšu īstenošanā</w:t>
      </w:r>
      <w:r w:rsidR="00BE7CFD">
        <w:rPr>
          <w:rStyle w:val="FootnoteReference"/>
          <w:rFonts w:ascii="Times New Roman" w:hAnsi="Times New Roman" w:cs="Times New Roman"/>
          <w:b/>
          <w:sz w:val="24"/>
          <w:szCs w:val="24"/>
        </w:rPr>
        <w:footnoteReference w:id="32"/>
      </w:r>
      <w:r w:rsidR="00593C92" w:rsidRPr="00593C92">
        <w:rPr>
          <w:rFonts w:ascii="Times New Roman" w:hAnsi="Times New Roman" w:cs="Times New Roman"/>
          <w:b/>
          <w:sz w:val="24"/>
          <w:szCs w:val="24"/>
        </w:rPr>
        <w:t>:</w:t>
      </w:r>
    </w:p>
    <w:p w14:paraId="1CBA22BD" w14:textId="77777777" w:rsidR="00F7449A" w:rsidRPr="00BE5444" w:rsidRDefault="00F7449A" w:rsidP="00F7449A">
      <w:pPr>
        <w:pStyle w:val="ListParagraph"/>
        <w:numPr>
          <w:ilvl w:val="0"/>
          <w:numId w:val="30"/>
        </w:numPr>
        <w:spacing w:before="120" w:after="0" w:line="240" w:lineRule="auto"/>
        <w:jc w:val="both"/>
        <w:rPr>
          <w:rFonts w:ascii="Times New Roman" w:hAnsi="Times New Roman" w:cs="Times New Roman"/>
          <w:sz w:val="24"/>
          <w:szCs w:val="24"/>
        </w:rPr>
      </w:pPr>
      <w:r w:rsidRPr="00BE5444">
        <w:rPr>
          <w:rFonts w:ascii="Times New Roman" w:hAnsi="Times New Roman" w:cs="Times New Roman"/>
          <w:b/>
          <w:sz w:val="24"/>
          <w:szCs w:val="24"/>
        </w:rPr>
        <w:t>Iekšlietu ministrija</w:t>
      </w:r>
      <w:r>
        <w:rPr>
          <w:rFonts w:ascii="Times New Roman" w:hAnsi="Times New Roman" w:cs="Times New Roman"/>
          <w:b/>
          <w:sz w:val="24"/>
          <w:szCs w:val="24"/>
        </w:rPr>
        <w:t xml:space="preserve"> (turpmāk – IeM) un tās padotības iestādes</w:t>
      </w:r>
      <w:r w:rsidRPr="00BE5444">
        <w:rPr>
          <w:rFonts w:ascii="Times New Roman" w:hAnsi="Times New Roman" w:cs="Times New Roman"/>
          <w:sz w:val="24"/>
          <w:szCs w:val="24"/>
        </w:rPr>
        <w:t xml:space="preserve"> iesaistās un īsteno attīstības sadarbības projektus un aktivitātes, piemēram, Pilsonības un migrācijas lietu pārvalde ir īstenojusi </w:t>
      </w:r>
      <w:proofErr w:type="spellStart"/>
      <w:r w:rsidRPr="00494B83">
        <w:rPr>
          <w:rFonts w:ascii="Times New Roman" w:hAnsi="Times New Roman" w:cs="Times New Roman"/>
          <w:i/>
          <w:sz w:val="24"/>
          <w:szCs w:val="24"/>
        </w:rPr>
        <w:t>Twinning</w:t>
      </w:r>
      <w:proofErr w:type="spellEnd"/>
      <w:r w:rsidRPr="00BE5444">
        <w:rPr>
          <w:rFonts w:ascii="Times New Roman" w:hAnsi="Times New Roman" w:cs="Times New Roman"/>
          <w:sz w:val="24"/>
          <w:szCs w:val="24"/>
        </w:rPr>
        <w:t xml:space="preserve"> projektus </w:t>
      </w:r>
      <w:r>
        <w:rPr>
          <w:rFonts w:ascii="Times New Roman" w:hAnsi="Times New Roman" w:cs="Times New Roman"/>
          <w:sz w:val="24"/>
          <w:szCs w:val="24"/>
        </w:rPr>
        <w:t>Kosovas atbalstam</w:t>
      </w:r>
      <w:r w:rsidRPr="00BE5444">
        <w:rPr>
          <w:rFonts w:ascii="Times New Roman" w:hAnsi="Times New Roman" w:cs="Times New Roman"/>
          <w:sz w:val="24"/>
          <w:szCs w:val="24"/>
        </w:rPr>
        <w:t xml:space="preserve"> un atbalsta projektus mobilitātes partnerības ar Azerbaidžānu īstenošanai</w:t>
      </w:r>
      <w:r w:rsidRPr="00F7449A">
        <w:rPr>
          <w:rFonts w:ascii="Times New Roman" w:hAnsi="Times New Roman" w:cs="Times New Roman"/>
          <w:sz w:val="24"/>
          <w:szCs w:val="24"/>
        </w:rPr>
        <w:t xml:space="preserve"> (MOBILAZE)</w:t>
      </w:r>
      <w:r w:rsidR="00102B4B">
        <w:rPr>
          <w:rFonts w:ascii="Times New Roman" w:hAnsi="Times New Roman" w:cs="Times New Roman"/>
          <w:sz w:val="24"/>
          <w:szCs w:val="24"/>
        </w:rPr>
        <w:t xml:space="preserve">, </w:t>
      </w:r>
      <w:r w:rsidR="00102B4B" w:rsidRPr="00A025F9">
        <w:rPr>
          <w:rFonts w:ascii="Times New Roman" w:hAnsi="Times New Roman" w:cs="Times New Roman"/>
          <w:sz w:val="24"/>
          <w:szCs w:val="24"/>
        </w:rPr>
        <w:t xml:space="preserve">Valsts policija īstenojusi </w:t>
      </w:r>
      <w:proofErr w:type="spellStart"/>
      <w:r w:rsidR="00102B4B" w:rsidRPr="00A025F9">
        <w:rPr>
          <w:rFonts w:ascii="Times New Roman" w:hAnsi="Times New Roman" w:cs="Times New Roman"/>
          <w:i/>
          <w:sz w:val="24"/>
          <w:szCs w:val="24"/>
        </w:rPr>
        <w:t>Twinning</w:t>
      </w:r>
      <w:proofErr w:type="spellEnd"/>
      <w:r w:rsidR="00102B4B" w:rsidRPr="00A025F9">
        <w:rPr>
          <w:rFonts w:ascii="Times New Roman" w:hAnsi="Times New Roman" w:cs="Times New Roman"/>
          <w:sz w:val="24"/>
          <w:szCs w:val="24"/>
        </w:rPr>
        <w:t xml:space="preserve"> projektu </w:t>
      </w:r>
      <w:proofErr w:type="spellStart"/>
      <w:r w:rsidR="00B2742D" w:rsidRPr="00A025F9">
        <w:rPr>
          <w:rFonts w:ascii="Times New Roman" w:hAnsi="Times New Roman" w:cs="Times New Roman"/>
          <w:sz w:val="24"/>
          <w:szCs w:val="24"/>
        </w:rPr>
        <w:t>Ziemeļm</w:t>
      </w:r>
      <w:r w:rsidR="00102B4B" w:rsidRPr="00A025F9">
        <w:rPr>
          <w:rFonts w:ascii="Times New Roman" w:hAnsi="Times New Roman" w:cs="Times New Roman"/>
          <w:sz w:val="24"/>
          <w:szCs w:val="24"/>
        </w:rPr>
        <w:t>aķedonijā</w:t>
      </w:r>
      <w:proofErr w:type="spellEnd"/>
      <w:r w:rsidR="00102B4B" w:rsidRPr="00A025F9">
        <w:rPr>
          <w:rFonts w:ascii="Times New Roman" w:hAnsi="Times New Roman" w:cs="Times New Roman"/>
          <w:sz w:val="24"/>
          <w:szCs w:val="24"/>
        </w:rPr>
        <w:t>.</w:t>
      </w:r>
      <w:r w:rsidRPr="00F7449A">
        <w:rPr>
          <w:rFonts w:ascii="Times New Roman" w:hAnsi="Times New Roman" w:cs="Times New Roman"/>
          <w:sz w:val="24"/>
          <w:szCs w:val="24"/>
        </w:rPr>
        <w:t xml:space="preserve"> Valsts robežsardzei</w:t>
      </w:r>
      <w:r>
        <w:rPr>
          <w:rFonts w:ascii="Times New Roman" w:hAnsi="Times New Roman" w:cs="Times New Roman"/>
          <w:sz w:val="24"/>
          <w:szCs w:val="24"/>
        </w:rPr>
        <w:t xml:space="preserve"> (turpmāk – VRS)</w:t>
      </w:r>
      <w:r w:rsidRPr="00F7449A">
        <w:rPr>
          <w:rFonts w:ascii="Times New Roman" w:hAnsi="Times New Roman" w:cs="Times New Roman"/>
          <w:sz w:val="24"/>
          <w:szCs w:val="24"/>
        </w:rPr>
        <w:t xml:space="preserve"> kop</w:t>
      </w:r>
      <w:r>
        <w:rPr>
          <w:rFonts w:ascii="Times New Roman" w:hAnsi="Times New Roman" w:cs="Times New Roman"/>
          <w:sz w:val="24"/>
          <w:szCs w:val="24"/>
        </w:rPr>
        <w:t xml:space="preserve">š 2015.gada </w:t>
      </w:r>
      <w:r w:rsidRPr="00BE5444">
        <w:rPr>
          <w:rFonts w:ascii="Times New Roman" w:hAnsi="Times New Roman" w:cs="Times New Roman"/>
          <w:sz w:val="24"/>
          <w:szCs w:val="24"/>
        </w:rPr>
        <w:t xml:space="preserve">ir vadošā loma Robežu pārvaldības Centrālajā Āzijā - 9.fāzes (turpmāk </w:t>
      </w:r>
      <w:r w:rsidRPr="00F7449A">
        <w:rPr>
          <w:rFonts w:ascii="Times New Roman" w:hAnsi="Times New Roman" w:cs="Times New Roman"/>
          <w:sz w:val="24"/>
          <w:szCs w:val="24"/>
        </w:rPr>
        <w:t xml:space="preserve">- BOMCA 9) </w:t>
      </w:r>
      <w:r>
        <w:rPr>
          <w:rFonts w:ascii="Times New Roman" w:hAnsi="Times New Roman" w:cs="Times New Roman"/>
          <w:sz w:val="24"/>
          <w:szCs w:val="24"/>
        </w:rPr>
        <w:t xml:space="preserve">īstenošanā un </w:t>
      </w:r>
      <w:r w:rsidR="00DE63E0">
        <w:rPr>
          <w:rFonts w:ascii="Times New Roman" w:hAnsi="Times New Roman" w:cs="Times New Roman"/>
          <w:sz w:val="24"/>
          <w:szCs w:val="24"/>
        </w:rPr>
        <w:t xml:space="preserve">ir </w:t>
      </w:r>
      <w:r>
        <w:rPr>
          <w:rFonts w:ascii="Times New Roman" w:hAnsi="Times New Roman" w:cs="Times New Roman"/>
          <w:sz w:val="24"/>
          <w:szCs w:val="24"/>
        </w:rPr>
        <w:t xml:space="preserve">uzsākusi darbu pie jauna konsorcija izveides BOMCA programmas 10.posma īstenošanā, ko paredzēts uzsākt 2020.gadā. VRS pēdējos gados arī īstenojusi vairākus </w:t>
      </w:r>
      <w:r w:rsidRPr="00F7449A">
        <w:rPr>
          <w:rFonts w:ascii="Times New Roman" w:hAnsi="Times New Roman" w:cs="Times New Roman"/>
          <w:sz w:val="24"/>
          <w:szCs w:val="24"/>
        </w:rPr>
        <w:t>Mobilitātes partnerības mehānisma projekt</w:t>
      </w:r>
      <w:r>
        <w:rPr>
          <w:rFonts w:ascii="Times New Roman" w:hAnsi="Times New Roman" w:cs="Times New Roman"/>
          <w:sz w:val="24"/>
          <w:szCs w:val="24"/>
        </w:rPr>
        <w:t xml:space="preserve">us Gruzijas un Moldovas atbalstam. </w:t>
      </w:r>
      <w:r w:rsidRPr="00BE5444">
        <w:rPr>
          <w:rFonts w:ascii="Times New Roman" w:hAnsi="Times New Roman" w:cs="Times New Roman"/>
          <w:sz w:val="24"/>
          <w:szCs w:val="24"/>
        </w:rPr>
        <w:t xml:space="preserve"> </w:t>
      </w:r>
      <w:r>
        <w:rPr>
          <w:rFonts w:ascii="Times New Roman" w:hAnsi="Times New Roman" w:cs="Times New Roman"/>
          <w:sz w:val="24"/>
          <w:szCs w:val="24"/>
        </w:rPr>
        <w:t>IeM un tās padotības iestādes iesaistītas arī citu aktivitāšu īstenošanā, piemēram, piedaloties</w:t>
      </w:r>
      <w:r w:rsidRPr="00F7449A">
        <w:rPr>
          <w:rFonts w:ascii="Times New Roman" w:hAnsi="Times New Roman" w:cs="Times New Roman"/>
          <w:sz w:val="24"/>
          <w:szCs w:val="24"/>
        </w:rPr>
        <w:t xml:space="preserve"> </w:t>
      </w:r>
      <w:r>
        <w:rPr>
          <w:rFonts w:ascii="Times New Roman" w:hAnsi="Times New Roman" w:cs="Times New Roman"/>
          <w:sz w:val="24"/>
          <w:szCs w:val="24"/>
        </w:rPr>
        <w:t>ES novērošanas misijā Gruzijā, kā arī</w:t>
      </w:r>
      <w:r w:rsidRPr="00F7449A">
        <w:rPr>
          <w:rFonts w:ascii="Times New Roman" w:hAnsi="Times New Roman" w:cs="Times New Roman"/>
          <w:sz w:val="24"/>
          <w:szCs w:val="24"/>
        </w:rPr>
        <w:t xml:space="preserve"> veic</w:t>
      </w:r>
      <w:r w:rsidR="00DE63E0">
        <w:rPr>
          <w:rFonts w:ascii="Times New Roman" w:hAnsi="Times New Roman" w:cs="Times New Roman"/>
          <w:sz w:val="24"/>
          <w:szCs w:val="24"/>
        </w:rPr>
        <w:t>ot</w:t>
      </w:r>
      <w:r w:rsidRPr="00F7449A">
        <w:rPr>
          <w:rFonts w:ascii="Times New Roman" w:hAnsi="Times New Roman" w:cs="Times New Roman"/>
          <w:sz w:val="24"/>
          <w:szCs w:val="24"/>
        </w:rPr>
        <w:t xml:space="preserve"> iemaksas </w:t>
      </w:r>
      <w:r>
        <w:rPr>
          <w:rFonts w:ascii="Times New Roman" w:hAnsi="Times New Roman" w:cs="Times New Roman"/>
          <w:sz w:val="24"/>
          <w:szCs w:val="24"/>
        </w:rPr>
        <w:t xml:space="preserve">starptautiskajās organizācijās </w:t>
      </w:r>
      <w:r w:rsidRPr="00F7449A">
        <w:rPr>
          <w:rFonts w:ascii="Times New Roman" w:hAnsi="Times New Roman" w:cs="Times New Roman"/>
          <w:sz w:val="24"/>
          <w:szCs w:val="24"/>
        </w:rPr>
        <w:t>un sniedz</w:t>
      </w:r>
      <w:r w:rsidR="00DE63E0">
        <w:rPr>
          <w:rFonts w:ascii="Times New Roman" w:hAnsi="Times New Roman" w:cs="Times New Roman"/>
          <w:sz w:val="24"/>
          <w:szCs w:val="24"/>
        </w:rPr>
        <w:t>ot</w:t>
      </w:r>
      <w:r w:rsidRPr="00F7449A">
        <w:rPr>
          <w:rFonts w:ascii="Times New Roman" w:hAnsi="Times New Roman" w:cs="Times New Roman"/>
          <w:sz w:val="24"/>
          <w:szCs w:val="24"/>
        </w:rPr>
        <w:t xml:space="preserve"> humāno palīdzību no valsts materiālo rezervju resursiem</w:t>
      </w:r>
      <w:r>
        <w:rPr>
          <w:rFonts w:ascii="Times New Roman" w:hAnsi="Times New Roman" w:cs="Times New Roman"/>
          <w:sz w:val="24"/>
          <w:szCs w:val="24"/>
        </w:rPr>
        <w:t>.</w:t>
      </w:r>
    </w:p>
    <w:p w14:paraId="2BD368D4" w14:textId="77777777" w:rsidR="007C3C06" w:rsidRPr="00C62F7E" w:rsidRDefault="007C3C06" w:rsidP="007878AF">
      <w:pPr>
        <w:pStyle w:val="ListParagraph"/>
        <w:numPr>
          <w:ilvl w:val="0"/>
          <w:numId w:val="30"/>
        </w:numPr>
        <w:spacing w:before="120" w:after="0" w:line="240" w:lineRule="auto"/>
        <w:jc w:val="both"/>
      </w:pPr>
      <w:r w:rsidRPr="00CA7B52">
        <w:rPr>
          <w:rFonts w:ascii="Times New Roman" w:hAnsi="Times New Roman" w:cs="Times New Roman"/>
          <w:b/>
          <w:sz w:val="24"/>
        </w:rPr>
        <w:t>Izglītības un zinātnes ministrija (turpmāk – IZM)</w:t>
      </w:r>
      <w:r w:rsidRPr="00CA7B52">
        <w:rPr>
          <w:rFonts w:ascii="Times New Roman" w:hAnsi="Times New Roman" w:cs="Times New Roman"/>
          <w:sz w:val="24"/>
        </w:rPr>
        <w:t xml:space="preserve">. Virkne IZM un tās padotības iestāžu īstenotās aktivitātes, piemēram, Latvijas valsts stipendiju piešķiršana </w:t>
      </w:r>
      <w:r w:rsidRPr="00CA7B52">
        <w:rPr>
          <w:rFonts w:ascii="Times New Roman" w:hAnsi="Times New Roman" w:cs="Times New Roman"/>
          <w:sz w:val="24"/>
        </w:rPr>
        <w:lastRenderedPageBreak/>
        <w:t xml:space="preserve">attīstības valstu studentiem un pētniekiem, Erasmus+ programmas </w:t>
      </w:r>
      <w:proofErr w:type="spellStart"/>
      <w:r w:rsidRPr="00CA7B52">
        <w:rPr>
          <w:rFonts w:ascii="Times New Roman" w:hAnsi="Times New Roman" w:cs="Times New Roman"/>
          <w:sz w:val="24"/>
        </w:rPr>
        <w:t>mobilitāšu</w:t>
      </w:r>
      <w:proofErr w:type="spellEnd"/>
      <w:r w:rsidRPr="00CA7B52">
        <w:rPr>
          <w:rFonts w:ascii="Times New Roman" w:hAnsi="Times New Roman" w:cs="Times New Roman"/>
          <w:sz w:val="24"/>
        </w:rPr>
        <w:t xml:space="preserve"> līdzfinansēšana, atbalsts globālajai (attīstības) izglītībai jau šobrīd tiek uzskaitītas kā OAP.</w:t>
      </w:r>
      <w:r>
        <w:rPr>
          <w:rFonts w:ascii="Times New Roman" w:hAnsi="Times New Roman" w:cs="Times New Roman"/>
          <w:sz w:val="24"/>
        </w:rPr>
        <w:t xml:space="preserve"> Ar ĀM atbalstu</w:t>
      </w:r>
      <w:r w:rsidRPr="00CA7B52">
        <w:rPr>
          <w:rFonts w:ascii="Times New Roman" w:hAnsi="Times New Roman" w:cs="Times New Roman"/>
          <w:sz w:val="24"/>
        </w:rPr>
        <w:t xml:space="preserve"> IZM arī nodod pieredzi un ekspertīzi Centrālāzijas valstīm profesionālās izglītības jomā, no 2015.-2019</w:t>
      </w:r>
      <w:r>
        <w:rPr>
          <w:rFonts w:ascii="Times New Roman" w:hAnsi="Times New Roman" w:cs="Times New Roman"/>
          <w:sz w:val="24"/>
        </w:rPr>
        <w:t>. gad</w:t>
      </w:r>
      <w:r w:rsidRPr="00CA7B52">
        <w:rPr>
          <w:rFonts w:ascii="Times New Roman" w:hAnsi="Times New Roman" w:cs="Times New Roman"/>
          <w:sz w:val="24"/>
        </w:rPr>
        <w:t>am uzņemoties vadošo lomu ES – Centrālāzijas izglītības platformā šajos jautājumos</w:t>
      </w:r>
      <w:r w:rsidR="007878AF">
        <w:rPr>
          <w:rFonts w:ascii="Times New Roman" w:hAnsi="Times New Roman" w:cs="Times New Roman"/>
          <w:sz w:val="24"/>
        </w:rPr>
        <w:t xml:space="preserve">, </w:t>
      </w:r>
      <w:r w:rsidR="007878AF" w:rsidRPr="007878AF">
        <w:rPr>
          <w:rFonts w:ascii="Times New Roman" w:hAnsi="Times New Roman" w:cs="Times New Roman"/>
          <w:sz w:val="24"/>
        </w:rPr>
        <w:t>kā arī ārpus tās, sniedzot atbalstu izglītības reformu īstenošanai Centrālāzijas valstīs, ievērojot šo valstu interesi par pieredzes apmaiņu izglītības jomā reformu īstenošanai izglītībā šobrīd un tur</w:t>
      </w:r>
      <w:r w:rsidR="007878AF">
        <w:rPr>
          <w:rFonts w:ascii="Times New Roman" w:hAnsi="Times New Roman" w:cs="Times New Roman"/>
          <w:sz w:val="24"/>
        </w:rPr>
        <w:t>pmāk.</w:t>
      </w:r>
      <w:r>
        <w:rPr>
          <w:sz w:val="24"/>
        </w:rPr>
        <w:t xml:space="preserve"> </w:t>
      </w:r>
    </w:p>
    <w:p w14:paraId="68696162" w14:textId="77777777" w:rsidR="007C3C06" w:rsidRDefault="007C3C06" w:rsidP="007C3C06">
      <w:pPr>
        <w:pStyle w:val="ListParagraph"/>
        <w:numPr>
          <w:ilvl w:val="0"/>
          <w:numId w:val="30"/>
        </w:numPr>
        <w:spacing w:before="120" w:after="0" w:line="240" w:lineRule="auto"/>
        <w:jc w:val="both"/>
        <w:rPr>
          <w:rFonts w:ascii="Times New Roman" w:hAnsi="Times New Roman" w:cs="Times New Roman"/>
          <w:sz w:val="24"/>
          <w:szCs w:val="24"/>
        </w:rPr>
      </w:pPr>
      <w:r w:rsidRPr="00593C92">
        <w:rPr>
          <w:rFonts w:ascii="Times New Roman" w:hAnsi="Times New Roman" w:cs="Times New Roman"/>
          <w:b/>
          <w:sz w:val="24"/>
          <w:szCs w:val="24"/>
        </w:rPr>
        <w:t xml:space="preserve">Korupcijas apkarošanas un novēršanas birojs </w:t>
      </w:r>
      <w:r w:rsidRPr="00593C92">
        <w:rPr>
          <w:rFonts w:ascii="Times New Roman" w:hAnsi="Times New Roman" w:cs="Times New Roman"/>
          <w:sz w:val="24"/>
          <w:szCs w:val="24"/>
        </w:rPr>
        <w:t>(turpmāk – KNAB). Cīņa ar korupciju ir aktuāla, līdz ar to būtu jāapsver, kā veicināt Latvijas pieredzes nodošanu attīstības valstīm, īpaši tām, kas ir arī nozīmīgi ekonomiskie un tirdzniecības partneri. Lai arī KNAB nav tieši ieviesusi nevienu ĀM finansētu attīstības sadarbības projektu, KNAB eksperti ir piesaistīti projektu īstenošanā.</w:t>
      </w:r>
    </w:p>
    <w:p w14:paraId="2DC9DAAC" w14:textId="77777777" w:rsidR="00212EA3" w:rsidRPr="00034E2A" w:rsidRDefault="00212EA3" w:rsidP="000B464B">
      <w:pPr>
        <w:pStyle w:val="ListParagraph"/>
        <w:numPr>
          <w:ilvl w:val="0"/>
          <w:numId w:val="30"/>
        </w:numPr>
        <w:spacing w:before="120" w:after="0" w:line="240" w:lineRule="auto"/>
        <w:jc w:val="both"/>
        <w:rPr>
          <w:rFonts w:ascii="Times New Roman" w:hAnsi="Times New Roman" w:cs="Times New Roman"/>
          <w:sz w:val="24"/>
          <w:szCs w:val="24"/>
        </w:rPr>
      </w:pPr>
      <w:r w:rsidRPr="00593C92">
        <w:rPr>
          <w:rFonts w:ascii="Times New Roman" w:hAnsi="Times New Roman" w:cs="Times New Roman"/>
          <w:b/>
          <w:sz w:val="24"/>
          <w:szCs w:val="24"/>
        </w:rPr>
        <w:t xml:space="preserve">Satversmes tiesa </w:t>
      </w:r>
      <w:r w:rsidRPr="00593C92">
        <w:rPr>
          <w:rFonts w:ascii="Times New Roman" w:hAnsi="Times New Roman" w:cs="Times New Roman"/>
          <w:sz w:val="24"/>
          <w:szCs w:val="24"/>
        </w:rPr>
        <w:t>(turpmāk – ST)</w:t>
      </w:r>
      <w:r>
        <w:rPr>
          <w:rFonts w:ascii="Times New Roman" w:hAnsi="Times New Roman" w:cs="Times New Roman"/>
          <w:sz w:val="24"/>
          <w:szCs w:val="24"/>
        </w:rPr>
        <w:t xml:space="preserve"> sadarbojas ar starptautiskajām organizācijām (attīstības kontekstā īpaši izceļams ST iesaiste Venēcijas komisijas darbā</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kā arī divpusēji sadarbojas ar </w:t>
      </w:r>
      <w:r w:rsidR="000B464B">
        <w:rPr>
          <w:rFonts w:ascii="Times New Roman" w:hAnsi="Times New Roman" w:cs="Times New Roman"/>
          <w:sz w:val="24"/>
          <w:szCs w:val="24"/>
        </w:rPr>
        <w:t xml:space="preserve">ES dalībvalstu un Eiropas valstu konstitucionālajām tiesām, kā arī Austrumu partnerības valstu un Centrālāzijas valstu konstitucionālajām tiesām. </w:t>
      </w:r>
      <w:r w:rsidR="000B464B" w:rsidRPr="000B464B">
        <w:rPr>
          <w:rFonts w:ascii="Times New Roman" w:hAnsi="Times New Roman" w:cs="Times New Roman"/>
          <w:sz w:val="24"/>
          <w:szCs w:val="24"/>
        </w:rPr>
        <w:t>Īpaši cieša sadarbība 2019. gadā notika ar Moldovas, Ukrainas un Armēnijas konstitucionālajām tiesām</w:t>
      </w:r>
      <w:r w:rsidR="000B464B">
        <w:rPr>
          <w:rFonts w:ascii="Times New Roman" w:hAnsi="Times New Roman" w:cs="Times New Roman"/>
          <w:sz w:val="24"/>
          <w:szCs w:val="24"/>
        </w:rPr>
        <w:t xml:space="preserve">. </w:t>
      </w:r>
      <w:r>
        <w:rPr>
          <w:rFonts w:ascii="Times New Roman" w:hAnsi="Times New Roman" w:cs="Times New Roman"/>
          <w:sz w:val="24"/>
          <w:szCs w:val="24"/>
        </w:rPr>
        <w:t xml:space="preserve">2019.gadā ST organizēja pieredzes apmaiņas mācības Moldovas Konstitucionālās tiesas juristiem un tiesnešiem par starptautisko cilvēktiesību normu un tiesu prakses piemērošanu </w:t>
      </w:r>
      <w:r w:rsidRPr="00B816D6">
        <w:rPr>
          <w:rFonts w:ascii="Times New Roman" w:hAnsi="Times New Roman" w:cs="Times New Roman"/>
          <w:sz w:val="24"/>
          <w:szCs w:val="24"/>
        </w:rPr>
        <w:t>cilvēktiesību ierobežojumu tiesiskuma izvērtēšanā.</w:t>
      </w:r>
      <w:r>
        <w:rPr>
          <w:rFonts w:ascii="Times New Roman" w:hAnsi="Times New Roman" w:cs="Times New Roman"/>
          <w:sz w:val="24"/>
          <w:szCs w:val="24"/>
        </w:rPr>
        <w:t xml:space="preserve"> ST pieredzes un ekspertīzes</w:t>
      </w:r>
      <w:r w:rsidR="000B464B">
        <w:rPr>
          <w:rFonts w:ascii="Times New Roman" w:hAnsi="Times New Roman" w:cs="Times New Roman"/>
          <w:sz w:val="24"/>
          <w:szCs w:val="24"/>
        </w:rPr>
        <w:t xml:space="preserve"> nodošana partnervalstīm par to, kā balstīt valsts veidošanu</w:t>
      </w:r>
      <w:r>
        <w:rPr>
          <w:rFonts w:ascii="Times New Roman" w:hAnsi="Times New Roman" w:cs="Times New Roman"/>
          <w:sz w:val="24"/>
          <w:szCs w:val="24"/>
        </w:rPr>
        <w:t xml:space="preserve"> uz </w:t>
      </w:r>
      <w:r w:rsidRPr="00B816D6">
        <w:rPr>
          <w:rFonts w:ascii="Times New Roman" w:hAnsi="Times New Roman" w:cs="Times New Roman"/>
          <w:sz w:val="24"/>
          <w:szCs w:val="24"/>
        </w:rPr>
        <w:t>demokrātijas, tiesiskuma, cilvēktiesību pamatprincipiem</w:t>
      </w:r>
      <w:r w:rsidR="000B464B">
        <w:rPr>
          <w:rFonts w:ascii="Times New Roman" w:hAnsi="Times New Roman" w:cs="Times New Roman"/>
          <w:sz w:val="24"/>
          <w:szCs w:val="24"/>
        </w:rPr>
        <w:t>,</w:t>
      </w:r>
      <w:r w:rsidRPr="00B816D6">
        <w:rPr>
          <w:rFonts w:ascii="Times New Roman" w:hAnsi="Times New Roman" w:cs="Times New Roman"/>
          <w:sz w:val="24"/>
          <w:szCs w:val="24"/>
        </w:rPr>
        <w:t xml:space="preserve"> </w:t>
      </w:r>
      <w:r>
        <w:rPr>
          <w:rFonts w:ascii="Times New Roman" w:hAnsi="Times New Roman" w:cs="Times New Roman"/>
          <w:sz w:val="24"/>
          <w:szCs w:val="24"/>
        </w:rPr>
        <w:t xml:space="preserve">būtu veicināma arī turpmāk. </w:t>
      </w:r>
    </w:p>
    <w:p w14:paraId="33D6CBCE" w14:textId="77777777" w:rsidR="00212EA3" w:rsidRPr="00212EA3" w:rsidRDefault="00212EA3" w:rsidP="00212EA3">
      <w:pPr>
        <w:pStyle w:val="ListParagraph"/>
        <w:numPr>
          <w:ilvl w:val="0"/>
          <w:numId w:val="30"/>
        </w:numPr>
        <w:jc w:val="both"/>
        <w:rPr>
          <w:rFonts w:ascii="Times New Roman" w:hAnsi="Times New Roman" w:cs="Times New Roman"/>
          <w:sz w:val="24"/>
          <w:szCs w:val="24"/>
        </w:rPr>
      </w:pPr>
      <w:r w:rsidRPr="00212EA3">
        <w:rPr>
          <w:rFonts w:ascii="Times New Roman" w:hAnsi="Times New Roman" w:cs="Times New Roman"/>
          <w:b/>
          <w:sz w:val="24"/>
          <w:szCs w:val="24"/>
        </w:rPr>
        <w:t>Valsts kontrole</w:t>
      </w:r>
      <w:r w:rsidRPr="00E61093">
        <w:rPr>
          <w:rFonts w:ascii="Times New Roman" w:hAnsi="Times New Roman" w:cs="Times New Roman"/>
          <w:sz w:val="24"/>
          <w:szCs w:val="24"/>
        </w:rPr>
        <w:t xml:space="preserve"> (turpmāk – LRVK). Kopš 2016. gada īsteno ĀM finansētus attīstības sadarbības projektus Gruzijas, Moldovas un Ukrainas augstāko revīzijas iestāžu atbalstam. LRVK ir arī vērā ņemama starptautiska pieredze, īstenojot </w:t>
      </w:r>
      <w:proofErr w:type="spellStart"/>
      <w:r w:rsidRPr="00E23D69">
        <w:rPr>
          <w:rFonts w:ascii="Times New Roman" w:hAnsi="Times New Roman" w:cs="Times New Roman"/>
          <w:i/>
          <w:sz w:val="24"/>
          <w:szCs w:val="24"/>
        </w:rPr>
        <w:t>Twinning</w:t>
      </w:r>
      <w:proofErr w:type="spellEnd"/>
      <w:r w:rsidRPr="00E61093">
        <w:rPr>
          <w:rFonts w:ascii="Times New Roman" w:hAnsi="Times New Roman" w:cs="Times New Roman"/>
          <w:sz w:val="24"/>
          <w:szCs w:val="24"/>
        </w:rPr>
        <w:t xml:space="preserve"> projektu Serbijā, </w:t>
      </w:r>
      <w:proofErr w:type="spellStart"/>
      <w:r w:rsidRPr="00E23D69">
        <w:rPr>
          <w:rFonts w:ascii="Times New Roman" w:hAnsi="Times New Roman" w:cs="Times New Roman"/>
          <w:i/>
          <w:sz w:val="24"/>
          <w:szCs w:val="24"/>
        </w:rPr>
        <w:t>EuropeAid</w:t>
      </w:r>
      <w:proofErr w:type="spellEnd"/>
      <w:r w:rsidRPr="00E61093">
        <w:rPr>
          <w:rFonts w:ascii="Times New Roman" w:hAnsi="Times New Roman" w:cs="Times New Roman"/>
          <w:sz w:val="24"/>
          <w:szCs w:val="24"/>
        </w:rPr>
        <w:t xml:space="preserve"> projektu Gruzijā, kā arī to ekspertiem piedaloties citos projektos. LRVK ir noslēgta virkne sadarbības līgumu ar citu valstu augstākās revīzijas iestādēm, t.sk. ES Austrumu partnerības un Centrālāzijas valstīm, kā arī Laosu un Indonēziju. </w:t>
      </w:r>
    </w:p>
    <w:p w14:paraId="52557713" w14:textId="77777777" w:rsidR="005E4359" w:rsidRPr="00C62F7E" w:rsidRDefault="00520EA4" w:rsidP="00C62F7E">
      <w:pPr>
        <w:pStyle w:val="ListParagraph"/>
        <w:numPr>
          <w:ilvl w:val="0"/>
          <w:numId w:val="30"/>
        </w:numPr>
        <w:spacing w:before="120" w:after="0" w:line="240" w:lineRule="auto"/>
        <w:jc w:val="both"/>
        <w:rPr>
          <w:rFonts w:ascii="Times New Roman" w:hAnsi="Times New Roman" w:cs="Times New Roman"/>
          <w:sz w:val="24"/>
          <w:szCs w:val="24"/>
        </w:rPr>
      </w:pPr>
      <w:r w:rsidRPr="009905B5">
        <w:rPr>
          <w:rFonts w:ascii="Times New Roman" w:hAnsi="Times New Roman" w:cs="Times New Roman"/>
          <w:b/>
          <w:sz w:val="24"/>
          <w:szCs w:val="24"/>
        </w:rPr>
        <w:t>V</w:t>
      </w:r>
      <w:r w:rsidR="000D1F6F" w:rsidRPr="009905B5">
        <w:rPr>
          <w:rFonts w:ascii="Times New Roman" w:hAnsi="Times New Roman" w:cs="Times New Roman"/>
          <w:b/>
          <w:sz w:val="24"/>
          <w:szCs w:val="24"/>
        </w:rPr>
        <w:t>ides aizsardzības un reģionālās attīstības ministrija</w:t>
      </w:r>
      <w:r w:rsidR="000D1F6F" w:rsidRPr="009905B5">
        <w:rPr>
          <w:rFonts w:ascii="Times New Roman" w:hAnsi="Times New Roman" w:cs="Times New Roman"/>
          <w:sz w:val="24"/>
          <w:szCs w:val="24"/>
        </w:rPr>
        <w:t xml:space="preserve"> (turpmāk – VARAM). VARAM īstenojusi vai tās eksperti piedalījušies vairāku ĀM finansētu projektu un aktivitāšu īstenošanā Moldovā (2015-2018), Ukrainā (2015), Uzbekistānā (2016, 2017, 2018). VARAM ekspertīzi ir novērtējuši arī citi donori</w:t>
      </w:r>
      <w:r w:rsidR="00CE35D8" w:rsidRPr="009905B5">
        <w:rPr>
          <w:rFonts w:ascii="Times New Roman" w:hAnsi="Times New Roman" w:cs="Times New Roman"/>
          <w:sz w:val="24"/>
          <w:szCs w:val="24"/>
        </w:rPr>
        <w:t xml:space="preserve">. </w:t>
      </w:r>
      <w:r w:rsidR="000D1F6F" w:rsidRPr="009905B5">
        <w:rPr>
          <w:rFonts w:ascii="Times New Roman" w:hAnsi="Times New Roman" w:cs="Times New Roman"/>
          <w:sz w:val="24"/>
          <w:szCs w:val="24"/>
        </w:rPr>
        <w:t xml:space="preserve">VARAM pārraudzībā </w:t>
      </w:r>
      <w:r w:rsidR="00431889" w:rsidRPr="009905B5">
        <w:rPr>
          <w:rFonts w:ascii="Times New Roman" w:hAnsi="Times New Roman" w:cs="Times New Roman"/>
          <w:sz w:val="24"/>
          <w:szCs w:val="24"/>
        </w:rPr>
        <w:t xml:space="preserve">ir </w:t>
      </w:r>
      <w:r w:rsidR="000D1F6F" w:rsidRPr="009905B5">
        <w:rPr>
          <w:rFonts w:ascii="Times New Roman" w:hAnsi="Times New Roman" w:cs="Times New Roman"/>
          <w:sz w:val="24"/>
          <w:szCs w:val="24"/>
        </w:rPr>
        <w:t>ar klimata pārmaiņām, vides aizsardzību, elektroniskās pārvaldes, informācijas sabiedrības un informācijas tehnoloģij</w:t>
      </w:r>
      <w:r w:rsidR="00A868DF">
        <w:rPr>
          <w:rFonts w:ascii="Times New Roman" w:hAnsi="Times New Roman" w:cs="Times New Roman"/>
          <w:sz w:val="24"/>
          <w:szCs w:val="24"/>
        </w:rPr>
        <w:t>ām</w:t>
      </w:r>
      <w:r w:rsidR="000D1F6F" w:rsidRPr="009905B5">
        <w:rPr>
          <w:rFonts w:ascii="Times New Roman" w:hAnsi="Times New Roman" w:cs="Times New Roman"/>
          <w:sz w:val="24"/>
          <w:szCs w:val="24"/>
        </w:rPr>
        <w:t xml:space="preserve"> valsts pārvaldē </w:t>
      </w:r>
      <w:r w:rsidR="00CE35D8" w:rsidRPr="009905B5">
        <w:rPr>
          <w:rFonts w:ascii="Times New Roman" w:hAnsi="Times New Roman" w:cs="Times New Roman"/>
          <w:sz w:val="24"/>
          <w:szCs w:val="24"/>
        </w:rPr>
        <w:t>saistītie jautājumi, kas ir aktuāli visos līmeņos – pašvaldību, valsts un globālajā. Līdz ar to būtu pamatoti stiprināt VARAM spējas nodot Latvijas pieredzi un labo praksi minētajos jaut</w:t>
      </w:r>
      <w:r w:rsidR="00D86632" w:rsidRPr="009905B5">
        <w:rPr>
          <w:rFonts w:ascii="Times New Roman" w:hAnsi="Times New Roman" w:cs="Times New Roman"/>
          <w:sz w:val="24"/>
          <w:szCs w:val="24"/>
        </w:rPr>
        <w:t>ājumos.</w:t>
      </w:r>
    </w:p>
    <w:p w14:paraId="33C5FA8E" w14:textId="77777777" w:rsidR="00593C92" w:rsidRPr="00C62F7E" w:rsidRDefault="00520EA4" w:rsidP="00C62F7E">
      <w:pPr>
        <w:pStyle w:val="ListParagraph"/>
        <w:numPr>
          <w:ilvl w:val="0"/>
          <w:numId w:val="25"/>
        </w:numPr>
        <w:spacing w:before="120" w:after="0" w:line="240" w:lineRule="auto"/>
        <w:jc w:val="both"/>
        <w:rPr>
          <w:rFonts w:ascii="Times New Roman" w:hAnsi="Times New Roman" w:cs="Times New Roman"/>
          <w:sz w:val="24"/>
          <w:szCs w:val="24"/>
        </w:rPr>
      </w:pPr>
      <w:r w:rsidRPr="009905B5">
        <w:rPr>
          <w:rFonts w:ascii="Times New Roman" w:hAnsi="Times New Roman" w:cs="Times New Roman"/>
          <w:b/>
          <w:sz w:val="24"/>
          <w:szCs w:val="24"/>
        </w:rPr>
        <w:t>Z</w:t>
      </w:r>
      <w:r w:rsidR="000D1F6F" w:rsidRPr="009905B5">
        <w:rPr>
          <w:rFonts w:ascii="Times New Roman" w:hAnsi="Times New Roman" w:cs="Times New Roman"/>
          <w:b/>
          <w:sz w:val="24"/>
          <w:szCs w:val="24"/>
        </w:rPr>
        <w:t xml:space="preserve">emkopības ministrija </w:t>
      </w:r>
      <w:r w:rsidR="000D1F6F" w:rsidRPr="009905B5">
        <w:rPr>
          <w:rFonts w:ascii="Times New Roman" w:hAnsi="Times New Roman" w:cs="Times New Roman"/>
          <w:sz w:val="24"/>
          <w:szCs w:val="24"/>
        </w:rPr>
        <w:t xml:space="preserve">(turpmāk – ZM) </w:t>
      </w:r>
      <w:r w:rsidR="000D1F6F" w:rsidRPr="009905B5">
        <w:rPr>
          <w:rFonts w:ascii="Times New Roman" w:hAnsi="Times New Roman" w:cs="Times New Roman"/>
          <w:b/>
          <w:sz w:val="24"/>
          <w:szCs w:val="24"/>
        </w:rPr>
        <w:t xml:space="preserve">un </w:t>
      </w:r>
      <w:r w:rsidR="00CB3540">
        <w:rPr>
          <w:rFonts w:ascii="Times New Roman" w:hAnsi="Times New Roman" w:cs="Times New Roman"/>
          <w:b/>
          <w:sz w:val="24"/>
          <w:szCs w:val="24"/>
        </w:rPr>
        <w:t>nozares</w:t>
      </w:r>
      <w:r w:rsidR="000D1F6F" w:rsidRPr="009905B5">
        <w:rPr>
          <w:rFonts w:ascii="Times New Roman" w:hAnsi="Times New Roman" w:cs="Times New Roman"/>
          <w:b/>
          <w:sz w:val="24"/>
          <w:szCs w:val="24"/>
        </w:rPr>
        <w:t xml:space="preserve"> iestādes</w:t>
      </w:r>
      <w:r w:rsidR="005C3505" w:rsidRPr="009905B5">
        <w:rPr>
          <w:rFonts w:ascii="Times New Roman" w:hAnsi="Times New Roman" w:cs="Times New Roman"/>
          <w:b/>
          <w:sz w:val="24"/>
          <w:szCs w:val="24"/>
        </w:rPr>
        <w:t xml:space="preserve"> un </w:t>
      </w:r>
      <w:r w:rsidR="00CB3540">
        <w:rPr>
          <w:rFonts w:ascii="Times New Roman" w:hAnsi="Times New Roman" w:cs="Times New Roman"/>
          <w:b/>
          <w:sz w:val="24"/>
          <w:szCs w:val="24"/>
        </w:rPr>
        <w:t>kapitālsabiedrības</w:t>
      </w:r>
      <w:r w:rsidR="000D1F6F" w:rsidRPr="009905B5">
        <w:rPr>
          <w:rFonts w:ascii="Times New Roman" w:hAnsi="Times New Roman" w:cs="Times New Roman"/>
          <w:sz w:val="24"/>
          <w:szCs w:val="24"/>
        </w:rPr>
        <w:t>, t.sk. Pārtikas un veterinārais dienests (turpmāk – PVD)</w:t>
      </w:r>
      <w:r w:rsidR="000854BC">
        <w:rPr>
          <w:rFonts w:ascii="Times New Roman" w:hAnsi="Times New Roman" w:cs="Times New Roman"/>
          <w:sz w:val="24"/>
          <w:szCs w:val="24"/>
        </w:rPr>
        <w:t>, Valsts augu aizsardzības dienests (turpmāk – VAAD)</w:t>
      </w:r>
      <w:r w:rsidR="005C3505" w:rsidRPr="009905B5">
        <w:rPr>
          <w:rFonts w:ascii="Times New Roman" w:hAnsi="Times New Roman" w:cs="Times New Roman"/>
          <w:sz w:val="24"/>
          <w:szCs w:val="24"/>
        </w:rPr>
        <w:t xml:space="preserve"> </w:t>
      </w:r>
      <w:r w:rsidR="00431889" w:rsidRPr="009905B5">
        <w:rPr>
          <w:rFonts w:ascii="Times New Roman" w:hAnsi="Times New Roman" w:cs="Times New Roman"/>
          <w:sz w:val="24"/>
          <w:szCs w:val="24"/>
        </w:rPr>
        <w:t xml:space="preserve">un </w:t>
      </w:r>
      <w:r w:rsidR="00CB3540">
        <w:rPr>
          <w:rFonts w:ascii="Times New Roman" w:hAnsi="Times New Roman" w:cs="Times New Roman"/>
          <w:sz w:val="24"/>
          <w:szCs w:val="24"/>
        </w:rPr>
        <w:t xml:space="preserve">SIA </w:t>
      </w:r>
      <w:r w:rsidR="00431889" w:rsidRPr="009905B5">
        <w:rPr>
          <w:rFonts w:ascii="Times New Roman" w:hAnsi="Times New Roman" w:cs="Times New Roman"/>
          <w:sz w:val="24"/>
          <w:szCs w:val="24"/>
        </w:rPr>
        <w:t>Latvijas Lauku konsultāciju un izglītības centrs (</w:t>
      </w:r>
      <w:r w:rsidR="000854BC">
        <w:rPr>
          <w:rFonts w:ascii="Times New Roman" w:hAnsi="Times New Roman" w:cs="Times New Roman"/>
          <w:sz w:val="24"/>
          <w:szCs w:val="24"/>
        </w:rPr>
        <w:t xml:space="preserve">turpmāk - </w:t>
      </w:r>
      <w:r w:rsidR="005C3505" w:rsidRPr="009905B5">
        <w:rPr>
          <w:rFonts w:ascii="Times New Roman" w:hAnsi="Times New Roman" w:cs="Times New Roman"/>
          <w:sz w:val="24"/>
          <w:szCs w:val="24"/>
        </w:rPr>
        <w:t>LLKC</w:t>
      </w:r>
      <w:r w:rsidR="00431889" w:rsidRPr="009905B5">
        <w:rPr>
          <w:rFonts w:ascii="Times New Roman" w:hAnsi="Times New Roman" w:cs="Times New Roman"/>
          <w:sz w:val="24"/>
          <w:szCs w:val="24"/>
        </w:rPr>
        <w:t>)</w:t>
      </w:r>
      <w:r w:rsidR="00CB3540">
        <w:rPr>
          <w:rFonts w:ascii="Times New Roman" w:hAnsi="Times New Roman" w:cs="Times New Roman"/>
          <w:sz w:val="24"/>
          <w:szCs w:val="24"/>
        </w:rPr>
        <w:t>, kurā ZM ir valsts kapitāla daļas turētāja</w:t>
      </w:r>
      <w:r w:rsidR="000D1F6F" w:rsidRPr="009905B5">
        <w:rPr>
          <w:rFonts w:ascii="Times New Roman" w:hAnsi="Times New Roman" w:cs="Times New Roman"/>
          <w:sz w:val="24"/>
          <w:szCs w:val="24"/>
        </w:rPr>
        <w:t>.</w:t>
      </w:r>
      <w:r w:rsidR="005C3505" w:rsidRPr="009905B5">
        <w:rPr>
          <w:rFonts w:ascii="Times New Roman" w:hAnsi="Times New Roman" w:cs="Times New Roman"/>
          <w:sz w:val="24"/>
          <w:szCs w:val="24"/>
        </w:rPr>
        <w:t xml:space="preserve"> Viens no virzieniem, kas Latvijas attīstības sadarbībā ir bijis aktuāls jau ilgstoši</w:t>
      </w:r>
      <w:r w:rsidR="00155F7D">
        <w:rPr>
          <w:rFonts w:ascii="Times New Roman" w:hAnsi="Times New Roman" w:cs="Times New Roman"/>
          <w:sz w:val="24"/>
          <w:szCs w:val="24"/>
        </w:rPr>
        <w:t xml:space="preserve">, </w:t>
      </w:r>
      <w:r w:rsidR="005C3505" w:rsidRPr="009905B5">
        <w:rPr>
          <w:rFonts w:ascii="Times New Roman" w:hAnsi="Times New Roman" w:cs="Times New Roman"/>
          <w:sz w:val="24"/>
          <w:szCs w:val="24"/>
        </w:rPr>
        <w:t xml:space="preserve">ir attīstības valstu mazo un vidējo uzņēmumu eksportspējas stiprināšana, t.sk. </w:t>
      </w:r>
      <w:r w:rsidR="005C3505" w:rsidRPr="009905B5">
        <w:rPr>
          <w:rFonts w:ascii="Times New Roman" w:hAnsi="Times New Roman" w:cs="Times New Roman"/>
          <w:sz w:val="24"/>
          <w:szCs w:val="24"/>
        </w:rPr>
        <w:lastRenderedPageBreak/>
        <w:t>sniedzot atbalstu standartizācijas un sertifikācijas jomā, īpaši lauksaimniecības nozarē. PVD</w:t>
      </w:r>
      <w:r w:rsidR="00C3418F">
        <w:rPr>
          <w:rFonts w:ascii="Times New Roman" w:hAnsi="Times New Roman" w:cs="Times New Roman"/>
          <w:sz w:val="24"/>
          <w:szCs w:val="24"/>
        </w:rPr>
        <w:t xml:space="preserve"> un VAAD</w:t>
      </w:r>
      <w:r w:rsidR="005C3505" w:rsidRPr="009905B5">
        <w:rPr>
          <w:rFonts w:ascii="Times New Roman" w:hAnsi="Times New Roman" w:cs="Times New Roman"/>
          <w:sz w:val="24"/>
          <w:szCs w:val="24"/>
        </w:rPr>
        <w:t xml:space="preserve"> īstenoj</w:t>
      </w:r>
      <w:r w:rsidR="00431889" w:rsidRPr="009905B5">
        <w:rPr>
          <w:rFonts w:ascii="Times New Roman" w:hAnsi="Times New Roman" w:cs="Times New Roman"/>
          <w:sz w:val="24"/>
          <w:szCs w:val="24"/>
        </w:rPr>
        <w:t>is</w:t>
      </w:r>
      <w:r w:rsidR="005C3505" w:rsidRPr="009905B5">
        <w:rPr>
          <w:rFonts w:ascii="Times New Roman" w:hAnsi="Times New Roman" w:cs="Times New Roman"/>
          <w:sz w:val="24"/>
          <w:szCs w:val="24"/>
        </w:rPr>
        <w:t xml:space="preserve"> ne tikai ĀM finansētus projektus, bet arī piedalīj</w:t>
      </w:r>
      <w:r w:rsidR="00431889" w:rsidRPr="009905B5">
        <w:rPr>
          <w:rFonts w:ascii="Times New Roman" w:hAnsi="Times New Roman" w:cs="Times New Roman"/>
          <w:sz w:val="24"/>
          <w:szCs w:val="24"/>
        </w:rPr>
        <w:t>ies</w:t>
      </w:r>
      <w:r w:rsidR="005C3505" w:rsidRPr="009905B5">
        <w:rPr>
          <w:rFonts w:ascii="Times New Roman" w:hAnsi="Times New Roman" w:cs="Times New Roman"/>
          <w:sz w:val="24"/>
          <w:szCs w:val="24"/>
        </w:rPr>
        <w:t xml:space="preserve"> </w:t>
      </w:r>
      <w:proofErr w:type="spellStart"/>
      <w:r w:rsidR="005C3505" w:rsidRPr="009905B5">
        <w:rPr>
          <w:rFonts w:ascii="Times New Roman" w:hAnsi="Times New Roman" w:cs="Times New Roman"/>
          <w:i/>
          <w:sz w:val="24"/>
          <w:szCs w:val="24"/>
        </w:rPr>
        <w:t>Twinning</w:t>
      </w:r>
      <w:proofErr w:type="spellEnd"/>
      <w:r w:rsidR="005C3505" w:rsidRPr="009905B5">
        <w:rPr>
          <w:rFonts w:ascii="Times New Roman" w:hAnsi="Times New Roman" w:cs="Times New Roman"/>
          <w:i/>
          <w:sz w:val="24"/>
          <w:szCs w:val="24"/>
        </w:rPr>
        <w:t xml:space="preserve"> </w:t>
      </w:r>
      <w:r w:rsidR="005C3505" w:rsidRPr="009905B5">
        <w:rPr>
          <w:rFonts w:ascii="Times New Roman" w:hAnsi="Times New Roman" w:cs="Times New Roman"/>
          <w:sz w:val="24"/>
          <w:szCs w:val="24"/>
        </w:rPr>
        <w:t xml:space="preserve">un citu ES finansētu projektu ieviešanā. LLKC </w:t>
      </w:r>
      <w:r w:rsidR="00CB3540">
        <w:rPr>
          <w:rFonts w:ascii="Times New Roman" w:hAnsi="Times New Roman" w:cs="Times New Roman"/>
          <w:sz w:val="24"/>
          <w:szCs w:val="24"/>
        </w:rPr>
        <w:t xml:space="preserve">Ukrainā </w:t>
      </w:r>
      <w:r w:rsidR="005C3505" w:rsidRPr="009905B5">
        <w:rPr>
          <w:rFonts w:ascii="Times New Roman" w:hAnsi="Times New Roman" w:cs="Times New Roman"/>
          <w:sz w:val="24"/>
          <w:szCs w:val="24"/>
        </w:rPr>
        <w:t xml:space="preserve">ir īstenojis ĀM un ASV valdības atbalstītus projektus. </w:t>
      </w:r>
    </w:p>
    <w:p w14:paraId="4D29ED94" w14:textId="77777777" w:rsidR="00A61BBE" w:rsidRPr="009905B5" w:rsidRDefault="005C3505"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Vienlaikus būtu </w:t>
      </w:r>
      <w:r w:rsidR="00A868DF">
        <w:rPr>
          <w:rFonts w:ascii="Times New Roman" w:hAnsi="Times New Roman" w:cs="Times New Roman"/>
          <w:sz w:val="24"/>
          <w:szCs w:val="24"/>
        </w:rPr>
        <w:t>lietderīgi izvērtēt</w:t>
      </w:r>
      <w:r w:rsidRPr="009905B5">
        <w:rPr>
          <w:rFonts w:ascii="Times New Roman" w:hAnsi="Times New Roman" w:cs="Times New Roman"/>
          <w:sz w:val="24"/>
          <w:szCs w:val="24"/>
        </w:rPr>
        <w:t xml:space="preserve">, kurās </w:t>
      </w:r>
      <w:r w:rsidR="00BF2B0F">
        <w:rPr>
          <w:rFonts w:ascii="Times New Roman" w:hAnsi="Times New Roman" w:cs="Times New Roman"/>
          <w:sz w:val="24"/>
          <w:szCs w:val="24"/>
        </w:rPr>
        <w:t>institūcijās</w:t>
      </w:r>
      <w:r w:rsidR="00BF2B0F" w:rsidRPr="009905B5">
        <w:rPr>
          <w:rFonts w:ascii="Times New Roman" w:hAnsi="Times New Roman" w:cs="Times New Roman"/>
          <w:sz w:val="24"/>
          <w:szCs w:val="24"/>
        </w:rPr>
        <w:t xml:space="preserve"> </w:t>
      </w:r>
      <w:r w:rsidRPr="009905B5">
        <w:rPr>
          <w:rFonts w:ascii="Times New Roman" w:hAnsi="Times New Roman" w:cs="Times New Roman"/>
          <w:sz w:val="24"/>
          <w:szCs w:val="24"/>
        </w:rPr>
        <w:t xml:space="preserve">ir </w:t>
      </w:r>
      <w:r w:rsidRPr="009905B5">
        <w:rPr>
          <w:rFonts w:ascii="Times New Roman" w:hAnsi="Times New Roman" w:cs="Times New Roman"/>
          <w:b/>
          <w:sz w:val="24"/>
          <w:szCs w:val="24"/>
        </w:rPr>
        <w:t xml:space="preserve"> </w:t>
      </w:r>
      <w:r w:rsidR="00FD2581">
        <w:rPr>
          <w:rFonts w:ascii="Times New Roman" w:hAnsi="Times New Roman" w:cs="Times New Roman"/>
          <w:b/>
          <w:sz w:val="24"/>
          <w:szCs w:val="24"/>
        </w:rPr>
        <w:t xml:space="preserve">nesena pieredze un </w:t>
      </w:r>
      <w:r w:rsidRPr="009905B5">
        <w:rPr>
          <w:rFonts w:ascii="Times New Roman" w:hAnsi="Times New Roman" w:cs="Times New Roman"/>
          <w:b/>
          <w:sz w:val="24"/>
          <w:szCs w:val="24"/>
        </w:rPr>
        <w:t>ekspertīze</w:t>
      </w:r>
      <w:r w:rsidRPr="009905B5">
        <w:rPr>
          <w:rFonts w:ascii="Times New Roman" w:hAnsi="Times New Roman" w:cs="Times New Roman"/>
          <w:sz w:val="24"/>
          <w:szCs w:val="24"/>
        </w:rPr>
        <w:t xml:space="preserve">, </w:t>
      </w:r>
      <w:r w:rsidR="00115924" w:rsidRPr="009905B5">
        <w:rPr>
          <w:rFonts w:ascii="Times New Roman" w:hAnsi="Times New Roman" w:cs="Times New Roman"/>
          <w:sz w:val="24"/>
          <w:szCs w:val="24"/>
        </w:rPr>
        <w:t xml:space="preserve">kas ir aktuāla arī attīstības valstīm un globāli. Šobrīd kā vienu no šādām varētu uzskatīt ekspertīzi un pieredzi, kas saistīta ar </w:t>
      </w:r>
      <w:r w:rsidR="00115924" w:rsidRPr="009905B5">
        <w:rPr>
          <w:rFonts w:ascii="Times New Roman" w:hAnsi="Times New Roman" w:cs="Times New Roman"/>
          <w:b/>
          <w:sz w:val="24"/>
          <w:szCs w:val="24"/>
        </w:rPr>
        <w:t>Latvijas finanšu sistēmas reformām, noziedzīgi iegūtu līdzekļu legalizācijas un terorisma</w:t>
      </w:r>
      <w:r w:rsidR="00D50978">
        <w:rPr>
          <w:rFonts w:ascii="Times New Roman" w:hAnsi="Times New Roman" w:cs="Times New Roman"/>
          <w:b/>
          <w:sz w:val="24"/>
          <w:szCs w:val="24"/>
        </w:rPr>
        <w:t xml:space="preserve"> un </w:t>
      </w:r>
      <w:proofErr w:type="spellStart"/>
      <w:r w:rsidR="00D50978">
        <w:rPr>
          <w:rFonts w:ascii="Times New Roman" w:hAnsi="Times New Roman" w:cs="Times New Roman"/>
          <w:b/>
          <w:sz w:val="24"/>
          <w:szCs w:val="24"/>
        </w:rPr>
        <w:t>proliferācijas</w:t>
      </w:r>
      <w:proofErr w:type="spellEnd"/>
      <w:r w:rsidR="00115924" w:rsidRPr="009905B5">
        <w:rPr>
          <w:rFonts w:ascii="Times New Roman" w:hAnsi="Times New Roman" w:cs="Times New Roman"/>
          <w:b/>
          <w:sz w:val="24"/>
          <w:szCs w:val="24"/>
        </w:rPr>
        <w:t xml:space="preserve"> finansēšanas novēršanu</w:t>
      </w:r>
      <w:r w:rsidR="00115924" w:rsidRPr="009905B5">
        <w:rPr>
          <w:rFonts w:ascii="Times New Roman" w:hAnsi="Times New Roman" w:cs="Times New Roman"/>
          <w:sz w:val="24"/>
          <w:szCs w:val="24"/>
        </w:rPr>
        <w:t xml:space="preserve">. Šis jautājums – </w:t>
      </w:r>
      <w:r w:rsidR="00BC06B6" w:rsidRPr="009905B5">
        <w:rPr>
          <w:rFonts w:ascii="Times New Roman" w:hAnsi="Times New Roman" w:cs="Times New Roman"/>
          <w:sz w:val="24"/>
          <w:szCs w:val="24"/>
        </w:rPr>
        <w:t>nelegāl</w:t>
      </w:r>
      <w:r w:rsidR="00BC06B6">
        <w:rPr>
          <w:rFonts w:ascii="Times New Roman" w:hAnsi="Times New Roman" w:cs="Times New Roman"/>
          <w:sz w:val="24"/>
          <w:szCs w:val="24"/>
        </w:rPr>
        <w:t>o</w:t>
      </w:r>
      <w:r w:rsidR="00BC06B6" w:rsidRPr="009905B5">
        <w:rPr>
          <w:rFonts w:ascii="Times New Roman" w:hAnsi="Times New Roman" w:cs="Times New Roman"/>
          <w:sz w:val="24"/>
          <w:szCs w:val="24"/>
        </w:rPr>
        <w:t xml:space="preserve"> </w:t>
      </w:r>
      <w:r w:rsidR="00A61BBE" w:rsidRPr="009905B5">
        <w:rPr>
          <w:rFonts w:ascii="Times New Roman" w:hAnsi="Times New Roman" w:cs="Times New Roman"/>
          <w:sz w:val="24"/>
          <w:szCs w:val="24"/>
        </w:rPr>
        <w:t>finanšu</w:t>
      </w:r>
      <w:r w:rsidR="00115924" w:rsidRPr="009905B5">
        <w:rPr>
          <w:rFonts w:ascii="Times New Roman" w:hAnsi="Times New Roman" w:cs="Times New Roman"/>
          <w:sz w:val="24"/>
          <w:szCs w:val="24"/>
        </w:rPr>
        <w:t xml:space="preserve"> </w:t>
      </w:r>
      <w:r w:rsidR="00BC06B6" w:rsidRPr="009905B5">
        <w:rPr>
          <w:rFonts w:ascii="Times New Roman" w:hAnsi="Times New Roman" w:cs="Times New Roman"/>
          <w:sz w:val="24"/>
          <w:szCs w:val="24"/>
        </w:rPr>
        <w:t>plūsm</w:t>
      </w:r>
      <w:r w:rsidR="00BC06B6">
        <w:rPr>
          <w:rFonts w:ascii="Times New Roman" w:hAnsi="Times New Roman" w:cs="Times New Roman"/>
          <w:sz w:val="24"/>
          <w:szCs w:val="24"/>
        </w:rPr>
        <w:t>u ierobežošana</w:t>
      </w:r>
      <w:r w:rsidR="00BC06B6" w:rsidRPr="009905B5">
        <w:rPr>
          <w:rFonts w:ascii="Times New Roman" w:hAnsi="Times New Roman" w:cs="Times New Roman"/>
          <w:sz w:val="24"/>
          <w:szCs w:val="24"/>
        </w:rPr>
        <w:t xml:space="preserve"> </w:t>
      </w:r>
      <w:r w:rsidR="00A868DF">
        <w:rPr>
          <w:rFonts w:ascii="Times New Roman" w:hAnsi="Times New Roman" w:cs="Times New Roman"/>
          <w:sz w:val="24"/>
          <w:szCs w:val="24"/>
        </w:rPr>
        <w:t>–</w:t>
      </w:r>
      <w:r w:rsidR="00115924" w:rsidRPr="009905B5">
        <w:rPr>
          <w:rFonts w:ascii="Times New Roman" w:hAnsi="Times New Roman" w:cs="Times New Roman"/>
          <w:sz w:val="24"/>
          <w:szCs w:val="24"/>
        </w:rPr>
        <w:t xml:space="preserve"> ir aktuāls arī globālās attīstības</w:t>
      </w:r>
      <w:r w:rsidR="00A61BBE" w:rsidRPr="009905B5">
        <w:rPr>
          <w:rFonts w:ascii="Times New Roman" w:hAnsi="Times New Roman" w:cs="Times New Roman"/>
          <w:sz w:val="24"/>
          <w:szCs w:val="24"/>
        </w:rPr>
        <w:t xml:space="preserve"> un </w:t>
      </w:r>
      <w:r w:rsidR="00115924" w:rsidRPr="009905B5">
        <w:rPr>
          <w:rFonts w:ascii="Times New Roman" w:hAnsi="Times New Roman" w:cs="Times New Roman"/>
          <w:sz w:val="24"/>
          <w:szCs w:val="24"/>
        </w:rPr>
        <w:t>drošības kontekstā</w:t>
      </w:r>
      <w:r w:rsidR="00A61BBE" w:rsidRPr="009905B5">
        <w:rPr>
          <w:rFonts w:ascii="Times New Roman" w:hAnsi="Times New Roman" w:cs="Times New Roman"/>
          <w:sz w:val="24"/>
          <w:szCs w:val="24"/>
        </w:rPr>
        <w:t>.</w:t>
      </w:r>
      <w:r w:rsidR="00115924" w:rsidRPr="009905B5">
        <w:rPr>
          <w:rFonts w:ascii="Times New Roman" w:hAnsi="Times New Roman" w:cs="Times New Roman"/>
          <w:sz w:val="24"/>
          <w:szCs w:val="24"/>
        </w:rPr>
        <w:t xml:space="preserve"> </w:t>
      </w:r>
      <w:r w:rsidR="00A61BBE" w:rsidRPr="009905B5">
        <w:rPr>
          <w:rFonts w:ascii="Times New Roman" w:hAnsi="Times New Roman" w:cs="Times New Roman"/>
          <w:sz w:val="24"/>
          <w:szCs w:val="24"/>
        </w:rPr>
        <w:t>Ņ</w:t>
      </w:r>
      <w:r w:rsidR="00115924" w:rsidRPr="009905B5">
        <w:rPr>
          <w:rFonts w:ascii="Times New Roman" w:hAnsi="Times New Roman" w:cs="Times New Roman"/>
          <w:sz w:val="24"/>
          <w:szCs w:val="24"/>
        </w:rPr>
        <w:t xml:space="preserve">emot vērā, ka tieši attīstības valstis </w:t>
      </w:r>
      <w:r w:rsidR="00A61BBE" w:rsidRPr="009905B5">
        <w:rPr>
          <w:rFonts w:ascii="Times New Roman" w:hAnsi="Times New Roman" w:cs="Times New Roman"/>
          <w:sz w:val="24"/>
          <w:szCs w:val="24"/>
        </w:rPr>
        <w:t>visvairāk cieš no nelegālajām finanšu plūsmām</w:t>
      </w:r>
      <w:r w:rsidR="00BC06B6">
        <w:rPr>
          <w:rFonts w:ascii="Times New Roman" w:hAnsi="Times New Roman" w:cs="Times New Roman"/>
          <w:sz w:val="24"/>
          <w:szCs w:val="24"/>
        </w:rPr>
        <w:t>, jo</w:t>
      </w:r>
      <w:r w:rsidR="00A61BBE" w:rsidRPr="009905B5">
        <w:rPr>
          <w:rFonts w:ascii="Times New Roman" w:hAnsi="Times New Roman" w:cs="Times New Roman"/>
          <w:sz w:val="24"/>
          <w:szCs w:val="24"/>
        </w:rPr>
        <w:t xml:space="preserve"> tās samazina valstu rīcībā pieejamos resursus attīstībai, būtu pamatoti apskat</w:t>
      </w:r>
      <w:r w:rsidR="008E7465" w:rsidRPr="009905B5">
        <w:rPr>
          <w:rFonts w:ascii="Times New Roman" w:hAnsi="Times New Roman" w:cs="Times New Roman"/>
          <w:sz w:val="24"/>
          <w:szCs w:val="24"/>
        </w:rPr>
        <w:t xml:space="preserve">īt, </w:t>
      </w:r>
      <w:r w:rsidR="00A61BBE" w:rsidRPr="009905B5">
        <w:rPr>
          <w:rFonts w:ascii="Times New Roman" w:hAnsi="Times New Roman" w:cs="Times New Roman"/>
          <w:sz w:val="24"/>
          <w:szCs w:val="24"/>
        </w:rPr>
        <w:t xml:space="preserve">kādā </w:t>
      </w:r>
      <w:r w:rsidR="008E7465" w:rsidRPr="009905B5">
        <w:rPr>
          <w:rFonts w:ascii="Times New Roman" w:hAnsi="Times New Roman" w:cs="Times New Roman"/>
          <w:sz w:val="24"/>
          <w:szCs w:val="24"/>
        </w:rPr>
        <w:t xml:space="preserve">veidā Latvija var sniegt ieguldījumu šo izaicinājumu pārvarēšanā. </w:t>
      </w:r>
    </w:p>
    <w:p w14:paraId="5C8C385B" w14:textId="77777777" w:rsidR="00A621F3" w:rsidRDefault="00A61BBE"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Noslēgumā būtu jāatzīmē, ka speciāla attīstības sadarbībai paredzēta finansējuma paredzēšana </w:t>
      </w:r>
      <w:r w:rsidR="00BF2B0F">
        <w:rPr>
          <w:rFonts w:ascii="Times New Roman" w:hAnsi="Times New Roman" w:cs="Times New Roman"/>
          <w:sz w:val="24"/>
          <w:szCs w:val="24"/>
        </w:rPr>
        <w:t>institūciju</w:t>
      </w:r>
      <w:r w:rsidR="00BF2B0F" w:rsidRPr="009905B5">
        <w:rPr>
          <w:rFonts w:ascii="Times New Roman" w:hAnsi="Times New Roman" w:cs="Times New Roman"/>
          <w:sz w:val="24"/>
          <w:szCs w:val="24"/>
        </w:rPr>
        <w:t xml:space="preserve"> </w:t>
      </w:r>
      <w:r w:rsidRPr="009905B5">
        <w:rPr>
          <w:rFonts w:ascii="Times New Roman" w:hAnsi="Times New Roman" w:cs="Times New Roman"/>
          <w:sz w:val="24"/>
          <w:szCs w:val="24"/>
        </w:rPr>
        <w:t xml:space="preserve">budžetos </w:t>
      </w:r>
      <w:r w:rsidR="009905B5" w:rsidRPr="009905B5">
        <w:rPr>
          <w:rFonts w:ascii="Times New Roman" w:hAnsi="Times New Roman" w:cs="Times New Roman"/>
          <w:sz w:val="24"/>
          <w:szCs w:val="24"/>
        </w:rPr>
        <w:t xml:space="preserve">mazinātu spiedienu </w:t>
      </w:r>
      <w:r w:rsidRPr="009905B5">
        <w:rPr>
          <w:rFonts w:ascii="Times New Roman" w:hAnsi="Times New Roman" w:cs="Times New Roman"/>
          <w:sz w:val="24"/>
          <w:szCs w:val="24"/>
        </w:rPr>
        <w:t xml:space="preserve">uz ĀM budžeta programmas līdzekļiem. Tādējādi </w:t>
      </w:r>
      <w:r w:rsidR="00BF2B0F">
        <w:rPr>
          <w:rFonts w:ascii="Times New Roman" w:hAnsi="Times New Roman" w:cs="Times New Roman"/>
          <w:sz w:val="24"/>
          <w:szCs w:val="24"/>
        </w:rPr>
        <w:t>institūcijām</w:t>
      </w:r>
      <w:r w:rsidR="00BF2B0F" w:rsidRPr="009905B5">
        <w:rPr>
          <w:rFonts w:ascii="Times New Roman" w:hAnsi="Times New Roman" w:cs="Times New Roman"/>
          <w:sz w:val="24"/>
          <w:szCs w:val="24"/>
        </w:rPr>
        <w:t xml:space="preserve"> </w:t>
      </w:r>
      <w:r w:rsidRPr="009905B5">
        <w:rPr>
          <w:rFonts w:ascii="Times New Roman" w:hAnsi="Times New Roman" w:cs="Times New Roman"/>
          <w:sz w:val="24"/>
          <w:szCs w:val="24"/>
        </w:rPr>
        <w:t>ar mazāku pieredzi, kā arī PSO un privātajam sektoram būtu lielākas iespējas saņemt finansējumu jaunām attīstības sadarbības iniciatīvām.</w:t>
      </w:r>
    </w:p>
    <w:p w14:paraId="0A5AE2FD" w14:textId="77777777" w:rsidR="00F83D50" w:rsidRDefault="00A61BBE" w:rsidP="00C05614">
      <w:pPr>
        <w:spacing w:before="120" w:after="0" w:line="240" w:lineRule="auto"/>
        <w:jc w:val="both"/>
        <w:rPr>
          <w:rFonts w:ascii="Times New Roman" w:hAnsi="Times New Roman" w:cs="Times New Roman"/>
          <w:sz w:val="24"/>
          <w:szCs w:val="24"/>
        </w:rPr>
      </w:pPr>
      <w:r w:rsidRPr="009905B5">
        <w:rPr>
          <w:rFonts w:ascii="Times New Roman" w:hAnsi="Times New Roman" w:cs="Times New Roman"/>
          <w:sz w:val="24"/>
          <w:szCs w:val="24"/>
        </w:rPr>
        <w:t xml:space="preserve"> </w:t>
      </w:r>
    </w:p>
    <w:p w14:paraId="67FE3293" w14:textId="2C709A24" w:rsidR="009A18DE" w:rsidRPr="005F77BD" w:rsidRDefault="000F233F" w:rsidP="005F77BD">
      <w:pPr>
        <w:spacing w:line="240" w:lineRule="auto"/>
        <w:ind w:firstLine="720"/>
        <w:jc w:val="both"/>
        <w:rPr>
          <w:rFonts w:ascii="Times New Roman" w:hAnsi="Times New Roman" w:cs="Times New Roman"/>
          <w:sz w:val="24"/>
          <w:szCs w:val="24"/>
        </w:rPr>
      </w:pPr>
      <w:r w:rsidRPr="005A0442">
        <w:rPr>
          <w:rFonts w:ascii="Times New Roman" w:hAnsi="Times New Roman" w:cs="Times New Roman"/>
          <w:sz w:val="24"/>
          <w:szCs w:val="24"/>
        </w:rPr>
        <w:t>ĀM uzskata, ka šis varētu būt viens no jautājumiem, par ko būtu jādiskutē, izstrādājot Pamatnostādnes 2021 -2025. Jautājums būtu skatāms ne tikai kontekstā ar OAP mērķu izpildi, bet arī ar attīstības sadarbības politikas ilgtspēju, politikas veidotāju un īstenotāju profesionalitātes stiprināšu, politiku saskaņotību un attīstības sadarbības caurskatāmību un atbilstību starptautiskajiem standartiem.</w:t>
      </w:r>
      <w:r>
        <w:rPr>
          <w:rFonts w:ascii="Times New Roman" w:hAnsi="Times New Roman" w:cs="Times New Roman"/>
          <w:sz w:val="24"/>
          <w:szCs w:val="24"/>
        </w:rPr>
        <w:t xml:space="preserve"> </w:t>
      </w:r>
      <w:r w:rsidR="00F55350" w:rsidRPr="00F55350">
        <w:rPr>
          <w:rFonts w:ascii="Times New Roman" w:hAnsi="Times New Roman" w:cs="Times New Roman"/>
          <w:sz w:val="24"/>
          <w:szCs w:val="24"/>
        </w:rPr>
        <w:t>Diskutējot par finansējuma paredzēšanas iespējām, jāizvērtē, kā šobrīd tiek finansētas institūcijas īstenotās attīstības sadarbības aktivitātes. Ņemot vērā minētos aspektus un finansējuma pieejamību, būtu jāizvērtē, vai iespējams finansējuma palielināšanu</w:t>
      </w:r>
      <w:r w:rsidR="00F55350">
        <w:rPr>
          <w:rFonts w:ascii="Times New Roman" w:hAnsi="Times New Roman" w:cs="Times New Roman"/>
          <w:sz w:val="24"/>
          <w:szCs w:val="24"/>
        </w:rPr>
        <w:t xml:space="preserve"> nodrošināt attiecīgās institūcijas budžeta ietvaros vai pieprasot papildu finansējumu kārtējā gada valsts budžeta sagatavošanas procesā</w:t>
      </w:r>
      <w:r w:rsidR="00EB6D18" w:rsidRPr="00F55350">
        <w:rPr>
          <w:rFonts w:ascii="Times New Roman" w:hAnsi="Times New Roman" w:cs="Times New Roman"/>
          <w:sz w:val="24"/>
          <w:szCs w:val="24"/>
        </w:rPr>
        <w:t>.</w:t>
      </w:r>
      <w:r w:rsidR="00EB6D18">
        <w:rPr>
          <w:rFonts w:ascii="Times New Roman" w:hAnsi="Times New Roman" w:cs="Times New Roman"/>
          <w:sz w:val="24"/>
          <w:szCs w:val="24"/>
        </w:rPr>
        <w:t xml:space="preserve"> </w:t>
      </w:r>
    </w:p>
    <w:p w14:paraId="57A346E7" w14:textId="77777777" w:rsidR="002A51AB" w:rsidRPr="00BE5444" w:rsidRDefault="00E87E3A" w:rsidP="00C6786A">
      <w:pPr>
        <w:spacing w:before="200" w:after="240" w:line="240" w:lineRule="auto"/>
        <w:jc w:val="center"/>
        <w:outlineLvl w:val="0"/>
        <w:rPr>
          <w:rFonts w:ascii="Times New Roman" w:hAnsi="Times New Roman" w:cs="Times New Roman"/>
          <w:b/>
          <w:color w:val="1B1D1F"/>
          <w:sz w:val="28"/>
          <w:szCs w:val="28"/>
        </w:rPr>
      </w:pPr>
      <w:r w:rsidRPr="00BE5444">
        <w:rPr>
          <w:rFonts w:ascii="Times New Roman" w:hAnsi="Times New Roman" w:cs="Times New Roman"/>
          <w:b/>
          <w:color w:val="1B1D1F"/>
          <w:sz w:val="28"/>
          <w:szCs w:val="28"/>
        </w:rPr>
        <w:t xml:space="preserve">3. </w:t>
      </w:r>
      <w:r w:rsidR="006D69D4" w:rsidRPr="00BE5444">
        <w:rPr>
          <w:rFonts w:ascii="Times New Roman" w:hAnsi="Times New Roman" w:cs="Times New Roman"/>
          <w:b/>
          <w:color w:val="1B1D1F"/>
          <w:sz w:val="28"/>
          <w:szCs w:val="28"/>
        </w:rPr>
        <w:t>Rekomendācija</w:t>
      </w:r>
      <w:r w:rsidR="00626845" w:rsidRPr="00BE5444">
        <w:rPr>
          <w:rFonts w:ascii="Times New Roman" w:hAnsi="Times New Roman" w:cs="Times New Roman"/>
          <w:b/>
          <w:color w:val="1B1D1F"/>
          <w:sz w:val="28"/>
          <w:szCs w:val="28"/>
        </w:rPr>
        <w:t>s</w:t>
      </w:r>
      <w:r w:rsidR="006D69D4" w:rsidRPr="00BE5444">
        <w:rPr>
          <w:rFonts w:ascii="Times New Roman" w:hAnsi="Times New Roman" w:cs="Times New Roman"/>
          <w:b/>
          <w:color w:val="1B1D1F"/>
          <w:sz w:val="28"/>
          <w:szCs w:val="28"/>
        </w:rPr>
        <w:t xml:space="preserve"> un noslēguma jautājumi</w:t>
      </w:r>
    </w:p>
    <w:p w14:paraId="2DE3FA37" w14:textId="77777777" w:rsidR="00E01095" w:rsidRPr="009905B5" w:rsidRDefault="00C5601E"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Izvēloties modeli finansējuma palielināšanai attīstības sadarbībai, svarīgi nodrošināt OAP apjoma pieaugumu absolūtos skaitļos, lai virzīt</w:t>
      </w:r>
      <w:r w:rsidR="00155F7D">
        <w:rPr>
          <w:rFonts w:ascii="Times New Roman" w:hAnsi="Times New Roman" w:cs="Times New Roman"/>
          <w:color w:val="1B1D1F"/>
          <w:sz w:val="24"/>
          <w:szCs w:val="28"/>
        </w:rPr>
        <w:t>o</w:t>
      </w:r>
      <w:r w:rsidRPr="009905B5">
        <w:rPr>
          <w:rFonts w:ascii="Times New Roman" w:hAnsi="Times New Roman" w:cs="Times New Roman"/>
          <w:color w:val="1B1D1F"/>
          <w:sz w:val="24"/>
          <w:szCs w:val="28"/>
        </w:rPr>
        <w:t>s uz 2030 mērķ</w:t>
      </w:r>
      <w:r w:rsidR="00731856">
        <w:rPr>
          <w:rFonts w:ascii="Times New Roman" w:hAnsi="Times New Roman" w:cs="Times New Roman"/>
          <w:color w:val="1B1D1F"/>
          <w:sz w:val="24"/>
          <w:szCs w:val="28"/>
        </w:rPr>
        <w:t>a</w:t>
      </w:r>
      <w:r w:rsidRPr="009905B5">
        <w:rPr>
          <w:rFonts w:ascii="Times New Roman" w:hAnsi="Times New Roman" w:cs="Times New Roman"/>
          <w:color w:val="1B1D1F"/>
          <w:sz w:val="24"/>
          <w:szCs w:val="28"/>
        </w:rPr>
        <w:t xml:space="preserve"> izpildi. </w:t>
      </w:r>
    </w:p>
    <w:p w14:paraId="1E02D1D8" w14:textId="77777777" w:rsidR="00E87E3A" w:rsidRDefault="00E87E3A" w:rsidP="00C25D28">
      <w:pPr>
        <w:spacing w:line="240" w:lineRule="auto"/>
        <w:jc w:val="both"/>
        <w:rPr>
          <w:rFonts w:ascii="Times New Roman" w:hAnsi="Times New Roman" w:cs="Times New Roman"/>
          <w:b/>
          <w:color w:val="1B1D1F"/>
          <w:sz w:val="24"/>
          <w:szCs w:val="28"/>
        </w:rPr>
      </w:pPr>
      <w:r>
        <w:rPr>
          <w:rFonts w:ascii="Times New Roman" w:hAnsi="Times New Roman" w:cs="Times New Roman"/>
          <w:b/>
          <w:color w:val="1B1D1F"/>
          <w:sz w:val="24"/>
          <w:szCs w:val="28"/>
        </w:rPr>
        <w:t>Ņemot vērā Ziņojumā izklāstīto situāciju, risinājuma variantus un to izvērtējumu,</w:t>
      </w:r>
      <w:r w:rsidRPr="00E87E3A">
        <w:rPr>
          <w:rFonts w:ascii="Times New Roman" w:hAnsi="Times New Roman" w:cs="Times New Roman"/>
          <w:b/>
          <w:color w:val="1B1D1F"/>
          <w:sz w:val="24"/>
          <w:szCs w:val="28"/>
        </w:rPr>
        <w:t xml:space="preserve"> </w:t>
      </w:r>
      <w:r w:rsidRPr="005B4320">
        <w:rPr>
          <w:rFonts w:ascii="Times New Roman" w:hAnsi="Times New Roman" w:cs="Times New Roman"/>
          <w:b/>
          <w:color w:val="1B1D1F"/>
          <w:sz w:val="24"/>
          <w:szCs w:val="28"/>
        </w:rPr>
        <w:t>ĀM</w:t>
      </w:r>
      <w:r w:rsidRPr="009905B5">
        <w:rPr>
          <w:rFonts w:ascii="Times New Roman" w:hAnsi="Times New Roman" w:cs="Times New Roman"/>
          <w:color w:val="1B1D1F"/>
          <w:sz w:val="24"/>
          <w:szCs w:val="28"/>
        </w:rPr>
        <w:t xml:space="preserve"> </w:t>
      </w:r>
      <w:r w:rsidRPr="009905B5">
        <w:rPr>
          <w:rFonts w:ascii="Times New Roman" w:hAnsi="Times New Roman" w:cs="Times New Roman"/>
          <w:b/>
          <w:color w:val="1B1D1F"/>
          <w:sz w:val="24"/>
          <w:szCs w:val="28"/>
        </w:rPr>
        <w:t>rekomendē</w:t>
      </w:r>
      <w:r>
        <w:rPr>
          <w:rFonts w:ascii="Times New Roman" w:hAnsi="Times New Roman" w:cs="Times New Roman"/>
          <w:b/>
          <w:color w:val="1B1D1F"/>
          <w:sz w:val="24"/>
          <w:szCs w:val="28"/>
        </w:rPr>
        <w:t xml:space="preserve">  Latvijas OAP vidēja termiņa mērķa noteikšanai un divpusējā attīstības palīdzī</w:t>
      </w:r>
      <w:r w:rsidR="006351DD">
        <w:rPr>
          <w:rFonts w:ascii="Times New Roman" w:hAnsi="Times New Roman" w:cs="Times New Roman"/>
          <w:b/>
          <w:color w:val="1B1D1F"/>
          <w:sz w:val="24"/>
          <w:szCs w:val="28"/>
        </w:rPr>
        <w:t>b</w:t>
      </w:r>
      <w:r>
        <w:rPr>
          <w:rFonts w:ascii="Times New Roman" w:hAnsi="Times New Roman" w:cs="Times New Roman"/>
          <w:b/>
          <w:color w:val="1B1D1F"/>
          <w:sz w:val="24"/>
          <w:szCs w:val="28"/>
        </w:rPr>
        <w:t xml:space="preserve">as palielināšanai </w:t>
      </w:r>
      <w:r w:rsidR="006351DD">
        <w:rPr>
          <w:rFonts w:ascii="Times New Roman" w:hAnsi="Times New Roman" w:cs="Times New Roman"/>
          <w:b/>
          <w:color w:val="1B1D1F"/>
          <w:sz w:val="24"/>
          <w:szCs w:val="28"/>
        </w:rPr>
        <w:t xml:space="preserve">apstiprināt </w:t>
      </w:r>
      <w:r>
        <w:rPr>
          <w:rFonts w:ascii="Times New Roman" w:hAnsi="Times New Roman" w:cs="Times New Roman"/>
          <w:b/>
          <w:color w:val="1B1D1F"/>
          <w:sz w:val="24"/>
          <w:szCs w:val="28"/>
        </w:rPr>
        <w:t xml:space="preserve">Tabulā Nr. 5 </w:t>
      </w:r>
      <w:r w:rsidR="00C5601E" w:rsidRPr="009905B5">
        <w:rPr>
          <w:rFonts w:ascii="Times New Roman" w:hAnsi="Times New Roman" w:cs="Times New Roman"/>
          <w:b/>
          <w:color w:val="1B1D1F"/>
          <w:sz w:val="24"/>
          <w:szCs w:val="28"/>
        </w:rPr>
        <w:t xml:space="preserve"> </w:t>
      </w:r>
      <w:r>
        <w:rPr>
          <w:rFonts w:ascii="Times New Roman" w:hAnsi="Times New Roman" w:cs="Times New Roman"/>
          <w:b/>
          <w:color w:val="1B1D1F"/>
          <w:sz w:val="24"/>
          <w:szCs w:val="28"/>
        </w:rPr>
        <w:t xml:space="preserve">aprakstīto Modelis 2 </w:t>
      </w:r>
      <w:r w:rsidR="00C5601E" w:rsidRPr="009905B5">
        <w:rPr>
          <w:rFonts w:ascii="Times New Roman" w:hAnsi="Times New Roman" w:cs="Times New Roman"/>
          <w:b/>
          <w:i/>
          <w:color w:val="1B1D1F"/>
          <w:sz w:val="24"/>
          <w:szCs w:val="28"/>
        </w:rPr>
        <w:t>“Pusceļā līdz 2030 mērķim +”</w:t>
      </w:r>
      <w:r w:rsidR="00E01095" w:rsidRPr="009905B5">
        <w:rPr>
          <w:rFonts w:ascii="Times New Roman" w:hAnsi="Times New Roman" w:cs="Times New Roman"/>
          <w:b/>
          <w:color w:val="1B1D1F"/>
          <w:sz w:val="24"/>
          <w:szCs w:val="28"/>
        </w:rPr>
        <w:t xml:space="preserve"> . </w:t>
      </w:r>
    </w:p>
    <w:p w14:paraId="6D391858" w14:textId="77777777" w:rsidR="00FC2A47" w:rsidRPr="00C25D28" w:rsidRDefault="00E87E3A" w:rsidP="00C25D28">
      <w:pPr>
        <w:spacing w:line="240" w:lineRule="auto"/>
        <w:jc w:val="both"/>
        <w:rPr>
          <w:rFonts w:ascii="Times New Roman" w:hAnsi="Times New Roman" w:cs="Times New Roman"/>
          <w:color w:val="1B1D1F"/>
          <w:sz w:val="24"/>
          <w:szCs w:val="28"/>
        </w:rPr>
      </w:pPr>
      <w:r>
        <w:rPr>
          <w:rFonts w:ascii="Times New Roman" w:hAnsi="Times New Roman" w:cs="Times New Roman"/>
          <w:b/>
          <w:color w:val="1B1D1F"/>
          <w:sz w:val="24"/>
          <w:szCs w:val="28"/>
        </w:rPr>
        <w:t xml:space="preserve">Pirmkārt, </w:t>
      </w:r>
      <w:r w:rsidR="00E01095" w:rsidRPr="009905B5">
        <w:rPr>
          <w:rFonts w:ascii="Times New Roman" w:hAnsi="Times New Roman" w:cs="Times New Roman"/>
          <w:b/>
          <w:color w:val="1B1D1F"/>
          <w:sz w:val="24"/>
          <w:szCs w:val="28"/>
        </w:rPr>
        <w:t>Modelis 2 paredz, ka līdz 2025</w:t>
      </w:r>
      <w:r w:rsidR="00A2733A">
        <w:rPr>
          <w:rFonts w:ascii="Times New Roman" w:hAnsi="Times New Roman" w:cs="Times New Roman"/>
          <w:b/>
          <w:color w:val="1B1D1F"/>
          <w:sz w:val="24"/>
          <w:szCs w:val="28"/>
        </w:rPr>
        <w:t>. gad</w:t>
      </w:r>
      <w:r w:rsidR="00E01095" w:rsidRPr="009905B5">
        <w:rPr>
          <w:rFonts w:ascii="Times New Roman" w:hAnsi="Times New Roman" w:cs="Times New Roman"/>
          <w:b/>
          <w:color w:val="1B1D1F"/>
          <w:sz w:val="24"/>
          <w:szCs w:val="28"/>
        </w:rPr>
        <w:t xml:space="preserve">am </w:t>
      </w:r>
      <w:r>
        <w:rPr>
          <w:rFonts w:ascii="Times New Roman" w:hAnsi="Times New Roman" w:cs="Times New Roman"/>
          <w:b/>
          <w:color w:val="1B1D1F"/>
          <w:sz w:val="24"/>
          <w:szCs w:val="28"/>
        </w:rPr>
        <w:t xml:space="preserve">Latvijas </w:t>
      </w:r>
      <w:r w:rsidR="00E01095" w:rsidRPr="009905B5">
        <w:rPr>
          <w:rFonts w:ascii="Times New Roman" w:hAnsi="Times New Roman" w:cs="Times New Roman"/>
          <w:b/>
          <w:color w:val="1B1D1F"/>
          <w:sz w:val="24"/>
          <w:szCs w:val="28"/>
        </w:rPr>
        <w:t xml:space="preserve">OAP jāpalielina līdz 0.19% no NKI. </w:t>
      </w:r>
      <w:r>
        <w:rPr>
          <w:rFonts w:ascii="Times New Roman" w:hAnsi="Times New Roman" w:cs="Times New Roman"/>
          <w:b/>
          <w:color w:val="1B1D1F"/>
          <w:sz w:val="24"/>
          <w:szCs w:val="28"/>
        </w:rPr>
        <w:t xml:space="preserve">Otrkārt, </w:t>
      </w:r>
      <w:r w:rsidR="00BE2D1C">
        <w:rPr>
          <w:rFonts w:ascii="Times New Roman" w:hAnsi="Times New Roman" w:cs="Times New Roman"/>
          <w:b/>
          <w:color w:val="1B1D1F"/>
          <w:sz w:val="24"/>
          <w:szCs w:val="28"/>
        </w:rPr>
        <w:t xml:space="preserve">nolūkā palielināt Latvijas divpusējo palīdzību </w:t>
      </w:r>
      <w:r>
        <w:rPr>
          <w:rFonts w:ascii="Times New Roman" w:hAnsi="Times New Roman" w:cs="Times New Roman"/>
          <w:b/>
          <w:color w:val="1B1D1F"/>
          <w:sz w:val="24"/>
          <w:szCs w:val="28"/>
        </w:rPr>
        <w:t xml:space="preserve">Modelis </w:t>
      </w:r>
      <w:r w:rsidR="00731856">
        <w:rPr>
          <w:rFonts w:ascii="Times New Roman" w:hAnsi="Times New Roman" w:cs="Times New Roman"/>
          <w:b/>
          <w:color w:val="1B1D1F"/>
          <w:sz w:val="24"/>
          <w:szCs w:val="28"/>
        </w:rPr>
        <w:t xml:space="preserve">2 </w:t>
      </w:r>
      <w:r w:rsidR="006351DD">
        <w:rPr>
          <w:rFonts w:ascii="Times New Roman" w:hAnsi="Times New Roman" w:cs="Times New Roman"/>
          <w:b/>
          <w:color w:val="1B1D1F"/>
          <w:sz w:val="24"/>
          <w:szCs w:val="28"/>
        </w:rPr>
        <w:t xml:space="preserve">paredz </w:t>
      </w:r>
      <w:r w:rsidR="00E01095" w:rsidRPr="009905B5">
        <w:rPr>
          <w:rFonts w:ascii="Times New Roman" w:hAnsi="Times New Roman" w:cs="Times New Roman"/>
          <w:b/>
          <w:color w:val="1B1D1F"/>
          <w:sz w:val="24"/>
          <w:szCs w:val="28"/>
        </w:rPr>
        <w:t>ĀM attīstības sadarbības budžeta programmas finansējuma īpatsvar</w:t>
      </w:r>
      <w:r w:rsidR="00431889" w:rsidRPr="009905B5">
        <w:rPr>
          <w:rFonts w:ascii="Times New Roman" w:hAnsi="Times New Roman" w:cs="Times New Roman"/>
          <w:b/>
          <w:color w:val="1B1D1F"/>
          <w:sz w:val="24"/>
          <w:szCs w:val="28"/>
        </w:rPr>
        <w:t>a</w:t>
      </w:r>
      <w:r w:rsidR="00E01095" w:rsidRPr="009905B5">
        <w:rPr>
          <w:rFonts w:ascii="Times New Roman" w:hAnsi="Times New Roman" w:cs="Times New Roman"/>
          <w:b/>
          <w:color w:val="1B1D1F"/>
          <w:sz w:val="24"/>
          <w:szCs w:val="28"/>
        </w:rPr>
        <w:t xml:space="preserve"> palielinā</w:t>
      </w:r>
      <w:r w:rsidR="00431889" w:rsidRPr="009905B5">
        <w:rPr>
          <w:rFonts w:ascii="Times New Roman" w:hAnsi="Times New Roman" w:cs="Times New Roman"/>
          <w:b/>
          <w:color w:val="1B1D1F"/>
          <w:sz w:val="24"/>
          <w:szCs w:val="28"/>
        </w:rPr>
        <w:t>šanu</w:t>
      </w:r>
      <w:r w:rsidR="00E01095" w:rsidRPr="009905B5">
        <w:rPr>
          <w:rFonts w:ascii="Times New Roman" w:hAnsi="Times New Roman" w:cs="Times New Roman"/>
          <w:b/>
          <w:color w:val="1B1D1F"/>
          <w:sz w:val="24"/>
          <w:szCs w:val="28"/>
        </w:rPr>
        <w:t xml:space="preserve"> līdz 7%</w:t>
      </w:r>
      <w:r w:rsidR="006351DD">
        <w:rPr>
          <w:rFonts w:ascii="Times New Roman" w:hAnsi="Times New Roman" w:cs="Times New Roman"/>
          <w:b/>
          <w:color w:val="1B1D1F"/>
          <w:sz w:val="24"/>
          <w:szCs w:val="28"/>
        </w:rPr>
        <w:t xml:space="preserve"> no OAP</w:t>
      </w:r>
      <w:r w:rsidR="00BE2D1C">
        <w:rPr>
          <w:rFonts w:ascii="Times New Roman" w:hAnsi="Times New Roman" w:cs="Times New Roman"/>
          <w:b/>
          <w:color w:val="1B1D1F"/>
          <w:sz w:val="24"/>
          <w:szCs w:val="28"/>
        </w:rPr>
        <w:t xml:space="preserve"> mērķa</w:t>
      </w:r>
      <w:r w:rsidR="00C86FBC">
        <w:rPr>
          <w:rFonts w:ascii="Times New Roman" w:hAnsi="Times New Roman" w:cs="Times New Roman"/>
          <w:b/>
          <w:color w:val="1B1D1F"/>
          <w:sz w:val="24"/>
          <w:szCs w:val="28"/>
        </w:rPr>
        <w:t>.</w:t>
      </w:r>
      <w:r w:rsidR="00E01095" w:rsidRPr="009905B5">
        <w:rPr>
          <w:rFonts w:ascii="Times New Roman" w:hAnsi="Times New Roman" w:cs="Times New Roman"/>
          <w:color w:val="1B1D1F"/>
          <w:sz w:val="24"/>
          <w:szCs w:val="28"/>
        </w:rPr>
        <w:t xml:space="preserve"> </w:t>
      </w:r>
      <w:r w:rsidR="004C5A71">
        <w:rPr>
          <w:rFonts w:ascii="Times New Roman" w:hAnsi="Times New Roman" w:cs="Times New Roman"/>
          <w:color w:val="1B1D1F"/>
          <w:sz w:val="24"/>
          <w:szCs w:val="28"/>
        </w:rPr>
        <w:t>Mode</w:t>
      </w:r>
      <w:r>
        <w:rPr>
          <w:rFonts w:ascii="Times New Roman" w:hAnsi="Times New Roman" w:cs="Times New Roman"/>
          <w:color w:val="1B1D1F"/>
          <w:sz w:val="24"/>
          <w:szCs w:val="28"/>
        </w:rPr>
        <w:t xml:space="preserve">lis 2 </w:t>
      </w:r>
      <w:r w:rsidR="004C5A71">
        <w:rPr>
          <w:rFonts w:ascii="Times New Roman" w:hAnsi="Times New Roman" w:cs="Times New Roman"/>
          <w:color w:val="1B1D1F"/>
          <w:sz w:val="24"/>
          <w:szCs w:val="28"/>
        </w:rPr>
        <w:t xml:space="preserve"> demonstrē</w:t>
      </w:r>
      <w:r w:rsidR="0023767D">
        <w:rPr>
          <w:rFonts w:ascii="Times New Roman" w:hAnsi="Times New Roman" w:cs="Times New Roman"/>
          <w:color w:val="1B1D1F"/>
          <w:sz w:val="24"/>
          <w:szCs w:val="28"/>
        </w:rPr>
        <w:t>s</w:t>
      </w:r>
      <w:r w:rsidR="004C5A71">
        <w:rPr>
          <w:rFonts w:ascii="Times New Roman" w:hAnsi="Times New Roman" w:cs="Times New Roman"/>
          <w:color w:val="1B1D1F"/>
          <w:sz w:val="24"/>
          <w:szCs w:val="28"/>
        </w:rPr>
        <w:t xml:space="preserve"> Latvijas apņemšanos palielināt OAP atvēlēto finansējumu</w:t>
      </w:r>
      <w:r w:rsidR="002D3873">
        <w:rPr>
          <w:rFonts w:ascii="Times New Roman" w:hAnsi="Times New Roman" w:cs="Times New Roman"/>
          <w:color w:val="1B1D1F"/>
          <w:sz w:val="24"/>
          <w:szCs w:val="28"/>
        </w:rPr>
        <w:t>. Ņemot vēr</w:t>
      </w:r>
      <w:r w:rsidR="00C25D28">
        <w:rPr>
          <w:rFonts w:ascii="Times New Roman" w:hAnsi="Times New Roman" w:cs="Times New Roman"/>
          <w:color w:val="1B1D1F"/>
          <w:sz w:val="24"/>
          <w:szCs w:val="28"/>
        </w:rPr>
        <w:t xml:space="preserve">ā, </w:t>
      </w:r>
      <w:r w:rsidR="002D3873">
        <w:rPr>
          <w:rFonts w:ascii="Times New Roman" w:hAnsi="Times New Roman" w:cs="Times New Roman"/>
          <w:color w:val="1B1D1F"/>
          <w:sz w:val="24"/>
          <w:szCs w:val="28"/>
        </w:rPr>
        <w:t>ka Latvija ievērojami atpaliek no 2020 mērķa izpildes, būtiski jaunajam plānošanas periodam izvirzīt ambiciozāku mērķi, tādēj</w:t>
      </w:r>
      <w:r w:rsidR="00C25D28">
        <w:rPr>
          <w:rFonts w:ascii="Times New Roman" w:hAnsi="Times New Roman" w:cs="Times New Roman"/>
          <w:color w:val="1B1D1F"/>
          <w:sz w:val="24"/>
          <w:szCs w:val="28"/>
        </w:rPr>
        <w:t>ādi mērķtiecīg</w:t>
      </w:r>
      <w:r w:rsidR="00E5462B">
        <w:rPr>
          <w:rFonts w:ascii="Times New Roman" w:hAnsi="Times New Roman" w:cs="Times New Roman"/>
          <w:color w:val="1B1D1F"/>
          <w:sz w:val="24"/>
          <w:szCs w:val="28"/>
        </w:rPr>
        <w:t>āk</w:t>
      </w:r>
      <w:r w:rsidR="00C25D28">
        <w:rPr>
          <w:rFonts w:ascii="Times New Roman" w:hAnsi="Times New Roman" w:cs="Times New Roman"/>
          <w:color w:val="1B1D1F"/>
          <w:sz w:val="24"/>
          <w:szCs w:val="28"/>
        </w:rPr>
        <w:t xml:space="preserve"> </w:t>
      </w:r>
      <w:r w:rsidR="00E5462B">
        <w:rPr>
          <w:rFonts w:ascii="Times New Roman" w:hAnsi="Times New Roman" w:cs="Times New Roman"/>
          <w:color w:val="1B1D1F"/>
          <w:sz w:val="24"/>
          <w:szCs w:val="28"/>
        </w:rPr>
        <w:t xml:space="preserve">un pakāpeniskāk </w:t>
      </w:r>
      <w:r w:rsidR="00C25D28">
        <w:rPr>
          <w:rFonts w:ascii="Times New Roman" w:hAnsi="Times New Roman" w:cs="Times New Roman"/>
          <w:color w:val="1B1D1F"/>
          <w:sz w:val="24"/>
          <w:szCs w:val="28"/>
        </w:rPr>
        <w:t xml:space="preserve">tuvinoties 2030 mērķa izpildei. Modelis 2 paredz progresīvu kāpumu gan OAP kopumā, gan ĀM budžeta programmas </w:t>
      </w:r>
      <w:r w:rsidR="00E5462B">
        <w:rPr>
          <w:rFonts w:ascii="Times New Roman" w:hAnsi="Times New Roman" w:cs="Times New Roman"/>
          <w:color w:val="1B1D1F"/>
          <w:sz w:val="24"/>
          <w:szCs w:val="28"/>
        </w:rPr>
        <w:t xml:space="preserve">finansējumam, nodrošinot, ka jau 2024.gadā ĀM budžeta programmai būtu statistiski vērā ņemama ietekme uz Latvijas OAP (proti, finansējums budžeta programmai būtu līdzvērtīgs 0.01% no Latvijas OAP). </w:t>
      </w:r>
    </w:p>
    <w:p w14:paraId="4267CFBF" w14:textId="77777777" w:rsidR="00E01095" w:rsidRPr="009905B5" w:rsidRDefault="00E01095"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b/>
          <w:color w:val="1B1D1F"/>
          <w:sz w:val="24"/>
          <w:szCs w:val="24"/>
        </w:rPr>
        <w:lastRenderedPageBreak/>
        <w:t xml:space="preserve">Tabula Nr. </w:t>
      </w:r>
      <w:r w:rsidR="00CA7B52">
        <w:rPr>
          <w:rFonts w:ascii="Times New Roman" w:hAnsi="Times New Roman" w:cs="Times New Roman"/>
          <w:b/>
          <w:color w:val="1B1D1F"/>
          <w:sz w:val="24"/>
          <w:szCs w:val="24"/>
        </w:rPr>
        <w:t>6</w:t>
      </w:r>
      <w:r w:rsidRPr="009905B5">
        <w:rPr>
          <w:rFonts w:ascii="Times New Roman" w:hAnsi="Times New Roman" w:cs="Times New Roman"/>
          <w:b/>
          <w:color w:val="1B1D1F"/>
          <w:sz w:val="24"/>
          <w:szCs w:val="24"/>
        </w:rPr>
        <w:t>.</w:t>
      </w:r>
      <w:r w:rsidR="002E253A">
        <w:rPr>
          <w:rFonts w:ascii="Times New Roman" w:hAnsi="Times New Roman" w:cs="Times New Roman"/>
          <w:b/>
          <w:color w:val="1B1D1F"/>
          <w:sz w:val="24"/>
          <w:szCs w:val="24"/>
        </w:rPr>
        <w:t xml:space="preserve"> </w:t>
      </w:r>
      <w:r w:rsidRPr="009905B5">
        <w:rPr>
          <w:rFonts w:ascii="Times New Roman" w:hAnsi="Times New Roman" w:cs="Times New Roman"/>
          <w:b/>
          <w:color w:val="1B1D1F"/>
          <w:sz w:val="24"/>
          <w:szCs w:val="24"/>
        </w:rPr>
        <w:t>Rekomendētais modelis OAP palielināšanai</w:t>
      </w:r>
      <w:r w:rsidR="00205E20" w:rsidRPr="009905B5">
        <w:rPr>
          <w:rFonts w:ascii="Times New Roman" w:hAnsi="Times New Roman" w:cs="Times New Roman"/>
          <w:b/>
          <w:color w:val="1B1D1F"/>
          <w:sz w:val="24"/>
          <w:szCs w:val="24"/>
        </w:rPr>
        <w:t xml:space="preserve"> līdz 2025</w:t>
      </w:r>
      <w:r w:rsidR="00A2733A">
        <w:rPr>
          <w:rFonts w:ascii="Times New Roman" w:hAnsi="Times New Roman" w:cs="Times New Roman"/>
          <w:b/>
          <w:color w:val="1B1D1F"/>
          <w:sz w:val="24"/>
          <w:szCs w:val="24"/>
        </w:rPr>
        <w:t>. gad</w:t>
      </w:r>
      <w:r w:rsidR="00205E20" w:rsidRPr="009905B5">
        <w:rPr>
          <w:rFonts w:ascii="Times New Roman" w:hAnsi="Times New Roman" w:cs="Times New Roman"/>
          <w:b/>
          <w:color w:val="1B1D1F"/>
          <w:sz w:val="24"/>
          <w:szCs w:val="24"/>
        </w:rPr>
        <w:t xml:space="preserve">am </w:t>
      </w:r>
    </w:p>
    <w:tbl>
      <w:tblPr>
        <w:tblStyle w:val="TableGrid"/>
        <w:tblW w:w="8725" w:type="dxa"/>
        <w:tblLook w:val="04A0" w:firstRow="1" w:lastRow="0" w:firstColumn="1" w:lastColumn="0" w:noHBand="0" w:noVBand="1"/>
      </w:tblPr>
      <w:tblGrid>
        <w:gridCol w:w="4045"/>
        <w:gridCol w:w="990"/>
        <w:gridCol w:w="990"/>
        <w:gridCol w:w="900"/>
        <w:gridCol w:w="900"/>
        <w:gridCol w:w="900"/>
      </w:tblGrid>
      <w:tr w:rsidR="00E01095" w:rsidRPr="009905B5" w14:paraId="40CA0BF7" w14:textId="77777777" w:rsidTr="00FE663F">
        <w:tc>
          <w:tcPr>
            <w:tcW w:w="4045" w:type="dxa"/>
          </w:tcPr>
          <w:p w14:paraId="23999BE5" w14:textId="77777777" w:rsidR="00E01095" w:rsidRPr="00C62F7E" w:rsidRDefault="00E01095" w:rsidP="00C05614">
            <w:pPr>
              <w:jc w:val="both"/>
              <w:rPr>
                <w:rFonts w:ascii="Times New Roman" w:hAnsi="Times New Roman" w:cs="Times New Roman"/>
                <w:b/>
                <w:color w:val="1B1D1F"/>
              </w:rPr>
            </w:pPr>
          </w:p>
        </w:tc>
        <w:tc>
          <w:tcPr>
            <w:tcW w:w="990" w:type="dxa"/>
          </w:tcPr>
          <w:p w14:paraId="56FE5AEF"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2021</w:t>
            </w:r>
          </w:p>
        </w:tc>
        <w:tc>
          <w:tcPr>
            <w:tcW w:w="990" w:type="dxa"/>
          </w:tcPr>
          <w:p w14:paraId="76F36C3F"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2022</w:t>
            </w:r>
          </w:p>
        </w:tc>
        <w:tc>
          <w:tcPr>
            <w:tcW w:w="900" w:type="dxa"/>
            <w:shd w:val="clear" w:color="auto" w:fill="FFFFFF" w:themeFill="background1"/>
          </w:tcPr>
          <w:p w14:paraId="738C9C87"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2023</w:t>
            </w:r>
          </w:p>
        </w:tc>
        <w:tc>
          <w:tcPr>
            <w:tcW w:w="900" w:type="dxa"/>
            <w:shd w:val="clear" w:color="auto" w:fill="FFFFFF" w:themeFill="background1"/>
          </w:tcPr>
          <w:p w14:paraId="745DD9C1"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2024</w:t>
            </w:r>
          </w:p>
        </w:tc>
        <w:tc>
          <w:tcPr>
            <w:tcW w:w="900" w:type="dxa"/>
            <w:tcBorders>
              <w:right w:val="single" w:sz="4" w:space="0" w:color="auto"/>
            </w:tcBorders>
            <w:shd w:val="clear" w:color="auto" w:fill="FFFFFF" w:themeFill="background1"/>
          </w:tcPr>
          <w:p w14:paraId="4F77C4E9" w14:textId="77777777" w:rsidR="00E01095" w:rsidRPr="00C62F7E" w:rsidRDefault="00E01095" w:rsidP="00C05614">
            <w:pPr>
              <w:jc w:val="both"/>
              <w:rPr>
                <w:rFonts w:ascii="Times New Roman" w:hAnsi="Times New Roman" w:cs="Times New Roman"/>
                <w:b/>
              </w:rPr>
            </w:pPr>
            <w:r w:rsidRPr="00C62F7E">
              <w:rPr>
                <w:rFonts w:ascii="Times New Roman" w:hAnsi="Times New Roman" w:cs="Times New Roman"/>
                <w:b/>
              </w:rPr>
              <w:t>2025</w:t>
            </w:r>
          </w:p>
        </w:tc>
      </w:tr>
      <w:tr w:rsidR="00E01095" w:rsidRPr="009905B5" w14:paraId="54213353" w14:textId="77777777" w:rsidTr="00FE663F">
        <w:tc>
          <w:tcPr>
            <w:tcW w:w="4045" w:type="dxa"/>
            <w:tcBorders>
              <w:bottom w:val="single" w:sz="4" w:space="0" w:color="auto"/>
            </w:tcBorders>
          </w:tcPr>
          <w:p w14:paraId="2239DD19"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NK</w:t>
            </w:r>
            <w:r w:rsidR="00155F7D" w:rsidRPr="00C62F7E">
              <w:rPr>
                <w:rFonts w:ascii="Times New Roman" w:hAnsi="Times New Roman" w:cs="Times New Roman"/>
                <w:color w:val="1B1D1F"/>
              </w:rPr>
              <w:t>I</w:t>
            </w:r>
            <w:r w:rsidRPr="00C62F7E">
              <w:rPr>
                <w:rFonts w:ascii="Times New Roman" w:hAnsi="Times New Roman" w:cs="Times New Roman"/>
                <w:color w:val="1B1D1F"/>
              </w:rPr>
              <w:t xml:space="preserve"> (milj. EUR)</w:t>
            </w:r>
            <w:r w:rsidR="00155F7D" w:rsidRPr="00C62F7E">
              <w:rPr>
                <w:rStyle w:val="FootnoteReference"/>
                <w:rFonts w:ascii="Times New Roman" w:hAnsi="Times New Roman" w:cs="Times New Roman"/>
                <w:color w:val="1B1D1F"/>
              </w:rPr>
              <w:footnoteReference w:id="34"/>
            </w:r>
          </w:p>
        </w:tc>
        <w:tc>
          <w:tcPr>
            <w:tcW w:w="990" w:type="dxa"/>
            <w:tcBorders>
              <w:bottom w:val="single" w:sz="4" w:space="0" w:color="auto"/>
            </w:tcBorders>
          </w:tcPr>
          <w:p w14:paraId="20E3BDCF"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34 658</w:t>
            </w:r>
          </w:p>
        </w:tc>
        <w:tc>
          <w:tcPr>
            <w:tcW w:w="990" w:type="dxa"/>
            <w:tcBorders>
              <w:bottom w:val="single" w:sz="4" w:space="0" w:color="auto"/>
            </w:tcBorders>
          </w:tcPr>
          <w:p w14:paraId="5BF56ABD"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36 482</w:t>
            </w:r>
          </w:p>
        </w:tc>
        <w:tc>
          <w:tcPr>
            <w:tcW w:w="900" w:type="dxa"/>
            <w:tcBorders>
              <w:bottom w:val="single" w:sz="4" w:space="0" w:color="auto"/>
            </w:tcBorders>
            <w:shd w:val="clear" w:color="auto" w:fill="FFFFFF" w:themeFill="background1"/>
          </w:tcPr>
          <w:p w14:paraId="710CCBDE"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38 333</w:t>
            </w:r>
          </w:p>
        </w:tc>
        <w:tc>
          <w:tcPr>
            <w:tcW w:w="900" w:type="dxa"/>
            <w:tcBorders>
              <w:bottom w:val="single" w:sz="4" w:space="0" w:color="auto"/>
            </w:tcBorders>
            <w:shd w:val="clear" w:color="auto" w:fill="FFFFFF" w:themeFill="background1"/>
          </w:tcPr>
          <w:p w14:paraId="12F6037B"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40 256</w:t>
            </w:r>
          </w:p>
        </w:tc>
        <w:tc>
          <w:tcPr>
            <w:tcW w:w="900" w:type="dxa"/>
            <w:tcBorders>
              <w:bottom w:val="single" w:sz="4" w:space="0" w:color="auto"/>
              <w:right w:val="single" w:sz="4" w:space="0" w:color="auto"/>
            </w:tcBorders>
            <w:shd w:val="clear" w:color="auto" w:fill="FFFFFF" w:themeFill="background1"/>
          </w:tcPr>
          <w:p w14:paraId="02F034AB"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42 265</w:t>
            </w:r>
          </w:p>
        </w:tc>
      </w:tr>
      <w:tr w:rsidR="00E01095" w:rsidRPr="009905B5" w14:paraId="6A76AF9D" w14:textId="77777777" w:rsidTr="00DD7654">
        <w:trPr>
          <w:trHeight w:val="70"/>
        </w:trPr>
        <w:tc>
          <w:tcPr>
            <w:tcW w:w="4045" w:type="dxa"/>
            <w:tcBorders>
              <w:bottom w:val="single" w:sz="12" w:space="0" w:color="auto"/>
            </w:tcBorders>
          </w:tcPr>
          <w:p w14:paraId="18BAE1A1"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0.01% izteikts milj. EUR</w:t>
            </w:r>
          </w:p>
        </w:tc>
        <w:tc>
          <w:tcPr>
            <w:tcW w:w="990" w:type="dxa"/>
            <w:tcBorders>
              <w:bottom w:val="single" w:sz="12" w:space="0" w:color="auto"/>
            </w:tcBorders>
          </w:tcPr>
          <w:p w14:paraId="546EAC3D"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3,47</w:t>
            </w:r>
          </w:p>
        </w:tc>
        <w:tc>
          <w:tcPr>
            <w:tcW w:w="990" w:type="dxa"/>
            <w:tcBorders>
              <w:bottom w:val="single" w:sz="12" w:space="0" w:color="auto"/>
            </w:tcBorders>
          </w:tcPr>
          <w:p w14:paraId="34D27654"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3,65</w:t>
            </w:r>
          </w:p>
        </w:tc>
        <w:tc>
          <w:tcPr>
            <w:tcW w:w="900" w:type="dxa"/>
            <w:tcBorders>
              <w:bottom w:val="single" w:sz="12" w:space="0" w:color="auto"/>
            </w:tcBorders>
            <w:shd w:val="clear" w:color="auto" w:fill="FFFFFF" w:themeFill="background1"/>
          </w:tcPr>
          <w:p w14:paraId="09124A03"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3,83</w:t>
            </w:r>
          </w:p>
        </w:tc>
        <w:tc>
          <w:tcPr>
            <w:tcW w:w="900" w:type="dxa"/>
            <w:tcBorders>
              <w:bottom w:val="single" w:sz="12" w:space="0" w:color="auto"/>
            </w:tcBorders>
            <w:shd w:val="clear" w:color="auto" w:fill="FFFFFF" w:themeFill="background1"/>
          </w:tcPr>
          <w:p w14:paraId="1DAE123C"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4,03</w:t>
            </w:r>
          </w:p>
        </w:tc>
        <w:tc>
          <w:tcPr>
            <w:tcW w:w="900" w:type="dxa"/>
            <w:tcBorders>
              <w:bottom w:val="single" w:sz="12" w:space="0" w:color="auto"/>
              <w:right w:val="single" w:sz="4" w:space="0" w:color="auto"/>
            </w:tcBorders>
            <w:shd w:val="clear" w:color="auto" w:fill="FFFFFF" w:themeFill="background1"/>
          </w:tcPr>
          <w:p w14:paraId="39FE43AA" w14:textId="77777777" w:rsidR="00E01095" w:rsidRPr="00C62F7E" w:rsidRDefault="00E01095" w:rsidP="00C05614">
            <w:pPr>
              <w:jc w:val="both"/>
              <w:rPr>
                <w:rFonts w:ascii="Times New Roman" w:hAnsi="Times New Roman" w:cs="Times New Roman"/>
              </w:rPr>
            </w:pPr>
            <w:r w:rsidRPr="00C62F7E">
              <w:rPr>
                <w:rFonts w:ascii="Times New Roman" w:hAnsi="Times New Roman" w:cs="Times New Roman"/>
              </w:rPr>
              <w:t>4,23</w:t>
            </w:r>
          </w:p>
        </w:tc>
      </w:tr>
      <w:tr w:rsidR="00E01095" w:rsidRPr="009905B5" w14:paraId="2764B4FE" w14:textId="77777777" w:rsidTr="00E01095">
        <w:tc>
          <w:tcPr>
            <w:tcW w:w="4045" w:type="dxa"/>
          </w:tcPr>
          <w:p w14:paraId="663C1896"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OAP/NKI% - MODELIS 2</w:t>
            </w:r>
          </w:p>
          <w:p w14:paraId="2A882AAE"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i/>
                <w:color w:val="1B1D1F"/>
              </w:rPr>
              <w:t>“Pusceļā līdz 2030 mērķim +</w:t>
            </w:r>
            <w:r w:rsidRPr="00C62F7E">
              <w:rPr>
                <w:rFonts w:ascii="Times New Roman" w:hAnsi="Times New Roman" w:cs="Times New Roman"/>
                <w:color w:val="1B1D1F"/>
              </w:rPr>
              <w:t>”</w:t>
            </w:r>
            <w:r w:rsidRPr="00C62F7E">
              <w:rPr>
                <w:rFonts w:ascii="Times New Roman" w:hAnsi="Times New Roman" w:cs="Times New Roman"/>
                <w:i/>
                <w:color w:val="1B1D1F"/>
              </w:rPr>
              <w:t xml:space="preserve"> </w:t>
            </w:r>
          </w:p>
        </w:tc>
        <w:tc>
          <w:tcPr>
            <w:tcW w:w="990" w:type="dxa"/>
          </w:tcPr>
          <w:p w14:paraId="44DA162C"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0.11</w:t>
            </w:r>
          </w:p>
        </w:tc>
        <w:tc>
          <w:tcPr>
            <w:tcW w:w="990" w:type="dxa"/>
          </w:tcPr>
          <w:p w14:paraId="7D918254"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0.13</w:t>
            </w:r>
          </w:p>
        </w:tc>
        <w:tc>
          <w:tcPr>
            <w:tcW w:w="900" w:type="dxa"/>
          </w:tcPr>
          <w:p w14:paraId="5241C361"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0.15</w:t>
            </w:r>
          </w:p>
        </w:tc>
        <w:tc>
          <w:tcPr>
            <w:tcW w:w="900" w:type="dxa"/>
          </w:tcPr>
          <w:p w14:paraId="3FF14B9C"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0.17</w:t>
            </w:r>
          </w:p>
        </w:tc>
        <w:tc>
          <w:tcPr>
            <w:tcW w:w="900" w:type="dxa"/>
          </w:tcPr>
          <w:p w14:paraId="26EE84AD"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0.19</w:t>
            </w:r>
          </w:p>
        </w:tc>
      </w:tr>
      <w:tr w:rsidR="00E01095" w:rsidRPr="009905B5" w14:paraId="586EE194" w14:textId="77777777" w:rsidTr="00E01095">
        <w:tc>
          <w:tcPr>
            <w:tcW w:w="4045" w:type="dxa"/>
          </w:tcPr>
          <w:p w14:paraId="5D804D70" w14:textId="77777777" w:rsidR="00E01095" w:rsidRPr="00C62F7E" w:rsidRDefault="00E01095" w:rsidP="00C05614">
            <w:pPr>
              <w:jc w:val="right"/>
              <w:rPr>
                <w:rFonts w:ascii="Times New Roman" w:hAnsi="Times New Roman" w:cs="Times New Roman"/>
                <w:color w:val="1B1D1F"/>
              </w:rPr>
            </w:pPr>
            <w:r w:rsidRPr="00C62F7E">
              <w:rPr>
                <w:rFonts w:ascii="Times New Roman" w:hAnsi="Times New Roman" w:cs="Times New Roman"/>
                <w:color w:val="1B1D1F"/>
              </w:rPr>
              <w:t>milj. EUR</w:t>
            </w:r>
          </w:p>
        </w:tc>
        <w:tc>
          <w:tcPr>
            <w:tcW w:w="990" w:type="dxa"/>
          </w:tcPr>
          <w:p w14:paraId="1E27A160"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38,12</w:t>
            </w:r>
          </w:p>
        </w:tc>
        <w:tc>
          <w:tcPr>
            <w:tcW w:w="990" w:type="dxa"/>
          </w:tcPr>
          <w:p w14:paraId="716691A0"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47,43</w:t>
            </w:r>
          </w:p>
        </w:tc>
        <w:tc>
          <w:tcPr>
            <w:tcW w:w="900" w:type="dxa"/>
          </w:tcPr>
          <w:p w14:paraId="06ED9858" w14:textId="77777777" w:rsidR="00E01095" w:rsidRPr="00C62F7E" w:rsidRDefault="00E01095" w:rsidP="00C05614">
            <w:pPr>
              <w:jc w:val="both"/>
              <w:rPr>
                <w:rFonts w:ascii="Times New Roman" w:hAnsi="Times New Roman" w:cs="Times New Roman"/>
                <w:color w:val="1B1D1F"/>
              </w:rPr>
            </w:pPr>
            <w:r w:rsidRPr="00C62F7E">
              <w:rPr>
                <w:rFonts w:ascii="Times New Roman" w:hAnsi="Times New Roman" w:cs="Times New Roman"/>
                <w:color w:val="1B1D1F"/>
              </w:rPr>
              <w:t>57,50</w:t>
            </w:r>
          </w:p>
        </w:tc>
        <w:tc>
          <w:tcPr>
            <w:tcW w:w="900" w:type="dxa"/>
          </w:tcPr>
          <w:p w14:paraId="63FA2D20"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color w:val="1B1D1F"/>
              </w:rPr>
              <w:t>68,44</w:t>
            </w:r>
          </w:p>
        </w:tc>
        <w:tc>
          <w:tcPr>
            <w:tcW w:w="900" w:type="dxa"/>
          </w:tcPr>
          <w:p w14:paraId="0FA21791" w14:textId="77777777" w:rsidR="00E01095" w:rsidRPr="00C62F7E" w:rsidRDefault="00E01095" w:rsidP="00C05614">
            <w:pPr>
              <w:jc w:val="both"/>
              <w:rPr>
                <w:rFonts w:ascii="Times New Roman" w:hAnsi="Times New Roman" w:cs="Times New Roman"/>
                <w:i/>
                <w:color w:val="1B1D1F"/>
              </w:rPr>
            </w:pPr>
            <w:r w:rsidRPr="00C62F7E">
              <w:rPr>
                <w:rFonts w:ascii="Times New Roman" w:hAnsi="Times New Roman" w:cs="Times New Roman"/>
                <w:color w:val="1B1D1F"/>
              </w:rPr>
              <w:t>80,30</w:t>
            </w:r>
          </w:p>
        </w:tc>
      </w:tr>
      <w:tr w:rsidR="00E01095" w:rsidRPr="009905B5" w14:paraId="21D6556E" w14:textId="77777777" w:rsidTr="00E01095">
        <w:tc>
          <w:tcPr>
            <w:tcW w:w="4045" w:type="dxa"/>
          </w:tcPr>
          <w:p w14:paraId="30D0C4AE"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ĀM budžeta programma 7% no OAP</w:t>
            </w:r>
          </w:p>
        </w:tc>
        <w:tc>
          <w:tcPr>
            <w:tcW w:w="990" w:type="dxa"/>
          </w:tcPr>
          <w:p w14:paraId="54161FDA"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3%</w:t>
            </w:r>
          </w:p>
        </w:tc>
        <w:tc>
          <w:tcPr>
            <w:tcW w:w="990" w:type="dxa"/>
          </w:tcPr>
          <w:p w14:paraId="6FD0C376"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4%</w:t>
            </w:r>
          </w:p>
        </w:tc>
        <w:tc>
          <w:tcPr>
            <w:tcW w:w="900" w:type="dxa"/>
          </w:tcPr>
          <w:p w14:paraId="36E77AD5"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5%</w:t>
            </w:r>
          </w:p>
        </w:tc>
        <w:tc>
          <w:tcPr>
            <w:tcW w:w="900" w:type="dxa"/>
          </w:tcPr>
          <w:p w14:paraId="696005AF"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6%</w:t>
            </w:r>
          </w:p>
        </w:tc>
        <w:tc>
          <w:tcPr>
            <w:tcW w:w="900" w:type="dxa"/>
          </w:tcPr>
          <w:p w14:paraId="23C6EF48"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7%</w:t>
            </w:r>
          </w:p>
        </w:tc>
      </w:tr>
      <w:tr w:rsidR="00E01095" w:rsidRPr="009905B5" w14:paraId="4A5203C6" w14:textId="77777777" w:rsidTr="00E01095">
        <w:tc>
          <w:tcPr>
            <w:tcW w:w="4045" w:type="dxa"/>
          </w:tcPr>
          <w:p w14:paraId="3698203F" w14:textId="77777777" w:rsidR="00E01095" w:rsidRPr="00C62F7E" w:rsidRDefault="00E01095" w:rsidP="00C05614">
            <w:pPr>
              <w:jc w:val="right"/>
              <w:rPr>
                <w:rFonts w:ascii="Times New Roman" w:hAnsi="Times New Roman" w:cs="Times New Roman"/>
                <w:b/>
                <w:color w:val="1B1D1F"/>
              </w:rPr>
            </w:pPr>
            <w:r w:rsidRPr="00C62F7E">
              <w:rPr>
                <w:rFonts w:ascii="Times New Roman" w:hAnsi="Times New Roman" w:cs="Times New Roman"/>
                <w:b/>
                <w:color w:val="1B1D1F"/>
              </w:rPr>
              <w:t>milj. EUR</w:t>
            </w:r>
          </w:p>
        </w:tc>
        <w:tc>
          <w:tcPr>
            <w:tcW w:w="990" w:type="dxa"/>
          </w:tcPr>
          <w:p w14:paraId="0519EF13"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1,14</w:t>
            </w:r>
          </w:p>
        </w:tc>
        <w:tc>
          <w:tcPr>
            <w:tcW w:w="990" w:type="dxa"/>
          </w:tcPr>
          <w:p w14:paraId="4EF56BBE"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1,90</w:t>
            </w:r>
          </w:p>
        </w:tc>
        <w:tc>
          <w:tcPr>
            <w:tcW w:w="900" w:type="dxa"/>
          </w:tcPr>
          <w:p w14:paraId="38332892"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2,87</w:t>
            </w:r>
          </w:p>
        </w:tc>
        <w:tc>
          <w:tcPr>
            <w:tcW w:w="900" w:type="dxa"/>
          </w:tcPr>
          <w:p w14:paraId="1DA84CFF"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4,11</w:t>
            </w:r>
          </w:p>
        </w:tc>
        <w:tc>
          <w:tcPr>
            <w:tcW w:w="900" w:type="dxa"/>
          </w:tcPr>
          <w:p w14:paraId="5C9E91F3" w14:textId="77777777" w:rsidR="00E01095" w:rsidRPr="00C62F7E" w:rsidRDefault="00E01095" w:rsidP="00C05614">
            <w:pPr>
              <w:jc w:val="both"/>
              <w:rPr>
                <w:rFonts w:ascii="Times New Roman" w:hAnsi="Times New Roman" w:cs="Times New Roman"/>
                <w:b/>
                <w:color w:val="1B1D1F"/>
              </w:rPr>
            </w:pPr>
            <w:r w:rsidRPr="00C62F7E">
              <w:rPr>
                <w:rFonts w:ascii="Times New Roman" w:hAnsi="Times New Roman" w:cs="Times New Roman"/>
                <w:b/>
                <w:color w:val="1B1D1F"/>
              </w:rPr>
              <w:t>5,62</w:t>
            </w:r>
          </w:p>
        </w:tc>
      </w:tr>
      <w:tr w:rsidR="00E42A79" w:rsidRPr="009905B5" w14:paraId="7D6F1351" w14:textId="77777777" w:rsidTr="008D70ED">
        <w:tc>
          <w:tcPr>
            <w:tcW w:w="4045" w:type="dxa"/>
            <w:tcBorders>
              <w:top w:val="single" w:sz="4" w:space="0" w:color="auto"/>
              <w:bottom w:val="single" w:sz="4" w:space="0" w:color="auto"/>
            </w:tcBorders>
            <w:shd w:val="clear" w:color="auto" w:fill="auto"/>
          </w:tcPr>
          <w:p w14:paraId="47679D5E" w14:textId="77777777" w:rsidR="00E42A79" w:rsidRDefault="00E42A79" w:rsidP="00E42A79">
            <w:pPr>
              <w:jc w:val="right"/>
              <w:rPr>
                <w:rFonts w:ascii="Times New Roman" w:hAnsi="Times New Roman" w:cs="Times New Roman"/>
                <w:i/>
                <w:color w:val="1B1D1F"/>
              </w:rPr>
            </w:pPr>
            <w:r w:rsidRPr="004D4436">
              <w:rPr>
                <w:rFonts w:ascii="Times New Roman" w:hAnsi="Times New Roman" w:cs="Times New Roman"/>
                <w:i/>
                <w:color w:val="1B1D1F"/>
              </w:rPr>
              <w:t xml:space="preserve">Papildu nepieciešamais finansējums </w:t>
            </w:r>
          </w:p>
          <w:p w14:paraId="6D0D0234" w14:textId="77777777" w:rsidR="00E42A79" w:rsidRPr="00C62F7E" w:rsidRDefault="00E42A79" w:rsidP="00E42A79">
            <w:pPr>
              <w:jc w:val="right"/>
              <w:rPr>
                <w:rFonts w:ascii="Times New Roman" w:hAnsi="Times New Roman" w:cs="Times New Roman"/>
                <w:i/>
                <w:color w:val="1B1D1F"/>
              </w:rPr>
            </w:pPr>
            <w:r w:rsidRPr="004D4436">
              <w:rPr>
                <w:rFonts w:ascii="Times New Roman" w:hAnsi="Times New Roman" w:cs="Times New Roman"/>
                <w:i/>
                <w:color w:val="1B1D1F"/>
              </w:rPr>
              <w:t>(</w:t>
            </w:r>
            <w:r>
              <w:rPr>
                <w:rFonts w:ascii="Times New Roman" w:hAnsi="Times New Roman" w:cs="Times New Roman"/>
                <w:i/>
                <w:color w:val="1B1D1F"/>
              </w:rPr>
              <w:t xml:space="preserve">bāze (2020.g.) - </w:t>
            </w:r>
            <w:r w:rsidRPr="004D4436">
              <w:rPr>
                <w:rFonts w:ascii="Times New Roman" w:hAnsi="Times New Roman" w:cs="Times New Roman"/>
                <w:i/>
                <w:color w:val="1B1D1F"/>
              </w:rPr>
              <w:t>463 813 EUR)</w:t>
            </w:r>
          </w:p>
        </w:tc>
        <w:tc>
          <w:tcPr>
            <w:tcW w:w="990" w:type="dxa"/>
            <w:tcBorders>
              <w:top w:val="single" w:sz="4" w:space="0" w:color="auto"/>
              <w:bottom w:val="single" w:sz="4" w:space="0" w:color="auto"/>
            </w:tcBorders>
            <w:shd w:val="clear" w:color="auto" w:fill="auto"/>
          </w:tcPr>
          <w:p w14:paraId="271A63AD" w14:textId="77777777" w:rsidR="00E42A79" w:rsidRPr="00C62F7E"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+0,680</w:t>
            </w:r>
          </w:p>
        </w:tc>
        <w:tc>
          <w:tcPr>
            <w:tcW w:w="990" w:type="dxa"/>
            <w:tcBorders>
              <w:top w:val="single" w:sz="4" w:space="0" w:color="auto"/>
              <w:bottom w:val="single" w:sz="4" w:space="0" w:color="auto"/>
            </w:tcBorders>
            <w:shd w:val="clear" w:color="auto" w:fill="auto"/>
          </w:tcPr>
          <w:p w14:paraId="3A6EB525" w14:textId="77777777" w:rsidR="00E42A79" w:rsidRPr="00C62F7E" w:rsidRDefault="00E42A79" w:rsidP="00E42A79">
            <w:pPr>
              <w:jc w:val="both"/>
              <w:rPr>
                <w:rFonts w:ascii="Times New Roman" w:hAnsi="Times New Roman" w:cs="Times New Roman"/>
                <w:i/>
                <w:color w:val="1B1D1F"/>
              </w:rPr>
            </w:pPr>
            <w:r>
              <w:rPr>
                <w:rFonts w:ascii="Times New Roman" w:hAnsi="Times New Roman" w:cs="Times New Roman"/>
                <w:i/>
                <w:color w:val="1B1D1F"/>
              </w:rPr>
              <w:t>+1,433</w:t>
            </w:r>
          </w:p>
        </w:tc>
        <w:tc>
          <w:tcPr>
            <w:tcW w:w="900" w:type="dxa"/>
            <w:tcBorders>
              <w:top w:val="single" w:sz="4" w:space="0" w:color="auto"/>
              <w:bottom w:val="single" w:sz="4" w:space="0" w:color="auto"/>
            </w:tcBorders>
            <w:shd w:val="clear" w:color="auto" w:fill="auto"/>
          </w:tcPr>
          <w:p w14:paraId="4428295A" w14:textId="77777777" w:rsidR="00E42A79" w:rsidRPr="00C62F7E" w:rsidRDefault="00E42A79" w:rsidP="00E42A79">
            <w:pPr>
              <w:jc w:val="both"/>
              <w:rPr>
                <w:rFonts w:ascii="Times New Roman" w:hAnsi="Times New Roman" w:cs="Times New Roman"/>
                <w:i/>
                <w:color w:val="1B1D1F"/>
              </w:rPr>
            </w:pPr>
            <w:r w:rsidRPr="00633422">
              <w:rPr>
                <w:rFonts w:ascii="Times New Roman" w:hAnsi="Times New Roman" w:cs="Times New Roman"/>
                <w:i/>
                <w:color w:val="1B1D1F"/>
              </w:rPr>
              <w:t>+</w:t>
            </w:r>
            <w:r>
              <w:rPr>
                <w:rFonts w:ascii="Times New Roman" w:hAnsi="Times New Roman" w:cs="Times New Roman"/>
                <w:i/>
                <w:color w:val="1B1D1F"/>
              </w:rPr>
              <w:t>2,411</w:t>
            </w:r>
          </w:p>
        </w:tc>
        <w:tc>
          <w:tcPr>
            <w:tcW w:w="900" w:type="dxa"/>
            <w:tcBorders>
              <w:top w:val="single" w:sz="4" w:space="0" w:color="auto"/>
              <w:bottom w:val="single" w:sz="4" w:space="0" w:color="auto"/>
            </w:tcBorders>
            <w:shd w:val="clear" w:color="auto" w:fill="auto"/>
          </w:tcPr>
          <w:p w14:paraId="53C74486" w14:textId="77777777" w:rsidR="00E42A79" w:rsidRPr="00C62F7E" w:rsidRDefault="00E42A79" w:rsidP="00E42A79">
            <w:pPr>
              <w:jc w:val="both"/>
              <w:rPr>
                <w:rFonts w:ascii="Times New Roman" w:hAnsi="Times New Roman" w:cs="Times New Roman"/>
                <w:i/>
                <w:color w:val="1B1D1F"/>
              </w:rPr>
            </w:pPr>
            <w:r>
              <w:rPr>
                <w:rFonts w:ascii="Times New Roman" w:hAnsi="Times New Roman" w:cs="Times New Roman"/>
                <w:i/>
                <w:color w:val="1B1D1F"/>
              </w:rPr>
              <w:t>+3,642</w:t>
            </w:r>
          </w:p>
        </w:tc>
        <w:tc>
          <w:tcPr>
            <w:tcW w:w="900" w:type="dxa"/>
            <w:tcBorders>
              <w:top w:val="single" w:sz="4" w:space="0" w:color="auto"/>
              <w:bottom w:val="single" w:sz="4" w:space="0" w:color="auto"/>
              <w:right w:val="single" w:sz="4" w:space="0" w:color="auto"/>
            </w:tcBorders>
            <w:shd w:val="clear" w:color="auto" w:fill="auto"/>
          </w:tcPr>
          <w:p w14:paraId="1E9CB8ED" w14:textId="77777777" w:rsidR="00E42A79" w:rsidRPr="00C62F7E" w:rsidRDefault="00E42A79" w:rsidP="00E42A79">
            <w:pPr>
              <w:jc w:val="both"/>
              <w:rPr>
                <w:rFonts w:ascii="Times New Roman" w:hAnsi="Times New Roman" w:cs="Times New Roman"/>
                <w:i/>
                <w:color w:val="1B1D1F"/>
              </w:rPr>
            </w:pPr>
            <w:r>
              <w:rPr>
                <w:rFonts w:ascii="Times New Roman" w:hAnsi="Times New Roman" w:cs="Times New Roman"/>
                <w:i/>
                <w:color w:val="1B1D1F"/>
              </w:rPr>
              <w:t>+5,157</w:t>
            </w:r>
          </w:p>
        </w:tc>
      </w:tr>
    </w:tbl>
    <w:p w14:paraId="2945059C" w14:textId="77777777" w:rsidR="001F46D5" w:rsidRDefault="0027451F" w:rsidP="00320C7E">
      <w:pPr>
        <w:spacing w:before="160" w:line="240" w:lineRule="auto"/>
        <w:jc w:val="both"/>
        <w:rPr>
          <w:rFonts w:ascii="Times New Roman" w:hAnsi="Times New Roman" w:cs="Times New Roman"/>
          <w:color w:val="1B1D1F"/>
          <w:sz w:val="24"/>
          <w:szCs w:val="28"/>
        </w:rPr>
      </w:pPr>
      <w:r w:rsidRPr="00F55350">
        <w:rPr>
          <w:rFonts w:ascii="Times New Roman" w:hAnsi="Times New Roman" w:cs="Times New Roman"/>
          <w:color w:val="1B1D1F"/>
          <w:sz w:val="24"/>
          <w:szCs w:val="28"/>
        </w:rPr>
        <w:t>T</w:t>
      </w:r>
      <w:r w:rsidR="00615D13" w:rsidRPr="00F55350">
        <w:rPr>
          <w:rFonts w:ascii="Times New Roman" w:hAnsi="Times New Roman" w:cs="Times New Roman"/>
          <w:color w:val="1B1D1F"/>
          <w:sz w:val="24"/>
          <w:szCs w:val="28"/>
        </w:rPr>
        <w:t xml:space="preserve">ekošā gada ietvaros </w:t>
      </w:r>
      <w:r w:rsidR="001F46D5" w:rsidRPr="00F55350">
        <w:rPr>
          <w:rFonts w:ascii="Times New Roman" w:hAnsi="Times New Roman" w:cs="Times New Roman"/>
          <w:color w:val="1B1D1F"/>
          <w:sz w:val="24"/>
          <w:szCs w:val="28"/>
        </w:rPr>
        <w:t xml:space="preserve">sniegtās OAP apmērus un </w:t>
      </w:r>
      <w:r w:rsidRPr="00F55350">
        <w:rPr>
          <w:rFonts w:ascii="Times New Roman" w:hAnsi="Times New Roman" w:cs="Times New Roman"/>
          <w:color w:val="1B1D1F"/>
          <w:sz w:val="24"/>
          <w:szCs w:val="28"/>
        </w:rPr>
        <w:t xml:space="preserve">tās </w:t>
      </w:r>
      <w:r w:rsidR="001F46D5" w:rsidRPr="00F55350">
        <w:rPr>
          <w:rFonts w:ascii="Times New Roman" w:hAnsi="Times New Roman" w:cs="Times New Roman"/>
          <w:color w:val="1B1D1F"/>
          <w:sz w:val="24"/>
          <w:szCs w:val="28"/>
        </w:rPr>
        <w:t xml:space="preserve">attiecību pret NKI iespējams konstatēt tikai </w:t>
      </w:r>
      <w:r w:rsidR="00615D13" w:rsidRPr="00F55350">
        <w:rPr>
          <w:rFonts w:ascii="Times New Roman" w:hAnsi="Times New Roman" w:cs="Times New Roman"/>
          <w:color w:val="1B1D1F"/>
          <w:sz w:val="24"/>
          <w:szCs w:val="28"/>
        </w:rPr>
        <w:t>nākamā gada pirmajā pusē (sākotnējos datus)</w:t>
      </w:r>
      <w:r w:rsidRPr="00F55350">
        <w:rPr>
          <w:rFonts w:ascii="Times New Roman" w:hAnsi="Times New Roman" w:cs="Times New Roman"/>
          <w:color w:val="1B1D1F"/>
          <w:sz w:val="24"/>
          <w:szCs w:val="28"/>
        </w:rPr>
        <w:t>. Kā jau minēts iepriekš</w:t>
      </w:r>
      <w:r w:rsidR="00F12F7E" w:rsidRPr="00F55350">
        <w:rPr>
          <w:rFonts w:ascii="Times New Roman" w:hAnsi="Times New Roman" w:cs="Times New Roman"/>
          <w:color w:val="1B1D1F"/>
          <w:sz w:val="24"/>
          <w:szCs w:val="28"/>
        </w:rPr>
        <w:t>,</w:t>
      </w:r>
      <w:r w:rsidRPr="00F55350">
        <w:rPr>
          <w:rFonts w:ascii="Times New Roman" w:hAnsi="Times New Roman" w:cs="Times New Roman"/>
          <w:color w:val="1B1D1F"/>
          <w:sz w:val="24"/>
          <w:szCs w:val="28"/>
        </w:rPr>
        <w:t xml:space="preserve"> OAP apmērus ietekmē dažādi faktori, tostarp Latvijas ieguldījums </w:t>
      </w:r>
      <w:r w:rsidR="006450FB" w:rsidRPr="00F55350">
        <w:rPr>
          <w:rFonts w:ascii="Times New Roman" w:hAnsi="Times New Roman" w:cs="Times New Roman"/>
          <w:color w:val="1B1D1F"/>
          <w:sz w:val="24"/>
          <w:szCs w:val="28"/>
        </w:rPr>
        <w:t>daudzpusējā sadarbīb</w:t>
      </w:r>
      <w:r w:rsidR="002C2005" w:rsidRPr="00F55350">
        <w:rPr>
          <w:rFonts w:ascii="Times New Roman" w:hAnsi="Times New Roman" w:cs="Times New Roman"/>
          <w:color w:val="1B1D1F"/>
          <w:sz w:val="24"/>
          <w:szCs w:val="28"/>
        </w:rPr>
        <w:t>ā, ko šobrīd nav iespējams precīzi pr</w:t>
      </w:r>
      <w:r w:rsidR="008148C0" w:rsidRPr="00F55350">
        <w:rPr>
          <w:rFonts w:ascii="Times New Roman" w:hAnsi="Times New Roman" w:cs="Times New Roman"/>
          <w:color w:val="1B1D1F"/>
          <w:sz w:val="24"/>
          <w:szCs w:val="28"/>
        </w:rPr>
        <w:t>ognozēt.</w:t>
      </w:r>
      <w:r w:rsidR="00F20904" w:rsidRPr="00F55350">
        <w:rPr>
          <w:rFonts w:ascii="Times New Roman" w:hAnsi="Times New Roman" w:cs="Times New Roman"/>
          <w:color w:val="1B1D1F"/>
          <w:sz w:val="24"/>
          <w:szCs w:val="28"/>
        </w:rPr>
        <w:t xml:space="preserve"> </w:t>
      </w:r>
      <w:r w:rsidR="00F55350" w:rsidRPr="00F55350">
        <w:rPr>
          <w:rFonts w:ascii="Times New Roman" w:hAnsi="Times New Roman" w:cs="Times New Roman"/>
          <w:color w:val="1B1D1F"/>
          <w:sz w:val="24"/>
          <w:szCs w:val="28"/>
        </w:rPr>
        <w:t>Lai nodrošinātu OAP mērķa - līdz 2025.gadam palielināt OAP līdz 0,19% no NKI -</w:t>
      </w:r>
      <w:r w:rsidR="00F20904" w:rsidRPr="00F55350">
        <w:rPr>
          <w:rFonts w:ascii="Times New Roman" w:hAnsi="Times New Roman" w:cs="Times New Roman"/>
          <w:color w:val="1B1D1F"/>
          <w:sz w:val="24"/>
          <w:szCs w:val="28"/>
        </w:rPr>
        <w:t xml:space="preserve"> izpildi, nepieciešams attīstīt OAP plānošanu (aptverot visas institūcijas, kas sniedz divpusējo un/vai daudzpusējo OAP) un mērķu izpildes uzraudzību. </w:t>
      </w:r>
      <w:r w:rsidR="00FF0411" w:rsidRPr="00F55350">
        <w:rPr>
          <w:rFonts w:ascii="Times New Roman" w:hAnsi="Times New Roman" w:cs="Times New Roman"/>
          <w:color w:val="1B1D1F"/>
          <w:sz w:val="24"/>
          <w:szCs w:val="28"/>
        </w:rPr>
        <w:t>L</w:t>
      </w:r>
      <w:r w:rsidR="00F20904" w:rsidRPr="00F55350">
        <w:rPr>
          <w:rFonts w:ascii="Times New Roman" w:hAnsi="Times New Roman" w:cs="Times New Roman"/>
          <w:color w:val="1B1D1F"/>
          <w:sz w:val="24"/>
          <w:szCs w:val="28"/>
        </w:rPr>
        <w:t>īdz ar to</w:t>
      </w:r>
      <w:r w:rsidR="00FF0411" w:rsidRPr="00F55350">
        <w:rPr>
          <w:rFonts w:ascii="Times New Roman" w:hAnsi="Times New Roman" w:cs="Times New Roman"/>
          <w:color w:val="1B1D1F"/>
          <w:sz w:val="24"/>
          <w:szCs w:val="28"/>
        </w:rPr>
        <w:t>, izstrādājot Pamatnostādnes 2021-2025,</w:t>
      </w:r>
      <w:r w:rsidR="00F20904" w:rsidRPr="00F55350">
        <w:rPr>
          <w:rFonts w:ascii="Times New Roman" w:hAnsi="Times New Roman" w:cs="Times New Roman"/>
          <w:color w:val="1B1D1F"/>
          <w:sz w:val="24"/>
          <w:szCs w:val="28"/>
        </w:rPr>
        <w:t xml:space="preserve"> būtu </w:t>
      </w:r>
      <w:r w:rsidR="00FF0411" w:rsidRPr="00F55350">
        <w:rPr>
          <w:rFonts w:ascii="Times New Roman" w:hAnsi="Times New Roman" w:cs="Times New Roman"/>
          <w:color w:val="1B1D1F"/>
          <w:sz w:val="24"/>
          <w:szCs w:val="28"/>
        </w:rPr>
        <w:t>jādiskutē</w:t>
      </w:r>
      <w:r w:rsidR="00F20904" w:rsidRPr="00F55350">
        <w:rPr>
          <w:rFonts w:ascii="Times New Roman" w:hAnsi="Times New Roman" w:cs="Times New Roman"/>
          <w:color w:val="1B1D1F"/>
          <w:sz w:val="24"/>
          <w:szCs w:val="28"/>
        </w:rPr>
        <w:t>, kā</w:t>
      </w:r>
      <w:r w:rsidR="00F12F7E" w:rsidRPr="00F55350">
        <w:rPr>
          <w:rFonts w:ascii="Times New Roman" w:hAnsi="Times New Roman" w:cs="Times New Roman"/>
          <w:color w:val="1B1D1F"/>
          <w:sz w:val="24"/>
          <w:szCs w:val="28"/>
        </w:rPr>
        <w:t>di pasākumi vai instrumenti ir pieejami, lai nodrošinātu</w:t>
      </w:r>
      <w:r w:rsidR="00F20904" w:rsidRPr="00F55350">
        <w:rPr>
          <w:rFonts w:ascii="Times New Roman" w:hAnsi="Times New Roman" w:cs="Times New Roman"/>
          <w:color w:val="1B1D1F"/>
          <w:sz w:val="24"/>
          <w:szCs w:val="28"/>
        </w:rPr>
        <w:t xml:space="preserve"> mērķtiecīg</w:t>
      </w:r>
      <w:r w:rsidR="00F12F7E" w:rsidRPr="00F55350">
        <w:rPr>
          <w:rFonts w:ascii="Times New Roman" w:hAnsi="Times New Roman" w:cs="Times New Roman"/>
          <w:color w:val="1B1D1F"/>
          <w:sz w:val="24"/>
          <w:szCs w:val="28"/>
        </w:rPr>
        <w:t>u</w:t>
      </w:r>
      <w:r w:rsidR="00F20904" w:rsidRPr="00F55350">
        <w:rPr>
          <w:rFonts w:ascii="Times New Roman" w:hAnsi="Times New Roman" w:cs="Times New Roman"/>
          <w:color w:val="1B1D1F"/>
          <w:sz w:val="24"/>
          <w:szCs w:val="28"/>
        </w:rPr>
        <w:t xml:space="preserve"> </w:t>
      </w:r>
      <w:r w:rsidR="00F12F7E" w:rsidRPr="00F55350">
        <w:rPr>
          <w:rFonts w:ascii="Times New Roman" w:hAnsi="Times New Roman" w:cs="Times New Roman"/>
          <w:color w:val="1B1D1F"/>
          <w:sz w:val="24"/>
          <w:szCs w:val="28"/>
        </w:rPr>
        <w:t>virzību</w:t>
      </w:r>
      <w:r w:rsidR="00320C7E" w:rsidRPr="00F55350">
        <w:rPr>
          <w:rFonts w:ascii="Times New Roman" w:hAnsi="Times New Roman" w:cs="Times New Roman"/>
          <w:color w:val="1B1D1F"/>
          <w:sz w:val="24"/>
          <w:szCs w:val="28"/>
        </w:rPr>
        <w:t xml:space="preserve"> uz OAP</w:t>
      </w:r>
      <w:r w:rsidR="00F20904" w:rsidRPr="00F55350">
        <w:rPr>
          <w:rFonts w:ascii="Times New Roman" w:hAnsi="Times New Roman" w:cs="Times New Roman"/>
          <w:color w:val="1B1D1F"/>
          <w:sz w:val="24"/>
          <w:szCs w:val="28"/>
        </w:rPr>
        <w:t xml:space="preserve"> mērķ</w:t>
      </w:r>
      <w:r w:rsidR="00FF0411" w:rsidRPr="00F55350">
        <w:rPr>
          <w:rFonts w:ascii="Times New Roman" w:hAnsi="Times New Roman" w:cs="Times New Roman"/>
          <w:color w:val="1B1D1F"/>
          <w:sz w:val="24"/>
          <w:szCs w:val="28"/>
        </w:rPr>
        <w:t>u izpildi</w:t>
      </w:r>
      <w:r w:rsidR="00980262" w:rsidRPr="00F55350">
        <w:rPr>
          <w:rFonts w:ascii="Times New Roman" w:hAnsi="Times New Roman" w:cs="Times New Roman"/>
          <w:color w:val="1B1D1F"/>
          <w:sz w:val="24"/>
          <w:szCs w:val="28"/>
        </w:rPr>
        <w:t xml:space="preserve">, piemēram, iespēju robežās veicināt citu daudzpusējā un divpusējā sadarbībā veikto ieguldījumu saskaņotību </w:t>
      </w:r>
      <w:r w:rsidR="00A025F9">
        <w:rPr>
          <w:rFonts w:ascii="Times New Roman" w:hAnsi="Times New Roman" w:cs="Times New Roman"/>
          <w:color w:val="1B1D1F"/>
          <w:sz w:val="24"/>
          <w:szCs w:val="28"/>
        </w:rPr>
        <w:t>ar attīstības sadarbības mērķi</w:t>
      </w:r>
      <w:r w:rsidR="00980262" w:rsidRPr="00F55350">
        <w:rPr>
          <w:rFonts w:ascii="Times New Roman" w:hAnsi="Times New Roman" w:cs="Times New Roman"/>
          <w:color w:val="1B1D1F"/>
          <w:sz w:val="24"/>
          <w:szCs w:val="28"/>
        </w:rPr>
        <w:t>,</w:t>
      </w:r>
      <w:r w:rsidR="00F20904" w:rsidRPr="00F55350">
        <w:rPr>
          <w:rFonts w:ascii="Times New Roman" w:hAnsi="Times New Roman" w:cs="Times New Roman"/>
          <w:color w:val="1B1D1F"/>
          <w:sz w:val="24"/>
          <w:szCs w:val="28"/>
        </w:rPr>
        <w:t xml:space="preserve"> </w:t>
      </w:r>
      <w:r w:rsidR="00A025F9">
        <w:rPr>
          <w:rFonts w:ascii="Times New Roman" w:hAnsi="Times New Roman" w:cs="Times New Roman"/>
          <w:color w:val="1B1D1F"/>
          <w:sz w:val="24"/>
          <w:szCs w:val="28"/>
        </w:rPr>
        <w:t>un kādi būtu jauni pasākumi vai instrumenti, kas varētu kvalificēties kā OAP, attiecīgi izvērtējot finansēšanas iespējas un avotu.</w:t>
      </w:r>
      <w:r w:rsidR="00F55350" w:rsidRPr="00F55350">
        <w:rPr>
          <w:rFonts w:ascii="Times New Roman" w:hAnsi="Times New Roman" w:cs="Times New Roman"/>
          <w:color w:val="1B1D1F"/>
          <w:sz w:val="24"/>
          <w:szCs w:val="28"/>
        </w:rPr>
        <w:t xml:space="preserve"> </w:t>
      </w:r>
      <w:r w:rsidR="00320C7E" w:rsidRPr="00F55350">
        <w:rPr>
          <w:rFonts w:ascii="Times New Roman" w:hAnsi="Times New Roman" w:cs="Times New Roman"/>
          <w:color w:val="1B1D1F"/>
          <w:sz w:val="24"/>
          <w:szCs w:val="28"/>
        </w:rPr>
        <w:t>Par</w:t>
      </w:r>
      <w:r w:rsidR="00F55350" w:rsidRPr="00F55350">
        <w:rPr>
          <w:rFonts w:ascii="Times New Roman" w:hAnsi="Times New Roman" w:cs="Times New Roman"/>
          <w:color w:val="1B1D1F"/>
          <w:sz w:val="24"/>
          <w:szCs w:val="28"/>
        </w:rPr>
        <w:t>alē</w:t>
      </w:r>
      <w:r w:rsidR="00320C7E" w:rsidRPr="00F55350">
        <w:rPr>
          <w:rFonts w:ascii="Times New Roman" w:hAnsi="Times New Roman" w:cs="Times New Roman"/>
          <w:color w:val="1B1D1F"/>
          <w:sz w:val="24"/>
          <w:szCs w:val="28"/>
        </w:rPr>
        <w:t xml:space="preserve">li jāturpina darbs pie OAP </w:t>
      </w:r>
      <w:r w:rsidR="0022201E" w:rsidRPr="00F55350">
        <w:rPr>
          <w:rFonts w:ascii="Times New Roman" w:hAnsi="Times New Roman" w:cs="Times New Roman"/>
          <w:color w:val="1B1D1F"/>
          <w:sz w:val="24"/>
          <w:szCs w:val="28"/>
        </w:rPr>
        <w:t>ziņošanas</w:t>
      </w:r>
      <w:r w:rsidR="00320C7E" w:rsidRPr="00F55350">
        <w:rPr>
          <w:rFonts w:ascii="Times New Roman" w:hAnsi="Times New Roman" w:cs="Times New Roman"/>
          <w:color w:val="1B1D1F"/>
          <w:sz w:val="24"/>
          <w:szCs w:val="28"/>
        </w:rPr>
        <w:t xml:space="preserve"> pilnveides, t.sk. stiprino</w:t>
      </w:r>
      <w:r w:rsidR="001A2DEB" w:rsidRPr="00F55350">
        <w:rPr>
          <w:rFonts w:ascii="Times New Roman" w:hAnsi="Times New Roman" w:cs="Times New Roman"/>
          <w:color w:val="1B1D1F"/>
          <w:sz w:val="24"/>
          <w:szCs w:val="28"/>
        </w:rPr>
        <w:t>t institūciju izpratni par OAP</w:t>
      </w:r>
      <w:r w:rsidR="00320C7E" w:rsidRPr="00F55350">
        <w:rPr>
          <w:rFonts w:ascii="Times New Roman" w:hAnsi="Times New Roman" w:cs="Times New Roman"/>
          <w:color w:val="1B1D1F"/>
          <w:sz w:val="24"/>
          <w:szCs w:val="28"/>
        </w:rPr>
        <w:t>.</w:t>
      </w:r>
      <w:r w:rsidR="00320C7E">
        <w:rPr>
          <w:rFonts w:ascii="Times New Roman" w:hAnsi="Times New Roman" w:cs="Times New Roman"/>
          <w:color w:val="1B1D1F"/>
          <w:sz w:val="24"/>
          <w:szCs w:val="28"/>
        </w:rPr>
        <w:t xml:space="preserve"> </w:t>
      </w:r>
    </w:p>
    <w:p w14:paraId="57F4FCD3" w14:textId="77777777" w:rsidR="00BE2D1C" w:rsidRDefault="00052F17" w:rsidP="002D27A8">
      <w:pPr>
        <w:spacing w:before="160"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Informācija</w:t>
      </w:r>
      <w:r w:rsidR="00FD6115">
        <w:rPr>
          <w:rFonts w:ascii="Times New Roman" w:hAnsi="Times New Roman" w:cs="Times New Roman"/>
          <w:color w:val="1B1D1F"/>
          <w:sz w:val="24"/>
          <w:szCs w:val="28"/>
        </w:rPr>
        <w:t xml:space="preserve"> par</w:t>
      </w:r>
      <w:r>
        <w:rPr>
          <w:rFonts w:ascii="Times New Roman" w:hAnsi="Times New Roman" w:cs="Times New Roman"/>
          <w:color w:val="1B1D1F"/>
          <w:sz w:val="24"/>
          <w:szCs w:val="28"/>
        </w:rPr>
        <w:t xml:space="preserve"> Modelis 2 paredzētā</w:t>
      </w:r>
      <w:r w:rsidR="00BE2D1C">
        <w:rPr>
          <w:rFonts w:ascii="Times New Roman" w:hAnsi="Times New Roman" w:cs="Times New Roman"/>
          <w:color w:val="1B1D1F"/>
          <w:sz w:val="24"/>
          <w:szCs w:val="28"/>
        </w:rPr>
        <w:t xml:space="preserve"> ĀM budžeta programmas </w:t>
      </w:r>
      <w:r>
        <w:rPr>
          <w:rFonts w:ascii="Times New Roman" w:hAnsi="Times New Roman" w:cs="Times New Roman"/>
          <w:color w:val="1B1D1F"/>
          <w:sz w:val="24"/>
          <w:szCs w:val="28"/>
        </w:rPr>
        <w:t>finansējuma palielināšanai nepiecie</w:t>
      </w:r>
      <w:r w:rsidR="00FD6115">
        <w:rPr>
          <w:rFonts w:ascii="Times New Roman" w:hAnsi="Times New Roman" w:cs="Times New Roman"/>
          <w:color w:val="1B1D1F"/>
          <w:sz w:val="24"/>
          <w:szCs w:val="28"/>
        </w:rPr>
        <w:t>šamo</w:t>
      </w:r>
      <w:r>
        <w:rPr>
          <w:rFonts w:ascii="Times New Roman" w:hAnsi="Times New Roman" w:cs="Times New Roman"/>
          <w:color w:val="1B1D1F"/>
          <w:sz w:val="24"/>
          <w:szCs w:val="28"/>
        </w:rPr>
        <w:t xml:space="preserve"> </w:t>
      </w:r>
      <w:r w:rsidR="00FD6115">
        <w:rPr>
          <w:rFonts w:ascii="Times New Roman" w:hAnsi="Times New Roman" w:cs="Times New Roman"/>
          <w:color w:val="1B1D1F"/>
          <w:sz w:val="24"/>
          <w:szCs w:val="28"/>
        </w:rPr>
        <w:t xml:space="preserve">valsts budžeta finansējumu 2021.-2025.gadā detalizētā veidā aplūkots  </w:t>
      </w:r>
      <w:r w:rsidR="00FD6115" w:rsidRPr="005058F7">
        <w:rPr>
          <w:rFonts w:ascii="Times New Roman" w:eastAsia="Times New Roman" w:hAnsi="Times New Roman" w:cs="Times New Roman"/>
          <w:color w:val="000000"/>
          <w:sz w:val="24"/>
          <w:szCs w:val="24"/>
          <w:lang w:eastAsia="lv-LV"/>
        </w:rPr>
        <w:t>Kopsavilkum</w:t>
      </w:r>
      <w:r w:rsidR="0076196B">
        <w:rPr>
          <w:rFonts w:ascii="Times New Roman" w:eastAsia="Times New Roman" w:hAnsi="Times New Roman" w:cs="Times New Roman"/>
          <w:color w:val="000000"/>
          <w:sz w:val="24"/>
          <w:szCs w:val="24"/>
          <w:lang w:eastAsia="lv-LV"/>
        </w:rPr>
        <w:t>ā</w:t>
      </w:r>
      <w:r w:rsidR="00FD6115" w:rsidRPr="005058F7">
        <w:rPr>
          <w:rFonts w:ascii="Times New Roman" w:eastAsia="Times New Roman" w:hAnsi="Times New Roman" w:cs="Times New Roman"/>
          <w:color w:val="000000"/>
          <w:sz w:val="24"/>
          <w:szCs w:val="24"/>
          <w:lang w:eastAsia="lv-LV"/>
        </w:rPr>
        <w:t xml:space="preserve"> par konceptuālajā ziņojumā iekļauto risinājumu</w:t>
      </w:r>
      <w:r w:rsidR="00FD6115">
        <w:rPr>
          <w:rFonts w:ascii="Times New Roman" w:eastAsia="Times New Roman" w:hAnsi="Times New Roman" w:cs="Times New Roman"/>
          <w:color w:val="000000"/>
          <w:sz w:val="24"/>
          <w:szCs w:val="24"/>
          <w:lang w:eastAsia="lv-LV"/>
        </w:rPr>
        <w:t xml:space="preserve"> (modeļu)</w:t>
      </w:r>
      <w:r w:rsidR="00FD6115" w:rsidRPr="005058F7">
        <w:rPr>
          <w:rFonts w:ascii="Times New Roman" w:eastAsia="Times New Roman" w:hAnsi="Times New Roman" w:cs="Times New Roman"/>
          <w:color w:val="000000"/>
          <w:sz w:val="24"/>
          <w:szCs w:val="24"/>
          <w:lang w:eastAsia="lv-LV"/>
        </w:rPr>
        <w:t xml:space="preserve"> (risinājumu variantu) realizācijai nepieciešamo valsts un pašvaldību budžeta finansējumu</w:t>
      </w:r>
      <w:r w:rsidR="00FD6115">
        <w:rPr>
          <w:rFonts w:ascii="Times New Roman" w:eastAsia="Times New Roman" w:hAnsi="Times New Roman" w:cs="Times New Roman"/>
          <w:color w:val="000000"/>
          <w:sz w:val="24"/>
          <w:szCs w:val="24"/>
          <w:lang w:eastAsia="lv-LV"/>
        </w:rPr>
        <w:t xml:space="preserve">. </w:t>
      </w:r>
    </w:p>
    <w:p w14:paraId="6C940B9B" w14:textId="77777777" w:rsidR="00D87FA9" w:rsidRPr="009905B5" w:rsidRDefault="00FD6115" w:rsidP="002D27A8">
      <w:pPr>
        <w:spacing w:before="160"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Ziņojuma rekomendētais</w:t>
      </w:r>
      <w:r w:rsidRPr="009905B5">
        <w:rPr>
          <w:rFonts w:ascii="Times New Roman" w:hAnsi="Times New Roman" w:cs="Times New Roman"/>
          <w:color w:val="1B1D1F"/>
          <w:sz w:val="24"/>
          <w:szCs w:val="28"/>
        </w:rPr>
        <w:t xml:space="preserve"> </w:t>
      </w:r>
      <w:r>
        <w:rPr>
          <w:rFonts w:ascii="Times New Roman" w:hAnsi="Times New Roman" w:cs="Times New Roman"/>
          <w:color w:val="1B1D1F"/>
          <w:sz w:val="24"/>
          <w:szCs w:val="28"/>
        </w:rPr>
        <w:t>Modelis 2 – OAP mērķi un ĀM budžeta programmas finansējuma palielināšanas mērķi -</w:t>
      </w:r>
      <w:r w:rsidR="00D87FA9" w:rsidRPr="009905B5">
        <w:rPr>
          <w:rFonts w:ascii="Times New Roman" w:hAnsi="Times New Roman" w:cs="Times New Roman"/>
          <w:color w:val="1B1D1F"/>
          <w:sz w:val="24"/>
          <w:szCs w:val="28"/>
        </w:rPr>
        <w:t xml:space="preserve"> tiks iekļauti Attīstības sadarbības politikas pamatnostādnēs 2021.-2025</w:t>
      </w:r>
      <w:r w:rsidR="00A2733A">
        <w:rPr>
          <w:rFonts w:ascii="Times New Roman" w:hAnsi="Times New Roman" w:cs="Times New Roman"/>
          <w:color w:val="1B1D1F"/>
          <w:sz w:val="24"/>
          <w:szCs w:val="28"/>
        </w:rPr>
        <w:t>. gad</w:t>
      </w:r>
      <w:r w:rsidR="00D87FA9" w:rsidRPr="009905B5">
        <w:rPr>
          <w:rFonts w:ascii="Times New Roman" w:hAnsi="Times New Roman" w:cs="Times New Roman"/>
          <w:color w:val="1B1D1F"/>
          <w:sz w:val="24"/>
          <w:szCs w:val="28"/>
        </w:rPr>
        <w:t xml:space="preserve">am. </w:t>
      </w:r>
    </w:p>
    <w:p w14:paraId="0293CA0C" w14:textId="77777777" w:rsidR="005A7035" w:rsidRPr="009905B5" w:rsidRDefault="005A7035" w:rsidP="003E61A8">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Uzsākoties valsts budžeta 2021</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un vidēja termiņa budžeta ietvara 2021.,2022., 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izstrādes procesam, Ārlietu ministrija</w:t>
      </w:r>
      <w:r w:rsidR="009905B5" w:rsidRPr="009905B5">
        <w:rPr>
          <w:rFonts w:ascii="Times New Roman" w:hAnsi="Times New Roman" w:cs="Times New Roman"/>
          <w:color w:val="1B1D1F"/>
          <w:sz w:val="24"/>
          <w:szCs w:val="28"/>
        </w:rPr>
        <w:t>,</w:t>
      </w:r>
      <w:r w:rsidRPr="009905B5">
        <w:rPr>
          <w:rFonts w:ascii="Times New Roman" w:hAnsi="Times New Roman" w:cs="Times New Roman"/>
          <w:color w:val="1B1D1F"/>
          <w:sz w:val="24"/>
          <w:szCs w:val="28"/>
        </w:rPr>
        <w:t xml:space="preserve"> balstoties uz šo </w:t>
      </w:r>
      <w:r w:rsidR="00FD6115">
        <w:rPr>
          <w:rFonts w:ascii="Times New Roman" w:hAnsi="Times New Roman" w:cs="Times New Roman"/>
          <w:color w:val="1B1D1F"/>
          <w:sz w:val="24"/>
          <w:szCs w:val="28"/>
        </w:rPr>
        <w:t>Z</w:t>
      </w:r>
      <w:r w:rsidRPr="009905B5">
        <w:rPr>
          <w:rFonts w:ascii="Times New Roman" w:hAnsi="Times New Roman" w:cs="Times New Roman"/>
          <w:color w:val="1B1D1F"/>
          <w:sz w:val="24"/>
          <w:szCs w:val="28"/>
        </w:rPr>
        <w:t>iņojumu</w:t>
      </w:r>
      <w:r w:rsidR="009905B5" w:rsidRPr="009905B5">
        <w:rPr>
          <w:rFonts w:ascii="Times New Roman" w:hAnsi="Times New Roman" w:cs="Times New Roman"/>
          <w:color w:val="1B1D1F"/>
          <w:sz w:val="24"/>
          <w:szCs w:val="28"/>
        </w:rPr>
        <w:t>,</w:t>
      </w:r>
      <w:r w:rsidRPr="009905B5">
        <w:rPr>
          <w:rFonts w:ascii="Times New Roman" w:hAnsi="Times New Roman" w:cs="Times New Roman"/>
          <w:color w:val="1B1D1F"/>
          <w:sz w:val="24"/>
          <w:szCs w:val="28"/>
        </w:rPr>
        <w:t xml:space="preserve"> iesniegs aktualizētu informāciju par Latvijas OAP rādītājiem un NKI prognozēm 2021.-2023</w:t>
      </w:r>
      <w:r w:rsidR="00731856">
        <w:rPr>
          <w:rFonts w:ascii="Times New Roman" w:hAnsi="Times New Roman" w:cs="Times New Roman"/>
          <w:color w:val="1B1D1F"/>
          <w:sz w:val="24"/>
          <w:szCs w:val="28"/>
        </w:rPr>
        <w:t>. </w:t>
      </w:r>
      <w:r w:rsidR="00A2733A">
        <w:rPr>
          <w:rFonts w:ascii="Times New Roman" w:hAnsi="Times New Roman" w:cs="Times New Roman"/>
          <w:color w:val="1B1D1F"/>
          <w:sz w:val="24"/>
          <w:szCs w:val="28"/>
        </w:rPr>
        <w:t>gad</w:t>
      </w:r>
      <w:r w:rsidRPr="009905B5">
        <w:rPr>
          <w:rFonts w:ascii="Times New Roman" w:hAnsi="Times New Roman" w:cs="Times New Roman"/>
          <w:color w:val="1B1D1F"/>
          <w:sz w:val="24"/>
          <w:szCs w:val="28"/>
        </w:rPr>
        <w:t>am, no kā atkarīg</w:t>
      </w:r>
      <w:r w:rsidR="00155F7D">
        <w:rPr>
          <w:rFonts w:ascii="Times New Roman" w:hAnsi="Times New Roman" w:cs="Times New Roman"/>
          <w:color w:val="1B1D1F"/>
          <w:sz w:val="24"/>
          <w:szCs w:val="28"/>
        </w:rPr>
        <w:t>i</w:t>
      </w:r>
      <w:r w:rsidRPr="009905B5">
        <w:rPr>
          <w:rFonts w:ascii="Times New Roman" w:hAnsi="Times New Roman" w:cs="Times New Roman"/>
          <w:color w:val="1B1D1F"/>
          <w:sz w:val="24"/>
          <w:szCs w:val="28"/>
        </w:rPr>
        <w:t xml:space="preserve"> arī sasniedzamie OAP apjomi un papildu nepieciešamais finansējums</w:t>
      </w:r>
      <w:r w:rsidR="00286775" w:rsidRPr="00F55350">
        <w:rPr>
          <w:rFonts w:ascii="Times New Roman" w:hAnsi="Times New Roman" w:cs="Times New Roman"/>
          <w:color w:val="1B1D1F"/>
          <w:sz w:val="24"/>
          <w:szCs w:val="28"/>
        </w:rPr>
        <w:t xml:space="preserve"> ĀM budžeta programmai 07.00.00 “Attīstības sadarbības projekti un starptautiskā palīdzība”.</w:t>
      </w:r>
      <w:r w:rsidRPr="009905B5">
        <w:rPr>
          <w:rFonts w:ascii="Times New Roman" w:hAnsi="Times New Roman" w:cs="Times New Roman"/>
          <w:color w:val="1B1D1F"/>
          <w:sz w:val="24"/>
          <w:szCs w:val="28"/>
        </w:rPr>
        <w:t xml:space="preserve"> </w:t>
      </w:r>
      <w:r w:rsidR="00B87D68" w:rsidRPr="00B87D68">
        <w:rPr>
          <w:rFonts w:ascii="Times New Roman" w:hAnsi="Times New Roman" w:cs="Times New Roman"/>
          <w:color w:val="1B1D1F"/>
          <w:sz w:val="24"/>
          <w:szCs w:val="28"/>
        </w:rPr>
        <w:t xml:space="preserve">Nepieciešamais papildu finansējums </w:t>
      </w:r>
      <w:r w:rsidR="00B87D68" w:rsidRPr="006C0853">
        <w:rPr>
          <w:rFonts w:ascii="Times New Roman" w:hAnsi="Times New Roman" w:cs="Times New Roman"/>
          <w:color w:val="1B1D1F"/>
          <w:sz w:val="24"/>
          <w:szCs w:val="28"/>
        </w:rPr>
        <w:t>202</w:t>
      </w:r>
      <w:r w:rsidR="006C0853" w:rsidRPr="006C0853">
        <w:rPr>
          <w:rFonts w:ascii="Times New Roman" w:hAnsi="Times New Roman" w:cs="Times New Roman"/>
          <w:color w:val="1B1D1F"/>
          <w:sz w:val="24"/>
          <w:szCs w:val="28"/>
        </w:rPr>
        <w:t>1.</w:t>
      </w:r>
      <w:r w:rsidR="00B87D68" w:rsidRPr="006C0853">
        <w:rPr>
          <w:rFonts w:ascii="Times New Roman" w:hAnsi="Times New Roman" w:cs="Times New Roman"/>
          <w:color w:val="1B1D1F"/>
          <w:sz w:val="24"/>
          <w:szCs w:val="28"/>
        </w:rPr>
        <w:t xml:space="preserve">gadam </w:t>
      </w:r>
      <w:r w:rsidR="00823032" w:rsidRPr="006C0853">
        <w:rPr>
          <w:rFonts w:ascii="Times New Roman" w:hAnsi="Times New Roman" w:cs="Times New Roman"/>
          <w:color w:val="1B1D1F"/>
          <w:sz w:val="24"/>
          <w:szCs w:val="28"/>
        </w:rPr>
        <w:t>un turpmāk</w:t>
      </w:r>
      <w:r w:rsidR="00823032">
        <w:rPr>
          <w:rFonts w:ascii="Times New Roman" w:hAnsi="Times New Roman" w:cs="Times New Roman"/>
          <w:color w:val="1B1D1F"/>
          <w:sz w:val="24"/>
          <w:szCs w:val="28"/>
        </w:rPr>
        <w:t xml:space="preserve"> </w:t>
      </w:r>
      <w:r w:rsidR="00B87D68" w:rsidRPr="00B87D68">
        <w:rPr>
          <w:rFonts w:ascii="Times New Roman" w:hAnsi="Times New Roman" w:cs="Times New Roman"/>
          <w:color w:val="1B1D1F"/>
          <w:sz w:val="24"/>
          <w:szCs w:val="28"/>
        </w:rPr>
        <w:t>tiks precizēts un pieprasīts normatīvos aktos noteiktajā kārtībā, kādā ministrijas un citas centrālās valsts iestādes izstrādā un iesniedz Finanšu ministrijā līdzekļu pieprasījumus prioritārajiem pasākumiem.</w:t>
      </w:r>
    </w:p>
    <w:p w14:paraId="7ABADE76" w14:textId="77777777" w:rsidR="00B92988" w:rsidRPr="009905B5" w:rsidRDefault="00502DC5"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Pēc valsts budžeta 2021</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am un vidēja termiņa budžeta ietvaru 2021.,2022., 2023</w:t>
      </w:r>
      <w:r w:rsidR="00731856">
        <w:rPr>
          <w:rFonts w:ascii="Times New Roman" w:hAnsi="Times New Roman" w:cs="Times New Roman"/>
          <w:color w:val="1B1D1F"/>
          <w:sz w:val="24"/>
          <w:szCs w:val="28"/>
        </w:rPr>
        <w:t>. </w:t>
      </w:r>
      <w:r w:rsidR="00A2733A">
        <w:rPr>
          <w:rFonts w:ascii="Times New Roman" w:hAnsi="Times New Roman" w:cs="Times New Roman"/>
          <w:color w:val="1B1D1F"/>
          <w:sz w:val="24"/>
          <w:szCs w:val="28"/>
        </w:rPr>
        <w:t>gad</w:t>
      </w:r>
      <w:r w:rsidRPr="009905B5">
        <w:rPr>
          <w:rFonts w:ascii="Times New Roman" w:hAnsi="Times New Roman" w:cs="Times New Roman"/>
          <w:color w:val="1B1D1F"/>
          <w:sz w:val="24"/>
          <w:szCs w:val="28"/>
        </w:rPr>
        <w:t xml:space="preserve">am apstiprināšanas </w:t>
      </w:r>
      <w:r w:rsidR="00D87FA9" w:rsidRPr="009905B5">
        <w:rPr>
          <w:rFonts w:ascii="Times New Roman" w:hAnsi="Times New Roman" w:cs="Times New Roman"/>
          <w:color w:val="1B1D1F"/>
          <w:sz w:val="24"/>
          <w:szCs w:val="28"/>
        </w:rPr>
        <w:t xml:space="preserve">Ārlietu ministrija </w:t>
      </w:r>
      <w:r w:rsidRPr="009905B5">
        <w:rPr>
          <w:rFonts w:ascii="Times New Roman" w:hAnsi="Times New Roman" w:cs="Times New Roman"/>
          <w:color w:val="1B1D1F"/>
          <w:sz w:val="24"/>
          <w:szCs w:val="28"/>
        </w:rPr>
        <w:t>iesniegs Mini</w:t>
      </w:r>
      <w:r w:rsidR="00D87FA9" w:rsidRPr="009905B5">
        <w:rPr>
          <w:rFonts w:ascii="Times New Roman" w:hAnsi="Times New Roman" w:cs="Times New Roman"/>
          <w:color w:val="1B1D1F"/>
          <w:sz w:val="24"/>
          <w:szCs w:val="28"/>
        </w:rPr>
        <w:t xml:space="preserve">stru kabinetā Attīstības sadarbības politikas </w:t>
      </w:r>
      <w:r w:rsidRPr="009905B5">
        <w:rPr>
          <w:rFonts w:ascii="Times New Roman" w:hAnsi="Times New Roman" w:cs="Times New Roman"/>
          <w:color w:val="1B1D1F"/>
          <w:sz w:val="24"/>
          <w:szCs w:val="28"/>
        </w:rPr>
        <w:t>plānu 2021.-2023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 xml:space="preserve">am, kurā tiks </w:t>
      </w:r>
      <w:r w:rsidR="00B92988" w:rsidRPr="009905B5">
        <w:rPr>
          <w:rFonts w:ascii="Times New Roman" w:hAnsi="Times New Roman" w:cs="Times New Roman"/>
          <w:color w:val="1B1D1F"/>
          <w:sz w:val="24"/>
          <w:szCs w:val="28"/>
        </w:rPr>
        <w:t xml:space="preserve">sniegts izklāsts par plānotajām </w:t>
      </w:r>
      <w:r w:rsidR="00B92988" w:rsidRPr="009905B5">
        <w:rPr>
          <w:rFonts w:ascii="Times New Roman" w:hAnsi="Times New Roman" w:cs="Times New Roman"/>
          <w:color w:val="1B1D1F"/>
          <w:sz w:val="24"/>
          <w:szCs w:val="28"/>
        </w:rPr>
        <w:lastRenderedPageBreak/>
        <w:t xml:space="preserve">ĀM un </w:t>
      </w:r>
      <w:r w:rsidR="007E1A42">
        <w:rPr>
          <w:rFonts w:ascii="Times New Roman" w:hAnsi="Times New Roman" w:cs="Times New Roman"/>
          <w:color w:val="1B1D1F"/>
          <w:sz w:val="24"/>
          <w:szCs w:val="28"/>
        </w:rPr>
        <w:t>citu iestāžu</w:t>
      </w:r>
      <w:r w:rsidR="00B92988" w:rsidRPr="009905B5">
        <w:rPr>
          <w:rFonts w:ascii="Times New Roman" w:hAnsi="Times New Roman" w:cs="Times New Roman"/>
          <w:color w:val="1B1D1F"/>
          <w:sz w:val="24"/>
          <w:szCs w:val="28"/>
        </w:rPr>
        <w:t xml:space="preserve"> darbībām prioritāšu īstenošanai un plānoto ĀM budžeta programmas finansējuma izlietojumu. </w:t>
      </w:r>
    </w:p>
    <w:p w14:paraId="6DF5463C" w14:textId="77777777" w:rsidR="007149FB" w:rsidRDefault="00B92988" w:rsidP="00C05614">
      <w:pPr>
        <w:spacing w:line="240" w:lineRule="auto"/>
        <w:jc w:val="both"/>
        <w:rPr>
          <w:rFonts w:ascii="Times New Roman" w:hAnsi="Times New Roman" w:cs="Times New Roman"/>
          <w:color w:val="1B1D1F"/>
          <w:sz w:val="24"/>
          <w:szCs w:val="28"/>
        </w:rPr>
      </w:pPr>
      <w:r w:rsidRPr="009905B5">
        <w:rPr>
          <w:rFonts w:ascii="Times New Roman" w:hAnsi="Times New Roman" w:cs="Times New Roman"/>
          <w:color w:val="1B1D1F"/>
          <w:sz w:val="24"/>
          <w:szCs w:val="28"/>
        </w:rPr>
        <w:t xml:space="preserve">Pārskats par finansējuma izlietojumu un novērtējums par sasniegtajiem rezultātiem </w:t>
      </w:r>
      <w:r w:rsidR="007E1A42">
        <w:rPr>
          <w:rFonts w:ascii="Times New Roman" w:hAnsi="Times New Roman" w:cs="Times New Roman"/>
          <w:color w:val="1B1D1F"/>
          <w:sz w:val="24"/>
          <w:szCs w:val="28"/>
        </w:rPr>
        <w:t>būtu iesniedzams</w:t>
      </w:r>
      <w:r w:rsidRPr="009905B5">
        <w:rPr>
          <w:rFonts w:ascii="Times New Roman" w:hAnsi="Times New Roman" w:cs="Times New Roman"/>
          <w:color w:val="1B1D1F"/>
          <w:sz w:val="24"/>
          <w:szCs w:val="28"/>
        </w:rPr>
        <w:t xml:space="preserve"> kopā ar plānoto Attīstības sadarbības politikas pamatnostādņu 2021.-2025</w:t>
      </w:r>
      <w:r w:rsidR="00731856">
        <w:rPr>
          <w:rFonts w:ascii="Times New Roman" w:hAnsi="Times New Roman" w:cs="Times New Roman"/>
          <w:color w:val="1B1D1F"/>
          <w:sz w:val="24"/>
          <w:szCs w:val="28"/>
        </w:rPr>
        <w:t>. </w:t>
      </w:r>
      <w:r w:rsidR="00A2733A">
        <w:rPr>
          <w:rFonts w:ascii="Times New Roman" w:hAnsi="Times New Roman" w:cs="Times New Roman"/>
          <w:color w:val="1B1D1F"/>
          <w:sz w:val="24"/>
          <w:szCs w:val="28"/>
        </w:rPr>
        <w:t>gad</w:t>
      </w:r>
      <w:r w:rsidRPr="009905B5">
        <w:rPr>
          <w:rFonts w:ascii="Times New Roman" w:hAnsi="Times New Roman" w:cs="Times New Roman"/>
          <w:color w:val="1B1D1F"/>
          <w:sz w:val="24"/>
          <w:szCs w:val="28"/>
        </w:rPr>
        <w:t>am starpposma novērtējumu līdz 2023</w:t>
      </w:r>
      <w:r w:rsidR="00A2733A">
        <w:rPr>
          <w:rFonts w:ascii="Times New Roman" w:hAnsi="Times New Roman" w:cs="Times New Roman"/>
          <w:color w:val="1B1D1F"/>
          <w:sz w:val="24"/>
          <w:szCs w:val="28"/>
        </w:rPr>
        <w:t>. gad</w:t>
      </w:r>
      <w:r w:rsidRPr="009905B5">
        <w:rPr>
          <w:rFonts w:ascii="Times New Roman" w:hAnsi="Times New Roman" w:cs="Times New Roman"/>
          <w:color w:val="1B1D1F"/>
          <w:sz w:val="24"/>
          <w:szCs w:val="28"/>
        </w:rPr>
        <w:t>a 31.decembrim.</w:t>
      </w:r>
      <w:r>
        <w:rPr>
          <w:rFonts w:ascii="Times New Roman" w:hAnsi="Times New Roman" w:cs="Times New Roman"/>
          <w:color w:val="1B1D1F"/>
          <w:sz w:val="24"/>
          <w:szCs w:val="28"/>
        </w:rPr>
        <w:t xml:space="preserve"> </w:t>
      </w:r>
    </w:p>
    <w:p w14:paraId="759455D1" w14:textId="77777777" w:rsidR="006C0853" w:rsidRDefault="006C0853" w:rsidP="00C05614">
      <w:pPr>
        <w:spacing w:line="240" w:lineRule="auto"/>
        <w:jc w:val="both"/>
        <w:rPr>
          <w:rFonts w:ascii="Times New Roman" w:hAnsi="Times New Roman" w:cs="Times New Roman"/>
          <w:color w:val="1B1D1F"/>
          <w:sz w:val="24"/>
          <w:szCs w:val="28"/>
        </w:rPr>
      </w:pPr>
    </w:p>
    <w:p w14:paraId="56AD3407" w14:textId="77777777" w:rsidR="00023208" w:rsidRDefault="00023208" w:rsidP="006C0853">
      <w:pPr>
        <w:spacing w:line="240" w:lineRule="auto"/>
        <w:jc w:val="both"/>
        <w:rPr>
          <w:rFonts w:ascii="Times New Roman" w:hAnsi="Times New Roman" w:cs="Times New Roman"/>
          <w:color w:val="1B1D1F"/>
          <w:sz w:val="24"/>
          <w:szCs w:val="24"/>
        </w:rPr>
      </w:pPr>
    </w:p>
    <w:p w14:paraId="4DB1C92F" w14:textId="77777777" w:rsidR="005058F7" w:rsidRDefault="005058F7" w:rsidP="006C0853">
      <w:pPr>
        <w:spacing w:line="240" w:lineRule="auto"/>
        <w:jc w:val="both"/>
        <w:rPr>
          <w:rFonts w:ascii="Times New Roman" w:hAnsi="Times New Roman" w:cs="Times New Roman"/>
          <w:color w:val="1B1D1F"/>
          <w:sz w:val="24"/>
          <w:szCs w:val="24"/>
        </w:rPr>
        <w:sectPr w:rsidR="005058F7" w:rsidSect="00E42A79">
          <w:footerReference w:type="default" r:id="rId10"/>
          <w:pgSz w:w="12240" w:h="15840"/>
          <w:pgMar w:top="1008" w:right="1800" w:bottom="1296" w:left="1800" w:header="864" w:footer="864" w:gutter="0"/>
          <w:cols w:space="720"/>
          <w:docGrid w:linePitch="360"/>
        </w:sectPr>
      </w:pPr>
    </w:p>
    <w:tbl>
      <w:tblPr>
        <w:tblW w:w="5040" w:type="pct"/>
        <w:tblLayout w:type="fixed"/>
        <w:tblLook w:val="04A0" w:firstRow="1" w:lastRow="0" w:firstColumn="1" w:lastColumn="0" w:noHBand="0" w:noVBand="1"/>
      </w:tblPr>
      <w:tblGrid>
        <w:gridCol w:w="1262"/>
        <w:gridCol w:w="1258"/>
        <w:gridCol w:w="1533"/>
        <w:gridCol w:w="899"/>
        <w:gridCol w:w="899"/>
        <w:gridCol w:w="902"/>
        <w:gridCol w:w="378"/>
        <w:gridCol w:w="613"/>
        <w:gridCol w:w="67"/>
        <w:gridCol w:w="246"/>
        <w:gridCol w:w="767"/>
        <w:gridCol w:w="1064"/>
        <w:gridCol w:w="16"/>
        <w:gridCol w:w="661"/>
        <w:gridCol w:w="599"/>
        <w:gridCol w:w="348"/>
        <w:gridCol w:w="732"/>
        <w:gridCol w:w="1255"/>
      </w:tblGrid>
      <w:tr w:rsidR="005058F7" w:rsidRPr="005058F7" w14:paraId="72C3BC44" w14:textId="77777777" w:rsidTr="00871ECD">
        <w:trPr>
          <w:trHeight w:val="312"/>
        </w:trPr>
        <w:tc>
          <w:tcPr>
            <w:tcW w:w="5000" w:type="pct"/>
            <w:gridSpan w:val="18"/>
            <w:tcBorders>
              <w:top w:val="nil"/>
              <w:left w:val="nil"/>
              <w:bottom w:val="nil"/>
              <w:right w:val="nil"/>
            </w:tcBorders>
            <w:shd w:val="clear" w:color="auto" w:fill="auto"/>
            <w:noWrap/>
            <w:vAlign w:val="bottom"/>
            <w:hideMark/>
          </w:tcPr>
          <w:p w14:paraId="387FE558" w14:textId="77777777" w:rsidR="00052F17" w:rsidRDefault="00052F17" w:rsidP="005058F7">
            <w:pPr>
              <w:spacing w:after="0" w:line="240" w:lineRule="auto"/>
              <w:jc w:val="center"/>
              <w:rPr>
                <w:rFonts w:ascii="Times New Roman" w:eastAsia="Times New Roman" w:hAnsi="Times New Roman" w:cs="Times New Roman"/>
                <w:color w:val="000000"/>
                <w:sz w:val="24"/>
                <w:szCs w:val="24"/>
                <w:lang w:eastAsia="lv-LV"/>
              </w:rPr>
            </w:pPr>
          </w:p>
          <w:p w14:paraId="1D8E2F92" w14:textId="77777777" w:rsidR="005058F7" w:rsidRPr="00494B83" w:rsidRDefault="0076196B" w:rsidP="0076196B">
            <w:pPr>
              <w:spacing w:after="0" w:line="240" w:lineRule="auto"/>
              <w:jc w:val="center"/>
              <w:rPr>
                <w:rFonts w:ascii="Times New Roman" w:eastAsia="Times New Roman" w:hAnsi="Times New Roman" w:cs="Times New Roman"/>
                <w:b/>
                <w:color w:val="000000"/>
                <w:sz w:val="24"/>
                <w:szCs w:val="24"/>
                <w:lang w:eastAsia="lv-LV"/>
              </w:rPr>
            </w:pPr>
            <w:r w:rsidRPr="0076196B">
              <w:rPr>
                <w:rFonts w:ascii="Times New Roman" w:eastAsia="Times New Roman" w:hAnsi="Times New Roman" w:cs="Times New Roman"/>
                <w:b/>
                <w:color w:val="000000"/>
                <w:sz w:val="28"/>
                <w:szCs w:val="24"/>
                <w:lang w:eastAsia="lv-LV"/>
              </w:rPr>
              <w:t>4.</w:t>
            </w:r>
            <w:r>
              <w:rPr>
                <w:rFonts w:ascii="Times New Roman" w:eastAsia="Times New Roman" w:hAnsi="Times New Roman" w:cs="Times New Roman"/>
                <w:b/>
                <w:color w:val="000000"/>
                <w:sz w:val="28"/>
                <w:szCs w:val="24"/>
                <w:lang w:eastAsia="lv-LV"/>
              </w:rPr>
              <w:t xml:space="preserve"> </w:t>
            </w:r>
            <w:r w:rsidR="005058F7" w:rsidRPr="00494B83">
              <w:rPr>
                <w:rFonts w:ascii="Times New Roman" w:eastAsia="Times New Roman" w:hAnsi="Times New Roman" w:cs="Times New Roman"/>
                <w:b/>
                <w:color w:val="000000"/>
                <w:sz w:val="28"/>
                <w:szCs w:val="24"/>
                <w:lang w:eastAsia="lv-LV"/>
              </w:rPr>
              <w:t>Kopsavilkums par konceptuālajā ziņojumā iekļauto risinājumu</w:t>
            </w:r>
            <w:r w:rsidR="00052F17" w:rsidRPr="00494B83">
              <w:rPr>
                <w:rFonts w:ascii="Times New Roman" w:eastAsia="Times New Roman" w:hAnsi="Times New Roman" w:cs="Times New Roman"/>
                <w:b/>
                <w:color w:val="000000"/>
                <w:sz w:val="28"/>
                <w:szCs w:val="24"/>
                <w:lang w:eastAsia="lv-LV"/>
              </w:rPr>
              <w:t xml:space="preserve"> (modeļu)</w:t>
            </w:r>
            <w:r w:rsidR="005058F7" w:rsidRPr="00494B83">
              <w:rPr>
                <w:rFonts w:ascii="Times New Roman" w:eastAsia="Times New Roman" w:hAnsi="Times New Roman" w:cs="Times New Roman"/>
                <w:b/>
                <w:color w:val="000000"/>
                <w:sz w:val="28"/>
                <w:szCs w:val="24"/>
                <w:lang w:eastAsia="lv-LV"/>
              </w:rPr>
              <w:t xml:space="preserve"> (risinājumu variantu) realizācijai nepieciešamo valsts un pašvaldību budžeta finansējumu</w:t>
            </w:r>
          </w:p>
        </w:tc>
      </w:tr>
      <w:tr w:rsidR="00871ECD" w:rsidRPr="005058F7" w14:paraId="1DB246BB" w14:textId="77777777" w:rsidTr="00871ECD">
        <w:trPr>
          <w:trHeight w:val="312"/>
        </w:trPr>
        <w:tc>
          <w:tcPr>
            <w:tcW w:w="467" w:type="pct"/>
            <w:tcBorders>
              <w:top w:val="nil"/>
              <w:left w:val="nil"/>
              <w:bottom w:val="single" w:sz="4" w:space="0" w:color="auto"/>
              <w:right w:val="nil"/>
            </w:tcBorders>
            <w:shd w:val="clear" w:color="auto" w:fill="auto"/>
            <w:noWrap/>
            <w:vAlign w:val="bottom"/>
            <w:hideMark/>
          </w:tcPr>
          <w:p w14:paraId="5A1A80CD"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466" w:type="pct"/>
            <w:tcBorders>
              <w:top w:val="nil"/>
              <w:left w:val="nil"/>
              <w:bottom w:val="single" w:sz="4" w:space="0" w:color="auto"/>
              <w:right w:val="nil"/>
            </w:tcBorders>
            <w:shd w:val="clear" w:color="auto" w:fill="auto"/>
            <w:noWrap/>
            <w:vAlign w:val="bottom"/>
            <w:hideMark/>
          </w:tcPr>
          <w:p w14:paraId="45CC1B4E"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568" w:type="pct"/>
            <w:tcBorders>
              <w:top w:val="nil"/>
              <w:left w:val="nil"/>
              <w:bottom w:val="single" w:sz="4" w:space="0" w:color="auto"/>
              <w:right w:val="nil"/>
            </w:tcBorders>
            <w:shd w:val="clear" w:color="auto" w:fill="auto"/>
            <w:noWrap/>
            <w:vAlign w:val="bottom"/>
            <w:hideMark/>
          </w:tcPr>
          <w:p w14:paraId="42404937"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1140" w:type="pct"/>
            <w:gridSpan w:val="4"/>
            <w:tcBorders>
              <w:top w:val="nil"/>
              <w:left w:val="nil"/>
              <w:bottom w:val="single" w:sz="4" w:space="0" w:color="auto"/>
              <w:right w:val="nil"/>
            </w:tcBorders>
            <w:shd w:val="clear" w:color="auto" w:fill="auto"/>
            <w:noWrap/>
            <w:vAlign w:val="bottom"/>
            <w:hideMark/>
          </w:tcPr>
          <w:p w14:paraId="3745A091"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252" w:type="pct"/>
            <w:gridSpan w:val="2"/>
            <w:tcBorders>
              <w:top w:val="nil"/>
              <w:left w:val="nil"/>
              <w:bottom w:val="single" w:sz="4" w:space="0" w:color="auto"/>
              <w:right w:val="nil"/>
            </w:tcBorders>
            <w:shd w:val="clear" w:color="auto" w:fill="auto"/>
            <w:noWrap/>
            <w:vAlign w:val="bottom"/>
            <w:hideMark/>
          </w:tcPr>
          <w:p w14:paraId="052DAF80"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91" w:type="pct"/>
            <w:tcBorders>
              <w:top w:val="nil"/>
              <w:left w:val="nil"/>
              <w:bottom w:val="single" w:sz="4" w:space="0" w:color="auto"/>
              <w:right w:val="nil"/>
            </w:tcBorders>
            <w:shd w:val="clear" w:color="auto" w:fill="auto"/>
            <w:noWrap/>
            <w:vAlign w:val="bottom"/>
            <w:hideMark/>
          </w:tcPr>
          <w:p w14:paraId="44B2664A"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284" w:type="pct"/>
            <w:tcBorders>
              <w:top w:val="nil"/>
              <w:left w:val="nil"/>
              <w:bottom w:val="single" w:sz="4" w:space="0" w:color="auto"/>
              <w:right w:val="nil"/>
            </w:tcBorders>
            <w:shd w:val="clear" w:color="auto" w:fill="auto"/>
            <w:noWrap/>
            <w:vAlign w:val="bottom"/>
            <w:hideMark/>
          </w:tcPr>
          <w:p w14:paraId="0B0B05D8"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394" w:type="pct"/>
            <w:tcBorders>
              <w:top w:val="nil"/>
              <w:left w:val="nil"/>
              <w:bottom w:val="single" w:sz="4" w:space="0" w:color="auto"/>
              <w:right w:val="nil"/>
            </w:tcBorders>
            <w:shd w:val="clear" w:color="auto" w:fill="auto"/>
            <w:noWrap/>
            <w:vAlign w:val="bottom"/>
            <w:hideMark/>
          </w:tcPr>
          <w:p w14:paraId="40EBE498"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251" w:type="pct"/>
            <w:gridSpan w:val="2"/>
            <w:tcBorders>
              <w:top w:val="nil"/>
              <w:left w:val="nil"/>
              <w:bottom w:val="single" w:sz="4" w:space="0" w:color="auto"/>
              <w:right w:val="nil"/>
            </w:tcBorders>
            <w:shd w:val="clear" w:color="auto" w:fill="auto"/>
            <w:noWrap/>
            <w:vAlign w:val="bottom"/>
            <w:hideMark/>
          </w:tcPr>
          <w:p w14:paraId="34AD6CBE"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351" w:type="pct"/>
            <w:gridSpan w:val="2"/>
            <w:tcBorders>
              <w:top w:val="nil"/>
              <w:left w:val="nil"/>
              <w:bottom w:val="single" w:sz="4" w:space="0" w:color="auto"/>
              <w:right w:val="nil"/>
            </w:tcBorders>
            <w:shd w:val="clear" w:color="auto" w:fill="auto"/>
            <w:noWrap/>
            <w:vAlign w:val="bottom"/>
            <w:hideMark/>
          </w:tcPr>
          <w:p w14:paraId="7C318079"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269" w:type="pct"/>
            <w:tcBorders>
              <w:top w:val="nil"/>
              <w:left w:val="nil"/>
              <w:bottom w:val="single" w:sz="4" w:space="0" w:color="auto"/>
              <w:right w:val="nil"/>
            </w:tcBorders>
            <w:shd w:val="clear" w:color="auto" w:fill="auto"/>
            <w:noWrap/>
            <w:vAlign w:val="bottom"/>
            <w:hideMark/>
          </w:tcPr>
          <w:p w14:paraId="121A9ECA" w14:textId="77777777" w:rsidR="005058F7" w:rsidRPr="005058F7" w:rsidRDefault="005058F7" w:rsidP="005058F7">
            <w:pPr>
              <w:spacing w:after="0" w:line="240" w:lineRule="auto"/>
              <w:rPr>
                <w:rFonts w:ascii="Times New Roman" w:eastAsia="Times New Roman" w:hAnsi="Times New Roman" w:cs="Times New Roman"/>
                <w:color w:val="000000"/>
                <w:sz w:val="24"/>
                <w:szCs w:val="24"/>
                <w:lang w:eastAsia="lv-LV"/>
              </w:rPr>
            </w:pPr>
          </w:p>
        </w:tc>
        <w:tc>
          <w:tcPr>
            <w:tcW w:w="466" w:type="pct"/>
            <w:tcBorders>
              <w:top w:val="nil"/>
              <w:left w:val="nil"/>
              <w:bottom w:val="single" w:sz="4" w:space="0" w:color="auto"/>
              <w:right w:val="nil"/>
            </w:tcBorders>
            <w:shd w:val="clear" w:color="auto" w:fill="auto"/>
            <w:noWrap/>
            <w:vAlign w:val="bottom"/>
            <w:hideMark/>
          </w:tcPr>
          <w:p w14:paraId="224A768A" w14:textId="77777777" w:rsidR="005058F7" w:rsidRPr="005058F7" w:rsidRDefault="005058F7" w:rsidP="005058F7">
            <w:pPr>
              <w:spacing w:after="0" w:line="240" w:lineRule="auto"/>
              <w:rPr>
                <w:rFonts w:ascii="Times New Roman" w:eastAsia="Times New Roman" w:hAnsi="Times New Roman" w:cs="Times New Roman"/>
                <w:i/>
                <w:iCs/>
                <w:color w:val="000000"/>
                <w:sz w:val="24"/>
                <w:szCs w:val="24"/>
                <w:lang w:eastAsia="lv-LV"/>
              </w:rPr>
            </w:pPr>
            <w:proofErr w:type="spellStart"/>
            <w:r w:rsidRPr="005058F7">
              <w:rPr>
                <w:rFonts w:ascii="Times New Roman" w:eastAsia="Times New Roman" w:hAnsi="Times New Roman" w:cs="Times New Roman"/>
                <w:i/>
                <w:iCs/>
                <w:color w:val="000000"/>
                <w:sz w:val="24"/>
                <w:szCs w:val="24"/>
                <w:lang w:eastAsia="lv-LV"/>
              </w:rPr>
              <w:t>euro</w:t>
            </w:r>
            <w:proofErr w:type="spellEnd"/>
          </w:p>
        </w:tc>
      </w:tr>
      <w:tr w:rsidR="00871ECD" w:rsidRPr="005058F7" w14:paraId="700494D7" w14:textId="77777777" w:rsidTr="00871ECD">
        <w:trPr>
          <w:trHeight w:val="645"/>
        </w:trPr>
        <w:tc>
          <w:tcPr>
            <w:tcW w:w="467" w:type="pct"/>
            <w:vMerge w:val="restart"/>
            <w:tcBorders>
              <w:top w:val="single" w:sz="4" w:space="0" w:color="auto"/>
              <w:left w:val="single" w:sz="4" w:space="0" w:color="auto"/>
              <w:right w:val="single" w:sz="4" w:space="0" w:color="auto"/>
            </w:tcBorders>
            <w:shd w:val="clear" w:color="auto" w:fill="auto"/>
            <w:noWrap/>
            <w:vAlign w:val="center"/>
            <w:hideMark/>
          </w:tcPr>
          <w:p w14:paraId="5B50290E" w14:textId="77777777" w:rsidR="005058F7" w:rsidRPr="005058F7" w:rsidRDefault="005058F7" w:rsidP="005058F7">
            <w:pPr>
              <w:spacing w:after="0" w:line="240" w:lineRule="auto"/>
              <w:jc w:val="center"/>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bCs/>
                <w:sz w:val="20"/>
                <w:szCs w:val="20"/>
                <w:lang w:eastAsia="lv-LV"/>
              </w:rPr>
              <w:t>Risinājums</w:t>
            </w:r>
          </w:p>
        </w:tc>
        <w:tc>
          <w:tcPr>
            <w:tcW w:w="466" w:type="pct"/>
            <w:vMerge w:val="restart"/>
            <w:tcBorders>
              <w:top w:val="single" w:sz="4" w:space="0" w:color="auto"/>
              <w:left w:val="single" w:sz="4" w:space="0" w:color="auto"/>
              <w:right w:val="single" w:sz="4" w:space="0" w:color="auto"/>
            </w:tcBorders>
            <w:shd w:val="clear" w:color="auto" w:fill="auto"/>
            <w:noWrap/>
            <w:vAlign w:val="center"/>
            <w:hideMark/>
          </w:tcPr>
          <w:p w14:paraId="2D43F5F9" w14:textId="77777777" w:rsidR="005058F7" w:rsidRPr="005058F7" w:rsidRDefault="005058F7" w:rsidP="005058F7">
            <w:pPr>
              <w:spacing w:after="0" w:line="240" w:lineRule="auto"/>
              <w:jc w:val="center"/>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b/>
                <w:bCs/>
                <w:sz w:val="20"/>
                <w:szCs w:val="20"/>
                <w:lang w:eastAsia="lv-LV"/>
              </w:rPr>
              <w:t>Risinājums (ris</w:t>
            </w:r>
            <w:r w:rsidR="000D2E29">
              <w:rPr>
                <w:rFonts w:ascii="Times New Roman" w:eastAsia="Times New Roman" w:hAnsi="Times New Roman" w:cs="Times New Roman"/>
                <w:b/>
                <w:bCs/>
                <w:sz w:val="20"/>
                <w:szCs w:val="20"/>
                <w:lang w:eastAsia="lv-LV"/>
              </w:rPr>
              <w:t>i</w:t>
            </w:r>
            <w:r w:rsidRPr="005058F7">
              <w:rPr>
                <w:rFonts w:ascii="Times New Roman" w:eastAsia="Times New Roman" w:hAnsi="Times New Roman" w:cs="Times New Roman"/>
                <w:b/>
                <w:bCs/>
                <w:sz w:val="20"/>
                <w:szCs w:val="20"/>
                <w:lang w:eastAsia="lv-LV"/>
              </w:rPr>
              <w:t>nājuma varianti)</w:t>
            </w:r>
          </w:p>
        </w:tc>
        <w:tc>
          <w:tcPr>
            <w:tcW w:w="568" w:type="pct"/>
            <w:vMerge w:val="restart"/>
            <w:tcBorders>
              <w:top w:val="single" w:sz="4" w:space="0" w:color="auto"/>
              <w:left w:val="single" w:sz="4" w:space="0" w:color="auto"/>
              <w:right w:val="single" w:sz="4" w:space="0" w:color="auto"/>
            </w:tcBorders>
            <w:shd w:val="clear" w:color="auto" w:fill="auto"/>
            <w:noWrap/>
            <w:vAlign w:val="center"/>
            <w:hideMark/>
          </w:tcPr>
          <w:p w14:paraId="23401CE9" w14:textId="77777777" w:rsidR="005058F7" w:rsidRPr="005058F7" w:rsidRDefault="005058F7" w:rsidP="005058F7">
            <w:pPr>
              <w:spacing w:after="0" w:line="240" w:lineRule="auto"/>
              <w:jc w:val="center"/>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b/>
                <w:bCs/>
                <w:sz w:val="20"/>
                <w:szCs w:val="20"/>
                <w:lang w:eastAsia="lv-LV"/>
              </w:rPr>
              <w:t>Budžeta programmas (apakš</w:t>
            </w:r>
            <w:r w:rsidRPr="005058F7">
              <w:rPr>
                <w:rFonts w:ascii="Times New Roman" w:eastAsia="Times New Roman" w:hAnsi="Times New Roman" w:cs="Times New Roman"/>
                <w:b/>
                <w:bCs/>
                <w:sz w:val="20"/>
                <w:szCs w:val="20"/>
                <w:lang w:eastAsia="lv-LV"/>
              </w:rPr>
              <w:softHyphen/>
              <w:t>programmas)</w:t>
            </w:r>
            <w:r w:rsidRPr="005058F7">
              <w:rPr>
                <w:rFonts w:ascii="Times New Roman" w:eastAsia="Times New Roman" w:hAnsi="Times New Roman" w:cs="Times New Roman"/>
                <w:b/>
                <w:bCs/>
                <w:sz w:val="20"/>
                <w:szCs w:val="20"/>
                <w:lang w:eastAsia="lv-LV"/>
              </w:rPr>
              <w:br/>
              <w:t>kods un nosaukums</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1ED1C"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Vidēja termiņa budžeta ietvara likumā plānotais finansējums</w:t>
            </w:r>
          </w:p>
        </w:tc>
        <w:tc>
          <w:tcPr>
            <w:tcW w:w="2033"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8123C89" w14:textId="77777777" w:rsidR="005058F7" w:rsidRPr="00212246" w:rsidRDefault="005058F7" w:rsidP="005058F7">
            <w:pPr>
              <w:spacing w:after="0" w:line="240" w:lineRule="auto"/>
              <w:jc w:val="center"/>
              <w:rPr>
                <w:rFonts w:ascii="Times New Roman" w:eastAsia="Times New Roman" w:hAnsi="Times New Roman" w:cs="Times New Roman"/>
                <w:b/>
                <w:bCs/>
                <w:sz w:val="20"/>
                <w:szCs w:val="20"/>
                <w:lang w:eastAsia="lv-LV"/>
              </w:rPr>
            </w:pPr>
            <w:r w:rsidRPr="00212246">
              <w:rPr>
                <w:rFonts w:ascii="Times New Roman" w:eastAsia="Times New Roman" w:hAnsi="Times New Roman" w:cs="Times New Roman"/>
                <w:b/>
                <w:bCs/>
                <w:sz w:val="20"/>
                <w:szCs w:val="20"/>
                <w:lang w:eastAsia="lv-LV"/>
              </w:rPr>
              <w:t>Nepieciešamais papildu finansējums</w:t>
            </w:r>
            <w:r w:rsidRPr="00212246">
              <w:rPr>
                <w:rFonts w:ascii="Times New Roman" w:eastAsia="Times New Roman" w:hAnsi="Times New Roman" w:cs="Times New Roman"/>
                <w:b/>
                <w:bCs/>
                <w:sz w:val="20"/>
                <w:szCs w:val="20"/>
                <w:vertAlign w:val="superscript"/>
                <w:lang w:eastAsia="lv-LV"/>
              </w:rPr>
              <w:footnoteReference w:id="35"/>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A94D3A" w14:textId="77777777" w:rsidR="005058F7" w:rsidRPr="00212246" w:rsidRDefault="005058F7" w:rsidP="005058F7">
            <w:pPr>
              <w:spacing w:after="0" w:line="240" w:lineRule="auto"/>
              <w:jc w:val="center"/>
              <w:rPr>
                <w:rFonts w:ascii="Times New Roman" w:eastAsia="Times New Roman" w:hAnsi="Times New Roman" w:cs="Times New Roman"/>
                <w:b/>
                <w:bCs/>
                <w:sz w:val="20"/>
                <w:szCs w:val="20"/>
                <w:lang w:eastAsia="lv-LV"/>
              </w:rPr>
            </w:pPr>
            <w:r w:rsidRPr="00212246">
              <w:rPr>
                <w:rFonts w:ascii="Times New Roman" w:eastAsia="Times New Roman" w:hAnsi="Times New Roman" w:cs="Times New Roman"/>
                <w:b/>
                <w:bCs/>
                <w:sz w:val="20"/>
                <w:szCs w:val="20"/>
                <w:lang w:eastAsia="lv-LV"/>
              </w:rPr>
              <w:t>Pasākuma īstenošanas gads</w:t>
            </w:r>
            <w:r w:rsidRPr="00212246">
              <w:rPr>
                <w:rFonts w:ascii="Times New Roman" w:eastAsia="Times New Roman" w:hAnsi="Times New Roman" w:cs="Times New Roman"/>
                <w:b/>
                <w:bCs/>
                <w:sz w:val="20"/>
                <w:szCs w:val="20"/>
                <w:lang w:eastAsia="lv-LV"/>
              </w:rPr>
              <w:br/>
              <w:t xml:space="preserve"> (ja risinājuma (risinā</w:t>
            </w:r>
            <w:r w:rsidRPr="00212246">
              <w:rPr>
                <w:rFonts w:ascii="Times New Roman" w:eastAsia="Times New Roman" w:hAnsi="Times New Roman" w:cs="Times New Roman"/>
                <w:b/>
                <w:bCs/>
                <w:sz w:val="20"/>
                <w:szCs w:val="20"/>
                <w:lang w:eastAsia="lv-LV"/>
              </w:rPr>
              <w:softHyphen/>
              <w:t>juma varianta) īstenošana ir terminēta)</w:t>
            </w:r>
          </w:p>
        </w:tc>
      </w:tr>
      <w:tr w:rsidR="00871ECD" w:rsidRPr="005058F7" w14:paraId="3D7755B0" w14:textId="77777777" w:rsidTr="00871ECD">
        <w:trPr>
          <w:trHeight w:val="2280"/>
        </w:trPr>
        <w:tc>
          <w:tcPr>
            <w:tcW w:w="467" w:type="pct"/>
            <w:vMerge/>
            <w:tcBorders>
              <w:left w:val="single" w:sz="4" w:space="0" w:color="auto"/>
              <w:bottom w:val="single" w:sz="4" w:space="0" w:color="auto"/>
              <w:right w:val="single" w:sz="4" w:space="0" w:color="auto"/>
            </w:tcBorders>
            <w:shd w:val="clear" w:color="auto" w:fill="auto"/>
            <w:vAlign w:val="center"/>
            <w:hideMark/>
          </w:tcPr>
          <w:p w14:paraId="7ACEF629"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p>
        </w:tc>
        <w:tc>
          <w:tcPr>
            <w:tcW w:w="466" w:type="pct"/>
            <w:vMerge/>
            <w:tcBorders>
              <w:left w:val="single" w:sz="4" w:space="0" w:color="auto"/>
              <w:bottom w:val="nil"/>
              <w:right w:val="single" w:sz="4" w:space="0" w:color="auto"/>
            </w:tcBorders>
            <w:shd w:val="clear" w:color="auto" w:fill="auto"/>
            <w:vAlign w:val="center"/>
            <w:hideMark/>
          </w:tcPr>
          <w:p w14:paraId="70C67F0C"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p>
        </w:tc>
        <w:tc>
          <w:tcPr>
            <w:tcW w:w="568" w:type="pct"/>
            <w:vMerge/>
            <w:tcBorders>
              <w:left w:val="single" w:sz="4" w:space="0" w:color="auto"/>
              <w:bottom w:val="nil"/>
              <w:right w:val="single" w:sz="4" w:space="0" w:color="auto"/>
            </w:tcBorders>
            <w:shd w:val="clear" w:color="auto" w:fill="auto"/>
            <w:vAlign w:val="center"/>
            <w:hideMark/>
          </w:tcPr>
          <w:p w14:paraId="0A04EED1"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7A4A7A59"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2020. gads</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1644B1E7"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2021.</w:t>
            </w:r>
          </w:p>
          <w:p w14:paraId="6469B146"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 xml:space="preserve">gads </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45C2B9C6"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 xml:space="preserve">2022. </w:t>
            </w:r>
          </w:p>
          <w:p w14:paraId="5A5DB79F"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 xml:space="preserve">gads </w:t>
            </w:r>
          </w:p>
        </w:tc>
        <w:tc>
          <w:tcPr>
            <w:tcW w:w="367" w:type="pct"/>
            <w:gridSpan w:val="2"/>
            <w:tcBorders>
              <w:top w:val="single" w:sz="4" w:space="0" w:color="auto"/>
              <w:left w:val="nil"/>
              <w:bottom w:val="single" w:sz="4" w:space="0" w:color="auto"/>
              <w:right w:val="single" w:sz="4" w:space="0" w:color="auto"/>
            </w:tcBorders>
            <w:shd w:val="clear" w:color="auto" w:fill="auto"/>
            <w:vAlign w:val="center"/>
            <w:hideMark/>
          </w:tcPr>
          <w:p w14:paraId="585A2EAB"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2021. gads</w:t>
            </w:r>
          </w:p>
        </w:tc>
        <w:tc>
          <w:tcPr>
            <w:tcW w:w="400" w:type="pct"/>
            <w:gridSpan w:val="3"/>
            <w:tcBorders>
              <w:top w:val="single" w:sz="4" w:space="0" w:color="auto"/>
              <w:left w:val="nil"/>
              <w:bottom w:val="single" w:sz="4" w:space="0" w:color="auto"/>
              <w:right w:val="single" w:sz="4" w:space="0" w:color="auto"/>
            </w:tcBorders>
            <w:shd w:val="clear" w:color="auto" w:fill="auto"/>
            <w:vAlign w:val="center"/>
            <w:hideMark/>
          </w:tcPr>
          <w:p w14:paraId="16BD4325"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2022. gads</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14:paraId="75C5A0EE"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2023. gads</w:t>
            </w:r>
          </w:p>
        </w:tc>
        <w:tc>
          <w:tcPr>
            <w:tcW w:w="467" w:type="pct"/>
            <w:gridSpan w:val="2"/>
            <w:tcBorders>
              <w:top w:val="single" w:sz="4" w:space="0" w:color="auto"/>
              <w:left w:val="nil"/>
              <w:bottom w:val="single" w:sz="4" w:space="0" w:color="auto"/>
              <w:right w:val="single" w:sz="4" w:space="0" w:color="auto"/>
            </w:tcBorders>
            <w:shd w:val="clear" w:color="auto" w:fill="auto"/>
            <w:vAlign w:val="center"/>
            <w:hideMark/>
          </w:tcPr>
          <w:p w14:paraId="39BBB708" w14:textId="77777777" w:rsidR="005058F7" w:rsidRPr="00212246" w:rsidRDefault="005058F7" w:rsidP="005058F7">
            <w:pPr>
              <w:spacing w:after="0" w:line="240" w:lineRule="auto"/>
              <w:jc w:val="center"/>
              <w:rPr>
                <w:rFonts w:ascii="Times New Roman" w:eastAsia="Times New Roman" w:hAnsi="Times New Roman" w:cs="Times New Roman"/>
                <w:b/>
                <w:bCs/>
                <w:sz w:val="20"/>
                <w:szCs w:val="20"/>
                <w:lang w:eastAsia="lv-LV"/>
              </w:rPr>
            </w:pPr>
            <w:r w:rsidRPr="00212246">
              <w:rPr>
                <w:rFonts w:ascii="Times New Roman" w:eastAsia="Times New Roman" w:hAnsi="Times New Roman" w:cs="Times New Roman"/>
                <w:b/>
                <w:bCs/>
                <w:sz w:val="20"/>
                <w:szCs w:val="20"/>
                <w:lang w:eastAsia="lv-LV"/>
              </w:rPr>
              <w:t xml:space="preserve">turpmākajā laikposmā līdz risinājuma (risinājuma varianta) pabeigšanai </w:t>
            </w:r>
            <w:r w:rsidRPr="00212246">
              <w:rPr>
                <w:rFonts w:ascii="Times New Roman" w:eastAsia="Times New Roman" w:hAnsi="Times New Roman" w:cs="Times New Roman"/>
                <w:b/>
                <w:bCs/>
                <w:sz w:val="20"/>
                <w:szCs w:val="20"/>
                <w:lang w:eastAsia="lv-LV"/>
              </w:rPr>
              <w:br/>
              <w:t>(ja īstenošana ir terminēta)</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14:paraId="71698F63" w14:textId="77777777" w:rsidR="005058F7" w:rsidRPr="00212246" w:rsidRDefault="005058F7" w:rsidP="005058F7">
            <w:pPr>
              <w:spacing w:after="0" w:line="240" w:lineRule="auto"/>
              <w:jc w:val="center"/>
              <w:rPr>
                <w:rFonts w:ascii="Times New Roman" w:eastAsia="Times New Roman" w:hAnsi="Times New Roman" w:cs="Times New Roman"/>
                <w:b/>
                <w:bCs/>
                <w:sz w:val="20"/>
                <w:szCs w:val="20"/>
                <w:lang w:eastAsia="lv-LV"/>
              </w:rPr>
            </w:pPr>
            <w:r w:rsidRPr="00212246">
              <w:rPr>
                <w:rFonts w:ascii="Times New Roman" w:eastAsia="Times New Roman" w:hAnsi="Times New Roman" w:cs="Times New Roman"/>
                <w:b/>
                <w:bCs/>
                <w:sz w:val="20"/>
                <w:szCs w:val="20"/>
                <w:lang w:eastAsia="lv-LV"/>
              </w:rPr>
              <w:t xml:space="preserve">turpmāk ik gadu </w:t>
            </w:r>
            <w:r w:rsidRPr="00212246">
              <w:rPr>
                <w:rFonts w:ascii="Times New Roman" w:eastAsia="Times New Roman" w:hAnsi="Times New Roman" w:cs="Times New Roman"/>
                <w:b/>
                <w:bCs/>
                <w:sz w:val="20"/>
                <w:szCs w:val="20"/>
                <w:lang w:eastAsia="lv-LV"/>
              </w:rPr>
              <w:br/>
              <w:t>(ja risinā</w:t>
            </w:r>
            <w:r w:rsidRPr="00212246">
              <w:rPr>
                <w:rFonts w:ascii="Times New Roman" w:eastAsia="Times New Roman" w:hAnsi="Times New Roman" w:cs="Times New Roman"/>
                <w:b/>
                <w:bCs/>
                <w:sz w:val="20"/>
                <w:szCs w:val="20"/>
                <w:lang w:eastAsia="lv-LV"/>
              </w:rPr>
              <w:softHyphen/>
              <w:t>juma (risinā</w:t>
            </w:r>
            <w:r w:rsidRPr="00212246">
              <w:rPr>
                <w:rFonts w:ascii="Times New Roman" w:eastAsia="Times New Roman" w:hAnsi="Times New Roman" w:cs="Times New Roman"/>
                <w:b/>
                <w:bCs/>
                <w:sz w:val="20"/>
                <w:szCs w:val="20"/>
                <w:lang w:eastAsia="lv-LV"/>
              </w:rPr>
              <w:softHyphen/>
              <w:t>juma varianta) izpilde nav terminēta)</w:t>
            </w:r>
            <w:r w:rsidRPr="00212246">
              <w:rPr>
                <w:rFonts w:ascii="Times New Roman" w:eastAsia="Times New Roman" w:hAnsi="Times New Roman" w:cs="Times New Roman"/>
                <w:b/>
                <w:bCs/>
                <w:sz w:val="20"/>
                <w:szCs w:val="20"/>
                <w:vertAlign w:val="superscript"/>
                <w:lang w:eastAsia="lv-LV"/>
              </w:rPr>
              <w:footnoteReference w:id="36"/>
            </w: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9AEAEDD" w14:textId="77777777" w:rsidR="005058F7" w:rsidRPr="00212246" w:rsidRDefault="005058F7" w:rsidP="005058F7">
            <w:pPr>
              <w:spacing w:after="0" w:line="240" w:lineRule="auto"/>
              <w:rPr>
                <w:rFonts w:ascii="Times New Roman" w:eastAsia="Times New Roman" w:hAnsi="Times New Roman" w:cs="Times New Roman"/>
                <w:b/>
                <w:bCs/>
                <w:sz w:val="20"/>
                <w:szCs w:val="20"/>
                <w:lang w:eastAsia="lv-LV"/>
              </w:rPr>
            </w:pPr>
          </w:p>
        </w:tc>
      </w:tr>
      <w:tr w:rsidR="00871ECD" w:rsidRPr="00B96447" w14:paraId="472D38D1" w14:textId="77777777" w:rsidTr="00871ECD">
        <w:trPr>
          <w:trHeight w:val="456"/>
        </w:trPr>
        <w:tc>
          <w:tcPr>
            <w:tcW w:w="467" w:type="pct"/>
            <w:tcBorders>
              <w:top w:val="nil"/>
              <w:left w:val="single" w:sz="4" w:space="0" w:color="auto"/>
              <w:bottom w:val="nil"/>
              <w:right w:val="single" w:sz="4" w:space="0" w:color="auto"/>
            </w:tcBorders>
            <w:shd w:val="clear" w:color="auto" w:fill="C4BC96"/>
            <w:hideMark/>
          </w:tcPr>
          <w:p w14:paraId="261F0F17" w14:textId="77777777" w:rsidR="005058F7" w:rsidRPr="005058F7" w:rsidRDefault="005058F7" w:rsidP="005058F7">
            <w:pPr>
              <w:spacing w:after="0" w:line="240" w:lineRule="auto"/>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Finansējums konceptuālā ziņojuma īstenošanai  kopā</w:t>
            </w:r>
          </w:p>
        </w:tc>
        <w:tc>
          <w:tcPr>
            <w:tcW w:w="466" w:type="pct"/>
            <w:tcBorders>
              <w:top w:val="single" w:sz="4" w:space="0" w:color="auto"/>
              <w:left w:val="nil"/>
              <w:bottom w:val="nil"/>
              <w:right w:val="single" w:sz="4" w:space="0" w:color="auto"/>
            </w:tcBorders>
            <w:shd w:val="clear" w:color="auto" w:fill="C4BC96"/>
            <w:vAlign w:val="center"/>
            <w:hideMark/>
          </w:tcPr>
          <w:p w14:paraId="1092AA25"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 </w:t>
            </w:r>
          </w:p>
        </w:tc>
        <w:tc>
          <w:tcPr>
            <w:tcW w:w="568" w:type="pct"/>
            <w:tcBorders>
              <w:top w:val="single" w:sz="4" w:space="0" w:color="auto"/>
              <w:left w:val="nil"/>
              <w:bottom w:val="nil"/>
              <w:right w:val="nil"/>
            </w:tcBorders>
            <w:shd w:val="clear" w:color="auto" w:fill="C4BC96"/>
            <w:vAlign w:val="center"/>
            <w:hideMark/>
          </w:tcPr>
          <w:p w14:paraId="6595F72D" w14:textId="77777777" w:rsidR="005058F7" w:rsidRPr="005058F7" w:rsidRDefault="005058F7" w:rsidP="005058F7">
            <w:pPr>
              <w:spacing w:after="0" w:line="240" w:lineRule="auto"/>
              <w:jc w:val="center"/>
              <w:rPr>
                <w:rFonts w:ascii="Times New Roman" w:eastAsia="Times New Roman" w:hAnsi="Times New Roman" w:cs="Times New Roman"/>
                <w:b/>
                <w:bCs/>
                <w:sz w:val="20"/>
                <w:szCs w:val="20"/>
                <w:lang w:eastAsia="lv-LV"/>
              </w:rPr>
            </w:pPr>
            <w:r w:rsidRPr="005058F7">
              <w:rPr>
                <w:rFonts w:ascii="Times New Roman" w:eastAsia="Times New Roman" w:hAnsi="Times New Roman" w:cs="Times New Roman"/>
                <w:b/>
                <w:bCs/>
                <w:sz w:val="20"/>
                <w:szCs w:val="20"/>
                <w:lang w:eastAsia="lv-LV"/>
              </w:rPr>
              <w:t> </w:t>
            </w:r>
          </w:p>
        </w:tc>
        <w:tc>
          <w:tcPr>
            <w:tcW w:w="333" w:type="pct"/>
            <w:tcBorders>
              <w:top w:val="nil"/>
              <w:left w:val="single" w:sz="4" w:space="0" w:color="auto"/>
              <w:bottom w:val="nil"/>
              <w:right w:val="single" w:sz="4" w:space="0" w:color="auto"/>
            </w:tcBorders>
            <w:shd w:val="clear" w:color="auto" w:fill="C4BC96"/>
            <w:noWrap/>
            <w:hideMark/>
          </w:tcPr>
          <w:p w14:paraId="453859DB" w14:textId="77777777" w:rsidR="005058F7" w:rsidRPr="005058F7" w:rsidRDefault="005058F7" w:rsidP="005058F7">
            <w:pPr>
              <w:spacing w:after="200" w:line="276" w:lineRule="auto"/>
              <w:rPr>
                <w:rFonts w:ascii="Times New Roman" w:eastAsia="Calibri" w:hAnsi="Times New Roman" w:cs="Times New Roman"/>
                <w:b/>
                <w:sz w:val="20"/>
              </w:rPr>
            </w:pPr>
            <w:r w:rsidRPr="005058F7">
              <w:rPr>
                <w:rFonts w:ascii="Times New Roman" w:eastAsia="Calibri" w:hAnsi="Times New Roman" w:cs="Times New Roman"/>
                <w:b/>
                <w:sz w:val="20"/>
              </w:rPr>
              <w:t>463 813</w:t>
            </w:r>
          </w:p>
        </w:tc>
        <w:tc>
          <w:tcPr>
            <w:tcW w:w="333" w:type="pct"/>
            <w:tcBorders>
              <w:top w:val="nil"/>
              <w:left w:val="nil"/>
              <w:bottom w:val="nil"/>
              <w:right w:val="single" w:sz="4" w:space="0" w:color="auto"/>
            </w:tcBorders>
            <w:shd w:val="clear" w:color="auto" w:fill="C4BC96"/>
            <w:noWrap/>
            <w:hideMark/>
          </w:tcPr>
          <w:p w14:paraId="1DDBFE9A" w14:textId="77777777" w:rsidR="005058F7" w:rsidRPr="005058F7" w:rsidRDefault="005058F7" w:rsidP="005058F7">
            <w:pPr>
              <w:spacing w:after="200" w:line="276" w:lineRule="auto"/>
              <w:jc w:val="right"/>
              <w:rPr>
                <w:rFonts w:ascii="Times New Roman" w:eastAsia="Calibri" w:hAnsi="Times New Roman" w:cs="Times New Roman"/>
                <w:b/>
                <w:sz w:val="20"/>
              </w:rPr>
            </w:pPr>
            <w:r w:rsidRPr="005058F7">
              <w:rPr>
                <w:rFonts w:ascii="Times New Roman" w:eastAsia="Calibri" w:hAnsi="Times New Roman" w:cs="Times New Roman"/>
                <w:b/>
                <w:sz w:val="20"/>
              </w:rPr>
              <w:t>463 813</w:t>
            </w:r>
          </w:p>
        </w:tc>
        <w:tc>
          <w:tcPr>
            <w:tcW w:w="333" w:type="pct"/>
            <w:tcBorders>
              <w:top w:val="nil"/>
              <w:left w:val="nil"/>
              <w:bottom w:val="nil"/>
              <w:right w:val="single" w:sz="4" w:space="0" w:color="auto"/>
            </w:tcBorders>
            <w:shd w:val="clear" w:color="auto" w:fill="C4BC96"/>
            <w:noWrap/>
            <w:hideMark/>
          </w:tcPr>
          <w:p w14:paraId="1BC31DD5" w14:textId="77777777" w:rsidR="005058F7" w:rsidRPr="005058F7" w:rsidRDefault="005058F7" w:rsidP="005058F7">
            <w:pPr>
              <w:spacing w:after="200" w:line="276" w:lineRule="auto"/>
              <w:jc w:val="right"/>
              <w:rPr>
                <w:rFonts w:ascii="Times New Roman" w:eastAsia="Calibri" w:hAnsi="Times New Roman" w:cs="Times New Roman"/>
                <w:b/>
                <w:sz w:val="20"/>
              </w:rPr>
            </w:pPr>
            <w:r w:rsidRPr="005058F7">
              <w:rPr>
                <w:rFonts w:ascii="Times New Roman" w:eastAsia="Calibri" w:hAnsi="Times New Roman" w:cs="Times New Roman"/>
                <w:b/>
                <w:sz w:val="20"/>
              </w:rPr>
              <w:t>463 813</w:t>
            </w:r>
          </w:p>
        </w:tc>
        <w:tc>
          <w:tcPr>
            <w:tcW w:w="367" w:type="pct"/>
            <w:gridSpan w:val="2"/>
            <w:tcBorders>
              <w:top w:val="nil"/>
              <w:left w:val="nil"/>
              <w:bottom w:val="nil"/>
              <w:right w:val="single" w:sz="4" w:space="0" w:color="auto"/>
            </w:tcBorders>
            <w:shd w:val="clear" w:color="auto" w:fill="C4BC96"/>
            <w:noWrap/>
            <w:hideMark/>
          </w:tcPr>
          <w:p w14:paraId="275C3D96" w14:textId="77777777" w:rsidR="005058F7" w:rsidRPr="005058F7" w:rsidRDefault="005058F7" w:rsidP="005058F7">
            <w:pPr>
              <w:spacing w:after="200" w:line="276" w:lineRule="auto"/>
              <w:jc w:val="right"/>
              <w:rPr>
                <w:rFonts w:ascii="Times New Roman" w:eastAsia="Calibri" w:hAnsi="Times New Roman" w:cs="Times New Roman"/>
                <w:b/>
                <w:sz w:val="20"/>
              </w:rPr>
            </w:pPr>
            <w:r w:rsidRPr="005058F7">
              <w:rPr>
                <w:rFonts w:ascii="Times New Roman" w:eastAsia="Calibri" w:hAnsi="Times New Roman" w:cs="Times New Roman"/>
                <w:b/>
                <w:sz w:val="20"/>
              </w:rPr>
              <w:t xml:space="preserve"> 679 901</w:t>
            </w:r>
          </w:p>
        </w:tc>
        <w:tc>
          <w:tcPr>
            <w:tcW w:w="400" w:type="pct"/>
            <w:gridSpan w:val="3"/>
            <w:tcBorders>
              <w:top w:val="nil"/>
              <w:left w:val="nil"/>
              <w:bottom w:val="nil"/>
              <w:right w:val="single" w:sz="4" w:space="0" w:color="auto"/>
            </w:tcBorders>
            <w:shd w:val="clear" w:color="auto" w:fill="C4BC96"/>
            <w:noWrap/>
            <w:hideMark/>
          </w:tcPr>
          <w:p w14:paraId="18B368BB" w14:textId="77777777" w:rsidR="005058F7" w:rsidRPr="005058F7" w:rsidRDefault="005058F7" w:rsidP="005058F7">
            <w:pPr>
              <w:spacing w:after="200" w:line="276" w:lineRule="auto"/>
              <w:jc w:val="right"/>
              <w:rPr>
                <w:rFonts w:ascii="Times New Roman" w:eastAsia="Calibri" w:hAnsi="Times New Roman" w:cs="Times New Roman"/>
                <w:b/>
                <w:sz w:val="20"/>
              </w:rPr>
            </w:pPr>
            <w:r w:rsidRPr="005058F7">
              <w:rPr>
                <w:rFonts w:ascii="Times New Roman" w:eastAsia="Calibri" w:hAnsi="Times New Roman" w:cs="Times New Roman"/>
                <w:b/>
                <w:sz w:val="20"/>
              </w:rPr>
              <w:t xml:space="preserve"> 1 433 251</w:t>
            </w:r>
          </w:p>
        </w:tc>
        <w:tc>
          <w:tcPr>
            <w:tcW w:w="400" w:type="pct"/>
            <w:gridSpan w:val="2"/>
            <w:tcBorders>
              <w:top w:val="nil"/>
              <w:left w:val="nil"/>
              <w:bottom w:val="nil"/>
              <w:right w:val="single" w:sz="4" w:space="0" w:color="auto"/>
            </w:tcBorders>
            <w:shd w:val="clear" w:color="auto" w:fill="C4BC96"/>
            <w:noWrap/>
            <w:hideMark/>
          </w:tcPr>
          <w:p w14:paraId="35C57B1E" w14:textId="77777777" w:rsidR="005058F7" w:rsidRPr="005058F7" w:rsidRDefault="005058F7" w:rsidP="005058F7">
            <w:pPr>
              <w:spacing w:after="200" w:line="276" w:lineRule="auto"/>
              <w:jc w:val="right"/>
              <w:rPr>
                <w:rFonts w:ascii="Times New Roman" w:eastAsia="Calibri" w:hAnsi="Times New Roman" w:cs="Times New Roman"/>
                <w:b/>
                <w:sz w:val="20"/>
              </w:rPr>
            </w:pPr>
            <w:r w:rsidRPr="005058F7">
              <w:rPr>
                <w:rFonts w:ascii="Times New Roman" w:eastAsia="Calibri" w:hAnsi="Times New Roman" w:cs="Times New Roman"/>
                <w:b/>
                <w:sz w:val="20"/>
              </w:rPr>
              <w:t xml:space="preserve">2 411 162 </w:t>
            </w:r>
          </w:p>
        </w:tc>
        <w:tc>
          <w:tcPr>
            <w:tcW w:w="467" w:type="pct"/>
            <w:gridSpan w:val="2"/>
            <w:tcBorders>
              <w:top w:val="nil"/>
              <w:left w:val="nil"/>
              <w:bottom w:val="nil"/>
              <w:right w:val="single" w:sz="4" w:space="0" w:color="auto"/>
            </w:tcBorders>
            <w:shd w:val="clear" w:color="auto" w:fill="C4BC96"/>
            <w:noWrap/>
            <w:hideMark/>
          </w:tcPr>
          <w:p w14:paraId="7410F5AD" w14:textId="77777777" w:rsidR="005058F7" w:rsidRPr="00212246" w:rsidRDefault="005058F7">
            <w:pPr>
              <w:spacing w:after="0" w:line="240" w:lineRule="auto"/>
              <w:jc w:val="right"/>
              <w:rPr>
                <w:rFonts w:ascii="Times New Roman" w:eastAsia="Times New Roman" w:hAnsi="Times New Roman" w:cs="Times New Roman"/>
                <w:color w:val="000000"/>
                <w:sz w:val="20"/>
                <w:szCs w:val="20"/>
                <w:lang w:eastAsia="lv-LV"/>
              </w:rPr>
            </w:pPr>
            <w:r w:rsidRPr="00212246">
              <w:rPr>
                <w:rFonts w:ascii="Times New Roman" w:eastAsia="Times New Roman" w:hAnsi="Times New Roman" w:cs="Times New Roman"/>
                <w:b/>
                <w:sz w:val="20"/>
                <w:szCs w:val="20"/>
                <w:lang w:eastAsia="lv-LV"/>
              </w:rPr>
              <w:t> </w:t>
            </w:r>
          </w:p>
        </w:tc>
        <w:tc>
          <w:tcPr>
            <w:tcW w:w="400" w:type="pct"/>
            <w:gridSpan w:val="2"/>
            <w:tcBorders>
              <w:top w:val="nil"/>
              <w:left w:val="nil"/>
              <w:bottom w:val="nil"/>
              <w:right w:val="single" w:sz="4" w:space="0" w:color="auto"/>
            </w:tcBorders>
            <w:shd w:val="clear" w:color="auto" w:fill="C4BC96"/>
            <w:noWrap/>
            <w:hideMark/>
          </w:tcPr>
          <w:p w14:paraId="49ADEE80" w14:textId="77777777" w:rsidR="000516AD" w:rsidRPr="00212246" w:rsidRDefault="000516AD" w:rsidP="000516AD">
            <w:pPr>
              <w:spacing w:after="0" w:line="240" w:lineRule="auto"/>
              <w:jc w:val="right"/>
              <w:rPr>
                <w:rFonts w:ascii="Times New Roman" w:eastAsia="Times New Roman" w:hAnsi="Times New Roman" w:cs="Times New Roman"/>
                <w:sz w:val="20"/>
                <w:szCs w:val="20"/>
                <w:lang w:eastAsia="lv-LV"/>
              </w:rPr>
            </w:pPr>
            <w:r w:rsidRPr="00212246">
              <w:rPr>
                <w:rFonts w:ascii="Times New Roman" w:eastAsia="Times New Roman" w:hAnsi="Times New Roman" w:cs="Times New Roman"/>
                <w:b/>
                <w:sz w:val="20"/>
                <w:szCs w:val="20"/>
                <w:lang w:eastAsia="lv-LV"/>
              </w:rPr>
              <w:t>3 642 299</w:t>
            </w:r>
            <w:r w:rsidRPr="00212246">
              <w:rPr>
                <w:rFonts w:ascii="Times New Roman" w:eastAsia="Times New Roman" w:hAnsi="Times New Roman" w:cs="Times New Roman"/>
                <w:sz w:val="20"/>
                <w:szCs w:val="20"/>
                <w:lang w:eastAsia="lv-LV"/>
              </w:rPr>
              <w:t xml:space="preserve"> </w:t>
            </w:r>
            <w:proofErr w:type="spellStart"/>
            <w:r w:rsidRPr="00212246">
              <w:rPr>
                <w:rFonts w:ascii="Times New Roman" w:eastAsia="Times New Roman" w:hAnsi="Times New Roman" w:cs="Times New Roman"/>
                <w:sz w:val="20"/>
                <w:szCs w:val="20"/>
                <w:lang w:eastAsia="lv-LV"/>
              </w:rPr>
              <w:t>euro</w:t>
            </w:r>
            <w:proofErr w:type="spellEnd"/>
            <w:r w:rsidRPr="00212246">
              <w:rPr>
                <w:rFonts w:ascii="Times New Roman" w:eastAsia="Times New Roman" w:hAnsi="Times New Roman" w:cs="Times New Roman"/>
                <w:sz w:val="20"/>
                <w:szCs w:val="20"/>
                <w:lang w:eastAsia="lv-LV"/>
              </w:rPr>
              <w:t xml:space="preserve"> 2024.gadā</w:t>
            </w:r>
          </w:p>
          <w:p w14:paraId="30A379B2" w14:textId="77777777" w:rsidR="000516AD" w:rsidRPr="00212246" w:rsidRDefault="000516AD" w:rsidP="000516AD">
            <w:pPr>
              <w:spacing w:after="0" w:line="240" w:lineRule="auto"/>
              <w:jc w:val="right"/>
              <w:rPr>
                <w:rFonts w:ascii="Times New Roman" w:eastAsia="Times New Roman" w:hAnsi="Times New Roman" w:cs="Times New Roman"/>
                <w:sz w:val="20"/>
                <w:szCs w:val="20"/>
                <w:lang w:eastAsia="lv-LV"/>
              </w:rPr>
            </w:pPr>
          </w:p>
          <w:p w14:paraId="0A80694D" w14:textId="77777777" w:rsidR="0020312D" w:rsidRDefault="000516AD" w:rsidP="000516AD">
            <w:pPr>
              <w:spacing w:after="0" w:line="240" w:lineRule="auto"/>
              <w:jc w:val="right"/>
              <w:rPr>
                <w:rFonts w:ascii="Times New Roman" w:eastAsia="Times New Roman" w:hAnsi="Times New Roman" w:cs="Times New Roman"/>
                <w:sz w:val="20"/>
                <w:szCs w:val="20"/>
                <w:lang w:eastAsia="lv-LV"/>
              </w:rPr>
            </w:pPr>
            <w:r w:rsidRPr="00212246">
              <w:rPr>
                <w:rFonts w:ascii="Times New Roman" w:eastAsia="Times New Roman" w:hAnsi="Times New Roman" w:cs="Times New Roman"/>
                <w:b/>
                <w:sz w:val="20"/>
                <w:szCs w:val="20"/>
                <w:lang w:eastAsia="lv-LV"/>
              </w:rPr>
              <w:t>5 157 432</w:t>
            </w:r>
            <w:r w:rsidRPr="00212246">
              <w:rPr>
                <w:rFonts w:ascii="Times New Roman" w:eastAsia="Times New Roman" w:hAnsi="Times New Roman" w:cs="Times New Roman"/>
                <w:sz w:val="20"/>
                <w:szCs w:val="20"/>
                <w:lang w:eastAsia="lv-LV"/>
              </w:rPr>
              <w:t xml:space="preserve"> </w:t>
            </w:r>
            <w:proofErr w:type="spellStart"/>
            <w:r w:rsidRPr="00212246">
              <w:rPr>
                <w:rFonts w:ascii="Times New Roman" w:eastAsia="Times New Roman" w:hAnsi="Times New Roman" w:cs="Times New Roman"/>
                <w:sz w:val="20"/>
                <w:szCs w:val="20"/>
                <w:lang w:eastAsia="lv-LV"/>
              </w:rPr>
              <w:t>euro</w:t>
            </w:r>
            <w:proofErr w:type="spellEnd"/>
            <w:r w:rsidRPr="00212246">
              <w:rPr>
                <w:rFonts w:ascii="Times New Roman" w:eastAsia="Times New Roman" w:hAnsi="Times New Roman" w:cs="Times New Roman"/>
                <w:sz w:val="20"/>
                <w:szCs w:val="20"/>
                <w:lang w:eastAsia="lv-LV"/>
              </w:rPr>
              <w:t xml:space="preserve"> 2025.gadā</w:t>
            </w:r>
          </w:p>
          <w:p w14:paraId="7B5454F5"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212246">
              <w:rPr>
                <w:rFonts w:ascii="Times New Roman" w:eastAsia="Times New Roman" w:hAnsi="Times New Roman" w:cs="Times New Roman"/>
                <w:color w:val="000000"/>
                <w:sz w:val="20"/>
                <w:szCs w:val="20"/>
                <w:lang w:eastAsia="lv-LV"/>
              </w:rPr>
              <w:t xml:space="preserve"> </w:t>
            </w:r>
          </w:p>
          <w:p w14:paraId="6D4C3EBA" w14:textId="77777777" w:rsidR="005058F7" w:rsidRPr="00212246"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005058F7" w:rsidRPr="00212246">
              <w:rPr>
                <w:rFonts w:ascii="Times New Roman" w:eastAsia="Times New Roman" w:hAnsi="Times New Roman" w:cs="Times New Roman"/>
                <w:color w:val="000000"/>
                <w:sz w:val="20"/>
                <w:szCs w:val="20"/>
                <w:lang w:eastAsia="lv-LV"/>
              </w:rPr>
              <w:t xml:space="preserve">ismaz </w:t>
            </w:r>
          </w:p>
          <w:p w14:paraId="210F4C00" w14:textId="77777777" w:rsidR="005058F7" w:rsidRPr="00212246"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212246">
              <w:rPr>
                <w:rFonts w:ascii="Times New Roman" w:eastAsia="Times New Roman" w:hAnsi="Times New Roman" w:cs="Times New Roman"/>
                <w:b/>
                <w:sz w:val="20"/>
                <w:szCs w:val="20"/>
                <w:lang w:eastAsia="lv-LV"/>
              </w:rPr>
              <w:lastRenderedPageBreak/>
              <w:t xml:space="preserve">5 157 432 </w:t>
            </w:r>
            <w:proofErr w:type="spellStart"/>
            <w:r w:rsidRPr="00212246">
              <w:rPr>
                <w:rFonts w:ascii="Times New Roman" w:eastAsia="Times New Roman" w:hAnsi="Times New Roman" w:cs="Times New Roman"/>
                <w:b/>
                <w:sz w:val="20"/>
                <w:szCs w:val="20"/>
                <w:lang w:eastAsia="lv-LV"/>
              </w:rPr>
              <w:t>euro</w:t>
            </w:r>
            <w:proofErr w:type="spellEnd"/>
            <w:r w:rsidR="000516AD">
              <w:rPr>
                <w:rFonts w:ascii="Times New Roman" w:eastAsia="Times New Roman" w:hAnsi="Times New Roman" w:cs="Times New Roman"/>
                <w:b/>
                <w:sz w:val="20"/>
                <w:szCs w:val="20"/>
                <w:lang w:eastAsia="lv-LV"/>
              </w:rPr>
              <w:t xml:space="preserve"> </w:t>
            </w:r>
            <w:r w:rsidR="000516AD" w:rsidRPr="00286775">
              <w:rPr>
                <w:rFonts w:ascii="Times New Roman" w:eastAsia="Times New Roman" w:hAnsi="Times New Roman" w:cs="Times New Roman"/>
                <w:sz w:val="20"/>
                <w:szCs w:val="20"/>
                <w:lang w:eastAsia="lv-LV"/>
              </w:rPr>
              <w:t>katru gadu pēc 2025.gada</w:t>
            </w:r>
            <w:r w:rsidR="000516AD">
              <w:rPr>
                <w:rFonts w:ascii="Times New Roman" w:eastAsia="Times New Roman" w:hAnsi="Times New Roman" w:cs="Times New Roman"/>
                <w:b/>
                <w:sz w:val="20"/>
                <w:szCs w:val="20"/>
                <w:lang w:eastAsia="lv-LV"/>
              </w:rPr>
              <w:t xml:space="preserve"> </w:t>
            </w:r>
          </w:p>
        </w:tc>
        <w:tc>
          <w:tcPr>
            <w:tcW w:w="466" w:type="pct"/>
            <w:tcBorders>
              <w:top w:val="nil"/>
              <w:left w:val="nil"/>
              <w:bottom w:val="nil"/>
              <w:right w:val="single" w:sz="4" w:space="0" w:color="auto"/>
            </w:tcBorders>
            <w:shd w:val="clear" w:color="auto" w:fill="C4BC96"/>
            <w:noWrap/>
            <w:hideMark/>
          </w:tcPr>
          <w:p w14:paraId="62E35B2A" w14:textId="77777777" w:rsidR="005058F7" w:rsidRPr="00212246" w:rsidRDefault="005058F7" w:rsidP="000516AD">
            <w:pPr>
              <w:spacing w:after="0" w:line="240" w:lineRule="auto"/>
              <w:jc w:val="right"/>
              <w:rPr>
                <w:rFonts w:ascii="Times New Roman" w:eastAsia="Times New Roman" w:hAnsi="Times New Roman" w:cs="Times New Roman"/>
                <w:color w:val="000000"/>
                <w:sz w:val="20"/>
                <w:szCs w:val="20"/>
                <w:lang w:eastAsia="lv-LV"/>
              </w:rPr>
            </w:pPr>
          </w:p>
        </w:tc>
      </w:tr>
      <w:tr w:rsidR="00871ECD" w:rsidRPr="005058F7" w14:paraId="2D9FA3B7" w14:textId="77777777" w:rsidTr="00871ECD">
        <w:trPr>
          <w:trHeight w:val="312"/>
        </w:trPr>
        <w:tc>
          <w:tcPr>
            <w:tcW w:w="467" w:type="pct"/>
            <w:tcBorders>
              <w:top w:val="single" w:sz="4" w:space="0" w:color="auto"/>
              <w:left w:val="single" w:sz="4" w:space="0" w:color="auto"/>
              <w:bottom w:val="single" w:sz="4" w:space="0" w:color="auto"/>
              <w:right w:val="single" w:sz="4" w:space="0" w:color="auto"/>
            </w:tcBorders>
            <w:shd w:val="clear" w:color="auto" w:fill="DDD9C3"/>
            <w:hideMark/>
          </w:tcPr>
          <w:p w14:paraId="2CE98C9C" w14:textId="77777777" w:rsidR="005058F7" w:rsidRPr="005058F7" w:rsidRDefault="005058F7" w:rsidP="005058F7">
            <w:pPr>
              <w:spacing w:after="0" w:line="240" w:lineRule="auto"/>
              <w:rPr>
                <w:rFonts w:ascii="Times New Roman" w:eastAsia="Times New Roman" w:hAnsi="Times New Roman" w:cs="Times New Roman"/>
                <w:iCs/>
                <w:sz w:val="20"/>
                <w:szCs w:val="20"/>
                <w:lang w:eastAsia="lv-LV"/>
              </w:rPr>
            </w:pPr>
            <w:r w:rsidRPr="005058F7">
              <w:rPr>
                <w:rFonts w:ascii="Times New Roman" w:eastAsia="Times New Roman" w:hAnsi="Times New Roman" w:cs="Times New Roman"/>
                <w:iCs/>
                <w:sz w:val="20"/>
                <w:szCs w:val="20"/>
                <w:lang w:eastAsia="lv-LV"/>
              </w:rPr>
              <w:t>tajā skaitā</w:t>
            </w:r>
          </w:p>
        </w:tc>
        <w:tc>
          <w:tcPr>
            <w:tcW w:w="466" w:type="pct"/>
            <w:tcBorders>
              <w:top w:val="single" w:sz="4" w:space="0" w:color="auto"/>
              <w:left w:val="nil"/>
              <w:bottom w:val="single" w:sz="4" w:space="0" w:color="auto"/>
              <w:right w:val="single" w:sz="4" w:space="0" w:color="auto"/>
            </w:tcBorders>
            <w:shd w:val="clear" w:color="auto" w:fill="DDD9C3"/>
            <w:vAlign w:val="center"/>
            <w:hideMark/>
          </w:tcPr>
          <w:p w14:paraId="16C3F89E" w14:textId="77777777" w:rsidR="005058F7" w:rsidRPr="005058F7" w:rsidRDefault="005058F7" w:rsidP="005058F7">
            <w:pPr>
              <w:spacing w:after="0" w:line="240" w:lineRule="auto"/>
              <w:jc w:val="center"/>
              <w:rPr>
                <w:rFonts w:ascii="Times New Roman" w:eastAsia="Times New Roman" w:hAnsi="Times New Roman" w:cs="Times New Roman"/>
                <w:i/>
                <w:iCs/>
                <w:sz w:val="18"/>
                <w:szCs w:val="18"/>
                <w:lang w:eastAsia="lv-LV"/>
              </w:rPr>
            </w:pPr>
            <w:r w:rsidRPr="005058F7">
              <w:rPr>
                <w:rFonts w:ascii="Times New Roman" w:eastAsia="Times New Roman" w:hAnsi="Times New Roman" w:cs="Times New Roman"/>
                <w:i/>
                <w:iCs/>
                <w:sz w:val="18"/>
                <w:szCs w:val="18"/>
                <w:lang w:eastAsia="lv-LV"/>
              </w:rPr>
              <w:t> </w:t>
            </w:r>
          </w:p>
        </w:tc>
        <w:tc>
          <w:tcPr>
            <w:tcW w:w="568" w:type="pct"/>
            <w:tcBorders>
              <w:top w:val="single" w:sz="4" w:space="0" w:color="auto"/>
              <w:left w:val="nil"/>
              <w:bottom w:val="single" w:sz="4" w:space="0" w:color="auto"/>
              <w:right w:val="single" w:sz="4" w:space="0" w:color="auto"/>
            </w:tcBorders>
            <w:shd w:val="clear" w:color="auto" w:fill="DDD9C3"/>
            <w:vAlign w:val="center"/>
            <w:hideMark/>
          </w:tcPr>
          <w:p w14:paraId="772584DC" w14:textId="77777777" w:rsidR="005058F7" w:rsidRPr="005058F7" w:rsidRDefault="005058F7" w:rsidP="005058F7">
            <w:pPr>
              <w:spacing w:after="0" w:line="240" w:lineRule="auto"/>
              <w:jc w:val="center"/>
              <w:rPr>
                <w:rFonts w:ascii="Times New Roman" w:eastAsia="Times New Roman" w:hAnsi="Times New Roman" w:cs="Times New Roman"/>
                <w:i/>
                <w:iCs/>
                <w:sz w:val="18"/>
                <w:szCs w:val="18"/>
                <w:lang w:eastAsia="lv-LV"/>
              </w:rPr>
            </w:pPr>
            <w:r w:rsidRPr="005058F7">
              <w:rPr>
                <w:rFonts w:ascii="Times New Roman" w:eastAsia="Times New Roman" w:hAnsi="Times New Roman" w:cs="Times New Roman"/>
                <w:i/>
                <w:iCs/>
                <w:sz w:val="18"/>
                <w:szCs w:val="18"/>
                <w:lang w:eastAsia="lv-LV"/>
              </w:rPr>
              <w:t> </w:t>
            </w:r>
          </w:p>
        </w:tc>
        <w:tc>
          <w:tcPr>
            <w:tcW w:w="333" w:type="pct"/>
            <w:tcBorders>
              <w:top w:val="single" w:sz="4" w:space="0" w:color="auto"/>
              <w:left w:val="nil"/>
              <w:bottom w:val="single" w:sz="4" w:space="0" w:color="auto"/>
              <w:right w:val="single" w:sz="4" w:space="0" w:color="auto"/>
            </w:tcBorders>
            <w:shd w:val="clear" w:color="auto" w:fill="DDD9C3"/>
            <w:hideMark/>
          </w:tcPr>
          <w:p w14:paraId="7566E65A"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333" w:type="pct"/>
            <w:tcBorders>
              <w:top w:val="single" w:sz="4" w:space="0" w:color="auto"/>
              <w:left w:val="nil"/>
              <w:bottom w:val="single" w:sz="4" w:space="0" w:color="auto"/>
              <w:right w:val="single" w:sz="4" w:space="0" w:color="auto"/>
            </w:tcBorders>
            <w:shd w:val="clear" w:color="auto" w:fill="DDD9C3"/>
            <w:hideMark/>
          </w:tcPr>
          <w:p w14:paraId="07A00369"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333" w:type="pct"/>
            <w:tcBorders>
              <w:top w:val="single" w:sz="4" w:space="0" w:color="auto"/>
              <w:left w:val="nil"/>
              <w:bottom w:val="single" w:sz="4" w:space="0" w:color="auto"/>
              <w:right w:val="single" w:sz="4" w:space="0" w:color="auto"/>
            </w:tcBorders>
            <w:shd w:val="clear" w:color="auto" w:fill="DDD9C3"/>
            <w:hideMark/>
          </w:tcPr>
          <w:p w14:paraId="20AF783C"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367" w:type="pct"/>
            <w:gridSpan w:val="2"/>
            <w:tcBorders>
              <w:top w:val="single" w:sz="4" w:space="0" w:color="auto"/>
              <w:left w:val="nil"/>
              <w:bottom w:val="single" w:sz="4" w:space="0" w:color="auto"/>
              <w:right w:val="single" w:sz="4" w:space="0" w:color="auto"/>
            </w:tcBorders>
            <w:shd w:val="clear" w:color="auto" w:fill="DDD9C3"/>
            <w:hideMark/>
          </w:tcPr>
          <w:p w14:paraId="06A46C45"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400" w:type="pct"/>
            <w:gridSpan w:val="3"/>
            <w:tcBorders>
              <w:top w:val="single" w:sz="4" w:space="0" w:color="auto"/>
              <w:left w:val="nil"/>
              <w:bottom w:val="single" w:sz="4" w:space="0" w:color="auto"/>
              <w:right w:val="single" w:sz="4" w:space="0" w:color="auto"/>
            </w:tcBorders>
            <w:shd w:val="clear" w:color="auto" w:fill="DDD9C3"/>
            <w:hideMark/>
          </w:tcPr>
          <w:p w14:paraId="6CDA37B4"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400" w:type="pct"/>
            <w:gridSpan w:val="2"/>
            <w:tcBorders>
              <w:top w:val="single" w:sz="4" w:space="0" w:color="auto"/>
              <w:left w:val="nil"/>
              <w:bottom w:val="single" w:sz="4" w:space="0" w:color="auto"/>
              <w:right w:val="single" w:sz="4" w:space="0" w:color="auto"/>
            </w:tcBorders>
            <w:shd w:val="clear" w:color="auto" w:fill="DDD9C3"/>
            <w:hideMark/>
          </w:tcPr>
          <w:p w14:paraId="0A97EDC7"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467" w:type="pct"/>
            <w:gridSpan w:val="2"/>
            <w:tcBorders>
              <w:top w:val="single" w:sz="4" w:space="0" w:color="auto"/>
              <w:left w:val="nil"/>
              <w:bottom w:val="single" w:sz="4" w:space="0" w:color="auto"/>
              <w:right w:val="single" w:sz="4" w:space="0" w:color="auto"/>
            </w:tcBorders>
            <w:shd w:val="clear" w:color="auto" w:fill="DDD9C3"/>
            <w:hideMark/>
          </w:tcPr>
          <w:p w14:paraId="0189A8AA"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400" w:type="pct"/>
            <w:gridSpan w:val="2"/>
            <w:tcBorders>
              <w:top w:val="single" w:sz="4" w:space="0" w:color="auto"/>
              <w:left w:val="nil"/>
              <w:bottom w:val="single" w:sz="4" w:space="0" w:color="auto"/>
              <w:right w:val="single" w:sz="4" w:space="0" w:color="auto"/>
            </w:tcBorders>
            <w:shd w:val="clear" w:color="auto" w:fill="DDD9C3"/>
            <w:hideMark/>
          </w:tcPr>
          <w:p w14:paraId="19182C2C"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c>
          <w:tcPr>
            <w:tcW w:w="466" w:type="pct"/>
            <w:tcBorders>
              <w:top w:val="single" w:sz="4" w:space="0" w:color="auto"/>
              <w:left w:val="nil"/>
              <w:bottom w:val="single" w:sz="4" w:space="0" w:color="auto"/>
              <w:right w:val="single" w:sz="4" w:space="0" w:color="auto"/>
            </w:tcBorders>
            <w:shd w:val="clear" w:color="auto" w:fill="DDD9C3"/>
            <w:hideMark/>
          </w:tcPr>
          <w:p w14:paraId="4F63401E"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iCs/>
                <w:sz w:val="18"/>
                <w:szCs w:val="18"/>
                <w:lang w:eastAsia="lv-LV"/>
              </w:rPr>
              <w:t> </w:t>
            </w:r>
          </w:p>
        </w:tc>
      </w:tr>
      <w:tr w:rsidR="00871ECD" w:rsidRPr="005058F7" w14:paraId="1486EF52" w14:textId="77777777" w:rsidTr="00871ECD">
        <w:trPr>
          <w:trHeight w:val="312"/>
        </w:trPr>
        <w:tc>
          <w:tcPr>
            <w:tcW w:w="467" w:type="pct"/>
            <w:tcBorders>
              <w:top w:val="nil"/>
              <w:left w:val="single" w:sz="4" w:space="0" w:color="auto"/>
              <w:bottom w:val="single" w:sz="4" w:space="0" w:color="auto"/>
              <w:right w:val="single" w:sz="4" w:space="0" w:color="auto"/>
            </w:tcBorders>
            <w:shd w:val="clear" w:color="auto" w:fill="DDD9C3"/>
            <w:hideMark/>
          </w:tcPr>
          <w:p w14:paraId="60587959" w14:textId="77777777" w:rsidR="005058F7" w:rsidRPr="005058F7" w:rsidRDefault="005058F7" w:rsidP="005058F7">
            <w:pPr>
              <w:spacing w:after="0" w:line="240" w:lineRule="auto"/>
              <w:rPr>
                <w:rFonts w:ascii="Times New Roman" w:eastAsia="Times New Roman" w:hAnsi="Times New Roman" w:cs="Times New Roman"/>
                <w:iCs/>
                <w:sz w:val="20"/>
                <w:szCs w:val="20"/>
                <w:lang w:eastAsia="lv-LV"/>
              </w:rPr>
            </w:pPr>
            <w:r w:rsidRPr="005058F7">
              <w:rPr>
                <w:rFonts w:ascii="Times New Roman" w:eastAsia="Times New Roman" w:hAnsi="Times New Roman" w:cs="Times New Roman"/>
                <w:iCs/>
                <w:sz w:val="20"/>
                <w:szCs w:val="20"/>
                <w:lang w:eastAsia="lv-LV"/>
              </w:rPr>
              <w:t>11. Ārlietu ministrija</w:t>
            </w:r>
          </w:p>
        </w:tc>
        <w:tc>
          <w:tcPr>
            <w:tcW w:w="466" w:type="pct"/>
            <w:tcBorders>
              <w:top w:val="nil"/>
              <w:left w:val="nil"/>
              <w:bottom w:val="single" w:sz="4" w:space="0" w:color="auto"/>
              <w:right w:val="single" w:sz="4" w:space="0" w:color="auto"/>
            </w:tcBorders>
            <w:shd w:val="clear" w:color="auto" w:fill="DDD9C3"/>
            <w:vAlign w:val="center"/>
            <w:hideMark/>
          </w:tcPr>
          <w:p w14:paraId="3D342B51" w14:textId="77777777" w:rsidR="005058F7" w:rsidRPr="005058F7" w:rsidRDefault="005058F7" w:rsidP="005058F7">
            <w:pPr>
              <w:spacing w:after="0" w:line="240" w:lineRule="auto"/>
              <w:jc w:val="center"/>
              <w:rPr>
                <w:rFonts w:ascii="Times New Roman" w:eastAsia="Times New Roman" w:hAnsi="Times New Roman" w:cs="Times New Roman"/>
                <w:i/>
                <w:iCs/>
                <w:sz w:val="18"/>
                <w:szCs w:val="18"/>
                <w:lang w:eastAsia="lv-LV"/>
              </w:rPr>
            </w:pPr>
            <w:r w:rsidRPr="005058F7">
              <w:rPr>
                <w:rFonts w:ascii="Times New Roman" w:eastAsia="Times New Roman" w:hAnsi="Times New Roman" w:cs="Times New Roman"/>
                <w:i/>
                <w:iCs/>
                <w:sz w:val="18"/>
                <w:szCs w:val="18"/>
                <w:lang w:eastAsia="lv-LV"/>
              </w:rPr>
              <w:t> </w:t>
            </w:r>
          </w:p>
        </w:tc>
        <w:tc>
          <w:tcPr>
            <w:tcW w:w="568" w:type="pct"/>
            <w:tcBorders>
              <w:top w:val="nil"/>
              <w:left w:val="nil"/>
              <w:bottom w:val="single" w:sz="4" w:space="0" w:color="auto"/>
              <w:right w:val="single" w:sz="4" w:space="0" w:color="auto"/>
            </w:tcBorders>
            <w:shd w:val="clear" w:color="auto" w:fill="DDD9C3"/>
            <w:vAlign w:val="center"/>
            <w:hideMark/>
          </w:tcPr>
          <w:p w14:paraId="156E900E" w14:textId="77777777" w:rsidR="005058F7" w:rsidRPr="005058F7" w:rsidRDefault="005058F7" w:rsidP="005058F7">
            <w:pPr>
              <w:spacing w:after="0" w:line="240" w:lineRule="auto"/>
              <w:jc w:val="center"/>
              <w:rPr>
                <w:rFonts w:ascii="Times New Roman" w:eastAsia="Times New Roman" w:hAnsi="Times New Roman" w:cs="Times New Roman"/>
                <w:i/>
                <w:iCs/>
                <w:sz w:val="18"/>
                <w:szCs w:val="18"/>
                <w:lang w:eastAsia="lv-LV"/>
              </w:rPr>
            </w:pPr>
            <w:r w:rsidRPr="005058F7">
              <w:rPr>
                <w:rFonts w:ascii="Times New Roman" w:eastAsia="Times New Roman" w:hAnsi="Times New Roman" w:cs="Times New Roman"/>
                <w:i/>
                <w:iCs/>
                <w:sz w:val="18"/>
                <w:szCs w:val="18"/>
                <w:lang w:eastAsia="lv-LV"/>
              </w:rPr>
              <w:t> </w:t>
            </w:r>
          </w:p>
        </w:tc>
        <w:tc>
          <w:tcPr>
            <w:tcW w:w="333" w:type="pct"/>
            <w:tcBorders>
              <w:top w:val="nil"/>
              <w:left w:val="nil"/>
              <w:bottom w:val="single" w:sz="4" w:space="0" w:color="auto"/>
              <w:right w:val="single" w:sz="4" w:space="0" w:color="auto"/>
            </w:tcBorders>
            <w:shd w:val="clear" w:color="auto" w:fill="DDD9C3"/>
            <w:hideMark/>
          </w:tcPr>
          <w:p w14:paraId="4D992374"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463 813</w:t>
            </w:r>
          </w:p>
        </w:tc>
        <w:tc>
          <w:tcPr>
            <w:tcW w:w="333" w:type="pct"/>
            <w:tcBorders>
              <w:top w:val="nil"/>
              <w:left w:val="nil"/>
              <w:bottom w:val="single" w:sz="4" w:space="0" w:color="auto"/>
              <w:right w:val="single" w:sz="4" w:space="0" w:color="auto"/>
            </w:tcBorders>
            <w:shd w:val="clear" w:color="auto" w:fill="DDD9C3"/>
            <w:hideMark/>
          </w:tcPr>
          <w:p w14:paraId="06F20617"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463 813</w:t>
            </w:r>
          </w:p>
        </w:tc>
        <w:tc>
          <w:tcPr>
            <w:tcW w:w="333" w:type="pct"/>
            <w:tcBorders>
              <w:top w:val="nil"/>
              <w:left w:val="nil"/>
              <w:bottom w:val="single" w:sz="4" w:space="0" w:color="auto"/>
              <w:right w:val="single" w:sz="4" w:space="0" w:color="auto"/>
            </w:tcBorders>
            <w:shd w:val="clear" w:color="auto" w:fill="DDD9C3"/>
            <w:hideMark/>
          </w:tcPr>
          <w:p w14:paraId="0DE057E1"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463 813</w:t>
            </w:r>
          </w:p>
        </w:tc>
        <w:tc>
          <w:tcPr>
            <w:tcW w:w="367" w:type="pct"/>
            <w:gridSpan w:val="2"/>
            <w:tcBorders>
              <w:top w:val="nil"/>
              <w:left w:val="nil"/>
              <w:bottom w:val="single" w:sz="4" w:space="0" w:color="auto"/>
              <w:right w:val="single" w:sz="4" w:space="0" w:color="auto"/>
            </w:tcBorders>
            <w:shd w:val="clear" w:color="auto" w:fill="DDD9C3"/>
            <w:hideMark/>
          </w:tcPr>
          <w:p w14:paraId="72981D10"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 xml:space="preserve"> 679 901</w:t>
            </w:r>
          </w:p>
        </w:tc>
        <w:tc>
          <w:tcPr>
            <w:tcW w:w="400" w:type="pct"/>
            <w:gridSpan w:val="3"/>
            <w:tcBorders>
              <w:top w:val="nil"/>
              <w:left w:val="nil"/>
              <w:bottom w:val="single" w:sz="4" w:space="0" w:color="auto"/>
              <w:right w:val="single" w:sz="4" w:space="0" w:color="auto"/>
            </w:tcBorders>
            <w:shd w:val="clear" w:color="auto" w:fill="DDD9C3"/>
            <w:hideMark/>
          </w:tcPr>
          <w:p w14:paraId="509FF635"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 xml:space="preserve"> 1 433 251</w:t>
            </w:r>
          </w:p>
        </w:tc>
        <w:tc>
          <w:tcPr>
            <w:tcW w:w="400" w:type="pct"/>
            <w:gridSpan w:val="2"/>
            <w:tcBorders>
              <w:top w:val="nil"/>
              <w:left w:val="nil"/>
              <w:bottom w:val="single" w:sz="4" w:space="0" w:color="auto"/>
              <w:right w:val="single" w:sz="4" w:space="0" w:color="auto"/>
            </w:tcBorders>
            <w:shd w:val="clear" w:color="auto" w:fill="DDD9C3"/>
            <w:hideMark/>
          </w:tcPr>
          <w:p w14:paraId="23B531C9" w14:textId="77777777" w:rsidR="005058F7" w:rsidRPr="005058F7" w:rsidRDefault="005058F7" w:rsidP="005058F7">
            <w:pPr>
              <w:spacing w:after="200" w:line="276" w:lineRule="auto"/>
              <w:jc w:val="right"/>
              <w:rPr>
                <w:rFonts w:ascii="Times New Roman" w:eastAsia="Calibri" w:hAnsi="Times New Roman" w:cs="Times New Roman"/>
                <w:sz w:val="20"/>
              </w:rPr>
            </w:pPr>
            <w:r w:rsidRPr="005058F7">
              <w:rPr>
                <w:rFonts w:ascii="Times New Roman" w:eastAsia="Calibri" w:hAnsi="Times New Roman" w:cs="Times New Roman"/>
                <w:sz w:val="20"/>
              </w:rPr>
              <w:t xml:space="preserve">2 411 162 </w:t>
            </w:r>
          </w:p>
        </w:tc>
        <w:tc>
          <w:tcPr>
            <w:tcW w:w="467" w:type="pct"/>
            <w:gridSpan w:val="2"/>
            <w:tcBorders>
              <w:top w:val="nil"/>
              <w:left w:val="nil"/>
              <w:bottom w:val="single" w:sz="4" w:space="0" w:color="auto"/>
              <w:right w:val="single" w:sz="4" w:space="0" w:color="auto"/>
            </w:tcBorders>
            <w:shd w:val="clear" w:color="auto" w:fill="DDD9C3"/>
            <w:hideMark/>
          </w:tcPr>
          <w:p w14:paraId="7943C063" w14:textId="77777777" w:rsidR="005058F7" w:rsidRPr="005058F7" w:rsidRDefault="005058F7">
            <w:pPr>
              <w:spacing w:after="0" w:line="240" w:lineRule="auto"/>
              <w:jc w:val="right"/>
              <w:rPr>
                <w:rFonts w:ascii="Times New Roman" w:eastAsia="Times New Roman" w:hAnsi="Times New Roman" w:cs="Times New Roman"/>
                <w:iCs/>
                <w:sz w:val="18"/>
                <w:szCs w:val="18"/>
                <w:lang w:eastAsia="lv-LV"/>
              </w:rPr>
            </w:pPr>
            <w:r w:rsidRPr="005058F7">
              <w:rPr>
                <w:rFonts w:ascii="Times New Roman" w:eastAsia="Times New Roman" w:hAnsi="Times New Roman" w:cs="Times New Roman"/>
                <w:b/>
                <w:sz w:val="20"/>
                <w:szCs w:val="20"/>
                <w:lang w:eastAsia="lv-LV"/>
              </w:rPr>
              <w:t> </w:t>
            </w:r>
          </w:p>
        </w:tc>
        <w:tc>
          <w:tcPr>
            <w:tcW w:w="400" w:type="pct"/>
            <w:gridSpan w:val="2"/>
            <w:tcBorders>
              <w:top w:val="nil"/>
              <w:left w:val="nil"/>
              <w:bottom w:val="single" w:sz="4" w:space="0" w:color="auto"/>
              <w:right w:val="single" w:sz="4" w:space="0" w:color="auto"/>
            </w:tcBorders>
            <w:shd w:val="clear" w:color="auto" w:fill="DDD9C3"/>
            <w:hideMark/>
          </w:tcPr>
          <w:p w14:paraId="37388409"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3 642 299</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0E2E20AB"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1AA7F9F8"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5 157 432</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392D5B43"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p>
          <w:p w14:paraId="1C12EDB6" w14:textId="77777777" w:rsidR="005058F7" w:rsidRPr="005058F7" w:rsidRDefault="000516AD" w:rsidP="005058F7">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005058F7" w:rsidRPr="005058F7">
              <w:rPr>
                <w:rFonts w:ascii="Times New Roman" w:eastAsia="Times New Roman" w:hAnsi="Times New Roman" w:cs="Times New Roman"/>
                <w:color w:val="000000"/>
                <w:sz w:val="20"/>
                <w:szCs w:val="20"/>
                <w:lang w:eastAsia="lv-LV"/>
              </w:rPr>
              <w:t xml:space="preserve">ismaz </w:t>
            </w:r>
          </w:p>
          <w:p w14:paraId="1D3626D3" w14:textId="77777777" w:rsidR="005058F7" w:rsidRDefault="005058F7" w:rsidP="005058F7">
            <w:pPr>
              <w:spacing w:after="0" w:line="240" w:lineRule="auto"/>
              <w:jc w:val="right"/>
              <w:rPr>
                <w:rFonts w:ascii="Times New Roman" w:eastAsia="Times New Roman" w:hAnsi="Times New Roman" w:cs="Times New Roman"/>
                <w:b/>
                <w:sz w:val="20"/>
                <w:szCs w:val="20"/>
                <w:lang w:eastAsia="lv-LV"/>
              </w:rPr>
            </w:pPr>
            <w:r w:rsidRPr="005058F7">
              <w:rPr>
                <w:rFonts w:ascii="Times New Roman" w:eastAsia="Times New Roman" w:hAnsi="Times New Roman" w:cs="Times New Roman"/>
                <w:b/>
                <w:sz w:val="20"/>
                <w:szCs w:val="20"/>
                <w:lang w:eastAsia="lv-LV"/>
              </w:rPr>
              <w:t xml:space="preserve">5 157 432 </w:t>
            </w:r>
            <w:proofErr w:type="spellStart"/>
            <w:r w:rsidRPr="005058F7">
              <w:rPr>
                <w:rFonts w:ascii="Times New Roman" w:eastAsia="Times New Roman" w:hAnsi="Times New Roman" w:cs="Times New Roman"/>
                <w:b/>
                <w:sz w:val="20"/>
                <w:szCs w:val="20"/>
                <w:lang w:eastAsia="lv-LV"/>
              </w:rPr>
              <w:t>euro</w:t>
            </w:r>
            <w:proofErr w:type="spellEnd"/>
          </w:p>
          <w:p w14:paraId="417C3FF9" w14:textId="77777777" w:rsidR="000516AD" w:rsidRPr="0076196B" w:rsidRDefault="000516AD" w:rsidP="000516AD">
            <w:pPr>
              <w:spacing w:after="0" w:line="240" w:lineRule="auto"/>
              <w:jc w:val="right"/>
              <w:rPr>
                <w:rFonts w:ascii="Times New Roman" w:eastAsia="Times New Roman" w:hAnsi="Times New Roman" w:cs="Times New Roman"/>
                <w:iCs/>
                <w:sz w:val="18"/>
                <w:szCs w:val="18"/>
                <w:lang w:eastAsia="lv-LV"/>
              </w:rPr>
            </w:pPr>
            <w:r w:rsidRPr="00286775">
              <w:rPr>
                <w:rFonts w:ascii="Times New Roman" w:eastAsia="Times New Roman" w:hAnsi="Times New Roman" w:cs="Times New Roman"/>
                <w:sz w:val="20"/>
                <w:szCs w:val="20"/>
                <w:lang w:eastAsia="lv-LV"/>
              </w:rPr>
              <w:t>katru gadu pēc 2025.gada</w:t>
            </w:r>
          </w:p>
        </w:tc>
        <w:tc>
          <w:tcPr>
            <w:tcW w:w="466" w:type="pct"/>
            <w:tcBorders>
              <w:top w:val="nil"/>
              <w:left w:val="nil"/>
              <w:bottom w:val="single" w:sz="4" w:space="0" w:color="auto"/>
              <w:right w:val="single" w:sz="4" w:space="0" w:color="auto"/>
            </w:tcBorders>
            <w:shd w:val="clear" w:color="auto" w:fill="DDD9C3"/>
            <w:hideMark/>
          </w:tcPr>
          <w:p w14:paraId="56AF0CB2" w14:textId="77777777" w:rsidR="005058F7" w:rsidRPr="005058F7" w:rsidRDefault="005058F7" w:rsidP="005058F7">
            <w:pPr>
              <w:spacing w:after="0" w:line="240" w:lineRule="auto"/>
              <w:jc w:val="right"/>
              <w:rPr>
                <w:rFonts w:ascii="Times New Roman" w:eastAsia="Times New Roman" w:hAnsi="Times New Roman" w:cs="Times New Roman"/>
                <w:iCs/>
                <w:sz w:val="18"/>
                <w:szCs w:val="18"/>
                <w:lang w:eastAsia="lv-LV"/>
              </w:rPr>
            </w:pPr>
          </w:p>
        </w:tc>
      </w:tr>
      <w:tr w:rsidR="00871ECD" w:rsidRPr="005058F7" w14:paraId="7A731835" w14:textId="77777777" w:rsidTr="00871ECD">
        <w:trPr>
          <w:trHeight w:val="2348"/>
        </w:trPr>
        <w:tc>
          <w:tcPr>
            <w:tcW w:w="467" w:type="pct"/>
            <w:tcBorders>
              <w:top w:val="single" w:sz="4" w:space="0" w:color="auto"/>
              <w:left w:val="single" w:sz="4" w:space="0" w:color="auto"/>
              <w:bottom w:val="single" w:sz="4" w:space="0" w:color="auto"/>
              <w:right w:val="nil"/>
            </w:tcBorders>
            <w:shd w:val="clear" w:color="auto" w:fill="EEECE1"/>
            <w:noWrap/>
            <w:hideMark/>
          </w:tcPr>
          <w:p w14:paraId="1797CA6C" w14:textId="77777777" w:rsidR="005058F7" w:rsidRPr="005058F7" w:rsidRDefault="005058F7" w:rsidP="005058F7">
            <w:pPr>
              <w:spacing w:after="0" w:line="240" w:lineRule="auto"/>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Risinājums: Finansējuma palielināšana ĀM budžeta programmai “Attīstības sadarbības projekti un starptautiskā palīdzība”</w:t>
            </w:r>
          </w:p>
        </w:tc>
        <w:tc>
          <w:tcPr>
            <w:tcW w:w="466" w:type="pct"/>
            <w:tcBorders>
              <w:top w:val="single" w:sz="4" w:space="0" w:color="auto"/>
              <w:left w:val="single" w:sz="4" w:space="0" w:color="auto"/>
              <w:bottom w:val="single" w:sz="4" w:space="0" w:color="auto"/>
              <w:right w:val="single" w:sz="4" w:space="0" w:color="auto"/>
            </w:tcBorders>
            <w:shd w:val="clear" w:color="auto" w:fill="EEECE1"/>
            <w:hideMark/>
          </w:tcPr>
          <w:p w14:paraId="353D5C77" w14:textId="77777777" w:rsidR="005058F7" w:rsidRPr="005058F7" w:rsidRDefault="005058F7" w:rsidP="005058F7">
            <w:pPr>
              <w:spacing w:after="0" w:line="240" w:lineRule="auto"/>
              <w:jc w:val="both"/>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568" w:type="pct"/>
            <w:tcBorders>
              <w:top w:val="single" w:sz="4" w:space="0" w:color="auto"/>
              <w:left w:val="nil"/>
              <w:bottom w:val="single" w:sz="4" w:space="0" w:color="auto"/>
              <w:right w:val="nil"/>
            </w:tcBorders>
            <w:shd w:val="clear" w:color="auto" w:fill="EEECE1"/>
            <w:hideMark/>
          </w:tcPr>
          <w:p w14:paraId="0E1102CC" w14:textId="77777777" w:rsidR="005058F7" w:rsidRPr="005058F7" w:rsidRDefault="005058F7" w:rsidP="005058F7">
            <w:pPr>
              <w:spacing w:after="0" w:line="240" w:lineRule="auto"/>
              <w:jc w:val="both"/>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333" w:type="pct"/>
            <w:tcBorders>
              <w:top w:val="single" w:sz="4" w:space="0" w:color="auto"/>
              <w:left w:val="single" w:sz="4" w:space="0" w:color="auto"/>
              <w:bottom w:val="single" w:sz="4" w:space="0" w:color="auto"/>
              <w:right w:val="single" w:sz="4" w:space="0" w:color="auto"/>
            </w:tcBorders>
            <w:shd w:val="clear" w:color="auto" w:fill="EEECE1"/>
            <w:noWrap/>
            <w:hideMark/>
          </w:tcPr>
          <w:p w14:paraId="3DA4FD1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333" w:type="pct"/>
            <w:tcBorders>
              <w:top w:val="single" w:sz="4" w:space="0" w:color="auto"/>
              <w:left w:val="nil"/>
              <w:bottom w:val="single" w:sz="4" w:space="0" w:color="auto"/>
              <w:right w:val="single" w:sz="4" w:space="0" w:color="auto"/>
            </w:tcBorders>
            <w:shd w:val="clear" w:color="auto" w:fill="EEECE1"/>
            <w:noWrap/>
            <w:hideMark/>
          </w:tcPr>
          <w:p w14:paraId="7D8F136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333" w:type="pct"/>
            <w:tcBorders>
              <w:top w:val="single" w:sz="4" w:space="0" w:color="auto"/>
              <w:left w:val="nil"/>
              <w:bottom w:val="single" w:sz="4" w:space="0" w:color="auto"/>
              <w:right w:val="single" w:sz="4" w:space="0" w:color="auto"/>
            </w:tcBorders>
            <w:shd w:val="clear" w:color="auto" w:fill="EEECE1"/>
            <w:noWrap/>
            <w:hideMark/>
          </w:tcPr>
          <w:p w14:paraId="74E95141"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367" w:type="pct"/>
            <w:gridSpan w:val="2"/>
            <w:tcBorders>
              <w:top w:val="single" w:sz="4" w:space="0" w:color="auto"/>
              <w:left w:val="nil"/>
              <w:bottom w:val="single" w:sz="4" w:space="0" w:color="auto"/>
              <w:right w:val="single" w:sz="4" w:space="0" w:color="auto"/>
            </w:tcBorders>
            <w:shd w:val="clear" w:color="auto" w:fill="EEECE1"/>
            <w:noWrap/>
            <w:hideMark/>
          </w:tcPr>
          <w:p w14:paraId="35DF12D7"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3"/>
            <w:tcBorders>
              <w:top w:val="single" w:sz="4" w:space="0" w:color="auto"/>
              <w:left w:val="nil"/>
              <w:bottom w:val="single" w:sz="4" w:space="0" w:color="auto"/>
              <w:right w:val="single" w:sz="4" w:space="0" w:color="auto"/>
            </w:tcBorders>
            <w:shd w:val="clear" w:color="auto" w:fill="EEECE1"/>
            <w:noWrap/>
            <w:hideMark/>
          </w:tcPr>
          <w:p w14:paraId="49E28F0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single" w:sz="4" w:space="0" w:color="auto"/>
              <w:left w:val="nil"/>
              <w:bottom w:val="single" w:sz="4" w:space="0" w:color="auto"/>
              <w:right w:val="single" w:sz="4" w:space="0" w:color="auto"/>
            </w:tcBorders>
            <w:shd w:val="clear" w:color="auto" w:fill="EEECE1"/>
            <w:noWrap/>
            <w:hideMark/>
          </w:tcPr>
          <w:p w14:paraId="1396FAD5"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67" w:type="pct"/>
            <w:gridSpan w:val="2"/>
            <w:tcBorders>
              <w:top w:val="single" w:sz="4" w:space="0" w:color="auto"/>
              <w:left w:val="nil"/>
              <w:bottom w:val="single" w:sz="4" w:space="0" w:color="auto"/>
              <w:right w:val="single" w:sz="4" w:space="0" w:color="auto"/>
            </w:tcBorders>
            <w:shd w:val="clear" w:color="auto" w:fill="EEECE1"/>
            <w:noWrap/>
            <w:hideMark/>
          </w:tcPr>
          <w:p w14:paraId="222182B1"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single" w:sz="4" w:space="0" w:color="auto"/>
              <w:left w:val="nil"/>
              <w:bottom w:val="single" w:sz="4" w:space="0" w:color="auto"/>
              <w:right w:val="single" w:sz="4" w:space="0" w:color="auto"/>
            </w:tcBorders>
            <w:shd w:val="clear" w:color="auto" w:fill="EEECE1"/>
            <w:noWrap/>
            <w:hideMark/>
          </w:tcPr>
          <w:p w14:paraId="7A9F747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66" w:type="pct"/>
            <w:tcBorders>
              <w:top w:val="single" w:sz="4" w:space="0" w:color="auto"/>
              <w:left w:val="nil"/>
              <w:bottom w:val="single" w:sz="4" w:space="0" w:color="auto"/>
              <w:right w:val="single" w:sz="4" w:space="0" w:color="auto"/>
            </w:tcBorders>
            <w:shd w:val="clear" w:color="auto" w:fill="EEECE1"/>
            <w:noWrap/>
            <w:hideMark/>
          </w:tcPr>
          <w:p w14:paraId="524349C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r>
      <w:tr w:rsidR="00871ECD" w:rsidRPr="005058F7" w14:paraId="263D977E" w14:textId="77777777" w:rsidTr="00871ECD">
        <w:trPr>
          <w:trHeight w:val="312"/>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2C74A82F" w14:textId="77777777" w:rsidR="005058F7" w:rsidRPr="005058F7" w:rsidRDefault="005058F7" w:rsidP="005058F7">
            <w:pPr>
              <w:spacing w:after="0" w:line="240" w:lineRule="auto"/>
              <w:jc w:val="both"/>
              <w:rPr>
                <w:rFonts w:ascii="Times New Roman" w:eastAsia="Times New Roman" w:hAnsi="Times New Roman" w:cs="Times New Roman"/>
                <w:i/>
                <w:iCs/>
                <w:sz w:val="20"/>
                <w:szCs w:val="20"/>
                <w:lang w:eastAsia="lv-LV"/>
              </w:rPr>
            </w:pPr>
            <w:r w:rsidRPr="005058F7">
              <w:rPr>
                <w:rFonts w:ascii="Times New Roman" w:eastAsia="Times New Roman" w:hAnsi="Times New Roman" w:cs="Times New Roman"/>
                <w:i/>
                <w:iCs/>
                <w:sz w:val="20"/>
                <w:szCs w:val="20"/>
                <w:lang w:eastAsia="lv-LV"/>
              </w:rPr>
              <w:lastRenderedPageBreak/>
              <w:t> </w:t>
            </w:r>
          </w:p>
        </w:tc>
        <w:tc>
          <w:tcPr>
            <w:tcW w:w="466" w:type="pct"/>
            <w:tcBorders>
              <w:top w:val="single" w:sz="4" w:space="0" w:color="auto"/>
              <w:left w:val="nil"/>
              <w:bottom w:val="single" w:sz="4" w:space="0" w:color="auto"/>
              <w:right w:val="single" w:sz="4" w:space="0" w:color="auto"/>
            </w:tcBorders>
            <w:shd w:val="clear" w:color="auto" w:fill="auto"/>
            <w:hideMark/>
          </w:tcPr>
          <w:p w14:paraId="1264E187" w14:textId="77777777" w:rsidR="005058F7" w:rsidRPr="005058F7" w:rsidRDefault="008D70ED" w:rsidP="005058F7">
            <w:pPr>
              <w:spacing w:after="0" w:line="240" w:lineRule="auto"/>
              <w:jc w:val="both"/>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Modelis 1</w:t>
            </w:r>
            <w:r w:rsidR="005058F7" w:rsidRPr="005058F7">
              <w:rPr>
                <w:rFonts w:ascii="Times New Roman" w:eastAsia="Times New Roman" w:hAnsi="Times New Roman" w:cs="Times New Roman"/>
                <w:b/>
                <w:iCs/>
                <w:sz w:val="20"/>
                <w:szCs w:val="20"/>
                <w:vertAlign w:val="superscript"/>
                <w:lang w:eastAsia="lv-LV"/>
              </w:rPr>
              <w:footnoteReference w:id="37"/>
            </w:r>
          </w:p>
        </w:tc>
        <w:tc>
          <w:tcPr>
            <w:tcW w:w="568" w:type="pct"/>
            <w:tcBorders>
              <w:top w:val="single" w:sz="4" w:space="0" w:color="auto"/>
              <w:left w:val="nil"/>
              <w:bottom w:val="single" w:sz="4" w:space="0" w:color="auto"/>
              <w:right w:val="nil"/>
            </w:tcBorders>
            <w:shd w:val="clear" w:color="auto" w:fill="auto"/>
            <w:hideMark/>
          </w:tcPr>
          <w:p w14:paraId="432CB256" w14:textId="77777777" w:rsidR="005058F7" w:rsidRPr="005058F7" w:rsidRDefault="005058F7" w:rsidP="005058F7">
            <w:pPr>
              <w:spacing w:after="0" w:line="240" w:lineRule="auto"/>
              <w:jc w:val="both"/>
              <w:rPr>
                <w:rFonts w:ascii="Times New Roman" w:eastAsia="Times New Roman" w:hAnsi="Times New Roman" w:cs="Times New Roman"/>
                <w:i/>
                <w:iCs/>
                <w:sz w:val="20"/>
                <w:szCs w:val="20"/>
                <w:lang w:eastAsia="lv-LV"/>
              </w:rPr>
            </w:pPr>
            <w:r w:rsidRPr="005058F7">
              <w:rPr>
                <w:rFonts w:ascii="Times New Roman" w:eastAsia="Times New Roman" w:hAnsi="Times New Roman" w:cs="Times New Roman"/>
                <w:i/>
                <w:iCs/>
                <w:sz w:val="20"/>
                <w:szCs w:val="20"/>
                <w:lang w:eastAsia="lv-LV"/>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4C27339"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52CB0D59"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52CBFFA6"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771B67DB"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716C339E"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1 287 323</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5F05265D"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1 529 503</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14:paraId="639DA24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3166D46F"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b/>
                <w:color w:val="000000"/>
                <w:sz w:val="20"/>
                <w:szCs w:val="20"/>
                <w:lang w:eastAsia="lv-LV"/>
              </w:rPr>
              <w:t>2 555 387</w:t>
            </w:r>
            <w:r w:rsidRPr="005058F7">
              <w:rPr>
                <w:rFonts w:ascii="Times New Roman" w:eastAsia="Times New Roman" w:hAnsi="Times New Roman" w:cs="Times New Roman"/>
                <w:color w:val="000000"/>
                <w:sz w:val="20"/>
                <w:szCs w:val="20"/>
                <w:lang w:eastAsia="lv-LV"/>
              </w:rPr>
              <w:t xml:space="preserve">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2024.gadā</w:t>
            </w:r>
          </w:p>
          <w:p w14:paraId="50F075F9"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p>
          <w:p w14:paraId="33EAAE85"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b/>
                <w:color w:val="000000"/>
                <w:sz w:val="20"/>
                <w:szCs w:val="20"/>
                <w:lang w:eastAsia="lv-LV"/>
              </w:rPr>
              <w:t>3 128 712</w:t>
            </w:r>
            <w:r w:rsidRPr="005058F7">
              <w:rPr>
                <w:rFonts w:ascii="Times New Roman" w:eastAsia="Times New Roman" w:hAnsi="Times New Roman" w:cs="Times New Roman"/>
                <w:color w:val="000000"/>
                <w:sz w:val="20"/>
                <w:szCs w:val="20"/>
                <w:lang w:eastAsia="lv-LV"/>
              </w:rPr>
              <w:t xml:space="preserve">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2025.gadā </w:t>
            </w:r>
          </w:p>
          <w:p w14:paraId="4D35EEB8"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p>
          <w:p w14:paraId="2913F0D9" w14:textId="77777777" w:rsidR="005058F7"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Pr="005058F7">
              <w:rPr>
                <w:rFonts w:ascii="Times New Roman" w:eastAsia="Times New Roman" w:hAnsi="Times New Roman" w:cs="Times New Roman"/>
                <w:color w:val="000000"/>
                <w:sz w:val="20"/>
                <w:szCs w:val="20"/>
                <w:lang w:eastAsia="lv-LV"/>
              </w:rPr>
              <w:t xml:space="preserve">ismaz </w:t>
            </w:r>
          </w:p>
          <w:p w14:paraId="7D0B6CCD"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A025F9">
              <w:rPr>
                <w:rFonts w:ascii="Times New Roman" w:eastAsia="Times New Roman" w:hAnsi="Times New Roman" w:cs="Times New Roman"/>
                <w:b/>
                <w:color w:val="000000"/>
                <w:sz w:val="20"/>
                <w:szCs w:val="20"/>
                <w:lang w:eastAsia="lv-LV"/>
              </w:rPr>
              <w:t>3 128 712</w:t>
            </w:r>
            <w:r w:rsidRPr="005058F7">
              <w:rPr>
                <w:rFonts w:ascii="Times New Roman" w:eastAsia="Times New Roman" w:hAnsi="Times New Roman" w:cs="Times New Roman"/>
                <w:color w:val="000000"/>
                <w:sz w:val="20"/>
                <w:szCs w:val="20"/>
                <w:lang w:eastAsia="lv-LV"/>
              </w:rPr>
              <w:t xml:space="preserve"> </w:t>
            </w:r>
            <w:proofErr w:type="spellStart"/>
            <w:r w:rsidRPr="005058F7">
              <w:rPr>
                <w:rFonts w:ascii="Times New Roman" w:eastAsia="Times New Roman" w:hAnsi="Times New Roman" w:cs="Times New Roman"/>
                <w:color w:val="000000"/>
                <w:sz w:val="20"/>
                <w:szCs w:val="20"/>
                <w:lang w:eastAsia="lv-LV"/>
              </w:rPr>
              <w:t>euro</w:t>
            </w:r>
            <w:proofErr w:type="spellEnd"/>
            <w:r w:rsidR="000516AD">
              <w:rPr>
                <w:rFonts w:ascii="Times New Roman" w:eastAsia="Times New Roman" w:hAnsi="Times New Roman" w:cs="Times New Roman"/>
                <w:color w:val="000000"/>
                <w:sz w:val="20"/>
                <w:szCs w:val="20"/>
                <w:lang w:eastAsia="lv-LV"/>
              </w:rPr>
              <w:t xml:space="preserve"> katru gadu pēc 2025.gada</w:t>
            </w:r>
            <w:r w:rsidRPr="005058F7">
              <w:rPr>
                <w:rFonts w:ascii="Times New Roman" w:eastAsia="Times New Roman" w:hAnsi="Times New Roman" w:cs="Times New Roman"/>
                <w:color w:val="000000"/>
                <w:sz w:val="20"/>
                <w:szCs w:val="20"/>
                <w:lang w:eastAsia="lv-LV"/>
              </w:rPr>
              <w:t xml:space="preserve"> </w:t>
            </w:r>
          </w:p>
        </w:tc>
        <w:tc>
          <w:tcPr>
            <w:tcW w:w="466" w:type="pct"/>
            <w:tcBorders>
              <w:top w:val="single" w:sz="4" w:space="0" w:color="auto"/>
              <w:left w:val="nil"/>
              <w:bottom w:val="single" w:sz="4" w:space="0" w:color="auto"/>
              <w:right w:val="single" w:sz="4" w:space="0" w:color="auto"/>
            </w:tcBorders>
            <w:shd w:val="clear" w:color="auto" w:fill="auto"/>
            <w:noWrap/>
            <w:hideMark/>
          </w:tcPr>
          <w:p w14:paraId="3A59E89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r>
      <w:tr w:rsidR="00871ECD" w:rsidRPr="005058F7" w14:paraId="23CF3932" w14:textId="77777777" w:rsidTr="00871ECD">
        <w:trPr>
          <w:trHeight w:val="312"/>
        </w:trPr>
        <w:tc>
          <w:tcPr>
            <w:tcW w:w="467" w:type="pct"/>
            <w:tcBorders>
              <w:top w:val="nil"/>
              <w:left w:val="single" w:sz="4" w:space="0" w:color="auto"/>
              <w:bottom w:val="single" w:sz="4" w:space="0" w:color="auto"/>
              <w:right w:val="nil"/>
            </w:tcBorders>
            <w:shd w:val="clear" w:color="auto" w:fill="auto"/>
            <w:hideMark/>
          </w:tcPr>
          <w:p w14:paraId="23E9890D"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nil"/>
              <w:left w:val="single" w:sz="4" w:space="0" w:color="auto"/>
              <w:bottom w:val="single" w:sz="4" w:space="0" w:color="auto"/>
              <w:right w:val="single" w:sz="4" w:space="0" w:color="auto"/>
            </w:tcBorders>
            <w:shd w:val="clear" w:color="auto" w:fill="auto"/>
            <w:hideMark/>
          </w:tcPr>
          <w:p w14:paraId="513B8E1D" w14:textId="77777777" w:rsidR="005058F7" w:rsidRPr="005058F7" w:rsidRDefault="005058F7" w:rsidP="005058F7">
            <w:pPr>
              <w:spacing w:after="0" w:line="240" w:lineRule="auto"/>
              <w:jc w:val="both"/>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11. Ārlietu ministrija</w:t>
            </w:r>
          </w:p>
        </w:tc>
        <w:tc>
          <w:tcPr>
            <w:tcW w:w="568" w:type="pct"/>
            <w:tcBorders>
              <w:top w:val="nil"/>
              <w:left w:val="nil"/>
              <w:bottom w:val="single" w:sz="4" w:space="0" w:color="auto"/>
              <w:right w:val="nil"/>
            </w:tcBorders>
            <w:shd w:val="clear" w:color="auto" w:fill="auto"/>
            <w:hideMark/>
          </w:tcPr>
          <w:p w14:paraId="74C7D8EE"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333" w:type="pct"/>
            <w:tcBorders>
              <w:top w:val="nil"/>
              <w:left w:val="single" w:sz="4" w:space="0" w:color="auto"/>
              <w:bottom w:val="single" w:sz="4" w:space="0" w:color="auto"/>
              <w:right w:val="single" w:sz="4" w:space="0" w:color="auto"/>
            </w:tcBorders>
            <w:shd w:val="clear" w:color="auto" w:fill="auto"/>
            <w:noWrap/>
            <w:hideMark/>
          </w:tcPr>
          <w:p w14:paraId="31DA1FF8"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18092A2A"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32A34229"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3C2DDB8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464B0868"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1 287 323</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478E5320"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1 529 503</w:t>
            </w:r>
          </w:p>
        </w:tc>
        <w:tc>
          <w:tcPr>
            <w:tcW w:w="467" w:type="pct"/>
            <w:gridSpan w:val="2"/>
            <w:tcBorders>
              <w:top w:val="nil"/>
              <w:left w:val="nil"/>
              <w:bottom w:val="single" w:sz="4" w:space="0" w:color="auto"/>
              <w:right w:val="single" w:sz="4" w:space="0" w:color="auto"/>
            </w:tcBorders>
            <w:shd w:val="clear" w:color="auto" w:fill="auto"/>
            <w:noWrap/>
            <w:hideMark/>
          </w:tcPr>
          <w:p w14:paraId="3A17C832"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nil"/>
              <w:left w:val="nil"/>
              <w:bottom w:val="single" w:sz="4" w:space="0" w:color="auto"/>
              <w:right w:val="single" w:sz="4" w:space="0" w:color="auto"/>
            </w:tcBorders>
            <w:shd w:val="clear" w:color="auto" w:fill="auto"/>
            <w:noWrap/>
            <w:hideMark/>
          </w:tcPr>
          <w:p w14:paraId="3D67EA46"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2 555 387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2024.gadā</w:t>
            </w:r>
          </w:p>
          <w:p w14:paraId="56935D8A"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p>
          <w:p w14:paraId="6E78565D"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3 128 712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2025.gadā</w:t>
            </w:r>
          </w:p>
          <w:p w14:paraId="199628D2"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 </w:t>
            </w:r>
          </w:p>
          <w:p w14:paraId="30A8BDA8" w14:textId="77777777" w:rsidR="005058F7"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Pr="005058F7">
              <w:rPr>
                <w:rFonts w:ascii="Times New Roman" w:eastAsia="Times New Roman" w:hAnsi="Times New Roman" w:cs="Times New Roman"/>
                <w:color w:val="000000"/>
                <w:sz w:val="20"/>
                <w:szCs w:val="20"/>
                <w:lang w:eastAsia="lv-LV"/>
              </w:rPr>
              <w:t xml:space="preserve">ismaz </w:t>
            </w:r>
          </w:p>
          <w:p w14:paraId="5480A6C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3 128 712 </w:t>
            </w:r>
            <w:proofErr w:type="spellStart"/>
            <w:r w:rsidRPr="005058F7">
              <w:rPr>
                <w:rFonts w:ascii="Times New Roman" w:eastAsia="Times New Roman" w:hAnsi="Times New Roman" w:cs="Times New Roman"/>
                <w:color w:val="000000"/>
                <w:sz w:val="20"/>
                <w:szCs w:val="20"/>
                <w:lang w:eastAsia="lv-LV"/>
              </w:rPr>
              <w:t>euro</w:t>
            </w:r>
            <w:proofErr w:type="spellEnd"/>
            <w:r w:rsidR="000516AD">
              <w:rPr>
                <w:rFonts w:ascii="Times New Roman" w:eastAsia="Times New Roman" w:hAnsi="Times New Roman" w:cs="Times New Roman"/>
                <w:color w:val="000000"/>
                <w:sz w:val="20"/>
                <w:szCs w:val="20"/>
                <w:lang w:eastAsia="lv-LV"/>
              </w:rPr>
              <w:t xml:space="preserve"> katru gadu pēc 2025.gada</w:t>
            </w:r>
          </w:p>
        </w:tc>
        <w:tc>
          <w:tcPr>
            <w:tcW w:w="466" w:type="pct"/>
            <w:tcBorders>
              <w:top w:val="nil"/>
              <w:left w:val="nil"/>
              <w:bottom w:val="single" w:sz="4" w:space="0" w:color="auto"/>
              <w:right w:val="single" w:sz="4" w:space="0" w:color="auto"/>
            </w:tcBorders>
            <w:shd w:val="clear" w:color="auto" w:fill="auto"/>
            <w:noWrap/>
            <w:hideMark/>
          </w:tcPr>
          <w:p w14:paraId="668BFF54"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r>
      <w:tr w:rsidR="00871ECD" w:rsidRPr="005058F7" w14:paraId="06B42460" w14:textId="77777777" w:rsidTr="00871ECD">
        <w:trPr>
          <w:trHeight w:val="312"/>
        </w:trPr>
        <w:tc>
          <w:tcPr>
            <w:tcW w:w="467" w:type="pct"/>
            <w:tcBorders>
              <w:top w:val="nil"/>
              <w:left w:val="single" w:sz="4" w:space="0" w:color="auto"/>
              <w:bottom w:val="single" w:sz="4" w:space="0" w:color="auto"/>
              <w:right w:val="nil"/>
            </w:tcBorders>
            <w:shd w:val="clear" w:color="auto" w:fill="auto"/>
            <w:hideMark/>
          </w:tcPr>
          <w:p w14:paraId="5FD1FA6B"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nil"/>
              <w:left w:val="single" w:sz="4" w:space="0" w:color="auto"/>
              <w:bottom w:val="single" w:sz="4" w:space="0" w:color="auto"/>
              <w:right w:val="nil"/>
            </w:tcBorders>
            <w:shd w:val="clear" w:color="auto" w:fill="auto"/>
            <w:hideMark/>
          </w:tcPr>
          <w:p w14:paraId="1580D11C"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568" w:type="pct"/>
            <w:tcBorders>
              <w:top w:val="nil"/>
              <w:left w:val="single" w:sz="4" w:space="0" w:color="auto"/>
              <w:bottom w:val="single" w:sz="4" w:space="0" w:color="auto"/>
              <w:right w:val="nil"/>
            </w:tcBorders>
            <w:shd w:val="clear" w:color="auto" w:fill="auto"/>
            <w:hideMark/>
          </w:tcPr>
          <w:p w14:paraId="09E2EAC7" w14:textId="77777777" w:rsidR="005058F7" w:rsidRPr="005058F7" w:rsidRDefault="005058F7" w:rsidP="005058F7">
            <w:pPr>
              <w:spacing w:after="200" w:line="240" w:lineRule="auto"/>
              <w:jc w:val="center"/>
              <w:rPr>
                <w:rFonts w:ascii="Calibri" w:eastAsia="Calibri" w:hAnsi="Calibri" w:cs="Times New Roman"/>
              </w:rPr>
            </w:pPr>
            <w:r w:rsidRPr="005058F7">
              <w:rPr>
                <w:rFonts w:ascii="Times New Roman" w:eastAsia="Times New Roman" w:hAnsi="Times New Roman" w:cs="Times New Roman"/>
                <w:sz w:val="20"/>
                <w:szCs w:val="20"/>
                <w:lang w:eastAsia="lv-LV"/>
              </w:rPr>
              <w:t>07.00.00 Attīstības sadarbības projekti un starptautiskā palīdzība</w:t>
            </w:r>
          </w:p>
        </w:tc>
        <w:tc>
          <w:tcPr>
            <w:tcW w:w="333" w:type="pct"/>
            <w:tcBorders>
              <w:top w:val="nil"/>
              <w:left w:val="single" w:sz="4" w:space="0" w:color="auto"/>
              <w:bottom w:val="single" w:sz="4" w:space="0" w:color="auto"/>
              <w:right w:val="single" w:sz="4" w:space="0" w:color="auto"/>
            </w:tcBorders>
            <w:shd w:val="clear" w:color="auto" w:fill="auto"/>
            <w:noWrap/>
            <w:hideMark/>
          </w:tcPr>
          <w:p w14:paraId="61559255"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2ADBB001"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48FBEA22"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0351F70B"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7A7F088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1 287 323</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76782C31"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1 529 503</w:t>
            </w:r>
          </w:p>
        </w:tc>
        <w:tc>
          <w:tcPr>
            <w:tcW w:w="467" w:type="pct"/>
            <w:gridSpan w:val="2"/>
            <w:tcBorders>
              <w:top w:val="nil"/>
              <w:left w:val="nil"/>
              <w:bottom w:val="single" w:sz="4" w:space="0" w:color="auto"/>
              <w:right w:val="single" w:sz="4" w:space="0" w:color="auto"/>
            </w:tcBorders>
            <w:shd w:val="clear" w:color="auto" w:fill="auto"/>
            <w:noWrap/>
            <w:vAlign w:val="bottom"/>
            <w:hideMark/>
          </w:tcPr>
          <w:p w14:paraId="7B444743" w14:textId="77777777" w:rsidR="005058F7" w:rsidRPr="005058F7" w:rsidRDefault="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c>
          <w:tcPr>
            <w:tcW w:w="400" w:type="pct"/>
            <w:gridSpan w:val="2"/>
            <w:tcBorders>
              <w:top w:val="nil"/>
              <w:left w:val="nil"/>
              <w:bottom w:val="single" w:sz="4" w:space="0" w:color="auto"/>
              <w:right w:val="single" w:sz="4" w:space="0" w:color="auto"/>
            </w:tcBorders>
            <w:shd w:val="clear" w:color="auto" w:fill="auto"/>
            <w:noWrap/>
            <w:hideMark/>
          </w:tcPr>
          <w:p w14:paraId="056ED219"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2 555 387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2024.gadā</w:t>
            </w:r>
          </w:p>
          <w:p w14:paraId="077ECD32" w14:textId="77777777" w:rsidR="000516AD"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p>
          <w:p w14:paraId="2692AEEA"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3 128 712 </w:t>
            </w:r>
            <w:proofErr w:type="spellStart"/>
            <w:r w:rsidRPr="005058F7">
              <w:rPr>
                <w:rFonts w:ascii="Times New Roman" w:eastAsia="Times New Roman" w:hAnsi="Times New Roman" w:cs="Times New Roman"/>
                <w:color w:val="000000"/>
                <w:sz w:val="20"/>
                <w:szCs w:val="20"/>
                <w:lang w:eastAsia="lv-LV"/>
              </w:rPr>
              <w:t>euro</w:t>
            </w:r>
            <w:proofErr w:type="spellEnd"/>
            <w:r w:rsidRPr="005058F7">
              <w:rPr>
                <w:rFonts w:ascii="Times New Roman" w:eastAsia="Times New Roman" w:hAnsi="Times New Roman" w:cs="Times New Roman"/>
                <w:color w:val="000000"/>
                <w:sz w:val="20"/>
                <w:szCs w:val="20"/>
                <w:lang w:eastAsia="lv-LV"/>
              </w:rPr>
              <w:t xml:space="preserve"> 2025.gadā</w:t>
            </w:r>
          </w:p>
          <w:p w14:paraId="644CFFE0" w14:textId="77777777" w:rsidR="000516AD"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p w14:paraId="79012F67" w14:textId="77777777" w:rsidR="005058F7" w:rsidRPr="005058F7" w:rsidRDefault="000516AD" w:rsidP="005058F7">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lastRenderedPageBreak/>
              <w:t>v</w:t>
            </w:r>
            <w:r w:rsidRPr="005058F7">
              <w:rPr>
                <w:rFonts w:ascii="Times New Roman" w:eastAsia="Times New Roman" w:hAnsi="Times New Roman" w:cs="Times New Roman"/>
                <w:color w:val="000000"/>
                <w:sz w:val="20"/>
                <w:szCs w:val="20"/>
                <w:lang w:eastAsia="lv-LV"/>
              </w:rPr>
              <w:t xml:space="preserve">ismaz </w:t>
            </w:r>
          </w:p>
          <w:p w14:paraId="3D848C5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3 128 712 </w:t>
            </w:r>
            <w:proofErr w:type="spellStart"/>
            <w:r w:rsidRPr="005058F7">
              <w:rPr>
                <w:rFonts w:ascii="Times New Roman" w:eastAsia="Times New Roman" w:hAnsi="Times New Roman" w:cs="Times New Roman"/>
                <w:color w:val="000000"/>
                <w:sz w:val="20"/>
                <w:szCs w:val="20"/>
                <w:lang w:eastAsia="lv-LV"/>
              </w:rPr>
              <w:t>euro</w:t>
            </w:r>
            <w:proofErr w:type="spellEnd"/>
            <w:r w:rsidR="000516AD">
              <w:rPr>
                <w:rFonts w:ascii="Times New Roman" w:eastAsia="Times New Roman" w:hAnsi="Times New Roman" w:cs="Times New Roman"/>
                <w:color w:val="000000"/>
                <w:sz w:val="20"/>
                <w:szCs w:val="20"/>
                <w:lang w:eastAsia="lv-LV"/>
              </w:rPr>
              <w:t xml:space="preserve"> katru gadu pēc 2025.gada</w:t>
            </w:r>
          </w:p>
        </w:tc>
        <w:tc>
          <w:tcPr>
            <w:tcW w:w="466" w:type="pct"/>
            <w:tcBorders>
              <w:top w:val="nil"/>
              <w:left w:val="nil"/>
              <w:bottom w:val="single" w:sz="4" w:space="0" w:color="auto"/>
              <w:right w:val="single" w:sz="4" w:space="0" w:color="auto"/>
            </w:tcBorders>
            <w:shd w:val="clear" w:color="auto" w:fill="auto"/>
            <w:noWrap/>
            <w:hideMark/>
          </w:tcPr>
          <w:p w14:paraId="21098EB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r>
      <w:tr w:rsidR="00871ECD" w:rsidRPr="005058F7" w14:paraId="47B6B666" w14:textId="77777777" w:rsidTr="00871ECD">
        <w:trPr>
          <w:trHeight w:val="312"/>
        </w:trPr>
        <w:tc>
          <w:tcPr>
            <w:tcW w:w="467" w:type="pct"/>
            <w:tcBorders>
              <w:top w:val="single" w:sz="4" w:space="0" w:color="auto"/>
              <w:left w:val="single" w:sz="4" w:space="0" w:color="auto"/>
              <w:bottom w:val="single" w:sz="4" w:space="0" w:color="auto"/>
              <w:right w:val="nil"/>
            </w:tcBorders>
            <w:shd w:val="clear" w:color="auto" w:fill="auto"/>
            <w:noWrap/>
            <w:vAlign w:val="bottom"/>
            <w:hideMark/>
          </w:tcPr>
          <w:p w14:paraId="47E424F5" w14:textId="77777777" w:rsidR="005058F7" w:rsidRPr="005058F7" w:rsidRDefault="005058F7" w:rsidP="005058F7">
            <w:pPr>
              <w:spacing w:after="0" w:line="240" w:lineRule="auto"/>
              <w:rPr>
                <w:rFonts w:ascii="Times New Roman" w:eastAsia="Times New Roman" w:hAnsi="Times New Roman" w:cs="Times New Roman"/>
                <w:color w:val="000000"/>
                <w:sz w:val="20"/>
                <w:szCs w:val="20"/>
                <w:lang w:eastAsia="lv-LV"/>
              </w:rPr>
            </w:pPr>
          </w:p>
        </w:tc>
        <w:tc>
          <w:tcPr>
            <w:tcW w:w="466" w:type="pct"/>
            <w:tcBorders>
              <w:top w:val="single" w:sz="4" w:space="0" w:color="auto"/>
              <w:left w:val="single" w:sz="4" w:space="0" w:color="auto"/>
              <w:bottom w:val="single" w:sz="4" w:space="0" w:color="auto"/>
              <w:right w:val="nil"/>
            </w:tcBorders>
            <w:shd w:val="clear" w:color="auto" w:fill="auto"/>
            <w:hideMark/>
          </w:tcPr>
          <w:p w14:paraId="166A99AE" w14:textId="77777777" w:rsidR="005058F7" w:rsidRPr="005058F7" w:rsidRDefault="008D70ED" w:rsidP="005058F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M</w:t>
            </w:r>
            <w:r w:rsidR="005058F7" w:rsidRPr="005058F7">
              <w:rPr>
                <w:rFonts w:ascii="Times New Roman" w:eastAsia="Times New Roman" w:hAnsi="Times New Roman" w:cs="Times New Roman"/>
                <w:b/>
                <w:iCs/>
                <w:sz w:val="20"/>
                <w:szCs w:val="20"/>
                <w:lang w:eastAsia="lv-LV"/>
              </w:rPr>
              <w:t>odelis</w:t>
            </w:r>
            <w:r>
              <w:rPr>
                <w:rFonts w:ascii="Times New Roman" w:eastAsia="Times New Roman" w:hAnsi="Times New Roman" w:cs="Times New Roman"/>
                <w:b/>
                <w:iCs/>
                <w:sz w:val="20"/>
                <w:szCs w:val="20"/>
                <w:lang w:eastAsia="lv-LV"/>
              </w:rPr>
              <w:t xml:space="preserve"> 2</w:t>
            </w:r>
            <w:r w:rsidR="005058F7" w:rsidRPr="005058F7">
              <w:rPr>
                <w:rFonts w:ascii="Times New Roman" w:eastAsia="Times New Roman" w:hAnsi="Times New Roman" w:cs="Times New Roman"/>
                <w:b/>
                <w:iCs/>
                <w:sz w:val="20"/>
                <w:szCs w:val="20"/>
                <w:vertAlign w:val="superscript"/>
                <w:lang w:eastAsia="lv-LV"/>
              </w:rPr>
              <w:footnoteReference w:id="38"/>
            </w:r>
          </w:p>
        </w:tc>
        <w:tc>
          <w:tcPr>
            <w:tcW w:w="568" w:type="pct"/>
            <w:tcBorders>
              <w:top w:val="single" w:sz="4" w:space="0" w:color="auto"/>
              <w:left w:val="single" w:sz="4" w:space="0" w:color="auto"/>
              <w:bottom w:val="single" w:sz="4" w:space="0" w:color="auto"/>
              <w:right w:val="nil"/>
            </w:tcBorders>
            <w:shd w:val="clear" w:color="auto" w:fill="auto"/>
            <w:hideMark/>
          </w:tcPr>
          <w:p w14:paraId="1296776A"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316FD0C3"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29A8859C"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411A7110"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2E703FEA"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 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2350CA54"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 1 433 251</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6D6EB594"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2 411 162 </w:t>
            </w:r>
          </w:p>
        </w:tc>
        <w:tc>
          <w:tcPr>
            <w:tcW w:w="467" w:type="pct"/>
            <w:gridSpan w:val="2"/>
            <w:tcBorders>
              <w:top w:val="single" w:sz="4" w:space="0" w:color="auto"/>
              <w:left w:val="nil"/>
              <w:bottom w:val="single" w:sz="4" w:space="0" w:color="auto"/>
              <w:right w:val="single" w:sz="4" w:space="0" w:color="auto"/>
            </w:tcBorders>
            <w:shd w:val="clear" w:color="auto" w:fill="auto"/>
            <w:noWrap/>
            <w:vAlign w:val="bottom"/>
            <w:hideMark/>
          </w:tcPr>
          <w:p w14:paraId="4B38F064" w14:textId="77777777" w:rsidR="005058F7" w:rsidRPr="005058F7" w:rsidRDefault="005058F7">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 </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6B0F75"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3 642 299</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403CE142"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7A9A6E13"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5 157 432</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117DCB96"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p>
          <w:p w14:paraId="21F7F690"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000516AD">
              <w:rPr>
                <w:rFonts w:ascii="Times New Roman" w:eastAsia="Times New Roman" w:hAnsi="Times New Roman" w:cs="Times New Roman"/>
                <w:color w:val="000000"/>
                <w:sz w:val="20"/>
                <w:szCs w:val="20"/>
                <w:lang w:eastAsia="lv-LV"/>
              </w:rPr>
              <w:t>v</w:t>
            </w:r>
            <w:r w:rsidRPr="005058F7">
              <w:rPr>
                <w:rFonts w:ascii="Times New Roman" w:eastAsia="Times New Roman" w:hAnsi="Times New Roman" w:cs="Times New Roman"/>
                <w:color w:val="000000"/>
                <w:sz w:val="20"/>
                <w:szCs w:val="20"/>
                <w:lang w:eastAsia="lv-LV"/>
              </w:rPr>
              <w:t xml:space="preserve">ismaz </w:t>
            </w:r>
          </w:p>
          <w:p w14:paraId="40BAA736"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A025F9">
              <w:rPr>
                <w:rFonts w:ascii="Times New Roman" w:eastAsia="Times New Roman" w:hAnsi="Times New Roman" w:cs="Times New Roman"/>
                <w:b/>
                <w:sz w:val="20"/>
                <w:szCs w:val="20"/>
                <w:lang w:eastAsia="lv-LV"/>
              </w:rPr>
              <w:t>5 157 432</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karu gadu pēc 2025.gada</w:t>
            </w:r>
          </w:p>
        </w:tc>
        <w:tc>
          <w:tcPr>
            <w:tcW w:w="466" w:type="pct"/>
            <w:tcBorders>
              <w:top w:val="single" w:sz="4" w:space="0" w:color="auto"/>
              <w:left w:val="nil"/>
              <w:bottom w:val="single" w:sz="4" w:space="0" w:color="auto"/>
              <w:right w:val="single" w:sz="4" w:space="0" w:color="auto"/>
            </w:tcBorders>
            <w:shd w:val="clear" w:color="auto" w:fill="auto"/>
            <w:noWrap/>
            <w:hideMark/>
          </w:tcPr>
          <w:p w14:paraId="53ADA599"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r>
      <w:tr w:rsidR="00871ECD" w:rsidRPr="005058F7" w14:paraId="7B2B5500" w14:textId="77777777" w:rsidTr="00871ECD">
        <w:trPr>
          <w:trHeight w:val="312"/>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47803C66" w14:textId="77777777" w:rsidR="005058F7" w:rsidRPr="005058F7" w:rsidRDefault="005058F7" w:rsidP="005058F7">
            <w:pPr>
              <w:spacing w:after="0" w:line="240" w:lineRule="auto"/>
              <w:jc w:val="both"/>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single" w:sz="4" w:space="0" w:color="auto"/>
              <w:left w:val="nil"/>
              <w:bottom w:val="single" w:sz="4" w:space="0" w:color="auto"/>
              <w:right w:val="single" w:sz="4" w:space="0" w:color="auto"/>
            </w:tcBorders>
            <w:shd w:val="clear" w:color="auto" w:fill="auto"/>
            <w:hideMark/>
          </w:tcPr>
          <w:p w14:paraId="1D99EAA0" w14:textId="77777777" w:rsidR="005058F7" w:rsidRPr="005058F7" w:rsidRDefault="005058F7" w:rsidP="005058F7">
            <w:pPr>
              <w:spacing w:after="0" w:line="240" w:lineRule="auto"/>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11. Ārlietu ministrija</w:t>
            </w:r>
          </w:p>
        </w:tc>
        <w:tc>
          <w:tcPr>
            <w:tcW w:w="568" w:type="pct"/>
            <w:tcBorders>
              <w:top w:val="single" w:sz="4" w:space="0" w:color="auto"/>
              <w:left w:val="nil"/>
              <w:bottom w:val="single" w:sz="4" w:space="0" w:color="auto"/>
              <w:right w:val="nil"/>
            </w:tcBorders>
            <w:shd w:val="clear" w:color="auto" w:fill="auto"/>
            <w:hideMark/>
          </w:tcPr>
          <w:p w14:paraId="34CAC03C" w14:textId="77777777" w:rsidR="005058F7" w:rsidRPr="005058F7" w:rsidRDefault="005058F7" w:rsidP="005058F7">
            <w:pPr>
              <w:spacing w:after="0" w:line="240" w:lineRule="auto"/>
              <w:jc w:val="both"/>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333" w:type="pct"/>
            <w:tcBorders>
              <w:top w:val="nil"/>
              <w:left w:val="single" w:sz="4" w:space="0" w:color="auto"/>
              <w:bottom w:val="single" w:sz="4" w:space="0" w:color="auto"/>
              <w:right w:val="single" w:sz="4" w:space="0" w:color="auto"/>
            </w:tcBorders>
            <w:shd w:val="clear" w:color="auto" w:fill="auto"/>
            <w:noWrap/>
            <w:hideMark/>
          </w:tcPr>
          <w:p w14:paraId="613D9BE8"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1392F285"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076E86A0"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362F6558"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534FA3C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1 433 251</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314BF09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2 411 162 </w:t>
            </w:r>
          </w:p>
        </w:tc>
        <w:tc>
          <w:tcPr>
            <w:tcW w:w="467" w:type="pct"/>
            <w:gridSpan w:val="2"/>
            <w:tcBorders>
              <w:top w:val="single" w:sz="4" w:space="0" w:color="auto"/>
              <w:left w:val="nil"/>
              <w:bottom w:val="single" w:sz="4" w:space="0" w:color="auto"/>
              <w:right w:val="single" w:sz="4" w:space="0" w:color="auto"/>
            </w:tcBorders>
            <w:shd w:val="clear" w:color="auto" w:fill="auto"/>
            <w:noWrap/>
            <w:hideMark/>
          </w:tcPr>
          <w:p w14:paraId="49590FF8" w14:textId="77777777" w:rsidR="005058F7" w:rsidRPr="005058F7" w:rsidRDefault="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C66B64"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3 642 299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6F12D469"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406BAE5D"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5 157 432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7E0D071D" w14:textId="77777777" w:rsidR="000516AD"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p w14:paraId="54D6E1DD" w14:textId="77777777" w:rsidR="005058F7"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005058F7" w:rsidRPr="005058F7">
              <w:rPr>
                <w:rFonts w:ascii="Times New Roman" w:eastAsia="Times New Roman" w:hAnsi="Times New Roman" w:cs="Times New Roman"/>
                <w:color w:val="000000"/>
                <w:sz w:val="20"/>
                <w:szCs w:val="20"/>
                <w:lang w:eastAsia="lv-LV"/>
              </w:rPr>
              <w:t xml:space="preserve">ismaz </w:t>
            </w:r>
          </w:p>
          <w:p w14:paraId="52A3BEB7"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sz w:val="20"/>
                <w:szCs w:val="20"/>
                <w:lang w:eastAsia="lv-LV"/>
              </w:rPr>
              <w:t xml:space="preserve">5 157 432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katru gadu pēc 2025.gada</w:t>
            </w:r>
          </w:p>
        </w:tc>
        <w:tc>
          <w:tcPr>
            <w:tcW w:w="466" w:type="pct"/>
            <w:tcBorders>
              <w:top w:val="single" w:sz="4" w:space="0" w:color="auto"/>
              <w:left w:val="nil"/>
              <w:bottom w:val="single" w:sz="4" w:space="0" w:color="auto"/>
              <w:right w:val="single" w:sz="4" w:space="0" w:color="auto"/>
            </w:tcBorders>
            <w:shd w:val="clear" w:color="auto" w:fill="auto"/>
            <w:noWrap/>
            <w:hideMark/>
          </w:tcPr>
          <w:p w14:paraId="6ED84DBE"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r>
      <w:tr w:rsidR="00871ECD" w:rsidRPr="005058F7" w14:paraId="2EECEB43" w14:textId="77777777" w:rsidTr="00871ECD">
        <w:trPr>
          <w:trHeight w:val="312"/>
        </w:trPr>
        <w:tc>
          <w:tcPr>
            <w:tcW w:w="467" w:type="pct"/>
            <w:tcBorders>
              <w:top w:val="nil"/>
              <w:left w:val="single" w:sz="4" w:space="0" w:color="auto"/>
              <w:bottom w:val="single" w:sz="4" w:space="0" w:color="auto"/>
              <w:right w:val="nil"/>
            </w:tcBorders>
            <w:shd w:val="clear" w:color="auto" w:fill="auto"/>
            <w:hideMark/>
          </w:tcPr>
          <w:p w14:paraId="4868DF41"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nil"/>
              <w:left w:val="single" w:sz="4" w:space="0" w:color="auto"/>
              <w:bottom w:val="single" w:sz="4" w:space="0" w:color="auto"/>
              <w:right w:val="nil"/>
            </w:tcBorders>
            <w:shd w:val="clear" w:color="auto" w:fill="auto"/>
            <w:hideMark/>
          </w:tcPr>
          <w:p w14:paraId="7A499CFF" w14:textId="77777777" w:rsidR="005058F7" w:rsidRPr="005058F7" w:rsidRDefault="005058F7" w:rsidP="005058F7">
            <w:pPr>
              <w:spacing w:after="0" w:line="240" w:lineRule="auto"/>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568" w:type="pct"/>
            <w:tcBorders>
              <w:top w:val="nil"/>
              <w:left w:val="single" w:sz="4" w:space="0" w:color="auto"/>
              <w:bottom w:val="single" w:sz="4" w:space="0" w:color="auto"/>
              <w:right w:val="nil"/>
            </w:tcBorders>
            <w:shd w:val="clear" w:color="auto" w:fill="auto"/>
            <w:hideMark/>
          </w:tcPr>
          <w:p w14:paraId="7518E16A"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07.00.00 Attīstības sadarbības </w:t>
            </w:r>
            <w:r w:rsidRPr="005058F7">
              <w:rPr>
                <w:rFonts w:ascii="Times New Roman" w:eastAsia="Times New Roman" w:hAnsi="Times New Roman" w:cs="Times New Roman"/>
                <w:sz w:val="20"/>
                <w:szCs w:val="20"/>
                <w:lang w:eastAsia="lv-LV"/>
              </w:rPr>
              <w:lastRenderedPageBreak/>
              <w:t>projekti un starptautiskā palīdzība</w:t>
            </w:r>
          </w:p>
        </w:tc>
        <w:tc>
          <w:tcPr>
            <w:tcW w:w="333" w:type="pct"/>
            <w:tcBorders>
              <w:top w:val="nil"/>
              <w:left w:val="single" w:sz="4" w:space="0" w:color="auto"/>
              <w:bottom w:val="single" w:sz="4" w:space="0" w:color="auto"/>
              <w:right w:val="single" w:sz="4" w:space="0" w:color="auto"/>
            </w:tcBorders>
            <w:shd w:val="clear" w:color="auto" w:fill="auto"/>
            <w:noWrap/>
            <w:hideMark/>
          </w:tcPr>
          <w:p w14:paraId="568C863C"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lastRenderedPageBreak/>
              <w:t>463 813</w:t>
            </w:r>
          </w:p>
        </w:tc>
        <w:tc>
          <w:tcPr>
            <w:tcW w:w="333" w:type="pct"/>
            <w:tcBorders>
              <w:top w:val="nil"/>
              <w:left w:val="nil"/>
              <w:bottom w:val="single" w:sz="4" w:space="0" w:color="auto"/>
              <w:right w:val="single" w:sz="4" w:space="0" w:color="auto"/>
            </w:tcBorders>
            <w:shd w:val="clear" w:color="auto" w:fill="auto"/>
            <w:noWrap/>
            <w:hideMark/>
          </w:tcPr>
          <w:p w14:paraId="680686D5"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5D6F8DD1"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67" w:type="pct"/>
            <w:gridSpan w:val="2"/>
            <w:tcBorders>
              <w:top w:val="single" w:sz="4" w:space="0" w:color="auto"/>
              <w:left w:val="nil"/>
              <w:bottom w:val="single" w:sz="4" w:space="0" w:color="auto"/>
              <w:right w:val="single" w:sz="4" w:space="0" w:color="auto"/>
            </w:tcBorders>
            <w:shd w:val="clear" w:color="auto" w:fill="auto"/>
            <w:noWrap/>
            <w:hideMark/>
          </w:tcPr>
          <w:p w14:paraId="1BA06F1C"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679 901</w:t>
            </w:r>
          </w:p>
        </w:tc>
        <w:tc>
          <w:tcPr>
            <w:tcW w:w="400" w:type="pct"/>
            <w:gridSpan w:val="3"/>
            <w:tcBorders>
              <w:top w:val="single" w:sz="4" w:space="0" w:color="auto"/>
              <w:left w:val="nil"/>
              <w:bottom w:val="single" w:sz="4" w:space="0" w:color="auto"/>
              <w:right w:val="single" w:sz="4" w:space="0" w:color="auto"/>
            </w:tcBorders>
            <w:shd w:val="clear" w:color="auto" w:fill="auto"/>
            <w:noWrap/>
            <w:hideMark/>
          </w:tcPr>
          <w:p w14:paraId="74D33306"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1 433 251</w:t>
            </w:r>
          </w:p>
        </w:tc>
        <w:tc>
          <w:tcPr>
            <w:tcW w:w="400" w:type="pct"/>
            <w:gridSpan w:val="2"/>
            <w:tcBorders>
              <w:top w:val="single" w:sz="4" w:space="0" w:color="auto"/>
              <w:left w:val="nil"/>
              <w:bottom w:val="single" w:sz="4" w:space="0" w:color="auto"/>
              <w:right w:val="single" w:sz="4" w:space="0" w:color="auto"/>
            </w:tcBorders>
            <w:shd w:val="clear" w:color="auto" w:fill="auto"/>
            <w:noWrap/>
            <w:hideMark/>
          </w:tcPr>
          <w:p w14:paraId="655973A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2 411 162 </w:t>
            </w:r>
          </w:p>
        </w:tc>
        <w:tc>
          <w:tcPr>
            <w:tcW w:w="467" w:type="pct"/>
            <w:gridSpan w:val="2"/>
            <w:tcBorders>
              <w:top w:val="nil"/>
              <w:left w:val="nil"/>
              <w:bottom w:val="single" w:sz="4" w:space="0" w:color="auto"/>
              <w:right w:val="single" w:sz="4" w:space="0" w:color="auto"/>
            </w:tcBorders>
            <w:shd w:val="clear" w:color="auto" w:fill="auto"/>
            <w:noWrap/>
            <w:hideMark/>
          </w:tcPr>
          <w:p w14:paraId="33B78F7C"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086782" w14:textId="77777777" w:rsidR="000516AD" w:rsidRPr="005058F7" w:rsidRDefault="000516AD" w:rsidP="00286775">
            <w:pPr>
              <w:spacing w:after="0" w:line="240" w:lineRule="auto"/>
              <w:rPr>
                <w:rFonts w:ascii="Times New Roman" w:eastAsia="Times New Roman" w:hAnsi="Times New Roman" w:cs="Times New Roman"/>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sz w:val="20"/>
                <w:szCs w:val="20"/>
                <w:lang w:eastAsia="lv-LV"/>
              </w:rPr>
              <w:t xml:space="preserve">3 642 299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7177A96F"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16AC04E8" w14:textId="77777777" w:rsidR="000516AD" w:rsidRDefault="000516AD"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sz w:val="20"/>
                <w:szCs w:val="20"/>
                <w:lang w:eastAsia="lv-LV"/>
              </w:rPr>
              <w:t xml:space="preserve">5 157 432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6044FC3D" w14:textId="77777777" w:rsidR="000516AD"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p w14:paraId="518DA6B2"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xml:space="preserve">Vismaz </w:t>
            </w:r>
          </w:p>
          <w:p w14:paraId="4240E224"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sz w:val="20"/>
                <w:szCs w:val="20"/>
                <w:lang w:eastAsia="lv-LV"/>
              </w:rPr>
              <w:t xml:space="preserve">5 157 432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karu gadu pēc 2025.gada</w:t>
            </w:r>
          </w:p>
        </w:tc>
        <w:tc>
          <w:tcPr>
            <w:tcW w:w="466" w:type="pct"/>
            <w:tcBorders>
              <w:top w:val="nil"/>
              <w:left w:val="nil"/>
              <w:bottom w:val="single" w:sz="4" w:space="0" w:color="auto"/>
              <w:right w:val="single" w:sz="4" w:space="0" w:color="auto"/>
            </w:tcBorders>
            <w:shd w:val="clear" w:color="auto" w:fill="auto"/>
            <w:noWrap/>
            <w:hideMark/>
          </w:tcPr>
          <w:p w14:paraId="4E3052FF"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lastRenderedPageBreak/>
              <w:t> </w:t>
            </w:r>
          </w:p>
        </w:tc>
      </w:tr>
      <w:tr w:rsidR="00871ECD" w:rsidRPr="005058F7" w14:paraId="13443622" w14:textId="77777777" w:rsidTr="00871ECD">
        <w:trPr>
          <w:trHeight w:val="312"/>
        </w:trPr>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520A2F06" w14:textId="77777777" w:rsidR="005058F7" w:rsidRPr="005058F7" w:rsidRDefault="005058F7" w:rsidP="005058F7">
            <w:pPr>
              <w:spacing w:after="0" w:line="240" w:lineRule="auto"/>
              <w:jc w:val="both"/>
              <w:rPr>
                <w:rFonts w:ascii="Times New Roman" w:eastAsia="Times New Roman" w:hAnsi="Times New Roman" w:cs="Times New Roman"/>
                <w:iCs/>
                <w:sz w:val="20"/>
                <w:szCs w:val="20"/>
                <w:lang w:eastAsia="lv-LV"/>
              </w:rPr>
            </w:pPr>
            <w:r w:rsidRPr="005058F7">
              <w:rPr>
                <w:rFonts w:ascii="Times New Roman" w:eastAsia="Times New Roman" w:hAnsi="Times New Roman" w:cs="Times New Roman"/>
                <w:iCs/>
                <w:sz w:val="20"/>
                <w:szCs w:val="20"/>
                <w:lang w:eastAsia="lv-LV"/>
              </w:rPr>
              <w:t> </w:t>
            </w:r>
          </w:p>
        </w:tc>
        <w:tc>
          <w:tcPr>
            <w:tcW w:w="466" w:type="pct"/>
            <w:tcBorders>
              <w:top w:val="single" w:sz="4" w:space="0" w:color="auto"/>
              <w:left w:val="nil"/>
              <w:bottom w:val="single" w:sz="4" w:space="0" w:color="auto"/>
              <w:right w:val="single" w:sz="4" w:space="0" w:color="auto"/>
            </w:tcBorders>
            <w:shd w:val="clear" w:color="auto" w:fill="auto"/>
            <w:hideMark/>
          </w:tcPr>
          <w:p w14:paraId="6BBAD02B" w14:textId="77777777" w:rsidR="005058F7" w:rsidRPr="005058F7" w:rsidRDefault="008D70ED" w:rsidP="005058F7">
            <w:pPr>
              <w:spacing w:after="0" w:line="240" w:lineRule="auto"/>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M</w:t>
            </w:r>
            <w:r w:rsidR="005058F7" w:rsidRPr="005058F7">
              <w:rPr>
                <w:rFonts w:ascii="Times New Roman" w:eastAsia="Times New Roman" w:hAnsi="Times New Roman" w:cs="Times New Roman"/>
                <w:b/>
                <w:iCs/>
                <w:sz w:val="20"/>
                <w:szCs w:val="20"/>
                <w:lang w:eastAsia="lv-LV"/>
              </w:rPr>
              <w:t>odelis</w:t>
            </w:r>
            <w:r>
              <w:rPr>
                <w:rFonts w:ascii="Times New Roman" w:eastAsia="Times New Roman" w:hAnsi="Times New Roman" w:cs="Times New Roman"/>
                <w:b/>
                <w:iCs/>
                <w:sz w:val="20"/>
                <w:szCs w:val="20"/>
                <w:lang w:eastAsia="lv-LV"/>
              </w:rPr>
              <w:t xml:space="preserve"> 3</w:t>
            </w:r>
            <w:r w:rsidR="005058F7" w:rsidRPr="005058F7">
              <w:rPr>
                <w:rFonts w:ascii="Times New Roman" w:eastAsia="Times New Roman" w:hAnsi="Times New Roman" w:cs="Times New Roman"/>
                <w:b/>
                <w:iCs/>
                <w:sz w:val="20"/>
                <w:szCs w:val="20"/>
                <w:vertAlign w:val="superscript"/>
                <w:lang w:eastAsia="lv-LV"/>
              </w:rPr>
              <w:footnoteReference w:id="39"/>
            </w:r>
          </w:p>
        </w:tc>
        <w:tc>
          <w:tcPr>
            <w:tcW w:w="568" w:type="pct"/>
            <w:tcBorders>
              <w:top w:val="single" w:sz="4" w:space="0" w:color="auto"/>
              <w:left w:val="nil"/>
              <w:bottom w:val="single" w:sz="4" w:space="0" w:color="auto"/>
              <w:right w:val="nil"/>
            </w:tcBorders>
            <w:shd w:val="clear" w:color="auto" w:fill="auto"/>
            <w:hideMark/>
          </w:tcPr>
          <w:p w14:paraId="78D0FD66" w14:textId="77777777" w:rsidR="005058F7" w:rsidRPr="005058F7" w:rsidRDefault="005058F7" w:rsidP="005058F7">
            <w:pPr>
              <w:spacing w:after="0" w:line="240" w:lineRule="auto"/>
              <w:jc w:val="both"/>
              <w:rPr>
                <w:rFonts w:ascii="Times New Roman" w:eastAsia="Times New Roman" w:hAnsi="Times New Roman" w:cs="Times New Roman"/>
                <w:iCs/>
                <w:sz w:val="20"/>
                <w:szCs w:val="20"/>
                <w:lang w:eastAsia="lv-LV"/>
              </w:rPr>
            </w:pPr>
            <w:r w:rsidRPr="005058F7">
              <w:rPr>
                <w:rFonts w:ascii="Times New Roman" w:eastAsia="Times New Roman" w:hAnsi="Times New Roman" w:cs="Times New Roman"/>
                <w:iCs/>
                <w:sz w:val="20"/>
                <w:szCs w:val="20"/>
                <w:lang w:eastAsia="lv-LV"/>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049634F5"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117A5B12"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33" w:type="pct"/>
            <w:tcBorders>
              <w:top w:val="single" w:sz="4" w:space="0" w:color="auto"/>
              <w:left w:val="nil"/>
              <w:bottom w:val="single" w:sz="4" w:space="0" w:color="auto"/>
              <w:right w:val="single" w:sz="4" w:space="0" w:color="auto"/>
            </w:tcBorders>
            <w:shd w:val="clear" w:color="auto" w:fill="auto"/>
            <w:noWrap/>
            <w:hideMark/>
          </w:tcPr>
          <w:p w14:paraId="1E0480A2"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iCs/>
                <w:sz w:val="18"/>
                <w:szCs w:val="18"/>
                <w:lang w:eastAsia="lv-LV"/>
              </w:rPr>
              <w:t>463 813</w:t>
            </w:r>
          </w:p>
        </w:tc>
        <w:tc>
          <w:tcPr>
            <w:tcW w:w="367" w:type="pct"/>
            <w:gridSpan w:val="2"/>
            <w:tcBorders>
              <w:top w:val="nil"/>
              <w:left w:val="nil"/>
              <w:bottom w:val="single" w:sz="4" w:space="0" w:color="auto"/>
              <w:right w:val="single" w:sz="4" w:space="0" w:color="auto"/>
            </w:tcBorders>
            <w:shd w:val="clear" w:color="auto" w:fill="auto"/>
            <w:noWrap/>
            <w:hideMark/>
          </w:tcPr>
          <w:p w14:paraId="2DC77815"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783 875</w:t>
            </w:r>
          </w:p>
        </w:tc>
        <w:tc>
          <w:tcPr>
            <w:tcW w:w="400" w:type="pct"/>
            <w:gridSpan w:val="3"/>
            <w:tcBorders>
              <w:top w:val="nil"/>
              <w:left w:val="nil"/>
              <w:bottom w:val="single" w:sz="4" w:space="0" w:color="auto"/>
              <w:right w:val="single" w:sz="4" w:space="0" w:color="auto"/>
            </w:tcBorders>
            <w:shd w:val="clear" w:color="auto" w:fill="auto"/>
            <w:noWrap/>
            <w:hideMark/>
          </w:tcPr>
          <w:p w14:paraId="58567E11"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1 579 179</w:t>
            </w:r>
          </w:p>
        </w:tc>
        <w:tc>
          <w:tcPr>
            <w:tcW w:w="400" w:type="pct"/>
            <w:gridSpan w:val="2"/>
            <w:tcBorders>
              <w:top w:val="nil"/>
              <w:left w:val="nil"/>
              <w:bottom w:val="single" w:sz="4" w:space="0" w:color="auto"/>
              <w:right w:val="single" w:sz="4" w:space="0" w:color="auto"/>
            </w:tcBorders>
            <w:shd w:val="clear" w:color="auto" w:fill="auto"/>
            <w:noWrap/>
            <w:hideMark/>
          </w:tcPr>
          <w:p w14:paraId="092F341C" w14:textId="77777777" w:rsidR="005058F7" w:rsidRPr="005058F7" w:rsidRDefault="005058F7" w:rsidP="005058F7">
            <w:pPr>
              <w:spacing w:after="0" w:line="240" w:lineRule="auto"/>
              <w:jc w:val="right"/>
              <w:rPr>
                <w:rFonts w:ascii="Times New Roman" w:eastAsia="Times New Roman" w:hAnsi="Times New Roman" w:cs="Times New Roman"/>
                <w:b/>
                <w:color w:val="000000"/>
                <w:sz w:val="20"/>
                <w:szCs w:val="20"/>
                <w:lang w:eastAsia="lv-LV"/>
              </w:rPr>
            </w:pPr>
            <w:r w:rsidRPr="005058F7">
              <w:rPr>
                <w:rFonts w:ascii="Times New Roman" w:eastAsia="Times New Roman" w:hAnsi="Times New Roman" w:cs="Times New Roman"/>
                <w:b/>
                <w:color w:val="000000"/>
                <w:sz w:val="20"/>
                <w:szCs w:val="20"/>
                <w:lang w:eastAsia="lv-LV"/>
              </w:rPr>
              <w:t>3 216 155</w:t>
            </w:r>
          </w:p>
        </w:tc>
        <w:tc>
          <w:tcPr>
            <w:tcW w:w="467" w:type="pct"/>
            <w:gridSpan w:val="2"/>
            <w:tcBorders>
              <w:top w:val="nil"/>
              <w:left w:val="nil"/>
              <w:bottom w:val="single" w:sz="4" w:space="0" w:color="auto"/>
              <w:right w:val="single" w:sz="4" w:space="0" w:color="auto"/>
            </w:tcBorders>
            <w:shd w:val="clear" w:color="auto" w:fill="auto"/>
            <w:noWrap/>
            <w:hideMark/>
          </w:tcPr>
          <w:p w14:paraId="72EED928"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0DBC35"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b/>
                <w:sz w:val="20"/>
                <w:szCs w:val="20"/>
                <w:lang w:eastAsia="lv-LV"/>
              </w:rPr>
              <w:t>5 655 099</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39FA0DA7"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48EA95AF"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b/>
                <w:sz w:val="20"/>
                <w:szCs w:val="20"/>
                <w:lang w:eastAsia="lv-LV"/>
              </w:rPr>
              <w:t>8 834 487</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6A7D487E"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p>
          <w:p w14:paraId="6352F585"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000516AD">
              <w:rPr>
                <w:rFonts w:ascii="Times New Roman" w:eastAsia="Times New Roman" w:hAnsi="Times New Roman" w:cs="Times New Roman"/>
                <w:color w:val="000000"/>
                <w:sz w:val="20"/>
                <w:szCs w:val="20"/>
                <w:lang w:eastAsia="lv-LV"/>
              </w:rPr>
              <w:t>v</w:t>
            </w:r>
            <w:r w:rsidRPr="005058F7">
              <w:rPr>
                <w:rFonts w:ascii="Times New Roman" w:eastAsia="Times New Roman" w:hAnsi="Times New Roman" w:cs="Times New Roman"/>
                <w:color w:val="000000"/>
                <w:sz w:val="20"/>
                <w:szCs w:val="20"/>
                <w:lang w:eastAsia="lv-LV"/>
              </w:rPr>
              <w:t xml:space="preserve">ismaz </w:t>
            </w:r>
          </w:p>
          <w:p w14:paraId="00A1D0C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A025F9">
              <w:rPr>
                <w:rFonts w:ascii="Times New Roman" w:eastAsia="Times New Roman" w:hAnsi="Times New Roman" w:cs="Times New Roman"/>
                <w:b/>
                <w:sz w:val="20"/>
                <w:szCs w:val="20"/>
                <w:lang w:eastAsia="lv-LV"/>
              </w:rPr>
              <w:t>8 834 487</w:t>
            </w:r>
            <w:r w:rsidRPr="005058F7">
              <w:rPr>
                <w:rFonts w:ascii="Times New Roman" w:eastAsia="Times New Roman" w:hAnsi="Times New Roman" w:cs="Times New Roman"/>
                <w:sz w:val="20"/>
                <w:szCs w:val="20"/>
                <w:lang w:eastAsia="lv-LV"/>
              </w:rPr>
              <w:t xml:space="preserve">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katru gadu pēc 2025.gada</w:t>
            </w:r>
          </w:p>
        </w:tc>
        <w:tc>
          <w:tcPr>
            <w:tcW w:w="466" w:type="pct"/>
            <w:tcBorders>
              <w:top w:val="single" w:sz="4" w:space="0" w:color="auto"/>
              <w:left w:val="nil"/>
              <w:bottom w:val="single" w:sz="4" w:space="0" w:color="auto"/>
              <w:right w:val="single" w:sz="4" w:space="0" w:color="auto"/>
            </w:tcBorders>
            <w:shd w:val="clear" w:color="auto" w:fill="auto"/>
            <w:noWrap/>
            <w:hideMark/>
          </w:tcPr>
          <w:p w14:paraId="5AD40803"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r>
      <w:tr w:rsidR="00871ECD" w:rsidRPr="005058F7" w14:paraId="52DF947D" w14:textId="77777777" w:rsidTr="00871ECD">
        <w:trPr>
          <w:trHeight w:val="312"/>
        </w:trPr>
        <w:tc>
          <w:tcPr>
            <w:tcW w:w="467" w:type="pct"/>
            <w:tcBorders>
              <w:top w:val="nil"/>
              <w:left w:val="single" w:sz="4" w:space="0" w:color="auto"/>
              <w:bottom w:val="single" w:sz="4" w:space="0" w:color="auto"/>
              <w:right w:val="nil"/>
            </w:tcBorders>
            <w:shd w:val="clear" w:color="auto" w:fill="auto"/>
            <w:hideMark/>
          </w:tcPr>
          <w:p w14:paraId="3ADD6987"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nil"/>
              <w:left w:val="single" w:sz="4" w:space="0" w:color="auto"/>
              <w:bottom w:val="single" w:sz="4" w:space="0" w:color="auto"/>
              <w:right w:val="single" w:sz="4" w:space="0" w:color="auto"/>
            </w:tcBorders>
            <w:shd w:val="clear" w:color="auto" w:fill="auto"/>
            <w:hideMark/>
          </w:tcPr>
          <w:p w14:paraId="5B263C34" w14:textId="77777777" w:rsidR="005058F7" w:rsidRPr="005058F7" w:rsidRDefault="005058F7" w:rsidP="005058F7">
            <w:pPr>
              <w:spacing w:after="0" w:line="240" w:lineRule="auto"/>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11. Ārlietu ministrija</w:t>
            </w:r>
          </w:p>
        </w:tc>
        <w:tc>
          <w:tcPr>
            <w:tcW w:w="568" w:type="pct"/>
            <w:tcBorders>
              <w:top w:val="nil"/>
              <w:left w:val="nil"/>
              <w:bottom w:val="single" w:sz="4" w:space="0" w:color="auto"/>
              <w:right w:val="nil"/>
            </w:tcBorders>
            <w:shd w:val="clear" w:color="auto" w:fill="auto"/>
            <w:hideMark/>
          </w:tcPr>
          <w:p w14:paraId="64E080C3"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333" w:type="pct"/>
            <w:tcBorders>
              <w:top w:val="nil"/>
              <w:left w:val="single" w:sz="4" w:space="0" w:color="auto"/>
              <w:bottom w:val="single" w:sz="4" w:space="0" w:color="auto"/>
              <w:right w:val="single" w:sz="4" w:space="0" w:color="auto"/>
            </w:tcBorders>
            <w:shd w:val="clear" w:color="auto" w:fill="auto"/>
            <w:noWrap/>
            <w:hideMark/>
          </w:tcPr>
          <w:p w14:paraId="13B8ABEF"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2EA8A34D"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168D92A6"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67" w:type="pct"/>
            <w:gridSpan w:val="2"/>
            <w:tcBorders>
              <w:top w:val="nil"/>
              <w:left w:val="nil"/>
              <w:bottom w:val="single" w:sz="4" w:space="0" w:color="auto"/>
              <w:right w:val="single" w:sz="4" w:space="0" w:color="auto"/>
            </w:tcBorders>
            <w:shd w:val="clear" w:color="auto" w:fill="auto"/>
            <w:noWrap/>
            <w:hideMark/>
          </w:tcPr>
          <w:p w14:paraId="503F9D55"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783 875</w:t>
            </w:r>
          </w:p>
        </w:tc>
        <w:tc>
          <w:tcPr>
            <w:tcW w:w="400" w:type="pct"/>
            <w:gridSpan w:val="3"/>
            <w:tcBorders>
              <w:top w:val="nil"/>
              <w:left w:val="nil"/>
              <w:bottom w:val="single" w:sz="4" w:space="0" w:color="auto"/>
              <w:right w:val="single" w:sz="4" w:space="0" w:color="auto"/>
            </w:tcBorders>
            <w:shd w:val="clear" w:color="auto" w:fill="auto"/>
            <w:noWrap/>
            <w:hideMark/>
          </w:tcPr>
          <w:p w14:paraId="3383941B"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1 579 179</w:t>
            </w:r>
          </w:p>
        </w:tc>
        <w:tc>
          <w:tcPr>
            <w:tcW w:w="400" w:type="pct"/>
            <w:gridSpan w:val="2"/>
            <w:tcBorders>
              <w:top w:val="nil"/>
              <w:left w:val="nil"/>
              <w:bottom w:val="single" w:sz="4" w:space="0" w:color="auto"/>
              <w:right w:val="single" w:sz="4" w:space="0" w:color="auto"/>
            </w:tcBorders>
            <w:shd w:val="clear" w:color="auto" w:fill="auto"/>
            <w:noWrap/>
            <w:hideMark/>
          </w:tcPr>
          <w:p w14:paraId="59D59B8F"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3 216 155</w:t>
            </w:r>
          </w:p>
        </w:tc>
        <w:tc>
          <w:tcPr>
            <w:tcW w:w="467" w:type="pct"/>
            <w:gridSpan w:val="2"/>
            <w:tcBorders>
              <w:top w:val="nil"/>
              <w:left w:val="nil"/>
              <w:bottom w:val="single" w:sz="4" w:space="0" w:color="auto"/>
              <w:right w:val="single" w:sz="4" w:space="0" w:color="auto"/>
            </w:tcBorders>
            <w:shd w:val="clear" w:color="auto" w:fill="auto"/>
            <w:noWrap/>
            <w:hideMark/>
          </w:tcPr>
          <w:p w14:paraId="72BDAF49" w14:textId="77777777" w:rsidR="005058F7" w:rsidRPr="005058F7" w:rsidRDefault="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c>
          <w:tcPr>
            <w:tcW w:w="400" w:type="pct"/>
            <w:gridSpan w:val="2"/>
            <w:tcBorders>
              <w:top w:val="nil"/>
              <w:left w:val="nil"/>
              <w:bottom w:val="single" w:sz="4" w:space="0" w:color="auto"/>
              <w:right w:val="single" w:sz="4" w:space="0" w:color="auto"/>
            </w:tcBorders>
            <w:shd w:val="clear" w:color="auto" w:fill="auto"/>
            <w:noWrap/>
            <w:vAlign w:val="bottom"/>
            <w:hideMark/>
          </w:tcPr>
          <w:p w14:paraId="71FA8AC3"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5 655 099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33AA55CC"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28AA4FCC"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8 834 487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28C41309"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p>
          <w:p w14:paraId="051B1684" w14:textId="77777777" w:rsidR="005058F7"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005058F7" w:rsidRPr="005058F7">
              <w:rPr>
                <w:rFonts w:ascii="Times New Roman" w:eastAsia="Times New Roman" w:hAnsi="Times New Roman" w:cs="Times New Roman"/>
                <w:color w:val="000000"/>
                <w:sz w:val="20"/>
                <w:szCs w:val="20"/>
                <w:lang w:eastAsia="lv-LV"/>
              </w:rPr>
              <w:t xml:space="preserve">ismaz </w:t>
            </w:r>
          </w:p>
          <w:p w14:paraId="7B3B7C0C"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sz w:val="20"/>
                <w:szCs w:val="20"/>
                <w:lang w:eastAsia="lv-LV"/>
              </w:rPr>
              <w:t xml:space="preserve">8 834 487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katru </w:t>
            </w:r>
            <w:r w:rsidR="000516AD">
              <w:rPr>
                <w:rFonts w:ascii="Times New Roman" w:eastAsia="Times New Roman" w:hAnsi="Times New Roman" w:cs="Times New Roman"/>
                <w:sz w:val="20"/>
                <w:szCs w:val="20"/>
                <w:lang w:eastAsia="lv-LV"/>
              </w:rPr>
              <w:lastRenderedPageBreak/>
              <w:t>gadu pēc 2025.gada</w:t>
            </w:r>
          </w:p>
        </w:tc>
        <w:tc>
          <w:tcPr>
            <w:tcW w:w="466" w:type="pct"/>
            <w:tcBorders>
              <w:top w:val="nil"/>
              <w:left w:val="nil"/>
              <w:bottom w:val="single" w:sz="4" w:space="0" w:color="auto"/>
              <w:right w:val="single" w:sz="4" w:space="0" w:color="auto"/>
            </w:tcBorders>
            <w:shd w:val="clear" w:color="auto" w:fill="auto"/>
            <w:noWrap/>
            <w:hideMark/>
          </w:tcPr>
          <w:p w14:paraId="3412DE1C"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lastRenderedPageBreak/>
              <w:t> </w:t>
            </w:r>
          </w:p>
        </w:tc>
      </w:tr>
      <w:tr w:rsidR="00871ECD" w:rsidRPr="005058F7" w14:paraId="5DC123A9" w14:textId="77777777" w:rsidTr="00871ECD">
        <w:trPr>
          <w:trHeight w:val="312"/>
        </w:trPr>
        <w:tc>
          <w:tcPr>
            <w:tcW w:w="467" w:type="pct"/>
            <w:tcBorders>
              <w:top w:val="nil"/>
              <w:left w:val="single" w:sz="4" w:space="0" w:color="auto"/>
              <w:bottom w:val="single" w:sz="4" w:space="0" w:color="auto"/>
              <w:right w:val="nil"/>
            </w:tcBorders>
            <w:shd w:val="clear" w:color="auto" w:fill="auto"/>
            <w:hideMark/>
          </w:tcPr>
          <w:p w14:paraId="665061B7"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466" w:type="pct"/>
            <w:tcBorders>
              <w:top w:val="nil"/>
              <w:left w:val="single" w:sz="4" w:space="0" w:color="auto"/>
              <w:bottom w:val="single" w:sz="4" w:space="0" w:color="auto"/>
              <w:right w:val="nil"/>
            </w:tcBorders>
            <w:shd w:val="clear" w:color="auto" w:fill="auto"/>
            <w:hideMark/>
          </w:tcPr>
          <w:p w14:paraId="34C18F4F" w14:textId="77777777" w:rsidR="005058F7" w:rsidRPr="005058F7" w:rsidRDefault="005058F7" w:rsidP="005058F7">
            <w:pPr>
              <w:spacing w:after="0" w:line="240" w:lineRule="auto"/>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w:t>
            </w:r>
          </w:p>
        </w:tc>
        <w:tc>
          <w:tcPr>
            <w:tcW w:w="568" w:type="pct"/>
            <w:tcBorders>
              <w:top w:val="nil"/>
              <w:left w:val="single" w:sz="4" w:space="0" w:color="auto"/>
              <w:bottom w:val="single" w:sz="4" w:space="0" w:color="auto"/>
              <w:right w:val="nil"/>
            </w:tcBorders>
            <w:shd w:val="clear" w:color="auto" w:fill="auto"/>
            <w:hideMark/>
          </w:tcPr>
          <w:p w14:paraId="00A39DC6" w14:textId="77777777" w:rsidR="005058F7" w:rsidRPr="005058F7" w:rsidRDefault="005058F7" w:rsidP="005058F7">
            <w:pPr>
              <w:spacing w:after="0" w:line="240" w:lineRule="auto"/>
              <w:jc w:val="center"/>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07.00.00 Attīstības sadarbības projekti un starptautiskā palīdzība</w:t>
            </w:r>
          </w:p>
        </w:tc>
        <w:tc>
          <w:tcPr>
            <w:tcW w:w="333" w:type="pct"/>
            <w:tcBorders>
              <w:top w:val="nil"/>
              <w:left w:val="single" w:sz="4" w:space="0" w:color="auto"/>
              <w:bottom w:val="single" w:sz="4" w:space="0" w:color="auto"/>
              <w:right w:val="single" w:sz="4" w:space="0" w:color="auto"/>
            </w:tcBorders>
            <w:shd w:val="clear" w:color="auto" w:fill="auto"/>
            <w:noWrap/>
            <w:hideMark/>
          </w:tcPr>
          <w:p w14:paraId="1FE860C4"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30D4FCA6"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33" w:type="pct"/>
            <w:tcBorders>
              <w:top w:val="nil"/>
              <w:left w:val="nil"/>
              <w:bottom w:val="single" w:sz="4" w:space="0" w:color="auto"/>
              <w:right w:val="single" w:sz="4" w:space="0" w:color="auto"/>
            </w:tcBorders>
            <w:shd w:val="clear" w:color="auto" w:fill="auto"/>
            <w:noWrap/>
            <w:hideMark/>
          </w:tcPr>
          <w:p w14:paraId="75ED292E"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r w:rsidRPr="005058F7">
              <w:rPr>
                <w:rFonts w:ascii="Times New Roman" w:eastAsia="Times New Roman" w:hAnsi="Times New Roman" w:cs="Times New Roman"/>
                <w:iCs/>
                <w:sz w:val="18"/>
                <w:szCs w:val="18"/>
                <w:lang w:eastAsia="lv-LV"/>
              </w:rPr>
              <w:t>463 813</w:t>
            </w:r>
          </w:p>
        </w:tc>
        <w:tc>
          <w:tcPr>
            <w:tcW w:w="367" w:type="pct"/>
            <w:gridSpan w:val="2"/>
            <w:tcBorders>
              <w:top w:val="nil"/>
              <w:left w:val="nil"/>
              <w:bottom w:val="single" w:sz="4" w:space="0" w:color="auto"/>
              <w:right w:val="single" w:sz="4" w:space="0" w:color="auto"/>
            </w:tcBorders>
            <w:shd w:val="clear" w:color="auto" w:fill="auto"/>
            <w:noWrap/>
            <w:hideMark/>
          </w:tcPr>
          <w:p w14:paraId="2651CD19"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783 875</w:t>
            </w:r>
          </w:p>
        </w:tc>
        <w:tc>
          <w:tcPr>
            <w:tcW w:w="400" w:type="pct"/>
            <w:gridSpan w:val="3"/>
            <w:tcBorders>
              <w:top w:val="nil"/>
              <w:left w:val="nil"/>
              <w:bottom w:val="single" w:sz="4" w:space="0" w:color="auto"/>
              <w:right w:val="single" w:sz="4" w:space="0" w:color="auto"/>
            </w:tcBorders>
            <w:shd w:val="clear" w:color="auto" w:fill="auto"/>
            <w:noWrap/>
            <w:hideMark/>
          </w:tcPr>
          <w:p w14:paraId="2B361239"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1 579 179</w:t>
            </w:r>
          </w:p>
        </w:tc>
        <w:tc>
          <w:tcPr>
            <w:tcW w:w="400" w:type="pct"/>
            <w:gridSpan w:val="2"/>
            <w:tcBorders>
              <w:top w:val="nil"/>
              <w:left w:val="nil"/>
              <w:bottom w:val="single" w:sz="4" w:space="0" w:color="auto"/>
              <w:right w:val="single" w:sz="4" w:space="0" w:color="auto"/>
            </w:tcBorders>
            <w:shd w:val="clear" w:color="auto" w:fill="auto"/>
            <w:noWrap/>
            <w:hideMark/>
          </w:tcPr>
          <w:p w14:paraId="5465DBE3"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3 216 155</w:t>
            </w:r>
          </w:p>
        </w:tc>
        <w:tc>
          <w:tcPr>
            <w:tcW w:w="467" w:type="pct"/>
            <w:gridSpan w:val="2"/>
            <w:tcBorders>
              <w:top w:val="nil"/>
              <w:left w:val="nil"/>
              <w:bottom w:val="single" w:sz="4" w:space="0" w:color="auto"/>
              <w:right w:val="single" w:sz="4" w:space="0" w:color="auto"/>
            </w:tcBorders>
            <w:shd w:val="clear" w:color="auto" w:fill="auto"/>
            <w:noWrap/>
            <w:hideMark/>
          </w:tcPr>
          <w:p w14:paraId="62B182BB" w14:textId="77777777" w:rsidR="005058F7" w:rsidRPr="005058F7" w:rsidRDefault="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c>
          <w:tcPr>
            <w:tcW w:w="400" w:type="pct"/>
            <w:gridSpan w:val="2"/>
            <w:tcBorders>
              <w:top w:val="nil"/>
              <w:left w:val="nil"/>
              <w:bottom w:val="single" w:sz="4" w:space="0" w:color="auto"/>
              <w:right w:val="single" w:sz="4" w:space="0" w:color="auto"/>
            </w:tcBorders>
            <w:shd w:val="clear" w:color="auto" w:fill="auto"/>
            <w:noWrap/>
            <w:vAlign w:val="bottom"/>
            <w:hideMark/>
          </w:tcPr>
          <w:p w14:paraId="4EF13605"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5 655 099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2024.gadā</w:t>
            </w:r>
          </w:p>
          <w:p w14:paraId="16B241D9" w14:textId="77777777" w:rsidR="000516AD" w:rsidRPr="005058F7" w:rsidRDefault="000516AD" w:rsidP="000516AD">
            <w:pPr>
              <w:spacing w:after="0" w:line="240" w:lineRule="auto"/>
              <w:jc w:val="right"/>
              <w:rPr>
                <w:rFonts w:ascii="Times New Roman" w:eastAsia="Times New Roman" w:hAnsi="Times New Roman" w:cs="Times New Roman"/>
                <w:sz w:val="20"/>
                <w:szCs w:val="20"/>
                <w:lang w:eastAsia="lv-LV"/>
              </w:rPr>
            </w:pPr>
          </w:p>
          <w:p w14:paraId="4F94E81D"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r w:rsidRPr="005058F7">
              <w:rPr>
                <w:rFonts w:ascii="Times New Roman" w:eastAsia="Times New Roman" w:hAnsi="Times New Roman" w:cs="Times New Roman"/>
                <w:sz w:val="20"/>
                <w:szCs w:val="20"/>
                <w:lang w:eastAsia="lv-LV"/>
              </w:rPr>
              <w:t xml:space="preserve">8 834 487 </w:t>
            </w:r>
            <w:proofErr w:type="spellStart"/>
            <w:r w:rsidRPr="005058F7">
              <w:rPr>
                <w:rFonts w:ascii="Times New Roman" w:eastAsia="Times New Roman" w:hAnsi="Times New Roman" w:cs="Times New Roman"/>
                <w:sz w:val="20"/>
                <w:szCs w:val="20"/>
                <w:lang w:eastAsia="lv-LV"/>
              </w:rPr>
              <w:t>euro</w:t>
            </w:r>
            <w:proofErr w:type="spellEnd"/>
            <w:r w:rsidRPr="005058F7">
              <w:rPr>
                <w:rFonts w:ascii="Times New Roman" w:eastAsia="Times New Roman" w:hAnsi="Times New Roman" w:cs="Times New Roman"/>
                <w:sz w:val="20"/>
                <w:szCs w:val="20"/>
                <w:lang w:eastAsia="lv-LV"/>
              </w:rPr>
              <w:t xml:space="preserve"> 2025.gadā</w:t>
            </w:r>
          </w:p>
          <w:p w14:paraId="1E9988EA" w14:textId="77777777" w:rsidR="000516AD" w:rsidRDefault="000516AD" w:rsidP="000516AD">
            <w:pPr>
              <w:spacing w:after="0" w:line="240" w:lineRule="auto"/>
              <w:jc w:val="right"/>
              <w:rPr>
                <w:rFonts w:ascii="Times New Roman" w:eastAsia="Times New Roman" w:hAnsi="Times New Roman" w:cs="Times New Roman"/>
                <w:sz w:val="20"/>
                <w:szCs w:val="20"/>
                <w:lang w:eastAsia="lv-LV"/>
              </w:rPr>
            </w:pPr>
          </w:p>
          <w:p w14:paraId="03262D76" w14:textId="77777777" w:rsidR="005058F7" w:rsidRPr="005058F7" w:rsidRDefault="000516AD" w:rsidP="000516AD">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w:t>
            </w:r>
            <w:r w:rsidR="005058F7" w:rsidRPr="005058F7">
              <w:rPr>
                <w:rFonts w:ascii="Times New Roman" w:eastAsia="Times New Roman" w:hAnsi="Times New Roman" w:cs="Times New Roman"/>
                <w:color w:val="000000"/>
                <w:sz w:val="20"/>
                <w:szCs w:val="20"/>
                <w:lang w:eastAsia="lv-LV"/>
              </w:rPr>
              <w:t xml:space="preserve">ismaz </w:t>
            </w:r>
          </w:p>
          <w:p w14:paraId="6AAAC109" w14:textId="77777777" w:rsidR="005058F7" w:rsidRPr="005058F7" w:rsidRDefault="005058F7" w:rsidP="005058F7">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sz w:val="20"/>
                <w:szCs w:val="20"/>
                <w:lang w:eastAsia="lv-LV"/>
              </w:rPr>
              <w:t xml:space="preserve">8 834 487 </w:t>
            </w:r>
            <w:proofErr w:type="spellStart"/>
            <w:r w:rsidRPr="005058F7">
              <w:rPr>
                <w:rFonts w:ascii="Times New Roman" w:eastAsia="Times New Roman" w:hAnsi="Times New Roman" w:cs="Times New Roman"/>
                <w:sz w:val="20"/>
                <w:szCs w:val="20"/>
                <w:lang w:eastAsia="lv-LV"/>
              </w:rPr>
              <w:t>euro</w:t>
            </w:r>
            <w:proofErr w:type="spellEnd"/>
            <w:r w:rsidR="000516AD">
              <w:rPr>
                <w:rFonts w:ascii="Times New Roman" w:eastAsia="Times New Roman" w:hAnsi="Times New Roman" w:cs="Times New Roman"/>
                <w:sz w:val="20"/>
                <w:szCs w:val="20"/>
                <w:lang w:eastAsia="lv-LV"/>
              </w:rPr>
              <w:t xml:space="preserve"> katru gadu pēc 2025.gada</w:t>
            </w:r>
          </w:p>
        </w:tc>
        <w:tc>
          <w:tcPr>
            <w:tcW w:w="466" w:type="pct"/>
            <w:tcBorders>
              <w:top w:val="nil"/>
              <w:left w:val="nil"/>
              <w:bottom w:val="single" w:sz="4" w:space="0" w:color="auto"/>
              <w:right w:val="single" w:sz="4" w:space="0" w:color="auto"/>
            </w:tcBorders>
            <w:shd w:val="clear" w:color="auto" w:fill="auto"/>
            <w:noWrap/>
            <w:hideMark/>
          </w:tcPr>
          <w:p w14:paraId="33BC66D1" w14:textId="77777777" w:rsidR="005058F7" w:rsidRPr="005058F7" w:rsidRDefault="005058F7" w:rsidP="000516AD">
            <w:pPr>
              <w:spacing w:after="0" w:line="240" w:lineRule="auto"/>
              <w:jc w:val="right"/>
              <w:rPr>
                <w:rFonts w:ascii="Times New Roman" w:eastAsia="Times New Roman" w:hAnsi="Times New Roman" w:cs="Times New Roman"/>
                <w:color w:val="000000"/>
                <w:sz w:val="20"/>
                <w:szCs w:val="20"/>
                <w:lang w:eastAsia="lv-LV"/>
              </w:rPr>
            </w:pPr>
            <w:r w:rsidRPr="005058F7">
              <w:rPr>
                <w:rFonts w:ascii="Times New Roman" w:eastAsia="Times New Roman" w:hAnsi="Times New Roman" w:cs="Times New Roman"/>
                <w:color w:val="000000"/>
                <w:sz w:val="20"/>
                <w:szCs w:val="20"/>
                <w:lang w:eastAsia="lv-LV"/>
              </w:rPr>
              <w:t> </w:t>
            </w:r>
          </w:p>
        </w:tc>
      </w:tr>
    </w:tbl>
    <w:p w14:paraId="5581EC06" w14:textId="77777777" w:rsidR="008A57FF" w:rsidRDefault="008A57FF" w:rsidP="006C0853">
      <w:pPr>
        <w:spacing w:line="240" w:lineRule="auto"/>
        <w:jc w:val="both"/>
        <w:rPr>
          <w:rFonts w:ascii="Times New Roman" w:hAnsi="Times New Roman" w:cs="Times New Roman"/>
          <w:color w:val="1B1D1F"/>
          <w:sz w:val="24"/>
          <w:szCs w:val="24"/>
        </w:rPr>
      </w:pPr>
    </w:p>
    <w:p w14:paraId="51B5E272" w14:textId="5EE101DD" w:rsidR="00BC781A" w:rsidRDefault="00BC781A" w:rsidP="00BC781A">
      <w:pPr>
        <w:spacing w:after="0"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Ārlietu ministra vietā -</w:t>
      </w:r>
    </w:p>
    <w:p w14:paraId="74489604" w14:textId="6633DA68" w:rsidR="00871ECD" w:rsidRDefault="00BC781A" w:rsidP="00BC781A">
      <w:pPr>
        <w:spacing w:after="0"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finanšu ministrs</w:t>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r>
      <w:r w:rsidR="00DD2D52">
        <w:rPr>
          <w:rFonts w:ascii="Times New Roman" w:hAnsi="Times New Roman" w:cs="Times New Roman"/>
          <w:color w:val="1B1D1F"/>
          <w:sz w:val="24"/>
          <w:szCs w:val="28"/>
        </w:rPr>
        <w:tab/>
        <w:t>J</w:t>
      </w:r>
      <w:r w:rsidR="00871ECD">
        <w:rPr>
          <w:rFonts w:ascii="Times New Roman" w:hAnsi="Times New Roman" w:cs="Times New Roman"/>
          <w:color w:val="1B1D1F"/>
          <w:sz w:val="24"/>
          <w:szCs w:val="28"/>
        </w:rPr>
        <w:t>. R</w:t>
      </w:r>
      <w:r w:rsidR="00DD2D52">
        <w:rPr>
          <w:rFonts w:ascii="Times New Roman" w:hAnsi="Times New Roman" w:cs="Times New Roman"/>
          <w:color w:val="1B1D1F"/>
          <w:sz w:val="24"/>
          <w:szCs w:val="28"/>
        </w:rPr>
        <w:t>eirs</w:t>
      </w:r>
    </w:p>
    <w:p w14:paraId="1FB0109D" w14:textId="77777777" w:rsidR="00871ECD" w:rsidRDefault="00871ECD" w:rsidP="00871ECD">
      <w:pPr>
        <w:spacing w:line="240" w:lineRule="auto"/>
        <w:jc w:val="both"/>
        <w:rPr>
          <w:rFonts w:ascii="Times New Roman" w:hAnsi="Times New Roman" w:cs="Times New Roman"/>
          <w:color w:val="1B1D1F"/>
          <w:sz w:val="24"/>
          <w:szCs w:val="28"/>
        </w:rPr>
      </w:pPr>
    </w:p>
    <w:p w14:paraId="407A25EF" w14:textId="77777777" w:rsidR="00871ECD" w:rsidRDefault="00871ECD" w:rsidP="00871ECD">
      <w:pPr>
        <w:spacing w:line="240" w:lineRule="auto"/>
        <w:jc w:val="both"/>
        <w:rPr>
          <w:rFonts w:ascii="Times New Roman" w:hAnsi="Times New Roman" w:cs="Times New Roman"/>
          <w:color w:val="1B1D1F"/>
          <w:sz w:val="24"/>
          <w:szCs w:val="28"/>
        </w:rPr>
      </w:pPr>
      <w:r>
        <w:rPr>
          <w:rFonts w:ascii="Times New Roman" w:hAnsi="Times New Roman" w:cs="Times New Roman"/>
          <w:color w:val="1B1D1F"/>
          <w:sz w:val="24"/>
          <w:szCs w:val="28"/>
        </w:rPr>
        <w:t>Vīza: valsts sekretārs</w:t>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r>
      <w:r>
        <w:rPr>
          <w:rFonts w:ascii="Times New Roman" w:hAnsi="Times New Roman" w:cs="Times New Roman"/>
          <w:color w:val="1B1D1F"/>
          <w:sz w:val="24"/>
          <w:szCs w:val="28"/>
        </w:rPr>
        <w:tab/>
        <w:t>A. Pelšs</w:t>
      </w:r>
    </w:p>
    <w:p w14:paraId="290E25EE" w14:textId="77777777" w:rsidR="00A025F9" w:rsidRDefault="00A025F9" w:rsidP="006C0853">
      <w:pPr>
        <w:spacing w:line="240" w:lineRule="auto"/>
        <w:jc w:val="both"/>
        <w:rPr>
          <w:rFonts w:ascii="Times New Roman" w:hAnsi="Times New Roman" w:cs="Times New Roman"/>
          <w:color w:val="1B1D1F"/>
          <w:sz w:val="24"/>
          <w:szCs w:val="24"/>
        </w:rPr>
      </w:pPr>
    </w:p>
    <w:p w14:paraId="1ED1E8B7" w14:textId="77777777" w:rsidR="00A025F9" w:rsidRDefault="00A025F9" w:rsidP="006C0853">
      <w:pPr>
        <w:spacing w:line="240" w:lineRule="auto"/>
        <w:jc w:val="both"/>
        <w:rPr>
          <w:rFonts w:ascii="Times New Roman" w:hAnsi="Times New Roman" w:cs="Times New Roman"/>
          <w:color w:val="1B1D1F"/>
          <w:sz w:val="24"/>
          <w:szCs w:val="24"/>
        </w:rPr>
      </w:pPr>
    </w:p>
    <w:p w14:paraId="75D9725E" w14:textId="77777777" w:rsidR="00BE7CFD" w:rsidRDefault="00BE7CFD" w:rsidP="006C0853">
      <w:pPr>
        <w:spacing w:line="240" w:lineRule="auto"/>
        <w:jc w:val="both"/>
        <w:rPr>
          <w:rFonts w:ascii="Times New Roman" w:hAnsi="Times New Roman" w:cs="Times New Roman"/>
          <w:color w:val="1B1D1F"/>
          <w:sz w:val="24"/>
          <w:szCs w:val="24"/>
        </w:rPr>
      </w:pPr>
    </w:p>
    <w:p w14:paraId="320581B3" w14:textId="77777777" w:rsidR="00BE7CFD" w:rsidRDefault="00BE7CFD" w:rsidP="006C0853">
      <w:pPr>
        <w:spacing w:line="240" w:lineRule="auto"/>
        <w:jc w:val="both"/>
        <w:rPr>
          <w:rFonts w:ascii="Times New Roman" w:hAnsi="Times New Roman" w:cs="Times New Roman"/>
          <w:color w:val="1B1D1F"/>
          <w:sz w:val="24"/>
          <w:szCs w:val="24"/>
        </w:rPr>
      </w:pPr>
    </w:p>
    <w:p w14:paraId="184D8C1E" w14:textId="77777777" w:rsidR="00BE7CFD" w:rsidRDefault="00BE7CFD" w:rsidP="006C0853">
      <w:pPr>
        <w:spacing w:line="240" w:lineRule="auto"/>
        <w:jc w:val="both"/>
        <w:rPr>
          <w:rFonts w:ascii="Times New Roman" w:hAnsi="Times New Roman" w:cs="Times New Roman"/>
          <w:color w:val="1B1D1F"/>
          <w:sz w:val="24"/>
          <w:szCs w:val="24"/>
        </w:rPr>
      </w:pPr>
    </w:p>
    <w:p w14:paraId="72051770" w14:textId="77777777" w:rsidR="00BE7CFD" w:rsidRDefault="00BE7CFD" w:rsidP="006C0853">
      <w:pPr>
        <w:spacing w:line="240" w:lineRule="auto"/>
        <w:jc w:val="both"/>
        <w:rPr>
          <w:rFonts w:ascii="Times New Roman" w:hAnsi="Times New Roman" w:cs="Times New Roman"/>
          <w:color w:val="1B1D1F"/>
          <w:sz w:val="24"/>
          <w:szCs w:val="24"/>
        </w:rPr>
      </w:pPr>
    </w:p>
    <w:p w14:paraId="48611AE6" w14:textId="77777777" w:rsidR="00871ECD" w:rsidRPr="00582338" w:rsidRDefault="00871ECD" w:rsidP="00871ECD">
      <w:pPr>
        <w:spacing w:after="0" w:line="240" w:lineRule="auto"/>
        <w:jc w:val="both"/>
        <w:rPr>
          <w:rFonts w:ascii="Times New Roman" w:eastAsia="Times New Roman" w:hAnsi="Times New Roman" w:cs="Times New Roman"/>
          <w:sz w:val="20"/>
          <w:szCs w:val="20"/>
          <w:lang w:eastAsia="lv-LV"/>
        </w:rPr>
      </w:pPr>
      <w:r w:rsidRPr="00582338">
        <w:rPr>
          <w:rFonts w:ascii="Times New Roman" w:eastAsia="Times New Roman" w:hAnsi="Times New Roman" w:cs="Times New Roman"/>
          <w:sz w:val="20"/>
          <w:szCs w:val="20"/>
          <w:lang w:eastAsia="lv-LV"/>
        </w:rPr>
        <w:t>Ozoliņa 67016285</w:t>
      </w:r>
    </w:p>
    <w:p w14:paraId="5051C318" w14:textId="79AFB29D" w:rsidR="00BE7CFD" w:rsidRPr="00F36A96" w:rsidRDefault="00871ECD" w:rsidP="006C0853">
      <w:pPr>
        <w:spacing w:line="240" w:lineRule="auto"/>
        <w:jc w:val="both"/>
        <w:rPr>
          <w:rFonts w:ascii="Times New Roman" w:hAnsi="Times New Roman" w:cs="Times New Roman"/>
          <w:sz w:val="24"/>
          <w:szCs w:val="24"/>
        </w:rPr>
      </w:pPr>
      <w:r w:rsidRPr="00F36A96">
        <w:rPr>
          <w:rFonts w:ascii="Times New Roman" w:eastAsia="Times New Roman" w:hAnsi="Times New Roman" w:cs="Times New Roman"/>
          <w:sz w:val="20"/>
          <w:lang w:eastAsia="lv-LV"/>
        </w:rPr>
        <w:t>linda.ozolina@mfa.gov.lv</w:t>
      </w:r>
    </w:p>
    <w:sectPr w:rsidR="00BE7CFD" w:rsidRPr="00F36A96" w:rsidSect="005058F7">
      <w:pgSz w:w="15840" w:h="12240" w:orient="landscape"/>
      <w:pgMar w:top="1800" w:right="1008" w:bottom="180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5FC3" w14:textId="77777777" w:rsidR="005F77BD" w:rsidRDefault="005F77BD" w:rsidP="00051FCD">
      <w:pPr>
        <w:spacing w:after="0" w:line="240" w:lineRule="auto"/>
      </w:pPr>
      <w:r>
        <w:separator/>
      </w:r>
    </w:p>
  </w:endnote>
  <w:endnote w:type="continuationSeparator" w:id="0">
    <w:p w14:paraId="5B00EBF6" w14:textId="77777777" w:rsidR="005F77BD" w:rsidRDefault="005F77BD" w:rsidP="0005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NeueLT Std Cn">
    <w:altName w:val="Arial"/>
    <w:charset w:val="00"/>
    <w:family w:val="swiss"/>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D814" w14:textId="77777777" w:rsidR="005F77BD" w:rsidRDefault="005F77BD" w:rsidP="002D27A8">
    <w:pPr>
      <w:pStyle w:val="Footer"/>
      <w:rPr>
        <w:rFonts w:ascii="Times New Roman" w:hAnsi="Times New Roman" w:cs="Times New Roman"/>
        <w:sz w:val="20"/>
      </w:rPr>
    </w:pPr>
  </w:p>
  <w:p w14:paraId="14EC62CA" w14:textId="76A373C5" w:rsidR="005F77BD" w:rsidRPr="002D27A8" w:rsidRDefault="005F77BD" w:rsidP="003D2609">
    <w:pPr>
      <w:pStyle w:val="Footer"/>
      <w:tabs>
        <w:tab w:val="left" w:pos="5595"/>
      </w:tabs>
      <w:rPr>
        <w:rFonts w:ascii="Times New Roman" w:hAnsi="Times New Roman" w:cs="Times New Roman"/>
        <w:sz w:val="20"/>
      </w:rPr>
    </w:pPr>
    <w:r w:rsidRPr="0073783D">
      <w:rPr>
        <w:rFonts w:ascii="Times New Roman" w:hAnsi="Times New Roman" w:cs="Times New Roman"/>
        <w:sz w:val="20"/>
      </w:rPr>
      <w:fldChar w:fldCharType="begin"/>
    </w:r>
    <w:r w:rsidRPr="0073783D">
      <w:rPr>
        <w:rFonts w:ascii="Times New Roman" w:hAnsi="Times New Roman" w:cs="Times New Roman"/>
        <w:sz w:val="20"/>
      </w:rPr>
      <w:instrText xml:space="preserve"> FILENAME \* MERGEFORMAT </w:instrText>
    </w:r>
    <w:r w:rsidRPr="0073783D">
      <w:rPr>
        <w:rFonts w:ascii="Times New Roman" w:hAnsi="Times New Roman" w:cs="Times New Roman"/>
        <w:sz w:val="20"/>
      </w:rPr>
      <w:fldChar w:fldCharType="separate"/>
    </w:r>
    <w:r w:rsidR="00B23A17">
      <w:rPr>
        <w:rFonts w:ascii="Times New Roman" w:hAnsi="Times New Roman" w:cs="Times New Roman"/>
        <w:noProof/>
        <w:sz w:val="20"/>
      </w:rPr>
      <w:t>AMZin_210220_AS_fin_2021-2025</w:t>
    </w:r>
    <w:r w:rsidRPr="0073783D">
      <w:rPr>
        <w:rFonts w:ascii="Times New Roman" w:hAnsi="Times New Roman" w:cs="Times New Roman"/>
        <w:sz w:val="20"/>
      </w:rPr>
      <w:fldChar w:fldCharType="end"/>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D27A8">
      <w:rPr>
        <w:rFonts w:ascii="Times New Roman" w:hAnsi="Times New Roman" w:cs="Times New Roman"/>
        <w:sz w:val="24"/>
        <w:szCs w:val="24"/>
      </w:rPr>
      <w:fldChar w:fldCharType="begin"/>
    </w:r>
    <w:r w:rsidRPr="002D27A8">
      <w:rPr>
        <w:rFonts w:ascii="Times New Roman" w:hAnsi="Times New Roman" w:cs="Times New Roman"/>
        <w:sz w:val="24"/>
        <w:szCs w:val="24"/>
      </w:rPr>
      <w:instrText xml:space="preserve"> PAGE  \* Arabic  \* MERGEFORMAT </w:instrText>
    </w:r>
    <w:r w:rsidRPr="002D27A8">
      <w:rPr>
        <w:rFonts w:ascii="Times New Roman" w:hAnsi="Times New Roman" w:cs="Times New Roman"/>
        <w:sz w:val="24"/>
        <w:szCs w:val="24"/>
      </w:rPr>
      <w:fldChar w:fldCharType="separate"/>
    </w:r>
    <w:r w:rsidR="00E5371B">
      <w:rPr>
        <w:rFonts w:ascii="Times New Roman" w:hAnsi="Times New Roman" w:cs="Times New Roman"/>
        <w:noProof/>
        <w:sz w:val="24"/>
        <w:szCs w:val="24"/>
      </w:rPr>
      <w:t>21</w:t>
    </w:r>
    <w:r w:rsidRPr="002D27A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38F2" w14:textId="77777777" w:rsidR="005F77BD" w:rsidRDefault="005F77BD" w:rsidP="00051FCD">
      <w:pPr>
        <w:spacing w:after="0" w:line="240" w:lineRule="auto"/>
      </w:pPr>
      <w:r>
        <w:separator/>
      </w:r>
    </w:p>
  </w:footnote>
  <w:footnote w:type="continuationSeparator" w:id="0">
    <w:p w14:paraId="69FC9F2C" w14:textId="77777777" w:rsidR="005F77BD" w:rsidRDefault="005F77BD" w:rsidP="00051FCD">
      <w:pPr>
        <w:spacing w:after="0" w:line="240" w:lineRule="auto"/>
      </w:pPr>
      <w:r>
        <w:continuationSeparator/>
      </w:r>
    </w:p>
  </w:footnote>
  <w:footnote w:id="1">
    <w:p w14:paraId="740942DE" w14:textId="77777777" w:rsidR="005F77BD" w:rsidRPr="00861173" w:rsidRDefault="005F77BD" w:rsidP="00470EF4">
      <w:pPr>
        <w:pStyle w:val="FootnoteText"/>
        <w:rPr>
          <w:rFonts w:ascii="Times New Roman" w:hAnsi="Times New Roman" w:cs="Times New Roman"/>
          <w:szCs w:val="22"/>
        </w:rPr>
      </w:pPr>
      <w:r w:rsidRPr="00861173">
        <w:rPr>
          <w:rStyle w:val="FootnoteReference"/>
          <w:rFonts w:ascii="Times New Roman" w:hAnsi="Times New Roman" w:cs="Times New Roman"/>
          <w:szCs w:val="22"/>
        </w:rPr>
        <w:footnoteRef/>
      </w:r>
      <w:r w:rsidRPr="00861173">
        <w:rPr>
          <w:rFonts w:ascii="Times New Roman" w:hAnsi="Times New Roman" w:cs="Times New Roman"/>
          <w:szCs w:val="22"/>
        </w:rPr>
        <w:t>Informatīvai</w:t>
      </w:r>
      <w:r>
        <w:rPr>
          <w:rFonts w:ascii="Times New Roman" w:hAnsi="Times New Roman" w:cs="Times New Roman"/>
          <w:szCs w:val="22"/>
        </w:rPr>
        <w:t>s</w:t>
      </w:r>
      <w:r w:rsidRPr="00861173">
        <w:rPr>
          <w:rFonts w:ascii="Times New Roman" w:hAnsi="Times New Roman" w:cs="Times New Roman"/>
          <w:szCs w:val="22"/>
        </w:rPr>
        <w:t xml:space="preserve"> ziņojums izskatīts M</w:t>
      </w:r>
      <w:r>
        <w:rPr>
          <w:rFonts w:ascii="Times New Roman" w:hAnsi="Times New Roman" w:cs="Times New Roman"/>
          <w:szCs w:val="22"/>
        </w:rPr>
        <w:t xml:space="preserve">inistru </w:t>
      </w:r>
      <w:r w:rsidRPr="00861173">
        <w:rPr>
          <w:rFonts w:ascii="Times New Roman" w:hAnsi="Times New Roman" w:cs="Times New Roman"/>
          <w:szCs w:val="22"/>
        </w:rPr>
        <w:t>K</w:t>
      </w:r>
      <w:r>
        <w:rPr>
          <w:rFonts w:ascii="Times New Roman" w:hAnsi="Times New Roman" w:cs="Times New Roman"/>
          <w:szCs w:val="22"/>
        </w:rPr>
        <w:t xml:space="preserve">abineta </w:t>
      </w:r>
      <w:r w:rsidRPr="00861173">
        <w:rPr>
          <w:rFonts w:ascii="Times New Roman" w:hAnsi="Times New Roman" w:cs="Times New Roman"/>
          <w:szCs w:val="22"/>
        </w:rPr>
        <w:t xml:space="preserve"> 12.03.2019</w:t>
      </w:r>
      <w:r>
        <w:rPr>
          <w:rFonts w:ascii="Times New Roman" w:hAnsi="Times New Roman" w:cs="Times New Roman"/>
          <w:szCs w:val="22"/>
        </w:rPr>
        <w:t xml:space="preserve">. </w:t>
      </w:r>
      <w:r w:rsidRPr="00861173">
        <w:rPr>
          <w:rFonts w:ascii="Times New Roman" w:hAnsi="Times New Roman" w:cs="Times New Roman"/>
          <w:szCs w:val="22"/>
        </w:rPr>
        <w:t xml:space="preserve">sēdē </w:t>
      </w:r>
    </w:p>
  </w:footnote>
  <w:footnote w:id="2">
    <w:p w14:paraId="22573E1B" w14:textId="77777777" w:rsidR="005F77BD" w:rsidRPr="00CB2518" w:rsidRDefault="005F77BD" w:rsidP="00CB2518">
      <w:pPr>
        <w:pStyle w:val="FootnoteText"/>
        <w:jc w:val="both"/>
        <w:rPr>
          <w:rFonts w:ascii="Times New Roman" w:hAnsi="Times New Roman" w:cs="Times New Roman"/>
        </w:rPr>
      </w:pPr>
      <w:r w:rsidRPr="00CB2518">
        <w:rPr>
          <w:rStyle w:val="FootnoteReference"/>
          <w:rFonts w:ascii="Times New Roman" w:hAnsi="Times New Roman" w:cs="Times New Roman"/>
        </w:rPr>
        <w:footnoteRef/>
      </w:r>
      <w:r w:rsidRPr="00CB2518">
        <w:rPr>
          <w:rFonts w:ascii="Times New Roman" w:hAnsi="Times New Roman" w:cs="Times New Roman"/>
        </w:rPr>
        <w:t xml:space="preserve"> A/RES/70/1 Mūsu pasaules pārveidošana: ilgtspējīgas attīstības programma 2030. gadam. Pieejama: </w:t>
      </w:r>
      <w:hyperlink r:id="rId1" w:history="1">
        <w:r w:rsidRPr="00CB2518">
          <w:rPr>
            <w:rStyle w:val="Hyperlink"/>
            <w:rFonts w:ascii="Times New Roman" w:hAnsi="Times New Roman" w:cs="Times New Roman"/>
          </w:rPr>
          <w:t>https://www.un.org/ga/search/view_doc.asp?symbol=A/RES/70/1&amp;Lang=E</w:t>
        </w:r>
      </w:hyperlink>
      <w:r w:rsidRPr="00CB2518">
        <w:rPr>
          <w:rFonts w:ascii="Times New Roman" w:hAnsi="Times New Roman" w:cs="Times New Roman"/>
        </w:rPr>
        <w:t xml:space="preserve"> </w:t>
      </w:r>
    </w:p>
  </w:footnote>
  <w:footnote w:id="3">
    <w:p w14:paraId="07F6443D" w14:textId="77777777" w:rsidR="005F77BD" w:rsidRPr="00CB2518" w:rsidRDefault="005F77BD" w:rsidP="00CB2518">
      <w:pPr>
        <w:pStyle w:val="FootnoteText"/>
        <w:jc w:val="both"/>
        <w:rPr>
          <w:rFonts w:ascii="Times New Roman" w:hAnsi="Times New Roman" w:cs="Times New Roman"/>
        </w:rPr>
      </w:pPr>
      <w:r w:rsidRPr="00CB2518">
        <w:rPr>
          <w:rStyle w:val="FootnoteReference"/>
          <w:rFonts w:ascii="Times New Roman" w:hAnsi="Times New Roman" w:cs="Times New Roman"/>
        </w:rPr>
        <w:footnoteRef/>
      </w:r>
      <w:r w:rsidRPr="00CB2518">
        <w:rPr>
          <w:rFonts w:ascii="Times New Roman" w:hAnsi="Times New Roman" w:cs="Times New Roman"/>
        </w:rPr>
        <w:t xml:space="preserve"> Dienaskārtība 2030 un 17 ilgtspējīgas attīstības mērķi pieejami: </w:t>
      </w:r>
      <w:hyperlink r:id="rId2" w:history="1">
        <w:r w:rsidRPr="00CB2518">
          <w:rPr>
            <w:rStyle w:val="Hyperlink"/>
            <w:rFonts w:ascii="Times New Roman" w:hAnsi="Times New Roman" w:cs="Times New Roman"/>
          </w:rPr>
          <w:t>https://www.pkc.gov.lv/lv/attistibas-planosana/ano-ilgtspejigas-attistibas-merki</w:t>
        </w:r>
      </w:hyperlink>
      <w:r w:rsidRPr="00CB2518">
        <w:rPr>
          <w:rFonts w:ascii="Times New Roman" w:hAnsi="Times New Roman" w:cs="Times New Roman"/>
        </w:rPr>
        <w:t>.</w:t>
      </w:r>
    </w:p>
  </w:footnote>
  <w:footnote w:id="4">
    <w:p w14:paraId="0DA49501" w14:textId="77777777" w:rsidR="005F77BD" w:rsidRPr="00CB2518" w:rsidRDefault="005F77BD" w:rsidP="00CB2518">
      <w:pPr>
        <w:pStyle w:val="FootnoteText"/>
        <w:jc w:val="both"/>
        <w:rPr>
          <w:rFonts w:ascii="Times New Roman" w:hAnsi="Times New Roman" w:cs="Times New Roman"/>
        </w:rPr>
      </w:pPr>
      <w:r w:rsidRPr="00CB2518">
        <w:rPr>
          <w:rStyle w:val="FootnoteReference"/>
          <w:rFonts w:ascii="Times New Roman" w:hAnsi="Times New Roman" w:cs="Times New Roman"/>
        </w:rPr>
        <w:footnoteRef/>
      </w:r>
      <w:r w:rsidRPr="00CB2518">
        <w:rPr>
          <w:rFonts w:ascii="Times New Roman" w:hAnsi="Times New Roman" w:cs="Times New Roman"/>
        </w:rPr>
        <w:t xml:space="preserve"> A/RES/69/313 Trešās Starptautiskās konferences par attīstības finansēšanu Adisabebas rīcības programma. Pieejama: </w:t>
      </w:r>
      <w:hyperlink r:id="rId3" w:history="1">
        <w:r w:rsidRPr="00CB2518">
          <w:rPr>
            <w:rStyle w:val="Hyperlink"/>
            <w:rFonts w:ascii="Times New Roman" w:hAnsi="Times New Roman" w:cs="Times New Roman"/>
          </w:rPr>
          <w:t>https://www.un.org/ga/search/view_doc.asp?symbol=A/RES/69/313&amp;Lang=E</w:t>
        </w:r>
      </w:hyperlink>
      <w:r w:rsidRPr="00CB2518">
        <w:rPr>
          <w:rFonts w:ascii="Times New Roman" w:hAnsi="Times New Roman" w:cs="Times New Roman"/>
        </w:rPr>
        <w:t xml:space="preserve"> </w:t>
      </w:r>
    </w:p>
  </w:footnote>
  <w:footnote w:id="5">
    <w:p w14:paraId="7DF50DB8" w14:textId="77777777" w:rsidR="005F77BD" w:rsidRPr="00861173" w:rsidRDefault="005F77BD" w:rsidP="00CB2518">
      <w:pPr>
        <w:pStyle w:val="FootnoteText"/>
        <w:jc w:val="both"/>
      </w:pPr>
      <w:r w:rsidRPr="00CB2518">
        <w:rPr>
          <w:rStyle w:val="FootnoteReference"/>
          <w:rFonts w:ascii="Times New Roman" w:hAnsi="Times New Roman" w:cs="Times New Roman"/>
          <w:szCs w:val="22"/>
        </w:rPr>
        <w:footnoteRef/>
      </w:r>
      <w:r w:rsidRPr="00CB2518">
        <w:rPr>
          <w:rFonts w:ascii="Times New Roman" w:hAnsi="Times New Roman" w:cs="Times New Roman"/>
          <w:szCs w:val="22"/>
        </w:rPr>
        <w:t xml:space="preserve"> ES Padomes secinājumi “Jauna globālā partnerības nabadzības izskaušanai un ilgtspējīgai attīstībai pēc 2015. gada” (2015. gada 26.maijs), ES kolektīvā apņemšanās apstiprināta arī ES</w:t>
      </w:r>
      <w:r w:rsidRPr="00CB2518">
        <w:rPr>
          <w:rFonts w:ascii="Times New Roman" w:hAnsi="Times New Roman" w:cs="Times New Roman"/>
        </w:rPr>
        <w:t xml:space="preserve"> </w:t>
      </w:r>
      <w:r w:rsidRPr="00CB2518">
        <w:rPr>
          <w:rFonts w:ascii="Times New Roman" w:hAnsi="Times New Roman" w:cs="Times New Roman"/>
          <w:szCs w:val="22"/>
        </w:rPr>
        <w:t>Padomes un Padomē sanākušo dalībvalstu valdību pārstāvju, Eiropas Parlamenta un Eiropas Komisijas kopīgajā paziņojumā Jaunais Eiropas konsenss par attīstību “Mūsu pasaule, mūsu cieņa, mūsu nākotne”</w:t>
      </w:r>
      <w:r>
        <w:rPr>
          <w:rFonts w:ascii="Times New Roman" w:hAnsi="Times New Roman" w:cs="Times New Roman"/>
          <w:szCs w:val="22"/>
        </w:rPr>
        <w:t xml:space="preserve">, pieejams: </w:t>
      </w:r>
      <w:hyperlink r:id="rId4" w:history="1">
        <w:r w:rsidRPr="00A918A4">
          <w:rPr>
            <w:rStyle w:val="Hyperlink"/>
            <w:rFonts w:ascii="Times New Roman" w:hAnsi="Times New Roman" w:cs="Times New Roman"/>
            <w:szCs w:val="22"/>
          </w:rPr>
          <w:t>https://eur-lex.europa.eu/legal-content/LV/TXT/?uri=celex:42017Y0630(01)</w:t>
        </w:r>
      </w:hyperlink>
      <w:r>
        <w:rPr>
          <w:rFonts w:ascii="Times New Roman" w:hAnsi="Times New Roman" w:cs="Times New Roman"/>
          <w:szCs w:val="22"/>
        </w:rPr>
        <w:t xml:space="preserve"> </w:t>
      </w:r>
    </w:p>
  </w:footnote>
  <w:footnote w:id="6">
    <w:p w14:paraId="3D1C3B30" w14:textId="77777777" w:rsidR="005F77BD" w:rsidRPr="000917AA" w:rsidRDefault="005F77BD" w:rsidP="00331DE2">
      <w:pPr>
        <w:pStyle w:val="FootnoteText"/>
        <w:jc w:val="both"/>
        <w:rPr>
          <w:rFonts w:ascii="Times New Roman" w:hAnsi="Times New Roman" w:cs="Times New Roman"/>
        </w:rPr>
      </w:pPr>
      <w:r w:rsidRPr="000917AA">
        <w:rPr>
          <w:rStyle w:val="FootnoteReference"/>
          <w:rFonts w:ascii="Times New Roman" w:hAnsi="Times New Roman" w:cs="Times New Roman"/>
        </w:rPr>
        <w:footnoteRef/>
      </w:r>
      <w:r w:rsidRPr="000917AA">
        <w:rPr>
          <w:rFonts w:ascii="Times New Roman" w:hAnsi="Times New Roman" w:cs="Times New Roman"/>
        </w:rPr>
        <w:t xml:space="preserve"> </w:t>
      </w:r>
      <w:r w:rsidRPr="00187830">
        <w:rPr>
          <w:rFonts w:ascii="Times New Roman" w:hAnsi="Times New Roman" w:cs="Times New Roman"/>
        </w:rPr>
        <w:t>OECD "</w:t>
      </w:r>
      <w:proofErr w:type="spellStart"/>
      <w:r w:rsidRPr="00187830">
        <w:rPr>
          <w:rFonts w:ascii="Times New Roman" w:hAnsi="Times New Roman" w:cs="Times New Roman"/>
        </w:rPr>
        <w:t>Trends</w:t>
      </w:r>
      <w:proofErr w:type="spellEnd"/>
      <w:r w:rsidRPr="00187830">
        <w:rPr>
          <w:rFonts w:ascii="Times New Roman" w:hAnsi="Times New Roman" w:cs="Times New Roman"/>
        </w:rPr>
        <w:t xml:space="preserve"> </w:t>
      </w:r>
      <w:proofErr w:type="spellStart"/>
      <w:r w:rsidRPr="00187830">
        <w:rPr>
          <w:rFonts w:ascii="Times New Roman" w:hAnsi="Times New Roman" w:cs="Times New Roman"/>
        </w:rPr>
        <w:t>and</w:t>
      </w:r>
      <w:proofErr w:type="spellEnd"/>
      <w:r w:rsidRPr="00187830">
        <w:rPr>
          <w:rFonts w:ascii="Times New Roman" w:hAnsi="Times New Roman" w:cs="Times New Roman"/>
        </w:rPr>
        <w:t xml:space="preserve"> </w:t>
      </w:r>
      <w:proofErr w:type="spellStart"/>
      <w:r w:rsidRPr="00187830">
        <w:rPr>
          <w:rFonts w:ascii="Times New Roman" w:hAnsi="Times New Roman" w:cs="Times New Roman"/>
        </w:rPr>
        <w:t>insig</w:t>
      </w:r>
      <w:r>
        <w:rPr>
          <w:rFonts w:ascii="Times New Roman" w:hAnsi="Times New Roman" w:cs="Times New Roman"/>
        </w:rPr>
        <w:t>hts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w:t>
      </w:r>
      <w:proofErr w:type="spellStart"/>
      <w:r>
        <w:rPr>
          <w:rFonts w:ascii="Times New Roman" w:hAnsi="Times New Roman" w:cs="Times New Roman"/>
        </w:rPr>
        <w:t>development</w:t>
      </w:r>
      <w:proofErr w:type="spellEnd"/>
      <w:r>
        <w:rPr>
          <w:rFonts w:ascii="Times New Roman" w:hAnsi="Times New Roman" w:cs="Times New Roman"/>
        </w:rPr>
        <w:t xml:space="preserve"> </w:t>
      </w:r>
      <w:proofErr w:type="spellStart"/>
      <w:r>
        <w:rPr>
          <w:rFonts w:ascii="Times New Roman" w:hAnsi="Times New Roman" w:cs="Times New Roman"/>
        </w:rPr>
        <w:t>finance</w:t>
      </w:r>
      <w:proofErr w:type="spellEnd"/>
      <w:r>
        <w:rPr>
          <w:rFonts w:ascii="Times New Roman" w:hAnsi="Times New Roman" w:cs="Times New Roman"/>
        </w:rPr>
        <w:t xml:space="preserve">", </w:t>
      </w:r>
      <w:proofErr w:type="spellStart"/>
      <w:r w:rsidRPr="006D48FC">
        <w:rPr>
          <w:rFonts w:ascii="Times New Roman" w:hAnsi="Times New Roman" w:cs="Times New Roman"/>
          <w:i/>
        </w:rPr>
        <w:t>Development</w:t>
      </w:r>
      <w:proofErr w:type="spellEnd"/>
      <w:r w:rsidRPr="006D48FC">
        <w:rPr>
          <w:rFonts w:ascii="Times New Roman" w:hAnsi="Times New Roman" w:cs="Times New Roman"/>
          <w:i/>
        </w:rPr>
        <w:t xml:space="preserve"> Co-</w:t>
      </w:r>
      <w:proofErr w:type="spellStart"/>
      <w:r w:rsidRPr="006D48FC">
        <w:rPr>
          <w:rFonts w:ascii="Times New Roman" w:hAnsi="Times New Roman" w:cs="Times New Roman"/>
          <w:i/>
        </w:rPr>
        <w:t>operation</w:t>
      </w:r>
      <w:proofErr w:type="spellEnd"/>
      <w:r w:rsidRPr="006D48FC">
        <w:rPr>
          <w:rFonts w:ascii="Times New Roman" w:hAnsi="Times New Roman" w:cs="Times New Roman"/>
          <w:i/>
        </w:rPr>
        <w:t xml:space="preserve"> </w:t>
      </w:r>
      <w:proofErr w:type="spellStart"/>
      <w:r w:rsidRPr="006D48FC">
        <w:rPr>
          <w:rFonts w:ascii="Times New Roman" w:hAnsi="Times New Roman" w:cs="Times New Roman"/>
          <w:i/>
        </w:rPr>
        <w:t>Profiles</w:t>
      </w:r>
      <w:proofErr w:type="spellEnd"/>
      <w:r>
        <w:rPr>
          <w:rFonts w:ascii="Times New Roman" w:hAnsi="Times New Roman" w:cs="Times New Roman"/>
        </w:rPr>
        <w:t xml:space="preserve"> (</w:t>
      </w:r>
      <w:r w:rsidRPr="00187830">
        <w:rPr>
          <w:rFonts w:ascii="Times New Roman" w:hAnsi="Times New Roman" w:cs="Times New Roman"/>
        </w:rPr>
        <w:t>2019)</w:t>
      </w:r>
      <w:r>
        <w:rPr>
          <w:rFonts w:ascii="Times New Roman" w:hAnsi="Times New Roman" w:cs="Times New Roman"/>
        </w:rPr>
        <w:t>. Pieejams:</w:t>
      </w:r>
      <w:r w:rsidRPr="00187830">
        <w:rPr>
          <w:rFonts w:ascii="Times New Roman" w:hAnsi="Times New Roman" w:cs="Times New Roman"/>
        </w:rPr>
        <w:t xml:space="preserve"> https://doi.org/10.1787/5e331623-en. </w:t>
      </w:r>
      <w:r>
        <w:rPr>
          <w:rFonts w:ascii="Times New Roman" w:hAnsi="Times New Roman" w:cs="Times New Roman"/>
        </w:rPr>
        <w:t>.</w:t>
      </w:r>
      <w:r w:rsidRPr="000917AA">
        <w:rPr>
          <w:rFonts w:ascii="Times New Roman" w:hAnsi="Times New Roman" w:cs="Times New Roman"/>
        </w:rPr>
        <w:t xml:space="preserve"> </w:t>
      </w:r>
    </w:p>
  </w:footnote>
  <w:footnote w:id="7">
    <w:p w14:paraId="7F177747" w14:textId="77777777" w:rsidR="005F77BD" w:rsidRDefault="005F77BD" w:rsidP="00331DE2">
      <w:pPr>
        <w:pStyle w:val="FootnoteText"/>
        <w:jc w:val="both"/>
      </w:pPr>
      <w:r w:rsidRPr="000917AA">
        <w:rPr>
          <w:rStyle w:val="FootnoteReference"/>
          <w:rFonts w:ascii="Times New Roman" w:hAnsi="Times New Roman" w:cs="Times New Roman"/>
        </w:rPr>
        <w:footnoteRef/>
      </w:r>
      <w:r>
        <w:rPr>
          <w:rFonts w:ascii="Times New Roman" w:hAnsi="Times New Roman" w:cs="Times New Roman"/>
        </w:rPr>
        <w:t xml:space="preserve"> OECD. </w:t>
      </w:r>
      <w:proofErr w:type="spellStart"/>
      <w:r w:rsidRPr="000917AA">
        <w:rPr>
          <w:rFonts w:ascii="Times New Roman" w:hAnsi="Times New Roman" w:cs="Times New Roman"/>
          <w:i/>
        </w:rPr>
        <w:t>Development</w:t>
      </w:r>
      <w:proofErr w:type="spellEnd"/>
      <w:r w:rsidRPr="000917AA">
        <w:rPr>
          <w:rFonts w:ascii="Times New Roman" w:hAnsi="Times New Roman" w:cs="Times New Roman"/>
          <w:i/>
        </w:rPr>
        <w:t xml:space="preserve"> </w:t>
      </w:r>
      <w:proofErr w:type="spellStart"/>
      <w:r w:rsidRPr="000917AA">
        <w:rPr>
          <w:rFonts w:ascii="Times New Roman" w:hAnsi="Times New Roman" w:cs="Times New Roman"/>
          <w:i/>
        </w:rPr>
        <w:t>aid</w:t>
      </w:r>
      <w:proofErr w:type="spellEnd"/>
      <w:r w:rsidRPr="000917AA">
        <w:rPr>
          <w:rFonts w:ascii="Times New Roman" w:hAnsi="Times New Roman" w:cs="Times New Roman"/>
          <w:i/>
        </w:rPr>
        <w:t xml:space="preserve"> </w:t>
      </w:r>
      <w:proofErr w:type="spellStart"/>
      <w:r w:rsidRPr="000917AA">
        <w:rPr>
          <w:rFonts w:ascii="Times New Roman" w:hAnsi="Times New Roman" w:cs="Times New Roman"/>
          <w:i/>
        </w:rPr>
        <w:t>drops</w:t>
      </w:r>
      <w:proofErr w:type="spellEnd"/>
      <w:r w:rsidRPr="000917AA">
        <w:rPr>
          <w:rFonts w:ascii="Times New Roman" w:hAnsi="Times New Roman" w:cs="Times New Roman"/>
          <w:i/>
        </w:rPr>
        <w:t xml:space="preserve"> </w:t>
      </w:r>
      <w:proofErr w:type="spellStart"/>
      <w:r w:rsidRPr="000917AA">
        <w:rPr>
          <w:rFonts w:ascii="Times New Roman" w:hAnsi="Times New Roman" w:cs="Times New Roman"/>
          <w:i/>
        </w:rPr>
        <w:t>in</w:t>
      </w:r>
      <w:proofErr w:type="spellEnd"/>
      <w:r w:rsidRPr="000917AA">
        <w:rPr>
          <w:rFonts w:ascii="Times New Roman" w:hAnsi="Times New Roman" w:cs="Times New Roman"/>
          <w:i/>
        </w:rPr>
        <w:t xml:space="preserve"> 2018, </w:t>
      </w:r>
      <w:proofErr w:type="spellStart"/>
      <w:r w:rsidRPr="000917AA">
        <w:rPr>
          <w:rFonts w:ascii="Times New Roman" w:hAnsi="Times New Roman" w:cs="Times New Roman"/>
          <w:i/>
        </w:rPr>
        <w:t>especially</w:t>
      </w:r>
      <w:proofErr w:type="spellEnd"/>
      <w:r w:rsidRPr="000917AA">
        <w:rPr>
          <w:rFonts w:ascii="Times New Roman" w:hAnsi="Times New Roman" w:cs="Times New Roman"/>
          <w:i/>
        </w:rPr>
        <w:t xml:space="preserve"> to </w:t>
      </w:r>
      <w:proofErr w:type="spellStart"/>
      <w:r w:rsidRPr="000917AA">
        <w:rPr>
          <w:rFonts w:ascii="Times New Roman" w:hAnsi="Times New Roman" w:cs="Times New Roman"/>
          <w:i/>
        </w:rPr>
        <w:t>neediest</w:t>
      </w:r>
      <w:proofErr w:type="spellEnd"/>
      <w:r w:rsidRPr="000917AA">
        <w:rPr>
          <w:rFonts w:ascii="Times New Roman" w:hAnsi="Times New Roman" w:cs="Times New Roman"/>
          <w:i/>
        </w:rPr>
        <w:t xml:space="preserve"> </w:t>
      </w:r>
      <w:proofErr w:type="spellStart"/>
      <w:r w:rsidRPr="000917AA">
        <w:rPr>
          <w:rFonts w:ascii="Times New Roman" w:hAnsi="Times New Roman" w:cs="Times New Roman"/>
          <w:i/>
        </w:rPr>
        <w:t>countries</w:t>
      </w:r>
      <w:proofErr w:type="spellEnd"/>
      <w:r>
        <w:rPr>
          <w:rFonts w:ascii="Times New Roman" w:hAnsi="Times New Roman" w:cs="Times New Roman"/>
          <w:i/>
        </w:rPr>
        <w:t xml:space="preserve">, </w:t>
      </w:r>
      <w:r w:rsidRPr="000917AA">
        <w:rPr>
          <w:rFonts w:ascii="Times New Roman" w:hAnsi="Times New Roman" w:cs="Times New Roman"/>
        </w:rPr>
        <w:t xml:space="preserve">10.04.2019. </w:t>
      </w:r>
      <w:r>
        <w:rPr>
          <w:rFonts w:ascii="Times New Roman" w:hAnsi="Times New Roman" w:cs="Times New Roman"/>
        </w:rPr>
        <w:t xml:space="preserve">Pieejams: </w:t>
      </w:r>
      <w:hyperlink r:id="rId5" w:history="1">
        <w:r w:rsidRPr="000917AA">
          <w:rPr>
            <w:rStyle w:val="Hyperlink"/>
            <w:rFonts w:ascii="Times New Roman" w:hAnsi="Times New Roman" w:cs="Times New Roman"/>
          </w:rPr>
          <w:t>http://www.oecd.org/dac/financing-sustainable-development/development-finance-data/ODA-2018-detailed-summary.pdf</w:t>
        </w:r>
      </w:hyperlink>
      <w:r>
        <w:t xml:space="preserve"> </w:t>
      </w:r>
    </w:p>
  </w:footnote>
  <w:footnote w:id="8">
    <w:p w14:paraId="4247CCA3" w14:textId="77777777" w:rsidR="005F77BD" w:rsidRPr="00514299" w:rsidRDefault="005F77BD" w:rsidP="00331DE2">
      <w:pPr>
        <w:pStyle w:val="FootnoteText"/>
        <w:jc w:val="both"/>
        <w:rPr>
          <w:rFonts w:ascii="Times New Roman" w:hAnsi="Times New Roman" w:cs="Times New Roman"/>
        </w:rPr>
      </w:pPr>
      <w:r w:rsidRPr="00E27604">
        <w:rPr>
          <w:rStyle w:val="FootnoteReference"/>
          <w:rFonts w:ascii="Times New Roman" w:hAnsi="Times New Roman" w:cs="Times New Roman"/>
        </w:rPr>
        <w:footnoteRef/>
      </w:r>
      <w:r w:rsidRPr="00E27604">
        <w:rPr>
          <w:rFonts w:ascii="Times New Roman" w:hAnsi="Times New Roman" w:cs="Times New Roman"/>
        </w:rPr>
        <w:t xml:space="preserve"> </w:t>
      </w:r>
      <w:r>
        <w:rPr>
          <w:rFonts w:ascii="Times New Roman" w:hAnsi="Times New Roman" w:cs="Times New Roman"/>
        </w:rPr>
        <w:t xml:space="preserve">Saistības ES ietvaros: Līdz </w:t>
      </w:r>
      <w:r w:rsidRPr="00E27604">
        <w:rPr>
          <w:rFonts w:ascii="Times New Roman" w:hAnsi="Times New Roman" w:cs="Times New Roman"/>
        </w:rPr>
        <w:t>2010</w:t>
      </w:r>
      <w:r>
        <w:rPr>
          <w:rFonts w:ascii="Times New Roman" w:hAnsi="Times New Roman" w:cs="Times New Roman"/>
        </w:rPr>
        <w:t>. gadam 0.17% no NKP (</w:t>
      </w:r>
      <w:r w:rsidRPr="003A3E8A">
        <w:rPr>
          <w:rFonts w:ascii="Times New Roman" w:hAnsi="Times New Roman" w:cs="Times New Roman"/>
        </w:rPr>
        <w:t>Koncepcija finansējuma palielināšanai no valsts budžeta 2006.-2010.gadā Latvijas Republikas attīstības sadarbības politikas īstenošanai</w:t>
      </w:r>
      <w:r>
        <w:rPr>
          <w:rFonts w:ascii="Times New Roman" w:hAnsi="Times New Roman" w:cs="Times New Roman"/>
        </w:rPr>
        <w:t xml:space="preserve"> (2006)); līdz 2015. </w:t>
      </w:r>
      <w:r w:rsidRPr="00514299">
        <w:rPr>
          <w:rFonts w:ascii="Times New Roman" w:hAnsi="Times New Roman" w:cs="Times New Roman"/>
        </w:rPr>
        <w:t>gadam 0.33% no NKI (Attīstības sadarbības politikas pamatnostādnes laika posmam no 2011.gada līdz 2015.gadam (2011).</w:t>
      </w:r>
    </w:p>
  </w:footnote>
  <w:footnote w:id="9">
    <w:p w14:paraId="57826E24" w14:textId="77777777" w:rsidR="005F77BD" w:rsidRPr="00514299" w:rsidRDefault="005F77BD" w:rsidP="00331DE2">
      <w:pPr>
        <w:pStyle w:val="FootnoteText"/>
        <w:jc w:val="both"/>
        <w:rPr>
          <w:rFonts w:ascii="Times New Roman" w:hAnsi="Times New Roman" w:cs="Times New Roman"/>
        </w:rPr>
      </w:pPr>
      <w:r w:rsidRPr="00514299">
        <w:rPr>
          <w:rStyle w:val="FootnoteReference"/>
          <w:rFonts w:ascii="Times New Roman" w:hAnsi="Times New Roman" w:cs="Times New Roman"/>
        </w:rPr>
        <w:footnoteRef/>
      </w:r>
      <w:r w:rsidRPr="00514299">
        <w:rPr>
          <w:rFonts w:ascii="Times New Roman" w:hAnsi="Times New Roman" w:cs="Times New Roman"/>
        </w:rPr>
        <w:t xml:space="preserve"> OECD, </w:t>
      </w:r>
      <w:proofErr w:type="spellStart"/>
      <w:r w:rsidRPr="00514299">
        <w:rPr>
          <w:rFonts w:ascii="Times New Roman" w:hAnsi="Times New Roman" w:cs="Times New Roman"/>
          <w:i/>
        </w:rPr>
        <w:t>Development</w:t>
      </w:r>
      <w:proofErr w:type="spellEnd"/>
      <w:r w:rsidRPr="00514299">
        <w:rPr>
          <w:rFonts w:ascii="Times New Roman" w:hAnsi="Times New Roman" w:cs="Times New Roman"/>
          <w:i/>
        </w:rPr>
        <w:t xml:space="preserve"> Co-</w:t>
      </w:r>
      <w:proofErr w:type="spellStart"/>
      <w:r w:rsidRPr="00514299">
        <w:rPr>
          <w:rFonts w:ascii="Times New Roman" w:hAnsi="Times New Roman" w:cs="Times New Roman"/>
          <w:i/>
        </w:rPr>
        <w:t>operation</w:t>
      </w:r>
      <w:proofErr w:type="spellEnd"/>
      <w:r w:rsidRPr="00514299">
        <w:rPr>
          <w:rFonts w:ascii="Times New Roman" w:hAnsi="Times New Roman" w:cs="Times New Roman"/>
          <w:i/>
        </w:rPr>
        <w:t xml:space="preserve"> </w:t>
      </w:r>
      <w:proofErr w:type="spellStart"/>
      <w:r w:rsidRPr="00514299">
        <w:rPr>
          <w:rFonts w:ascii="Times New Roman" w:hAnsi="Times New Roman" w:cs="Times New Roman"/>
          <w:i/>
        </w:rPr>
        <w:t>Profiles</w:t>
      </w:r>
      <w:proofErr w:type="spellEnd"/>
      <w:r w:rsidRPr="00514299">
        <w:rPr>
          <w:rFonts w:ascii="Times New Roman" w:hAnsi="Times New Roman" w:cs="Times New Roman"/>
        </w:rPr>
        <w:t xml:space="preserve"> (2019). Pieejams: https://doi.org/10.1787/2dcf1367-en. OECD nav publicējusi datus par Kipru.</w:t>
      </w:r>
    </w:p>
  </w:footnote>
  <w:footnote w:id="10">
    <w:p w14:paraId="41C84E9E" w14:textId="77777777" w:rsidR="005F77BD" w:rsidRPr="003A3E8A" w:rsidRDefault="005F77BD">
      <w:pPr>
        <w:pStyle w:val="FootnoteText"/>
        <w:rPr>
          <w:rFonts w:ascii="Times New Roman" w:hAnsi="Times New Roman" w:cs="Times New Roman"/>
        </w:rPr>
      </w:pPr>
      <w:r w:rsidRPr="00514299">
        <w:rPr>
          <w:rStyle w:val="FootnoteReference"/>
          <w:rFonts w:ascii="Times New Roman" w:hAnsi="Times New Roman" w:cs="Times New Roman"/>
        </w:rPr>
        <w:footnoteRef/>
      </w:r>
      <w:r w:rsidRPr="00514299">
        <w:rPr>
          <w:rFonts w:ascii="Times New Roman" w:hAnsi="Times New Roman" w:cs="Times New Roman"/>
        </w:rPr>
        <w:t xml:space="preserve"> Ziņojums</w:t>
      </w:r>
      <w:r w:rsidRPr="003A3E8A">
        <w:rPr>
          <w:rFonts w:ascii="Times New Roman" w:hAnsi="Times New Roman" w:cs="Times New Roman"/>
        </w:rPr>
        <w:t xml:space="preserve"> pieejams: </w:t>
      </w:r>
      <w:hyperlink r:id="rId6" w:history="1">
        <w:r w:rsidRPr="003A3E8A">
          <w:rPr>
            <w:rStyle w:val="Hyperlink"/>
            <w:rFonts w:ascii="Times New Roman" w:hAnsi="Times New Roman" w:cs="Times New Roman"/>
          </w:rPr>
          <w:t>http://data.consilium.europa.eu/doc/document/ST-9201-2019-INIT/lv/pdf</w:t>
        </w:r>
      </w:hyperlink>
      <w:r w:rsidRPr="003A3E8A">
        <w:rPr>
          <w:rFonts w:ascii="Times New Roman" w:hAnsi="Times New Roman" w:cs="Times New Roman"/>
        </w:rPr>
        <w:t xml:space="preserve"> </w:t>
      </w:r>
    </w:p>
  </w:footnote>
  <w:footnote w:id="11">
    <w:p w14:paraId="3C7CE0AF" w14:textId="77777777" w:rsidR="005F77BD" w:rsidRPr="008639EC" w:rsidRDefault="005F77BD" w:rsidP="003149FB">
      <w:pPr>
        <w:pStyle w:val="FootnoteText"/>
        <w:rPr>
          <w:rFonts w:ascii="Times New Roman" w:hAnsi="Times New Roman" w:cs="Times New Roman"/>
        </w:rPr>
      </w:pPr>
      <w:r w:rsidRPr="008639EC">
        <w:rPr>
          <w:rStyle w:val="FootnoteReference"/>
          <w:rFonts w:ascii="Times New Roman" w:hAnsi="Times New Roman" w:cs="Times New Roman"/>
        </w:rPr>
        <w:footnoteRef/>
      </w:r>
      <w:r w:rsidRPr="008639EC">
        <w:rPr>
          <w:rFonts w:ascii="Times New Roman" w:hAnsi="Times New Roman" w:cs="Times New Roman"/>
        </w:rPr>
        <w:t xml:space="preserve"> </w:t>
      </w:r>
      <w:r>
        <w:rPr>
          <w:rFonts w:ascii="Times New Roman" w:hAnsi="Times New Roman" w:cs="Times New Roman"/>
        </w:rPr>
        <w:t>Atbilstoši</w:t>
      </w:r>
      <w:r w:rsidRPr="008639EC">
        <w:rPr>
          <w:rFonts w:ascii="Times New Roman" w:hAnsi="Times New Roman" w:cs="Times New Roman"/>
        </w:rPr>
        <w:t xml:space="preserve"> Eirobarometra datiem</w:t>
      </w:r>
      <w:r>
        <w:rPr>
          <w:rFonts w:ascii="Times New Roman" w:hAnsi="Times New Roman" w:cs="Times New Roman"/>
        </w:rPr>
        <w:t>,</w:t>
      </w:r>
      <w:r w:rsidRPr="008639EC">
        <w:rPr>
          <w:rFonts w:ascii="Times New Roman" w:hAnsi="Times New Roman" w:cs="Times New Roman"/>
        </w:rPr>
        <w:t xml:space="preserve"> 2019</w:t>
      </w:r>
      <w:r>
        <w:rPr>
          <w:rFonts w:ascii="Times New Roman" w:hAnsi="Times New Roman" w:cs="Times New Roman"/>
        </w:rPr>
        <w:t>. gad</w:t>
      </w:r>
      <w:r w:rsidRPr="008639EC">
        <w:rPr>
          <w:rFonts w:ascii="Times New Roman" w:hAnsi="Times New Roman" w:cs="Times New Roman"/>
        </w:rPr>
        <w:t>ā 78%</w:t>
      </w:r>
      <w:r>
        <w:rPr>
          <w:rFonts w:ascii="Times New Roman" w:hAnsi="Times New Roman" w:cs="Times New Roman"/>
        </w:rPr>
        <w:t xml:space="preserve"> respondentu Latvijā uzskatīja</w:t>
      </w:r>
      <w:r w:rsidRPr="008639EC">
        <w:rPr>
          <w:rFonts w:ascii="Times New Roman" w:hAnsi="Times New Roman" w:cs="Times New Roman"/>
        </w:rPr>
        <w:t>, ka ir svarīgi palīdzēt attīstības valstīm</w:t>
      </w:r>
      <w:r>
        <w:rPr>
          <w:rFonts w:ascii="Times New Roman" w:hAnsi="Times New Roman" w:cs="Times New Roman"/>
        </w:rPr>
        <w:t xml:space="preserve">. Pieejams: </w:t>
      </w:r>
      <w:hyperlink r:id="rId7" w:history="1">
        <w:r w:rsidRPr="008B657F">
          <w:rPr>
            <w:rStyle w:val="Hyperlink"/>
            <w:rFonts w:ascii="Times New Roman" w:hAnsi="Times New Roman" w:cs="Times New Roman"/>
          </w:rPr>
          <w:t>https://ec.europa.eu/commfrontoffice/publicopinion/index.cfm/Survey/getSurveyDetail/instruments/SPECIAL/surveyKy/2252</w:t>
        </w:r>
      </w:hyperlink>
      <w:r>
        <w:rPr>
          <w:rFonts w:ascii="Times New Roman" w:hAnsi="Times New Roman" w:cs="Times New Roman"/>
        </w:rPr>
        <w:t xml:space="preserve"> </w:t>
      </w:r>
    </w:p>
  </w:footnote>
  <w:footnote w:id="12">
    <w:p w14:paraId="1DC478E3" w14:textId="77777777" w:rsidR="005F77BD" w:rsidRDefault="005F77BD" w:rsidP="00F974AD">
      <w:pPr>
        <w:spacing w:after="0" w:line="240" w:lineRule="auto"/>
        <w:jc w:val="both"/>
        <w:rPr>
          <w:rFonts w:ascii="Times New Roman" w:hAnsi="Times New Roman" w:cs="Times New Roman"/>
          <w:color w:val="1B1D1F"/>
          <w:sz w:val="20"/>
          <w:szCs w:val="20"/>
        </w:rPr>
      </w:pPr>
      <w:r w:rsidRPr="008A0241">
        <w:rPr>
          <w:rStyle w:val="FootnoteReference"/>
          <w:rFonts w:ascii="Times New Roman" w:hAnsi="Times New Roman" w:cs="Times New Roman"/>
          <w:sz w:val="20"/>
          <w:szCs w:val="20"/>
        </w:rPr>
        <w:footnoteRef/>
      </w:r>
      <w:r>
        <w:rPr>
          <w:rFonts w:ascii="Times New Roman" w:hAnsi="Times New Roman" w:cs="Times New Roman"/>
          <w:color w:val="1B1D1F"/>
          <w:sz w:val="20"/>
          <w:szCs w:val="20"/>
        </w:rPr>
        <w:t xml:space="preserve">Precīza OAP definīcija pieejama OECD mājaslapā: </w:t>
      </w:r>
      <w:hyperlink r:id="rId8" w:history="1">
        <w:r w:rsidRPr="002D60C3">
          <w:rPr>
            <w:rStyle w:val="Hyperlink"/>
            <w:rFonts w:ascii="Times New Roman" w:hAnsi="Times New Roman" w:cs="Times New Roman"/>
            <w:sz w:val="20"/>
            <w:szCs w:val="20"/>
          </w:rPr>
          <w:t>http://www.oecd.org/dac/financing-sustainable-development/development-finance-standards/officialdevelopmentassistancedefinitionandcoverage.htm</w:t>
        </w:r>
      </w:hyperlink>
      <w:r>
        <w:rPr>
          <w:rFonts w:ascii="Times New Roman" w:hAnsi="Times New Roman" w:cs="Times New Roman"/>
          <w:color w:val="1B1D1F"/>
          <w:sz w:val="20"/>
          <w:szCs w:val="20"/>
        </w:rPr>
        <w:t xml:space="preserve"> </w:t>
      </w:r>
    </w:p>
    <w:p w14:paraId="155E51BE" w14:textId="77777777" w:rsidR="005F77BD" w:rsidRPr="009B04A3" w:rsidRDefault="005F77BD" w:rsidP="00F974AD">
      <w:pPr>
        <w:spacing w:after="0" w:line="240" w:lineRule="auto"/>
        <w:jc w:val="both"/>
        <w:rPr>
          <w:rFonts w:ascii="Times New Roman" w:hAnsi="Times New Roman" w:cs="Times New Roman"/>
          <w:color w:val="1B1D1F"/>
          <w:sz w:val="20"/>
          <w:szCs w:val="20"/>
        </w:rPr>
      </w:pPr>
      <w:r>
        <w:rPr>
          <w:rFonts w:ascii="Times New Roman" w:hAnsi="Times New Roman" w:cs="Times New Roman"/>
          <w:color w:val="1B1D1F"/>
          <w:sz w:val="20"/>
          <w:szCs w:val="20"/>
        </w:rPr>
        <w:t>N</w:t>
      </w:r>
      <w:r w:rsidRPr="008A0241">
        <w:rPr>
          <w:rFonts w:ascii="Times New Roman" w:hAnsi="Times New Roman" w:cs="Times New Roman"/>
          <w:color w:val="1B1D1F"/>
          <w:sz w:val="20"/>
          <w:szCs w:val="20"/>
        </w:rPr>
        <w:t>e visa palīdzība attīstības valstīm vai ieguldījumi starptautiskajās organizācijas ir OAP. Piemēram, militārais atbalsts attīstības valstīm, transakcijas ar primāri komerciālu vai donor</w:t>
      </w:r>
      <w:r>
        <w:rPr>
          <w:rFonts w:ascii="Times New Roman" w:hAnsi="Times New Roman" w:cs="Times New Roman"/>
          <w:color w:val="1B1D1F"/>
          <w:sz w:val="20"/>
          <w:szCs w:val="20"/>
        </w:rPr>
        <w:t>a</w:t>
      </w:r>
      <w:r w:rsidRPr="008A0241">
        <w:rPr>
          <w:rFonts w:ascii="Times New Roman" w:hAnsi="Times New Roman" w:cs="Times New Roman"/>
          <w:color w:val="1B1D1F"/>
          <w:sz w:val="20"/>
          <w:szCs w:val="20"/>
        </w:rPr>
        <w:t xml:space="preserve"> drošības veicināšanas mērķi netiek uzskatītas par OAP. </w:t>
      </w:r>
    </w:p>
  </w:footnote>
  <w:footnote w:id="13">
    <w:p w14:paraId="5E729F1E" w14:textId="77777777" w:rsidR="005F77BD" w:rsidRDefault="005F77BD">
      <w:pPr>
        <w:pStyle w:val="FootnoteText"/>
      </w:pPr>
      <w:r w:rsidRPr="00A63C18">
        <w:rPr>
          <w:rStyle w:val="FootnoteReference"/>
          <w:rFonts w:ascii="Times New Roman" w:hAnsi="Times New Roman" w:cs="Times New Roman"/>
        </w:rPr>
        <w:footnoteRef/>
      </w:r>
      <w:r>
        <w:t xml:space="preserve"> </w:t>
      </w:r>
      <w:r w:rsidRPr="00A63C18">
        <w:rPr>
          <w:rFonts w:ascii="Times New Roman" w:hAnsi="Times New Roman" w:cs="Times New Roman"/>
        </w:rPr>
        <w:t>Kopš 2017.gada Latvija iesniedz ziņojumu par sniegto palīdzību aktivitāšu līmen</w:t>
      </w:r>
      <w:r>
        <w:rPr>
          <w:rFonts w:ascii="Times New Roman" w:hAnsi="Times New Roman" w:cs="Times New Roman"/>
        </w:rPr>
        <w:t xml:space="preserve">ī (CRS++ sistēmā). </w:t>
      </w:r>
      <w:r w:rsidRPr="00A63C18">
        <w:rPr>
          <w:rStyle w:val="FootnoteReference"/>
        </w:rPr>
        <w:t xml:space="preserve"> </w:t>
      </w:r>
    </w:p>
  </w:footnote>
  <w:footnote w:id="14">
    <w:p w14:paraId="6E4F2B78" w14:textId="77777777" w:rsidR="005F77BD" w:rsidRPr="00172256" w:rsidRDefault="005F77BD" w:rsidP="008A0241">
      <w:pPr>
        <w:pStyle w:val="FootnoteText"/>
        <w:jc w:val="both"/>
        <w:rPr>
          <w:rFonts w:ascii="Times New Roman" w:hAnsi="Times New Roman" w:cs="Times New Roman"/>
        </w:rPr>
      </w:pPr>
      <w:r w:rsidRPr="00172256">
        <w:rPr>
          <w:rStyle w:val="FootnoteReference"/>
          <w:rFonts w:ascii="Times New Roman" w:hAnsi="Times New Roman" w:cs="Times New Roman"/>
        </w:rPr>
        <w:footnoteRef/>
      </w:r>
      <w:r w:rsidRPr="00172256">
        <w:rPr>
          <w:rFonts w:ascii="Times New Roman" w:hAnsi="Times New Roman" w:cs="Times New Roman"/>
        </w:rPr>
        <w:t>Attiecībā uz daudzpusējo sadarbību, ne visas iemaksas un ne pilnā apmērā ir OAP. Piemēram, atbilstoši OECD</w:t>
      </w:r>
      <w:r>
        <w:rPr>
          <w:rFonts w:ascii="Times New Roman" w:hAnsi="Times New Roman" w:cs="Times New Roman"/>
        </w:rPr>
        <w:t xml:space="preserve"> </w:t>
      </w:r>
      <w:r w:rsidRPr="00172256">
        <w:rPr>
          <w:rFonts w:ascii="Times New Roman" w:hAnsi="Times New Roman" w:cs="Times New Roman"/>
        </w:rPr>
        <w:t>DAC vadlīnijām, tikai 18% no iemaksām ANO regulārajā budžetā ir uzskatāma par OAP. Vienlaikus ir virkne ANO fondi un programmas, kur ve</w:t>
      </w:r>
      <w:r>
        <w:rPr>
          <w:rFonts w:ascii="Times New Roman" w:hAnsi="Times New Roman" w:cs="Times New Roman"/>
        </w:rPr>
        <w:t>iktās iemaksas uzskaitāmas kā</w:t>
      </w:r>
      <w:r w:rsidRPr="00172256">
        <w:rPr>
          <w:rFonts w:ascii="Times New Roman" w:hAnsi="Times New Roman" w:cs="Times New Roman"/>
        </w:rPr>
        <w:t xml:space="preserve"> OAP pilnā apmērā – piemēram, ANO Dzimumu līdztiesības un sieviešu </w:t>
      </w:r>
      <w:r>
        <w:rPr>
          <w:rFonts w:ascii="Times New Roman" w:hAnsi="Times New Roman" w:cs="Times New Roman"/>
        </w:rPr>
        <w:t>iespēju veicināšanas institūcijā</w:t>
      </w:r>
      <w:r w:rsidRPr="00172256">
        <w:rPr>
          <w:rFonts w:ascii="Times New Roman" w:hAnsi="Times New Roman" w:cs="Times New Roman"/>
        </w:rPr>
        <w:t xml:space="preserve"> (UNWOMEN), ANO Augstā k</w:t>
      </w:r>
      <w:r>
        <w:rPr>
          <w:rFonts w:ascii="Times New Roman" w:hAnsi="Times New Roman" w:cs="Times New Roman"/>
        </w:rPr>
        <w:t>omisāra bēgļu jautājumos birojā (UNHCR), ANO Vides programmā</w:t>
      </w:r>
      <w:r w:rsidRPr="00172256">
        <w:rPr>
          <w:rFonts w:ascii="Times New Roman" w:hAnsi="Times New Roman" w:cs="Times New Roman"/>
        </w:rPr>
        <w:t xml:space="preserve"> (UNEP) u.</w:t>
      </w:r>
      <w:r>
        <w:rPr>
          <w:rFonts w:ascii="Times New Roman" w:hAnsi="Times New Roman" w:cs="Times New Roman"/>
        </w:rPr>
        <w:t xml:space="preserve">c. </w:t>
      </w:r>
    </w:p>
  </w:footnote>
  <w:footnote w:id="15">
    <w:p w14:paraId="6E43982C" w14:textId="77777777" w:rsidR="005F77BD" w:rsidRPr="00C15387" w:rsidRDefault="005F77BD">
      <w:pPr>
        <w:pStyle w:val="FootnoteText"/>
        <w:rPr>
          <w:rFonts w:ascii="Times New Roman" w:hAnsi="Times New Roman" w:cs="Times New Roman"/>
        </w:rPr>
      </w:pPr>
      <w:r w:rsidRPr="00C15387">
        <w:rPr>
          <w:rStyle w:val="FootnoteReference"/>
          <w:rFonts w:ascii="Times New Roman" w:hAnsi="Times New Roman" w:cs="Times New Roman"/>
        </w:rPr>
        <w:footnoteRef/>
      </w:r>
      <w:r w:rsidRPr="00C15387">
        <w:rPr>
          <w:rFonts w:ascii="Times New Roman" w:hAnsi="Times New Roman" w:cs="Times New Roman"/>
        </w:rPr>
        <w:t xml:space="preserve"> </w:t>
      </w:r>
      <w:r>
        <w:rPr>
          <w:rFonts w:ascii="Times New Roman" w:hAnsi="Times New Roman" w:cs="Times New Roman"/>
        </w:rPr>
        <w:t xml:space="preserve">ĀM rīcībā esošā informācija, finansējums ietver arī </w:t>
      </w:r>
      <w:r w:rsidRPr="00C15387">
        <w:rPr>
          <w:rFonts w:ascii="Times New Roman" w:hAnsi="Times New Roman" w:cs="Times New Roman"/>
        </w:rPr>
        <w:t xml:space="preserve">humāno palīdzību un brīvprātīgās iemaksas. </w:t>
      </w:r>
    </w:p>
  </w:footnote>
  <w:footnote w:id="16">
    <w:p w14:paraId="3231BA4F" w14:textId="77777777" w:rsidR="005F77BD" w:rsidRDefault="005F77BD" w:rsidP="00E86D08">
      <w:pPr>
        <w:pStyle w:val="FootnoteText"/>
      </w:pPr>
      <w:r>
        <w:rPr>
          <w:rStyle w:val="FootnoteReference"/>
        </w:rPr>
        <w:footnoteRef/>
      </w:r>
      <w:r>
        <w:t xml:space="preserve"> </w:t>
      </w:r>
      <w:r w:rsidRPr="00AB4066">
        <w:rPr>
          <w:rFonts w:ascii="Times New Roman" w:hAnsi="Times New Roman" w:cs="Times New Roman"/>
        </w:rPr>
        <w:t>Finansējums no ĀM budžeta programmas “Attīstības sadarbības projekti un starptautiskā palīdzība” un budžeta programmas “Līdzekļi neparedzētiem gadījumiem”.</w:t>
      </w:r>
    </w:p>
  </w:footnote>
  <w:footnote w:id="17">
    <w:p w14:paraId="38C538F3" w14:textId="77777777" w:rsidR="005F77BD" w:rsidRPr="00E90C8F" w:rsidRDefault="005F77BD">
      <w:pPr>
        <w:pStyle w:val="FootnoteText"/>
        <w:rPr>
          <w:rFonts w:ascii="Times New Roman" w:hAnsi="Times New Roman" w:cs="Times New Roman"/>
        </w:rPr>
      </w:pPr>
      <w:r w:rsidRPr="00063A78">
        <w:rPr>
          <w:rStyle w:val="FootnoteReference"/>
          <w:rFonts w:ascii="Times New Roman" w:hAnsi="Times New Roman" w:cs="Times New Roman"/>
        </w:rPr>
        <w:footnoteRef/>
      </w:r>
      <w:r w:rsidRPr="00063A78">
        <w:rPr>
          <w:rFonts w:ascii="Times New Roman" w:hAnsi="Times New Roman" w:cs="Times New Roman"/>
        </w:rPr>
        <w:t xml:space="preserve"> </w:t>
      </w:r>
      <w:r>
        <w:rPr>
          <w:rFonts w:ascii="Times New Roman" w:hAnsi="Times New Roman" w:cs="Times New Roman"/>
        </w:rPr>
        <w:t>A</w:t>
      </w:r>
      <w:r w:rsidRPr="00063A78">
        <w:rPr>
          <w:rFonts w:ascii="Times New Roman" w:hAnsi="Times New Roman" w:cs="Times New Roman"/>
        </w:rPr>
        <w:t>r laiku</w:t>
      </w:r>
      <w:r>
        <w:rPr>
          <w:rFonts w:ascii="Times New Roman" w:hAnsi="Times New Roman" w:cs="Times New Roman"/>
        </w:rPr>
        <w:t xml:space="preserve"> plānots</w:t>
      </w:r>
      <w:r w:rsidRPr="00063A78">
        <w:rPr>
          <w:rFonts w:ascii="Times New Roman" w:hAnsi="Times New Roman" w:cs="Times New Roman"/>
        </w:rPr>
        <w:t xml:space="preserve"> pāriet uz </w:t>
      </w:r>
      <w:r>
        <w:rPr>
          <w:rFonts w:ascii="Times New Roman" w:hAnsi="Times New Roman" w:cs="Times New Roman"/>
        </w:rPr>
        <w:t>plānošanu vidējā termiņā (ikgadējos Attīstības sadarbības politikas plānus aizstāt ar trīs gadu plāniem)</w:t>
      </w:r>
      <w:r w:rsidRPr="00063A78">
        <w:rPr>
          <w:rFonts w:ascii="Times New Roman" w:hAnsi="Times New Roman" w:cs="Times New Roman"/>
        </w:rPr>
        <w:t xml:space="preserve">. </w:t>
      </w:r>
    </w:p>
  </w:footnote>
  <w:footnote w:id="18">
    <w:p w14:paraId="01268A5D" w14:textId="77777777" w:rsidR="005F77BD" w:rsidRPr="00631970" w:rsidRDefault="005F77BD" w:rsidP="00506430">
      <w:pPr>
        <w:pStyle w:val="FootnoteText"/>
        <w:jc w:val="both"/>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CS</w:t>
      </w:r>
      <w:r>
        <w:rPr>
          <w:rFonts w:ascii="Times New Roman" w:hAnsi="Times New Roman" w:cs="Times New Roman"/>
        </w:rPr>
        <w:t>P</w:t>
      </w:r>
      <w:r w:rsidRPr="00631970">
        <w:rPr>
          <w:rFonts w:ascii="Times New Roman" w:hAnsi="Times New Roman" w:cs="Times New Roman"/>
        </w:rPr>
        <w:t>, 21.10.2019. atjaunotie dati. Ziņojot OECD, tika izmantoti CS</w:t>
      </w:r>
      <w:r>
        <w:rPr>
          <w:rFonts w:ascii="Times New Roman" w:hAnsi="Times New Roman" w:cs="Times New Roman"/>
        </w:rPr>
        <w:t>P</w:t>
      </w:r>
      <w:r w:rsidRPr="00631970">
        <w:rPr>
          <w:rFonts w:ascii="Times New Roman" w:hAnsi="Times New Roman" w:cs="Times New Roman"/>
        </w:rPr>
        <w:t xml:space="preserve"> dati, kas bija aktuāli 2019</w:t>
      </w:r>
      <w:r>
        <w:rPr>
          <w:rFonts w:ascii="Times New Roman" w:hAnsi="Times New Roman" w:cs="Times New Roman"/>
        </w:rPr>
        <w:t>. gad</w:t>
      </w:r>
      <w:r w:rsidRPr="00631970">
        <w:rPr>
          <w:rFonts w:ascii="Times New Roman" w:hAnsi="Times New Roman" w:cs="Times New Roman"/>
        </w:rPr>
        <w:t>a martā – 29 278 milj. EUR. Vienlaikus tas neietekmē Latvijas OAP procentuālo izteiksmi – veicot pārrēķinu ar aktuālajiem datiem, Latvijas OAP 2018</w:t>
      </w:r>
      <w:r>
        <w:rPr>
          <w:rFonts w:ascii="Times New Roman" w:hAnsi="Times New Roman" w:cs="Times New Roman"/>
        </w:rPr>
        <w:t>. gad</w:t>
      </w:r>
      <w:r w:rsidRPr="00631970">
        <w:rPr>
          <w:rFonts w:ascii="Times New Roman" w:hAnsi="Times New Roman" w:cs="Times New Roman"/>
        </w:rPr>
        <w:t>ā joprojām saglabājas apmērā 0.1% no NKI.</w:t>
      </w:r>
      <w:r>
        <w:rPr>
          <w:rFonts w:ascii="Times New Roman" w:hAnsi="Times New Roman" w:cs="Times New Roman"/>
        </w:rPr>
        <w:t xml:space="preserve"> </w:t>
      </w:r>
    </w:p>
  </w:footnote>
  <w:footnote w:id="19">
    <w:p w14:paraId="3E96BB39" w14:textId="77777777" w:rsidR="005F77BD" w:rsidRDefault="005F77BD">
      <w:pPr>
        <w:pStyle w:val="FootnoteText"/>
      </w:pPr>
      <w:r>
        <w:rPr>
          <w:rStyle w:val="FootnoteReference"/>
        </w:rPr>
        <w:footnoteRef/>
      </w:r>
      <w:r>
        <w:t xml:space="preserve"> </w:t>
      </w:r>
      <w:r w:rsidRPr="00631970">
        <w:rPr>
          <w:rFonts w:ascii="Times New Roman" w:hAnsi="Times New Roman" w:cs="Times New Roman"/>
        </w:rPr>
        <w:t>2018</w:t>
      </w:r>
      <w:r>
        <w:rPr>
          <w:rFonts w:ascii="Times New Roman" w:hAnsi="Times New Roman" w:cs="Times New Roman"/>
        </w:rPr>
        <w:t>. gad</w:t>
      </w:r>
      <w:r w:rsidRPr="00631970">
        <w:rPr>
          <w:rFonts w:ascii="Times New Roman" w:hAnsi="Times New Roman" w:cs="Times New Roman"/>
        </w:rPr>
        <w:t>a OAP dati vēl nav apstiprināti.</w:t>
      </w:r>
    </w:p>
  </w:footnote>
  <w:footnote w:id="20">
    <w:p w14:paraId="37993E58" w14:textId="77777777" w:rsidR="005F77BD" w:rsidRPr="00192752" w:rsidRDefault="005F77BD">
      <w:pPr>
        <w:pStyle w:val="FootnoteText"/>
        <w:rPr>
          <w:rFonts w:ascii="Times New Roman" w:hAnsi="Times New Roman" w:cs="Times New Roman"/>
        </w:rPr>
      </w:pPr>
      <w:r w:rsidRPr="00192752">
        <w:rPr>
          <w:rStyle w:val="FootnoteReference"/>
          <w:rFonts w:ascii="Times New Roman" w:hAnsi="Times New Roman" w:cs="Times New Roman"/>
        </w:rPr>
        <w:footnoteRef/>
      </w:r>
      <w:r w:rsidRPr="00192752">
        <w:rPr>
          <w:rFonts w:ascii="Times New Roman" w:hAnsi="Times New Roman" w:cs="Times New Roman"/>
        </w:rPr>
        <w:t xml:space="preserve"> Izmantotie NKI dati, ziņojot OECD 2017.gadā</w:t>
      </w:r>
    </w:p>
  </w:footnote>
  <w:footnote w:id="21">
    <w:p w14:paraId="0CF98399" w14:textId="77777777" w:rsidR="005F77BD" w:rsidRDefault="005F77BD">
      <w:pPr>
        <w:pStyle w:val="FootnoteText"/>
      </w:pPr>
      <w:r w:rsidRPr="00192752">
        <w:rPr>
          <w:rStyle w:val="FootnoteReference"/>
          <w:rFonts w:ascii="Times New Roman" w:hAnsi="Times New Roman" w:cs="Times New Roman"/>
        </w:rPr>
        <w:footnoteRef/>
      </w:r>
      <w:r w:rsidRPr="00192752">
        <w:rPr>
          <w:rFonts w:ascii="Times New Roman" w:hAnsi="Times New Roman" w:cs="Times New Roman"/>
        </w:rPr>
        <w:t xml:space="preserve"> Izmantotie FM NKI dati, ziņojot OECD 2018.gadā</w:t>
      </w:r>
      <w:r>
        <w:t xml:space="preserve"> </w:t>
      </w:r>
    </w:p>
  </w:footnote>
  <w:footnote w:id="22">
    <w:p w14:paraId="5B3A3EF3" w14:textId="77777777" w:rsidR="005F77BD" w:rsidRPr="00192752" w:rsidRDefault="005F77BD">
      <w:pPr>
        <w:pStyle w:val="FootnoteText"/>
        <w:rPr>
          <w:rFonts w:ascii="Times New Roman" w:hAnsi="Times New Roman" w:cs="Times New Roman"/>
        </w:rPr>
      </w:pPr>
      <w:r w:rsidRPr="00192752">
        <w:rPr>
          <w:rStyle w:val="FootnoteReference"/>
          <w:rFonts w:ascii="Times New Roman" w:hAnsi="Times New Roman" w:cs="Times New Roman"/>
        </w:rPr>
        <w:footnoteRef/>
      </w:r>
      <w:r w:rsidRPr="00192752">
        <w:rPr>
          <w:rFonts w:ascii="Times New Roman" w:hAnsi="Times New Roman" w:cs="Times New Roman"/>
        </w:rPr>
        <w:t xml:space="preserve"> CSP NKI dati. </w:t>
      </w:r>
    </w:p>
  </w:footnote>
  <w:footnote w:id="23">
    <w:p w14:paraId="648DDD39" w14:textId="77777777" w:rsidR="005F77BD" w:rsidRPr="00631970" w:rsidRDefault="005F77BD" w:rsidP="00572A50">
      <w:pPr>
        <w:pStyle w:val="FootnoteText"/>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FM </w:t>
      </w:r>
      <w:r>
        <w:rPr>
          <w:rFonts w:ascii="Times New Roman" w:hAnsi="Times New Roman" w:cs="Times New Roman"/>
        </w:rPr>
        <w:t xml:space="preserve">NKI </w:t>
      </w:r>
      <w:r w:rsidRPr="00631970">
        <w:rPr>
          <w:rFonts w:ascii="Times New Roman" w:hAnsi="Times New Roman" w:cs="Times New Roman"/>
        </w:rPr>
        <w:t>prognoze (2019</w:t>
      </w:r>
      <w:r>
        <w:rPr>
          <w:rFonts w:ascii="Times New Roman" w:hAnsi="Times New Roman" w:cs="Times New Roman"/>
        </w:rPr>
        <w:t>. gad</w:t>
      </w:r>
      <w:r w:rsidRPr="00631970">
        <w:rPr>
          <w:rFonts w:ascii="Times New Roman" w:hAnsi="Times New Roman" w:cs="Times New Roman"/>
        </w:rPr>
        <w:t>a jūnijs).</w:t>
      </w:r>
      <w:r>
        <w:rPr>
          <w:rFonts w:ascii="Times New Roman" w:hAnsi="Times New Roman" w:cs="Times New Roman"/>
        </w:rPr>
        <w:t xml:space="preserve"> </w:t>
      </w:r>
    </w:p>
  </w:footnote>
  <w:footnote w:id="24">
    <w:p w14:paraId="316CB198" w14:textId="77777777" w:rsidR="005F77BD" w:rsidRPr="00631970" w:rsidRDefault="005F77BD" w:rsidP="00572A50">
      <w:pPr>
        <w:pStyle w:val="FootnoteText"/>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w:t>
      </w:r>
      <w:r>
        <w:rPr>
          <w:rFonts w:ascii="Times New Roman" w:hAnsi="Times New Roman" w:cs="Times New Roman"/>
        </w:rPr>
        <w:t>FM NKI prognoze</w:t>
      </w:r>
      <w:r w:rsidRPr="00631970">
        <w:rPr>
          <w:rFonts w:ascii="Times New Roman" w:hAnsi="Times New Roman" w:cs="Times New Roman"/>
        </w:rPr>
        <w:t xml:space="preserve"> (2019</w:t>
      </w:r>
      <w:r>
        <w:rPr>
          <w:rFonts w:ascii="Times New Roman" w:hAnsi="Times New Roman" w:cs="Times New Roman"/>
        </w:rPr>
        <w:t>. gad</w:t>
      </w:r>
      <w:r w:rsidRPr="00631970">
        <w:rPr>
          <w:rFonts w:ascii="Times New Roman" w:hAnsi="Times New Roman" w:cs="Times New Roman"/>
        </w:rPr>
        <w:t>a jūnijs).</w:t>
      </w:r>
      <w:r>
        <w:rPr>
          <w:rFonts w:ascii="Times New Roman" w:hAnsi="Times New Roman" w:cs="Times New Roman"/>
        </w:rPr>
        <w:t xml:space="preserve"> </w:t>
      </w:r>
    </w:p>
  </w:footnote>
  <w:footnote w:id="25">
    <w:p w14:paraId="31E5DE8C" w14:textId="77777777" w:rsidR="005F77BD" w:rsidRPr="007E25D8" w:rsidRDefault="005F77BD">
      <w:pPr>
        <w:pStyle w:val="FootnoteText"/>
        <w:rPr>
          <w:rFonts w:ascii="Times New Roman" w:hAnsi="Times New Roman" w:cs="Times New Roman"/>
        </w:rPr>
      </w:pPr>
      <w:r w:rsidRPr="007E25D8">
        <w:rPr>
          <w:rStyle w:val="FootnoteReference"/>
          <w:rFonts w:ascii="Times New Roman" w:hAnsi="Times New Roman" w:cs="Times New Roman"/>
        </w:rPr>
        <w:footnoteRef/>
      </w:r>
      <w:r w:rsidRPr="007E25D8">
        <w:rPr>
          <w:rFonts w:ascii="Times New Roman" w:hAnsi="Times New Roman" w:cs="Times New Roman"/>
        </w:rPr>
        <w:t xml:space="preserve"> Pieņemot, ka OAP turpinās pieaugs 2016-2018.gadā novērtajā tempā. </w:t>
      </w:r>
    </w:p>
  </w:footnote>
  <w:footnote w:id="26">
    <w:p w14:paraId="5A9781E4" w14:textId="77777777" w:rsidR="005F77BD" w:rsidRPr="007E25D8" w:rsidRDefault="005F77BD" w:rsidP="007E25D8">
      <w:pPr>
        <w:pStyle w:val="FootnoteText"/>
      </w:pPr>
      <w:r w:rsidRPr="007E25D8">
        <w:rPr>
          <w:rStyle w:val="FootnoteReference"/>
          <w:rFonts w:ascii="Times New Roman" w:hAnsi="Times New Roman" w:cs="Times New Roman"/>
        </w:rPr>
        <w:footnoteRef/>
      </w:r>
      <w:r w:rsidRPr="007E25D8">
        <w:rPr>
          <w:rFonts w:ascii="Times New Roman" w:hAnsi="Times New Roman" w:cs="Times New Roman"/>
        </w:rPr>
        <w:t xml:space="preserve"> Pieņemot, ka OAP turpinās pieaugs 2016-2018.gadā novērtajā tempā.</w:t>
      </w:r>
    </w:p>
  </w:footnote>
  <w:footnote w:id="27">
    <w:p w14:paraId="015EEA4A" w14:textId="77777777" w:rsidR="005F77BD" w:rsidRPr="00425632" w:rsidRDefault="005F77BD" w:rsidP="00425632">
      <w:pPr>
        <w:pStyle w:val="FootnoteText"/>
        <w:jc w:val="both"/>
        <w:rPr>
          <w:rFonts w:ascii="Times New Roman" w:hAnsi="Times New Roman" w:cs="Times New Roman"/>
        </w:rPr>
      </w:pPr>
      <w:r w:rsidRPr="00631970">
        <w:rPr>
          <w:rStyle w:val="FootnoteReference"/>
          <w:rFonts w:ascii="Times New Roman" w:hAnsi="Times New Roman" w:cs="Times New Roman"/>
        </w:rPr>
        <w:footnoteRef/>
      </w:r>
      <w:r w:rsidRPr="00631970">
        <w:rPr>
          <w:rFonts w:ascii="Times New Roman" w:hAnsi="Times New Roman" w:cs="Times New Roman"/>
        </w:rPr>
        <w:t xml:space="preserve"> Jānorāda, ka ĀM pēdējos gados turpina darbu pie OAP uzskaites</w:t>
      </w:r>
      <w:r w:rsidRPr="00425632">
        <w:rPr>
          <w:rFonts w:ascii="Times New Roman" w:hAnsi="Times New Roman" w:cs="Times New Roman"/>
        </w:rPr>
        <w:t xml:space="preserve"> pilnveidošanas, t.sk. ir īstenoti pasākumi izpratnes veicināšanai valsts pārvaldē OAP statistiku. Šie centieni turpināsies, lai turpinātu uzlabto OAP datu apkopošanu un kvalitāti.</w:t>
      </w:r>
    </w:p>
  </w:footnote>
  <w:footnote w:id="28">
    <w:p w14:paraId="314EBFEC" w14:textId="77777777" w:rsidR="005F77BD" w:rsidRPr="004675C2" w:rsidRDefault="005F77BD">
      <w:pPr>
        <w:pStyle w:val="FootnoteText"/>
        <w:rPr>
          <w:rFonts w:ascii="Times New Roman" w:hAnsi="Times New Roman" w:cs="Times New Roman"/>
        </w:rPr>
      </w:pPr>
      <w:r w:rsidRPr="004675C2">
        <w:rPr>
          <w:rStyle w:val="FootnoteReference"/>
          <w:rFonts w:ascii="Times New Roman" w:hAnsi="Times New Roman" w:cs="Times New Roman"/>
        </w:rPr>
        <w:footnoteRef/>
      </w:r>
      <w:r w:rsidRPr="004675C2">
        <w:rPr>
          <w:rFonts w:ascii="Times New Roman" w:hAnsi="Times New Roman" w:cs="Times New Roman"/>
        </w:rPr>
        <w:t xml:space="preserve"> </w:t>
      </w:r>
      <w:r>
        <w:rPr>
          <w:rFonts w:ascii="Times New Roman" w:hAnsi="Times New Roman" w:cs="Times New Roman"/>
        </w:rPr>
        <w:t xml:space="preserve">Izmantotas FM prognoze (2019.gada jūnijs). </w:t>
      </w:r>
    </w:p>
  </w:footnote>
  <w:footnote w:id="29">
    <w:p w14:paraId="35258C90" w14:textId="2060BB8E" w:rsidR="005F77BD" w:rsidRDefault="005F77BD" w:rsidP="00194577">
      <w:pPr>
        <w:pStyle w:val="FootnoteText"/>
        <w:jc w:val="both"/>
      </w:pPr>
      <w:r>
        <w:rPr>
          <w:rStyle w:val="FootnoteReference"/>
        </w:rPr>
        <w:footnoteRef/>
      </w:r>
      <w:r>
        <w:t xml:space="preserve"> </w:t>
      </w:r>
      <w:r w:rsidRPr="00194577">
        <w:rPr>
          <w:rFonts w:ascii="Times New Roman" w:hAnsi="Times New Roman" w:cs="Times New Roman"/>
        </w:rPr>
        <w:t xml:space="preserve">Atbilstoši un ņemot vērā </w:t>
      </w:r>
      <w:r w:rsidR="00E5371B">
        <w:rPr>
          <w:rFonts w:ascii="Times New Roman" w:hAnsi="Times New Roman" w:cs="Times New Roman"/>
        </w:rPr>
        <w:t>OECD DAC klasifikāciju, t.i.</w:t>
      </w:r>
      <w:bookmarkStart w:id="0" w:name="_GoBack"/>
      <w:bookmarkEnd w:id="0"/>
      <w:r w:rsidRPr="00194577">
        <w:rPr>
          <w:rFonts w:ascii="Times New Roman" w:hAnsi="Times New Roman" w:cs="Times New Roman"/>
        </w:rPr>
        <w:t xml:space="preserve"> sarakstu ar starptautiskajām organizācijām, kurās un kādā mērā veiktās iemaksas ir uzskaitāmas kā OAP.</w:t>
      </w:r>
    </w:p>
  </w:footnote>
  <w:footnote w:id="30">
    <w:p w14:paraId="5F7E5B8C" w14:textId="77777777" w:rsidR="005F77BD" w:rsidRPr="00F82714" w:rsidRDefault="005F77BD" w:rsidP="00F82714">
      <w:pPr>
        <w:pStyle w:val="FootnoteText"/>
        <w:rPr>
          <w:rFonts w:ascii="Times New Roman" w:hAnsi="Times New Roman" w:cs="Times New Roman"/>
        </w:rPr>
      </w:pPr>
      <w:r w:rsidRPr="00F82714">
        <w:rPr>
          <w:rStyle w:val="FootnoteReference"/>
          <w:rFonts w:ascii="Times New Roman" w:hAnsi="Times New Roman" w:cs="Times New Roman"/>
        </w:rPr>
        <w:footnoteRef/>
      </w:r>
      <w:r w:rsidRPr="00F82714">
        <w:rPr>
          <w:rFonts w:ascii="Times New Roman" w:hAnsi="Times New Roman" w:cs="Times New Roman"/>
        </w:rPr>
        <w:t xml:space="preserve"> FM</w:t>
      </w:r>
      <w:r>
        <w:rPr>
          <w:rFonts w:ascii="Times New Roman" w:hAnsi="Times New Roman" w:cs="Times New Roman"/>
        </w:rPr>
        <w:t xml:space="preserve"> NKI</w:t>
      </w:r>
      <w:r w:rsidRPr="00F82714">
        <w:rPr>
          <w:rFonts w:ascii="Times New Roman" w:hAnsi="Times New Roman" w:cs="Times New Roman"/>
        </w:rPr>
        <w:t xml:space="preserve"> </w:t>
      </w:r>
      <w:r>
        <w:rPr>
          <w:rFonts w:ascii="Times New Roman" w:hAnsi="Times New Roman" w:cs="Times New Roman"/>
        </w:rPr>
        <w:t>prognozes (2019.gada jūnijs)</w:t>
      </w:r>
    </w:p>
  </w:footnote>
  <w:footnote w:id="31">
    <w:p w14:paraId="0D8AE400" w14:textId="77777777" w:rsidR="005F77BD" w:rsidRPr="00CD0859" w:rsidRDefault="005F77BD">
      <w:pPr>
        <w:pStyle w:val="FootnoteText"/>
        <w:rPr>
          <w:rFonts w:ascii="Times New Roman" w:hAnsi="Times New Roman" w:cs="Times New Roman"/>
        </w:rPr>
      </w:pPr>
      <w:r w:rsidRPr="00CD0859">
        <w:rPr>
          <w:rStyle w:val="FootnoteReference"/>
          <w:rFonts w:ascii="Times New Roman" w:hAnsi="Times New Roman" w:cs="Times New Roman"/>
        </w:rPr>
        <w:footnoteRef/>
      </w:r>
      <w:r w:rsidRPr="00CD0859">
        <w:rPr>
          <w:rFonts w:ascii="Times New Roman" w:hAnsi="Times New Roman" w:cs="Times New Roman"/>
        </w:rPr>
        <w:t xml:space="preserve"> Ievērojot OAP definīciju </w:t>
      </w:r>
      <w:r>
        <w:rPr>
          <w:rFonts w:ascii="Times New Roman" w:hAnsi="Times New Roman" w:cs="Times New Roman"/>
        </w:rPr>
        <w:t xml:space="preserve">(skat. </w:t>
      </w:r>
      <w:r w:rsidRPr="005A0442">
        <w:rPr>
          <w:rFonts w:ascii="Times New Roman" w:hAnsi="Times New Roman" w:cs="Times New Roman"/>
        </w:rPr>
        <w:t>Ziņojuma</w:t>
      </w:r>
      <w:r>
        <w:rPr>
          <w:rFonts w:ascii="Times New Roman" w:hAnsi="Times New Roman" w:cs="Times New Roman"/>
        </w:rPr>
        <w:t xml:space="preserve"> 4.</w:t>
      </w:r>
      <w:r w:rsidRPr="00CD0859">
        <w:rPr>
          <w:rFonts w:ascii="Times New Roman" w:hAnsi="Times New Roman" w:cs="Times New Roman"/>
        </w:rPr>
        <w:t>lpp)</w:t>
      </w:r>
      <w:r>
        <w:rPr>
          <w:rFonts w:ascii="Times New Roman" w:hAnsi="Times New Roman" w:cs="Times New Roman"/>
        </w:rPr>
        <w:t xml:space="preserve"> u.c. atbilstības vadlīnijas. </w:t>
      </w:r>
    </w:p>
  </w:footnote>
  <w:footnote w:id="32">
    <w:p w14:paraId="24599B2F" w14:textId="77777777" w:rsidR="005F77BD" w:rsidRPr="00BE7CFD" w:rsidRDefault="005F77BD" w:rsidP="00BE7CFD">
      <w:pPr>
        <w:pStyle w:val="FootnoteText"/>
        <w:rPr>
          <w:rFonts w:ascii="Times New Roman" w:hAnsi="Times New Roman" w:cs="Times New Roman"/>
        </w:rPr>
      </w:pPr>
      <w:r w:rsidRPr="00BE7CFD">
        <w:rPr>
          <w:rStyle w:val="FootnoteReference"/>
          <w:rFonts w:ascii="Times New Roman" w:hAnsi="Times New Roman" w:cs="Times New Roman"/>
        </w:rPr>
        <w:footnoteRef/>
      </w:r>
      <w:r w:rsidRPr="00BE7CFD">
        <w:rPr>
          <w:rFonts w:ascii="Times New Roman" w:hAnsi="Times New Roman" w:cs="Times New Roman"/>
        </w:rPr>
        <w:t xml:space="preserve"> Uzskaitījums nav izsmeļošs, attīstības sadarbībā iesaistītas arī citas institūcijas.</w:t>
      </w:r>
    </w:p>
  </w:footnote>
  <w:footnote w:id="33">
    <w:p w14:paraId="1CA322FB" w14:textId="77777777" w:rsidR="005F77BD" w:rsidRPr="00B816D6" w:rsidRDefault="005F77BD" w:rsidP="00212EA3">
      <w:pPr>
        <w:pStyle w:val="FootnoteText"/>
        <w:rPr>
          <w:rFonts w:ascii="Times New Roman" w:hAnsi="Times New Roman" w:cs="Times New Roman"/>
        </w:rPr>
      </w:pPr>
      <w:r w:rsidRPr="00B816D6">
        <w:rPr>
          <w:rStyle w:val="FootnoteReference"/>
          <w:rFonts w:ascii="Times New Roman" w:hAnsi="Times New Roman" w:cs="Times New Roman"/>
        </w:rPr>
        <w:footnoteRef/>
      </w:r>
      <w:r w:rsidRPr="00B816D6">
        <w:rPr>
          <w:rFonts w:ascii="Times New Roman" w:hAnsi="Times New Roman" w:cs="Times New Roman"/>
        </w:rPr>
        <w:t xml:space="preserve"> Skat. Dalība starptautiskās organizācijās. </w:t>
      </w:r>
      <w:hyperlink r:id="rId9" w:history="1">
        <w:r w:rsidRPr="00B816D6">
          <w:rPr>
            <w:rStyle w:val="Hyperlink"/>
            <w:rFonts w:ascii="Times New Roman" w:hAnsi="Times New Roman" w:cs="Times New Roman"/>
          </w:rPr>
          <w:t>http://www.satv.tiesa.gov.lv/starptautiska-sadarbiba/vidusazija/</w:t>
        </w:r>
      </w:hyperlink>
      <w:r w:rsidRPr="00B816D6">
        <w:rPr>
          <w:rFonts w:ascii="Times New Roman" w:hAnsi="Times New Roman" w:cs="Times New Roman"/>
        </w:rPr>
        <w:t xml:space="preserve"> </w:t>
      </w:r>
    </w:p>
  </w:footnote>
  <w:footnote w:id="34">
    <w:p w14:paraId="3981C6E8" w14:textId="77777777" w:rsidR="005F77BD" w:rsidRPr="001249E0" w:rsidRDefault="005F77BD">
      <w:pPr>
        <w:pStyle w:val="FootnoteText"/>
        <w:rPr>
          <w:rFonts w:ascii="Times New Roman" w:hAnsi="Times New Roman" w:cs="Times New Roman"/>
        </w:rPr>
      </w:pPr>
      <w:r w:rsidRPr="001249E0">
        <w:rPr>
          <w:rStyle w:val="FootnoteReference"/>
          <w:rFonts w:ascii="Times New Roman" w:hAnsi="Times New Roman" w:cs="Times New Roman"/>
        </w:rPr>
        <w:footnoteRef/>
      </w:r>
      <w:r w:rsidRPr="001249E0">
        <w:rPr>
          <w:rFonts w:ascii="Times New Roman" w:hAnsi="Times New Roman" w:cs="Times New Roman"/>
        </w:rPr>
        <w:t xml:space="preserve"> Izmantotas FM NKI prognozes (2019.gada jūnijs).</w:t>
      </w:r>
    </w:p>
  </w:footnote>
  <w:footnote w:id="35">
    <w:p w14:paraId="42B89650" w14:textId="77777777" w:rsidR="005F77BD" w:rsidRPr="002538D5" w:rsidRDefault="005F77BD" w:rsidP="005058F7">
      <w:pPr>
        <w:pStyle w:val="FootnoteText"/>
        <w:jc w:val="both"/>
        <w:rPr>
          <w:rFonts w:ascii="Times New Roman" w:hAnsi="Times New Roman"/>
          <w:sz w:val="18"/>
          <w:szCs w:val="18"/>
        </w:rPr>
      </w:pPr>
      <w:r w:rsidRPr="009D0D3F">
        <w:rPr>
          <w:rStyle w:val="FootnoteReference"/>
          <w:rFonts w:ascii="Times New Roman" w:hAnsi="Times New Roman"/>
          <w:sz w:val="18"/>
          <w:szCs w:val="18"/>
        </w:rPr>
        <w:footnoteRef/>
      </w:r>
      <w:r w:rsidRPr="009D0D3F">
        <w:rPr>
          <w:rFonts w:ascii="Times New Roman" w:hAnsi="Times New Roman"/>
          <w:sz w:val="18"/>
          <w:szCs w:val="18"/>
        </w:rPr>
        <w:t xml:space="preserve"> </w:t>
      </w:r>
      <w:r>
        <w:rPr>
          <w:rFonts w:ascii="Times New Roman" w:hAnsi="Times New Roman"/>
          <w:sz w:val="18"/>
          <w:szCs w:val="18"/>
        </w:rPr>
        <w:t>Ievērojot apstiprināto finansējuma palielināšanas modeli, faktiski nepieciešamais papildu finansējums katram nākamajam gadam ir precizējams, ņemot vērā aktuālās nacionālās kopienākuma prognozes kārtējā gada valsts budžeta izstrādes procesā. Tabulā iekļautie a</w:t>
      </w:r>
      <w:r w:rsidRPr="009D0D3F">
        <w:rPr>
          <w:rFonts w:ascii="Times New Roman" w:hAnsi="Times New Roman"/>
          <w:sz w:val="18"/>
          <w:szCs w:val="18"/>
        </w:rPr>
        <w:t xml:space="preserve">prēķini par papildu nepieciešamo finansējumu 2021.-2025.gadā </w:t>
      </w:r>
      <w:r>
        <w:rPr>
          <w:rFonts w:ascii="Times New Roman" w:hAnsi="Times New Roman"/>
          <w:sz w:val="18"/>
          <w:szCs w:val="18"/>
        </w:rPr>
        <w:t xml:space="preserve">ir indikatīvi un veikti </w:t>
      </w:r>
      <w:r w:rsidRPr="009D0D3F">
        <w:rPr>
          <w:rFonts w:ascii="Times New Roman" w:hAnsi="Times New Roman"/>
          <w:sz w:val="18"/>
          <w:szCs w:val="18"/>
        </w:rPr>
        <w:t>balstoties uz</w:t>
      </w:r>
      <w:r>
        <w:rPr>
          <w:rFonts w:ascii="Times New Roman" w:hAnsi="Times New Roman"/>
          <w:sz w:val="18"/>
          <w:szCs w:val="18"/>
        </w:rPr>
        <w:t xml:space="preserve"> pieejamām</w:t>
      </w:r>
      <w:r w:rsidRPr="009D0D3F">
        <w:rPr>
          <w:rFonts w:ascii="Times New Roman" w:hAnsi="Times New Roman"/>
          <w:sz w:val="18"/>
          <w:szCs w:val="18"/>
        </w:rPr>
        <w:t xml:space="preserve"> prognozēm par nacionālo kopienākumu (NKI) 2021.-2025.gadā. </w:t>
      </w:r>
      <w:r>
        <w:rPr>
          <w:rFonts w:ascii="Times New Roman" w:hAnsi="Times New Roman"/>
          <w:sz w:val="18"/>
          <w:szCs w:val="18"/>
        </w:rPr>
        <w:t xml:space="preserve">2021 - </w:t>
      </w:r>
      <w:r w:rsidRPr="009D0D3F">
        <w:rPr>
          <w:rFonts w:ascii="Times New Roman" w:hAnsi="Times New Roman"/>
          <w:color w:val="1B1D1F"/>
          <w:sz w:val="18"/>
          <w:szCs w:val="18"/>
        </w:rPr>
        <w:t>34 658</w:t>
      </w:r>
      <w:r>
        <w:rPr>
          <w:rFonts w:ascii="Times New Roman" w:hAnsi="Times New Roman"/>
          <w:color w:val="1B1D1F"/>
          <w:sz w:val="18"/>
          <w:szCs w:val="18"/>
        </w:rPr>
        <w:t xml:space="preserve"> milj. </w:t>
      </w:r>
      <w:proofErr w:type="spellStart"/>
      <w:r>
        <w:rPr>
          <w:rFonts w:ascii="Times New Roman" w:hAnsi="Times New Roman"/>
          <w:color w:val="1B1D1F"/>
          <w:sz w:val="18"/>
          <w:szCs w:val="18"/>
        </w:rPr>
        <w:t>euro</w:t>
      </w:r>
      <w:proofErr w:type="spellEnd"/>
      <w:r>
        <w:rPr>
          <w:rFonts w:ascii="Times New Roman" w:hAnsi="Times New Roman"/>
          <w:color w:val="1B1D1F"/>
          <w:sz w:val="18"/>
          <w:szCs w:val="18"/>
        </w:rPr>
        <w:t xml:space="preserve">, 2022- </w:t>
      </w:r>
      <w:r w:rsidRPr="002538D5">
        <w:rPr>
          <w:rFonts w:ascii="Times New Roman" w:hAnsi="Times New Roman"/>
          <w:color w:val="1B1D1F"/>
          <w:sz w:val="18"/>
          <w:szCs w:val="18"/>
        </w:rPr>
        <w:t>36 482</w:t>
      </w:r>
      <w:r>
        <w:rPr>
          <w:rFonts w:ascii="Times New Roman" w:hAnsi="Times New Roman"/>
          <w:color w:val="1B1D1F"/>
          <w:sz w:val="18"/>
          <w:szCs w:val="18"/>
        </w:rPr>
        <w:t xml:space="preserve"> milj. </w:t>
      </w:r>
      <w:proofErr w:type="spellStart"/>
      <w:r>
        <w:rPr>
          <w:rFonts w:ascii="Times New Roman" w:hAnsi="Times New Roman"/>
          <w:color w:val="1B1D1F"/>
          <w:sz w:val="18"/>
          <w:szCs w:val="18"/>
        </w:rPr>
        <w:t>euro</w:t>
      </w:r>
      <w:proofErr w:type="spellEnd"/>
      <w:r>
        <w:rPr>
          <w:rFonts w:ascii="Times New Roman" w:hAnsi="Times New Roman"/>
          <w:color w:val="1B1D1F"/>
          <w:sz w:val="18"/>
          <w:szCs w:val="18"/>
        </w:rPr>
        <w:t xml:space="preserve">, 2023 - </w:t>
      </w:r>
      <w:r w:rsidRPr="002538D5">
        <w:rPr>
          <w:rFonts w:ascii="Times New Roman" w:hAnsi="Times New Roman"/>
          <w:color w:val="1B1D1F"/>
          <w:sz w:val="18"/>
          <w:szCs w:val="18"/>
        </w:rPr>
        <w:t>38 333</w:t>
      </w:r>
      <w:r>
        <w:rPr>
          <w:rFonts w:ascii="Times New Roman" w:hAnsi="Times New Roman"/>
          <w:color w:val="1B1D1F"/>
          <w:sz w:val="18"/>
          <w:szCs w:val="18"/>
        </w:rPr>
        <w:t xml:space="preserve"> milj. </w:t>
      </w:r>
      <w:proofErr w:type="spellStart"/>
      <w:r>
        <w:rPr>
          <w:rFonts w:ascii="Times New Roman" w:hAnsi="Times New Roman"/>
          <w:color w:val="1B1D1F"/>
          <w:sz w:val="18"/>
          <w:szCs w:val="18"/>
        </w:rPr>
        <w:t>euro</w:t>
      </w:r>
      <w:proofErr w:type="spellEnd"/>
      <w:r>
        <w:rPr>
          <w:rFonts w:ascii="Times New Roman" w:hAnsi="Times New Roman"/>
          <w:color w:val="1B1D1F"/>
          <w:sz w:val="18"/>
          <w:szCs w:val="18"/>
        </w:rPr>
        <w:t xml:space="preserve">,  2024 - </w:t>
      </w:r>
      <w:r w:rsidRPr="002538D5">
        <w:rPr>
          <w:rFonts w:ascii="Times New Roman" w:hAnsi="Times New Roman"/>
          <w:color w:val="1B1D1F"/>
          <w:sz w:val="18"/>
          <w:szCs w:val="18"/>
        </w:rPr>
        <w:t>40 256</w:t>
      </w:r>
      <w:r>
        <w:rPr>
          <w:rFonts w:ascii="Times New Roman" w:hAnsi="Times New Roman"/>
          <w:color w:val="1B1D1F"/>
          <w:sz w:val="18"/>
          <w:szCs w:val="18"/>
        </w:rPr>
        <w:t xml:space="preserve"> milj. </w:t>
      </w:r>
      <w:proofErr w:type="spellStart"/>
      <w:r>
        <w:rPr>
          <w:rFonts w:ascii="Times New Roman" w:hAnsi="Times New Roman"/>
          <w:color w:val="1B1D1F"/>
          <w:sz w:val="18"/>
          <w:szCs w:val="18"/>
        </w:rPr>
        <w:t>euro</w:t>
      </w:r>
      <w:proofErr w:type="spellEnd"/>
      <w:r>
        <w:rPr>
          <w:rFonts w:ascii="Times New Roman" w:hAnsi="Times New Roman"/>
          <w:color w:val="1B1D1F"/>
          <w:sz w:val="18"/>
          <w:szCs w:val="18"/>
        </w:rPr>
        <w:t xml:space="preserve">, 2025 - </w:t>
      </w:r>
      <w:r w:rsidRPr="002538D5">
        <w:rPr>
          <w:rFonts w:ascii="Times New Roman" w:hAnsi="Times New Roman"/>
          <w:color w:val="1B1D1F"/>
          <w:sz w:val="18"/>
          <w:szCs w:val="18"/>
        </w:rPr>
        <w:t>42 265</w:t>
      </w:r>
      <w:r>
        <w:rPr>
          <w:rFonts w:ascii="Times New Roman" w:hAnsi="Times New Roman"/>
          <w:sz w:val="18"/>
          <w:szCs w:val="18"/>
        </w:rPr>
        <w:t xml:space="preserve"> milj. </w:t>
      </w:r>
      <w:proofErr w:type="spellStart"/>
      <w:r>
        <w:rPr>
          <w:rFonts w:ascii="Times New Roman" w:hAnsi="Times New Roman"/>
          <w:sz w:val="18"/>
          <w:szCs w:val="18"/>
        </w:rPr>
        <w:t>euro</w:t>
      </w:r>
      <w:proofErr w:type="spellEnd"/>
      <w:r>
        <w:rPr>
          <w:rFonts w:ascii="Times New Roman" w:hAnsi="Times New Roman"/>
          <w:sz w:val="18"/>
          <w:szCs w:val="18"/>
        </w:rPr>
        <w:t xml:space="preserve"> (Finanšu ministrija, 2019.g. jūnijs).  </w:t>
      </w:r>
    </w:p>
  </w:footnote>
  <w:footnote w:id="36">
    <w:p w14:paraId="3E6B4158" w14:textId="77777777" w:rsidR="005F77BD" w:rsidRDefault="005F77BD" w:rsidP="005058F7">
      <w:pPr>
        <w:pStyle w:val="FootnoteText"/>
        <w:jc w:val="both"/>
      </w:pPr>
      <w:r>
        <w:rPr>
          <w:rStyle w:val="FootnoteReference"/>
        </w:rPr>
        <w:footnoteRef/>
      </w:r>
      <w:r>
        <w:t xml:space="preserve"> </w:t>
      </w:r>
      <w:r w:rsidRPr="0062125D">
        <w:rPr>
          <w:rFonts w:ascii="Times New Roman" w:hAnsi="Times New Roman"/>
          <w:sz w:val="18"/>
          <w:szCs w:val="18"/>
        </w:rPr>
        <w:t>Ņemot vērā Latvijas apņemšanos līdz 2030.gadam oficiālajai attīstības palīdzībai atvēlēt 0.33% no NKI, finansējums attīstības sadarbībai arī pēc 2025.gadā būtu jākāpina. Līdz ar to</w:t>
      </w:r>
      <w:r>
        <w:rPr>
          <w:rFonts w:ascii="Times New Roman" w:hAnsi="Times New Roman"/>
          <w:sz w:val="18"/>
          <w:szCs w:val="18"/>
        </w:rPr>
        <w:t xml:space="preserve"> arī pēc Konceptuālā ziņojuma īstenošanas 2025.gadā finansējums</w:t>
      </w:r>
      <w:r w:rsidRPr="0062125D">
        <w:rPr>
          <w:rFonts w:ascii="Times New Roman" w:hAnsi="Times New Roman"/>
          <w:sz w:val="18"/>
          <w:szCs w:val="18"/>
        </w:rPr>
        <w:t xml:space="preserve"> Ārlietu ministrijas budžeta programmai </w:t>
      </w:r>
      <w:r w:rsidRPr="0062125D">
        <w:rPr>
          <w:rFonts w:ascii="Times New Roman" w:eastAsia="Times New Roman" w:hAnsi="Times New Roman"/>
          <w:color w:val="000000"/>
          <w:sz w:val="18"/>
          <w:szCs w:val="18"/>
          <w:lang w:eastAsia="lv-LV"/>
        </w:rPr>
        <w:t>“Attīstības sadarbības projekti un star</w:t>
      </w:r>
      <w:r>
        <w:rPr>
          <w:rFonts w:ascii="Times New Roman" w:eastAsia="Times New Roman" w:hAnsi="Times New Roman"/>
          <w:color w:val="000000"/>
          <w:sz w:val="18"/>
          <w:szCs w:val="18"/>
          <w:lang w:eastAsia="lv-LV"/>
        </w:rPr>
        <w:t>ptautiskā palīdzība” būtu saglabājams vismaz 2025.</w:t>
      </w:r>
      <w:r w:rsidRPr="00212246">
        <w:rPr>
          <w:rFonts w:ascii="Times New Roman" w:eastAsia="Times New Roman" w:hAnsi="Times New Roman"/>
          <w:color w:val="000000"/>
          <w:sz w:val="18"/>
          <w:szCs w:val="18"/>
          <w:lang w:eastAsia="lv-LV"/>
        </w:rPr>
        <w:t xml:space="preserve">gada līmenī. </w:t>
      </w:r>
      <w:r w:rsidRPr="00212246">
        <w:rPr>
          <w:rFonts w:ascii="Times New Roman" w:eastAsia="Times New Roman" w:hAnsi="Times New Roman"/>
          <w:color w:val="000000"/>
          <w:sz w:val="18"/>
          <w:lang w:eastAsia="lv-LV"/>
        </w:rPr>
        <w:t xml:space="preserve">Piemēram, ja turpinātu Modelis 2 ieviešanu pēc 2025.gada, tad attiecīgi 2026.gadā nepieciešamais papildu finansējums būtu 6,99 milj. </w:t>
      </w:r>
      <w:proofErr w:type="spellStart"/>
      <w:r w:rsidRPr="00212246">
        <w:rPr>
          <w:rFonts w:ascii="Times New Roman" w:eastAsia="Times New Roman" w:hAnsi="Times New Roman"/>
          <w:color w:val="000000"/>
          <w:sz w:val="18"/>
          <w:lang w:eastAsia="lv-LV"/>
        </w:rPr>
        <w:t>euro</w:t>
      </w:r>
      <w:proofErr w:type="spellEnd"/>
      <w:r w:rsidRPr="00212246">
        <w:rPr>
          <w:rFonts w:ascii="Times New Roman" w:eastAsia="Times New Roman" w:hAnsi="Times New Roman"/>
          <w:color w:val="000000"/>
          <w:sz w:val="18"/>
          <w:lang w:eastAsia="lv-LV"/>
        </w:rPr>
        <w:t xml:space="preserve"> un 2027.gadā – 9,18 milj. </w:t>
      </w:r>
      <w:proofErr w:type="spellStart"/>
      <w:r w:rsidRPr="00212246">
        <w:rPr>
          <w:rFonts w:ascii="Times New Roman" w:eastAsia="Times New Roman" w:hAnsi="Times New Roman"/>
          <w:color w:val="000000"/>
          <w:sz w:val="18"/>
          <w:lang w:eastAsia="lv-LV"/>
        </w:rPr>
        <w:t>euro</w:t>
      </w:r>
      <w:proofErr w:type="spellEnd"/>
      <w:r w:rsidRPr="00212246">
        <w:rPr>
          <w:rFonts w:ascii="Times New Roman" w:eastAsia="Times New Roman" w:hAnsi="Times New Roman"/>
          <w:b/>
          <w:color w:val="000000"/>
          <w:sz w:val="18"/>
          <w:lang w:eastAsia="lv-LV"/>
        </w:rPr>
        <w:t>.</w:t>
      </w:r>
      <w:r>
        <w:rPr>
          <w:rFonts w:ascii="Times New Roman" w:eastAsia="Times New Roman" w:hAnsi="Times New Roman"/>
          <w:b/>
          <w:color w:val="000000"/>
          <w:sz w:val="18"/>
          <w:lang w:eastAsia="lv-LV"/>
        </w:rPr>
        <w:t xml:space="preserve">   </w:t>
      </w:r>
    </w:p>
  </w:footnote>
  <w:footnote w:id="37">
    <w:p w14:paraId="33B6B558" w14:textId="77777777" w:rsidR="005F77BD" w:rsidRPr="002538D5" w:rsidRDefault="005F77BD" w:rsidP="005058F7">
      <w:pPr>
        <w:pStyle w:val="FootnoteText"/>
        <w:jc w:val="both"/>
        <w:rPr>
          <w:rFonts w:ascii="Times New Roman" w:hAnsi="Times New Roman"/>
        </w:rPr>
      </w:pPr>
      <w:r w:rsidRPr="002538D5">
        <w:rPr>
          <w:rStyle w:val="FootnoteReference"/>
          <w:rFonts w:ascii="Times New Roman" w:hAnsi="Times New Roman"/>
        </w:rPr>
        <w:footnoteRef/>
      </w:r>
      <w:r>
        <w:rPr>
          <w:rFonts w:ascii="Times New Roman" w:hAnsi="Times New Roman"/>
        </w:rPr>
        <w:t xml:space="preserve"> M</w:t>
      </w:r>
      <w:r w:rsidRPr="002538D5">
        <w:rPr>
          <w:rFonts w:ascii="Times New Roman" w:hAnsi="Times New Roman"/>
        </w:rPr>
        <w:t>odelis</w:t>
      </w:r>
      <w:r>
        <w:rPr>
          <w:rFonts w:ascii="Times New Roman" w:hAnsi="Times New Roman"/>
        </w:rPr>
        <w:t xml:space="preserve"> 1</w:t>
      </w:r>
      <w:r w:rsidRPr="002538D5">
        <w:rPr>
          <w:rFonts w:ascii="Times New Roman" w:hAnsi="Times New Roman"/>
        </w:rPr>
        <w:t xml:space="preserve"> nosaka Latvijas oficiālās attīstības palīdzības </w:t>
      </w:r>
      <w:r>
        <w:rPr>
          <w:rFonts w:ascii="Times New Roman" w:hAnsi="Times New Roman"/>
        </w:rPr>
        <w:t xml:space="preserve">mērķis 2025.gadā ir </w:t>
      </w:r>
      <w:r w:rsidRPr="002538D5">
        <w:rPr>
          <w:rFonts w:ascii="Times New Roman" w:hAnsi="Times New Roman"/>
        </w:rPr>
        <w:t>0.17% no NKI un Ārlietu ministrijas budžeta programmas “</w:t>
      </w:r>
      <w:r w:rsidRPr="002538D5">
        <w:rPr>
          <w:rFonts w:ascii="Times New Roman" w:eastAsia="Times New Roman" w:hAnsi="Times New Roman"/>
          <w:lang w:eastAsia="lv-LV"/>
        </w:rPr>
        <w:t>Attīstības sadarbības projekti un starptautiskā palīdzība”</w:t>
      </w:r>
      <w:r>
        <w:rPr>
          <w:rFonts w:ascii="Times New Roman" w:eastAsia="Times New Roman" w:hAnsi="Times New Roman"/>
          <w:lang w:eastAsia="lv-LV"/>
        </w:rPr>
        <w:t xml:space="preserve"> finansējuma mērķis ir 5% no OAP mērķa. </w:t>
      </w:r>
    </w:p>
  </w:footnote>
  <w:footnote w:id="38">
    <w:p w14:paraId="0357CBC9" w14:textId="77777777" w:rsidR="005F77BD" w:rsidRDefault="005F77BD" w:rsidP="005058F7">
      <w:pPr>
        <w:pStyle w:val="FootnoteText"/>
        <w:jc w:val="both"/>
      </w:pPr>
      <w:r>
        <w:rPr>
          <w:rStyle w:val="FootnoteReference"/>
        </w:rPr>
        <w:footnoteRef/>
      </w:r>
      <w:r>
        <w:t xml:space="preserve"> </w:t>
      </w:r>
      <w:r>
        <w:rPr>
          <w:rFonts w:ascii="Times New Roman" w:hAnsi="Times New Roman"/>
        </w:rPr>
        <w:t>M</w:t>
      </w:r>
      <w:r w:rsidRPr="002538D5">
        <w:rPr>
          <w:rFonts w:ascii="Times New Roman" w:hAnsi="Times New Roman"/>
        </w:rPr>
        <w:t>odelis</w:t>
      </w:r>
      <w:r>
        <w:rPr>
          <w:rFonts w:ascii="Times New Roman" w:hAnsi="Times New Roman"/>
        </w:rPr>
        <w:t xml:space="preserve"> 2</w:t>
      </w:r>
      <w:r w:rsidRPr="002538D5">
        <w:rPr>
          <w:rFonts w:ascii="Times New Roman" w:hAnsi="Times New Roman"/>
        </w:rPr>
        <w:t xml:space="preserve"> nosaka Latvijas oficiālās attīstības palīdzības </w:t>
      </w:r>
      <w:r>
        <w:rPr>
          <w:rFonts w:ascii="Times New Roman" w:hAnsi="Times New Roman"/>
        </w:rPr>
        <w:t xml:space="preserve">mērķis 2025.gadā ir </w:t>
      </w:r>
      <w:r w:rsidRPr="002538D5">
        <w:rPr>
          <w:rFonts w:ascii="Times New Roman" w:hAnsi="Times New Roman"/>
        </w:rPr>
        <w:t>0.</w:t>
      </w:r>
      <w:r>
        <w:rPr>
          <w:rFonts w:ascii="Times New Roman" w:hAnsi="Times New Roman"/>
        </w:rPr>
        <w:t>19</w:t>
      </w:r>
      <w:r w:rsidRPr="002538D5">
        <w:rPr>
          <w:rFonts w:ascii="Times New Roman" w:hAnsi="Times New Roman"/>
        </w:rPr>
        <w:t>% no NKI un Ārlietu ministrijas budžeta programmas “</w:t>
      </w:r>
      <w:r w:rsidRPr="002538D5">
        <w:rPr>
          <w:rFonts w:ascii="Times New Roman" w:eastAsia="Times New Roman" w:hAnsi="Times New Roman"/>
          <w:lang w:eastAsia="lv-LV"/>
        </w:rPr>
        <w:t>Attīstības sadarbības projekti un starptautiskā palīdzība”</w:t>
      </w:r>
      <w:r>
        <w:rPr>
          <w:rFonts w:ascii="Times New Roman" w:eastAsia="Times New Roman" w:hAnsi="Times New Roman"/>
          <w:lang w:eastAsia="lv-LV"/>
        </w:rPr>
        <w:t xml:space="preserve"> finansējuma mērķis ir 7% no OAP mērķa.</w:t>
      </w:r>
    </w:p>
  </w:footnote>
  <w:footnote w:id="39">
    <w:p w14:paraId="5A319730" w14:textId="77777777" w:rsidR="005F77BD" w:rsidRDefault="005F77BD" w:rsidP="005058F7">
      <w:pPr>
        <w:pStyle w:val="FootnoteText"/>
        <w:jc w:val="both"/>
      </w:pPr>
      <w:r>
        <w:rPr>
          <w:rStyle w:val="FootnoteReference"/>
        </w:rPr>
        <w:footnoteRef/>
      </w:r>
      <w:r>
        <w:t xml:space="preserve"> </w:t>
      </w:r>
      <w:r>
        <w:rPr>
          <w:rFonts w:ascii="Times New Roman" w:hAnsi="Times New Roman"/>
        </w:rPr>
        <w:t>M</w:t>
      </w:r>
      <w:r w:rsidRPr="002538D5">
        <w:rPr>
          <w:rFonts w:ascii="Times New Roman" w:hAnsi="Times New Roman"/>
        </w:rPr>
        <w:t>odelis</w:t>
      </w:r>
      <w:r>
        <w:rPr>
          <w:rFonts w:ascii="Times New Roman" w:hAnsi="Times New Roman"/>
        </w:rPr>
        <w:t xml:space="preserve"> 3</w:t>
      </w:r>
      <w:r w:rsidRPr="002538D5">
        <w:rPr>
          <w:rFonts w:ascii="Times New Roman" w:hAnsi="Times New Roman"/>
        </w:rPr>
        <w:t xml:space="preserve"> nosaka Latvijas oficiālās attīstības palīdzības </w:t>
      </w:r>
      <w:r>
        <w:rPr>
          <w:rFonts w:ascii="Times New Roman" w:hAnsi="Times New Roman"/>
        </w:rPr>
        <w:t xml:space="preserve">mērķis 2025.gadā ir </w:t>
      </w:r>
      <w:r w:rsidRPr="002538D5">
        <w:rPr>
          <w:rFonts w:ascii="Times New Roman" w:hAnsi="Times New Roman"/>
        </w:rPr>
        <w:t>0.</w:t>
      </w:r>
      <w:r>
        <w:rPr>
          <w:rFonts w:ascii="Times New Roman" w:hAnsi="Times New Roman"/>
        </w:rPr>
        <w:t>22</w:t>
      </w:r>
      <w:r w:rsidRPr="002538D5">
        <w:rPr>
          <w:rFonts w:ascii="Times New Roman" w:hAnsi="Times New Roman"/>
        </w:rPr>
        <w:t>% no NKI un Ārlietu ministrijas budžeta programmas “</w:t>
      </w:r>
      <w:r w:rsidRPr="002538D5">
        <w:rPr>
          <w:rFonts w:ascii="Times New Roman" w:eastAsia="Times New Roman" w:hAnsi="Times New Roman"/>
          <w:lang w:eastAsia="lv-LV"/>
        </w:rPr>
        <w:t>Attīstības sadarbības projekti un starptautiskā palīdzība”</w:t>
      </w:r>
      <w:r>
        <w:rPr>
          <w:rFonts w:ascii="Times New Roman" w:eastAsia="Times New Roman" w:hAnsi="Times New Roman"/>
          <w:lang w:eastAsia="lv-LV"/>
        </w:rPr>
        <w:t xml:space="preserve"> finansējuma mērķis ir 10% no OAP mērķa.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F612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94C2B"/>
    <w:multiLevelType w:val="hybridMultilevel"/>
    <w:tmpl w:val="43B4D0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32865"/>
    <w:multiLevelType w:val="hybridMultilevel"/>
    <w:tmpl w:val="AE72FE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084A1E"/>
    <w:multiLevelType w:val="hybridMultilevel"/>
    <w:tmpl w:val="437C4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875358"/>
    <w:multiLevelType w:val="multilevel"/>
    <w:tmpl w:val="22DCD1C2"/>
    <w:lvl w:ilvl="0">
      <w:start w:val="1"/>
      <w:numFmt w:val="decimal"/>
      <w:lvlText w:val="%1."/>
      <w:lvlJc w:val="left"/>
      <w:pPr>
        <w:ind w:left="360" w:hanging="360"/>
      </w:pPr>
      <w:rPr>
        <w:rFonts w:hint="default"/>
        <w:b/>
        <w:sz w:val="28"/>
        <w:szCs w:val="28"/>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5" w15:restartNumberingAfterBreak="0">
    <w:nsid w:val="18005DAF"/>
    <w:multiLevelType w:val="hybridMultilevel"/>
    <w:tmpl w:val="7E9C9F00"/>
    <w:lvl w:ilvl="0" w:tplc="E2380B2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2502E3"/>
    <w:multiLevelType w:val="hybridMultilevel"/>
    <w:tmpl w:val="803CDDCA"/>
    <w:lvl w:ilvl="0" w:tplc="1A80248A">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224087"/>
    <w:multiLevelType w:val="multilevel"/>
    <w:tmpl w:val="13400442"/>
    <w:lvl w:ilvl="0">
      <w:start w:val="1"/>
      <w:numFmt w:val="decimal"/>
      <w:lvlText w:val="%1."/>
      <w:lvlJc w:val="left"/>
      <w:pPr>
        <w:ind w:left="360" w:hanging="360"/>
      </w:pPr>
      <w:rPr>
        <w:rFonts w:hint="default"/>
        <w:b/>
        <w:color w:val="auto"/>
        <w:sz w:val="24"/>
        <w:szCs w:val="24"/>
      </w:rPr>
    </w:lvl>
    <w:lvl w:ilvl="1">
      <w:start w:val="1"/>
      <w:numFmt w:val="decimal"/>
      <w:isLgl/>
      <w:lvlText w:val="%1.%2."/>
      <w:lvlJc w:val="left"/>
      <w:pPr>
        <w:ind w:left="810" w:hanging="450"/>
      </w:pPr>
      <w:rPr>
        <w:rFonts w:hint="default"/>
        <w:b/>
        <w:color w:val="auto"/>
        <w:sz w:val="24"/>
        <w:szCs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8" w15:restartNumberingAfterBreak="0">
    <w:nsid w:val="1CE9467C"/>
    <w:multiLevelType w:val="multilevel"/>
    <w:tmpl w:val="6906962C"/>
    <w:lvl w:ilvl="0">
      <w:start w:val="1"/>
      <w:numFmt w:val="decimal"/>
      <w:lvlText w:val="%1."/>
      <w:lvlJc w:val="left"/>
      <w:pPr>
        <w:ind w:left="360" w:hanging="360"/>
      </w:pPr>
      <w:rPr>
        <w:rFonts w:hint="default"/>
        <w:b/>
        <w:color w:val="auto"/>
        <w:sz w:val="22"/>
        <w:szCs w:val="24"/>
      </w:rPr>
    </w:lvl>
    <w:lvl w:ilvl="1">
      <w:start w:val="1"/>
      <w:numFmt w:val="decimal"/>
      <w:isLgl/>
      <w:lvlText w:val="%1.%2."/>
      <w:lvlJc w:val="left"/>
      <w:pPr>
        <w:ind w:left="810" w:hanging="450"/>
      </w:pPr>
      <w:rPr>
        <w:rFonts w:hint="default"/>
        <w:b/>
        <w:sz w:val="24"/>
        <w:szCs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9" w15:restartNumberingAfterBreak="0">
    <w:nsid w:val="1CF80E39"/>
    <w:multiLevelType w:val="hybridMultilevel"/>
    <w:tmpl w:val="81A2B0E4"/>
    <w:lvl w:ilvl="0" w:tplc="FE7A3A1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F234BE2"/>
    <w:multiLevelType w:val="hybridMultilevel"/>
    <w:tmpl w:val="BC049DEC"/>
    <w:lvl w:ilvl="0" w:tplc="487082F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1763A"/>
    <w:multiLevelType w:val="hybridMultilevel"/>
    <w:tmpl w:val="741E1460"/>
    <w:lvl w:ilvl="0" w:tplc="04D6DD9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3C1D1D"/>
    <w:multiLevelType w:val="hybridMultilevel"/>
    <w:tmpl w:val="4F9A4D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1C0481"/>
    <w:multiLevelType w:val="hybridMultilevel"/>
    <w:tmpl w:val="6E786F7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F670CE5"/>
    <w:multiLevelType w:val="hybridMultilevel"/>
    <w:tmpl w:val="0F9AF6FE"/>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A122D"/>
    <w:multiLevelType w:val="hybridMultilevel"/>
    <w:tmpl w:val="18480100"/>
    <w:lvl w:ilvl="0" w:tplc="C6427DF2">
      <w:start w:val="20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A1C22"/>
    <w:multiLevelType w:val="hybridMultilevel"/>
    <w:tmpl w:val="1F00C8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6334E07"/>
    <w:multiLevelType w:val="hybridMultilevel"/>
    <w:tmpl w:val="158AA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697A27"/>
    <w:multiLevelType w:val="hybridMultilevel"/>
    <w:tmpl w:val="F55C81B2"/>
    <w:lvl w:ilvl="0" w:tplc="9ACE58E0">
      <w:start w:val="46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E5483F"/>
    <w:multiLevelType w:val="multilevel"/>
    <w:tmpl w:val="6A1400B6"/>
    <w:lvl w:ilvl="0">
      <w:start w:val="1"/>
      <w:numFmt w:val="decimal"/>
      <w:lvlText w:val="%1."/>
      <w:lvlJc w:val="left"/>
      <w:pPr>
        <w:ind w:left="360" w:hanging="360"/>
      </w:pPr>
      <w:rPr>
        <w:rFonts w:hint="default"/>
        <w:b/>
        <w:color w:val="auto"/>
        <w:sz w:val="22"/>
        <w:szCs w:val="24"/>
      </w:rPr>
    </w:lvl>
    <w:lvl w:ilvl="1">
      <w:start w:val="1"/>
      <w:numFmt w:val="decimal"/>
      <w:isLgl/>
      <w:lvlText w:val="%1.%2."/>
      <w:lvlJc w:val="left"/>
      <w:pPr>
        <w:ind w:left="810" w:hanging="450"/>
      </w:pPr>
      <w:rPr>
        <w:rFonts w:hint="default"/>
        <w:b/>
        <w:color w:val="auto"/>
        <w:sz w:val="24"/>
        <w:szCs w:val="24"/>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800" w:hanging="720"/>
      </w:pPr>
      <w:rPr>
        <w:rFonts w:hint="default"/>
        <w:b/>
        <w:sz w:val="28"/>
      </w:rPr>
    </w:lvl>
    <w:lvl w:ilvl="4">
      <w:start w:val="1"/>
      <w:numFmt w:val="decimal"/>
      <w:isLgl/>
      <w:lvlText w:val="%1.%2.%3.%4.%5."/>
      <w:lvlJc w:val="left"/>
      <w:pPr>
        <w:ind w:left="2520" w:hanging="1080"/>
      </w:pPr>
      <w:rPr>
        <w:rFonts w:hint="default"/>
        <w:b/>
        <w:sz w:val="28"/>
      </w:rPr>
    </w:lvl>
    <w:lvl w:ilvl="5">
      <w:start w:val="1"/>
      <w:numFmt w:val="decimal"/>
      <w:isLgl/>
      <w:lvlText w:val="%1.%2.%3.%4.%5.%6."/>
      <w:lvlJc w:val="left"/>
      <w:pPr>
        <w:ind w:left="2880" w:hanging="1080"/>
      </w:pPr>
      <w:rPr>
        <w:rFonts w:hint="default"/>
        <w:b/>
        <w:sz w:val="28"/>
      </w:rPr>
    </w:lvl>
    <w:lvl w:ilvl="6">
      <w:start w:val="1"/>
      <w:numFmt w:val="decimal"/>
      <w:isLgl/>
      <w:lvlText w:val="%1.%2.%3.%4.%5.%6.%7."/>
      <w:lvlJc w:val="left"/>
      <w:pPr>
        <w:ind w:left="3600" w:hanging="1440"/>
      </w:pPr>
      <w:rPr>
        <w:rFonts w:hint="default"/>
        <w:b/>
        <w:sz w:val="28"/>
      </w:rPr>
    </w:lvl>
    <w:lvl w:ilvl="7">
      <w:start w:val="1"/>
      <w:numFmt w:val="decimal"/>
      <w:isLgl/>
      <w:lvlText w:val="%1.%2.%3.%4.%5.%6.%7.%8."/>
      <w:lvlJc w:val="left"/>
      <w:pPr>
        <w:ind w:left="3960" w:hanging="1440"/>
      </w:pPr>
      <w:rPr>
        <w:rFonts w:hint="default"/>
        <w:b/>
        <w:sz w:val="28"/>
      </w:rPr>
    </w:lvl>
    <w:lvl w:ilvl="8">
      <w:start w:val="1"/>
      <w:numFmt w:val="decimal"/>
      <w:isLgl/>
      <w:lvlText w:val="%1.%2.%3.%4.%5.%6.%7.%8.%9."/>
      <w:lvlJc w:val="left"/>
      <w:pPr>
        <w:ind w:left="4680" w:hanging="1800"/>
      </w:pPr>
      <w:rPr>
        <w:rFonts w:hint="default"/>
        <w:b/>
        <w:sz w:val="28"/>
      </w:rPr>
    </w:lvl>
  </w:abstractNum>
  <w:abstractNum w:abstractNumId="20" w15:restartNumberingAfterBreak="0">
    <w:nsid w:val="52FC5A6A"/>
    <w:multiLevelType w:val="hybridMultilevel"/>
    <w:tmpl w:val="2B1E6748"/>
    <w:lvl w:ilvl="0" w:tplc="EC6202D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8D3CE1"/>
    <w:multiLevelType w:val="hybridMultilevel"/>
    <w:tmpl w:val="7A94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E14243"/>
    <w:multiLevelType w:val="hybridMultilevel"/>
    <w:tmpl w:val="B8F4EA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F2333B"/>
    <w:multiLevelType w:val="hybridMultilevel"/>
    <w:tmpl w:val="136A0E6E"/>
    <w:lvl w:ilvl="0" w:tplc="A972013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F811922"/>
    <w:multiLevelType w:val="hybridMultilevel"/>
    <w:tmpl w:val="9DCC1B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740BDF"/>
    <w:multiLevelType w:val="hybridMultilevel"/>
    <w:tmpl w:val="5A340B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6AFD2DD1"/>
    <w:multiLevelType w:val="hybridMultilevel"/>
    <w:tmpl w:val="9A22B7AA"/>
    <w:lvl w:ilvl="0" w:tplc="23F60CA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B2370D0"/>
    <w:multiLevelType w:val="hybridMultilevel"/>
    <w:tmpl w:val="6D5007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B420B8C"/>
    <w:multiLevelType w:val="hybridMultilevel"/>
    <w:tmpl w:val="5EAC5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46511"/>
    <w:multiLevelType w:val="hybridMultilevel"/>
    <w:tmpl w:val="DAC2D1AA"/>
    <w:lvl w:ilvl="0" w:tplc="9ACE58E0">
      <w:start w:val="46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DB90F24"/>
    <w:multiLevelType w:val="hybridMultilevel"/>
    <w:tmpl w:val="753ABEFA"/>
    <w:lvl w:ilvl="0" w:tplc="705845C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EB0564"/>
    <w:multiLevelType w:val="hybridMultilevel"/>
    <w:tmpl w:val="61F44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B11A8"/>
    <w:multiLevelType w:val="hybridMultilevel"/>
    <w:tmpl w:val="D8B07542"/>
    <w:lvl w:ilvl="0" w:tplc="DB7824EC">
      <w:start w:val="5"/>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4CB5E77"/>
    <w:multiLevelType w:val="hybridMultilevel"/>
    <w:tmpl w:val="EECCB19A"/>
    <w:lvl w:ilvl="0" w:tplc="54466742">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69610D"/>
    <w:multiLevelType w:val="hybridMultilevel"/>
    <w:tmpl w:val="2126EFD4"/>
    <w:lvl w:ilvl="0" w:tplc="5FF497A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836672"/>
    <w:multiLevelType w:val="hybridMultilevel"/>
    <w:tmpl w:val="7326108A"/>
    <w:lvl w:ilvl="0" w:tplc="3C70F2F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7533F1"/>
    <w:multiLevelType w:val="hybridMultilevel"/>
    <w:tmpl w:val="50E6039C"/>
    <w:lvl w:ilvl="0" w:tplc="AEA0D508">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33"/>
  </w:num>
  <w:num w:numId="3">
    <w:abstractNumId w:val="36"/>
  </w:num>
  <w:num w:numId="4">
    <w:abstractNumId w:val="13"/>
  </w:num>
  <w:num w:numId="5">
    <w:abstractNumId w:val="30"/>
  </w:num>
  <w:num w:numId="6">
    <w:abstractNumId w:val="3"/>
  </w:num>
  <w:num w:numId="7">
    <w:abstractNumId w:val="26"/>
  </w:num>
  <w:num w:numId="8">
    <w:abstractNumId w:val="28"/>
  </w:num>
  <w:num w:numId="9">
    <w:abstractNumId w:val="10"/>
  </w:num>
  <w:num w:numId="10">
    <w:abstractNumId w:val="35"/>
  </w:num>
  <w:num w:numId="11">
    <w:abstractNumId w:val="5"/>
  </w:num>
  <w:num w:numId="12">
    <w:abstractNumId w:val="16"/>
  </w:num>
  <w:num w:numId="13">
    <w:abstractNumId w:val="11"/>
  </w:num>
  <w:num w:numId="14">
    <w:abstractNumId w:val="27"/>
  </w:num>
  <w:num w:numId="15">
    <w:abstractNumId w:val="29"/>
  </w:num>
  <w:num w:numId="16">
    <w:abstractNumId w:val="18"/>
  </w:num>
  <w:num w:numId="17">
    <w:abstractNumId w:val="25"/>
  </w:num>
  <w:num w:numId="18">
    <w:abstractNumId w:val="15"/>
  </w:num>
  <w:num w:numId="19">
    <w:abstractNumId w:val="14"/>
  </w:num>
  <w:num w:numId="20">
    <w:abstractNumId w:val="17"/>
  </w:num>
  <w:num w:numId="21">
    <w:abstractNumId w:val="23"/>
  </w:num>
  <w:num w:numId="22">
    <w:abstractNumId w:val="20"/>
  </w:num>
  <w:num w:numId="23">
    <w:abstractNumId w:val="2"/>
  </w:num>
  <w:num w:numId="24">
    <w:abstractNumId w:val="4"/>
  </w:num>
  <w:num w:numId="25">
    <w:abstractNumId w:val="31"/>
  </w:num>
  <w:num w:numId="26">
    <w:abstractNumId w:val="32"/>
  </w:num>
  <w:num w:numId="27">
    <w:abstractNumId w:val="22"/>
  </w:num>
  <w:num w:numId="28">
    <w:abstractNumId w:val="1"/>
  </w:num>
  <w:num w:numId="29">
    <w:abstractNumId w:val="9"/>
  </w:num>
  <w:num w:numId="30">
    <w:abstractNumId w:val="34"/>
  </w:num>
  <w:num w:numId="31">
    <w:abstractNumId w:val="0"/>
  </w:num>
  <w:num w:numId="32">
    <w:abstractNumId w:val="7"/>
    <w:lvlOverride w:ilvl="0">
      <w:lvl w:ilvl="0">
        <w:start w:val="1"/>
        <w:numFmt w:val="decimal"/>
        <w:lvlText w:val="%1."/>
        <w:lvlJc w:val="left"/>
        <w:pPr>
          <w:ind w:left="360" w:hanging="360"/>
        </w:pPr>
        <w:rPr>
          <w:rFonts w:hint="default"/>
          <w:b/>
          <w:sz w:val="28"/>
          <w:szCs w:val="28"/>
        </w:rPr>
      </w:lvl>
    </w:lvlOverride>
    <w:lvlOverride w:ilvl="1">
      <w:lvl w:ilvl="1">
        <w:start w:val="1"/>
        <w:numFmt w:val="decimal"/>
        <w:isLgl/>
        <w:lvlText w:val="%1.%2."/>
        <w:lvlJc w:val="left"/>
        <w:pPr>
          <w:ind w:left="810" w:hanging="450"/>
        </w:pPr>
        <w:rPr>
          <w:rFonts w:hint="default"/>
          <w:b/>
          <w:sz w:val="24"/>
        </w:rPr>
      </w:lvl>
    </w:lvlOverride>
    <w:lvlOverride w:ilvl="2">
      <w:lvl w:ilvl="2">
        <w:start w:val="1"/>
        <w:numFmt w:val="decimal"/>
        <w:isLgl/>
        <w:lvlText w:val="%1.%2.%3."/>
        <w:lvlJc w:val="left"/>
        <w:pPr>
          <w:ind w:left="1440" w:hanging="720"/>
        </w:pPr>
        <w:rPr>
          <w:rFonts w:hint="default"/>
          <w:b/>
          <w:sz w:val="28"/>
        </w:rPr>
      </w:lvl>
    </w:lvlOverride>
    <w:lvlOverride w:ilvl="3">
      <w:lvl w:ilvl="3">
        <w:start w:val="1"/>
        <w:numFmt w:val="decimal"/>
        <w:isLgl/>
        <w:lvlText w:val="%1.%2.%3.%4."/>
        <w:lvlJc w:val="left"/>
        <w:pPr>
          <w:ind w:left="1800" w:hanging="720"/>
        </w:pPr>
        <w:rPr>
          <w:rFonts w:hint="default"/>
          <w:b/>
          <w:sz w:val="28"/>
        </w:rPr>
      </w:lvl>
    </w:lvlOverride>
    <w:lvlOverride w:ilvl="4">
      <w:lvl w:ilvl="4">
        <w:start w:val="1"/>
        <w:numFmt w:val="decimal"/>
        <w:isLgl/>
        <w:lvlText w:val="%1.%2.%3.%4.%5."/>
        <w:lvlJc w:val="left"/>
        <w:pPr>
          <w:ind w:left="2520" w:hanging="1080"/>
        </w:pPr>
        <w:rPr>
          <w:rFonts w:hint="default"/>
          <w:b/>
          <w:sz w:val="28"/>
        </w:rPr>
      </w:lvl>
    </w:lvlOverride>
    <w:lvlOverride w:ilvl="5">
      <w:lvl w:ilvl="5">
        <w:start w:val="1"/>
        <w:numFmt w:val="decimal"/>
        <w:isLgl/>
        <w:lvlText w:val="%1.%2.%3.%4.%5.%6."/>
        <w:lvlJc w:val="left"/>
        <w:pPr>
          <w:ind w:left="2880" w:hanging="1080"/>
        </w:pPr>
        <w:rPr>
          <w:rFonts w:hint="default"/>
          <w:b/>
          <w:sz w:val="28"/>
        </w:rPr>
      </w:lvl>
    </w:lvlOverride>
    <w:lvlOverride w:ilvl="6">
      <w:lvl w:ilvl="6">
        <w:start w:val="1"/>
        <w:numFmt w:val="decimal"/>
        <w:isLgl/>
        <w:lvlText w:val="%1.%2.%3.%4.%5.%6.%7."/>
        <w:lvlJc w:val="left"/>
        <w:pPr>
          <w:ind w:left="3600" w:hanging="1440"/>
        </w:pPr>
        <w:rPr>
          <w:rFonts w:hint="default"/>
          <w:b/>
          <w:sz w:val="28"/>
        </w:rPr>
      </w:lvl>
    </w:lvlOverride>
    <w:lvlOverride w:ilvl="7">
      <w:lvl w:ilvl="7">
        <w:start w:val="1"/>
        <w:numFmt w:val="decimal"/>
        <w:isLgl/>
        <w:lvlText w:val="%1.%2.%3.%4.%5.%6.%7.%8."/>
        <w:lvlJc w:val="left"/>
        <w:pPr>
          <w:ind w:left="3960" w:hanging="1440"/>
        </w:pPr>
        <w:rPr>
          <w:rFonts w:hint="default"/>
          <w:b/>
          <w:sz w:val="28"/>
        </w:rPr>
      </w:lvl>
    </w:lvlOverride>
    <w:lvlOverride w:ilvl="8">
      <w:lvl w:ilvl="8">
        <w:start w:val="1"/>
        <w:numFmt w:val="decimal"/>
        <w:isLgl/>
        <w:lvlText w:val="%1.%2.%3.%4.%5.%6.%7.%8.%9."/>
        <w:lvlJc w:val="left"/>
        <w:pPr>
          <w:ind w:left="4680" w:hanging="1800"/>
        </w:pPr>
        <w:rPr>
          <w:rFonts w:hint="default"/>
          <w:b/>
          <w:sz w:val="28"/>
        </w:rPr>
      </w:lvl>
    </w:lvlOverride>
  </w:num>
  <w:num w:numId="33">
    <w:abstractNumId w:val="8"/>
  </w:num>
  <w:num w:numId="34">
    <w:abstractNumId w:val="19"/>
  </w:num>
  <w:num w:numId="35">
    <w:abstractNumId w:val="12"/>
  </w:num>
  <w:num w:numId="36">
    <w:abstractNumId w:val="24"/>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CD"/>
    <w:rsid w:val="00000279"/>
    <w:rsid w:val="00004740"/>
    <w:rsid w:val="00007890"/>
    <w:rsid w:val="00012106"/>
    <w:rsid w:val="00023208"/>
    <w:rsid w:val="00025918"/>
    <w:rsid w:val="0002794F"/>
    <w:rsid w:val="00030B88"/>
    <w:rsid w:val="00030FF4"/>
    <w:rsid w:val="00034E2A"/>
    <w:rsid w:val="000355D6"/>
    <w:rsid w:val="0003663F"/>
    <w:rsid w:val="00043E37"/>
    <w:rsid w:val="000516AD"/>
    <w:rsid w:val="00051FCD"/>
    <w:rsid w:val="00052F17"/>
    <w:rsid w:val="00056FEE"/>
    <w:rsid w:val="000620A5"/>
    <w:rsid w:val="00063307"/>
    <w:rsid w:val="00063A78"/>
    <w:rsid w:val="00067D75"/>
    <w:rsid w:val="0007077C"/>
    <w:rsid w:val="00072DF6"/>
    <w:rsid w:val="0008157A"/>
    <w:rsid w:val="000854BC"/>
    <w:rsid w:val="000867C5"/>
    <w:rsid w:val="000917AA"/>
    <w:rsid w:val="00091876"/>
    <w:rsid w:val="0009763B"/>
    <w:rsid w:val="000977BE"/>
    <w:rsid w:val="000A76A9"/>
    <w:rsid w:val="000B1AEB"/>
    <w:rsid w:val="000B264D"/>
    <w:rsid w:val="000B3B06"/>
    <w:rsid w:val="000B464B"/>
    <w:rsid w:val="000B46CB"/>
    <w:rsid w:val="000B69D3"/>
    <w:rsid w:val="000C18F5"/>
    <w:rsid w:val="000C27B4"/>
    <w:rsid w:val="000C2E7D"/>
    <w:rsid w:val="000C6D03"/>
    <w:rsid w:val="000C7781"/>
    <w:rsid w:val="000C79B2"/>
    <w:rsid w:val="000D1F6F"/>
    <w:rsid w:val="000D2E29"/>
    <w:rsid w:val="000E043A"/>
    <w:rsid w:val="000E40FA"/>
    <w:rsid w:val="000F1ABF"/>
    <w:rsid w:val="000F233F"/>
    <w:rsid w:val="000F2BC4"/>
    <w:rsid w:val="00102B4B"/>
    <w:rsid w:val="00112201"/>
    <w:rsid w:val="00115924"/>
    <w:rsid w:val="001200F0"/>
    <w:rsid w:val="00121864"/>
    <w:rsid w:val="001249E0"/>
    <w:rsid w:val="00124BE1"/>
    <w:rsid w:val="001254DE"/>
    <w:rsid w:val="00125649"/>
    <w:rsid w:val="00132143"/>
    <w:rsid w:val="00133084"/>
    <w:rsid w:val="00135531"/>
    <w:rsid w:val="0013582B"/>
    <w:rsid w:val="00152D94"/>
    <w:rsid w:val="00155F7D"/>
    <w:rsid w:val="00157A5F"/>
    <w:rsid w:val="00157B0C"/>
    <w:rsid w:val="0016241E"/>
    <w:rsid w:val="00164B5B"/>
    <w:rsid w:val="0016612C"/>
    <w:rsid w:val="001708E4"/>
    <w:rsid w:val="00172256"/>
    <w:rsid w:val="00176ECB"/>
    <w:rsid w:val="00177E05"/>
    <w:rsid w:val="001845D1"/>
    <w:rsid w:val="0018479D"/>
    <w:rsid w:val="001876F7"/>
    <w:rsid w:val="00187830"/>
    <w:rsid w:val="00190D34"/>
    <w:rsid w:val="00192752"/>
    <w:rsid w:val="00194577"/>
    <w:rsid w:val="001A2DEB"/>
    <w:rsid w:val="001A50CC"/>
    <w:rsid w:val="001B0FEB"/>
    <w:rsid w:val="001B39D1"/>
    <w:rsid w:val="001B7725"/>
    <w:rsid w:val="001C43A4"/>
    <w:rsid w:val="001C5C64"/>
    <w:rsid w:val="001E0378"/>
    <w:rsid w:val="001F302D"/>
    <w:rsid w:val="001F46D5"/>
    <w:rsid w:val="0020312D"/>
    <w:rsid w:val="0020438F"/>
    <w:rsid w:val="00205DF3"/>
    <w:rsid w:val="00205E20"/>
    <w:rsid w:val="00210E9D"/>
    <w:rsid w:val="00212246"/>
    <w:rsid w:val="00212EA3"/>
    <w:rsid w:val="002148C7"/>
    <w:rsid w:val="0022201E"/>
    <w:rsid w:val="00223DEC"/>
    <w:rsid w:val="0023443E"/>
    <w:rsid w:val="00234BDF"/>
    <w:rsid w:val="00235014"/>
    <w:rsid w:val="0023767D"/>
    <w:rsid w:val="002431C3"/>
    <w:rsid w:val="00244DE4"/>
    <w:rsid w:val="002524CF"/>
    <w:rsid w:val="00253F7A"/>
    <w:rsid w:val="00254644"/>
    <w:rsid w:val="00255A90"/>
    <w:rsid w:val="002619EE"/>
    <w:rsid w:val="00267654"/>
    <w:rsid w:val="0027451F"/>
    <w:rsid w:val="00277AEA"/>
    <w:rsid w:val="00284FF9"/>
    <w:rsid w:val="00286774"/>
    <w:rsid w:val="00286775"/>
    <w:rsid w:val="0028728C"/>
    <w:rsid w:val="002904CC"/>
    <w:rsid w:val="002906A3"/>
    <w:rsid w:val="00295C9E"/>
    <w:rsid w:val="002A027E"/>
    <w:rsid w:val="002A51AB"/>
    <w:rsid w:val="002A668D"/>
    <w:rsid w:val="002B0B14"/>
    <w:rsid w:val="002B2E1E"/>
    <w:rsid w:val="002B2E26"/>
    <w:rsid w:val="002C2005"/>
    <w:rsid w:val="002C2EE5"/>
    <w:rsid w:val="002C7D42"/>
    <w:rsid w:val="002D27A8"/>
    <w:rsid w:val="002D3873"/>
    <w:rsid w:val="002D4A2C"/>
    <w:rsid w:val="002D7FC5"/>
    <w:rsid w:val="002E253A"/>
    <w:rsid w:val="002E3021"/>
    <w:rsid w:val="002E49B8"/>
    <w:rsid w:val="002E6AA5"/>
    <w:rsid w:val="002E77F6"/>
    <w:rsid w:val="002F0FA8"/>
    <w:rsid w:val="002F2B07"/>
    <w:rsid w:val="002F65D0"/>
    <w:rsid w:val="002F6B8B"/>
    <w:rsid w:val="00302DA3"/>
    <w:rsid w:val="00310070"/>
    <w:rsid w:val="003123F7"/>
    <w:rsid w:val="003149FB"/>
    <w:rsid w:val="003171B9"/>
    <w:rsid w:val="003177D0"/>
    <w:rsid w:val="00320C7E"/>
    <w:rsid w:val="00327541"/>
    <w:rsid w:val="00331DE2"/>
    <w:rsid w:val="00333827"/>
    <w:rsid w:val="003344AB"/>
    <w:rsid w:val="003347A4"/>
    <w:rsid w:val="00337B73"/>
    <w:rsid w:val="003515C3"/>
    <w:rsid w:val="0035266A"/>
    <w:rsid w:val="00353D6E"/>
    <w:rsid w:val="00357C40"/>
    <w:rsid w:val="0037085F"/>
    <w:rsid w:val="00384564"/>
    <w:rsid w:val="00384BED"/>
    <w:rsid w:val="00390069"/>
    <w:rsid w:val="0039797E"/>
    <w:rsid w:val="003A286D"/>
    <w:rsid w:val="003A3E8A"/>
    <w:rsid w:val="003A7BA4"/>
    <w:rsid w:val="003B0DC1"/>
    <w:rsid w:val="003B657F"/>
    <w:rsid w:val="003B6D7F"/>
    <w:rsid w:val="003B6E79"/>
    <w:rsid w:val="003C0DA1"/>
    <w:rsid w:val="003D14D2"/>
    <w:rsid w:val="003D2609"/>
    <w:rsid w:val="003D3E74"/>
    <w:rsid w:val="003D5A45"/>
    <w:rsid w:val="003E61A8"/>
    <w:rsid w:val="003E6A89"/>
    <w:rsid w:val="003F100F"/>
    <w:rsid w:val="00402AE4"/>
    <w:rsid w:val="0041134B"/>
    <w:rsid w:val="00411379"/>
    <w:rsid w:val="00412C15"/>
    <w:rsid w:val="0041437D"/>
    <w:rsid w:val="004161D2"/>
    <w:rsid w:val="004215C3"/>
    <w:rsid w:val="00425632"/>
    <w:rsid w:val="004317C7"/>
    <w:rsid w:val="00431889"/>
    <w:rsid w:val="0044378D"/>
    <w:rsid w:val="00445058"/>
    <w:rsid w:val="00447B16"/>
    <w:rsid w:val="00452B9A"/>
    <w:rsid w:val="00454F50"/>
    <w:rsid w:val="00460215"/>
    <w:rsid w:val="004663A0"/>
    <w:rsid w:val="004675C2"/>
    <w:rsid w:val="00470EF4"/>
    <w:rsid w:val="004750ED"/>
    <w:rsid w:val="00483347"/>
    <w:rsid w:val="00491EA1"/>
    <w:rsid w:val="00493324"/>
    <w:rsid w:val="00494A0B"/>
    <w:rsid w:val="00494B76"/>
    <w:rsid w:val="00494B83"/>
    <w:rsid w:val="004B3049"/>
    <w:rsid w:val="004B4F51"/>
    <w:rsid w:val="004C5A71"/>
    <w:rsid w:val="004C728F"/>
    <w:rsid w:val="004D320E"/>
    <w:rsid w:val="004D4F17"/>
    <w:rsid w:val="004D7E86"/>
    <w:rsid w:val="004E02D2"/>
    <w:rsid w:val="004E307A"/>
    <w:rsid w:val="004E7227"/>
    <w:rsid w:val="004F0080"/>
    <w:rsid w:val="004F3D4A"/>
    <w:rsid w:val="004F40F4"/>
    <w:rsid w:val="004F5769"/>
    <w:rsid w:val="00502DC5"/>
    <w:rsid w:val="00504E3F"/>
    <w:rsid w:val="005058F7"/>
    <w:rsid w:val="00506430"/>
    <w:rsid w:val="005125ED"/>
    <w:rsid w:val="00512CC7"/>
    <w:rsid w:val="00514299"/>
    <w:rsid w:val="00517CC5"/>
    <w:rsid w:val="00520EA4"/>
    <w:rsid w:val="005324D7"/>
    <w:rsid w:val="00536CF2"/>
    <w:rsid w:val="00537B8A"/>
    <w:rsid w:val="005419CF"/>
    <w:rsid w:val="0054361C"/>
    <w:rsid w:val="005610CD"/>
    <w:rsid w:val="00572086"/>
    <w:rsid w:val="00572A50"/>
    <w:rsid w:val="00574345"/>
    <w:rsid w:val="00574806"/>
    <w:rsid w:val="005761DD"/>
    <w:rsid w:val="00576558"/>
    <w:rsid w:val="005812F5"/>
    <w:rsid w:val="00582338"/>
    <w:rsid w:val="00582AFD"/>
    <w:rsid w:val="00582F2A"/>
    <w:rsid w:val="00587130"/>
    <w:rsid w:val="00593C92"/>
    <w:rsid w:val="005963F5"/>
    <w:rsid w:val="00596CF7"/>
    <w:rsid w:val="005A023A"/>
    <w:rsid w:val="005A0442"/>
    <w:rsid w:val="005A4E86"/>
    <w:rsid w:val="005A68F7"/>
    <w:rsid w:val="005A7035"/>
    <w:rsid w:val="005A7414"/>
    <w:rsid w:val="005A7C43"/>
    <w:rsid w:val="005B4320"/>
    <w:rsid w:val="005B5284"/>
    <w:rsid w:val="005B5ADA"/>
    <w:rsid w:val="005C036E"/>
    <w:rsid w:val="005C3505"/>
    <w:rsid w:val="005D0875"/>
    <w:rsid w:val="005D66BB"/>
    <w:rsid w:val="005E02CF"/>
    <w:rsid w:val="005E24FB"/>
    <w:rsid w:val="005E4359"/>
    <w:rsid w:val="005F03B9"/>
    <w:rsid w:val="005F28EC"/>
    <w:rsid w:val="005F77BD"/>
    <w:rsid w:val="00600F74"/>
    <w:rsid w:val="00601E87"/>
    <w:rsid w:val="00605CD4"/>
    <w:rsid w:val="006119C7"/>
    <w:rsid w:val="00614355"/>
    <w:rsid w:val="0061588A"/>
    <w:rsid w:val="00615D13"/>
    <w:rsid w:val="00624D9D"/>
    <w:rsid w:val="006258D2"/>
    <w:rsid w:val="00626845"/>
    <w:rsid w:val="00627F5C"/>
    <w:rsid w:val="006317D6"/>
    <w:rsid w:val="00631970"/>
    <w:rsid w:val="00633422"/>
    <w:rsid w:val="00633833"/>
    <w:rsid w:val="00634EF7"/>
    <w:rsid w:val="006351DD"/>
    <w:rsid w:val="006443A7"/>
    <w:rsid w:val="006443E2"/>
    <w:rsid w:val="006450FB"/>
    <w:rsid w:val="00645487"/>
    <w:rsid w:val="00646D79"/>
    <w:rsid w:val="0065023B"/>
    <w:rsid w:val="00652187"/>
    <w:rsid w:val="00656637"/>
    <w:rsid w:val="00664C9D"/>
    <w:rsid w:val="00666AD8"/>
    <w:rsid w:val="006703C6"/>
    <w:rsid w:val="00671086"/>
    <w:rsid w:val="00673093"/>
    <w:rsid w:val="00681AEB"/>
    <w:rsid w:val="00686421"/>
    <w:rsid w:val="006A19F4"/>
    <w:rsid w:val="006A1FCD"/>
    <w:rsid w:val="006B7B92"/>
    <w:rsid w:val="006C0853"/>
    <w:rsid w:val="006C1979"/>
    <w:rsid w:val="006C2764"/>
    <w:rsid w:val="006C2B5F"/>
    <w:rsid w:val="006D48FC"/>
    <w:rsid w:val="006D69D4"/>
    <w:rsid w:val="006E384D"/>
    <w:rsid w:val="006E486F"/>
    <w:rsid w:val="006E550B"/>
    <w:rsid w:val="006E5EDB"/>
    <w:rsid w:val="006F0BF9"/>
    <w:rsid w:val="00710F00"/>
    <w:rsid w:val="0071187B"/>
    <w:rsid w:val="007149FB"/>
    <w:rsid w:val="007201EB"/>
    <w:rsid w:val="007205FA"/>
    <w:rsid w:val="007237B8"/>
    <w:rsid w:val="00724D7F"/>
    <w:rsid w:val="00731856"/>
    <w:rsid w:val="00732792"/>
    <w:rsid w:val="00734D59"/>
    <w:rsid w:val="007360FC"/>
    <w:rsid w:val="0073783D"/>
    <w:rsid w:val="007443E8"/>
    <w:rsid w:val="00746D80"/>
    <w:rsid w:val="00747A22"/>
    <w:rsid w:val="00752A12"/>
    <w:rsid w:val="0075338E"/>
    <w:rsid w:val="007546BC"/>
    <w:rsid w:val="00754D96"/>
    <w:rsid w:val="0076196B"/>
    <w:rsid w:val="007647A1"/>
    <w:rsid w:val="0076530C"/>
    <w:rsid w:val="007766CE"/>
    <w:rsid w:val="00784A9D"/>
    <w:rsid w:val="007865FA"/>
    <w:rsid w:val="007878AF"/>
    <w:rsid w:val="00794E07"/>
    <w:rsid w:val="00796AFB"/>
    <w:rsid w:val="007A18F0"/>
    <w:rsid w:val="007A76D0"/>
    <w:rsid w:val="007B3C0A"/>
    <w:rsid w:val="007B4B58"/>
    <w:rsid w:val="007C02AF"/>
    <w:rsid w:val="007C03F4"/>
    <w:rsid w:val="007C140C"/>
    <w:rsid w:val="007C3C06"/>
    <w:rsid w:val="007D4054"/>
    <w:rsid w:val="007D62E0"/>
    <w:rsid w:val="007D71A5"/>
    <w:rsid w:val="007E1A42"/>
    <w:rsid w:val="007E25D8"/>
    <w:rsid w:val="007E34DE"/>
    <w:rsid w:val="007E62E1"/>
    <w:rsid w:val="007F1673"/>
    <w:rsid w:val="007F2498"/>
    <w:rsid w:val="007F4B8C"/>
    <w:rsid w:val="007F4C68"/>
    <w:rsid w:val="00805BA1"/>
    <w:rsid w:val="00807BBA"/>
    <w:rsid w:val="0081122A"/>
    <w:rsid w:val="00811A91"/>
    <w:rsid w:val="008148C0"/>
    <w:rsid w:val="00820E56"/>
    <w:rsid w:val="00823032"/>
    <w:rsid w:val="00844D15"/>
    <w:rsid w:val="00845F35"/>
    <w:rsid w:val="00850CA4"/>
    <w:rsid w:val="00853F15"/>
    <w:rsid w:val="008548AA"/>
    <w:rsid w:val="0085606E"/>
    <w:rsid w:val="008568F5"/>
    <w:rsid w:val="00860B48"/>
    <w:rsid w:val="00861173"/>
    <w:rsid w:val="0086244C"/>
    <w:rsid w:val="0086378D"/>
    <w:rsid w:val="008639EC"/>
    <w:rsid w:val="008646DF"/>
    <w:rsid w:val="0086765E"/>
    <w:rsid w:val="0087085C"/>
    <w:rsid w:val="00871ECD"/>
    <w:rsid w:val="00881D32"/>
    <w:rsid w:val="00882390"/>
    <w:rsid w:val="00882C16"/>
    <w:rsid w:val="0088346F"/>
    <w:rsid w:val="008921C9"/>
    <w:rsid w:val="0089331C"/>
    <w:rsid w:val="008948D8"/>
    <w:rsid w:val="008A0241"/>
    <w:rsid w:val="008A4B01"/>
    <w:rsid w:val="008A57FF"/>
    <w:rsid w:val="008A752F"/>
    <w:rsid w:val="008D70ED"/>
    <w:rsid w:val="008E3250"/>
    <w:rsid w:val="008E6DE8"/>
    <w:rsid w:val="008E7465"/>
    <w:rsid w:val="008F11C8"/>
    <w:rsid w:val="008F4A2C"/>
    <w:rsid w:val="00901309"/>
    <w:rsid w:val="009039AA"/>
    <w:rsid w:val="00906815"/>
    <w:rsid w:val="0091170F"/>
    <w:rsid w:val="00912470"/>
    <w:rsid w:val="00913708"/>
    <w:rsid w:val="00913C2B"/>
    <w:rsid w:val="00913EDC"/>
    <w:rsid w:val="0091403D"/>
    <w:rsid w:val="00915EAA"/>
    <w:rsid w:val="00922504"/>
    <w:rsid w:val="009242CC"/>
    <w:rsid w:val="00925299"/>
    <w:rsid w:val="009258D8"/>
    <w:rsid w:val="0092656E"/>
    <w:rsid w:val="00926E95"/>
    <w:rsid w:val="00926FD4"/>
    <w:rsid w:val="00930DCC"/>
    <w:rsid w:val="00945983"/>
    <w:rsid w:val="0095111C"/>
    <w:rsid w:val="00953F4D"/>
    <w:rsid w:val="00954C49"/>
    <w:rsid w:val="0096694D"/>
    <w:rsid w:val="00980262"/>
    <w:rsid w:val="009851D8"/>
    <w:rsid w:val="00985852"/>
    <w:rsid w:val="009905B5"/>
    <w:rsid w:val="009A18DE"/>
    <w:rsid w:val="009A2E65"/>
    <w:rsid w:val="009A4D5E"/>
    <w:rsid w:val="009B04A3"/>
    <w:rsid w:val="009B5E4D"/>
    <w:rsid w:val="009B6DB5"/>
    <w:rsid w:val="009C4407"/>
    <w:rsid w:val="009C44F2"/>
    <w:rsid w:val="009D77FD"/>
    <w:rsid w:val="009E161D"/>
    <w:rsid w:val="009E1EC7"/>
    <w:rsid w:val="009F2146"/>
    <w:rsid w:val="009F26F8"/>
    <w:rsid w:val="009F369A"/>
    <w:rsid w:val="009F7813"/>
    <w:rsid w:val="00A025F9"/>
    <w:rsid w:val="00A15F4F"/>
    <w:rsid w:val="00A2733A"/>
    <w:rsid w:val="00A404AF"/>
    <w:rsid w:val="00A44F40"/>
    <w:rsid w:val="00A475D8"/>
    <w:rsid w:val="00A56254"/>
    <w:rsid w:val="00A60B27"/>
    <w:rsid w:val="00A61BBE"/>
    <w:rsid w:val="00A621F3"/>
    <w:rsid w:val="00A63C18"/>
    <w:rsid w:val="00A64754"/>
    <w:rsid w:val="00A66C26"/>
    <w:rsid w:val="00A768CC"/>
    <w:rsid w:val="00A868DF"/>
    <w:rsid w:val="00A9356B"/>
    <w:rsid w:val="00AA0DF2"/>
    <w:rsid w:val="00AA2326"/>
    <w:rsid w:val="00AB211F"/>
    <w:rsid w:val="00AC7B06"/>
    <w:rsid w:val="00AD1E72"/>
    <w:rsid w:val="00AD3EBA"/>
    <w:rsid w:val="00AD65FA"/>
    <w:rsid w:val="00AE0DEC"/>
    <w:rsid w:val="00AE388F"/>
    <w:rsid w:val="00AE5EEC"/>
    <w:rsid w:val="00AE66A8"/>
    <w:rsid w:val="00AE7063"/>
    <w:rsid w:val="00AF0A2C"/>
    <w:rsid w:val="00AF3DEB"/>
    <w:rsid w:val="00AF41D0"/>
    <w:rsid w:val="00B005E1"/>
    <w:rsid w:val="00B077A7"/>
    <w:rsid w:val="00B07C04"/>
    <w:rsid w:val="00B1002C"/>
    <w:rsid w:val="00B104B1"/>
    <w:rsid w:val="00B1318A"/>
    <w:rsid w:val="00B140AD"/>
    <w:rsid w:val="00B16D77"/>
    <w:rsid w:val="00B16E6A"/>
    <w:rsid w:val="00B23A17"/>
    <w:rsid w:val="00B241BC"/>
    <w:rsid w:val="00B25DE0"/>
    <w:rsid w:val="00B2742D"/>
    <w:rsid w:val="00B3173A"/>
    <w:rsid w:val="00B36AB4"/>
    <w:rsid w:val="00B70F76"/>
    <w:rsid w:val="00B744AA"/>
    <w:rsid w:val="00B7648E"/>
    <w:rsid w:val="00B816D6"/>
    <w:rsid w:val="00B82714"/>
    <w:rsid w:val="00B82F76"/>
    <w:rsid w:val="00B856D1"/>
    <w:rsid w:val="00B86646"/>
    <w:rsid w:val="00B86C59"/>
    <w:rsid w:val="00B87D68"/>
    <w:rsid w:val="00B92988"/>
    <w:rsid w:val="00B92AC5"/>
    <w:rsid w:val="00B96447"/>
    <w:rsid w:val="00B974EB"/>
    <w:rsid w:val="00BA10BB"/>
    <w:rsid w:val="00BA284B"/>
    <w:rsid w:val="00BA4D85"/>
    <w:rsid w:val="00BA6E9D"/>
    <w:rsid w:val="00BA733C"/>
    <w:rsid w:val="00BB00AD"/>
    <w:rsid w:val="00BB0BDE"/>
    <w:rsid w:val="00BB624B"/>
    <w:rsid w:val="00BC06B6"/>
    <w:rsid w:val="00BC4A41"/>
    <w:rsid w:val="00BC6E18"/>
    <w:rsid w:val="00BC7105"/>
    <w:rsid w:val="00BC781A"/>
    <w:rsid w:val="00BD4D0F"/>
    <w:rsid w:val="00BD4DFC"/>
    <w:rsid w:val="00BD54CE"/>
    <w:rsid w:val="00BE2D1C"/>
    <w:rsid w:val="00BE5444"/>
    <w:rsid w:val="00BE655D"/>
    <w:rsid w:val="00BE7CFD"/>
    <w:rsid w:val="00BF04D4"/>
    <w:rsid w:val="00BF2B0F"/>
    <w:rsid w:val="00BF4556"/>
    <w:rsid w:val="00C01F7E"/>
    <w:rsid w:val="00C05614"/>
    <w:rsid w:val="00C06227"/>
    <w:rsid w:val="00C06926"/>
    <w:rsid w:val="00C07B8A"/>
    <w:rsid w:val="00C13557"/>
    <w:rsid w:val="00C140B9"/>
    <w:rsid w:val="00C15387"/>
    <w:rsid w:val="00C167E4"/>
    <w:rsid w:val="00C16BDB"/>
    <w:rsid w:val="00C17071"/>
    <w:rsid w:val="00C17EE3"/>
    <w:rsid w:val="00C21763"/>
    <w:rsid w:val="00C22677"/>
    <w:rsid w:val="00C23F27"/>
    <w:rsid w:val="00C25D28"/>
    <w:rsid w:val="00C3129C"/>
    <w:rsid w:val="00C3278E"/>
    <w:rsid w:val="00C3418F"/>
    <w:rsid w:val="00C517AE"/>
    <w:rsid w:val="00C5601E"/>
    <w:rsid w:val="00C61726"/>
    <w:rsid w:val="00C62F7E"/>
    <w:rsid w:val="00C6786A"/>
    <w:rsid w:val="00C81FBD"/>
    <w:rsid w:val="00C86438"/>
    <w:rsid w:val="00C86FBC"/>
    <w:rsid w:val="00C9119D"/>
    <w:rsid w:val="00C95929"/>
    <w:rsid w:val="00C96E73"/>
    <w:rsid w:val="00CA4EE4"/>
    <w:rsid w:val="00CA7B52"/>
    <w:rsid w:val="00CB0023"/>
    <w:rsid w:val="00CB2518"/>
    <w:rsid w:val="00CB3540"/>
    <w:rsid w:val="00CB4728"/>
    <w:rsid w:val="00CB5623"/>
    <w:rsid w:val="00CB5DB1"/>
    <w:rsid w:val="00CB6C95"/>
    <w:rsid w:val="00CB757C"/>
    <w:rsid w:val="00CC502B"/>
    <w:rsid w:val="00CC7C07"/>
    <w:rsid w:val="00CD0859"/>
    <w:rsid w:val="00CE17DE"/>
    <w:rsid w:val="00CE21D3"/>
    <w:rsid w:val="00CE2E7A"/>
    <w:rsid w:val="00CE35D8"/>
    <w:rsid w:val="00CE474E"/>
    <w:rsid w:val="00CE4B09"/>
    <w:rsid w:val="00CE5F3A"/>
    <w:rsid w:val="00D02FB4"/>
    <w:rsid w:val="00D03E8B"/>
    <w:rsid w:val="00D045A4"/>
    <w:rsid w:val="00D048FA"/>
    <w:rsid w:val="00D0558B"/>
    <w:rsid w:val="00D14447"/>
    <w:rsid w:val="00D152BE"/>
    <w:rsid w:val="00D1583F"/>
    <w:rsid w:val="00D16476"/>
    <w:rsid w:val="00D17784"/>
    <w:rsid w:val="00D205B4"/>
    <w:rsid w:val="00D32A0B"/>
    <w:rsid w:val="00D444F2"/>
    <w:rsid w:val="00D448B4"/>
    <w:rsid w:val="00D4514A"/>
    <w:rsid w:val="00D50978"/>
    <w:rsid w:val="00D51189"/>
    <w:rsid w:val="00D546E5"/>
    <w:rsid w:val="00D57EC7"/>
    <w:rsid w:val="00D611BE"/>
    <w:rsid w:val="00D6201A"/>
    <w:rsid w:val="00D6406F"/>
    <w:rsid w:val="00D71EA3"/>
    <w:rsid w:val="00D75BA4"/>
    <w:rsid w:val="00D76050"/>
    <w:rsid w:val="00D76F02"/>
    <w:rsid w:val="00D82856"/>
    <w:rsid w:val="00D86632"/>
    <w:rsid w:val="00D87FA9"/>
    <w:rsid w:val="00D90F6E"/>
    <w:rsid w:val="00D93000"/>
    <w:rsid w:val="00D95DFA"/>
    <w:rsid w:val="00D97336"/>
    <w:rsid w:val="00DA371E"/>
    <w:rsid w:val="00DA4683"/>
    <w:rsid w:val="00DB27C7"/>
    <w:rsid w:val="00DB46BB"/>
    <w:rsid w:val="00DB7B33"/>
    <w:rsid w:val="00DC446A"/>
    <w:rsid w:val="00DC684D"/>
    <w:rsid w:val="00DD2D52"/>
    <w:rsid w:val="00DD7654"/>
    <w:rsid w:val="00DE63E0"/>
    <w:rsid w:val="00DF1E61"/>
    <w:rsid w:val="00DF35C6"/>
    <w:rsid w:val="00DF3C9A"/>
    <w:rsid w:val="00DF68F0"/>
    <w:rsid w:val="00E01095"/>
    <w:rsid w:val="00E016EE"/>
    <w:rsid w:val="00E02D24"/>
    <w:rsid w:val="00E04CB8"/>
    <w:rsid w:val="00E04D12"/>
    <w:rsid w:val="00E109B5"/>
    <w:rsid w:val="00E23D69"/>
    <w:rsid w:val="00E25040"/>
    <w:rsid w:val="00E27604"/>
    <w:rsid w:val="00E27F09"/>
    <w:rsid w:val="00E33BFB"/>
    <w:rsid w:val="00E3506B"/>
    <w:rsid w:val="00E42A79"/>
    <w:rsid w:val="00E43B3B"/>
    <w:rsid w:val="00E45075"/>
    <w:rsid w:val="00E45D91"/>
    <w:rsid w:val="00E47B6E"/>
    <w:rsid w:val="00E524B3"/>
    <w:rsid w:val="00E5371B"/>
    <w:rsid w:val="00E5462B"/>
    <w:rsid w:val="00E61093"/>
    <w:rsid w:val="00E63CFA"/>
    <w:rsid w:val="00E71A28"/>
    <w:rsid w:val="00E76335"/>
    <w:rsid w:val="00E77749"/>
    <w:rsid w:val="00E8176F"/>
    <w:rsid w:val="00E8357D"/>
    <w:rsid w:val="00E86D08"/>
    <w:rsid w:val="00E87E3A"/>
    <w:rsid w:val="00E905A9"/>
    <w:rsid w:val="00E90C8F"/>
    <w:rsid w:val="00E92C0B"/>
    <w:rsid w:val="00E9301D"/>
    <w:rsid w:val="00E95C29"/>
    <w:rsid w:val="00EA6B2D"/>
    <w:rsid w:val="00EB6D18"/>
    <w:rsid w:val="00EB7CD0"/>
    <w:rsid w:val="00EC1F50"/>
    <w:rsid w:val="00EC7DD0"/>
    <w:rsid w:val="00ED0EA3"/>
    <w:rsid w:val="00ED53F3"/>
    <w:rsid w:val="00EE3FD1"/>
    <w:rsid w:val="00EE47FE"/>
    <w:rsid w:val="00EE4AA7"/>
    <w:rsid w:val="00EE4AC8"/>
    <w:rsid w:val="00EF096C"/>
    <w:rsid w:val="00EF6C94"/>
    <w:rsid w:val="00F02214"/>
    <w:rsid w:val="00F0221D"/>
    <w:rsid w:val="00F022FA"/>
    <w:rsid w:val="00F03DA0"/>
    <w:rsid w:val="00F040C6"/>
    <w:rsid w:val="00F04D90"/>
    <w:rsid w:val="00F12F7E"/>
    <w:rsid w:val="00F167A4"/>
    <w:rsid w:val="00F17C3D"/>
    <w:rsid w:val="00F203D4"/>
    <w:rsid w:val="00F20904"/>
    <w:rsid w:val="00F30A02"/>
    <w:rsid w:val="00F310E5"/>
    <w:rsid w:val="00F312B2"/>
    <w:rsid w:val="00F33FF0"/>
    <w:rsid w:val="00F35E52"/>
    <w:rsid w:val="00F36A96"/>
    <w:rsid w:val="00F424E6"/>
    <w:rsid w:val="00F42598"/>
    <w:rsid w:val="00F42D18"/>
    <w:rsid w:val="00F4391A"/>
    <w:rsid w:val="00F43E0D"/>
    <w:rsid w:val="00F4773A"/>
    <w:rsid w:val="00F53ABC"/>
    <w:rsid w:val="00F54B99"/>
    <w:rsid w:val="00F55350"/>
    <w:rsid w:val="00F55CA1"/>
    <w:rsid w:val="00F603DB"/>
    <w:rsid w:val="00F60AE3"/>
    <w:rsid w:val="00F64278"/>
    <w:rsid w:val="00F675D6"/>
    <w:rsid w:val="00F67E7E"/>
    <w:rsid w:val="00F71E29"/>
    <w:rsid w:val="00F73CD8"/>
    <w:rsid w:val="00F7449A"/>
    <w:rsid w:val="00F82714"/>
    <w:rsid w:val="00F837F7"/>
    <w:rsid w:val="00F83D50"/>
    <w:rsid w:val="00F853ED"/>
    <w:rsid w:val="00F90090"/>
    <w:rsid w:val="00F974AD"/>
    <w:rsid w:val="00FA0A0A"/>
    <w:rsid w:val="00FA0E52"/>
    <w:rsid w:val="00FA39E4"/>
    <w:rsid w:val="00FA5642"/>
    <w:rsid w:val="00FA70D6"/>
    <w:rsid w:val="00FB1892"/>
    <w:rsid w:val="00FB487F"/>
    <w:rsid w:val="00FB5DC6"/>
    <w:rsid w:val="00FB7E2D"/>
    <w:rsid w:val="00FC2A47"/>
    <w:rsid w:val="00FD2581"/>
    <w:rsid w:val="00FD2D6C"/>
    <w:rsid w:val="00FD3EC7"/>
    <w:rsid w:val="00FD5AB8"/>
    <w:rsid w:val="00FD6115"/>
    <w:rsid w:val="00FD7EC7"/>
    <w:rsid w:val="00FE22D2"/>
    <w:rsid w:val="00FE663F"/>
    <w:rsid w:val="00FF0411"/>
    <w:rsid w:val="00FF0541"/>
    <w:rsid w:val="00FF1090"/>
    <w:rsid w:val="00FF6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4878CCA"/>
  <w15:chartTrackingRefBased/>
  <w15:docId w15:val="{40D08282-541B-4FE7-A6AF-A3F4B447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1FCD"/>
  </w:style>
  <w:style w:type="paragraph" w:styleId="Footer">
    <w:name w:val="footer"/>
    <w:basedOn w:val="Normal"/>
    <w:link w:val="FooterChar"/>
    <w:uiPriority w:val="99"/>
    <w:unhideWhenUsed/>
    <w:rsid w:val="00051F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1FCD"/>
  </w:style>
  <w:style w:type="paragraph" w:styleId="ListParagraph">
    <w:name w:val="List Paragraph"/>
    <w:basedOn w:val="Normal"/>
    <w:uiPriority w:val="34"/>
    <w:qFormat/>
    <w:rsid w:val="00051FCD"/>
    <w:pPr>
      <w:ind w:left="720"/>
      <w:contextualSpacing/>
    </w:pPr>
  </w:style>
  <w:style w:type="paragraph" w:styleId="FootnoteText">
    <w:name w:val="footnote text"/>
    <w:basedOn w:val="Normal"/>
    <w:link w:val="FootnoteTextChar"/>
    <w:uiPriority w:val="99"/>
    <w:unhideWhenUsed/>
    <w:rsid w:val="00445058"/>
    <w:pPr>
      <w:spacing w:after="0" w:line="240" w:lineRule="auto"/>
    </w:pPr>
    <w:rPr>
      <w:sz w:val="20"/>
      <w:szCs w:val="20"/>
    </w:rPr>
  </w:style>
  <w:style w:type="character" w:customStyle="1" w:styleId="FootnoteTextChar">
    <w:name w:val="Footnote Text Char"/>
    <w:basedOn w:val="DefaultParagraphFont"/>
    <w:link w:val="FootnoteText"/>
    <w:uiPriority w:val="99"/>
    <w:rsid w:val="00445058"/>
    <w:rPr>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445058"/>
    <w:rPr>
      <w:vertAlign w:val="superscript"/>
    </w:rPr>
  </w:style>
  <w:style w:type="table" w:styleId="TableGrid">
    <w:name w:val="Table Grid"/>
    <w:basedOn w:val="TableNormal"/>
    <w:uiPriority w:val="39"/>
    <w:rsid w:val="00D0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am">
    <w:name w:val="darbam"/>
    <w:basedOn w:val="Normal"/>
    <w:link w:val="darbamChar"/>
    <w:qFormat/>
    <w:rsid w:val="00D6406F"/>
    <w:pPr>
      <w:spacing w:before="120" w:after="120" w:line="240" w:lineRule="auto"/>
      <w:jc w:val="both"/>
    </w:pPr>
    <w:rPr>
      <w:rFonts w:ascii="Times New Roman" w:eastAsia="Times New Roman" w:hAnsi="Times New Roman" w:cs="Times New Roman"/>
      <w:sz w:val="24"/>
      <w:szCs w:val="24"/>
    </w:rPr>
  </w:style>
  <w:style w:type="character" w:customStyle="1" w:styleId="darbamChar">
    <w:name w:val="darbam Char"/>
    <w:link w:val="darbam"/>
    <w:rsid w:val="00D640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07"/>
    <w:rPr>
      <w:sz w:val="16"/>
      <w:szCs w:val="16"/>
    </w:rPr>
  </w:style>
  <w:style w:type="paragraph" w:styleId="CommentText">
    <w:name w:val="annotation text"/>
    <w:basedOn w:val="Normal"/>
    <w:link w:val="CommentTextChar"/>
    <w:uiPriority w:val="99"/>
    <w:unhideWhenUsed/>
    <w:rsid w:val="00063307"/>
    <w:pPr>
      <w:spacing w:line="240" w:lineRule="auto"/>
    </w:pPr>
    <w:rPr>
      <w:sz w:val="20"/>
      <w:szCs w:val="20"/>
    </w:rPr>
  </w:style>
  <w:style w:type="character" w:customStyle="1" w:styleId="CommentTextChar">
    <w:name w:val="Comment Text Char"/>
    <w:basedOn w:val="DefaultParagraphFont"/>
    <w:link w:val="CommentText"/>
    <w:uiPriority w:val="99"/>
    <w:rsid w:val="00063307"/>
    <w:rPr>
      <w:sz w:val="20"/>
      <w:szCs w:val="20"/>
    </w:rPr>
  </w:style>
  <w:style w:type="paragraph" w:styleId="CommentSubject">
    <w:name w:val="annotation subject"/>
    <w:basedOn w:val="CommentText"/>
    <w:next w:val="CommentText"/>
    <w:link w:val="CommentSubjectChar"/>
    <w:uiPriority w:val="99"/>
    <w:semiHidden/>
    <w:unhideWhenUsed/>
    <w:rsid w:val="00063307"/>
    <w:rPr>
      <w:b/>
      <w:bCs/>
    </w:rPr>
  </w:style>
  <w:style w:type="character" w:customStyle="1" w:styleId="CommentSubjectChar">
    <w:name w:val="Comment Subject Char"/>
    <w:basedOn w:val="CommentTextChar"/>
    <w:link w:val="CommentSubject"/>
    <w:uiPriority w:val="99"/>
    <w:semiHidden/>
    <w:rsid w:val="00063307"/>
    <w:rPr>
      <w:b/>
      <w:bCs/>
      <w:sz w:val="20"/>
      <w:szCs w:val="20"/>
    </w:rPr>
  </w:style>
  <w:style w:type="paragraph" w:styleId="BalloonText">
    <w:name w:val="Balloon Text"/>
    <w:basedOn w:val="Normal"/>
    <w:link w:val="BalloonTextChar"/>
    <w:uiPriority w:val="99"/>
    <w:semiHidden/>
    <w:unhideWhenUsed/>
    <w:rsid w:val="0006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07"/>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18479D"/>
    <w:pPr>
      <w:spacing w:line="240" w:lineRule="exact"/>
    </w:pPr>
    <w:rPr>
      <w:vertAlign w:val="superscript"/>
    </w:rPr>
  </w:style>
  <w:style w:type="character" w:styleId="Hyperlink">
    <w:name w:val="Hyperlink"/>
    <w:basedOn w:val="DefaultParagraphFont"/>
    <w:uiPriority w:val="99"/>
    <w:unhideWhenUsed/>
    <w:rsid w:val="00C86438"/>
    <w:rPr>
      <w:strike w:val="0"/>
      <w:dstrike w:val="0"/>
      <w:color w:val="337AB7"/>
      <w:u w:val="none"/>
      <w:effect w:val="none"/>
      <w:shd w:val="clear" w:color="auto" w:fill="auto"/>
    </w:rPr>
  </w:style>
  <w:style w:type="character" w:styleId="Strong">
    <w:name w:val="Strong"/>
    <w:basedOn w:val="DefaultParagraphFont"/>
    <w:uiPriority w:val="22"/>
    <w:qFormat/>
    <w:rsid w:val="00C86438"/>
    <w:rPr>
      <w:b/>
      <w:bCs/>
    </w:rPr>
  </w:style>
  <w:style w:type="character" w:styleId="Emphasis">
    <w:name w:val="Emphasis"/>
    <w:basedOn w:val="DefaultParagraphFont"/>
    <w:uiPriority w:val="20"/>
    <w:qFormat/>
    <w:rsid w:val="00C86438"/>
    <w:rPr>
      <w:i/>
      <w:iCs/>
    </w:rPr>
  </w:style>
  <w:style w:type="paragraph" w:customStyle="1" w:styleId="Default">
    <w:name w:val="Default"/>
    <w:rsid w:val="00D444F2"/>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3">
    <w:name w:val="Pa3"/>
    <w:basedOn w:val="Default"/>
    <w:next w:val="Default"/>
    <w:uiPriority w:val="99"/>
    <w:rsid w:val="00D444F2"/>
    <w:pPr>
      <w:spacing w:line="221" w:lineRule="atLeast"/>
    </w:pPr>
    <w:rPr>
      <w:rFonts w:cstheme="minorBidi"/>
      <w:color w:val="auto"/>
    </w:rPr>
  </w:style>
  <w:style w:type="character" w:customStyle="1" w:styleId="A6">
    <w:name w:val="A6"/>
    <w:uiPriority w:val="99"/>
    <w:rsid w:val="00D444F2"/>
    <w:rPr>
      <w:rFonts w:cs="HelveticaNeueLT Std Cn"/>
      <w:color w:val="000000"/>
      <w:sz w:val="22"/>
      <w:szCs w:val="22"/>
    </w:rPr>
  </w:style>
  <w:style w:type="paragraph" w:styleId="NormalWeb">
    <w:name w:val="Normal (Web)"/>
    <w:basedOn w:val="Normal"/>
    <w:uiPriority w:val="99"/>
    <w:unhideWhenUsed/>
    <w:rsid w:val="004F40F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2E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24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D9D"/>
    <w:rPr>
      <w:sz w:val="20"/>
      <w:szCs w:val="20"/>
    </w:rPr>
  </w:style>
  <w:style w:type="character" w:styleId="EndnoteReference">
    <w:name w:val="endnote reference"/>
    <w:basedOn w:val="DefaultParagraphFont"/>
    <w:uiPriority w:val="99"/>
    <w:semiHidden/>
    <w:unhideWhenUsed/>
    <w:rsid w:val="00624D9D"/>
    <w:rPr>
      <w:vertAlign w:val="superscript"/>
    </w:rPr>
  </w:style>
  <w:style w:type="character" w:styleId="FollowedHyperlink">
    <w:name w:val="FollowedHyperlink"/>
    <w:basedOn w:val="DefaultParagraphFont"/>
    <w:uiPriority w:val="99"/>
    <w:semiHidden/>
    <w:unhideWhenUsed/>
    <w:rsid w:val="00881D32"/>
    <w:rPr>
      <w:color w:val="954F72" w:themeColor="followedHyperlink"/>
      <w:u w:val="single"/>
    </w:rPr>
  </w:style>
  <w:style w:type="paragraph" w:styleId="ListBullet">
    <w:name w:val="List Bullet"/>
    <w:basedOn w:val="Normal"/>
    <w:uiPriority w:val="99"/>
    <w:unhideWhenUsed/>
    <w:rsid w:val="00BA6E9D"/>
    <w:pPr>
      <w:numPr>
        <w:numId w:val="31"/>
      </w:numPr>
      <w:contextualSpacing/>
    </w:pPr>
  </w:style>
  <w:style w:type="character" w:styleId="PlaceholderText">
    <w:name w:val="Placeholder Text"/>
    <w:basedOn w:val="DefaultParagraphFont"/>
    <w:uiPriority w:val="99"/>
    <w:semiHidden/>
    <w:rsid w:val="00D32A0B"/>
    <w:rPr>
      <w:color w:val="808080"/>
    </w:rPr>
  </w:style>
  <w:style w:type="paragraph" w:styleId="Revision">
    <w:name w:val="Revision"/>
    <w:hidden/>
    <w:uiPriority w:val="99"/>
    <w:semiHidden/>
    <w:rsid w:val="00633422"/>
    <w:pPr>
      <w:spacing w:after="0" w:line="240" w:lineRule="auto"/>
    </w:pPr>
  </w:style>
  <w:style w:type="paragraph" w:styleId="BodyText">
    <w:name w:val="Body Text"/>
    <w:basedOn w:val="Normal"/>
    <w:link w:val="BodyTextChar"/>
    <w:uiPriority w:val="99"/>
    <w:rsid w:val="006C0853"/>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6C085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9420">
      <w:bodyDiv w:val="1"/>
      <w:marLeft w:val="0"/>
      <w:marRight w:val="0"/>
      <w:marTop w:val="0"/>
      <w:marBottom w:val="0"/>
      <w:divBdr>
        <w:top w:val="none" w:sz="0" w:space="0" w:color="auto"/>
        <w:left w:val="none" w:sz="0" w:space="0" w:color="auto"/>
        <w:bottom w:val="none" w:sz="0" w:space="0" w:color="auto"/>
        <w:right w:val="none" w:sz="0" w:space="0" w:color="auto"/>
      </w:divBdr>
      <w:divsChild>
        <w:div w:id="348217144">
          <w:marLeft w:val="0"/>
          <w:marRight w:val="0"/>
          <w:marTop w:val="0"/>
          <w:marBottom w:val="0"/>
          <w:divBdr>
            <w:top w:val="none" w:sz="0" w:space="0" w:color="auto"/>
            <w:left w:val="none" w:sz="0" w:space="0" w:color="auto"/>
            <w:bottom w:val="none" w:sz="0" w:space="0" w:color="auto"/>
            <w:right w:val="none" w:sz="0" w:space="0" w:color="auto"/>
          </w:divBdr>
          <w:divsChild>
            <w:div w:id="600139977">
              <w:marLeft w:val="0"/>
              <w:marRight w:val="0"/>
              <w:marTop w:val="0"/>
              <w:marBottom w:val="0"/>
              <w:divBdr>
                <w:top w:val="none" w:sz="0" w:space="0" w:color="auto"/>
                <w:left w:val="none" w:sz="0" w:space="0" w:color="auto"/>
                <w:bottom w:val="none" w:sz="0" w:space="0" w:color="auto"/>
                <w:right w:val="none" w:sz="0" w:space="0" w:color="auto"/>
              </w:divBdr>
              <w:divsChild>
                <w:div w:id="146409150">
                  <w:marLeft w:val="0"/>
                  <w:marRight w:val="0"/>
                  <w:marTop w:val="0"/>
                  <w:marBottom w:val="0"/>
                  <w:divBdr>
                    <w:top w:val="none" w:sz="0" w:space="0" w:color="auto"/>
                    <w:left w:val="none" w:sz="0" w:space="0" w:color="auto"/>
                    <w:bottom w:val="none" w:sz="0" w:space="0" w:color="auto"/>
                    <w:right w:val="none" w:sz="0" w:space="0" w:color="auto"/>
                  </w:divBdr>
                  <w:divsChild>
                    <w:div w:id="1691108097">
                      <w:marLeft w:val="0"/>
                      <w:marRight w:val="0"/>
                      <w:marTop w:val="0"/>
                      <w:marBottom w:val="0"/>
                      <w:divBdr>
                        <w:top w:val="none" w:sz="0" w:space="0" w:color="auto"/>
                        <w:left w:val="none" w:sz="0" w:space="0" w:color="auto"/>
                        <w:bottom w:val="none" w:sz="0" w:space="0" w:color="auto"/>
                        <w:right w:val="none" w:sz="0" w:space="0" w:color="auto"/>
                      </w:divBdr>
                      <w:divsChild>
                        <w:div w:id="876238673">
                          <w:marLeft w:val="0"/>
                          <w:marRight w:val="0"/>
                          <w:marTop w:val="0"/>
                          <w:marBottom w:val="0"/>
                          <w:divBdr>
                            <w:top w:val="none" w:sz="0" w:space="0" w:color="auto"/>
                            <w:left w:val="none" w:sz="0" w:space="0" w:color="auto"/>
                            <w:bottom w:val="none" w:sz="0" w:space="0" w:color="auto"/>
                            <w:right w:val="none" w:sz="0" w:space="0" w:color="auto"/>
                          </w:divBdr>
                          <w:divsChild>
                            <w:div w:id="1013261206">
                              <w:marLeft w:val="0"/>
                              <w:marRight w:val="0"/>
                              <w:marTop w:val="0"/>
                              <w:marBottom w:val="0"/>
                              <w:divBdr>
                                <w:top w:val="none" w:sz="0" w:space="0" w:color="auto"/>
                                <w:left w:val="none" w:sz="0" w:space="0" w:color="auto"/>
                                <w:bottom w:val="none" w:sz="0" w:space="0" w:color="auto"/>
                                <w:right w:val="none" w:sz="0" w:space="0" w:color="auto"/>
                              </w:divBdr>
                              <w:divsChild>
                                <w:div w:id="348992107">
                                  <w:marLeft w:val="0"/>
                                  <w:marRight w:val="0"/>
                                  <w:marTop w:val="0"/>
                                  <w:marBottom w:val="0"/>
                                  <w:divBdr>
                                    <w:top w:val="none" w:sz="0" w:space="0" w:color="auto"/>
                                    <w:left w:val="none" w:sz="0" w:space="0" w:color="auto"/>
                                    <w:bottom w:val="none" w:sz="0" w:space="0" w:color="auto"/>
                                    <w:right w:val="none" w:sz="0" w:space="0" w:color="auto"/>
                                  </w:divBdr>
                                  <w:divsChild>
                                    <w:div w:id="14215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048485">
      <w:bodyDiv w:val="1"/>
      <w:marLeft w:val="0"/>
      <w:marRight w:val="0"/>
      <w:marTop w:val="0"/>
      <w:marBottom w:val="0"/>
      <w:divBdr>
        <w:top w:val="none" w:sz="0" w:space="0" w:color="auto"/>
        <w:left w:val="none" w:sz="0" w:space="0" w:color="auto"/>
        <w:bottom w:val="none" w:sz="0" w:space="0" w:color="auto"/>
        <w:right w:val="none" w:sz="0" w:space="0" w:color="auto"/>
      </w:divBdr>
    </w:div>
    <w:div w:id="903679921">
      <w:bodyDiv w:val="1"/>
      <w:marLeft w:val="0"/>
      <w:marRight w:val="0"/>
      <w:marTop w:val="0"/>
      <w:marBottom w:val="0"/>
      <w:divBdr>
        <w:top w:val="none" w:sz="0" w:space="0" w:color="auto"/>
        <w:left w:val="none" w:sz="0" w:space="0" w:color="auto"/>
        <w:bottom w:val="none" w:sz="0" w:space="0" w:color="auto"/>
        <w:right w:val="none" w:sz="0" w:space="0" w:color="auto"/>
      </w:divBdr>
    </w:div>
    <w:div w:id="1360350397">
      <w:bodyDiv w:val="1"/>
      <w:marLeft w:val="0"/>
      <w:marRight w:val="0"/>
      <w:marTop w:val="0"/>
      <w:marBottom w:val="0"/>
      <w:divBdr>
        <w:top w:val="none" w:sz="0" w:space="0" w:color="auto"/>
        <w:left w:val="none" w:sz="0" w:space="0" w:color="auto"/>
        <w:bottom w:val="none" w:sz="0" w:space="0" w:color="auto"/>
        <w:right w:val="none" w:sz="0" w:space="0" w:color="auto"/>
      </w:divBdr>
    </w:div>
    <w:div w:id="18222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dac/financing-sustainable-development/development-finance-standards/officialdevelopmentassistancedefinitionandcoverage.htm" TargetMode="External"/><Relationship Id="rId3" Type="http://schemas.openxmlformats.org/officeDocument/2006/relationships/hyperlink" Target="https://www.un.org/ga/search/view_doc.asp?symbol=A/RES/69/313&amp;Lang=E" TargetMode="External"/><Relationship Id="rId7" Type="http://schemas.openxmlformats.org/officeDocument/2006/relationships/hyperlink" Target="https://ec.europa.eu/commfrontoffice/publicopinion/index.cfm/Survey/getSurveyDetail/instruments/SPECIAL/surveyKy/2252" TargetMode="External"/><Relationship Id="rId2" Type="http://schemas.openxmlformats.org/officeDocument/2006/relationships/hyperlink" Target="https://www.pkc.gov.lv/lv/attistibas-planosana/ano-ilgtspejigas-attistibas-merki" TargetMode="External"/><Relationship Id="rId1" Type="http://schemas.openxmlformats.org/officeDocument/2006/relationships/hyperlink" Target="https://www.un.org/ga/search/view_doc.asp?symbol=A/RES/70/1&amp;Lang=E" TargetMode="External"/><Relationship Id="rId6" Type="http://schemas.openxmlformats.org/officeDocument/2006/relationships/hyperlink" Target="http://data.consilium.europa.eu/doc/document/ST-9201-2019-INIT/lv/pdf" TargetMode="External"/><Relationship Id="rId5" Type="http://schemas.openxmlformats.org/officeDocument/2006/relationships/hyperlink" Target="http://www.oecd.org/dac/financing-sustainable-development/development-finance-data/ODA-2018-detailed-summary.pdf" TargetMode="External"/><Relationship Id="rId4" Type="http://schemas.openxmlformats.org/officeDocument/2006/relationships/hyperlink" Target="https://eur-lex.europa.eu/legal-content/LV/TXT/?uri=celex:42017Y0630(01)" TargetMode="External"/><Relationship Id="rId9" Type="http://schemas.openxmlformats.org/officeDocument/2006/relationships/hyperlink" Target="http://www.satv.tiesa.gov.lv/starptautiska-sadarbiba/vidusazija/"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0" i="0" cap="none" baseline="0">
                <a:solidFill>
                  <a:sysClr val="windowText" lastClr="000000"/>
                </a:solidFill>
                <a:latin typeface="Times New Roman" panose="02020603050405020304" pitchFamily="18" charset="0"/>
                <a:cs typeface="Times New Roman" panose="02020603050405020304" pitchFamily="18" charset="0"/>
              </a:rPr>
              <a:t>1. attēls. </a:t>
            </a:r>
            <a:r>
              <a:rPr lang="lv-LV" sz="1200" b="1" i="0" cap="none" baseline="0">
                <a:solidFill>
                  <a:sysClr val="windowText" lastClr="000000"/>
                </a:solidFill>
                <a:latin typeface="Times New Roman" panose="02020603050405020304" pitchFamily="18" charset="0"/>
                <a:cs typeface="Times New Roman" panose="02020603050405020304" pitchFamily="18" charset="0"/>
              </a:rPr>
              <a:t>Latvijas OAP/NKI </a:t>
            </a:r>
            <a:r>
              <a:rPr lang="lv-LV" sz="1200" b="1" i="0" baseline="0">
                <a:solidFill>
                  <a:sysClr val="windowText" lastClr="000000"/>
                </a:solidFill>
                <a:latin typeface="Times New Roman" panose="02020603050405020304" pitchFamily="18" charset="0"/>
                <a:cs typeface="Times New Roman" panose="02020603050405020304" pitchFamily="18" charset="0"/>
              </a:rPr>
              <a:t>%</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Latvija</c:v>
                </c:pt>
              </c:strCache>
            </c:strRef>
          </c:tx>
          <c:spPr>
            <a:ln w="28575" cap="flat" cmpd="sng" algn="ctr">
              <a:solidFill>
                <a:srgbClr val="C00000"/>
              </a:solidFill>
              <a:miter lim="800000"/>
            </a:ln>
            <a:effectLst/>
          </c:spPr>
          <c:marker>
            <c:symbol val="none"/>
          </c:marker>
          <c:dLbls>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7.0000000000000007E-2</c:v>
                </c:pt>
                <c:pt idx="1">
                  <c:v>7.0000000000000007E-2</c:v>
                </c:pt>
                <c:pt idx="2">
                  <c:v>0.06</c:v>
                </c:pt>
                <c:pt idx="3">
                  <c:v>7.0000000000000007E-2</c:v>
                </c:pt>
                <c:pt idx="4">
                  <c:v>7.0000000000000007E-2</c:v>
                </c:pt>
                <c:pt idx="5">
                  <c:v>0.08</c:v>
                </c:pt>
                <c:pt idx="6">
                  <c:v>0.08</c:v>
                </c:pt>
                <c:pt idx="7">
                  <c:v>0.09</c:v>
                </c:pt>
                <c:pt idx="8">
                  <c:v>0.11</c:v>
                </c:pt>
                <c:pt idx="9">
                  <c:v>0.11</c:v>
                </c:pt>
                <c:pt idx="10">
                  <c:v>0.1</c:v>
                </c:pt>
              </c:numCache>
            </c:numRef>
          </c:val>
          <c:smooth val="0"/>
          <c:extLst>
            <c:ext xmlns:c16="http://schemas.microsoft.com/office/drawing/2014/chart" uri="{C3380CC4-5D6E-409C-BE32-E72D297353CC}">
              <c16:uniqueId val="{00000000-D67C-4611-8D39-2A30F2536C68}"/>
            </c:ext>
          </c:extLst>
        </c:ser>
        <c:ser>
          <c:idx val="1"/>
          <c:order val="1"/>
          <c:tx>
            <c:strRef>
              <c:f>Sheet1!$C$1</c:f>
              <c:strCache>
                <c:ptCount val="1"/>
                <c:pt idx="0">
                  <c:v>Igaunija</c:v>
                </c:pt>
              </c:strCache>
            </c:strRef>
          </c:tx>
          <c:spPr>
            <a:ln w="31750" cap="flat" cmpd="sng" algn="ctr">
              <a:solidFill>
                <a:schemeClr val="accent1">
                  <a:lumMod val="50000"/>
                </a:schemeClr>
              </a:solidFill>
              <a:miter lim="800000"/>
            </a:ln>
            <a:effectLst/>
          </c:spPr>
          <c:marker>
            <c:symbol val="none"/>
          </c:marker>
          <c:dLbls>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pt idx="0">
                  <c:v>0.1</c:v>
                </c:pt>
                <c:pt idx="1">
                  <c:v>0.1</c:v>
                </c:pt>
                <c:pt idx="2">
                  <c:v>0.1</c:v>
                </c:pt>
                <c:pt idx="3">
                  <c:v>0.11</c:v>
                </c:pt>
                <c:pt idx="4">
                  <c:v>0.11</c:v>
                </c:pt>
                <c:pt idx="5">
                  <c:v>0.13</c:v>
                </c:pt>
                <c:pt idx="6">
                  <c:v>0.14000000000000001</c:v>
                </c:pt>
                <c:pt idx="7">
                  <c:v>0.15</c:v>
                </c:pt>
                <c:pt idx="8">
                  <c:v>0.19</c:v>
                </c:pt>
                <c:pt idx="9">
                  <c:v>0.16</c:v>
                </c:pt>
                <c:pt idx="10">
                  <c:v>0.16</c:v>
                </c:pt>
              </c:numCache>
            </c:numRef>
          </c:val>
          <c:smooth val="0"/>
          <c:extLst>
            <c:ext xmlns:c16="http://schemas.microsoft.com/office/drawing/2014/chart" uri="{C3380CC4-5D6E-409C-BE32-E72D297353CC}">
              <c16:uniqueId val="{00000002-D67C-4611-8D39-2A30F2536C68}"/>
            </c:ext>
          </c:extLst>
        </c:ser>
        <c:ser>
          <c:idx val="2"/>
          <c:order val="2"/>
          <c:tx>
            <c:strRef>
              <c:f>Sheet1!$D$1</c:f>
              <c:strCache>
                <c:ptCount val="1"/>
                <c:pt idx="0">
                  <c:v>Lietuva</c:v>
                </c:pt>
              </c:strCache>
            </c:strRef>
          </c:tx>
          <c:spPr>
            <a:ln w="28575" cap="flat" cmpd="sng" algn="ctr">
              <a:solidFill>
                <a:srgbClr val="00B050"/>
              </a:solidFill>
              <a:miter lim="800000"/>
            </a:ln>
            <a:effectLst/>
          </c:spPr>
          <c:marker>
            <c:symbol val="none"/>
          </c:marker>
          <c:dLbls>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pt idx="0">
                  <c:v>0.11</c:v>
                </c:pt>
                <c:pt idx="1">
                  <c:v>0.11</c:v>
                </c:pt>
                <c:pt idx="2">
                  <c:v>0.1</c:v>
                </c:pt>
                <c:pt idx="3">
                  <c:v>0.13</c:v>
                </c:pt>
                <c:pt idx="4">
                  <c:v>0.13</c:v>
                </c:pt>
                <c:pt idx="5">
                  <c:v>0.11</c:v>
                </c:pt>
                <c:pt idx="6">
                  <c:v>0.1</c:v>
                </c:pt>
                <c:pt idx="7">
                  <c:v>0.12</c:v>
                </c:pt>
                <c:pt idx="8">
                  <c:v>0.14000000000000001</c:v>
                </c:pt>
                <c:pt idx="9">
                  <c:v>0.13</c:v>
                </c:pt>
                <c:pt idx="10">
                  <c:v>0.11</c:v>
                </c:pt>
              </c:numCache>
            </c:numRef>
          </c:val>
          <c:smooth val="0"/>
          <c:extLst>
            <c:ext xmlns:c16="http://schemas.microsoft.com/office/drawing/2014/chart" uri="{C3380CC4-5D6E-409C-BE32-E72D297353CC}">
              <c16:uniqueId val="{00000004-D67C-4611-8D39-2A30F2536C68}"/>
            </c:ext>
          </c:extLst>
        </c:ser>
        <c:ser>
          <c:idx val="3"/>
          <c:order val="3"/>
          <c:tx>
            <c:strRef>
              <c:f>Sheet1!$E$1</c:f>
              <c:strCache>
                <c:ptCount val="1"/>
                <c:pt idx="0">
                  <c:v>ES13 kopā</c:v>
                </c:pt>
              </c:strCache>
            </c:strRef>
          </c:tx>
          <c:spPr>
            <a:ln w="28575" cap="flat" cmpd="sng" algn="ctr">
              <a:solidFill>
                <a:srgbClr val="FFC000"/>
              </a:solidFill>
              <a:miter lim="800000"/>
            </a:ln>
            <a:effectLst/>
          </c:spPr>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Sheet1!$E$2:$E$12</c:f>
              <c:numCache>
                <c:formatCode>General</c:formatCode>
                <c:ptCount val="11"/>
                <c:pt idx="2">
                  <c:v>0.09</c:v>
                </c:pt>
                <c:pt idx="3">
                  <c:v>0.1</c:v>
                </c:pt>
                <c:pt idx="4">
                  <c:v>0.1</c:v>
                </c:pt>
                <c:pt idx="5">
                  <c:v>0.1</c:v>
                </c:pt>
                <c:pt idx="6">
                  <c:v>0.1</c:v>
                </c:pt>
                <c:pt idx="7">
                  <c:v>0.11</c:v>
                </c:pt>
                <c:pt idx="8">
                  <c:v>0.14000000000000001</c:v>
                </c:pt>
                <c:pt idx="9">
                  <c:v>0.13</c:v>
                </c:pt>
                <c:pt idx="10">
                  <c:v>0.13</c:v>
                </c:pt>
              </c:numCache>
            </c:numRef>
          </c:val>
          <c:smooth val="0"/>
          <c:extLst>
            <c:ext xmlns:c16="http://schemas.microsoft.com/office/drawing/2014/chart" uri="{C3380CC4-5D6E-409C-BE32-E72D297353CC}">
              <c16:uniqueId val="{00000005-D67C-4611-8D39-2A30F2536C68}"/>
            </c:ext>
          </c:extLst>
        </c:ser>
        <c:ser>
          <c:idx val="4"/>
          <c:order val="4"/>
          <c:tx>
            <c:strRef>
              <c:f>Sheet1!$F$1</c:f>
              <c:strCache>
                <c:ptCount val="1"/>
                <c:pt idx="0">
                  <c:v>Mērķis 2010</c:v>
                </c:pt>
              </c:strCache>
            </c:strRef>
          </c:tx>
          <c:spPr>
            <a:ln w="28575" cap="flat" cmpd="sng" algn="ctr">
              <a:solidFill>
                <a:schemeClr val="bg1">
                  <a:lumMod val="65000"/>
                </a:schemeClr>
              </a:solidFill>
              <a:prstDash val="sysDash"/>
              <a:miter lim="800000"/>
            </a:ln>
            <a:effectLst/>
          </c:spPr>
          <c:marker>
            <c:symbol val="none"/>
          </c:marker>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67C-4611-8D39-2A30F2536C68}"/>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Sheet1!$F$2:$F$12</c:f>
              <c:numCache>
                <c:formatCode>General</c:formatCode>
                <c:ptCount val="11"/>
                <c:pt idx="0">
                  <c:v>0.17</c:v>
                </c:pt>
                <c:pt idx="1">
                  <c:v>0.17</c:v>
                </c:pt>
                <c:pt idx="2">
                  <c:v>0.17</c:v>
                </c:pt>
              </c:numCache>
            </c:numRef>
          </c:val>
          <c:smooth val="0"/>
          <c:extLst>
            <c:ext xmlns:c16="http://schemas.microsoft.com/office/drawing/2014/chart" uri="{C3380CC4-5D6E-409C-BE32-E72D297353CC}">
              <c16:uniqueId val="{00000008-D67C-4611-8D39-2A30F2536C68}"/>
            </c:ext>
          </c:extLst>
        </c:ser>
        <c:ser>
          <c:idx val="5"/>
          <c:order val="5"/>
          <c:tx>
            <c:strRef>
              <c:f>Sheet1!$G$1</c:f>
              <c:strCache>
                <c:ptCount val="1"/>
                <c:pt idx="0">
                  <c:v>Mērķis 2015</c:v>
                </c:pt>
              </c:strCache>
            </c:strRef>
          </c:tx>
          <c:spPr>
            <a:ln w="28575" cap="flat" cmpd="sng" algn="ctr">
              <a:solidFill>
                <a:schemeClr val="bg1">
                  <a:lumMod val="50000"/>
                </a:schemeClr>
              </a:solidFill>
              <a:prstDash val="sysDash"/>
              <a:miter lim="800000"/>
            </a:ln>
            <a:effectLst/>
          </c:spPr>
          <c:marker>
            <c:symbol val="none"/>
          </c:marker>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Sheet1!$G$2:$G$12</c:f>
              <c:numCache>
                <c:formatCode>General</c:formatCode>
                <c:ptCount val="11"/>
                <c:pt idx="2">
                  <c:v>0.33</c:v>
                </c:pt>
                <c:pt idx="3">
                  <c:v>0.33</c:v>
                </c:pt>
                <c:pt idx="4">
                  <c:v>0.33</c:v>
                </c:pt>
                <c:pt idx="5">
                  <c:v>0.33</c:v>
                </c:pt>
                <c:pt idx="6">
                  <c:v>0.33</c:v>
                </c:pt>
                <c:pt idx="7">
                  <c:v>0.33</c:v>
                </c:pt>
                <c:pt idx="8">
                  <c:v>0.33</c:v>
                </c:pt>
              </c:numCache>
            </c:numRef>
          </c:val>
          <c:smooth val="0"/>
          <c:extLst>
            <c:ext xmlns:c16="http://schemas.microsoft.com/office/drawing/2014/chart" uri="{C3380CC4-5D6E-409C-BE32-E72D297353CC}">
              <c16:uniqueId val="{00000009-D67C-4611-8D39-2A30F2536C68}"/>
            </c:ext>
          </c:extLst>
        </c:ser>
        <c:ser>
          <c:idx val="6"/>
          <c:order val="6"/>
          <c:tx>
            <c:strRef>
              <c:f>Sheet1!$H$1</c:f>
              <c:strCache>
                <c:ptCount val="1"/>
                <c:pt idx="0">
                  <c:v>Mērķis 2030</c:v>
                </c:pt>
              </c:strCache>
            </c:strRef>
          </c:tx>
          <c:spPr>
            <a:ln w="31750" cap="flat" cmpd="sng" algn="ctr">
              <a:solidFill>
                <a:schemeClr val="tx2">
                  <a:lumMod val="50000"/>
                </a:schemeClr>
              </a:solidFill>
              <a:prstDash val="sysDash"/>
              <a:miter lim="800000"/>
            </a:ln>
            <a:effectLst/>
          </c:spPr>
          <c:marker>
            <c:symbol val="none"/>
          </c:marker>
          <c:dLbls>
            <c:dLbl>
              <c:idx val="1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67C-4611-8D39-2A30F2536C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Sheet1!$H$2:$H$12</c:f>
              <c:numCache>
                <c:formatCode>General</c:formatCode>
                <c:ptCount val="11"/>
                <c:pt idx="8">
                  <c:v>0.33</c:v>
                </c:pt>
                <c:pt idx="9">
                  <c:v>0.33</c:v>
                </c:pt>
                <c:pt idx="10">
                  <c:v>0.33</c:v>
                </c:pt>
              </c:numCache>
            </c:numRef>
          </c:val>
          <c:smooth val="0"/>
          <c:extLst>
            <c:ext xmlns:c16="http://schemas.microsoft.com/office/drawing/2014/chart" uri="{C3380CC4-5D6E-409C-BE32-E72D297353CC}">
              <c16:uniqueId val="{0000000B-D67C-4611-8D39-2A30F2536C68}"/>
            </c:ext>
          </c:extLst>
        </c:ser>
        <c:dLbls>
          <c:showLegendKey val="0"/>
          <c:showVal val="0"/>
          <c:showCatName val="0"/>
          <c:showSerName val="0"/>
          <c:showPercent val="0"/>
          <c:showBubbleSize val="0"/>
        </c:dLbls>
        <c:smooth val="0"/>
        <c:axId val="433052008"/>
        <c:axId val="433052664"/>
      </c:lineChart>
      <c:catAx>
        <c:axId val="43305200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3052664"/>
        <c:crosses val="autoZero"/>
        <c:auto val="1"/>
        <c:lblAlgn val="ctr"/>
        <c:lblOffset val="100"/>
        <c:noMultiLvlLbl val="0"/>
      </c:catAx>
      <c:valAx>
        <c:axId val="43305266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30520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ln>
                  <a:noFill/>
                </a:ln>
                <a:solidFill>
                  <a:schemeClr val="dk1"/>
                </a:solidFill>
                <a:latin typeface="+mn-lt"/>
                <a:ea typeface="+mn-ea"/>
                <a:cs typeface="+mn-cs"/>
              </a:defRPr>
            </a:pPr>
            <a:r>
              <a:rPr lang="lv-LV" sz="1200" b="0">
                <a:latin typeface="Times New Roman" panose="02020603050405020304" pitchFamily="18" charset="0"/>
                <a:cs typeface="Times New Roman" panose="02020603050405020304" pitchFamily="18" charset="0"/>
              </a:rPr>
              <a:t>2.attēls. </a:t>
            </a:r>
            <a:r>
              <a:rPr lang="en-US" sz="1200">
                <a:latin typeface="Times New Roman" panose="02020603050405020304" pitchFamily="18" charset="0"/>
                <a:cs typeface="Times New Roman" panose="02020603050405020304" pitchFamily="18" charset="0"/>
              </a:rPr>
              <a:t>Latvijas oficiālā attīstības palīdzība 2018.gadā</a:t>
            </a:r>
          </a:p>
        </c:rich>
      </c:tx>
      <c:layout/>
      <c:overlay val="0"/>
      <c:spPr>
        <a:noFill/>
        <a:ln>
          <a:noFill/>
        </a:ln>
        <a:effectLst/>
      </c:spPr>
      <c:txPr>
        <a:bodyPr rot="0" spcFirstLastPara="1" vertOverflow="ellipsis" vert="horz" wrap="square" anchor="ctr" anchorCtr="1"/>
        <a:lstStyle/>
        <a:p>
          <a:pPr>
            <a:defRPr sz="1800" b="1" i="0" u="none" strike="noStrike" kern="1200" baseline="0">
              <a:ln>
                <a:noFill/>
              </a:ln>
              <a:solidFill>
                <a:schemeClr val="dk1"/>
              </a:solidFill>
              <a:latin typeface="+mn-lt"/>
              <a:ea typeface="+mn-ea"/>
              <a:cs typeface="+mn-cs"/>
            </a:defRPr>
          </a:pPr>
          <a:endParaRPr lang="lv-LV"/>
        </a:p>
      </c:txPr>
    </c:title>
    <c:autoTitleDeleted val="0"/>
    <c:plotArea>
      <c:layout>
        <c:manualLayout>
          <c:layoutTarget val="inner"/>
          <c:xMode val="edge"/>
          <c:yMode val="edge"/>
          <c:x val="6.065489955019563E-2"/>
          <c:y val="0.21151966950876702"/>
          <c:w val="0.45157255900633236"/>
          <c:h val="0.71877525664321551"/>
        </c:manualLayout>
      </c:layout>
      <c:pieChart>
        <c:varyColors val="1"/>
        <c:ser>
          <c:idx val="0"/>
          <c:order val="0"/>
          <c:tx>
            <c:strRef>
              <c:f>Sheet1!$B$1</c:f>
              <c:strCache>
                <c:ptCount val="1"/>
                <c:pt idx="0">
                  <c:v>Latvijas oficiālā attīstības palīdzība 2018.gadā</c:v>
                </c:pt>
              </c:strCache>
            </c:strRef>
          </c:tx>
          <c:spPr>
            <a:solidFill>
              <a:schemeClr val="accent1">
                <a:lumMod val="75000"/>
              </a:schemeClr>
            </a:solidFill>
          </c:spPr>
          <c:explosion val="7"/>
          <c:dPt>
            <c:idx val="0"/>
            <c:bubble3D val="0"/>
            <c:explosion val="0"/>
            <c:spPr>
              <a:solidFill>
                <a:schemeClr val="accent5">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BC-4554-BC03-1DE65CB42D69}"/>
              </c:ext>
            </c:extLst>
          </c:dPt>
          <c:dPt>
            <c:idx val="1"/>
            <c:bubble3D val="0"/>
            <c:explosion val="0"/>
            <c:spPr>
              <a:solidFill>
                <a:schemeClr val="accent5">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BC-4554-BC03-1DE65CB42D69}"/>
              </c:ext>
            </c:extLst>
          </c:dPt>
          <c:dPt>
            <c:idx val="2"/>
            <c:bubble3D val="0"/>
            <c:explosion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BC-4554-BC03-1DE65CB42D69}"/>
              </c:ext>
            </c:extLst>
          </c:dPt>
          <c:dPt>
            <c:idx val="3"/>
            <c:bubble3D val="0"/>
            <c:explosion val="0"/>
            <c:spPr>
              <a:solidFill>
                <a:schemeClr val="accent5">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2BC-4554-BC03-1DE65CB42D69}"/>
              </c:ext>
            </c:extLst>
          </c:dPt>
          <c:dPt>
            <c:idx val="4"/>
            <c:bubble3D val="0"/>
            <c:explosion val="0"/>
            <c:spPr>
              <a:solidFill>
                <a:schemeClr val="accent1">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2BC-4554-BC03-1DE65CB42D69}"/>
              </c:ext>
            </c:extLst>
          </c:dPt>
          <c:dPt>
            <c:idx val="5"/>
            <c:bubble3D val="0"/>
            <c:explosion val="21"/>
            <c:spPr>
              <a:solidFill>
                <a:srgbClr val="86141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2BC-4554-BC03-1DE65CB42D69}"/>
              </c:ext>
            </c:extLst>
          </c:dPt>
          <c:dPt>
            <c:idx val="6"/>
            <c:bubble3D val="0"/>
            <c:explosion val="21"/>
            <c:spPr>
              <a:solidFill>
                <a:srgbClr val="CC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2BC-4554-BC03-1DE65CB42D69}"/>
              </c:ext>
            </c:extLst>
          </c:dPt>
          <c:dPt>
            <c:idx val="7"/>
            <c:bubble3D val="0"/>
            <c:explosion val="21"/>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2BC-4554-BC03-1DE65CB42D69}"/>
              </c:ext>
            </c:extLst>
          </c:dPt>
          <c:dPt>
            <c:idx val="8"/>
            <c:bubble3D val="0"/>
            <c:explosion val="22"/>
            <c:spPr>
              <a:solidFill>
                <a:schemeClr val="accent6">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2BC-4554-BC03-1DE65CB42D69}"/>
              </c:ext>
            </c:extLst>
          </c:dPt>
          <c:dLbls>
            <c:dLbl>
              <c:idx val="0"/>
              <c:layout>
                <c:manualLayout>
                  <c:x val="-7.4760248877519753E-2"/>
                  <c:y val="-7.8001718395066089E-2"/>
                </c:manualLayout>
              </c:layout>
              <c:tx>
                <c:rich>
                  <a:bodyPr/>
                  <a:lstStyle/>
                  <a:p>
                    <a:r>
                      <a:rPr lang="en-US" baseline="0"/>
                      <a:t> </a:t>
                    </a:r>
                    <a:fld id="{89399DBE-A066-48E3-BAEE-6F1FAF8B05DB}"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2BC-4554-BC03-1DE65CB42D69}"/>
                </c:ext>
              </c:extLst>
            </c:dLbl>
            <c:dLbl>
              <c:idx val="1"/>
              <c:layout>
                <c:manualLayout>
                  <c:x val="7.1601635297446564E-2"/>
                  <c:y val="-4.033980959480663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2BC-4554-BC03-1DE65CB42D69}"/>
                </c:ext>
              </c:extLst>
            </c:dLbl>
            <c:dLbl>
              <c:idx val="2"/>
              <c:layout>
                <c:manualLayout>
                  <c:x val="5.8180682804983952E-2"/>
                  <c:y val="3.1449160570904966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2BC-4554-BC03-1DE65CB42D69}"/>
                </c:ext>
              </c:extLst>
            </c:dLbl>
            <c:dLbl>
              <c:idx val="3"/>
              <c:layout>
                <c:manualLayout>
                  <c:x val="7.0450877655162988E-2"/>
                  <c:y val="-6.790290266971066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2BC-4554-BC03-1DE65CB42D69}"/>
                </c:ext>
              </c:extLst>
            </c:dLbl>
            <c:dLbl>
              <c:idx val="4"/>
              <c:layout>
                <c:manualLayout>
                  <c:x val="3.4623032715706055E-2"/>
                  <c:y val="8.522169935858608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2BC-4554-BC03-1DE65CB42D69}"/>
                </c:ext>
              </c:extLst>
            </c:dLbl>
            <c:dLbl>
              <c:idx val="5"/>
              <c:layout>
                <c:manualLayout>
                  <c:x val="4.7474363102381699E-2"/>
                  <c:y val="4.657938467750698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2BC-4554-BC03-1DE65CB42D69}"/>
                </c:ext>
              </c:extLst>
            </c:dLbl>
            <c:dLbl>
              <c:idx val="6"/>
              <c:layout>
                <c:manualLayout>
                  <c:x val="4.5872692309400394E-2"/>
                  <c:y val="4.6901357061309039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72BC-4554-BC03-1DE65CB42D69}"/>
                </c:ext>
              </c:extLst>
            </c:dLbl>
            <c:dLbl>
              <c:idx val="7"/>
              <c:layout>
                <c:manualLayout>
                  <c:x val="2.5301126699264116E-2"/>
                  <c:y val="6.552475783576378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2BC-4554-BC03-1DE65CB42D69}"/>
                </c:ext>
              </c:extLst>
            </c:dLbl>
            <c:dLbl>
              <c:idx val="8"/>
              <c:layout>
                <c:manualLayout>
                  <c:x val="1.0400921074456726E-2"/>
                  <c:y val="5.937629098137876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72BC-4554-BC03-1DE65CB42D69}"/>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dk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ES vispārējais budžets</c:v>
                </c:pt>
                <c:pt idx="1">
                  <c:v>Eiropas Attīstības fonds</c:v>
                </c:pt>
                <c:pt idx="2">
                  <c:v>ANO sistēmas organizācijas</c:v>
                </c:pt>
                <c:pt idx="3">
                  <c:v>Pasaules Bankas grupa</c:v>
                </c:pt>
                <c:pt idx="4">
                  <c:v>Citas iemaksas starptautiskajās organizācijās</c:v>
                </c:pt>
                <c:pt idx="5">
                  <c:v>Ārlietu ministrijas b.p. "Attīstības sadarbības projekti un starptautiskā palīdzība" </c:v>
                </c:pt>
                <c:pt idx="6">
                  <c:v>Ārlietu ministrijas cita divpusēja palīdzība</c:v>
                </c:pt>
                <c:pt idx="7">
                  <c:v>Citu iestāžu divpusējā palīdzība</c:v>
                </c:pt>
                <c:pt idx="8">
                  <c:v>Administratīvās izmaksas</c:v>
                </c:pt>
              </c:strCache>
            </c:strRef>
          </c:cat>
          <c:val>
            <c:numRef>
              <c:f>Sheet1!$B$2:$B$10</c:f>
              <c:numCache>
                <c:formatCode>0.00</c:formatCode>
                <c:ptCount val="9"/>
                <c:pt idx="0">
                  <c:v>17.41</c:v>
                </c:pt>
                <c:pt idx="1">
                  <c:v>5.1100000000000003</c:v>
                </c:pt>
                <c:pt idx="2">
                  <c:v>1.0660000000000001</c:v>
                </c:pt>
                <c:pt idx="3">
                  <c:v>0.97299999999999998</c:v>
                </c:pt>
                <c:pt idx="4">
                  <c:v>0.438</c:v>
                </c:pt>
                <c:pt idx="5">
                  <c:v>0.44800000000000001</c:v>
                </c:pt>
                <c:pt idx="6">
                  <c:v>1.33</c:v>
                </c:pt>
                <c:pt idx="7">
                  <c:v>2.165</c:v>
                </c:pt>
                <c:pt idx="8">
                  <c:v>0.216</c:v>
                </c:pt>
              </c:numCache>
            </c:numRef>
          </c:val>
          <c:extLst>
            <c:ext xmlns:c16="http://schemas.microsoft.com/office/drawing/2014/chart" uri="{C3380CC4-5D6E-409C-BE32-E72D297353CC}">
              <c16:uniqueId val="{00000012-72BC-4554-BC03-1DE65CB42D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364712310589426"/>
          <c:y val="0.18901924241718307"/>
          <c:w val="0.43618105357648146"/>
          <c:h val="0.80857568839398031"/>
        </c:manualLayout>
      </c:layout>
      <c:overlay val="1"/>
      <c:spPr>
        <a:noFill/>
        <a:ln w="0">
          <a:noFill/>
        </a:ln>
        <a:effectLst/>
      </c:spPr>
      <c:txPr>
        <a:bodyPr rot="0" spcFirstLastPara="1" vertOverflow="ellipsis" vert="horz" wrap="square" anchor="ctr" anchorCtr="1"/>
        <a:lstStyle/>
        <a:p>
          <a:pPr>
            <a:defRPr sz="900" b="0" i="0" u="none" strike="noStrike" kern="1200" baseline="0">
              <a:ln>
                <a:noFill/>
              </a:ln>
              <a:solidFill>
                <a:schemeClr val="dk1"/>
              </a:solidFill>
              <a:latin typeface="+mn-lt"/>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ln>
            <a:noFill/>
          </a:ln>
          <a:solidFill>
            <a:schemeClr val="dk1"/>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0A04-00A0-4E18-9B3E-B4B9608E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30891</Words>
  <Characters>17608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Konceptuālais ziņojums "Par attīstības sadarbībai paredzētā finansējuma palielināšanu 2021. – 2025.gadā"</vt:lpstr>
    </vt:vector>
  </TitlesOfParts>
  <Company>Ārlietu ministrija</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attīstības sadarbībai paredzētā finansējuma palielināšanu 2021. – 2025.gadā"</dc:title>
  <dc:subject>Konceptuāls ziņojums</dc:subject>
  <dc:creator>Linda Ozolina</dc:creator>
  <cp:keywords/>
  <dc:description/>
  <cp:lastModifiedBy>  </cp:lastModifiedBy>
  <cp:revision>13</cp:revision>
  <cp:lastPrinted>2019-11-29T10:37:00Z</cp:lastPrinted>
  <dcterms:created xsi:type="dcterms:W3CDTF">2020-02-19T12:22:00Z</dcterms:created>
  <dcterms:modified xsi:type="dcterms:W3CDTF">2020-02-21T15:46:00Z</dcterms:modified>
</cp:coreProperties>
</file>