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6F58" w14:textId="0B5248C8" w:rsidR="00487EE3" w:rsidRDefault="00487EE3" w:rsidP="004211BD">
      <w:pPr>
        <w:pStyle w:val="Subtitle"/>
        <w:tabs>
          <w:tab w:val="left" w:pos="6521"/>
        </w:tabs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6EBEE8A9" w14:textId="77777777" w:rsidR="004211BD" w:rsidRPr="004211BD" w:rsidRDefault="004211BD" w:rsidP="004211BD">
      <w:pPr>
        <w:spacing w:after="0" w:line="240" w:lineRule="auto"/>
        <w:rPr>
          <w:lang w:val="x-none" w:eastAsia="x-none"/>
        </w:rPr>
      </w:pPr>
    </w:p>
    <w:p w14:paraId="6782CCC1" w14:textId="77777777" w:rsidR="00487EE3" w:rsidRPr="00CF11CF" w:rsidRDefault="00487EE3" w:rsidP="004211BD">
      <w:pPr>
        <w:pStyle w:val="Subtitle"/>
        <w:tabs>
          <w:tab w:val="left" w:pos="6521"/>
        </w:tabs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09BBF3F3" w14:textId="269F92AE" w:rsidR="00CF11CF" w:rsidRPr="00CF11CF" w:rsidRDefault="00CF11CF" w:rsidP="00CF11C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1CF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B4082C" w:rsidRPr="00B4082C">
        <w:rPr>
          <w:rFonts w:ascii="Times New Roman" w:hAnsi="Times New Roman" w:cs="Times New Roman"/>
          <w:sz w:val="28"/>
          <w:szCs w:val="28"/>
        </w:rPr>
        <w:t>7. aprīlī</w:t>
      </w:r>
      <w:r w:rsidRPr="00CF11CF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B4082C">
        <w:rPr>
          <w:rFonts w:ascii="Times New Roman" w:eastAsia="Times New Roman" w:hAnsi="Times New Roman" w:cs="Times New Roman"/>
          <w:sz w:val="28"/>
          <w:szCs w:val="28"/>
        </w:rPr>
        <w:t> 186</w:t>
      </w:r>
    </w:p>
    <w:p w14:paraId="0A8A5EC3" w14:textId="6B4CC831" w:rsidR="00CF11CF" w:rsidRPr="00CF11CF" w:rsidRDefault="00CF11CF" w:rsidP="00CF11C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1C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F11C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B4082C">
        <w:rPr>
          <w:rFonts w:ascii="Times New Roman" w:eastAsia="Times New Roman" w:hAnsi="Times New Roman" w:cs="Times New Roman"/>
          <w:sz w:val="28"/>
          <w:szCs w:val="28"/>
        </w:rPr>
        <w:t> 22</w:t>
      </w:r>
      <w:r w:rsidRPr="00CF1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82C">
        <w:rPr>
          <w:rFonts w:ascii="Times New Roman" w:eastAsia="Times New Roman" w:hAnsi="Times New Roman" w:cs="Times New Roman"/>
          <w:sz w:val="28"/>
          <w:szCs w:val="28"/>
        </w:rPr>
        <w:t>34</w:t>
      </w:r>
      <w:bookmarkStart w:id="0" w:name="_GoBack"/>
      <w:bookmarkEnd w:id="0"/>
      <w:r w:rsidRPr="00CF11CF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CCAB931" w14:textId="77777777" w:rsidR="006A619A" w:rsidRPr="00CF11CF" w:rsidRDefault="006A619A" w:rsidP="00CF11CF">
      <w:pPr>
        <w:pStyle w:val="Subtitle"/>
        <w:spacing w:after="0"/>
        <w:ind w:right="-199"/>
        <w:contextualSpacing/>
        <w:jc w:val="left"/>
        <w:rPr>
          <w:rFonts w:ascii="Times New Roman" w:hAnsi="Times New Roman"/>
          <w:sz w:val="28"/>
          <w:szCs w:val="28"/>
        </w:rPr>
      </w:pPr>
    </w:p>
    <w:p w14:paraId="582F534F" w14:textId="195245B9" w:rsidR="006A619A" w:rsidRPr="00CF11CF" w:rsidRDefault="006A619A" w:rsidP="00CF11CF">
      <w:pPr>
        <w:pStyle w:val="Subtitle"/>
        <w:spacing w:after="0"/>
        <w:ind w:right="-199"/>
        <w:contextualSpacing/>
        <w:rPr>
          <w:rFonts w:ascii="Times New Roman" w:hAnsi="Times New Roman"/>
          <w:b/>
          <w:sz w:val="28"/>
          <w:szCs w:val="28"/>
        </w:rPr>
      </w:pPr>
      <w:r w:rsidRPr="00CF11CF">
        <w:rPr>
          <w:rFonts w:ascii="Times New Roman" w:hAnsi="Times New Roman"/>
          <w:b/>
          <w:sz w:val="28"/>
          <w:szCs w:val="28"/>
        </w:rPr>
        <w:t xml:space="preserve">Grozījumi Ministru kabineta 2009. gada 15. septembra noteikumos Nr. 1065 </w:t>
      </w:r>
      <w:bookmarkStart w:id="1" w:name="_Hlk20821691"/>
      <w:r w:rsidRPr="00CF11CF">
        <w:rPr>
          <w:rFonts w:ascii="Times New Roman" w:hAnsi="Times New Roman"/>
          <w:b/>
          <w:sz w:val="28"/>
          <w:szCs w:val="28"/>
        </w:rPr>
        <w:t>"</w:t>
      </w:r>
      <w:bookmarkEnd w:id="1"/>
      <w:r w:rsidRPr="00CF11CF">
        <w:rPr>
          <w:rFonts w:ascii="Times New Roman" w:hAnsi="Times New Roman"/>
          <w:b/>
          <w:sz w:val="28"/>
          <w:szCs w:val="28"/>
        </w:rPr>
        <w:t xml:space="preserve">Noteikumi par aizdevumiem sīko (mikro), mazo un vidējo saimnieciskās darbības veicēju un lauksaimniecības </w:t>
      </w:r>
      <w:r w:rsidR="00FB5489" w:rsidRPr="00CF11CF">
        <w:rPr>
          <w:rFonts w:ascii="Times New Roman" w:hAnsi="Times New Roman"/>
          <w:b/>
          <w:sz w:val="28"/>
          <w:szCs w:val="28"/>
          <w:lang w:val="lv-LV"/>
        </w:rPr>
        <w:t xml:space="preserve">un mežsaimniecības </w:t>
      </w:r>
      <w:r w:rsidRPr="00CF11CF">
        <w:rPr>
          <w:rFonts w:ascii="Times New Roman" w:hAnsi="Times New Roman"/>
          <w:b/>
          <w:sz w:val="28"/>
          <w:szCs w:val="28"/>
        </w:rPr>
        <w:t>pakalpojumu kooperatīvo sabiedrību attīstības veicināšanai"</w:t>
      </w:r>
    </w:p>
    <w:p w14:paraId="21325932" w14:textId="77777777" w:rsidR="000A33CE" w:rsidRPr="00CF11CF" w:rsidRDefault="000A33CE" w:rsidP="00CF11CF">
      <w:pPr>
        <w:pStyle w:val="Subtitle"/>
        <w:spacing w:after="0"/>
        <w:ind w:right="-19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14:paraId="37387FD9" w14:textId="29D9BCF2" w:rsidR="006A619A" w:rsidRPr="00CF11CF" w:rsidRDefault="006A619A" w:rsidP="00CF11CF">
      <w:pPr>
        <w:pStyle w:val="Subtitle"/>
        <w:spacing w:after="0"/>
        <w:ind w:right="-19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CF11CF">
        <w:rPr>
          <w:rFonts w:ascii="Times New Roman" w:hAnsi="Times New Roman"/>
          <w:iCs/>
          <w:sz w:val="28"/>
          <w:szCs w:val="28"/>
        </w:rPr>
        <w:t>Izdoti saskaņā ar</w:t>
      </w:r>
    </w:p>
    <w:p w14:paraId="0D8D887E" w14:textId="50DBF2B5" w:rsidR="006A619A" w:rsidRPr="00CF11CF" w:rsidRDefault="006A619A" w:rsidP="00CF11CF">
      <w:pPr>
        <w:pStyle w:val="Subtitle"/>
        <w:spacing w:after="0"/>
        <w:ind w:right="-199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CF11CF">
        <w:rPr>
          <w:rFonts w:ascii="Times New Roman" w:hAnsi="Times New Roman"/>
          <w:iCs/>
          <w:sz w:val="28"/>
          <w:szCs w:val="28"/>
        </w:rPr>
        <w:t>Attīstības finanšu institūcijas</w:t>
      </w:r>
    </w:p>
    <w:p w14:paraId="09BA0964" w14:textId="663333A9" w:rsidR="006A619A" w:rsidRPr="00CF11CF" w:rsidRDefault="006A619A" w:rsidP="00CF11CF">
      <w:pPr>
        <w:pStyle w:val="Subtitle"/>
        <w:spacing w:after="0"/>
        <w:ind w:right="-199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CF11CF">
        <w:rPr>
          <w:rFonts w:ascii="Times New Roman" w:hAnsi="Times New Roman"/>
          <w:iCs/>
          <w:sz w:val="28"/>
          <w:szCs w:val="28"/>
        </w:rPr>
        <w:t>likuma 12.</w:t>
      </w:r>
      <w:r w:rsidR="00D4734B" w:rsidRPr="00CF11CF">
        <w:rPr>
          <w:rFonts w:ascii="Times New Roman" w:hAnsi="Times New Roman"/>
          <w:iCs/>
          <w:sz w:val="28"/>
          <w:szCs w:val="28"/>
          <w:lang w:val="lv-LV"/>
        </w:rPr>
        <w:t> </w:t>
      </w:r>
      <w:r w:rsidRPr="00CF11CF">
        <w:rPr>
          <w:rFonts w:ascii="Times New Roman" w:hAnsi="Times New Roman"/>
          <w:iCs/>
          <w:sz w:val="28"/>
          <w:szCs w:val="28"/>
        </w:rPr>
        <w:t>panta ceturto daļu</w:t>
      </w:r>
    </w:p>
    <w:p w14:paraId="04618657" w14:textId="77777777" w:rsidR="000A33CE" w:rsidRPr="00CF11CF" w:rsidRDefault="000A33CE" w:rsidP="00CF11CF">
      <w:pPr>
        <w:pStyle w:val="naislab"/>
        <w:spacing w:before="0" w:after="0"/>
        <w:ind w:right="-199"/>
        <w:contextualSpacing/>
        <w:rPr>
          <w:sz w:val="28"/>
          <w:szCs w:val="28"/>
        </w:rPr>
      </w:pPr>
    </w:p>
    <w:p w14:paraId="1F1CBFF1" w14:textId="7A837171" w:rsidR="006A619A" w:rsidRPr="00CF11CF" w:rsidRDefault="006A619A" w:rsidP="00CF11CF">
      <w:pPr>
        <w:pStyle w:val="naisf"/>
        <w:tabs>
          <w:tab w:val="left" w:pos="1276"/>
        </w:tabs>
        <w:spacing w:before="0" w:after="0"/>
        <w:ind w:right="-199" w:firstLine="709"/>
        <w:contextualSpacing/>
        <w:rPr>
          <w:sz w:val="28"/>
          <w:szCs w:val="28"/>
        </w:rPr>
      </w:pPr>
      <w:r w:rsidRPr="00CF11CF">
        <w:rPr>
          <w:sz w:val="28"/>
          <w:szCs w:val="28"/>
        </w:rPr>
        <w:t xml:space="preserve">Izdarīt Ministru kabineta 2009. gada 15. septembra noteikumos Nr. 1065 "Noteikumi par aizdevumiem sīko (mikro), mazo un vidējo saimnieciskās darbības veicēju un lauksaimniecības </w:t>
      </w:r>
      <w:r w:rsidR="00D04762" w:rsidRPr="00CF11CF">
        <w:rPr>
          <w:sz w:val="28"/>
          <w:szCs w:val="28"/>
        </w:rPr>
        <w:t xml:space="preserve">un mežsaimniecības </w:t>
      </w:r>
      <w:r w:rsidRPr="00CF11CF">
        <w:rPr>
          <w:sz w:val="28"/>
          <w:szCs w:val="28"/>
        </w:rPr>
        <w:t>pakalpojumu kooperatīvo sabiedrību attīstības veicināšanai" (Latvijas Vēstnesis, 2009, 154. nr.; 2010, 162. nr.; 2012, 49. nr.; 2013, 246. nr.; 2014, 149., 255</w:t>
      </w:r>
      <w:r w:rsidR="004A0081" w:rsidRPr="00CF11CF">
        <w:rPr>
          <w:sz w:val="28"/>
          <w:szCs w:val="28"/>
        </w:rPr>
        <w:t>. </w:t>
      </w:r>
      <w:r w:rsidRPr="00CF11CF">
        <w:rPr>
          <w:sz w:val="28"/>
          <w:szCs w:val="28"/>
        </w:rPr>
        <w:t>nr.</w:t>
      </w:r>
      <w:r w:rsidR="00487EE3" w:rsidRPr="00CF11CF">
        <w:rPr>
          <w:sz w:val="28"/>
          <w:szCs w:val="28"/>
        </w:rPr>
        <w:t>;</w:t>
      </w:r>
      <w:r w:rsidRPr="00CF11CF">
        <w:rPr>
          <w:sz w:val="28"/>
          <w:szCs w:val="28"/>
        </w:rPr>
        <w:t xml:space="preserve"> 2015, 202.</w:t>
      </w:r>
      <w:r w:rsidR="004A0081" w:rsidRPr="00CF11CF">
        <w:rPr>
          <w:sz w:val="28"/>
          <w:szCs w:val="28"/>
        </w:rPr>
        <w:t> </w:t>
      </w:r>
      <w:r w:rsidRPr="00CF11CF">
        <w:rPr>
          <w:sz w:val="28"/>
          <w:szCs w:val="28"/>
        </w:rPr>
        <w:t>nr.; 2016, 92.</w:t>
      </w:r>
      <w:r w:rsidR="004A0081" w:rsidRPr="00CF11CF">
        <w:rPr>
          <w:sz w:val="28"/>
          <w:szCs w:val="28"/>
        </w:rPr>
        <w:t> </w:t>
      </w:r>
      <w:r w:rsidRPr="00CF11CF">
        <w:rPr>
          <w:sz w:val="28"/>
          <w:szCs w:val="28"/>
        </w:rPr>
        <w:t>nr.; 2017, 201.</w:t>
      </w:r>
      <w:r w:rsidR="004A0081" w:rsidRPr="00CF11CF">
        <w:rPr>
          <w:sz w:val="28"/>
          <w:szCs w:val="28"/>
        </w:rPr>
        <w:t> </w:t>
      </w:r>
      <w:r w:rsidRPr="00CF11CF">
        <w:rPr>
          <w:sz w:val="28"/>
          <w:szCs w:val="28"/>
        </w:rPr>
        <w:t>nr.; 2019, 124.</w:t>
      </w:r>
      <w:r w:rsidR="00BB07DE" w:rsidRPr="00CF11CF">
        <w:rPr>
          <w:sz w:val="28"/>
          <w:szCs w:val="28"/>
        </w:rPr>
        <w:t> nr</w:t>
      </w:r>
      <w:r w:rsidR="00923F0D" w:rsidRPr="00CF11CF">
        <w:rPr>
          <w:sz w:val="28"/>
          <w:szCs w:val="28"/>
        </w:rPr>
        <w:t>.</w:t>
      </w:r>
      <w:r w:rsidRPr="00CF11CF">
        <w:rPr>
          <w:sz w:val="28"/>
          <w:szCs w:val="28"/>
        </w:rPr>
        <w:t>) šādus grozījumus:</w:t>
      </w:r>
    </w:p>
    <w:p w14:paraId="52A0C7BB" w14:textId="2CFC4556" w:rsidR="00BD0122" w:rsidRPr="00CF11CF" w:rsidRDefault="00BD0122" w:rsidP="00CF11CF">
      <w:pPr>
        <w:pStyle w:val="naisf"/>
        <w:tabs>
          <w:tab w:val="left" w:pos="1276"/>
        </w:tabs>
        <w:spacing w:before="0" w:after="0"/>
        <w:ind w:right="-199" w:firstLine="709"/>
        <w:contextualSpacing/>
        <w:rPr>
          <w:sz w:val="28"/>
          <w:szCs w:val="28"/>
        </w:rPr>
      </w:pPr>
    </w:p>
    <w:p w14:paraId="3A039036" w14:textId="7CD2532F" w:rsidR="009F5BA4" w:rsidRPr="00CF11CF" w:rsidRDefault="006A619A" w:rsidP="002B2B9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n1"/>
      <w:bookmarkStart w:id="3" w:name="n-305433"/>
      <w:bookmarkStart w:id="4" w:name="p1"/>
      <w:bookmarkStart w:id="5" w:name="p-693775"/>
      <w:bookmarkStart w:id="6" w:name="p5"/>
      <w:bookmarkStart w:id="7" w:name="p-693777"/>
      <w:bookmarkEnd w:id="2"/>
      <w:bookmarkEnd w:id="3"/>
      <w:bookmarkEnd w:id="4"/>
      <w:bookmarkEnd w:id="5"/>
      <w:bookmarkEnd w:id="6"/>
      <w:bookmarkEnd w:id="7"/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5</w:t>
      </w:r>
      <w:r w:rsidR="00E0281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punkta ievaddaļā skaitli 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202 047 797,11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AF3F0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047 797,11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C718839" w14:textId="77777777" w:rsidR="00FA341D" w:rsidRPr="00CF11CF" w:rsidRDefault="00FA341D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216223" w14:textId="21DD60CB" w:rsidR="009F5BA4" w:rsidRPr="00CF11CF" w:rsidRDefault="006A619A" w:rsidP="002B2B9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5.3</w:t>
      </w:r>
      <w:r w:rsidR="00E0281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03E12894" w14:textId="77777777" w:rsidR="006004E4" w:rsidRPr="00CF11CF" w:rsidRDefault="006004E4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5EFEBB" w14:textId="73DA1145" w:rsidR="006A619A" w:rsidRPr="00CF11CF" w:rsidRDefault="00CF11CF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A619A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5.3.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B2B9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F3F0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004E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A619A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="006004E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A619A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000 </w:t>
      </w:r>
      <w:r w:rsidR="006A619A"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euro </w:t>
      </w:r>
      <w:r w:rsidR="006A619A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56212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III</w:t>
      </w:r>
      <w:r w:rsidR="00562129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A619A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6212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nodaļā </w:t>
      </w:r>
      <w:r w:rsidR="006A619A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 aizdevumu finansēšanai un pirmo zaudējumu segšanai. Finansējuma avots ir Latvijas un Šveices sadarbības programmas individuālā projekta "Mikrokreditēšanas programma" atmaksu publiskā finansējuma daļa.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D4E9D6B" w14:textId="7BFA028F" w:rsidR="006A619A" w:rsidRPr="00CF11CF" w:rsidRDefault="006A619A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E90B87" w14:textId="5AB8168F" w:rsidR="00315AE4" w:rsidRPr="00CF11CF" w:rsidRDefault="00315AE4" w:rsidP="002B2B9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6. punktu šādā redakcijā:</w:t>
      </w:r>
    </w:p>
    <w:p w14:paraId="70560AC8" w14:textId="25C4DFD5" w:rsidR="00315AE4" w:rsidRPr="00CF11CF" w:rsidRDefault="00315AE4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D5641E" w14:textId="5B74E1C3" w:rsidR="006B32F9" w:rsidRPr="00CF11CF" w:rsidRDefault="00CF11CF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Start w:id="8" w:name="_Hlk34218152"/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6. Aizdevuma līgumu</w:t>
      </w:r>
      <w:r w:rsidR="005A039B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noslēgšanas beigu termiņš</w:t>
      </w:r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A039B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ir termiņ</w:t>
      </w:r>
      <w:r w:rsidR="002B2B9F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5A039B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noteikts</w:t>
      </w:r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27C1F87" w14:textId="2BCE2B3C" w:rsidR="006B32F9" w:rsidRPr="00CF11CF" w:rsidRDefault="006B32F9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6.1.</w:t>
      </w:r>
      <w:r w:rsidRPr="00CF11CF">
        <w:rPr>
          <w:rFonts w:ascii="Times New Roman" w:hAnsi="Times New Roman" w:cs="Times New Roman"/>
          <w:sz w:val="28"/>
          <w:szCs w:val="28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2013. gada 18. decembra Regulas (ES) Nr. 1407/2013 par Līguma par Eiropas Savienības darbību 107. un 108. panta piemērošanu </w:t>
      </w:r>
      <w:r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atbalstam (Eiropas Savienības Oficiālais Vēstnesis, 2013. gada 24. decembris, Nr. L 352) (turpmāk – Komisijas regula Nr. 1407/2013) 7. panta 4. punktā un 8. pantā;</w:t>
      </w:r>
    </w:p>
    <w:p w14:paraId="346E8EB1" w14:textId="5DF96FC4" w:rsidR="006B32F9" w:rsidRPr="00CF11CF" w:rsidRDefault="006B32F9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6.2. Komisijas 2013. gada 18. decembra Regulas (ES) Nr. 1408/2013 par Līguma par Eiropas Savienības darbību 107. un 108. panta piemērošanu </w:t>
      </w:r>
      <w:r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atbalstam lauksaimniecības nozarē (Eiropas Savienības Oficiālais Vēstnesis, 2013. gada 24. decembris, Nr. L 352) (turpmāk – Komisijas regula Nr. 1408/2013)</w:t>
      </w:r>
      <w:r w:rsidR="00351EE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7. panta 4. punktā un 8. pantā;</w:t>
      </w:r>
    </w:p>
    <w:p w14:paraId="0CCBA42E" w14:textId="1F5D6BB3" w:rsidR="00315AE4" w:rsidRPr="00CF11CF" w:rsidRDefault="006B32F9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6.3. Komisijas 2014. gada 27. jūnija Regulas (ES) Nr. 717/2014 par Līguma par Eiropas Savienības darbību 107. un 108. panta piemērošanu </w:t>
      </w:r>
      <w:r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atbalstam zvejniecības un akvakultūras nozarē (Eiropas Savienības Oficiālais Vēstnesis, 2014. gada 28. jūnijs, Nr. L 190/45) (turpmāk – Komisijas regula Nr. 717/2014) 7. panta 4. punktā un 8. pantā.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End w:id="8"/>
    </w:p>
    <w:p w14:paraId="25A2C359" w14:textId="702CF496" w:rsidR="00DB1A1C" w:rsidRPr="00CF11CF" w:rsidRDefault="00DB1A1C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0E45E4" w14:textId="36332C40" w:rsidR="00DB1A1C" w:rsidRPr="00CF11CF" w:rsidRDefault="00DB1A1C" w:rsidP="002B2B9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11.5. apakšpunktu šādā redakcijā:</w:t>
      </w:r>
    </w:p>
    <w:p w14:paraId="3D9BE4F7" w14:textId="77777777" w:rsidR="00DB1A1C" w:rsidRPr="00CF11CF" w:rsidRDefault="00DB1A1C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ABA6DB" w14:textId="71D52AA9" w:rsidR="00DB1A1C" w:rsidRPr="00CF11CF" w:rsidRDefault="00CF11CF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B1A1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11.5.</w:t>
      </w:r>
      <w:r w:rsidR="002B2B9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B1A1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operācijām ar nekustamo īpašumu (NACE 2.</w:t>
      </w:r>
      <w:r w:rsidR="002B2B9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B1A1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red. L</w:t>
      </w:r>
      <w:r w:rsidR="002B2B9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B1A1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sadaļa</w:t>
      </w:r>
      <w:r w:rsidR="00366DB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B1A1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"Operācijas ar nekustamo īpašumu" grupa 68.1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B1A1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Sava nekustama īpašuma pirkšana un pārdošana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B1A1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grupa 68.31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B1A1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Starpniecība darbībā ar nekustamo īpašumu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B1A1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366DB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66DB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42CF234" w14:textId="77777777" w:rsidR="00DB1A1C" w:rsidRPr="00CF11CF" w:rsidRDefault="00DB1A1C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549C23" w14:textId="30C9FB9A" w:rsidR="00DB1A1C" w:rsidRPr="00CF11CF" w:rsidRDefault="00DB1A1C" w:rsidP="002B2B9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11.8. apakšpunktu šādā redakcijā:</w:t>
      </w:r>
    </w:p>
    <w:p w14:paraId="77F6F69A" w14:textId="77777777" w:rsidR="00DB1A1C" w:rsidRPr="00CF11CF" w:rsidRDefault="00DB1A1C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B014BC" w14:textId="10659D7B" w:rsidR="00DB1A1C" w:rsidRPr="00CF11CF" w:rsidRDefault="00CF11CF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B1A1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11.8.</w:t>
      </w:r>
      <w:r w:rsidR="002B2B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tā </w:t>
      </w:r>
      <w:r w:rsidR="00DB1A1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</w:t>
      </w:r>
      <w:r w:rsidR="002B2B9F" w:rsidRPr="002B2B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B2B9F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attīstīšanai</w:t>
      </w:r>
      <w:r w:rsidR="00DB1A1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Nekustamā īpašuma valsts kadastra informācijas sistēmā reģistrējams kā dzīvojamā māja vai daudzdzīvokļu māja.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547A3DE4" w14:textId="77777777" w:rsidR="00315AE4" w:rsidRPr="00CF11CF" w:rsidRDefault="00315AE4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E47CDD" w14:textId="22774043" w:rsidR="00E505F8" w:rsidRPr="00CF11CF" w:rsidRDefault="00E505F8" w:rsidP="002B2B9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12.</w:t>
      </w:r>
      <w:r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D37557C" w14:textId="77777777" w:rsidR="00E505F8" w:rsidRPr="00CF11CF" w:rsidRDefault="00E505F8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C4D754" w14:textId="1B624FB0" w:rsidR="00E505F8" w:rsidRPr="00CF11CF" w:rsidRDefault="00CF11CF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505F8" w:rsidRPr="00CF11CF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="00E505F8" w:rsidRPr="00CF11C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E505F8" w:rsidRPr="00CF11CF">
        <w:rPr>
          <w:rFonts w:ascii="Times New Roman" w:hAnsi="Times New Roman" w:cs="Times New Roman"/>
          <w:sz w:val="28"/>
          <w:szCs w:val="28"/>
          <w:shd w:val="clear" w:color="auto" w:fill="FFFFFF"/>
        </w:rPr>
        <w:t> Šo noteikumu 11.4. un 11.5. apakšpunktā minētie nozaru ierobežojumi neattiecas uz šo noteikumu III</w:t>
      </w:r>
      <w:r w:rsidR="00E505F8" w:rsidRPr="00CF11C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E505F8" w:rsidRPr="00CF11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2AF2" w:rsidRPr="00CF11CF">
        <w:rPr>
          <w:rFonts w:ascii="Times New Roman" w:hAnsi="Times New Roman" w:cs="Times New Roman"/>
          <w:sz w:val="28"/>
          <w:szCs w:val="28"/>
          <w:shd w:val="clear" w:color="auto" w:fill="FFFFFF"/>
        </w:rPr>
        <w:t>un III</w:t>
      </w:r>
      <w:r w:rsidR="00D72AF2" w:rsidRPr="00CF11C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7209A9" w:rsidRPr="00CF11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05F8" w:rsidRPr="00CF11CF">
        <w:rPr>
          <w:rFonts w:ascii="Times New Roman" w:hAnsi="Times New Roman" w:cs="Times New Roman"/>
          <w:sz w:val="28"/>
          <w:szCs w:val="28"/>
          <w:shd w:val="clear" w:color="auto" w:fill="FFFFFF"/>
        </w:rPr>
        <w:t>nodaļā minētajiem aizdevumiem.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2D3F57B8" w14:textId="77777777" w:rsidR="00E505F8" w:rsidRPr="00CF11CF" w:rsidRDefault="00E505F8" w:rsidP="00CF11CF">
      <w:pPr>
        <w:shd w:val="clear" w:color="auto" w:fill="FFFFFF"/>
        <w:spacing w:after="0" w:line="240" w:lineRule="auto"/>
        <w:ind w:right="-199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8AED51" w14:textId="073F38B5" w:rsidR="006B32F9" w:rsidRPr="00CF11CF" w:rsidRDefault="00510CF2" w:rsidP="002B2B9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14.1. apakšpunkt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ā vārdu</w:t>
      </w:r>
      <w:r w:rsidR="00366DB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s un skaitļus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2013.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18.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 Regulu (ES) Nr.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1407/2013 par Līguma par Eiropas Savienības darbību 107. un 108.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piemērošanu </w:t>
      </w:r>
      <w:r w:rsidR="006B32F9"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atbalstam (Eiropas Savienības Oficiālais Vēstnesis, 2013.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24.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decembris, Nr.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L 352) (turpmāk – Komisijas regula Nr.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B32F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1407/2013)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366DB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vārdiem un skaitļiem 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regulu Nr. 1407/2013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B3F4E01" w14:textId="77777777" w:rsidR="00510CF2" w:rsidRPr="00CF11CF" w:rsidRDefault="00510CF2" w:rsidP="00CF11CF">
      <w:pPr>
        <w:pStyle w:val="ListParagraph"/>
        <w:shd w:val="clear" w:color="auto" w:fill="FFFFFF"/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CAE149" w14:textId="0283272F" w:rsidR="00510CF2" w:rsidRPr="00CF11CF" w:rsidRDefault="00510CF2" w:rsidP="002B2B9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15.1. apakšpunktā </w:t>
      </w:r>
      <w:r w:rsidR="00B51152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vārdus un skaitļus 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2013. gada 18. decembra Regulu (ES) Nr. 1408/2013 par Līguma par Eiropas Savienības darbību 107. un 108. panta piemērošanu </w:t>
      </w:r>
      <w:r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atbalstam lauksaimniecības nozarē" (Eiropas Savienības Oficiālais Vēstnesis, 2013. gada 24. decembris, Nr. L</w:t>
      </w:r>
      <w:r w:rsidR="00172E7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352) (turpmāk – Komisijas regula Nr. 1408/2013)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</w:t>
      </w:r>
      <w:r w:rsidR="00B51152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iem un skaitļiem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regulu Nr. 1408/2013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8398EFA" w14:textId="77777777" w:rsidR="00510CF2" w:rsidRPr="00CF11CF" w:rsidRDefault="00510CF2" w:rsidP="00CF11CF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5E42E8" w14:textId="01318EB2" w:rsidR="00510CF2" w:rsidRPr="00CF11CF" w:rsidRDefault="00510CF2" w:rsidP="002B2B9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15.</w:t>
      </w:r>
      <w:r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72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 apakšpunktā </w:t>
      </w:r>
      <w:r w:rsidR="00B51152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vārdus un skaitļus 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2014. gada 27. jūnija Regulu (ES) Nr. 717/2014 par Līguma par Eiropas Savienības darbību 107. un 108. panta piemērošanu </w:t>
      </w:r>
      <w:r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atbalstam zvejniecības un akvakultūras 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nozarē (Eiropas Savienības Oficiālais Vēstnesis, 2014. gada 28. jūnijs, Nr. L</w:t>
      </w:r>
      <w:r w:rsidR="00172E7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190/45) (turpmāk – Komisijas regula Nr. 717/2014)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B51152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vārdiem un skaitļiem 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regulu Nr. 717/2014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A962A1B" w14:textId="77777777" w:rsidR="00510CF2" w:rsidRPr="00CF11CF" w:rsidRDefault="00510CF2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77BDD4" w14:textId="091F488C" w:rsidR="006A619A" w:rsidRPr="00CF11CF" w:rsidRDefault="00562129" w:rsidP="002B2B9F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III</w:t>
      </w:r>
      <w:r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nodaļu šādā redakcijā:</w:t>
      </w:r>
    </w:p>
    <w:p w14:paraId="6ECDB582" w14:textId="77777777" w:rsidR="00621359" w:rsidRPr="00CF11CF" w:rsidRDefault="00621359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0F23B3" w14:textId="30AA59F9" w:rsidR="00562129" w:rsidRPr="00CF11CF" w:rsidRDefault="00CF11CF" w:rsidP="002B2B9F">
      <w:pPr>
        <w:pStyle w:val="ListParagraph"/>
        <w:shd w:val="clear" w:color="auto" w:fill="FFFFFF"/>
        <w:spacing w:after="0" w:line="240" w:lineRule="auto"/>
        <w:ind w:left="0" w:right="-1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62129" w:rsidRPr="00CF11C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III</w:t>
      </w:r>
      <w:r w:rsidR="00562129" w:rsidRPr="00CF11C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2</w:t>
      </w:r>
      <w:r w:rsidR="00172E79" w:rsidRPr="00CF11C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D4734B" w:rsidRPr="00CF11C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562129" w:rsidRPr="00CF11C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Aizdevumi energoefektivitātes pakalpojum</w:t>
      </w:r>
      <w:r w:rsidR="00172E7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562129" w:rsidRPr="00CF11C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sniedzēju naudas plūsmas iegādei</w:t>
      </w:r>
    </w:p>
    <w:p w14:paraId="15819A92" w14:textId="18BB04E2" w:rsidR="00562129" w:rsidRPr="00CF11CF" w:rsidRDefault="00562129" w:rsidP="00CF11CF">
      <w:pPr>
        <w:shd w:val="clear" w:color="auto" w:fill="FFFFFF"/>
        <w:spacing w:after="0" w:line="240" w:lineRule="auto"/>
        <w:ind w:right="-199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FC14F5" w14:textId="503A2928" w:rsidR="00621359" w:rsidRPr="00CF11CF" w:rsidRDefault="00562129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12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Aizdevumi ir paredzēti nākotnes naudas plūsmu iegāde</w:t>
      </w:r>
      <w:r w:rsidR="002B2B9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A531F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965B5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– finanšu pakalpojumi)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energoefektivitātes pakalpojuma sniedzēj</w:t>
      </w:r>
      <w:r w:rsidR="008A531F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A0A6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, kas</w:t>
      </w:r>
      <w:r w:rsidR="0062135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F913717" w14:textId="474AC59C" w:rsidR="00562129" w:rsidRPr="00CF11CF" w:rsidRDefault="00621359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12</w:t>
      </w:r>
      <w:r w:rsidR="00172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A0A6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pakalpojumu</w:t>
      </w:r>
      <w:r w:rsidR="000B0F5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sniedzis</w:t>
      </w:r>
      <w:r w:rsidR="00FA0A6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</w:t>
      </w:r>
      <w:r w:rsidR="000B0F5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Republikas </w:t>
      </w:r>
      <w:r w:rsidR="00FA0A6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teritorijā</w:t>
      </w:r>
      <w:r w:rsidR="000B0F5C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par to ir noslēdzis energoefektivitātes pakalpojuma līgumu ar energoefektivitātes pakalpojuma saņēmēju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430E311" w14:textId="4E615F86" w:rsidR="00621359" w:rsidRPr="00CF11CF" w:rsidRDefault="00621359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12</w:t>
      </w:r>
      <w:r w:rsidR="00172E79" w:rsidRPr="00172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41104A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2. ir noslēdzis līgumu</w:t>
      </w:r>
      <w:r w:rsidR="004110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41104A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plānoto energoefektivitātes paaugstināšanas pasākumu kvalitāt</w:t>
      </w:r>
      <w:r w:rsidR="0041104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41104A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5A3C3E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saimnieciskās darbības veicēju, kas </w:t>
      </w:r>
      <w:r w:rsidR="008A531F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 finanšu pakalpojumu</w:t>
      </w:r>
      <w:r w:rsidR="005A3C3E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691043C" w14:textId="77777777" w:rsidR="006004E4" w:rsidRPr="00CF11CF" w:rsidRDefault="006004E4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562CD9" w14:textId="7D2E4B22" w:rsidR="001A2607" w:rsidRPr="00CF11CF" w:rsidRDefault="001A2607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13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Aizdevumus var piešķirt ne vairāk kā 2 000</w:t>
      </w:r>
      <w:r w:rsidR="004110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="004110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apmērā.</w:t>
      </w:r>
    </w:p>
    <w:p w14:paraId="362BC142" w14:textId="77777777" w:rsidR="001A2607" w:rsidRPr="00CF11CF" w:rsidRDefault="001A2607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AF45D9" w14:textId="06678818" w:rsidR="00FA0A64" w:rsidRPr="00CF11CF" w:rsidRDefault="00FA0A64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="001A2607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14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Aizdevumu sniedz šo noteikumu 7.2.</w:t>
      </w:r>
      <w:r w:rsidR="00D4734B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minētajiem saimnieciskās darbības veicējiem kā </w:t>
      </w:r>
      <w:r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atbalstu saskaņā ar Komisijas regulu Nr.</w:t>
      </w:r>
      <w:r w:rsidR="00E277F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1407/2013 un nepiešķir nozarēm un darbībām, kas noteiktas Komisijas regulas Nr.</w:t>
      </w:r>
      <w:r w:rsidR="00E277F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1407/2013 1.</w:t>
      </w:r>
      <w:r w:rsidR="001A2607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pantā.</w:t>
      </w:r>
    </w:p>
    <w:p w14:paraId="2C16E8A6" w14:textId="77777777" w:rsidR="003A5C98" w:rsidRPr="00CF11CF" w:rsidRDefault="003A5C98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E554EC" w14:textId="4682B221" w:rsidR="00200985" w:rsidRPr="00CF11CF" w:rsidRDefault="00200985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="001A2607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15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Lai saņemtu aizdevumu, saimnieciskās darbības veicējs iesniedz aizdevuma pieteikumu, kurā ietverts biznesa projekta apraksts, kā arī cita sabiedrības "Altum" norādītā informācija.</w:t>
      </w:r>
    </w:p>
    <w:p w14:paraId="22223129" w14:textId="77777777" w:rsidR="006004E4" w:rsidRPr="00CF11CF" w:rsidRDefault="006004E4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EE5397" w14:textId="28C13051" w:rsidR="00200985" w:rsidRPr="00CF11CF" w:rsidRDefault="00200985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="001A2607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16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 "Altum" pieņem lēmumu par aizdevuma piešķiršanu, pamatojoties uz saimnieciskās darbības veicēja iesniegtajiem šo noteikumu 30.</w:t>
      </w:r>
      <w:r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C3936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="001A2607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minētajiem dokumentiem, finansējot tikai tādas darbības, kuras sabiedrība "Altum" ir atzinusi par ekonomiski dzīvotspējīgām</w:t>
      </w:r>
      <w:r w:rsidR="00A536D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536D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536DF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abiedrība "Altum" 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izvērtē saimnieciskās darbības veicēja biznesa idejas potenciālu un ilgtspēju, </w:t>
      </w:r>
      <w:r w:rsidR="00E277F2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="008A531F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īstenošanai nepieciešamo līdzfinansējumu, nodrošinājuma pietiekamību un likviditāti, saimnieciskās darbības veicēja esošo un nākotnes finanšu situāciju, zināšanu un pieredzes atbilstību, kā arī analizē identificētos uzņēmējdarbības riskus un citus aizdevuma kvalitātes </w:t>
      </w:r>
      <w:r w:rsidR="00A536DF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faktorus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211BD">
        <w:rPr>
          <w:rFonts w:ascii="Times New Roman" w:eastAsia="Times New Roman" w:hAnsi="Times New Roman" w:cs="Times New Roman"/>
          <w:sz w:val="28"/>
          <w:szCs w:val="28"/>
          <w:lang w:eastAsia="lv-LV"/>
        </w:rPr>
        <w:t>lai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77F2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</w:t>
      </w:r>
      <w:r w:rsidR="004211BD">
        <w:rPr>
          <w:rFonts w:ascii="Times New Roman" w:eastAsia="Times New Roman" w:hAnsi="Times New Roman" w:cs="Times New Roman"/>
          <w:sz w:val="28"/>
          <w:szCs w:val="28"/>
          <w:lang w:eastAsia="lv-LV"/>
        </w:rPr>
        <w:t>tu</w:t>
      </w:r>
      <w:r w:rsidR="00E277F2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pamatot</w:t>
      </w:r>
      <w:r w:rsidR="00E277F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A531F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pakalpojuma 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līdzfinansējuma un nodrošinājuma koeficienta attiecīb</w:t>
      </w:r>
      <w:r w:rsidR="00E277F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C3DFE19" w14:textId="77777777" w:rsidR="00C12225" w:rsidRPr="00CF11CF" w:rsidRDefault="00C12225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7BED16" w14:textId="77777777" w:rsidR="0099754A" w:rsidRDefault="00CF206A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="001A2607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17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Saimnieciskās darbības veicēj</w:t>
      </w:r>
      <w:r w:rsidR="00A0731F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s nodrošina līdzfinansējumu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vismaz 10 % </w:t>
      </w:r>
      <w:r w:rsidR="00A0731F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apmērā 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8A531F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pakalpojuma 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izmaksām</w:t>
      </w:r>
      <w:r w:rsidR="00A0731F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izmantojot pašu līdzekļus vai ārējo </w:t>
      </w:r>
      <w:r w:rsidR="0099754A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</w:p>
    <w:p w14:paraId="1284B6FD" w14:textId="77777777" w:rsidR="0099754A" w:rsidRDefault="0099754A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46101C40" w14:textId="67430E33" w:rsidR="00CF206A" w:rsidRPr="00CF11CF" w:rsidRDefault="00A0731F" w:rsidP="0099754A">
      <w:pPr>
        <w:shd w:val="clear" w:color="auto" w:fill="FFFFFF"/>
        <w:spacing w:after="0" w:line="240" w:lineRule="auto"/>
        <w:ind w:right="-1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finansējumu, par ko nav saņemts nekāds publiskais atbalsts, tai skaitā </w:t>
      </w:r>
      <w:r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atbalsts</w:t>
      </w:r>
      <w:r w:rsidR="00CF206A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2398786" w14:textId="77777777" w:rsidR="00C12225" w:rsidRPr="00CF11CF" w:rsidRDefault="00C12225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831B97" w14:textId="0820CCC0" w:rsidR="00FA0A64" w:rsidRPr="00CF11CF" w:rsidRDefault="00562129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="001A2607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18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A0A6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Aizdevuma maksimālais termiņš ir 2</w:t>
      </w:r>
      <w:r w:rsidR="0050571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FA0A64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gadi.</w:t>
      </w:r>
    </w:p>
    <w:p w14:paraId="6E040C65" w14:textId="77777777" w:rsidR="00C12225" w:rsidRPr="00CF11CF" w:rsidRDefault="00C12225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3A2F5D" w14:textId="6CA3ED4F" w:rsidR="00621359" w:rsidRPr="00CF11CF" w:rsidRDefault="00621359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="001A2607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19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Aizdevumam var piemērot pamatsummas atmaksas atlikto termiņu. </w:t>
      </w:r>
    </w:p>
    <w:p w14:paraId="57005F92" w14:textId="71678886" w:rsidR="006004E4" w:rsidRPr="00CF11CF" w:rsidRDefault="006004E4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ED7431" w14:textId="3553E7D8" w:rsidR="00F436C2" w:rsidRPr="00CF11CF" w:rsidRDefault="00F436C2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="001A2607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20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70BF5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Aizdevuma pamatsummu sāk atmaksāt, ja pirms aizdevuma atmaksas termiņa beigām ir atlikusi ne mazāk kā viena ceturtdaļa no kopējā aizdevuma termiņa.</w:t>
      </w:r>
    </w:p>
    <w:p w14:paraId="5F9A9CEB" w14:textId="77777777" w:rsidR="00F436C2" w:rsidRPr="00CF11CF" w:rsidRDefault="00F436C2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54C9EC" w14:textId="71727FAE" w:rsidR="00FA0A64" w:rsidRPr="00CF11CF" w:rsidRDefault="00FA0A64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="00F436C2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1A2607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Aizdevums nepārsniedz 45 % no </w:t>
      </w:r>
      <w:r w:rsidR="008A531F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pakalpojuma 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izmaksām</w:t>
      </w:r>
      <w:r w:rsidR="00FB6A87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69EBDDA" w14:textId="77777777" w:rsidR="006004E4" w:rsidRPr="00CF11CF" w:rsidRDefault="006004E4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3EB2A0" w14:textId="15064759" w:rsidR="00C301A3" w:rsidRPr="00CF11CF" w:rsidRDefault="00C301A3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="00F436C2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1A2607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436C2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Piešķirot aizdevumu saimnieciskās darbības veicējam, </w:t>
      </w:r>
      <w:r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="004211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atbalsta kopējā summa viena vienota uzņēmuma līmenī nedrīkst pārsniegt Komisijas regulas Nr. </w:t>
      </w:r>
      <w:hyperlink r:id="rId8" w:tgtFrame="_blank" w:history="1">
        <w:r w:rsidRPr="00CF11C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1407/2013</w:t>
        </w:r>
      </w:hyperlink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 punktā noteikto apmēru.</w:t>
      </w:r>
      <w:r w:rsid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2505EE51" w14:textId="77777777" w:rsidR="00C301A3" w:rsidRPr="00CF11CF" w:rsidRDefault="00C301A3" w:rsidP="00CF11CF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A5822A" w14:textId="6B145262" w:rsidR="00C301A3" w:rsidRPr="00CF11CF" w:rsidRDefault="00EF07F3" w:rsidP="004211BD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</w:t>
      </w:r>
      <w:r w:rsidR="00CF56AB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301A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32.1.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1A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</w:t>
      </w:r>
      <w:r w:rsidR="00534717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58621271" w14:textId="456A6CBD" w:rsidR="00EF07F3" w:rsidRPr="00CF11CF" w:rsidRDefault="00EF07F3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DA79E3" w14:textId="6FC130D7" w:rsidR="00EF07F3" w:rsidRPr="00CF11CF" w:rsidRDefault="00CF11CF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32.1.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II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nodaļā, 21.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4211B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III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III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nodaļā, saimnieciskās darbības veicējs sabiedrībā "Altum" iesniedz informāciju par saimnieciskās darbības veicēja iepriekš saņemto </w:t>
      </w:r>
      <w:r w:rsidR="00EF07F3"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atbalstu, ievērojot normatīvos aktus par </w:t>
      </w:r>
      <w:r w:rsidR="00EF07F3"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uzskaites un piešķiršanas kārtību un </w:t>
      </w:r>
      <w:r w:rsidR="00EF07F3"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uzskaites veidlapu paraugiem</w:t>
      </w:r>
      <w:r w:rsidR="000E763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F5F75E8" w14:textId="0C3B3740" w:rsidR="00063343" w:rsidRPr="00CF11CF" w:rsidRDefault="00063343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B16085" w14:textId="27DC38F2" w:rsidR="00EF07F3" w:rsidRPr="00CF11CF" w:rsidRDefault="00EF07F3" w:rsidP="004211BD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37.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2FC2A516" w14:textId="4E0D5350" w:rsidR="00EF07F3" w:rsidRPr="00CF11CF" w:rsidRDefault="00EF07F3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41F1D6" w14:textId="6361AB1D" w:rsidR="00EF07F3" w:rsidRPr="00CF11CF" w:rsidRDefault="00CF11CF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37. </w:t>
      </w:r>
      <w:r w:rsidR="00F436C2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 "Altum" atbalsta uzskaiti veic saskaņā ar normatīvajiem aktiem par </w:t>
      </w:r>
      <w:r w:rsidR="00F436C2"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="00F436C2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uzskaites un piešķiršanas kārtību un </w:t>
      </w:r>
      <w:r w:rsidR="00F436C2" w:rsidRPr="00CF11C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 minimis</w:t>
      </w:r>
      <w:r w:rsidR="00F436C2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uzskaites veidlapu paraugiem. </w:t>
      </w:r>
      <w:r w:rsidR="00307D1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Viens vienots uzņēmums atbilst 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regulas Nr.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1407/2013 2.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DC3936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minētaj</w:t>
      </w:r>
      <w:r w:rsidR="004211BD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DC3936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4211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nosacījumiem</w:t>
      </w:r>
      <w:r w:rsidR="00EF07F3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1FF3BF5" w14:textId="77777777" w:rsidR="00EF07F3" w:rsidRPr="00CF11CF" w:rsidRDefault="00EF07F3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C3505D" w14:textId="2C99326F" w:rsidR="00063343" w:rsidRPr="00CF11CF" w:rsidRDefault="00063343" w:rsidP="004211BD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DC3936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V nodaļu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37.</w:t>
      </w:r>
      <w:r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865699B" w14:textId="7591456F" w:rsidR="00063343" w:rsidRPr="00CF11CF" w:rsidRDefault="00063343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21A344" w14:textId="28078CBB" w:rsidR="00063343" w:rsidRPr="00CF11CF" w:rsidRDefault="00CF11CF" w:rsidP="00CF11CF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A53B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37.</w:t>
      </w:r>
      <w:r w:rsidR="008A53B9" w:rsidRPr="00CF1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Ja iesniedzējs ir pārkāpis Komisijas regulas Nr.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1407/2013, Komisijas regulas Nr.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717/2014 vai Komisijas regulas Nr.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1408/2013 prasības, iesniedzējam ir pienākums atmaksāt atbalsta sniedzējam visu projekta ietvaros saņemto valsts atbalstu, kas piešķirts saskaņā ar attiecīgo regulu, kopā ar procentiem, </w:t>
      </w:r>
      <w:r w:rsidR="00DC3936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kuru likmi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publicē Eiropas Komisija saskaņā ar Komisijas 2004.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21.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aprīļa </w:t>
      </w:r>
      <w:r w:rsidR="00172E7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Regulas 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(EK) Nr. 794/2004, ar ko īsteno Padomes Regulu (ES) 2015/1589, ar ko nosaka sīki izstrādātus noteikumus Līguma par Eiropas Savienības darbību 108.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piemērošanai</w:t>
      </w:r>
      <w:r w:rsidR="000B7858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Komisijas regula Nr.794/2004)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, 10.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pantu, tiem pieskaitot 100 bāzes punktus, no dienas, kad valsts atbalsts tika izmaksāts finansējuma 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saņēmējam</w:t>
      </w:r>
      <w:r w:rsidR="004211B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tā atgūšanas dienai, ievērojot Komisijas regulas Nr.</w:t>
      </w:r>
      <w:r w:rsidR="004211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794/2004 11.</w:t>
      </w:r>
      <w:r w:rsidR="007209A9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569D" w:rsidRPr="00CF11CF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noteikto procentu likmes piemērošanas metodi.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22FE079C" w14:textId="79621C21" w:rsidR="006A619A" w:rsidRPr="00CF11CF" w:rsidRDefault="006A619A" w:rsidP="004211BD">
      <w:pPr>
        <w:spacing w:after="0" w:line="240" w:lineRule="auto"/>
        <w:ind w:right="-1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5.1"/>
      <w:bookmarkStart w:id="10" w:name="p-522434"/>
      <w:bookmarkStart w:id="11" w:name="p7"/>
      <w:bookmarkStart w:id="12" w:name="p-693779"/>
      <w:bookmarkStart w:id="13" w:name="p11"/>
      <w:bookmarkStart w:id="14" w:name="p-693784"/>
      <w:bookmarkStart w:id="15" w:name="n2"/>
      <w:bookmarkStart w:id="16" w:name="n-305446"/>
      <w:bookmarkStart w:id="17" w:name="p30.9"/>
      <w:bookmarkStart w:id="18" w:name="p-693809"/>
      <w:bookmarkStart w:id="19" w:name="n4"/>
      <w:bookmarkStart w:id="20" w:name="n-305466"/>
      <w:bookmarkStart w:id="21" w:name="p34"/>
      <w:bookmarkStart w:id="22" w:name="p-522512"/>
      <w:bookmarkStart w:id="23" w:name="n5"/>
      <w:bookmarkStart w:id="24" w:name="n-305473"/>
      <w:bookmarkStart w:id="25" w:name="n6"/>
      <w:bookmarkStart w:id="26" w:name="n-522532"/>
      <w:bookmarkStart w:id="27" w:name="p46"/>
      <w:bookmarkStart w:id="28" w:name="p-69381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43DE0E28" w14:textId="77777777" w:rsidR="00CF11CF" w:rsidRPr="00CF11CF" w:rsidRDefault="00CF11CF" w:rsidP="004211BD">
      <w:pPr>
        <w:spacing w:after="0" w:line="240" w:lineRule="auto"/>
        <w:ind w:right="-1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AF7848" w14:textId="77777777" w:rsidR="00B93252" w:rsidRPr="00CF11CF" w:rsidRDefault="00B93252" w:rsidP="004211BD">
      <w:pPr>
        <w:spacing w:after="0" w:line="240" w:lineRule="auto"/>
        <w:ind w:right="-1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E6EF27" w14:textId="77777777" w:rsidR="00487EE3" w:rsidRPr="00CF11CF" w:rsidRDefault="00487EE3" w:rsidP="004211B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29" w:name="_Hlk529965267"/>
      <w:r w:rsidRPr="00CF11CF">
        <w:rPr>
          <w:sz w:val="28"/>
          <w:szCs w:val="28"/>
        </w:rPr>
        <w:t>Ministru prezidents</w:t>
      </w:r>
      <w:r w:rsidRPr="00CF11CF">
        <w:rPr>
          <w:sz w:val="28"/>
          <w:szCs w:val="28"/>
        </w:rPr>
        <w:tab/>
        <w:t>A. K. Kariņš</w:t>
      </w:r>
    </w:p>
    <w:p w14:paraId="4F718D8C" w14:textId="77777777" w:rsidR="00487EE3" w:rsidRPr="00CF11CF" w:rsidRDefault="00487EE3" w:rsidP="004211B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25020BB" w14:textId="77777777" w:rsidR="00487EE3" w:rsidRPr="00CF11CF" w:rsidRDefault="00487EE3" w:rsidP="004211B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bookmarkEnd w:id="29"/>
    <w:p w14:paraId="67047CD9" w14:textId="77777777" w:rsidR="00487EE3" w:rsidRPr="00CF11CF" w:rsidRDefault="00487EE3" w:rsidP="004211BD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23685A5" w14:textId="77777777" w:rsidR="00487EE3" w:rsidRPr="00CF11CF" w:rsidRDefault="00487EE3" w:rsidP="004211B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CF11CF">
        <w:rPr>
          <w:rFonts w:ascii="Times New Roman" w:hAnsi="Times New Roman" w:cs="Times New Roman"/>
          <w:color w:val="auto"/>
          <w:sz w:val="28"/>
          <w:szCs w:val="28"/>
          <w:lang w:val="de-DE"/>
        </w:rPr>
        <w:t>Ekonomikas ministrs</w:t>
      </w:r>
      <w:r w:rsidRPr="00CF11CF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Vitenbergs</w:t>
      </w:r>
    </w:p>
    <w:sectPr w:rsidR="00487EE3" w:rsidRPr="00CF11CF" w:rsidSect="00CF11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70BA7" w14:textId="77777777" w:rsidR="00C1727B" w:rsidRDefault="00C1727B" w:rsidP="00BD0122">
      <w:pPr>
        <w:spacing w:after="0" w:line="240" w:lineRule="auto"/>
      </w:pPr>
      <w:r>
        <w:separator/>
      </w:r>
    </w:p>
  </w:endnote>
  <w:endnote w:type="continuationSeparator" w:id="0">
    <w:p w14:paraId="13666BC8" w14:textId="77777777" w:rsidR="00C1727B" w:rsidRDefault="00C1727B" w:rsidP="00BD0122">
      <w:pPr>
        <w:spacing w:after="0" w:line="240" w:lineRule="auto"/>
      </w:pPr>
      <w:r>
        <w:continuationSeparator/>
      </w:r>
    </w:p>
  </w:endnote>
  <w:endnote w:type="continuationNotice" w:id="1">
    <w:p w14:paraId="7AEE1B41" w14:textId="77777777" w:rsidR="00C1727B" w:rsidRDefault="00C17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A896" w14:textId="77777777" w:rsidR="00CF11CF" w:rsidRPr="00CF11CF" w:rsidRDefault="00CF11CF" w:rsidP="00CF11C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N0564_0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1F64" w14:textId="474AFEBF" w:rsidR="00CF11CF" w:rsidRPr="00CF11CF" w:rsidRDefault="00CF11C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N0564_0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348A" w14:textId="77777777" w:rsidR="00C1727B" w:rsidRDefault="00C1727B" w:rsidP="00BD0122">
      <w:pPr>
        <w:spacing w:after="0" w:line="240" w:lineRule="auto"/>
      </w:pPr>
      <w:r>
        <w:separator/>
      </w:r>
    </w:p>
  </w:footnote>
  <w:footnote w:type="continuationSeparator" w:id="0">
    <w:p w14:paraId="7F74A0AE" w14:textId="77777777" w:rsidR="00C1727B" w:rsidRDefault="00C1727B" w:rsidP="00BD0122">
      <w:pPr>
        <w:spacing w:after="0" w:line="240" w:lineRule="auto"/>
      </w:pPr>
      <w:r>
        <w:continuationSeparator/>
      </w:r>
    </w:p>
  </w:footnote>
  <w:footnote w:type="continuationNotice" w:id="1">
    <w:p w14:paraId="52FD2DCE" w14:textId="77777777" w:rsidR="00C1727B" w:rsidRDefault="00C172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339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412CDB" w14:textId="5ED36DAC" w:rsidR="000B7858" w:rsidRPr="00CF11CF" w:rsidRDefault="000B785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11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1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11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F11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1C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8172" w14:textId="60546024" w:rsidR="00CF11CF" w:rsidRDefault="00CF11CF">
    <w:pPr>
      <w:pStyle w:val="Header"/>
      <w:rPr>
        <w:rFonts w:ascii="Times New Roman" w:hAnsi="Times New Roman" w:cs="Times New Roman"/>
        <w:sz w:val="24"/>
        <w:szCs w:val="24"/>
      </w:rPr>
    </w:pPr>
  </w:p>
  <w:p w14:paraId="41BF68A2" w14:textId="77777777" w:rsidR="00CF11CF" w:rsidRDefault="00CF11CF">
    <w:pPr>
      <w:pStyle w:val="Header"/>
    </w:pPr>
    <w:r>
      <w:rPr>
        <w:noProof/>
      </w:rPr>
      <w:drawing>
        <wp:inline distT="0" distB="0" distL="0" distR="0" wp14:anchorId="671DE996" wp14:editId="01971E6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4B83"/>
    <w:multiLevelType w:val="hybridMultilevel"/>
    <w:tmpl w:val="0160228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E35D97"/>
    <w:multiLevelType w:val="hybridMultilevel"/>
    <w:tmpl w:val="7A72F2A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1E3128"/>
    <w:multiLevelType w:val="hybridMultilevel"/>
    <w:tmpl w:val="73923BFA"/>
    <w:lvl w:ilvl="0" w:tplc="D5A83E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22"/>
    <w:rsid w:val="0002726D"/>
    <w:rsid w:val="00041644"/>
    <w:rsid w:val="00051E7C"/>
    <w:rsid w:val="00063343"/>
    <w:rsid w:val="000A11DA"/>
    <w:rsid w:val="000A33CE"/>
    <w:rsid w:val="000B0F5C"/>
    <w:rsid w:val="000B7858"/>
    <w:rsid w:val="000D2CD2"/>
    <w:rsid w:val="000E763D"/>
    <w:rsid w:val="00140F3B"/>
    <w:rsid w:val="00144BA5"/>
    <w:rsid w:val="0017112A"/>
    <w:rsid w:val="00172E79"/>
    <w:rsid w:val="00177F25"/>
    <w:rsid w:val="001A2607"/>
    <w:rsid w:val="001A2904"/>
    <w:rsid w:val="001A68BF"/>
    <w:rsid w:val="001F6075"/>
    <w:rsid w:val="00200985"/>
    <w:rsid w:val="00224F27"/>
    <w:rsid w:val="0025799C"/>
    <w:rsid w:val="002B2B9F"/>
    <w:rsid w:val="003009D1"/>
    <w:rsid w:val="00307A10"/>
    <w:rsid w:val="00307D13"/>
    <w:rsid w:val="00315AE4"/>
    <w:rsid w:val="003248A4"/>
    <w:rsid w:val="00351EE4"/>
    <w:rsid w:val="00366DB4"/>
    <w:rsid w:val="00390B40"/>
    <w:rsid w:val="003A208E"/>
    <w:rsid w:val="003A28F3"/>
    <w:rsid w:val="003A5C98"/>
    <w:rsid w:val="003D23C5"/>
    <w:rsid w:val="004000CC"/>
    <w:rsid w:val="0041104A"/>
    <w:rsid w:val="00417B71"/>
    <w:rsid w:val="004211BD"/>
    <w:rsid w:val="00435467"/>
    <w:rsid w:val="0044569D"/>
    <w:rsid w:val="00482C01"/>
    <w:rsid w:val="00487EE3"/>
    <w:rsid w:val="0049104C"/>
    <w:rsid w:val="004A0081"/>
    <w:rsid w:val="004A2A6B"/>
    <w:rsid w:val="004A5335"/>
    <w:rsid w:val="004B6A4F"/>
    <w:rsid w:val="004E48E3"/>
    <w:rsid w:val="00505719"/>
    <w:rsid w:val="00510CF2"/>
    <w:rsid w:val="00534717"/>
    <w:rsid w:val="0053767C"/>
    <w:rsid w:val="00562129"/>
    <w:rsid w:val="00591E43"/>
    <w:rsid w:val="005A039B"/>
    <w:rsid w:val="005A3C3E"/>
    <w:rsid w:val="005B2344"/>
    <w:rsid w:val="005D1AC3"/>
    <w:rsid w:val="006004E4"/>
    <w:rsid w:val="0060443C"/>
    <w:rsid w:val="00613A62"/>
    <w:rsid w:val="00621359"/>
    <w:rsid w:val="006303FB"/>
    <w:rsid w:val="00653184"/>
    <w:rsid w:val="00670BF5"/>
    <w:rsid w:val="006A619A"/>
    <w:rsid w:val="006A7AB0"/>
    <w:rsid w:val="006B32F9"/>
    <w:rsid w:val="006D1018"/>
    <w:rsid w:val="007102C7"/>
    <w:rsid w:val="007209A9"/>
    <w:rsid w:val="00725C92"/>
    <w:rsid w:val="00765141"/>
    <w:rsid w:val="00782A53"/>
    <w:rsid w:val="007C206E"/>
    <w:rsid w:val="007C32BA"/>
    <w:rsid w:val="007C563A"/>
    <w:rsid w:val="007E0103"/>
    <w:rsid w:val="007F4911"/>
    <w:rsid w:val="008024BF"/>
    <w:rsid w:val="008859CA"/>
    <w:rsid w:val="008A531F"/>
    <w:rsid w:val="008A53B9"/>
    <w:rsid w:val="0090038E"/>
    <w:rsid w:val="00923F0D"/>
    <w:rsid w:val="00934945"/>
    <w:rsid w:val="009466A6"/>
    <w:rsid w:val="0099754A"/>
    <w:rsid w:val="009B1500"/>
    <w:rsid w:val="009C5033"/>
    <w:rsid w:val="009D30A1"/>
    <w:rsid w:val="009D3973"/>
    <w:rsid w:val="009F5BA4"/>
    <w:rsid w:val="009F5FA4"/>
    <w:rsid w:val="00A0731F"/>
    <w:rsid w:val="00A52FEE"/>
    <w:rsid w:val="00A536DF"/>
    <w:rsid w:val="00A66781"/>
    <w:rsid w:val="00A965B5"/>
    <w:rsid w:val="00AC2E53"/>
    <w:rsid w:val="00AF01CA"/>
    <w:rsid w:val="00AF3F03"/>
    <w:rsid w:val="00B4082C"/>
    <w:rsid w:val="00B51152"/>
    <w:rsid w:val="00B731C4"/>
    <w:rsid w:val="00B90C43"/>
    <w:rsid w:val="00B93252"/>
    <w:rsid w:val="00BB07DE"/>
    <w:rsid w:val="00BD0122"/>
    <w:rsid w:val="00C12225"/>
    <w:rsid w:val="00C15354"/>
    <w:rsid w:val="00C1727B"/>
    <w:rsid w:val="00C301A3"/>
    <w:rsid w:val="00C4733B"/>
    <w:rsid w:val="00CF11CF"/>
    <w:rsid w:val="00CF206A"/>
    <w:rsid w:val="00CF56AB"/>
    <w:rsid w:val="00D04762"/>
    <w:rsid w:val="00D177F0"/>
    <w:rsid w:val="00D20395"/>
    <w:rsid w:val="00D23387"/>
    <w:rsid w:val="00D46490"/>
    <w:rsid w:val="00D4734B"/>
    <w:rsid w:val="00D72AF2"/>
    <w:rsid w:val="00D869EE"/>
    <w:rsid w:val="00DB1A1C"/>
    <w:rsid w:val="00DC3936"/>
    <w:rsid w:val="00DD1693"/>
    <w:rsid w:val="00DD72F8"/>
    <w:rsid w:val="00E00A29"/>
    <w:rsid w:val="00E0281D"/>
    <w:rsid w:val="00E21603"/>
    <w:rsid w:val="00E277F2"/>
    <w:rsid w:val="00E505F8"/>
    <w:rsid w:val="00E9273A"/>
    <w:rsid w:val="00EA264C"/>
    <w:rsid w:val="00EC64D2"/>
    <w:rsid w:val="00ED27E4"/>
    <w:rsid w:val="00EF07F3"/>
    <w:rsid w:val="00EF2E10"/>
    <w:rsid w:val="00F207F1"/>
    <w:rsid w:val="00F24475"/>
    <w:rsid w:val="00F436C2"/>
    <w:rsid w:val="00F73AD3"/>
    <w:rsid w:val="00FA0A64"/>
    <w:rsid w:val="00FA341D"/>
    <w:rsid w:val="00FB4D42"/>
    <w:rsid w:val="00FB5489"/>
    <w:rsid w:val="00FB6A8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342766"/>
  <w15:chartTrackingRefBased/>
  <w15:docId w15:val="{46BB455C-6BB5-4B9F-97AC-2BA681C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D01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122"/>
    <w:rPr>
      <w:color w:val="800080"/>
      <w:u w:val="single"/>
    </w:rPr>
  </w:style>
  <w:style w:type="character" w:customStyle="1" w:styleId="labojumupamats1">
    <w:name w:val="labojumu_pamats1"/>
    <w:basedOn w:val="DefaultParagraphFont"/>
    <w:rsid w:val="00BD0122"/>
  </w:style>
  <w:style w:type="paragraph" w:customStyle="1" w:styleId="tv213">
    <w:name w:val="tv213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BD0122"/>
  </w:style>
  <w:style w:type="paragraph" w:styleId="Header">
    <w:name w:val="header"/>
    <w:basedOn w:val="Normal"/>
    <w:link w:val="HeaderChar"/>
    <w:uiPriority w:val="99"/>
    <w:unhideWhenUsed/>
    <w:rsid w:val="00BD0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22"/>
  </w:style>
  <w:style w:type="paragraph" w:styleId="Footer">
    <w:name w:val="footer"/>
    <w:basedOn w:val="Normal"/>
    <w:link w:val="FooterChar"/>
    <w:uiPriority w:val="99"/>
    <w:unhideWhenUsed/>
    <w:rsid w:val="00BD0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22"/>
  </w:style>
  <w:style w:type="paragraph" w:styleId="ListParagraph">
    <w:name w:val="List Paragraph"/>
    <w:basedOn w:val="Normal"/>
    <w:uiPriority w:val="34"/>
    <w:qFormat/>
    <w:rsid w:val="006A619A"/>
    <w:pPr>
      <w:ind w:left="720"/>
      <w:contextualSpacing/>
    </w:pPr>
  </w:style>
  <w:style w:type="paragraph" w:customStyle="1" w:styleId="naislab">
    <w:name w:val="naislab"/>
    <w:basedOn w:val="Normal"/>
    <w:rsid w:val="006A619A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6A619A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6A61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6A619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B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5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87EE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naisfChar">
    <w:name w:val="naisf Char"/>
    <w:link w:val="naisf"/>
    <w:locked/>
    <w:rsid w:val="00487EE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36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8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407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B81D-B10E-458C-93C2-AE64AA5F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5536</Words>
  <Characters>3157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EMNot_011019_MK1065</vt:lpstr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EMNot_011019_MK1065</dc:title>
  <dc:subject/>
  <dc:creator>Janis.Silins@em.gov.lv</dc:creator>
  <cp:keywords/>
  <dc:description>67013005, janis.silins@em.gov.lv</dc:description>
  <cp:lastModifiedBy>Linda Milenberga</cp:lastModifiedBy>
  <cp:revision>15</cp:revision>
  <cp:lastPrinted>2020-04-07T07:51:00Z</cp:lastPrinted>
  <dcterms:created xsi:type="dcterms:W3CDTF">2020-03-18T09:41:00Z</dcterms:created>
  <dcterms:modified xsi:type="dcterms:W3CDTF">2020-04-07T15:05:00Z</dcterms:modified>
</cp:coreProperties>
</file>