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26FD" w14:textId="77777777" w:rsidR="00B81A6B" w:rsidRDefault="004A311F" w:rsidP="0041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 xml:space="preserve">Likumprojekta </w:t>
      </w:r>
    </w:p>
    <w:p w14:paraId="720714E8" w14:textId="5F9FE0F0" w:rsidR="00894C55" w:rsidRPr="00A717D8" w:rsidRDefault="004A311F" w:rsidP="0041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>“</w:t>
      </w:r>
      <w:r w:rsidR="00157D44" w:rsidRPr="00A717D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>Grozījum</w:t>
      </w:r>
      <w:r w:rsidR="00A7052F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>i</w:t>
      </w:r>
      <w:r w:rsidR="00157D44" w:rsidRPr="00A717D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>l</w:t>
      </w:r>
      <w:r w:rsidR="003C2D6D" w:rsidRPr="00A717D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>ikum</w:t>
      </w:r>
      <w:r w:rsidR="00CD6561" w:rsidRPr="00A717D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>ā</w:t>
      </w:r>
      <w:r w:rsidR="003C2D6D" w:rsidRPr="00A717D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 xml:space="preserve"> </w:t>
      </w:r>
      <w:r w:rsidR="00B81A6B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>“</w:t>
      </w:r>
      <w:r w:rsidR="0007751B" w:rsidRPr="00A717D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>Par valsts apdraudējuma un tā seku novēršanas un pārvarēšanas pasākumiem sakarā ar Covid-19 izplatību”</w:t>
      </w:r>
      <w:r w:rsidR="00CD6561" w:rsidRPr="00A717D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>”</w:t>
      </w:r>
      <w:r w:rsidR="003C2D6D" w:rsidRPr="00A717D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 xml:space="preserve"> </w:t>
      </w:r>
      <w:r w:rsidR="00894C55" w:rsidRPr="00A717D8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>sākotnējās ietekmes novērtējuma ziņojums (anotācija)</w:t>
      </w:r>
    </w:p>
    <w:p w14:paraId="14B9F8D4" w14:textId="77777777" w:rsidR="00E5323B" w:rsidRPr="00A717D8" w:rsidRDefault="00E5323B" w:rsidP="004106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9"/>
        <w:gridCol w:w="5729"/>
      </w:tblGrid>
      <w:tr w:rsidR="00A717D8" w:rsidRPr="00A717D8" w14:paraId="2D360ED4" w14:textId="77777777" w:rsidTr="001524B5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B89E6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A717D8" w:rsidRPr="00A717D8" w14:paraId="5DDDEF18" w14:textId="77777777" w:rsidTr="001524B5">
        <w:trPr>
          <w:tblCellSpacing w:w="15" w:type="dxa"/>
        </w:trPr>
        <w:tc>
          <w:tcPr>
            <w:tcW w:w="19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39F6E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DAB78" w14:textId="676BE9DF" w:rsidR="00EB1958" w:rsidRDefault="00763DCC" w:rsidP="006B3DAA">
            <w:pPr>
              <w:pStyle w:val="ListParagraph"/>
              <w:spacing w:after="0" w:line="240" w:lineRule="auto"/>
              <w:ind w:left="4" w:firstLine="28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</w:pPr>
            <w:r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Ņemot vērā visā valsts teritorijā izsludinātās ārkārtējās situācijas (Ministru kabineta 2020.</w:t>
            </w:r>
            <w:r w:rsidR="00555E7B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 </w:t>
            </w:r>
            <w:r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gada 12.</w:t>
            </w:r>
            <w:r w:rsidR="00555E7B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 </w:t>
            </w:r>
            <w:r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marta rīkojums Nr. 103 “Par ārkārt</w:t>
            </w:r>
            <w:r w:rsidR="00B81A6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ējās</w:t>
            </w:r>
            <w:r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 situācijas izsludināšanu”) attīstību, kā arī ar to saistīto prognozējamo iespaidu uz valsts ekonomiku, likumprojekts paredz izdarīt grozījumu</w:t>
            </w:r>
            <w:r w:rsidR="00A705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s</w:t>
            </w:r>
            <w:r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 likumā </w:t>
            </w:r>
            <w:r w:rsidR="00B81A6B"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“</w:t>
            </w:r>
            <w:r w:rsidRPr="00A717D8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val="lv-LV" w:eastAsia="lv-LV"/>
              </w:rPr>
              <w:t>Par valsts apdraudējuma un tā seku novēršanas un pārvarēšanas pasākumiem sakarā ar Covid-19 izplatību”</w:t>
            </w:r>
            <w:r w:rsidRPr="00A717D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4"/>
                <w:lang w:val="lv-LV" w:eastAsia="lv-LV"/>
              </w:rPr>
              <w:t xml:space="preserve"> </w:t>
            </w:r>
            <w:r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(turpmāk – likumprojekts), kas paredz pasākumus pandēmijas seku pārvarēšanai, tajā ietverot papildu nodokļu pasākumus.</w:t>
            </w:r>
          </w:p>
          <w:p w14:paraId="7067EC37" w14:textId="1385426A" w:rsidR="00966659" w:rsidRPr="00A717D8" w:rsidRDefault="00B549BA" w:rsidP="006B3DAA">
            <w:pPr>
              <w:pStyle w:val="ListParagraph"/>
              <w:spacing w:after="0" w:line="240" w:lineRule="auto"/>
              <w:ind w:left="4" w:firstLine="283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Vienlaikus, likumprojekts tiek papildināts ar pantu, kas paredz</w:t>
            </w:r>
            <w:r w:rsidR="00ED442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, ka Ministru kabinets Latvijas Stabilitātes programmu 2020.-2023. gadam iesniedz Saeimai līdz š.g. 30.aprīlim. </w:t>
            </w:r>
            <w:r w:rsidR="0096665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Likumprojektā paredzēts, ka likums stāsies spēkā nākamajā dienā pēc izsludināšanas.</w:t>
            </w:r>
          </w:p>
        </w:tc>
      </w:tr>
    </w:tbl>
    <w:p w14:paraId="262A41F7" w14:textId="77777777" w:rsidR="00E5323B" w:rsidRPr="00A717D8" w:rsidRDefault="00E5323B" w:rsidP="0041069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r w:rsidRPr="00A717D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14:paraId="3E3156D4" w14:textId="77777777" w:rsidR="007A039E" w:rsidRPr="00A717D8" w:rsidRDefault="007A039E" w:rsidP="0041069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8"/>
        <w:gridCol w:w="2243"/>
        <w:gridCol w:w="6697"/>
      </w:tblGrid>
      <w:tr w:rsidR="00A717D8" w:rsidRPr="00A717D8" w14:paraId="05E645AA" w14:textId="77777777" w:rsidTr="001524B5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CE267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717D8" w:rsidRPr="00A717D8" w14:paraId="22745692" w14:textId="77777777" w:rsidTr="001524B5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B3FBB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8D2E2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EFBF2" w14:textId="77777777" w:rsidR="0056359C" w:rsidRPr="00A717D8" w:rsidRDefault="0056359C" w:rsidP="00A141A8">
            <w:pPr>
              <w:tabs>
                <w:tab w:val="left" w:pos="5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Finanšu ministrijas iniciatīva.</w:t>
            </w:r>
          </w:p>
        </w:tc>
      </w:tr>
      <w:tr w:rsidR="00A717D8" w:rsidRPr="00A717D8" w14:paraId="3D5EF3C0" w14:textId="77777777" w:rsidTr="001524B5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9E8D7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D67D16" w14:textId="77777777" w:rsidR="00EE364D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D898DEE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6D49B" w14:textId="61A168BE" w:rsidR="00E15A6B" w:rsidRPr="009A3DFB" w:rsidRDefault="00E15A6B" w:rsidP="009A3DFB">
            <w:pPr>
              <w:widowControl w:val="0"/>
              <w:spacing w:after="0" w:line="240" w:lineRule="auto"/>
              <w:ind w:firstLine="273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Ņemot vērā visā valsts teritorijā izsludināto ārkārtējo situāciju (</w:t>
            </w:r>
            <w:r w:rsidR="00966659"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Ministru kabineta 2020.</w:t>
            </w:r>
            <w:r w:rsidR="001A7B57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966659"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gada 12.</w:t>
            </w:r>
            <w:r w:rsidR="001A7B57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555E7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marta rīkojums Nr.</w:t>
            </w:r>
            <w:r w:rsidR="00555E7B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966659"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103 “Par ārkārtas situācijas izsludināšanu”</w:t>
            </w:r>
            <w:r w:rsidR="00966659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), </w:t>
            </w:r>
            <w:r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kā arī ar to saistīto prognozējamo iespaidu uz valsts ekonomiku, </w:t>
            </w:r>
            <w:r w:rsidR="00BB002D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likumprojekts </w:t>
            </w:r>
            <w:r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paredz </w:t>
            </w:r>
            <w:r w:rsidR="00BB002D"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papildu</w:t>
            </w:r>
            <w:r w:rsidR="00763DCC"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63DCC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nodokļu pasākumus</w:t>
            </w:r>
            <w:r w:rsidR="00BB002D"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7052F"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Covid</w:t>
            </w:r>
            <w:r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-19 seku pārvarēšanai</w:t>
            </w:r>
            <w:r w:rsidR="00B832E9"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63E6FC6C" w14:textId="77777777" w:rsidR="0062135D" w:rsidRPr="009A3DFB" w:rsidRDefault="0062135D" w:rsidP="009A3DFB">
            <w:pPr>
              <w:widowControl w:val="0"/>
              <w:spacing w:after="0" w:line="240" w:lineRule="auto"/>
              <w:ind w:firstLine="273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Neskaidrība par Covid-19 ietekmi uz tautsaimniecību ir ārkārtīgi liela</w:t>
            </w:r>
            <w:r w:rsidR="00B832E9"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un ietekme uz ekonomiku ir ļoti atkarīga no vīrusa izplatības ilguma, jo nav skaidrs</w:t>
            </w:r>
            <w:r w:rsidR="00B832E9"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cik ilgi un plaši tas turpinās izplatīties un kādi ierobežojošie pasākumi tiks ieviesti. </w:t>
            </w:r>
          </w:p>
          <w:p w14:paraId="2F6EAB54" w14:textId="77777777" w:rsidR="009B31DA" w:rsidRPr="009A3DFB" w:rsidRDefault="009B31DA" w:rsidP="009A3DFB">
            <w:pPr>
              <w:widowControl w:val="0"/>
              <w:spacing w:after="0" w:line="240" w:lineRule="auto"/>
              <w:ind w:firstLine="273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14C4588" w14:textId="2E5E4B93" w:rsidR="006B3DAA" w:rsidRDefault="00E15A6B" w:rsidP="00157D44">
            <w:pPr>
              <w:widowControl w:val="0"/>
              <w:spacing w:after="0" w:line="240" w:lineRule="auto"/>
              <w:ind w:firstLine="27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r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Likumprojekts paredz </w:t>
            </w:r>
            <w:r w:rsidR="009B31DA"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nodokļu pasākumu</w:t>
            </w:r>
            <w:r w:rsidR="004A311F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B3DAA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uzņēmumu ienākuma nodokļa </w:t>
            </w:r>
            <w:r w:rsidR="001F578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normu</w:t>
            </w:r>
            <w:r w:rsidR="009B31DA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57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piemērošanai ziedojumiem, lai  atvieglotu dažādu sociālo grupu un uzņēmumu, kas iesaistīti </w:t>
            </w:r>
            <w:r w:rsidR="00157D44"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COVID-19 seku pārvarēšan</w:t>
            </w:r>
            <w:r w:rsidR="00157D44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ā, ziedojumu piesaisti, ziedotājām neradot nodokļu slogu</w:t>
            </w:r>
            <w:r w:rsidR="009B31DA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A3DF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41850C" w14:textId="77777777" w:rsidR="00BD4EEE" w:rsidRDefault="00BD4EEE" w:rsidP="00157D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  <w:lang w:eastAsia="lv-LV"/>
              </w:rPr>
            </w:pPr>
          </w:p>
          <w:p w14:paraId="339A110D" w14:textId="1A5FAB18" w:rsidR="00D82621" w:rsidRPr="009A3DFB" w:rsidRDefault="00B81A6B" w:rsidP="009A3D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  <w:r w:rsidR="00A440AD" w:rsidRPr="009A3DF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Uzņēmumu ienākuma nodokļa režīms, veicot publiskas labdarības darbības </w:t>
            </w:r>
            <w:r w:rsidR="00C92B6B" w:rsidRPr="009A3DFB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u w:val="single"/>
                <w:lang w:eastAsia="lv-LV"/>
              </w:rPr>
              <w:t>(UIN)</w:t>
            </w:r>
          </w:p>
          <w:p w14:paraId="388CE495" w14:textId="57BCB393" w:rsidR="00960E05" w:rsidRPr="009A3DFB" w:rsidRDefault="00892283" w:rsidP="00BD4EEE">
            <w:pPr>
              <w:spacing w:after="0" w:line="240" w:lineRule="auto"/>
              <w:ind w:firstLine="3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Uzņēmumu ienākuma nodokļa likuma </w:t>
            </w:r>
            <w:r w:rsidR="005267D1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555E7B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5267D1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panta otrās daļas 2.</w:t>
            </w:r>
            <w:r w:rsidR="00555E7B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5267D1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punkts </w:t>
            </w:r>
            <w:r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nosaka, ka nodokļa maksātāja izdevumi, kas nav sai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ī</w:t>
            </w:r>
            <w:r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ti ar saim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</w:t>
            </w:r>
            <w:r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iecisko darbību ir ar uzņēmumu ienāk</w:t>
            </w:r>
            <w:r w:rsidR="00555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uma nodokli apliekams objekts. 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Ārkārt</w:t>
            </w:r>
            <w:r w:rsidR="00B81A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ējā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situācij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uzņēmumi iesaistās sociālā atbalsta sniegšanā noteiktām ārkārt</w:t>
            </w:r>
            <w:r w:rsidR="00B81A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ējās</w:t>
            </w:r>
            <w:r w:rsidR="00555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situācijas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ietekmētajām grupām (piemēram, datoru un citu viedierīču nodrošināšana skolām</w:t>
            </w:r>
            <w:r w:rsidR="00C92B6B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(skolniekiem, kam jānodrošina attālinātā apmācība)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dezinfekcijas līdzekļu nodošana medicīnas iestādēm, kafijas nodrošināšana mediķiem, pusdienu nodrošināšana medicīnas personālam). Uzņēmumiem, kas sniedz šādu atbalstu 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minētie izdevumi 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(izņemot, ja atbalsts tiek virzīts </w:t>
            </w:r>
            <w:r w:rsidR="00B81A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sabiedriskā labuma organizācijām 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vai valsts vai pašvaldības institūcij</w:t>
            </w:r>
            <w:r w:rsidR="00B81A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ām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ar ziedošanas līgumu) ir ar saimniecisko darbību nesaistīti izdevumi, kas palielina uzņēmumu apliekamo ienākumu. Lai neradītu papildu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 nodokļu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slogu uzņēmumiem, kas aktīvi snie</w:t>
            </w:r>
            <w:r w:rsidR="00A440AD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dz atbalstu ārkārt</w:t>
            </w:r>
            <w:r w:rsidR="00B81A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ējās</w:t>
            </w:r>
            <w:r w:rsidR="00A440AD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situācijas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ietekmētajām grupām,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tiek noteikts,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ka uzņēmumu publiska labdarība, kas sniegta kādam citam uzņēmumam (tālāk arī fiziskai personai) vai institūcijai, kas valsts interesēs 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nodrošina atbalstu 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noteikt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ām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sociāl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ām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grup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ām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ārkārt</w:t>
            </w:r>
            <w:r w:rsidR="00B81A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ējās</w:t>
            </w:r>
            <w:r w:rsidR="00555E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situācijā 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(neatkarīgi no uzņēmuma peļņas rādītājiem), tiek atzītas par uzņēmuma saimnieciskās darbības izmaksām.</w:t>
            </w:r>
          </w:p>
          <w:p w14:paraId="1029FF33" w14:textId="3C67D982" w:rsidR="00C92B6B" w:rsidRDefault="00A440AD" w:rsidP="00BD4EEE">
            <w:pPr>
              <w:pStyle w:val="ListParagraph"/>
              <w:spacing w:after="0" w:line="240" w:lineRule="auto"/>
              <w:ind w:left="0" w:firstLine="3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Norma nosaka, ka ar uzņēmumu ienākuma nodokli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apliekamajā bāzē </w:t>
            </w:r>
            <w:r w:rsidR="00892283" w:rsidRPr="009A3DFB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laikposmā no dienas, kad izsludināta ārkārt</w:t>
            </w:r>
            <w:r w:rsidR="00B81A6B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ējās</w:t>
            </w:r>
            <w:r w:rsidR="00892283" w:rsidRPr="009A3DFB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 situācij</w:t>
            </w:r>
            <w:r w:rsidR="0018297F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a</w:t>
            </w:r>
            <w:r w:rsidR="00892283" w:rsidRPr="009A3DFB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 saistībā a</w:t>
            </w:r>
            <w:r w:rsidR="00555E7B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r COVID-19 izplatību līdz 2020.</w:t>
            </w:r>
            <w:r w:rsidR="00555E7B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 </w:t>
            </w:r>
            <w:r w:rsidR="00892283" w:rsidRPr="009A3DFB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gada 31.</w:t>
            </w:r>
            <w:r w:rsidR="00555E7B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 </w:t>
            </w:r>
            <w:r w:rsidR="00892283" w:rsidRPr="009A3DFB"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decembrim</w:t>
            </w:r>
            <w:r w:rsidR="00892283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neiekļauj izdevumus (dāvinājumus), k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o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veic 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uzņēmumi, kas iesaistās sociālā atbalsta sniegšanā noteiktām ārkārt</w:t>
            </w:r>
            <w:r w:rsidR="0018297F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ējās</w:t>
            </w:r>
            <w:r w:rsidR="00555E7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situācijas 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ietekmētajām grupām</w:t>
            </w:r>
            <w:r w:rsidR="00CA5683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vai uzņēmumiem vai biedrībām, kas nodarbojas noteiktās jomās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, ja sabiedrībai </w:t>
            </w:r>
            <w:r w:rsidR="00E27539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ir </w:t>
            </w:r>
            <w:r w:rsidR="00750088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publisk</w:t>
            </w:r>
            <w:r w:rsidR="00B81A6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i</w:t>
            </w:r>
            <w:r w:rsidR="00892283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darīts zināms </w:t>
            </w:r>
            <w:r w:rsidR="009A3DFB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(piemēram, informācija par atbalstu izskanējusi publiskās radio vai televīzijas pārraidēs, izvietota uzņēmuma interneta māja lapā) </w:t>
            </w:r>
            <w:r w:rsidR="00892283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atbalsta modelis</w:t>
            </w:r>
            <w:r w:rsidR="009A3DFB" w:rsidRPr="009A3DF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un </w:t>
            </w:r>
            <w:r w:rsidR="00C92B6B" w:rsidRPr="009A3DFB">
              <w:rPr>
                <w:rFonts w:ascii="Times New Roman" w:eastAsiaTheme="minorHAnsi" w:hAnsi="Times New Roman"/>
                <w:sz w:val="24"/>
                <w:szCs w:val="24"/>
                <w:lang w:val="lv-LV"/>
              </w:rPr>
              <w:t>dāvinājuma saņēmējs nav ar nodokļu maksātāju saistīta persona</w:t>
            </w:r>
            <w:r w:rsidR="009A3DFB" w:rsidRPr="009A3DFB">
              <w:rPr>
                <w:rFonts w:ascii="Times New Roman" w:eastAsiaTheme="minorHAnsi" w:hAnsi="Times New Roman"/>
                <w:sz w:val="24"/>
                <w:szCs w:val="24"/>
                <w:lang w:val="lv-LV"/>
              </w:rPr>
              <w:t xml:space="preserve"> un </w:t>
            </w:r>
            <w:r w:rsidR="00C92B6B" w:rsidRPr="00C92B6B">
              <w:rPr>
                <w:rFonts w:ascii="Times New Roman" w:eastAsiaTheme="minorHAnsi" w:hAnsi="Times New Roman"/>
                <w:sz w:val="24"/>
                <w:szCs w:val="24"/>
                <w:lang w:val="lv-LV"/>
              </w:rPr>
              <w:t>informācija par dāvinājuma saņēmēju un atbalsta summu tiek iesniegta Valsts ieņēmumu dienestā kopā ar pārskata gada pēdējā mēneša deklarāciju</w:t>
            </w:r>
            <w:r w:rsidR="00C550E4">
              <w:rPr>
                <w:rFonts w:ascii="Times New Roman" w:eastAsiaTheme="minorHAnsi" w:hAnsi="Times New Roman"/>
                <w:sz w:val="24"/>
                <w:szCs w:val="24"/>
                <w:lang w:val="lv-LV"/>
              </w:rPr>
              <w:t>.</w:t>
            </w:r>
            <w:r w:rsidR="00383E13" w:rsidRPr="00383E13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Piemērojot uzņēmumu ienākuma nodokļa normas ar </w:t>
            </w:r>
            <w:r w:rsidR="00555E7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ārkārtējās situācijas </w:t>
            </w:r>
            <w:r w:rsidR="00383E13" w:rsidRPr="00383E13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ietekmētajām grupām saprot noteiktas </w:t>
            </w:r>
            <w:r w:rsidR="00AA1E9E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iedzīvotāju </w:t>
            </w:r>
            <w:r w:rsidR="00383E13" w:rsidRPr="00383E13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grupas, kuras nodokļu </w:t>
            </w:r>
            <w:r w:rsidR="00555E7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maksātājs ekonomiski pamatojot </w:t>
            </w:r>
            <w:r w:rsidR="00383E13" w:rsidRPr="00383E13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ir nolēmis atbalstīt un, k</w:t>
            </w:r>
            <w:r w:rsidR="00AA1E9E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urām</w:t>
            </w:r>
            <w:r w:rsidR="00555E7B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383E13" w:rsidRPr="00383E13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krīzes situācijā </w:t>
            </w:r>
            <w:r w:rsidR="00AA1E9E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sniegtais atbalsts </w:t>
            </w:r>
            <w:r w:rsidR="00383E13" w:rsidRPr="00383E13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ir valstiski nozīmīgs, piemēram, atbalsts medicīnas darbiniekiem, skolēniem, pensionāriem u.tml. Tomēr minētais n</w:t>
            </w:r>
            <w:r w:rsidR="00AA1E9E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eietver </w:t>
            </w:r>
            <w:r w:rsidR="00383E13" w:rsidRPr="00383E13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atbalsta sniegšanu paša nodokļu maksātāja darbiniekiem.</w:t>
            </w:r>
          </w:p>
          <w:p w14:paraId="6914714B" w14:textId="59460D8A" w:rsidR="00255C8B" w:rsidRPr="00255C8B" w:rsidRDefault="00255C8B" w:rsidP="00255C8B">
            <w:pPr>
              <w:pStyle w:val="ListParagraph"/>
              <w:spacing w:after="0" w:line="240" w:lineRule="auto"/>
              <w:ind w:left="0" w:firstLine="3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lv-LV"/>
              </w:rPr>
            </w:pPr>
            <w:r w:rsidRPr="00255C8B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lv-LV"/>
              </w:rPr>
              <w:t>Par Stabilitātes programmu</w:t>
            </w:r>
          </w:p>
          <w:p w14:paraId="71D050F9" w14:textId="1A2ED330" w:rsidR="00BD2B88" w:rsidRDefault="00BD2B88" w:rsidP="00C413AC">
            <w:pPr>
              <w:pStyle w:val="ListParagraph"/>
              <w:spacing w:after="0" w:line="240" w:lineRule="auto"/>
              <w:ind w:left="0" w:firstLine="3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Saskaņā ar Likuma p</w:t>
            </w:r>
            <w:r w:rsidRPr="00E10D51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ar budžetu un finanšu vadību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(turpmāk - LBFV)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28. pantā noteikto, katru gadu līdz 15. aprīlim Ministru kabinets iesniedz Saeimai Latvijas Stabilitātes programmu, kas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attiecīgi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pēc tam tiek iesniegta Eiropas Ko</w:t>
            </w:r>
            <w:bookmarkStart w:id="0" w:name="_GoBack"/>
            <w:bookmarkEnd w:id="0"/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misijā. Šis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dokuments tiek izstrādāts uz Finanšu ministrijas 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sagatavotā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makroekonomiskā scenārija pamata, kurš savukārt </w:t>
            </w:r>
            <w:r w:rsidR="002F7FDF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gadskārtēji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tiek 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izstrādāts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februāra vidū. </w:t>
            </w:r>
          </w:p>
          <w:p w14:paraId="600B96BB" w14:textId="0E3E7CEE" w:rsidR="00BD2B88" w:rsidRDefault="00BD2B88" w:rsidP="00C413AC">
            <w:pPr>
              <w:pStyle w:val="ListParagraph"/>
              <w:spacing w:after="0" w:line="240" w:lineRule="auto"/>
              <w:ind w:left="0" w:firstLine="38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Ņemot vērā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to, ka turpmākās ekonomiskā situācijas vērtējums</w:t>
            </w:r>
            <w:r w:rsidR="00436C17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par 2020. gadu un turpmākajiem gadiem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kopš februāra vidus ir būtiski koriģējies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dēļ </w:t>
            </w:r>
            <w:r w:rsidR="00A7052F" w:rsidRPr="00BD2B88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Covid</w:t>
            </w:r>
            <w:r w:rsidR="00A7052F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-</w:t>
            </w:r>
            <w:r w:rsidRPr="00BD2B88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19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krīzes, Finanšu ministrija Stabilitātes programmas</w:t>
            </w:r>
            <w:r w:rsidR="002F7FDF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2020.-2023. gadam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sagatavošanas vajadzībām ir nolēmusi atjaunot makroekonomiskās attīstības scenāriju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, kas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secīgi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ietver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arī fiskāl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ā scenārija pārskatīšanu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. Tas savukārt ne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ļauj </w:t>
            </w:r>
            <w:r w:rsidR="00A7052F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iekļauties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LBFV 28.pantā noteikt</w:t>
            </w:r>
            <w:r w:rsidR="00A7052F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ajā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 xml:space="preserve"> termiņ</w:t>
            </w:r>
            <w:r w:rsidR="00A7052F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ā</w:t>
            </w:r>
            <w:r w:rsidR="00C413AC">
              <w:rPr>
                <w:rFonts w:ascii="Times New Roman" w:hAnsi="Times New Roman"/>
                <w:color w:val="000000" w:themeColor="text1"/>
                <w:sz w:val="24"/>
                <w:szCs w:val="24"/>
                <w:lang w:val="lv-LV"/>
              </w:rPr>
              <w:t>.</w:t>
            </w:r>
          </w:p>
          <w:p w14:paraId="057A3C10" w14:textId="36F4DA74" w:rsidR="00115649" w:rsidRPr="002F7FDF" w:rsidRDefault="00C413AC" w:rsidP="002F7F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Tādējādi likumprojekts tiek papildināts ar </w:t>
            </w:r>
            <w:r w:rsidR="00E10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normu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kas</w:t>
            </w:r>
            <w:r w:rsidR="00E10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attiec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īgi</w:t>
            </w:r>
            <w:r w:rsidR="00E10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pagarin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  <w:r w:rsidR="00E10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LBFV</w:t>
            </w:r>
            <w:r w:rsidR="00E10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28. pant</w:t>
            </w:r>
            <w:r w:rsidR="00436C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ā noteikto</w:t>
            </w:r>
            <w:r w:rsidR="00E10D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termiņ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no 15. aprīļa uz 30. apr</w:t>
            </w:r>
            <w:r w:rsidR="00436C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īli specifiski Latvijas Stabilitātes programmas 2020.-2023. gadam sagatavošanai un iesniegšanai. </w:t>
            </w:r>
          </w:p>
        </w:tc>
      </w:tr>
      <w:tr w:rsidR="00A717D8" w:rsidRPr="00A717D8" w14:paraId="26966412" w14:textId="77777777" w:rsidTr="001524B5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9E097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A0AE0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FFD55" w14:textId="77777777" w:rsidR="00E5323B" w:rsidRPr="00A717D8" w:rsidRDefault="00960E05" w:rsidP="006B3DAA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Finanšu ministrija, </w:t>
            </w:r>
            <w:r w:rsidR="00FF2612"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Valsts ieņēmumu dienests.</w:t>
            </w:r>
          </w:p>
        </w:tc>
      </w:tr>
      <w:tr w:rsidR="00A717D8" w:rsidRPr="00A717D8" w14:paraId="33BF2CC2" w14:textId="77777777" w:rsidTr="001524B5">
        <w:trPr>
          <w:tblCellSpacing w:w="15" w:type="dxa"/>
        </w:trPr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9D73C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30AB0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DDF5F" w14:textId="77777777" w:rsidR="00E5323B" w:rsidRPr="00A717D8" w:rsidRDefault="003C2D6D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824E1DF" w14:textId="77777777" w:rsidR="00E5323B" w:rsidRPr="00A717D8" w:rsidRDefault="00E5323B" w:rsidP="0041069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r w:rsidRPr="00A717D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8"/>
        <w:gridCol w:w="3048"/>
        <w:gridCol w:w="5722"/>
      </w:tblGrid>
      <w:tr w:rsidR="00A717D8" w:rsidRPr="00A717D8" w14:paraId="181A2EE1" w14:textId="77777777" w:rsidTr="001524B5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A0838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717D8" w:rsidRPr="00A717D8" w14:paraId="442EB503" w14:textId="77777777" w:rsidTr="001524B5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51BBF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63617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782B58" w14:textId="30F1E3FE" w:rsidR="009A3DFB" w:rsidRDefault="001F578D" w:rsidP="00A038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9A3DF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  <w:r w:rsidR="00BD4EE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9A3DF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Uzņēmumu ienākuma nodokļa maksātāji</w:t>
            </w:r>
          </w:p>
          <w:p w14:paraId="5B42165F" w14:textId="77777777" w:rsidR="0062135D" w:rsidRDefault="001F578D" w:rsidP="00CA568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  <w:r w:rsidR="009A3DF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) Sociālās grupas, kuras skārusi ārkārt</w:t>
            </w:r>
            <w:r w:rsidR="0018297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ējā</w:t>
            </w:r>
            <w:r w:rsidR="009A3DF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situācija – dāvinājuma saņēmēji</w:t>
            </w:r>
            <w:r w:rsidR="00BD4EEE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24C8BE06" w14:textId="43F62959" w:rsidR="00CA5683" w:rsidRPr="00A717D8" w:rsidRDefault="00CA5683" w:rsidP="007D706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3)</w:t>
            </w:r>
            <w:r w:rsidRPr="00CA568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uzņēmumi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CA5683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biedrības un nodibinājumi, </w:t>
            </w:r>
            <w:r w:rsidRPr="00CA56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 xml:space="preserve">kuru pamatdarbība ir medicīnas pakalpojumu sniegšana, izglītības nodrošināšana, labdarība, palīdzība sociāli maznodrošinātajiem, </w:t>
            </w:r>
            <w:r w:rsidR="007D706C" w:rsidRPr="007D706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 xml:space="preserve">personām ar invaliditāti </w:t>
            </w:r>
            <w:r w:rsidRPr="00CA568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vai bērniem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A717D8" w:rsidRPr="00A717D8" w14:paraId="7CC1758F" w14:textId="77777777" w:rsidTr="001524B5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2FCD8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AD29E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10317" w14:textId="55DBBBCD" w:rsidR="00786CFF" w:rsidRPr="00555E7B" w:rsidRDefault="00304056" w:rsidP="00555E7B">
            <w:pPr>
              <w:pStyle w:val="ListParagraph"/>
              <w:widowControl w:val="0"/>
              <w:spacing w:after="0" w:line="240" w:lineRule="auto"/>
              <w:ind w:left="0" w:hanging="14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</w:pPr>
            <w:r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>Likumprojektā ietvertajam tiesiskajam regulējumam</w:t>
            </w:r>
            <w:r w:rsidR="00786CFF"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>,</w:t>
            </w:r>
            <w:r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  <w:r w:rsidR="00786CFF"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 xml:space="preserve">nosakot </w:t>
            </w:r>
            <w:r w:rsidR="00786CFF"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papildu nodokļu pasākumu </w:t>
            </w:r>
            <w:r w:rsidR="0018297F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>ārkārtējās</w:t>
            </w:r>
            <w:r w:rsidR="0018297F"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786CFF" w:rsidRPr="00A717D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lv-LV"/>
              </w:rPr>
              <w:t xml:space="preserve">situācijas radīto seku mazināšanai, </w:t>
            </w:r>
            <w:r w:rsidR="00750088"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>uz</w:t>
            </w:r>
            <w:r w:rsidR="008049F6"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>ņ</w:t>
            </w:r>
            <w:r w:rsidR="00750088"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>ēmum</w:t>
            </w:r>
            <w:r w:rsidR="008049F6"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>u ienākuma nodokļa maksātāji</w:t>
            </w:r>
            <w:r w:rsidR="009A3DFB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>e</w:t>
            </w:r>
            <w:r w:rsidR="008049F6"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>m</w:t>
            </w:r>
            <w:r w:rsidR="00786CFF"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  <w:r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>būs pozit</w:t>
            </w:r>
            <w:r w:rsidR="008049F6"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val="lv-LV" w:eastAsia="lv-LV"/>
              </w:rPr>
              <w:t xml:space="preserve">īva ietekme un tas neradīs papildus </w:t>
            </w:r>
            <w:r w:rsidR="008049F6"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 xml:space="preserve">administratīvo slogu. </w:t>
            </w:r>
          </w:p>
          <w:p w14:paraId="7FD07FBD" w14:textId="77777777" w:rsidR="00A038F6" w:rsidRPr="00A717D8" w:rsidRDefault="00A038F6" w:rsidP="008049F6">
            <w:pPr>
              <w:pStyle w:val="ListParagraph"/>
              <w:widowControl w:val="0"/>
              <w:spacing w:after="0" w:line="240" w:lineRule="auto"/>
              <w:ind w:left="0" w:hanging="14"/>
              <w:jc w:val="both"/>
              <w:rPr>
                <w:color w:val="000000" w:themeColor="text1"/>
                <w:lang w:val="lv-LV" w:eastAsia="lv-LV"/>
              </w:rPr>
            </w:pPr>
          </w:p>
        </w:tc>
      </w:tr>
      <w:tr w:rsidR="00A717D8" w:rsidRPr="00A717D8" w14:paraId="09E0CFBF" w14:textId="77777777" w:rsidTr="001524B5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7F18D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A78C7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839DE" w14:textId="77777777" w:rsidR="00E5323B" w:rsidRPr="00A717D8" w:rsidRDefault="008B3EF6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A717D8" w:rsidRPr="00A717D8" w14:paraId="40AE324D" w14:textId="77777777" w:rsidTr="001524B5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E7A8D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0347C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A5AE7" w14:textId="77777777" w:rsidR="00E5323B" w:rsidRPr="00A717D8" w:rsidRDefault="008B3EF6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A717D8" w:rsidRPr="00A717D8" w14:paraId="3E343C04" w14:textId="77777777" w:rsidTr="001524B5">
        <w:trPr>
          <w:tblCellSpacing w:w="15" w:type="dxa"/>
        </w:trPr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C7A67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0B7BB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55395" w14:textId="77777777" w:rsidR="00E5323B" w:rsidRPr="00A717D8" w:rsidRDefault="008B3EF6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74EF4AD4" w14:textId="77777777" w:rsidR="00640A6C" w:rsidRPr="00A717D8" w:rsidRDefault="00E5323B" w:rsidP="0041069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r w:rsidRPr="00A717D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>   </w:t>
      </w: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7"/>
        <w:gridCol w:w="984"/>
        <w:gridCol w:w="1067"/>
        <w:gridCol w:w="935"/>
        <w:gridCol w:w="1295"/>
        <w:gridCol w:w="850"/>
        <w:gridCol w:w="1134"/>
        <w:gridCol w:w="1276"/>
      </w:tblGrid>
      <w:tr w:rsidR="00A717D8" w:rsidRPr="00A717D8" w14:paraId="4DB850EC" w14:textId="77777777" w:rsidTr="00A27908">
        <w:trPr>
          <w:tblCellSpacing w:w="15" w:type="dxa"/>
        </w:trPr>
        <w:tc>
          <w:tcPr>
            <w:tcW w:w="928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69E01" w14:textId="77777777" w:rsidR="008470CA" w:rsidRPr="00A717D8" w:rsidRDefault="008470CA" w:rsidP="00410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A717D8" w:rsidRPr="00A717D8" w14:paraId="2B0FBE5C" w14:textId="77777777" w:rsidTr="00A27908">
        <w:trPr>
          <w:tblCellSpacing w:w="15" w:type="dxa"/>
        </w:trPr>
        <w:tc>
          <w:tcPr>
            <w:tcW w:w="17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54F4B" w14:textId="77777777" w:rsidR="008470CA" w:rsidRPr="00A717D8" w:rsidRDefault="008470CA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202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BFB6C0" w14:textId="77777777" w:rsidR="008470CA" w:rsidRPr="00A717D8" w:rsidRDefault="0007751B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2020</w:t>
            </w:r>
          </w:p>
        </w:tc>
        <w:tc>
          <w:tcPr>
            <w:tcW w:w="54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2E107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Turpmākie trīs gadi (</w:t>
            </w:r>
            <w:r w:rsidRPr="00A717D8">
              <w:rPr>
                <w:rFonts w:ascii="Times New Roman" w:eastAsia="Times New Roman" w:hAnsi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</w:tr>
      <w:tr w:rsidR="00A717D8" w:rsidRPr="00A717D8" w14:paraId="6C981753" w14:textId="77777777" w:rsidTr="00A27908">
        <w:trPr>
          <w:tblCellSpacing w:w="15" w:type="dxa"/>
        </w:trPr>
        <w:tc>
          <w:tcPr>
            <w:tcW w:w="1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0689CB" w14:textId="77777777" w:rsidR="008470CA" w:rsidRPr="00A717D8" w:rsidRDefault="008470CA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02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0F755" w14:textId="77777777" w:rsidR="008470CA" w:rsidRPr="00A717D8" w:rsidRDefault="008470CA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D2F67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07751B"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04CBF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07751B"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D1C6A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202</w:t>
            </w:r>
            <w:r w:rsidR="0007751B"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</w:tr>
      <w:tr w:rsidR="00A717D8" w:rsidRPr="00A717D8" w14:paraId="55BE6C8C" w14:textId="77777777" w:rsidTr="001524B5">
        <w:trPr>
          <w:tblCellSpacing w:w="15" w:type="dxa"/>
        </w:trPr>
        <w:tc>
          <w:tcPr>
            <w:tcW w:w="17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3BF12" w14:textId="77777777" w:rsidR="008470CA" w:rsidRPr="00A717D8" w:rsidRDefault="008470CA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C903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D7020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3552B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7086B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izmaiņas, salīdzinot ar vidēja termiņa budžeta ietvaru 202</w:t>
            </w:r>
            <w:r w:rsidR="0062159E"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ADABF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69E1D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izmaiņas, salīdzinot ar vidēja termiņa budžeta ietvaru 202</w:t>
            </w:r>
            <w:r w:rsidR="0062159E"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. gadam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C9860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izmaiņas, salīdzinot ar vidēja termiņa budžeta ietvaru 202</w:t>
            </w:r>
            <w:r w:rsidR="0062159E"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. gadam</w:t>
            </w:r>
          </w:p>
        </w:tc>
      </w:tr>
      <w:tr w:rsidR="00A717D8" w:rsidRPr="00A717D8" w14:paraId="71572D1E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71041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3579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B5513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B85F5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3EC97F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4B72C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B3E900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E92EB" w14:textId="77777777" w:rsidR="008470CA" w:rsidRPr="00A717D8" w:rsidRDefault="008470CA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8</w:t>
            </w:r>
          </w:p>
        </w:tc>
      </w:tr>
      <w:tr w:rsidR="00B275F3" w:rsidRPr="00A717D8" w14:paraId="5A52D139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6AB988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C63F4" w14:textId="5F0830D8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387C6" w14:textId="2B855B6C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2C5B6B" w14:textId="4673FDFE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BC0352" w14:textId="3FC820FC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D831F1" w14:textId="3417CA6E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0932A" w14:textId="7B4F9001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A76F7" w14:textId="6166A9A5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21CD503B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15C56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026E9" w14:textId="6A081F8A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D1800D" w14:textId="51349E0D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A5089" w14:textId="1E6773FF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05B22" w14:textId="19410221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94E623" w14:textId="624A8138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DD529" w14:textId="083F8EC8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F756E4" w14:textId="2669A8F1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22543F21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BB462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40258" w14:textId="3D342E8F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AD5A4" w14:textId="73C93809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2CF2B" w14:textId="4C036D31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26F40" w14:textId="7A9FDF19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2C0CB" w14:textId="1DF50D94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3AFDB8" w14:textId="4C0A75F0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244ABF" w14:textId="73E4F703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36B07541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6A23F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8AF96B" w14:textId="3E75F8DB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8F4FFF" w14:textId="6B939FD2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CA01D" w14:textId="26A4967E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972E09" w14:textId="6D5145A1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CDE8C5" w14:textId="49580E28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7B976" w14:textId="45463DA9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2D348" w14:textId="65AE6382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668ABD1D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2172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02DC4B" w14:textId="388DEA63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CA06D6" w14:textId="50E4DA38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4EE33" w14:textId="36AF179C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E2E5AE" w14:textId="3470933A" w:rsidR="00B275F3" w:rsidRDefault="00B275F3" w:rsidP="00B275F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92252B" w14:textId="1B2CC086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8BE1B" w14:textId="777C4AF0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9209B1" w14:textId="0646CB6E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2AB8CDC8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FE70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F0705" w14:textId="6E5A250D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D403C" w14:textId="6FE5436B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5E331" w14:textId="5B8D8B8D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9746A" w14:textId="1A9B1045" w:rsidR="00B275F3" w:rsidRDefault="00B275F3" w:rsidP="00B275F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73FE63" w14:textId="2CC83574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30623" w14:textId="73B8AC92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F5551" w14:textId="2970D8BA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6801E382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B44D4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4C4452" w14:textId="00E32F33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5C652" w14:textId="70AB588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F60B08" w14:textId="040D324B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22A8A" w14:textId="3AD23C1B" w:rsidR="00B275F3" w:rsidRDefault="00B275F3" w:rsidP="00B275F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F6DB0E" w14:textId="17DE2A6F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3E89A4" w14:textId="685B1FB6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3459A" w14:textId="468A831F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290AC2C8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E5C4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86D7D" w14:textId="6A7603DC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D33B9" w14:textId="3D0D42FE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5F57C" w14:textId="02FEB7BF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74F24" w14:textId="09420250" w:rsidR="00B275F3" w:rsidRDefault="00B275F3" w:rsidP="00B275F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401A6" w14:textId="1978BFFC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F04945" w14:textId="22EEA68C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37C198" w14:textId="71E6B512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79325C19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2EFA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19E8C4" w14:textId="0E988E05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366AB" w14:textId="799E51E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868231" w14:textId="59686764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D6400" w14:textId="38C95FD5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321170" w14:textId="41FABC56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D3F3CA" w14:textId="71C87754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C811F" w14:textId="5BBF56A1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2B221738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4231F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40F70" w14:textId="6F1129FF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9117DA" w14:textId="0D6A3A34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4CC9B5" w14:textId="38745812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2F17B" w14:textId="1EFFAD3B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6D587" w14:textId="545DAC21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A475B" w14:textId="50D4249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02116" w14:textId="2B3FC05D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584CE0DD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18B18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20A0F" w14:textId="3366D21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8C256" w14:textId="4E68C9B2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40B66" w14:textId="3D354111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61DB3" w14:textId="15D6164D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E271A" w14:textId="2D998B0C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7F10CD" w14:textId="79F2EA4D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441CC" w14:textId="417D088C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2E4BCA44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B54A4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AD459" w14:textId="2CDD7DA2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119B9" w14:textId="7B0D2E8F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849B4F" w14:textId="3AE7988E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71304" w14:textId="2C2F487C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18141" w14:textId="6EA311C0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87DBE" w14:textId="1AD2C79A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BCC7D9" w14:textId="6FD28B15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7BAEC09C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B64E7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AAF5C" w14:textId="43EB69E4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63429" w14:textId="6D05189A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BFDA2" w14:textId="12F2412E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E098A" w14:textId="1389BD63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0DD3C" w14:textId="1778CFD3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40210" w14:textId="21B9A9FC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013A8" w14:textId="20B10029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2D378D6B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2023CB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9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0A1E27" w14:textId="16F0AFAF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39E4E" w14:textId="064230BE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4CCB89" w14:textId="2B1082AD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91F43" w14:textId="35B9C6D2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A114AC" w14:textId="1C1D5DC9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x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2E154" w14:textId="7C84FB48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B1AFF" w14:textId="3275C488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0</w:t>
            </w:r>
          </w:p>
        </w:tc>
      </w:tr>
      <w:tr w:rsidR="00B275F3" w:rsidRPr="00A717D8" w14:paraId="4ADD075C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9011C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EC74B2" w14:textId="7777777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45D596" w14:textId="2E38968A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1FBE53" w14:textId="7777777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54007" w14:textId="68099BFE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6507E" w14:textId="7777777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AC6AB" w14:textId="7CA3E163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4603E" w14:textId="4CABC22A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42587879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03049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F92E86" w14:textId="7777777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A8186" w14:textId="0739780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7F063" w14:textId="7777777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DBF6F" w14:textId="18976845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5EB61" w14:textId="7777777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3AAD9" w14:textId="0FD54B71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E3308" w14:textId="398AE9E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0</w:t>
            </w:r>
          </w:p>
        </w:tc>
      </w:tr>
      <w:tr w:rsidR="00B275F3" w:rsidRPr="00A717D8" w14:paraId="5E0623E3" w14:textId="77777777" w:rsidTr="001524B5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28722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9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D700A2" w14:textId="7777777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404C86" w14:textId="17A42D1F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9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C48C51" w14:textId="7777777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7DEE2" w14:textId="5BF12DF8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8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3E6DAE" w14:textId="77777777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25D10" w14:textId="3B828190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0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91923" w14:textId="6607188B" w:rsidR="00B275F3" w:rsidRPr="00A717D8" w:rsidRDefault="00B275F3" w:rsidP="00B27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0</w:t>
            </w:r>
          </w:p>
        </w:tc>
      </w:tr>
      <w:tr w:rsidR="00B275F3" w:rsidRPr="00A717D8" w14:paraId="07EB6ED0" w14:textId="77777777" w:rsidTr="001E7D84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BA2F1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7496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4B288" w14:textId="0DF1CC52" w:rsidR="00B275F3" w:rsidRDefault="00B275F3" w:rsidP="00B27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41">
              <w:rPr>
                <w:rFonts w:ascii="Times New Roman" w:hAnsi="Times New Roman"/>
                <w:sz w:val="24"/>
                <w:szCs w:val="24"/>
              </w:rPr>
              <w:t xml:space="preserve">Attiecībā uz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šādām </w:t>
            </w:r>
            <w:r w:rsidRPr="00EC6641">
              <w:rPr>
                <w:rFonts w:ascii="Times New Roman" w:hAnsi="Times New Roman"/>
                <w:sz w:val="24"/>
                <w:szCs w:val="24"/>
              </w:rPr>
              <w:t>izmaiņām UIN regulējumā fiskālā ietekme nav nosakāma, jo nav prognozējams labdarības darbību apmērs. Tāpat minētā norma nesamazinās UIN ieņēmumus, jo minētās pozīcijas paredzēts neiekļaut ar UIN apliekamajā ienākumā.</w:t>
            </w:r>
          </w:p>
          <w:p w14:paraId="103827A7" w14:textId="1BF366EC" w:rsidR="00B275F3" w:rsidRPr="00EC6641" w:rsidRDefault="00B275F3" w:rsidP="00B275F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Stabilitātes programmas 2020.-2023. gadam iesniegšanas termiņa pagarināšana nerada fiskālo ietekmi.</w:t>
            </w:r>
          </w:p>
          <w:p w14:paraId="2CC20730" w14:textId="77777777" w:rsidR="00B275F3" w:rsidRPr="00EC6641" w:rsidRDefault="00B275F3" w:rsidP="00B2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  <w:p w14:paraId="2A9A98FA" w14:textId="77777777" w:rsidR="00B275F3" w:rsidRPr="00EC6641" w:rsidRDefault="00B275F3" w:rsidP="00B2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275F3" w:rsidRPr="00A717D8" w14:paraId="1DFDD8F3" w14:textId="77777777" w:rsidTr="00A27908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6D9AE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7496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9EA4A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275F3" w:rsidRPr="00A717D8" w14:paraId="1DB2BB77" w14:textId="77777777" w:rsidTr="00A27908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A15E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7496" w:type="dxa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36ABD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B275F3" w:rsidRPr="00A717D8" w14:paraId="1110D755" w14:textId="77777777" w:rsidTr="00A27908">
        <w:trPr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E7FCC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74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099E75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Nav attiecināms.</w:t>
            </w:r>
          </w:p>
        </w:tc>
      </w:tr>
      <w:tr w:rsidR="00B275F3" w:rsidRPr="00A717D8" w14:paraId="1C2C8DE0" w14:textId="77777777" w:rsidTr="00CA5683">
        <w:trPr>
          <w:trHeight w:val="567"/>
          <w:tblCellSpacing w:w="15" w:type="dxa"/>
        </w:trPr>
        <w:tc>
          <w:tcPr>
            <w:tcW w:w="1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18FC6" w14:textId="77777777" w:rsidR="00B275F3" w:rsidRPr="00A717D8" w:rsidRDefault="00B275F3" w:rsidP="00B275F3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74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958C19" w14:textId="77777777" w:rsidR="00B275F3" w:rsidRPr="00CA5683" w:rsidRDefault="00B275F3" w:rsidP="00B275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</w:pPr>
            <w:r w:rsidRPr="00CA5683">
              <w:rPr>
                <w:rFonts w:ascii="Times New Roman" w:eastAsia="Times New Roman" w:hAnsi="Times New Roman"/>
                <w:color w:val="000000" w:themeColor="text1"/>
                <w:sz w:val="24"/>
                <w:szCs w:val="28"/>
                <w:lang w:eastAsia="lv-LV"/>
              </w:rPr>
              <w:t>Nav.</w:t>
            </w:r>
          </w:p>
        </w:tc>
      </w:tr>
    </w:tbl>
    <w:p w14:paraId="744B8856" w14:textId="77777777" w:rsidR="00640A6C" w:rsidRPr="00A717D8" w:rsidRDefault="00640A6C" w:rsidP="0041069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A717D8" w:rsidRPr="00A717D8" w14:paraId="065B5F1E" w14:textId="77777777" w:rsidTr="001524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89CFC" w14:textId="77777777" w:rsidR="00123503" w:rsidRPr="00A717D8" w:rsidRDefault="00123503" w:rsidP="00410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18297F" w:rsidRPr="00A717D8" w14:paraId="03E6C251" w14:textId="77777777" w:rsidTr="001524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EC5788" w14:textId="4803E16F" w:rsidR="0018297F" w:rsidRPr="00A717D8" w:rsidRDefault="0018297F" w:rsidP="0018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7A3516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62701FF5" w14:textId="77777777" w:rsidR="0062159E" w:rsidRPr="00A717D8" w:rsidRDefault="0062159E" w:rsidP="0041069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16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A717D8" w:rsidRPr="00A717D8" w14:paraId="0B76A041" w14:textId="77777777" w:rsidTr="001524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6E11C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717D8" w:rsidRPr="00A717D8" w14:paraId="3B1BA9B4" w14:textId="77777777" w:rsidTr="001524B5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E901E" w14:textId="77777777" w:rsidR="003C2D6D" w:rsidRPr="00A717D8" w:rsidRDefault="003C2D6D" w:rsidP="004106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Cs/>
                <w:iCs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</w:tbl>
    <w:p w14:paraId="2F4A2EA4" w14:textId="77777777" w:rsidR="00E5323B" w:rsidRPr="00A717D8" w:rsidRDefault="00E5323B" w:rsidP="0041069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r w:rsidRPr="00A717D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 xml:space="preserve">    </w:t>
      </w:r>
    </w:p>
    <w:p w14:paraId="4BEC11A9" w14:textId="77777777" w:rsidR="003338F4" w:rsidRPr="00A717D8" w:rsidRDefault="003338F4" w:rsidP="0041069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5527"/>
      </w:tblGrid>
      <w:tr w:rsidR="00A717D8" w:rsidRPr="00A717D8" w14:paraId="350752CD" w14:textId="77777777" w:rsidTr="001524B5">
        <w:trPr>
          <w:tblCellSpacing w:w="15" w:type="dxa"/>
        </w:trPr>
        <w:tc>
          <w:tcPr>
            <w:tcW w:w="91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E5032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A717D8" w:rsidRPr="00A717D8" w14:paraId="2AC6D731" w14:textId="77777777" w:rsidTr="001524B5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0044A2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55E39A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96263" w14:textId="77777777" w:rsidR="00C64610" w:rsidRPr="00A717D8" w:rsidRDefault="00D35A82" w:rsidP="00410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Ņemot vērā visā valsts teritorijā izsludināto ārkārtējo situāciju un tās prognozējamo ietekmi uz valsts ekonomiku,</w:t>
            </w:r>
            <w:r w:rsidR="006F4A80"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minētā jautājuma risinājums </w:t>
            </w:r>
            <w:r w:rsidR="006F4A80"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atliekams.</w:t>
            </w:r>
          </w:p>
          <w:p w14:paraId="2B1048D5" w14:textId="77777777" w:rsidR="007868EE" w:rsidRPr="00A717D8" w:rsidRDefault="007868EE" w:rsidP="00112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 xml:space="preserve">Sabiedrība pēc normatīvā akta pieņemšanas tiks informēta ar publikāciju oficiālajā izdevumā „Latvijas Vēstnesis”, kā arī ievietojot to bezmaksas normatīvo aktu datu bāzē </w:t>
            </w:r>
            <w:hyperlink r:id="rId8" w:history="1">
              <w:r w:rsidRPr="00A717D8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szCs w:val="24"/>
                  <w:lang w:eastAsia="x-none"/>
                </w:rPr>
                <w:t>www.likumi.lv</w:t>
              </w:r>
            </w:hyperlink>
            <w:r w:rsidR="00D853A4" w:rsidRPr="00A717D8">
              <w:rPr>
                <w:rStyle w:val="Hyperlink"/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.</w:t>
            </w:r>
          </w:p>
        </w:tc>
      </w:tr>
      <w:tr w:rsidR="00A717D8" w:rsidRPr="00A717D8" w14:paraId="7C762AEE" w14:textId="77777777" w:rsidTr="001524B5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A350A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1189FD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E78214" w14:textId="275CC4C8" w:rsidR="000C7606" w:rsidRPr="00A717D8" w:rsidRDefault="00961A9A" w:rsidP="00410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Likumprojekts izstrādāts</w:t>
            </w:r>
            <w:r w:rsidR="0018297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izvērtējot nodokļu maksātāju un to organizāciju iesniegumus.</w:t>
            </w:r>
          </w:p>
        </w:tc>
      </w:tr>
      <w:tr w:rsidR="00A717D8" w:rsidRPr="00A717D8" w14:paraId="64A8062C" w14:textId="77777777" w:rsidTr="001524B5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9DB6E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3E53F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BE9D5F" w14:textId="214DC40E" w:rsidR="00E5323B" w:rsidRPr="00A717D8" w:rsidRDefault="0018297F" w:rsidP="004106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7A351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Likumprojekts izstrādāts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7A351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izvērtējot nodokļu maksātāju un to organizāciju iesniegumus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A717D8" w:rsidRPr="00A717D8" w14:paraId="47587131" w14:textId="77777777" w:rsidTr="001524B5">
        <w:trPr>
          <w:tblCellSpacing w:w="15" w:type="dxa"/>
        </w:trPr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1BCD3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B5A146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8E43A" w14:textId="77777777" w:rsidR="00E5323B" w:rsidRPr="00A717D8" w:rsidRDefault="008B3EF6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26FB42C3" w14:textId="77777777" w:rsidR="00433B0A" w:rsidRPr="00A717D8" w:rsidRDefault="00E5323B" w:rsidP="00410692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r w:rsidRPr="00A717D8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8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7"/>
        <w:gridCol w:w="3048"/>
        <w:gridCol w:w="5580"/>
      </w:tblGrid>
      <w:tr w:rsidR="00A717D8" w:rsidRPr="00A717D8" w14:paraId="0FD48FA1" w14:textId="77777777" w:rsidTr="001524B5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D0424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A717D8" w:rsidRPr="00A717D8" w14:paraId="4B41F380" w14:textId="77777777" w:rsidTr="001524B5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6CFF4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4B3E1" w14:textId="77777777" w:rsidR="00E5323B" w:rsidRPr="00A717D8" w:rsidRDefault="00E5323B" w:rsidP="00DD1EE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AED5" w14:textId="7AD6F4DA" w:rsidR="007868EE" w:rsidRPr="00CA5683" w:rsidRDefault="003B4729" w:rsidP="007D706C">
            <w:pPr>
              <w:spacing w:line="240" w:lineRule="auto"/>
              <w:jc w:val="both"/>
              <w:rPr>
                <w:rFonts w:ascii="Times New Roman" w:eastAsia="Times New Roman" w:hAnsi="Times New Roman"/>
                <w:iCs/>
                <w:color w:val="000000" w:themeColor="text1"/>
                <w:sz w:val="24"/>
                <w:lang w:eastAsia="lv-LV"/>
              </w:rPr>
            </w:pPr>
            <w:r w:rsidRPr="00A717D8">
              <w:rPr>
                <w:rFonts w:ascii="Times New Roman" w:hAnsi="Times New Roman"/>
                <w:color w:val="000000" w:themeColor="text1"/>
                <w:sz w:val="24"/>
              </w:rPr>
              <w:t>Finanšu ministrija</w:t>
            </w:r>
            <w:r w:rsidR="007D706C">
              <w:rPr>
                <w:rFonts w:ascii="Times New Roman" w:hAnsi="Times New Roman"/>
                <w:color w:val="000000" w:themeColor="text1"/>
                <w:sz w:val="24"/>
              </w:rPr>
              <w:t xml:space="preserve"> un </w:t>
            </w:r>
            <w:r w:rsidRPr="00A717D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3C2D6D" w:rsidRPr="00A717D8">
              <w:rPr>
                <w:rFonts w:ascii="Times New Roman" w:hAnsi="Times New Roman"/>
                <w:iCs/>
                <w:color w:val="000000" w:themeColor="text1"/>
                <w:sz w:val="24"/>
              </w:rPr>
              <w:t xml:space="preserve">Valsts ieņēmumu </w:t>
            </w:r>
            <w:r w:rsidR="00896C7C" w:rsidRPr="00A717D8">
              <w:rPr>
                <w:rFonts w:ascii="Times New Roman" w:hAnsi="Times New Roman"/>
                <w:iCs/>
                <w:color w:val="000000" w:themeColor="text1"/>
                <w:sz w:val="24"/>
              </w:rPr>
              <w:t>dienests</w:t>
            </w:r>
          </w:p>
        </w:tc>
      </w:tr>
      <w:tr w:rsidR="00A717D8" w:rsidRPr="00A717D8" w14:paraId="4020C0CE" w14:textId="77777777" w:rsidTr="001524B5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75256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E891B" w14:textId="77777777" w:rsidR="00E5323B" w:rsidRPr="00A717D8" w:rsidRDefault="00E5323B" w:rsidP="00DD1EE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E9ECF" w14:textId="0373AD7B" w:rsidR="003C2D6D" w:rsidRPr="00A717D8" w:rsidRDefault="003C2D6D" w:rsidP="00DD1EE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17D8">
              <w:rPr>
                <w:rFonts w:ascii="Times New Roman" w:hAnsi="Times New Roman"/>
                <w:color w:val="000000" w:themeColor="text1"/>
                <w:sz w:val="24"/>
              </w:rPr>
              <w:t xml:space="preserve">Pārvaldes funkcijas </w:t>
            </w:r>
            <w:r w:rsidR="001829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 institucionālā struktūra</w:t>
            </w:r>
            <w:r w:rsidR="0018297F" w:rsidRPr="00A717D8" w:rsidDel="0018297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A717D8">
              <w:rPr>
                <w:rFonts w:ascii="Times New Roman" w:hAnsi="Times New Roman"/>
                <w:color w:val="000000" w:themeColor="text1"/>
                <w:sz w:val="24"/>
              </w:rPr>
              <w:t>netiek grozīt</w:t>
            </w:r>
            <w:r w:rsidR="0018297F">
              <w:rPr>
                <w:rFonts w:ascii="Times New Roman" w:hAnsi="Times New Roman"/>
                <w:color w:val="000000" w:themeColor="text1"/>
                <w:sz w:val="24"/>
              </w:rPr>
              <w:t>a</w:t>
            </w:r>
            <w:r w:rsidRPr="00A717D8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14:paraId="358F4869" w14:textId="7763EFBF" w:rsidR="003C2D6D" w:rsidRDefault="003C2D6D" w:rsidP="00DD1EE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17D8">
              <w:rPr>
                <w:rFonts w:ascii="Times New Roman" w:hAnsi="Times New Roman"/>
                <w:color w:val="000000" w:themeColor="text1"/>
                <w:sz w:val="24"/>
              </w:rPr>
              <w:t>Jaunas institūcijas nav nepieciešams izveidot, kā arī nav paredzēta esošo institūciju likvidācija vai reorganizācija.</w:t>
            </w:r>
          </w:p>
          <w:p w14:paraId="54D9BC7C" w14:textId="752D7A1D" w:rsidR="00E5323B" w:rsidRPr="00CA5683" w:rsidRDefault="0018297F" w:rsidP="00DD1EE6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7A3516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izpilde tiks nodrošināta esošo cilvēkresursu ietvaros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A717D8" w14:paraId="47C0AD2C" w14:textId="77777777" w:rsidTr="001524B5">
        <w:trPr>
          <w:tblCellSpacing w:w="15" w:type="dxa"/>
        </w:trPr>
        <w:tc>
          <w:tcPr>
            <w:tcW w:w="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17DEC" w14:textId="77777777" w:rsidR="00655F2C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88D78" w14:textId="77777777" w:rsidR="00E5323B" w:rsidRPr="00A717D8" w:rsidRDefault="00E5323B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7FA0D" w14:textId="77777777" w:rsidR="00E5323B" w:rsidRPr="00A717D8" w:rsidRDefault="003C2D6D" w:rsidP="0041069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A717D8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5C052C4" w14:textId="77777777" w:rsidR="00C25B49" w:rsidRPr="00A717D8" w:rsidRDefault="00C25B49" w:rsidP="0041069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E34049D" w14:textId="77777777" w:rsidR="00E5323B" w:rsidRPr="00A717D8" w:rsidRDefault="00E5323B" w:rsidP="00410692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CA1EBF4" w14:textId="77777777" w:rsidR="006A432E" w:rsidRPr="00A717D8" w:rsidRDefault="00171D5B" w:rsidP="00410692">
      <w:pPr>
        <w:tabs>
          <w:tab w:val="left" w:pos="6237"/>
        </w:tabs>
        <w:spacing w:after="0" w:line="240" w:lineRule="auto"/>
        <w:ind w:firstLine="720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lv-LV"/>
        </w:rPr>
      </w:pPr>
      <w:r w:rsidRPr="00A717D8">
        <w:rPr>
          <w:rFonts w:ascii="Times New Roman" w:hAnsi="Times New Roman"/>
          <w:color w:val="000000" w:themeColor="text1"/>
          <w:sz w:val="28"/>
          <w:szCs w:val="28"/>
        </w:rPr>
        <w:t>Finanšu ministrs</w:t>
      </w:r>
      <w:r w:rsidR="00894C55" w:rsidRPr="00A717D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717D8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717D8">
        <w:rPr>
          <w:rFonts w:ascii="Times New Roman" w:hAnsi="Times New Roman"/>
          <w:color w:val="000000" w:themeColor="text1"/>
          <w:sz w:val="28"/>
          <w:szCs w:val="28"/>
        </w:rPr>
        <w:tab/>
        <w:t>J.Reirs</w:t>
      </w:r>
    </w:p>
    <w:p w14:paraId="5AE5BF4A" w14:textId="77777777" w:rsidR="006A432E" w:rsidRPr="00A717D8" w:rsidRDefault="006A432E" w:rsidP="0041069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8"/>
        </w:rPr>
      </w:pPr>
    </w:p>
    <w:p w14:paraId="3AE856F2" w14:textId="77777777" w:rsidR="00007501" w:rsidRPr="00A717D8" w:rsidRDefault="00007501" w:rsidP="0041069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color w:val="000000" w:themeColor="text1"/>
          <w:sz w:val="24"/>
          <w:szCs w:val="28"/>
        </w:rPr>
      </w:pPr>
    </w:p>
    <w:p w14:paraId="7E5C4C50" w14:textId="77777777" w:rsidR="006A432E" w:rsidRPr="00A717D8" w:rsidRDefault="006A432E" w:rsidP="0041069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</w:p>
    <w:p w14:paraId="35E8A76D" w14:textId="77777777" w:rsidR="006A432E" w:rsidRPr="00A717D8" w:rsidRDefault="006A432E" w:rsidP="0041069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</w:p>
    <w:p w14:paraId="396BDEEF" w14:textId="77777777" w:rsidR="00896C7C" w:rsidRPr="00A717D8" w:rsidRDefault="00896C7C" w:rsidP="0041069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r w:rsidRPr="00A717D8">
        <w:rPr>
          <w:rFonts w:ascii="Times New Roman" w:hAnsi="Times New Roman"/>
          <w:color w:val="000000" w:themeColor="text1"/>
          <w:sz w:val="20"/>
          <w:szCs w:val="20"/>
        </w:rPr>
        <w:t>Mačivka</w:t>
      </w:r>
      <w:r w:rsidR="006A432E" w:rsidRPr="00A717D8">
        <w:rPr>
          <w:rFonts w:ascii="Times New Roman" w:hAnsi="Times New Roman"/>
          <w:color w:val="000000" w:themeColor="text1"/>
          <w:sz w:val="20"/>
          <w:szCs w:val="20"/>
        </w:rPr>
        <w:t xml:space="preserve"> 67095</w:t>
      </w:r>
      <w:r w:rsidRPr="00A717D8">
        <w:rPr>
          <w:rFonts w:ascii="Times New Roman" w:hAnsi="Times New Roman"/>
          <w:color w:val="000000" w:themeColor="text1"/>
          <w:sz w:val="20"/>
          <w:szCs w:val="20"/>
        </w:rPr>
        <w:t>630</w:t>
      </w:r>
    </w:p>
    <w:p w14:paraId="7A544499" w14:textId="77777777" w:rsidR="006A432E" w:rsidRPr="00A717D8" w:rsidRDefault="0058498B" w:rsidP="0041069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  <w:hyperlink r:id="rId9" w:history="1">
        <w:r w:rsidR="00045B5B" w:rsidRPr="000F6CCE">
          <w:rPr>
            <w:rStyle w:val="Hyperlink"/>
            <w:rFonts w:ascii="Times New Roman" w:hAnsi="Times New Roman"/>
            <w:sz w:val="20"/>
            <w:szCs w:val="20"/>
          </w:rPr>
          <w:t>Sandra.Macivka@fm.gov.lv</w:t>
        </w:r>
      </w:hyperlink>
      <w:r w:rsidR="00045B5B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14:paraId="0DD89041" w14:textId="77777777" w:rsidR="006A432E" w:rsidRPr="00A717D8" w:rsidRDefault="006A432E" w:rsidP="00410692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/>
          <w:color w:val="000000" w:themeColor="text1"/>
          <w:sz w:val="20"/>
          <w:szCs w:val="20"/>
        </w:rPr>
      </w:pPr>
    </w:p>
    <w:p w14:paraId="102ACFA0" w14:textId="788D5037" w:rsidR="006C44B5" w:rsidRPr="00A717D8" w:rsidRDefault="006C44B5" w:rsidP="00410692">
      <w:pPr>
        <w:tabs>
          <w:tab w:val="left" w:pos="6237"/>
        </w:tabs>
        <w:spacing w:after="0" w:line="240" w:lineRule="auto"/>
        <w:ind w:firstLine="720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sectPr w:rsidR="006C44B5" w:rsidRPr="00A717D8" w:rsidSect="009A265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1926A" w14:textId="77777777" w:rsidR="008A4C57" w:rsidRDefault="008A4C57" w:rsidP="00894C55">
      <w:pPr>
        <w:spacing w:after="0" w:line="240" w:lineRule="auto"/>
      </w:pPr>
      <w:r>
        <w:separator/>
      </w:r>
    </w:p>
  </w:endnote>
  <w:endnote w:type="continuationSeparator" w:id="0">
    <w:p w14:paraId="5682E332" w14:textId="77777777" w:rsidR="008A4C57" w:rsidRDefault="008A4C57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D162" w14:textId="2C1D1196" w:rsidR="006A432E" w:rsidRPr="00FD122A" w:rsidRDefault="006A432E" w:rsidP="00FD122A">
    <w:pPr>
      <w:pStyle w:val="Foo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FILENAME   \* MERGEFORMAT </w:instrText>
    </w:r>
    <w:r>
      <w:rPr>
        <w:rFonts w:ascii="Times New Roman" w:hAnsi="Times New Roman"/>
        <w:sz w:val="20"/>
        <w:szCs w:val="20"/>
      </w:rPr>
      <w:fldChar w:fldCharType="separate"/>
    </w:r>
    <w:r w:rsidR="00A7052F">
      <w:rPr>
        <w:rFonts w:ascii="Times New Roman" w:hAnsi="Times New Roman"/>
        <w:noProof/>
        <w:sz w:val="20"/>
        <w:szCs w:val="20"/>
      </w:rPr>
      <w:t>FMAnot_0</w:t>
    </w:r>
    <w:r w:rsidR="007D706C">
      <w:rPr>
        <w:rFonts w:ascii="Times New Roman" w:hAnsi="Times New Roman"/>
        <w:noProof/>
        <w:sz w:val="20"/>
        <w:szCs w:val="20"/>
      </w:rPr>
      <w:t>6</w:t>
    </w:r>
    <w:r w:rsidR="00A7052F">
      <w:rPr>
        <w:rFonts w:ascii="Times New Roman" w:hAnsi="Times New Roman"/>
        <w:noProof/>
        <w:sz w:val="20"/>
        <w:szCs w:val="20"/>
      </w:rPr>
      <w:t>0420_Covid19_groz</w:t>
    </w:r>
    <w:r>
      <w:rPr>
        <w:rFonts w:ascii="Times New Roman" w:hAnsi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BFC6" w14:textId="26AAD3F9" w:rsidR="006A432E" w:rsidRPr="00414FCA" w:rsidRDefault="006A432E" w:rsidP="00414FCA">
    <w:pPr>
      <w:pStyle w:val="Footer"/>
      <w:rPr>
        <w:rFonts w:ascii="Times New Roman" w:hAnsi="Times New Roman"/>
        <w:sz w:val="20"/>
        <w:szCs w:val="20"/>
      </w:rPr>
    </w:pPr>
    <w:r w:rsidRPr="00414FCA">
      <w:rPr>
        <w:rFonts w:ascii="Times New Roman" w:hAnsi="Times New Roman"/>
        <w:sz w:val="20"/>
        <w:szCs w:val="20"/>
      </w:rPr>
      <w:fldChar w:fldCharType="begin"/>
    </w:r>
    <w:r w:rsidRPr="00414FCA">
      <w:rPr>
        <w:rFonts w:ascii="Times New Roman" w:hAnsi="Times New Roman"/>
        <w:sz w:val="20"/>
        <w:szCs w:val="20"/>
      </w:rPr>
      <w:instrText xml:space="preserve"> FILENAME   \* MERGEFORMAT </w:instrText>
    </w:r>
    <w:r w:rsidRPr="00414FCA">
      <w:rPr>
        <w:rFonts w:ascii="Times New Roman" w:hAnsi="Times New Roman"/>
        <w:sz w:val="20"/>
        <w:szCs w:val="20"/>
      </w:rPr>
      <w:fldChar w:fldCharType="separate"/>
    </w:r>
    <w:r w:rsidR="00A7052F">
      <w:rPr>
        <w:rFonts w:ascii="Times New Roman" w:hAnsi="Times New Roman"/>
        <w:noProof/>
        <w:sz w:val="20"/>
        <w:szCs w:val="20"/>
      </w:rPr>
      <w:t xml:space="preserve">FMAnot_030420_Covid19_groz </w:t>
    </w:r>
    <w:r w:rsidRPr="00414FC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8684A" w14:textId="77777777" w:rsidR="008A4C57" w:rsidRDefault="008A4C57" w:rsidP="00894C55">
      <w:pPr>
        <w:spacing w:after="0" w:line="240" w:lineRule="auto"/>
      </w:pPr>
      <w:r>
        <w:separator/>
      </w:r>
    </w:p>
  </w:footnote>
  <w:footnote w:type="continuationSeparator" w:id="0">
    <w:p w14:paraId="63331FB4" w14:textId="77777777" w:rsidR="008A4C57" w:rsidRDefault="008A4C57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FECB8" w14:textId="5197D390" w:rsidR="006A432E" w:rsidRPr="00C25B49" w:rsidRDefault="006A432E">
    <w:pPr>
      <w:pStyle w:val="Header"/>
      <w:jc w:val="center"/>
      <w:rPr>
        <w:rFonts w:ascii="Times New Roman" w:hAnsi="Times New Roman"/>
        <w:sz w:val="24"/>
        <w:szCs w:val="20"/>
      </w:rPr>
    </w:pPr>
    <w:r w:rsidRPr="00C25B49">
      <w:rPr>
        <w:rFonts w:ascii="Times New Roman" w:hAnsi="Times New Roman"/>
        <w:sz w:val="24"/>
        <w:szCs w:val="20"/>
      </w:rPr>
      <w:fldChar w:fldCharType="begin"/>
    </w:r>
    <w:r w:rsidRPr="00C25B49">
      <w:rPr>
        <w:rFonts w:ascii="Times New Roman" w:hAnsi="Times New Roman"/>
        <w:sz w:val="24"/>
        <w:szCs w:val="20"/>
      </w:rPr>
      <w:instrText xml:space="preserve"> PAGE   \* MERGEFORMAT </w:instrText>
    </w:r>
    <w:r w:rsidRPr="00C25B49">
      <w:rPr>
        <w:rFonts w:ascii="Times New Roman" w:hAnsi="Times New Roman"/>
        <w:sz w:val="24"/>
        <w:szCs w:val="20"/>
      </w:rPr>
      <w:fldChar w:fldCharType="separate"/>
    </w:r>
    <w:r w:rsidR="0058498B">
      <w:rPr>
        <w:rFonts w:ascii="Times New Roman" w:hAnsi="Times New Roman"/>
        <w:noProof/>
        <w:sz w:val="24"/>
        <w:szCs w:val="20"/>
      </w:rPr>
      <w:t>6</w:t>
    </w:r>
    <w:r w:rsidRPr="00C25B49">
      <w:rPr>
        <w:rFonts w:ascii="Times New Roman" w:hAnsi="Times New Roman"/>
        <w:noProof/>
        <w:sz w:val="24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2AF7"/>
    <w:multiLevelType w:val="hybridMultilevel"/>
    <w:tmpl w:val="EAE848A8"/>
    <w:lvl w:ilvl="0" w:tplc="D2D6FBB4">
      <w:start w:val="1"/>
      <w:numFmt w:val="decimal"/>
      <w:lvlText w:val="%1)"/>
      <w:lvlJc w:val="left"/>
      <w:pPr>
        <w:ind w:left="642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3DEB"/>
    <w:multiLevelType w:val="hybridMultilevel"/>
    <w:tmpl w:val="BF769700"/>
    <w:lvl w:ilvl="0" w:tplc="B3069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652D"/>
    <w:multiLevelType w:val="hybridMultilevel"/>
    <w:tmpl w:val="708C40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4AE"/>
    <w:multiLevelType w:val="hybridMultilevel"/>
    <w:tmpl w:val="F67A30C2"/>
    <w:lvl w:ilvl="0" w:tplc="8F02D6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A3D6D"/>
    <w:multiLevelType w:val="hybridMultilevel"/>
    <w:tmpl w:val="65F622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203B"/>
    <w:multiLevelType w:val="hybridMultilevel"/>
    <w:tmpl w:val="5F2C90D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7247A6D"/>
    <w:multiLevelType w:val="hybridMultilevel"/>
    <w:tmpl w:val="149E767C"/>
    <w:lvl w:ilvl="0" w:tplc="646AD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9F53DD"/>
    <w:multiLevelType w:val="hybridMultilevel"/>
    <w:tmpl w:val="25EC4F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77BBE"/>
    <w:multiLevelType w:val="hybridMultilevel"/>
    <w:tmpl w:val="F3000744"/>
    <w:lvl w:ilvl="0" w:tplc="817268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F47C91"/>
    <w:multiLevelType w:val="hybridMultilevel"/>
    <w:tmpl w:val="F8AA2F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A06DA"/>
    <w:multiLevelType w:val="hybridMultilevel"/>
    <w:tmpl w:val="9810343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46CF1"/>
    <w:multiLevelType w:val="hybridMultilevel"/>
    <w:tmpl w:val="490E335A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2" w15:restartNumberingAfterBreak="0">
    <w:nsid w:val="272B4F8F"/>
    <w:multiLevelType w:val="hybridMultilevel"/>
    <w:tmpl w:val="CF1840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F6383"/>
    <w:multiLevelType w:val="hybridMultilevel"/>
    <w:tmpl w:val="371471EC"/>
    <w:lvl w:ilvl="0" w:tplc="DFEE3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A73CF"/>
    <w:multiLevelType w:val="hybridMultilevel"/>
    <w:tmpl w:val="33861E2A"/>
    <w:lvl w:ilvl="0" w:tplc="406A9958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5" w:hanging="360"/>
      </w:pPr>
    </w:lvl>
    <w:lvl w:ilvl="2" w:tplc="0426001B" w:tentative="1">
      <w:start w:val="1"/>
      <w:numFmt w:val="lowerRoman"/>
      <w:lvlText w:val="%3."/>
      <w:lvlJc w:val="right"/>
      <w:pPr>
        <w:ind w:left="2365" w:hanging="180"/>
      </w:pPr>
    </w:lvl>
    <w:lvl w:ilvl="3" w:tplc="0426000F" w:tentative="1">
      <w:start w:val="1"/>
      <w:numFmt w:val="decimal"/>
      <w:lvlText w:val="%4."/>
      <w:lvlJc w:val="left"/>
      <w:pPr>
        <w:ind w:left="3085" w:hanging="360"/>
      </w:pPr>
    </w:lvl>
    <w:lvl w:ilvl="4" w:tplc="04260019" w:tentative="1">
      <w:start w:val="1"/>
      <w:numFmt w:val="lowerLetter"/>
      <w:lvlText w:val="%5."/>
      <w:lvlJc w:val="left"/>
      <w:pPr>
        <w:ind w:left="3805" w:hanging="360"/>
      </w:pPr>
    </w:lvl>
    <w:lvl w:ilvl="5" w:tplc="0426001B" w:tentative="1">
      <w:start w:val="1"/>
      <w:numFmt w:val="lowerRoman"/>
      <w:lvlText w:val="%6."/>
      <w:lvlJc w:val="right"/>
      <w:pPr>
        <w:ind w:left="4525" w:hanging="180"/>
      </w:pPr>
    </w:lvl>
    <w:lvl w:ilvl="6" w:tplc="0426000F" w:tentative="1">
      <w:start w:val="1"/>
      <w:numFmt w:val="decimal"/>
      <w:lvlText w:val="%7."/>
      <w:lvlJc w:val="left"/>
      <w:pPr>
        <w:ind w:left="5245" w:hanging="360"/>
      </w:pPr>
    </w:lvl>
    <w:lvl w:ilvl="7" w:tplc="04260019" w:tentative="1">
      <w:start w:val="1"/>
      <w:numFmt w:val="lowerLetter"/>
      <w:lvlText w:val="%8."/>
      <w:lvlJc w:val="left"/>
      <w:pPr>
        <w:ind w:left="5965" w:hanging="360"/>
      </w:pPr>
    </w:lvl>
    <w:lvl w:ilvl="8" w:tplc="042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5" w15:restartNumberingAfterBreak="0">
    <w:nsid w:val="2B8A0C87"/>
    <w:multiLevelType w:val="hybridMultilevel"/>
    <w:tmpl w:val="547CB2F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CB72320"/>
    <w:multiLevelType w:val="hybridMultilevel"/>
    <w:tmpl w:val="8208EF66"/>
    <w:lvl w:ilvl="0" w:tplc="793084B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2158B46A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D4382ABC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F2AE8BD6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22CC394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9FD4F898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7968FD34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68FC28EC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5DEA455E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341C534D"/>
    <w:multiLevelType w:val="hybridMultilevel"/>
    <w:tmpl w:val="01042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07306"/>
    <w:multiLevelType w:val="hybridMultilevel"/>
    <w:tmpl w:val="FFA028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13453"/>
    <w:multiLevelType w:val="hybridMultilevel"/>
    <w:tmpl w:val="2AA2F1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D70E8"/>
    <w:multiLevelType w:val="hybridMultilevel"/>
    <w:tmpl w:val="81645BE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4623C"/>
    <w:multiLevelType w:val="hybridMultilevel"/>
    <w:tmpl w:val="BFAC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C0DB9"/>
    <w:multiLevelType w:val="hybridMultilevel"/>
    <w:tmpl w:val="3050C9E8"/>
    <w:lvl w:ilvl="0" w:tplc="0426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3" w15:restartNumberingAfterBreak="0">
    <w:nsid w:val="479F707A"/>
    <w:multiLevelType w:val="hybridMultilevel"/>
    <w:tmpl w:val="F37EB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644F61"/>
    <w:multiLevelType w:val="hybridMultilevel"/>
    <w:tmpl w:val="FFDE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E283D"/>
    <w:multiLevelType w:val="hybridMultilevel"/>
    <w:tmpl w:val="EA5C5B90"/>
    <w:lvl w:ilvl="0" w:tplc="0426000D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D946003"/>
    <w:multiLevelType w:val="hybridMultilevel"/>
    <w:tmpl w:val="598CB05C"/>
    <w:lvl w:ilvl="0" w:tplc="588A179A">
      <w:start w:val="1"/>
      <w:numFmt w:val="decimal"/>
      <w:lvlText w:val="%1)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4DD12396"/>
    <w:multiLevelType w:val="hybridMultilevel"/>
    <w:tmpl w:val="EC144594"/>
    <w:lvl w:ilvl="0" w:tplc="042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4DF60A22"/>
    <w:multiLevelType w:val="hybridMultilevel"/>
    <w:tmpl w:val="705873F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74519"/>
    <w:multiLevelType w:val="hybridMultilevel"/>
    <w:tmpl w:val="4B0A0F48"/>
    <w:lvl w:ilvl="0" w:tplc="04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30" w15:restartNumberingAfterBreak="0">
    <w:nsid w:val="59DB7F29"/>
    <w:multiLevelType w:val="hybridMultilevel"/>
    <w:tmpl w:val="47CEFB0E"/>
    <w:lvl w:ilvl="0" w:tplc="99E80A02">
      <w:start w:val="1"/>
      <w:numFmt w:val="decimal"/>
      <w:lvlText w:val="%1)"/>
      <w:lvlJc w:val="left"/>
      <w:pPr>
        <w:ind w:left="364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084" w:hanging="360"/>
      </w:pPr>
    </w:lvl>
    <w:lvl w:ilvl="2" w:tplc="0426001B" w:tentative="1">
      <w:start w:val="1"/>
      <w:numFmt w:val="lowerRoman"/>
      <w:lvlText w:val="%3."/>
      <w:lvlJc w:val="right"/>
      <w:pPr>
        <w:ind w:left="1804" w:hanging="180"/>
      </w:pPr>
    </w:lvl>
    <w:lvl w:ilvl="3" w:tplc="0426000F" w:tentative="1">
      <w:start w:val="1"/>
      <w:numFmt w:val="decimal"/>
      <w:lvlText w:val="%4."/>
      <w:lvlJc w:val="left"/>
      <w:pPr>
        <w:ind w:left="2524" w:hanging="360"/>
      </w:pPr>
    </w:lvl>
    <w:lvl w:ilvl="4" w:tplc="04260019" w:tentative="1">
      <w:start w:val="1"/>
      <w:numFmt w:val="lowerLetter"/>
      <w:lvlText w:val="%5."/>
      <w:lvlJc w:val="left"/>
      <w:pPr>
        <w:ind w:left="3244" w:hanging="360"/>
      </w:pPr>
    </w:lvl>
    <w:lvl w:ilvl="5" w:tplc="0426001B" w:tentative="1">
      <w:start w:val="1"/>
      <w:numFmt w:val="lowerRoman"/>
      <w:lvlText w:val="%6."/>
      <w:lvlJc w:val="right"/>
      <w:pPr>
        <w:ind w:left="3964" w:hanging="180"/>
      </w:pPr>
    </w:lvl>
    <w:lvl w:ilvl="6" w:tplc="0426000F" w:tentative="1">
      <w:start w:val="1"/>
      <w:numFmt w:val="decimal"/>
      <w:lvlText w:val="%7."/>
      <w:lvlJc w:val="left"/>
      <w:pPr>
        <w:ind w:left="4684" w:hanging="360"/>
      </w:pPr>
    </w:lvl>
    <w:lvl w:ilvl="7" w:tplc="04260019" w:tentative="1">
      <w:start w:val="1"/>
      <w:numFmt w:val="lowerLetter"/>
      <w:lvlText w:val="%8."/>
      <w:lvlJc w:val="left"/>
      <w:pPr>
        <w:ind w:left="5404" w:hanging="360"/>
      </w:pPr>
    </w:lvl>
    <w:lvl w:ilvl="8" w:tplc="0426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1" w15:restartNumberingAfterBreak="0">
    <w:nsid w:val="5FDA7A69"/>
    <w:multiLevelType w:val="hybridMultilevel"/>
    <w:tmpl w:val="FD6488D0"/>
    <w:lvl w:ilvl="0" w:tplc="48BCE940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76554B"/>
    <w:multiLevelType w:val="hybridMultilevel"/>
    <w:tmpl w:val="BD005BC8"/>
    <w:lvl w:ilvl="0" w:tplc="D2D6FBB4">
      <w:start w:val="1"/>
      <w:numFmt w:val="decimal"/>
      <w:lvlText w:val="%1)"/>
      <w:lvlJc w:val="left"/>
      <w:pPr>
        <w:ind w:left="642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362" w:hanging="360"/>
      </w:pPr>
    </w:lvl>
    <w:lvl w:ilvl="2" w:tplc="0426001B" w:tentative="1">
      <w:start w:val="1"/>
      <w:numFmt w:val="lowerRoman"/>
      <w:lvlText w:val="%3."/>
      <w:lvlJc w:val="right"/>
      <w:pPr>
        <w:ind w:left="2082" w:hanging="180"/>
      </w:pPr>
    </w:lvl>
    <w:lvl w:ilvl="3" w:tplc="0426000F" w:tentative="1">
      <w:start w:val="1"/>
      <w:numFmt w:val="decimal"/>
      <w:lvlText w:val="%4."/>
      <w:lvlJc w:val="left"/>
      <w:pPr>
        <w:ind w:left="2802" w:hanging="360"/>
      </w:pPr>
    </w:lvl>
    <w:lvl w:ilvl="4" w:tplc="04260019" w:tentative="1">
      <w:start w:val="1"/>
      <w:numFmt w:val="lowerLetter"/>
      <w:lvlText w:val="%5."/>
      <w:lvlJc w:val="left"/>
      <w:pPr>
        <w:ind w:left="3522" w:hanging="360"/>
      </w:pPr>
    </w:lvl>
    <w:lvl w:ilvl="5" w:tplc="0426001B" w:tentative="1">
      <w:start w:val="1"/>
      <w:numFmt w:val="lowerRoman"/>
      <w:lvlText w:val="%6."/>
      <w:lvlJc w:val="right"/>
      <w:pPr>
        <w:ind w:left="4242" w:hanging="180"/>
      </w:pPr>
    </w:lvl>
    <w:lvl w:ilvl="6" w:tplc="0426000F" w:tentative="1">
      <w:start w:val="1"/>
      <w:numFmt w:val="decimal"/>
      <w:lvlText w:val="%7."/>
      <w:lvlJc w:val="left"/>
      <w:pPr>
        <w:ind w:left="4962" w:hanging="360"/>
      </w:pPr>
    </w:lvl>
    <w:lvl w:ilvl="7" w:tplc="04260019" w:tentative="1">
      <w:start w:val="1"/>
      <w:numFmt w:val="lowerLetter"/>
      <w:lvlText w:val="%8."/>
      <w:lvlJc w:val="left"/>
      <w:pPr>
        <w:ind w:left="5682" w:hanging="360"/>
      </w:pPr>
    </w:lvl>
    <w:lvl w:ilvl="8" w:tplc="042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4CC29FE"/>
    <w:multiLevelType w:val="hybridMultilevel"/>
    <w:tmpl w:val="5FDC19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927063"/>
    <w:multiLevelType w:val="hybridMultilevel"/>
    <w:tmpl w:val="9528BBE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549C7"/>
    <w:multiLevelType w:val="hybridMultilevel"/>
    <w:tmpl w:val="F3B4FD82"/>
    <w:lvl w:ilvl="0" w:tplc="90685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F92B00"/>
    <w:multiLevelType w:val="hybridMultilevel"/>
    <w:tmpl w:val="9CF87270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9C734BC"/>
    <w:multiLevelType w:val="hybridMultilevel"/>
    <w:tmpl w:val="740EBA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96363"/>
    <w:multiLevelType w:val="hybridMultilevel"/>
    <w:tmpl w:val="0B3C5B06"/>
    <w:lvl w:ilvl="0" w:tplc="525CE2A2">
      <w:start w:val="1"/>
      <w:numFmt w:val="decimal"/>
      <w:lvlText w:val="(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34C67"/>
    <w:multiLevelType w:val="hybridMultilevel"/>
    <w:tmpl w:val="3D8A637C"/>
    <w:lvl w:ilvl="0" w:tplc="EF54329E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AB7857"/>
    <w:multiLevelType w:val="hybridMultilevel"/>
    <w:tmpl w:val="69AA1276"/>
    <w:lvl w:ilvl="0" w:tplc="2A54369C">
      <w:start w:val="1"/>
      <w:numFmt w:val="bullet"/>
      <w:lvlText w:val="-"/>
      <w:lvlJc w:val="left"/>
      <w:pPr>
        <w:ind w:left="64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41" w15:restartNumberingAfterBreak="0">
    <w:nsid w:val="7E0719FD"/>
    <w:multiLevelType w:val="hybridMultilevel"/>
    <w:tmpl w:val="5F56BC30"/>
    <w:lvl w:ilvl="0" w:tplc="A3905E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30"/>
  </w:num>
  <w:num w:numId="5">
    <w:abstractNumId w:val="32"/>
  </w:num>
  <w:num w:numId="6">
    <w:abstractNumId w:val="36"/>
  </w:num>
  <w:num w:numId="7">
    <w:abstractNumId w:val="33"/>
  </w:num>
  <w:num w:numId="8">
    <w:abstractNumId w:val="0"/>
  </w:num>
  <w:num w:numId="9">
    <w:abstractNumId w:val="34"/>
  </w:num>
  <w:num w:numId="10">
    <w:abstractNumId w:val="35"/>
  </w:num>
  <w:num w:numId="11">
    <w:abstractNumId w:val="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12"/>
  </w:num>
  <w:num w:numId="17">
    <w:abstractNumId w:val="41"/>
  </w:num>
  <w:num w:numId="18">
    <w:abstractNumId w:val="20"/>
  </w:num>
  <w:num w:numId="19">
    <w:abstractNumId w:val="5"/>
  </w:num>
  <w:num w:numId="20">
    <w:abstractNumId w:val="27"/>
  </w:num>
  <w:num w:numId="21">
    <w:abstractNumId w:val="37"/>
  </w:num>
  <w:num w:numId="22">
    <w:abstractNumId w:val="19"/>
  </w:num>
  <w:num w:numId="23">
    <w:abstractNumId w:val="1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7"/>
  </w:num>
  <w:num w:numId="27">
    <w:abstractNumId w:val="40"/>
  </w:num>
  <w:num w:numId="28">
    <w:abstractNumId w:val="13"/>
  </w:num>
  <w:num w:numId="29">
    <w:abstractNumId w:val="25"/>
  </w:num>
  <w:num w:numId="30">
    <w:abstractNumId w:val="22"/>
  </w:num>
  <w:num w:numId="31">
    <w:abstractNumId w:val="29"/>
  </w:num>
  <w:num w:numId="32">
    <w:abstractNumId w:val="11"/>
  </w:num>
  <w:num w:numId="33">
    <w:abstractNumId w:val="17"/>
  </w:num>
  <w:num w:numId="34">
    <w:abstractNumId w:val="21"/>
  </w:num>
  <w:num w:numId="35">
    <w:abstractNumId w:val="24"/>
  </w:num>
  <w:num w:numId="36">
    <w:abstractNumId w:val="4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2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3"/>
  <w:revisionView w:markup="0"/>
  <w:doNotTrackFormatting/>
  <w:documentProtection w:edit="forms" w:enforcement="0"/>
  <w:defaultTabStop w:val="720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1355"/>
    <w:rsid w:val="00002E4E"/>
    <w:rsid w:val="0000554B"/>
    <w:rsid w:val="00007501"/>
    <w:rsid w:val="00007F0F"/>
    <w:rsid w:val="00012D0D"/>
    <w:rsid w:val="000131AC"/>
    <w:rsid w:val="00015B23"/>
    <w:rsid w:val="000201C6"/>
    <w:rsid w:val="00025150"/>
    <w:rsid w:val="00025218"/>
    <w:rsid w:val="00031354"/>
    <w:rsid w:val="000338B8"/>
    <w:rsid w:val="00033DA8"/>
    <w:rsid w:val="00036AA7"/>
    <w:rsid w:val="00040B42"/>
    <w:rsid w:val="000421EF"/>
    <w:rsid w:val="00043CB1"/>
    <w:rsid w:val="00045B5B"/>
    <w:rsid w:val="000469AD"/>
    <w:rsid w:val="00061DC2"/>
    <w:rsid w:val="00064062"/>
    <w:rsid w:val="00064C94"/>
    <w:rsid w:val="0007751B"/>
    <w:rsid w:val="00077C9D"/>
    <w:rsid w:val="00081958"/>
    <w:rsid w:val="00085CF8"/>
    <w:rsid w:val="00090B77"/>
    <w:rsid w:val="0009138E"/>
    <w:rsid w:val="00091432"/>
    <w:rsid w:val="0009377D"/>
    <w:rsid w:val="00095AE2"/>
    <w:rsid w:val="0009781B"/>
    <w:rsid w:val="000A0168"/>
    <w:rsid w:val="000A3788"/>
    <w:rsid w:val="000A576A"/>
    <w:rsid w:val="000B3D27"/>
    <w:rsid w:val="000B61FE"/>
    <w:rsid w:val="000B63F6"/>
    <w:rsid w:val="000C059C"/>
    <w:rsid w:val="000C0DBB"/>
    <w:rsid w:val="000C15F5"/>
    <w:rsid w:val="000C2161"/>
    <w:rsid w:val="000C2A4E"/>
    <w:rsid w:val="000C6B36"/>
    <w:rsid w:val="000C7606"/>
    <w:rsid w:val="000D0D8D"/>
    <w:rsid w:val="000D3072"/>
    <w:rsid w:val="000D356A"/>
    <w:rsid w:val="000D3858"/>
    <w:rsid w:val="000D73B2"/>
    <w:rsid w:val="000E0718"/>
    <w:rsid w:val="000E16C7"/>
    <w:rsid w:val="000F0B87"/>
    <w:rsid w:val="000F0FC0"/>
    <w:rsid w:val="000F179E"/>
    <w:rsid w:val="000F400E"/>
    <w:rsid w:val="000F7391"/>
    <w:rsid w:val="00101408"/>
    <w:rsid w:val="001017B7"/>
    <w:rsid w:val="00111D32"/>
    <w:rsid w:val="00112058"/>
    <w:rsid w:val="00112E89"/>
    <w:rsid w:val="0011350C"/>
    <w:rsid w:val="00115649"/>
    <w:rsid w:val="001159D4"/>
    <w:rsid w:val="00115DB2"/>
    <w:rsid w:val="001223CD"/>
    <w:rsid w:val="00122CAB"/>
    <w:rsid w:val="00123503"/>
    <w:rsid w:val="00123929"/>
    <w:rsid w:val="001243EA"/>
    <w:rsid w:val="00125A19"/>
    <w:rsid w:val="00130F92"/>
    <w:rsid w:val="00131463"/>
    <w:rsid w:val="00133461"/>
    <w:rsid w:val="00140E17"/>
    <w:rsid w:val="00146252"/>
    <w:rsid w:val="001524B5"/>
    <w:rsid w:val="00152D34"/>
    <w:rsid w:val="00157524"/>
    <w:rsid w:val="00157D1A"/>
    <w:rsid w:val="00157D44"/>
    <w:rsid w:val="001629F7"/>
    <w:rsid w:val="00162A61"/>
    <w:rsid w:val="001646CB"/>
    <w:rsid w:val="001648CB"/>
    <w:rsid w:val="00165127"/>
    <w:rsid w:val="001652C9"/>
    <w:rsid w:val="001658C6"/>
    <w:rsid w:val="00171AE0"/>
    <w:rsid w:val="00171D5B"/>
    <w:rsid w:val="00173414"/>
    <w:rsid w:val="00176996"/>
    <w:rsid w:val="001772D8"/>
    <w:rsid w:val="00181DAE"/>
    <w:rsid w:val="0018297F"/>
    <w:rsid w:val="001858FD"/>
    <w:rsid w:val="00192172"/>
    <w:rsid w:val="00194AC5"/>
    <w:rsid w:val="00195E62"/>
    <w:rsid w:val="00197AA8"/>
    <w:rsid w:val="001A0E04"/>
    <w:rsid w:val="001A7B57"/>
    <w:rsid w:val="001B23A3"/>
    <w:rsid w:val="001B2B19"/>
    <w:rsid w:val="001B318C"/>
    <w:rsid w:val="001B491E"/>
    <w:rsid w:val="001B49BB"/>
    <w:rsid w:val="001B6735"/>
    <w:rsid w:val="001B6889"/>
    <w:rsid w:val="001C4310"/>
    <w:rsid w:val="001C540A"/>
    <w:rsid w:val="001D04CF"/>
    <w:rsid w:val="001D33F0"/>
    <w:rsid w:val="001D35F1"/>
    <w:rsid w:val="001D485D"/>
    <w:rsid w:val="001E37E9"/>
    <w:rsid w:val="001E7D84"/>
    <w:rsid w:val="001F0F86"/>
    <w:rsid w:val="001F578D"/>
    <w:rsid w:val="001F77C6"/>
    <w:rsid w:val="001F7C2C"/>
    <w:rsid w:val="00200A6E"/>
    <w:rsid w:val="002021BB"/>
    <w:rsid w:val="00202F55"/>
    <w:rsid w:val="00206DE0"/>
    <w:rsid w:val="00217F49"/>
    <w:rsid w:val="0022055C"/>
    <w:rsid w:val="00222E0C"/>
    <w:rsid w:val="00224AB3"/>
    <w:rsid w:val="00226369"/>
    <w:rsid w:val="00227688"/>
    <w:rsid w:val="00230399"/>
    <w:rsid w:val="002304EC"/>
    <w:rsid w:val="00231F32"/>
    <w:rsid w:val="00232CB7"/>
    <w:rsid w:val="00233600"/>
    <w:rsid w:val="00235A45"/>
    <w:rsid w:val="002427A0"/>
    <w:rsid w:val="00243426"/>
    <w:rsid w:val="00246985"/>
    <w:rsid w:val="00253890"/>
    <w:rsid w:val="00253FB8"/>
    <w:rsid w:val="002556F5"/>
    <w:rsid w:val="00255C8B"/>
    <w:rsid w:val="00260D01"/>
    <w:rsid w:val="002612E9"/>
    <w:rsid w:val="00275A32"/>
    <w:rsid w:val="002819FA"/>
    <w:rsid w:val="0029095D"/>
    <w:rsid w:val="00296395"/>
    <w:rsid w:val="002B28E3"/>
    <w:rsid w:val="002B74AC"/>
    <w:rsid w:val="002C4775"/>
    <w:rsid w:val="002C72DD"/>
    <w:rsid w:val="002C7406"/>
    <w:rsid w:val="002C7EB7"/>
    <w:rsid w:val="002D0FA8"/>
    <w:rsid w:val="002D1138"/>
    <w:rsid w:val="002D440F"/>
    <w:rsid w:val="002D4993"/>
    <w:rsid w:val="002E00D8"/>
    <w:rsid w:val="002E1C05"/>
    <w:rsid w:val="002E4FEB"/>
    <w:rsid w:val="002F7FDF"/>
    <w:rsid w:val="00303E6D"/>
    <w:rsid w:val="00304056"/>
    <w:rsid w:val="00304222"/>
    <w:rsid w:val="003223F2"/>
    <w:rsid w:val="003338F4"/>
    <w:rsid w:val="003344B4"/>
    <w:rsid w:val="003353A4"/>
    <w:rsid w:val="00342741"/>
    <w:rsid w:val="00342AF8"/>
    <w:rsid w:val="0034642C"/>
    <w:rsid w:val="0035682C"/>
    <w:rsid w:val="00364BA4"/>
    <w:rsid w:val="003717D1"/>
    <w:rsid w:val="00374A79"/>
    <w:rsid w:val="00375E6B"/>
    <w:rsid w:val="0037739D"/>
    <w:rsid w:val="00383E13"/>
    <w:rsid w:val="00390518"/>
    <w:rsid w:val="003A201A"/>
    <w:rsid w:val="003A4258"/>
    <w:rsid w:val="003A6BF3"/>
    <w:rsid w:val="003A7280"/>
    <w:rsid w:val="003A7518"/>
    <w:rsid w:val="003B0BF9"/>
    <w:rsid w:val="003B3132"/>
    <w:rsid w:val="003B4729"/>
    <w:rsid w:val="003B73FD"/>
    <w:rsid w:val="003C2D6D"/>
    <w:rsid w:val="003C7BB8"/>
    <w:rsid w:val="003D1F89"/>
    <w:rsid w:val="003D22CB"/>
    <w:rsid w:val="003E0791"/>
    <w:rsid w:val="003E5A80"/>
    <w:rsid w:val="003F28AC"/>
    <w:rsid w:val="003F4454"/>
    <w:rsid w:val="004016DB"/>
    <w:rsid w:val="00402A5C"/>
    <w:rsid w:val="00406205"/>
    <w:rsid w:val="004075A4"/>
    <w:rsid w:val="00410692"/>
    <w:rsid w:val="00413D4B"/>
    <w:rsid w:val="00414931"/>
    <w:rsid w:val="00414FCA"/>
    <w:rsid w:val="004223DC"/>
    <w:rsid w:val="00431553"/>
    <w:rsid w:val="00433B0A"/>
    <w:rsid w:val="00436C17"/>
    <w:rsid w:val="00443895"/>
    <w:rsid w:val="0044444A"/>
    <w:rsid w:val="004454FE"/>
    <w:rsid w:val="00450FD0"/>
    <w:rsid w:val="004516D2"/>
    <w:rsid w:val="00456E40"/>
    <w:rsid w:val="00461670"/>
    <w:rsid w:val="00462B86"/>
    <w:rsid w:val="00471F27"/>
    <w:rsid w:val="004833F7"/>
    <w:rsid w:val="00484594"/>
    <w:rsid w:val="00492E89"/>
    <w:rsid w:val="0049762F"/>
    <w:rsid w:val="004A1A19"/>
    <w:rsid w:val="004A311F"/>
    <w:rsid w:val="004B3810"/>
    <w:rsid w:val="004C342E"/>
    <w:rsid w:val="004D7016"/>
    <w:rsid w:val="004E4643"/>
    <w:rsid w:val="004F245D"/>
    <w:rsid w:val="004F4553"/>
    <w:rsid w:val="004F5656"/>
    <w:rsid w:val="0050178F"/>
    <w:rsid w:val="00521596"/>
    <w:rsid w:val="00523005"/>
    <w:rsid w:val="0052555D"/>
    <w:rsid w:val="005267D1"/>
    <w:rsid w:val="0052717D"/>
    <w:rsid w:val="00530442"/>
    <w:rsid w:val="00542D47"/>
    <w:rsid w:val="005459E9"/>
    <w:rsid w:val="00551991"/>
    <w:rsid w:val="00555E7B"/>
    <w:rsid w:val="005622C6"/>
    <w:rsid w:val="00562DC4"/>
    <w:rsid w:val="0056359C"/>
    <w:rsid w:val="00565206"/>
    <w:rsid w:val="005653C1"/>
    <w:rsid w:val="0058067D"/>
    <w:rsid w:val="005830E3"/>
    <w:rsid w:val="00583E07"/>
    <w:rsid w:val="0058498B"/>
    <w:rsid w:val="00591434"/>
    <w:rsid w:val="00591583"/>
    <w:rsid w:val="005958A7"/>
    <w:rsid w:val="005A19DC"/>
    <w:rsid w:val="005A1AD4"/>
    <w:rsid w:val="005A2BE9"/>
    <w:rsid w:val="005A4C72"/>
    <w:rsid w:val="005B1695"/>
    <w:rsid w:val="005B2A38"/>
    <w:rsid w:val="005B2A6E"/>
    <w:rsid w:val="005B3181"/>
    <w:rsid w:val="005B3879"/>
    <w:rsid w:val="005B584D"/>
    <w:rsid w:val="005B7D67"/>
    <w:rsid w:val="005C1566"/>
    <w:rsid w:val="005C1CF5"/>
    <w:rsid w:val="005C61CB"/>
    <w:rsid w:val="005D6DF6"/>
    <w:rsid w:val="005E0AB8"/>
    <w:rsid w:val="005F3A30"/>
    <w:rsid w:val="00600485"/>
    <w:rsid w:val="00605D7D"/>
    <w:rsid w:val="0060685D"/>
    <w:rsid w:val="00610A2A"/>
    <w:rsid w:val="00612D89"/>
    <w:rsid w:val="00615EEA"/>
    <w:rsid w:val="00616362"/>
    <w:rsid w:val="006175E9"/>
    <w:rsid w:val="0062063D"/>
    <w:rsid w:val="0062135D"/>
    <w:rsid w:val="0062159E"/>
    <w:rsid w:val="00624566"/>
    <w:rsid w:val="00624818"/>
    <w:rsid w:val="006272FE"/>
    <w:rsid w:val="00632421"/>
    <w:rsid w:val="00633E2B"/>
    <w:rsid w:val="00636C57"/>
    <w:rsid w:val="00640A6C"/>
    <w:rsid w:val="00640B95"/>
    <w:rsid w:val="00642236"/>
    <w:rsid w:val="0064232F"/>
    <w:rsid w:val="006437AF"/>
    <w:rsid w:val="00654390"/>
    <w:rsid w:val="00655F2C"/>
    <w:rsid w:val="00656D61"/>
    <w:rsid w:val="00673BAA"/>
    <w:rsid w:val="00675F6B"/>
    <w:rsid w:val="0067617C"/>
    <w:rsid w:val="006762B5"/>
    <w:rsid w:val="006968E8"/>
    <w:rsid w:val="006A1542"/>
    <w:rsid w:val="006A2A69"/>
    <w:rsid w:val="006A432E"/>
    <w:rsid w:val="006A6B83"/>
    <w:rsid w:val="006A7B25"/>
    <w:rsid w:val="006B3DAA"/>
    <w:rsid w:val="006B3F97"/>
    <w:rsid w:val="006B60B4"/>
    <w:rsid w:val="006C25E7"/>
    <w:rsid w:val="006C2CF6"/>
    <w:rsid w:val="006C39A2"/>
    <w:rsid w:val="006C44B5"/>
    <w:rsid w:val="006D0119"/>
    <w:rsid w:val="006D0E0E"/>
    <w:rsid w:val="006D3959"/>
    <w:rsid w:val="006E1081"/>
    <w:rsid w:val="006E166E"/>
    <w:rsid w:val="006E2547"/>
    <w:rsid w:val="006F2665"/>
    <w:rsid w:val="006F3E93"/>
    <w:rsid w:val="006F4A80"/>
    <w:rsid w:val="006F79B2"/>
    <w:rsid w:val="00700A6F"/>
    <w:rsid w:val="00704492"/>
    <w:rsid w:val="007068B5"/>
    <w:rsid w:val="00715197"/>
    <w:rsid w:val="00720585"/>
    <w:rsid w:val="00720760"/>
    <w:rsid w:val="00723553"/>
    <w:rsid w:val="007318A8"/>
    <w:rsid w:val="00732A49"/>
    <w:rsid w:val="00734A00"/>
    <w:rsid w:val="007373C6"/>
    <w:rsid w:val="00740648"/>
    <w:rsid w:val="00743D71"/>
    <w:rsid w:val="00744F6C"/>
    <w:rsid w:val="00750088"/>
    <w:rsid w:val="00755A13"/>
    <w:rsid w:val="0075668D"/>
    <w:rsid w:val="007571BC"/>
    <w:rsid w:val="00757BF5"/>
    <w:rsid w:val="00763A64"/>
    <w:rsid w:val="00763DCC"/>
    <w:rsid w:val="00764C89"/>
    <w:rsid w:val="00771FDF"/>
    <w:rsid w:val="007723CF"/>
    <w:rsid w:val="00773AF6"/>
    <w:rsid w:val="00777D4E"/>
    <w:rsid w:val="007868EE"/>
    <w:rsid w:val="00786CFF"/>
    <w:rsid w:val="00791B3C"/>
    <w:rsid w:val="00795F71"/>
    <w:rsid w:val="00796736"/>
    <w:rsid w:val="007A039E"/>
    <w:rsid w:val="007A2830"/>
    <w:rsid w:val="007A29C9"/>
    <w:rsid w:val="007A2ECC"/>
    <w:rsid w:val="007A7502"/>
    <w:rsid w:val="007B4840"/>
    <w:rsid w:val="007B5202"/>
    <w:rsid w:val="007B689D"/>
    <w:rsid w:val="007C15C0"/>
    <w:rsid w:val="007C6B34"/>
    <w:rsid w:val="007C76ED"/>
    <w:rsid w:val="007D706C"/>
    <w:rsid w:val="007E5ACA"/>
    <w:rsid w:val="007E5F7A"/>
    <w:rsid w:val="007E60E5"/>
    <w:rsid w:val="007E73AB"/>
    <w:rsid w:val="007F0CA9"/>
    <w:rsid w:val="007F168B"/>
    <w:rsid w:val="007F7AE7"/>
    <w:rsid w:val="008027CD"/>
    <w:rsid w:val="008042A6"/>
    <w:rsid w:val="008049F6"/>
    <w:rsid w:val="008050E5"/>
    <w:rsid w:val="00811CB3"/>
    <w:rsid w:val="00816C11"/>
    <w:rsid w:val="008326A5"/>
    <w:rsid w:val="00832D66"/>
    <w:rsid w:val="0083392F"/>
    <w:rsid w:val="00833CC8"/>
    <w:rsid w:val="008413DE"/>
    <w:rsid w:val="008414D5"/>
    <w:rsid w:val="008470CA"/>
    <w:rsid w:val="00847EF8"/>
    <w:rsid w:val="00852A85"/>
    <w:rsid w:val="00854915"/>
    <w:rsid w:val="0086451D"/>
    <w:rsid w:val="00867229"/>
    <w:rsid w:val="00867468"/>
    <w:rsid w:val="00872D53"/>
    <w:rsid w:val="008811D1"/>
    <w:rsid w:val="00881E3F"/>
    <w:rsid w:val="00886BCE"/>
    <w:rsid w:val="00892283"/>
    <w:rsid w:val="00894C55"/>
    <w:rsid w:val="00895717"/>
    <w:rsid w:val="00896C7C"/>
    <w:rsid w:val="008A2FD2"/>
    <w:rsid w:val="008A4414"/>
    <w:rsid w:val="008A4C57"/>
    <w:rsid w:val="008B3EF6"/>
    <w:rsid w:val="008C7AFC"/>
    <w:rsid w:val="008D38EB"/>
    <w:rsid w:val="008E2296"/>
    <w:rsid w:val="008E4D36"/>
    <w:rsid w:val="008E76AC"/>
    <w:rsid w:val="008F10FE"/>
    <w:rsid w:val="008F342D"/>
    <w:rsid w:val="008F570A"/>
    <w:rsid w:val="008F6924"/>
    <w:rsid w:val="009002D6"/>
    <w:rsid w:val="00902458"/>
    <w:rsid w:val="00905199"/>
    <w:rsid w:val="0090621F"/>
    <w:rsid w:val="0090662A"/>
    <w:rsid w:val="009110F6"/>
    <w:rsid w:val="00911275"/>
    <w:rsid w:val="00913545"/>
    <w:rsid w:val="00914BD5"/>
    <w:rsid w:val="00917E06"/>
    <w:rsid w:val="0092250B"/>
    <w:rsid w:val="009246A8"/>
    <w:rsid w:val="00927179"/>
    <w:rsid w:val="009302E8"/>
    <w:rsid w:val="009317AD"/>
    <w:rsid w:val="009338AF"/>
    <w:rsid w:val="00936DC1"/>
    <w:rsid w:val="00946912"/>
    <w:rsid w:val="00960E05"/>
    <w:rsid w:val="00961A9A"/>
    <w:rsid w:val="009622A5"/>
    <w:rsid w:val="00964184"/>
    <w:rsid w:val="00965DDB"/>
    <w:rsid w:val="00966659"/>
    <w:rsid w:val="00967C03"/>
    <w:rsid w:val="009717EA"/>
    <w:rsid w:val="00975CBA"/>
    <w:rsid w:val="00975D1E"/>
    <w:rsid w:val="00977CAE"/>
    <w:rsid w:val="00985B10"/>
    <w:rsid w:val="009864C1"/>
    <w:rsid w:val="00993AEA"/>
    <w:rsid w:val="009959B0"/>
    <w:rsid w:val="009A08C1"/>
    <w:rsid w:val="009A14EC"/>
    <w:rsid w:val="009A2654"/>
    <w:rsid w:val="009A2A5D"/>
    <w:rsid w:val="009A3DFB"/>
    <w:rsid w:val="009A671E"/>
    <w:rsid w:val="009B2F8E"/>
    <w:rsid w:val="009B31DA"/>
    <w:rsid w:val="009B536A"/>
    <w:rsid w:val="009B7D55"/>
    <w:rsid w:val="009C0142"/>
    <w:rsid w:val="009C6E91"/>
    <w:rsid w:val="009D4B97"/>
    <w:rsid w:val="009D620E"/>
    <w:rsid w:val="009E754F"/>
    <w:rsid w:val="009F045F"/>
    <w:rsid w:val="009F43BB"/>
    <w:rsid w:val="00A038F6"/>
    <w:rsid w:val="00A0580B"/>
    <w:rsid w:val="00A07B42"/>
    <w:rsid w:val="00A10FC3"/>
    <w:rsid w:val="00A13108"/>
    <w:rsid w:val="00A141A8"/>
    <w:rsid w:val="00A208FC"/>
    <w:rsid w:val="00A23A14"/>
    <w:rsid w:val="00A243A0"/>
    <w:rsid w:val="00A27908"/>
    <w:rsid w:val="00A407DC"/>
    <w:rsid w:val="00A418BB"/>
    <w:rsid w:val="00A43F9D"/>
    <w:rsid w:val="00A440AD"/>
    <w:rsid w:val="00A46908"/>
    <w:rsid w:val="00A4790E"/>
    <w:rsid w:val="00A47CB6"/>
    <w:rsid w:val="00A50238"/>
    <w:rsid w:val="00A54D98"/>
    <w:rsid w:val="00A55483"/>
    <w:rsid w:val="00A6073E"/>
    <w:rsid w:val="00A6669E"/>
    <w:rsid w:val="00A7052F"/>
    <w:rsid w:val="00A717D8"/>
    <w:rsid w:val="00A74D70"/>
    <w:rsid w:val="00A8354F"/>
    <w:rsid w:val="00A85705"/>
    <w:rsid w:val="00A97AB3"/>
    <w:rsid w:val="00AA1E9E"/>
    <w:rsid w:val="00AA28A5"/>
    <w:rsid w:val="00AA6820"/>
    <w:rsid w:val="00AB0FE0"/>
    <w:rsid w:val="00AB3210"/>
    <w:rsid w:val="00AB39E6"/>
    <w:rsid w:val="00AB4C8C"/>
    <w:rsid w:val="00AC07B1"/>
    <w:rsid w:val="00AC5AAB"/>
    <w:rsid w:val="00AC6243"/>
    <w:rsid w:val="00AD581E"/>
    <w:rsid w:val="00AD73F5"/>
    <w:rsid w:val="00AD7FE5"/>
    <w:rsid w:val="00AE5567"/>
    <w:rsid w:val="00AF0385"/>
    <w:rsid w:val="00AF1239"/>
    <w:rsid w:val="00AF1578"/>
    <w:rsid w:val="00AF1AD8"/>
    <w:rsid w:val="00AF5F13"/>
    <w:rsid w:val="00B05329"/>
    <w:rsid w:val="00B07657"/>
    <w:rsid w:val="00B13167"/>
    <w:rsid w:val="00B1426B"/>
    <w:rsid w:val="00B14739"/>
    <w:rsid w:val="00B16480"/>
    <w:rsid w:val="00B2165C"/>
    <w:rsid w:val="00B23868"/>
    <w:rsid w:val="00B275F3"/>
    <w:rsid w:val="00B2769F"/>
    <w:rsid w:val="00B35294"/>
    <w:rsid w:val="00B3620F"/>
    <w:rsid w:val="00B40F33"/>
    <w:rsid w:val="00B4243A"/>
    <w:rsid w:val="00B44ABF"/>
    <w:rsid w:val="00B50623"/>
    <w:rsid w:val="00B50785"/>
    <w:rsid w:val="00B52649"/>
    <w:rsid w:val="00B549BA"/>
    <w:rsid w:val="00B554BE"/>
    <w:rsid w:val="00B6294D"/>
    <w:rsid w:val="00B63304"/>
    <w:rsid w:val="00B75C06"/>
    <w:rsid w:val="00B80FA2"/>
    <w:rsid w:val="00B81A6B"/>
    <w:rsid w:val="00B832E9"/>
    <w:rsid w:val="00B847B6"/>
    <w:rsid w:val="00B922D8"/>
    <w:rsid w:val="00B9312D"/>
    <w:rsid w:val="00B94EC6"/>
    <w:rsid w:val="00B96640"/>
    <w:rsid w:val="00B97D14"/>
    <w:rsid w:val="00BA20AA"/>
    <w:rsid w:val="00BA2FE5"/>
    <w:rsid w:val="00BB002D"/>
    <w:rsid w:val="00BB36F3"/>
    <w:rsid w:val="00BB6AA5"/>
    <w:rsid w:val="00BB744B"/>
    <w:rsid w:val="00BC4ED2"/>
    <w:rsid w:val="00BD24CE"/>
    <w:rsid w:val="00BD2B88"/>
    <w:rsid w:val="00BD4425"/>
    <w:rsid w:val="00BD4EEE"/>
    <w:rsid w:val="00BD6E8D"/>
    <w:rsid w:val="00BE0B0B"/>
    <w:rsid w:val="00BE0EC8"/>
    <w:rsid w:val="00BE0FAB"/>
    <w:rsid w:val="00BE0FDE"/>
    <w:rsid w:val="00BE1620"/>
    <w:rsid w:val="00BE18CC"/>
    <w:rsid w:val="00BE3041"/>
    <w:rsid w:val="00BF1783"/>
    <w:rsid w:val="00BF363A"/>
    <w:rsid w:val="00BF4E9F"/>
    <w:rsid w:val="00BF5F4D"/>
    <w:rsid w:val="00C01428"/>
    <w:rsid w:val="00C02992"/>
    <w:rsid w:val="00C076C4"/>
    <w:rsid w:val="00C11DB3"/>
    <w:rsid w:val="00C127D4"/>
    <w:rsid w:val="00C204FC"/>
    <w:rsid w:val="00C24FCB"/>
    <w:rsid w:val="00C25B49"/>
    <w:rsid w:val="00C32CD3"/>
    <w:rsid w:val="00C32E46"/>
    <w:rsid w:val="00C413AC"/>
    <w:rsid w:val="00C457C5"/>
    <w:rsid w:val="00C51AAD"/>
    <w:rsid w:val="00C550E4"/>
    <w:rsid w:val="00C5583C"/>
    <w:rsid w:val="00C56230"/>
    <w:rsid w:val="00C56617"/>
    <w:rsid w:val="00C56870"/>
    <w:rsid w:val="00C576E0"/>
    <w:rsid w:val="00C57BEF"/>
    <w:rsid w:val="00C64610"/>
    <w:rsid w:val="00C66038"/>
    <w:rsid w:val="00C7096D"/>
    <w:rsid w:val="00C748AC"/>
    <w:rsid w:val="00C75AF0"/>
    <w:rsid w:val="00C77321"/>
    <w:rsid w:val="00C82EFD"/>
    <w:rsid w:val="00C92738"/>
    <w:rsid w:val="00C92B6B"/>
    <w:rsid w:val="00C952C7"/>
    <w:rsid w:val="00C97F99"/>
    <w:rsid w:val="00CA087F"/>
    <w:rsid w:val="00CA3182"/>
    <w:rsid w:val="00CA357A"/>
    <w:rsid w:val="00CA55E9"/>
    <w:rsid w:val="00CA5683"/>
    <w:rsid w:val="00CA69C9"/>
    <w:rsid w:val="00CB1C0C"/>
    <w:rsid w:val="00CB4ABB"/>
    <w:rsid w:val="00CB7CCE"/>
    <w:rsid w:val="00CC0BA1"/>
    <w:rsid w:val="00CC0D2D"/>
    <w:rsid w:val="00CC1C5A"/>
    <w:rsid w:val="00CC6E58"/>
    <w:rsid w:val="00CC7695"/>
    <w:rsid w:val="00CD6561"/>
    <w:rsid w:val="00CD796E"/>
    <w:rsid w:val="00CE0CEF"/>
    <w:rsid w:val="00CE5657"/>
    <w:rsid w:val="00CF1F67"/>
    <w:rsid w:val="00CF5099"/>
    <w:rsid w:val="00CF51CF"/>
    <w:rsid w:val="00CF7AF3"/>
    <w:rsid w:val="00D00861"/>
    <w:rsid w:val="00D03373"/>
    <w:rsid w:val="00D034A5"/>
    <w:rsid w:val="00D04861"/>
    <w:rsid w:val="00D10A4A"/>
    <w:rsid w:val="00D133F8"/>
    <w:rsid w:val="00D14A3E"/>
    <w:rsid w:val="00D14D9E"/>
    <w:rsid w:val="00D20D77"/>
    <w:rsid w:val="00D22AB0"/>
    <w:rsid w:val="00D30768"/>
    <w:rsid w:val="00D30957"/>
    <w:rsid w:val="00D34485"/>
    <w:rsid w:val="00D35A82"/>
    <w:rsid w:val="00D367CD"/>
    <w:rsid w:val="00D40044"/>
    <w:rsid w:val="00D4150C"/>
    <w:rsid w:val="00D47AAB"/>
    <w:rsid w:val="00D511FD"/>
    <w:rsid w:val="00D520B7"/>
    <w:rsid w:val="00D5456F"/>
    <w:rsid w:val="00D633BF"/>
    <w:rsid w:val="00D64C69"/>
    <w:rsid w:val="00D67601"/>
    <w:rsid w:val="00D747A8"/>
    <w:rsid w:val="00D772D2"/>
    <w:rsid w:val="00D82621"/>
    <w:rsid w:val="00D853A4"/>
    <w:rsid w:val="00D856D3"/>
    <w:rsid w:val="00D86E6E"/>
    <w:rsid w:val="00D945B8"/>
    <w:rsid w:val="00D946DE"/>
    <w:rsid w:val="00D96FD4"/>
    <w:rsid w:val="00D97251"/>
    <w:rsid w:val="00DA0B6A"/>
    <w:rsid w:val="00DA52F0"/>
    <w:rsid w:val="00DA6F55"/>
    <w:rsid w:val="00DA7A21"/>
    <w:rsid w:val="00DB16A6"/>
    <w:rsid w:val="00DB7593"/>
    <w:rsid w:val="00DC4322"/>
    <w:rsid w:val="00DC66AD"/>
    <w:rsid w:val="00DC7A0F"/>
    <w:rsid w:val="00DD1EE6"/>
    <w:rsid w:val="00DD37E7"/>
    <w:rsid w:val="00DD7855"/>
    <w:rsid w:val="00DE4922"/>
    <w:rsid w:val="00DE5D3C"/>
    <w:rsid w:val="00DF6B9A"/>
    <w:rsid w:val="00DF7583"/>
    <w:rsid w:val="00E10D51"/>
    <w:rsid w:val="00E15A6B"/>
    <w:rsid w:val="00E175F6"/>
    <w:rsid w:val="00E2287B"/>
    <w:rsid w:val="00E264F8"/>
    <w:rsid w:val="00E26B6D"/>
    <w:rsid w:val="00E27539"/>
    <w:rsid w:val="00E27693"/>
    <w:rsid w:val="00E27F8F"/>
    <w:rsid w:val="00E30889"/>
    <w:rsid w:val="00E31FA2"/>
    <w:rsid w:val="00E3716B"/>
    <w:rsid w:val="00E405C8"/>
    <w:rsid w:val="00E42525"/>
    <w:rsid w:val="00E4409B"/>
    <w:rsid w:val="00E4501D"/>
    <w:rsid w:val="00E466D3"/>
    <w:rsid w:val="00E5194B"/>
    <w:rsid w:val="00E52371"/>
    <w:rsid w:val="00E5323B"/>
    <w:rsid w:val="00E55B22"/>
    <w:rsid w:val="00E55C3E"/>
    <w:rsid w:val="00E61892"/>
    <w:rsid w:val="00E67227"/>
    <w:rsid w:val="00E73002"/>
    <w:rsid w:val="00E7694D"/>
    <w:rsid w:val="00E8749E"/>
    <w:rsid w:val="00E87D35"/>
    <w:rsid w:val="00E90C01"/>
    <w:rsid w:val="00E90DC5"/>
    <w:rsid w:val="00E91EBA"/>
    <w:rsid w:val="00E92BA2"/>
    <w:rsid w:val="00E95FE7"/>
    <w:rsid w:val="00EA3953"/>
    <w:rsid w:val="00EA486E"/>
    <w:rsid w:val="00EA6DC8"/>
    <w:rsid w:val="00EB0D03"/>
    <w:rsid w:val="00EB1958"/>
    <w:rsid w:val="00EB2D57"/>
    <w:rsid w:val="00EB3278"/>
    <w:rsid w:val="00EB799D"/>
    <w:rsid w:val="00EC39D1"/>
    <w:rsid w:val="00EC6641"/>
    <w:rsid w:val="00EC6D10"/>
    <w:rsid w:val="00EC7251"/>
    <w:rsid w:val="00EC7C85"/>
    <w:rsid w:val="00ED0AFB"/>
    <w:rsid w:val="00ED442F"/>
    <w:rsid w:val="00ED5407"/>
    <w:rsid w:val="00EE21C9"/>
    <w:rsid w:val="00EE364D"/>
    <w:rsid w:val="00EE3F67"/>
    <w:rsid w:val="00EE6729"/>
    <w:rsid w:val="00EE7308"/>
    <w:rsid w:val="00EE75EA"/>
    <w:rsid w:val="00F05621"/>
    <w:rsid w:val="00F06DD1"/>
    <w:rsid w:val="00F124E9"/>
    <w:rsid w:val="00F14CED"/>
    <w:rsid w:val="00F171C2"/>
    <w:rsid w:val="00F22852"/>
    <w:rsid w:val="00F25DEA"/>
    <w:rsid w:val="00F317E5"/>
    <w:rsid w:val="00F36394"/>
    <w:rsid w:val="00F43001"/>
    <w:rsid w:val="00F4478F"/>
    <w:rsid w:val="00F509CF"/>
    <w:rsid w:val="00F579FE"/>
    <w:rsid w:val="00F57B0C"/>
    <w:rsid w:val="00F603D9"/>
    <w:rsid w:val="00F73D95"/>
    <w:rsid w:val="00F73EB0"/>
    <w:rsid w:val="00F7532F"/>
    <w:rsid w:val="00F8040F"/>
    <w:rsid w:val="00F82608"/>
    <w:rsid w:val="00F83004"/>
    <w:rsid w:val="00F840F1"/>
    <w:rsid w:val="00F85604"/>
    <w:rsid w:val="00F8593E"/>
    <w:rsid w:val="00F9024A"/>
    <w:rsid w:val="00F97E1A"/>
    <w:rsid w:val="00FA2D99"/>
    <w:rsid w:val="00FA45C9"/>
    <w:rsid w:val="00FA47B1"/>
    <w:rsid w:val="00FB0F51"/>
    <w:rsid w:val="00FD0634"/>
    <w:rsid w:val="00FD122A"/>
    <w:rsid w:val="00FE5393"/>
    <w:rsid w:val="00FF2612"/>
    <w:rsid w:val="00FF4E71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2A21AE"/>
  <w15:chartTrackingRefBased/>
  <w15:docId w15:val="{E035E3E3-5245-4BE3-9F50-7A83D10B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01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uiPriority w:val="99"/>
    <w:semiHidden/>
    <w:rsid w:val="00E90C01"/>
    <w:rPr>
      <w:color w:val="808080"/>
    </w:rPr>
  </w:style>
  <w:style w:type="character" w:styleId="FollowedHyperlink">
    <w:name w:val="FollowedHyperlink"/>
    <w:uiPriority w:val="99"/>
    <w:semiHidden/>
    <w:unhideWhenUsed/>
    <w:rsid w:val="003E0791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0F0B87"/>
    <w:pPr>
      <w:spacing w:after="200" w:line="276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0F0B87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001355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B3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F73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F73D95"/>
  </w:style>
  <w:style w:type="character" w:styleId="CommentReference">
    <w:name w:val="annotation reference"/>
    <w:basedOn w:val="DefaultParagraphFont"/>
    <w:uiPriority w:val="99"/>
    <w:unhideWhenUsed/>
    <w:rsid w:val="0003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A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AA7"/>
    <w:rPr>
      <w:b/>
      <w:bCs/>
      <w:lang w:eastAsia="en-US"/>
    </w:rPr>
  </w:style>
  <w:style w:type="paragraph" w:styleId="Revision">
    <w:name w:val="Revision"/>
    <w:hidden/>
    <w:uiPriority w:val="99"/>
    <w:semiHidden/>
    <w:rsid w:val="007B5202"/>
    <w:rPr>
      <w:sz w:val="22"/>
      <w:szCs w:val="22"/>
      <w:lang w:eastAsia="en-US"/>
    </w:rPr>
  </w:style>
  <w:style w:type="paragraph" w:customStyle="1" w:styleId="Default">
    <w:name w:val="Default"/>
    <w:rsid w:val="0062135D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ndra.Macivka@f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08F2E-72FE-4B95-9DAB-10D53EAC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6832</Words>
  <Characters>3895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“Grozījumi likumā “Par valsts apdraudējuma un tā seku novēršanas un pārvarēšanas pasākumiem sakarā ar Covid-19 izplatību”” sākotnējās ietekmes novērtējuma ziņojums (anotācija)</vt:lpstr>
    </vt:vector>
  </TitlesOfParts>
  <Company>Finanšu ministrija</Company>
  <LinksUpToDate>false</LinksUpToDate>
  <CharactersWithSpaces>10706</CharactersWithSpaces>
  <SharedDoc>false</SharedDoc>
  <HLinks>
    <vt:vector size="6" baseType="variant">
      <vt:variant>
        <vt:i4>2949165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https://likumi.lv/ta/id/56880-par-iedzivotaju-ienakuma-nodokli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“Grozījumi likumā “Par valsts apdraudējuma un tā seku novēršanas un pārvarēšanas pasākumiem sakarā ar Covid-19 izplatību”” sākotnējās ietekmes novērtējuma ziņojums (anotācija)</dc:title>
  <dc:subject>Anotācija</dc:subject>
  <dc:creator>sandra.macivka@fm.gov.lv</dc:creator>
  <cp:keywords>Anotācija</cp:keywords>
  <dc:description>tālrunis 67095630; sandra.macivka@fm.g</dc:description>
  <cp:lastModifiedBy>Astra Kaļāne</cp:lastModifiedBy>
  <cp:revision>8</cp:revision>
  <cp:lastPrinted>2020-03-16T12:42:00Z</cp:lastPrinted>
  <dcterms:created xsi:type="dcterms:W3CDTF">2020-04-06T12:13:00Z</dcterms:created>
  <dcterms:modified xsi:type="dcterms:W3CDTF">2020-04-06T13:47:00Z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