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3D3" w:rsidRDefault="00D813D3" w:rsidP="00BB4E87">
      <w:pPr>
        <w:jc w:val="center"/>
        <w:rPr>
          <w:b/>
          <w:color w:val="auto"/>
          <w:sz w:val="26"/>
          <w:szCs w:val="26"/>
        </w:rPr>
      </w:pPr>
    </w:p>
    <w:p w:rsidR="000C7EFF" w:rsidRPr="00F2119A" w:rsidRDefault="00BB4E87" w:rsidP="00BB4E87">
      <w:pPr>
        <w:jc w:val="center"/>
        <w:rPr>
          <w:b/>
          <w:color w:val="auto"/>
          <w:sz w:val="26"/>
          <w:szCs w:val="26"/>
        </w:rPr>
      </w:pPr>
      <w:r w:rsidRPr="00F2119A">
        <w:rPr>
          <w:b/>
          <w:color w:val="auto"/>
          <w:sz w:val="26"/>
          <w:szCs w:val="26"/>
        </w:rPr>
        <w:t xml:space="preserve">Likumprojekta “Grozījumi Latvijas Administratīvo pārkāpumu kodeksā” </w:t>
      </w:r>
      <w:r w:rsidR="00E203EE" w:rsidRPr="00F2119A">
        <w:rPr>
          <w:b/>
          <w:color w:val="auto"/>
          <w:sz w:val="26"/>
          <w:szCs w:val="26"/>
        </w:rPr>
        <w:t>sākotnējās ietekmes novērtējuma ziņojums (anotācija)</w:t>
      </w:r>
    </w:p>
    <w:p w:rsidR="001172D2" w:rsidRDefault="001172D2" w:rsidP="005616CA">
      <w:pPr>
        <w:shd w:val="clear" w:color="auto" w:fill="FFFFFF"/>
        <w:rPr>
          <w:color w:val="auto"/>
          <w:sz w:val="26"/>
          <w:szCs w:val="26"/>
        </w:rPr>
      </w:pPr>
    </w:p>
    <w:p w:rsidR="00D813D3" w:rsidRPr="00F2119A" w:rsidRDefault="00D813D3" w:rsidP="005616CA">
      <w:pPr>
        <w:shd w:val="clear" w:color="auto" w:fill="FFFFFF"/>
        <w:rPr>
          <w:color w:val="auto"/>
          <w:sz w:val="26"/>
          <w:szCs w:val="26"/>
        </w:rPr>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383"/>
      </w:tblGrid>
      <w:tr w:rsidR="00335DEF" w:rsidRPr="00F2119A" w:rsidTr="004946D2">
        <w:tc>
          <w:tcPr>
            <w:tcW w:w="8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F2119A" w:rsidRDefault="00E203EE">
            <w:pPr>
              <w:jc w:val="center"/>
              <w:rPr>
                <w:rFonts w:ascii="Times New Roman" w:hAnsi="Times New Roman" w:cs="Times New Roman"/>
                <w:b/>
                <w:color w:val="auto"/>
                <w:sz w:val="26"/>
                <w:szCs w:val="26"/>
              </w:rPr>
            </w:pPr>
            <w:r w:rsidRPr="00F2119A">
              <w:rPr>
                <w:rFonts w:ascii="Times New Roman" w:hAnsi="Times New Roman" w:cs="Times New Roman"/>
                <w:b/>
                <w:color w:val="auto"/>
                <w:sz w:val="26"/>
                <w:szCs w:val="26"/>
              </w:rPr>
              <w:t xml:space="preserve">Tiesību akta projekta anotācijas kopsavilkums </w:t>
            </w:r>
          </w:p>
        </w:tc>
      </w:tr>
      <w:tr w:rsidR="00335DEF" w:rsidRPr="00F2119A" w:rsidTr="004946D2">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F2119A" w:rsidRDefault="00E203EE">
            <w:pPr>
              <w:rPr>
                <w:rFonts w:ascii="Times New Roman" w:hAnsi="Times New Roman" w:cs="Times New Roman"/>
                <w:color w:val="auto"/>
                <w:sz w:val="26"/>
                <w:szCs w:val="26"/>
              </w:rPr>
            </w:pPr>
            <w:r w:rsidRPr="00F2119A">
              <w:rPr>
                <w:rFonts w:ascii="Times New Roman" w:hAnsi="Times New Roman" w:cs="Times New Roman"/>
                <w:color w:val="auto"/>
                <w:sz w:val="26"/>
                <w:szCs w:val="26"/>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rsidR="005E1ADF" w:rsidRPr="00F2119A" w:rsidRDefault="00E75A1E" w:rsidP="00D813D3">
            <w:pPr>
              <w:pStyle w:val="NoSpacing"/>
              <w:tabs>
                <w:tab w:val="left" w:pos="456"/>
              </w:tabs>
              <w:jc w:val="both"/>
              <w:rPr>
                <w:rFonts w:ascii="Times New Roman" w:hAnsi="Times New Roman" w:cs="Times New Roman"/>
                <w:sz w:val="26"/>
                <w:szCs w:val="26"/>
                <w:lang w:val="lv-LV"/>
              </w:rPr>
            </w:pPr>
            <w:r w:rsidRPr="00F2119A">
              <w:rPr>
                <w:rFonts w:ascii="Times New Roman" w:hAnsi="Times New Roman" w:cs="Times New Roman"/>
                <w:sz w:val="26"/>
                <w:szCs w:val="26"/>
                <w:lang w:val="lv-LV"/>
              </w:rPr>
              <w:t>Likumprojekts “Grozījum</w:t>
            </w:r>
            <w:r w:rsidR="00BB4E87" w:rsidRPr="00F2119A">
              <w:rPr>
                <w:rFonts w:ascii="Times New Roman" w:hAnsi="Times New Roman" w:cs="Times New Roman"/>
                <w:sz w:val="26"/>
                <w:szCs w:val="26"/>
                <w:lang w:val="lv-LV"/>
              </w:rPr>
              <w:t>i</w:t>
            </w:r>
            <w:r w:rsidR="00D813D3">
              <w:rPr>
                <w:rFonts w:ascii="Times New Roman" w:hAnsi="Times New Roman" w:cs="Times New Roman"/>
                <w:sz w:val="26"/>
                <w:szCs w:val="26"/>
                <w:lang w:val="lv-LV"/>
              </w:rPr>
              <w:t xml:space="preserve"> </w:t>
            </w:r>
            <w:r w:rsidR="00BB4E87" w:rsidRPr="001837A5">
              <w:rPr>
                <w:rFonts w:ascii="Times New Roman" w:hAnsi="Times New Roman" w:cs="Times New Roman"/>
                <w:sz w:val="26"/>
                <w:szCs w:val="26"/>
                <w:lang w:val="lv-LV"/>
              </w:rPr>
              <w:t>Latvijas Administratīvo pārkāpumu kodeksā”</w:t>
            </w:r>
            <w:r w:rsidR="005E1ADF" w:rsidRPr="00F2119A">
              <w:rPr>
                <w:rFonts w:ascii="Times New Roman" w:hAnsi="Times New Roman" w:cs="Times New Roman"/>
                <w:sz w:val="26"/>
                <w:szCs w:val="26"/>
                <w:lang w:val="lv-LV"/>
              </w:rPr>
              <w:t xml:space="preserve"> (turpmāk – likumprojekts) paredz:</w:t>
            </w:r>
          </w:p>
          <w:p w:rsidR="007D683B" w:rsidRPr="00F2119A" w:rsidRDefault="007D683B" w:rsidP="007D683B">
            <w:pPr>
              <w:pStyle w:val="tv213"/>
              <w:shd w:val="clear" w:color="auto" w:fill="FFFFFF"/>
              <w:spacing w:before="0" w:beforeAutospacing="0" w:after="0" w:afterAutospacing="0" w:line="293" w:lineRule="atLeast"/>
              <w:jc w:val="both"/>
              <w:rPr>
                <w:rFonts w:ascii="Times New Roman" w:hAnsi="Times New Roman" w:cs="Times New Roman"/>
                <w:sz w:val="26"/>
                <w:szCs w:val="26"/>
              </w:rPr>
            </w:pPr>
            <w:r w:rsidRPr="00F2119A">
              <w:rPr>
                <w:rFonts w:ascii="Times New Roman" w:hAnsi="Times New Roman" w:cs="Times New Roman"/>
                <w:sz w:val="26"/>
                <w:szCs w:val="26"/>
              </w:rPr>
              <w:t>1. paaugstināt naudas sodu par administratīvajiem pārkāpumiem, par kuriem paredzēta administratīvā atbildība Latvijas Administratīvo pārkāpumu kodeksa 42. pantā un 176.</w:t>
            </w:r>
            <w:r w:rsidRPr="00F2119A">
              <w:rPr>
                <w:rFonts w:ascii="Times New Roman" w:hAnsi="Times New Roman" w:cs="Times New Roman"/>
                <w:sz w:val="26"/>
                <w:szCs w:val="26"/>
                <w:vertAlign w:val="superscript"/>
              </w:rPr>
              <w:t>2</w:t>
            </w:r>
            <w:r w:rsidRPr="00F2119A">
              <w:rPr>
                <w:rFonts w:ascii="Times New Roman" w:hAnsi="Times New Roman" w:cs="Times New Roman"/>
                <w:sz w:val="26"/>
                <w:szCs w:val="26"/>
              </w:rPr>
              <w:t xml:space="preserve"> pantā.</w:t>
            </w:r>
          </w:p>
          <w:p w:rsidR="007D683B" w:rsidRPr="00DF4E98" w:rsidRDefault="007D683B" w:rsidP="007D683B">
            <w:pPr>
              <w:pStyle w:val="tv213"/>
              <w:shd w:val="clear" w:color="auto" w:fill="FFFFFF"/>
              <w:spacing w:before="0" w:beforeAutospacing="0" w:after="0" w:afterAutospacing="0" w:line="293" w:lineRule="atLeast"/>
              <w:jc w:val="both"/>
              <w:rPr>
                <w:rFonts w:ascii="Times New Roman" w:hAnsi="Times New Roman" w:cs="Times New Roman"/>
                <w:sz w:val="26"/>
                <w:szCs w:val="26"/>
              </w:rPr>
            </w:pPr>
            <w:r w:rsidRPr="00DF4E98">
              <w:rPr>
                <w:rFonts w:ascii="Times New Roman" w:hAnsi="Times New Roman" w:cs="Times New Roman"/>
                <w:sz w:val="26"/>
                <w:szCs w:val="26"/>
              </w:rPr>
              <w:t>2.</w:t>
            </w:r>
            <w:r w:rsidRPr="00DF4E98">
              <w:rPr>
                <w:rFonts w:ascii="Times New Roman" w:hAnsi="Times New Roman" w:cs="Times New Roman"/>
                <w:sz w:val="26"/>
                <w:szCs w:val="26"/>
                <w:shd w:val="clear" w:color="auto" w:fill="FFFFFF"/>
              </w:rPr>
              <w:t xml:space="preserve"> noteikt administratīvo atbildību p</w:t>
            </w:r>
            <w:r w:rsidRPr="00DF4E98">
              <w:rPr>
                <w:rFonts w:ascii="Times New Roman" w:hAnsi="Times New Roman" w:cs="Times New Roman"/>
                <w:sz w:val="26"/>
                <w:szCs w:val="26"/>
              </w:rPr>
              <w:t>ersonai, kura nesniedz informāciju, ka ir slima ar infekcijas slimību, ir bijusi kontaktā ar infekcijas slimību slimu personu vai bijusi infekcijas perēklī, laikā, kad valstī saistībā ar attiecīgās infekcijas slimības izplatību izsludināta ārkārtējā situācija;</w:t>
            </w:r>
          </w:p>
          <w:p w:rsidR="001920C0" w:rsidRDefault="007D683B" w:rsidP="001920C0">
            <w:pPr>
              <w:pStyle w:val="tv213"/>
              <w:shd w:val="clear" w:color="auto" w:fill="FFFFFF"/>
              <w:spacing w:before="0" w:beforeAutospacing="0" w:after="0" w:afterAutospacing="0" w:line="293" w:lineRule="atLeast"/>
              <w:jc w:val="both"/>
              <w:rPr>
                <w:rFonts w:ascii="Times New Roman" w:hAnsi="Times New Roman" w:cs="Times New Roman"/>
                <w:sz w:val="26"/>
                <w:szCs w:val="26"/>
                <w:shd w:val="clear" w:color="auto" w:fill="FFFFFF"/>
              </w:rPr>
            </w:pPr>
            <w:r w:rsidRPr="00DF4E98">
              <w:rPr>
                <w:rFonts w:ascii="Times New Roman" w:hAnsi="Times New Roman" w:cs="Times New Roman"/>
                <w:sz w:val="26"/>
                <w:szCs w:val="26"/>
              </w:rPr>
              <w:t xml:space="preserve">3. </w:t>
            </w:r>
            <w:r w:rsidR="00DF4E98" w:rsidRPr="00DF4E98">
              <w:rPr>
                <w:rFonts w:ascii="Times New Roman" w:hAnsi="Times New Roman" w:cs="Times New Roman"/>
                <w:sz w:val="26"/>
                <w:szCs w:val="26"/>
              </w:rPr>
              <w:t xml:space="preserve">noteikt </w:t>
            </w:r>
            <w:r w:rsidRPr="00DF4E98">
              <w:rPr>
                <w:rFonts w:ascii="Times New Roman" w:hAnsi="Times New Roman" w:cs="Times New Roman"/>
                <w:sz w:val="26"/>
                <w:szCs w:val="26"/>
              </w:rPr>
              <w:t xml:space="preserve">administratīvo atbildību par atteikšanos veikt </w:t>
            </w:r>
            <w:r w:rsidRPr="00DF4E98">
              <w:rPr>
                <w:rFonts w:ascii="Times New Roman" w:hAnsi="Times New Roman" w:cs="Times New Roman"/>
                <w:sz w:val="26"/>
                <w:szCs w:val="26"/>
                <w:shd w:val="clear" w:color="auto" w:fill="FFFFFF"/>
              </w:rPr>
              <w:t>pārbaudi alko</w:t>
            </w:r>
            <w:r w:rsidR="00DF4E98" w:rsidRPr="00DF4E98">
              <w:rPr>
                <w:rFonts w:ascii="Times New Roman" w:hAnsi="Times New Roman" w:cs="Times New Roman"/>
                <w:sz w:val="26"/>
                <w:szCs w:val="26"/>
                <w:shd w:val="clear" w:color="auto" w:fill="FFFFFF"/>
              </w:rPr>
              <w:t>hola koncentrācijas noteikšanai, ja pārbaude tiek veikta,</w:t>
            </w:r>
            <w:r w:rsidR="00DF4E98" w:rsidRPr="00DF4E98">
              <w:rPr>
                <w:rFonts w:ascii="Times New Roman" w:hAnsi="Times New Roman" w:cs="Times New Roman"/>
                <w:sz w:val="26"/>
                <w:szCs w:val="26"/>
              </w:rPr>
              <w:t xml:space="preserve"> izmantojot</w:t>
            </w:r>
            <w:r w:rsidR="00D813D3">
              <w:rPr>
                <w:rFonts w:ascii="Times New Roman" w:hAnsi="Times New Roman" w:cs="Times New Roman"/>
                <w:sz w:val="26"/>
                <w:szCs w:val="26"/>
              </w:rPr>
              <w:t xml:space="preserve"> </w:t>
            </w:r>
            <w:r w:rsidR="00DF4E98" w:rsidRPr="00DF4E98">
              <w:rPr>
                <w:rFonts w:ascii="Times New Roman" w:hAnsi="Times New Roman" w:cs="Times New Roman"/>
                <w:sz w:val="26"/>
                <w:szCs w:val="26"/>
                <w:shd w:val="clear" w:color="auto" w:fill="FFFFFF"/>
              </w:rPr>
              <w:t>portatīvo mērierīci</w:t>
            </w:r>
            <w:r w:rsidR="001920C0">
              <w:rPr>
                <w:rFonts w:ascii="Times New Roman" w:hAnsi="Times New Roman" w:cs="Times New Roman"/>
                <w:sz w:val="26"/>
                <w:szCs w:val="26"/>
                <w:shd w:val="clear" w:color="auto" w:fill="FFFFFF"/>
              </w:rPr>
              <w:t>.</w:t>
            </w:r>
          </w:p>
          <w:p w:rsidR="00E75A1E" w:rsidRPr="00F2119A" w:rsidRDefault="00C3686E" w:rsidP="001920C0">
            <w:pPr>
              <w:pStyle w:val="tv213"/>
              <w:shd w:val="clear" w:color="auto" w:fill="FFFFFF"/>
              <w:spacing w:before="0" w:beforeAutospacing="0" w:after="0" w:afterAutospacing="0" w:line="293" w:lineRule="atLeast"/>
              <w:jc w:val="both"/>
              <w:rPr>
                <w:rFonts w:ascii="Times New Roman" w:hAnsi="Times New Roman" w:cs="Times New Roman"/>
                <w:sz w:val="26"/>
                <w:szCs w:val="26"/>
              </w:rPr>
            </w:pPr>
            <w:r w:rsidRPr="00DF4E98">
              <w:rPr>
                <w:rFonts w:ascii="Times New Roman" w:hAnsi="Times New Roman" w:cs="Times New Roman"/>
                <w:sz w:val="26"/>
                <w:szCs w:val="26"/>
              </w:rPr>
              <w:t>Likumprojekts stāsies spēkā</w:t>
            </w:r>
            <w:r w:rsidR="00D813D3">
              <w:rPr>
                <w:rFonts w:ascii="Times New Roman" w:hAnsi="Times New Roman" w:cs="Times New Roman"/>
                <w:sz w:val="26"/>
                <w:szCs w:val="26"/>
              </w:rPr>
              <w:t xml:space="preserve"> </w:t>
            </w:r>
            <w:r w:rsidR="007D683B" w:rsidRPr="00F2119A">
              <w:rPr>
                <w:rFonts w:ascii="Times New Roman" w:hAnsi="Times New Roman" w:cs="Times New Roman"/>
                <w:sz w:val="26"/>
                <w:szCs w:val="26"/>
              </w:rPr>
              <w:t xml:space="preserve">nākamajā dienā pēc </w:t>
            </w:r>
            <w:r w:rsidRPr="00F2119A">
              <w:rPr>
                <w:rFonts w:ascii="Times New Roman" w:hAnsi="Times New Roman" w:cs="Times New Roman"/>
                <w:sz w:val="26"/>
                <w:szCs w:val="26"/>
              </w:rPr>
              <w:t>tā izsludināšanas.</w:t>
            </w:r>
          </w:p>
        </w:tc>
      </w:tr>
    </w:tbl>
    <w:p w:rsidR="000C7EFF" w:rsidRPr="00F2119A" w:rsidRDefault="000C7EFF">
      <w:pPr>
        <w:shd w:val="clear" w:color="auto" w:fill="FFFFFF"/>
        <w:ind w:firstLine="300"/>
        <w:jc w:val="center"/>
        <w:rPr>
          <w:color w:val="auto"/>
          <w:sz w:val="26"/>
          <w:szCs w:val="26"/>
        </w:rPr>
      </w:pPr>
    </w:p>
    <w:tbl>
      <w:tblPr>
        <w:tblStyle w:val="a0"/>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335DEF" w:rsidRPr="00F2119A" w:rsidTr="00F2119A">
        <w:trPr>
          <w:trHeight w:val="24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b/>
                <w:color w:val="auto"/>
                <w:sz w:val="26"/>
                <w:szCs w:val="26"/>
              </w:rPr>
              <w:t>I. Tiesību akta projekta izstrādes nepieciešamība</w:t>
            </w:r>
          </w:p>
        </w:tc>
      </w:tr>
      <w:tr w:rsidR="00335DEF" w:rsidRPr="00F2119A" w:rsidTr="00464C53">
        <w:trPr>
          <w:trHeight w:val="733"/>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jc w:val="center"/>
              <w:rPr>
                <w:color w:val="auto"/>
                <w:sz w:val="26"/>
                <w:szCs w:val="26"/>
              </w:rPr>
            </w:pPr>
            <w:r w:rsidRPr="00F2119A">
              <w:rPr>
                <w:color w:val="auto"/>
                <w:sz w:val="26"/>
                <w:szCs w:val="26"/>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rsidP="003A4ABB">
            <w:pPr>
              <w:rPr>
                <w:color w:val="auto"/>
                <w:sz w:val="26"/>
                <w:szCs w:val="26"/>
              </w:rPr>
            </w:pPr>
            <w:r w:rsidRPr="00F2119A">
              <w:rPr>
                <w:color w:val="auto"/>
                <w:sz w:val="26"/>
                <w:szCs w:val="26"/>
              </w:rPr>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4946D2" w:rsidP="003A4ABB">
            <w:pPr>
              <w:ind w:firstLine="402"/>
              <w:jc w:val="both"/>
              <w:rPr>
                <w:color w:val="auto"/>
                <w:sz w:val="26"/>
                <w:szCs w:val="26"/>
              </w:rPr>
            </w:pPr>
            <w:r w:rsidRPr="00F2119A">
              <w:rPr>
                <w:color w:val="auto"/>
                <w:sz w:val="26"/>
                <w:szCs w:val="26"/>
              </w:rPr>
              <w:t>Iekšlietu ministrijas iniciatīva.</w:t>
            </w:r>
          </w:p>
          <w:p w:rsidR="00D813D3" w:rsidRDefault="00D813D3" w:rsidP="003A4ABB">
            <w:pPr>
              <w:ind w:firstLine="402"/>
              <w:jc w:val="both"/>
              <w:rPr>
                <w:color w:val="auto"/>
                <w:sz w:val="26"/>
                <w:szCs w:val="26"/>
              </w:rPr>
            </w:pPr>
          </w:p>
          <w:p w:rsidR="00D813D3" w:rsidRPr="00F2119A" w:rsidRDefault="00D813D3" w:rsidP="003A4ABB">
            <w:pPr>
              <w:ind w:firstLine="402"/>
              <w:jc w:val="both"/>
              <w:rPr>
                <w:color w:val="auto"/>
                <w:sz w:val="26"/>
                <w:szCs w:val="26"/>
              </w:rPr>
            </w:pPr>
          </w:p>
        </w:tc>
      </w:tr>
      <w:tr w:rsidR="00335DEF" w:rsidRPr="00F2119A"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jc w:val="center"/>
              <w:rPr>
                <w:color w:val="auto"/>
                <w:sz w:val="26"/>
                <w:szCs w:val="26"/>
              </w:rPr>
            </w:pPr>
            <w:r w:rsidRPr="00F2119A">
              <w:rPr>
                <w:color w:val="auto"/>
                <w:sz w:val="26"/>
                <w:szCs w:val="26"/>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3A1443" w:rsidRPr="001837A5" w:rsidRDefault="003A1443" w:rsidP="003A1443">
            <w:pPr>
              <w:pStyle w:val="NoSpacing"/>
              <w:ind w:firstLine="720"/>
              <w:jc w:val="both"/>
              <w:rPr>
                <w:rFonts w:ascii="Times New Roman" w:hAnsi="Times New Roman"/>
                <w:sz w:val="26"/>
                <w:szCs w:val="26"/>
                <w:lang w:val="lv-LV"/>
              </w:rPr>
            </w:pPr>
            <w:r w:rsidRPr="001837A5">
              <w:rPr>
                <w:rFonts w:ascii="Times New Roman" w:hAnsi="Times New Roman"/>
                <w:sz w:val="26"/>
                <w:szCs w:val="26"/>
                <w:lang w:val="lv-LV"/>
              </w:rPr>
              <w:t xml:space="preserve">Saskaņā ar Ministru kabineta </w:t>
            </w:r>
            <w:proofErr w:type="gramStart"/>
            <w:r w:rsidRPr="001837A5">
              <w:rPr>
                <w:rFonts w:ascii="Times New Roman" w:hAnsi="Times New Roman"/>
                <w:sz w:val="26"/>
                <w:szCs w:val="26"/>
                <w:lang w:val="lv-LV"/>
              </w:rPr>
              <w:t>2020.gada</w:t>
            </w:r>
            <w:proofErr w:type="gramEnd"/>
            <w:r w:rsidRPr="001837A5">
              <w:rPr>
                <w:rFonts w:ascii="Times New Roman" w:hAnsi="Times New Roman"/>
                <w:sz w:val="26"/>
                <w:szCs w:val="26"/>
                <w:lang w:val="lv-LV"/>
              </w:rPr>
              <w:t xml:space="preserve"> 12.marta rīkojumu Nr.103 “Par ārkārtējās situācijas izsludināšanu” </w:t>
            </w:r>
            <w:r w:rsidRPr="00F2119A">
              <w:rPr>
                <w:rFonts w:ascii="Times New Roman" w:hAnsi="Times New Roman"/>
                <w:sz w:val="26"/>
                <w:szCs w:val="26"/>
                <w:lang w:val="lv-LV"/>
              </w:rPr>
              <w:t xml:space="preserve">(turpmāk – rīkojums) no lēmuma pieņemšanas brīža līdz 2020.gada 14.aprīlim visā valsts teritorijā ir izsludināta ārkārtējā situācija ar mērķi ierobežot </w:t>
            </w:r>
            <w:proofErr w:type="spellStart"/>
            <w:r w:rsidRPr="00F2119A">
              <w:rPr>
                <w:rFonts w:ascii="Times New Roman" w:hAnsi="Times New Roman"/>
                <w:sz w:val="26"/>
                <w:szCs w:val="26"/>
                <w:lang w:val="lv-LV"/>
              </w:rPr>
              <w:t>Covid-19</w:t>
            </w:r>
            <w:proofErr w:type="spellEnd"/>
            <w:r w:rsidRPr="00F2119A">
              <w:rPr>
                <w:rFonts w:ascii="Times New Roman" w:hAnsi="Times New Roman"/>
                <w:sz w:val="26"/>
                <w:szCs w:val="26"/>
                <w:lang w:val="lv-LV"/>
              </w:rPr>
              <w:t xml:space="preserve"> izplatību ārkārtējās situācijas spēkā esības laikā. Rīkojums pamatots ar Civilās aizsardzības un katastrofu pārvaldīšanas likuma, likuma “Par ārkārtējo situāciju un izņēmuma stāvokli” un Epidemioloģiskās drošības likuma normām.</w:t>
            </w:r>
          </w:p>
          <w:p w:rsidR="003A1443" w:rsidRPr="00F2119A" w:rsidRDefault="003A1443" w:rsidP="003A1443">
            <w:pPr>
              <w:pStyle w:val="NoSpacing"/>
              <w:ind w:firstLine="720"/>
              <w:jc w:val="both"/>
              <w:rPr>
                <w:rFonts w:ascii="Times New Roman" w:hAnsi="Times New Roman"/>
                <w:sz w:val="26"/>
                <w:szCs w:val="26"/>
                <w:lang w:val="lv-LV"/>
              </w:rPr>
            </w:pPr>
            <w:r w:rsidRPr="00F2119A">
              <w:rPr>
                <w:rFonts w:ascii="Times New Roman" w:hAnsi="Times New Roman"/>
                <w:sz w:val="26"/>
                <w:szCs w:val="26"/>
                <w:lang w:val="lv-LV"/>
              </w:rPr>
              <w:t>Saskaņā ar likuma</w:t>
            </w:r>
            <w:proofErr w:type="gramStart"/>
            <w:r w:rsidRPr="00F2119A">
              <w:rPr>
                <w:rFonts w:ascii="Times New Roman" w:hAnsi="Times New Roman"/>
                <w:sz w:val="26"/>
                <w:szCs w:val="26"/>
                <w:lang w:val="lv-LV"/>
              </w:rPr>
              <w:t xml:space="preserve"> ,P</w:t>
            </w:r>
            <w:proofErr w:type="gramEnd"/>
            <w:r w:rsidRPr="00F2119A">
              <w:rPr>
                <w:rFonts w:ascii="Times New Roman" w:hAnsi="Times New Roman"/>
                <w:sz w:val="26"/>
                <w:szCs w:val="26"/>
                <w:lang w:val="lv-LV"/>
              </w:rPr>
              <w:t xml:space="preserve">ar ārkārtējo situāciju un izņēmuma stāvokli” 4.pantu ārkārtējā situācija ir īpašs tiesiskais režīms, kura laikā Ministru kabinetam ir tiesības ierobežot valsts pārvaldes un pašvaldību institūciju, fizisko un juridisko personu tiesības un brīvības, kā arī uzlikt tām papildu </w:t>
            </w:r>
            <w:r w:rsidRPr="00F2119A">
              <w:rPr>
                <w:rFonts w:ascii="Times New Roman" w:hAnsi="Times New Roman"/>
                <w:sz w:val="26"/>
                <w:szCs w:val="26"/>
                <w:lang w:val="lv-LV"/>
              </w:rPr>
              <w:lastRenderedPageBreak/>
              <w:t>pienākumus. Likums</w:t>
            </w:r>
            <w:proofErr w:type="gramStart"/>
            <w:r w:rsidRPr="00F2119A">
              <w:rPr>
                <w:rFonts w:ascii="Times New Roman" w:hAnsi="Times New Roman"/>
                <w:sz w:val="26"/>
                <w:szCs w:val="26"/>
                <w:lang w:val="lv-LV"/>
              </w:rPr>
              <w:t xml:space="preserve"> ,,</w:t>
            </w:r>
            <w:proofErr w:type="gramEnd"/>
            <w:r w:rsidRPr="00F2119A">
              <w:rPr>
                <w:rFonts w:ascii="Times New Roman" w:hAnsi="Times New Roman"/>
                <w:sz w:val="26"/>
                <w:szCs w:val="26"/>
                <w:lang w:val="lv-LV"/>
              </w:rPr>
              <w:t xml:space="preserve">Par ārkārtējās situācijas izsludināšanu” nosaka, kādus ierobežojumus ārkārtējās situācijas laikā Ministru kabinets var noteikt, piemēram, īpašu pārvietošanās un pulcēšanās kārtību vai pārvietošanās un pulcēšanās ierobežojumus u.c. Savukārt Epidemioloģiskās drošības likuma 3. panta otrā daļa pilnvaro Ministru kabinetu noteikt epidemioloģiskās drošības pasākumus atsevišķu infekcijas slimību izplatības ierobežošanai. </w:t>
            </w:r>
          </w:p>
          <w:p w:rsidR="003A1443" w:rsidRPr="00F2119A" w:rsidRDefault="003A1443" w:rsidP="003A1443">
            <w:pPr>
              <w:pStyle w:val="NoSpacing"/>
              <w:ind w:firstLine="720"/>
              <w:jc w:val="both"/>
              <w:rPr>
                <w:rFonts w:ascii="Times New Roman" w:hAnsi="Times New Roman"/>
                <w:sz w:val="26"/>
                <w:szCs w:val="26"/>
                <w:lang w:val="lv-LV"/>
              </w:rPr>
            </w:pPr>
            <w:r w:rsidRPr="00F2119A">
              <w:rPr>
                <w:rFonts w:ascii="Times New Roman" w:hAnsi="Times New Roman"/>
                <w:sz w:val="26"/>
                <w:szCs w:val="26"/>
                <w:lang w:val="lv-LV"/>
              </w:rPr>
              <w:t xml:space="preserve">Lai samazinātu </w:t>
            </w:r>
            <w:proofErr w:type="spellStart"/>
            <w:r w:rsidRPr="00F2119A">
              <w:rPr>
                <w:rFonts w:ascii="Times New Roman" w:hAnsi="Times New Roman"/>
                <w:sz w:val="26"/>
                <w:szCs w:val="26"/>
                <w:lang w:val="lv-LV"/>
              </w:rPr>
              <w:t>Covid</w:t>
            </w:r>
            <w:proofErr w:type="spellEnd"/>
            <w:r w:rsidRPr="00F2119A">
              <w:rPr>
                <w:rFonts w:ascii="Times New Roman" w:hAnsi="Times New Roman"/>
                <w:sz w:val="26"/>
                <w:szCs w:val="26"/>
                <w:lang w:val="lv-LV"/>
              </w:rPr>
              <w:t xml:space="preserve"> -19 izplatību valstī, Ministru kabinets, ņemot vērā kompetento iestāžu sniegto informāciju, operatīvi lemj par dažādu nepieciešamo pasākumu un ierobežojumu noteikšanu valstī. Tomēr ir konstatēts, ka personas rīkojumā noteiktos pasākumus un ierobežojumus neievēro, tādējādi būtiski apdraudot sev apkārtējos līdzcilvēkus, kā arī sabiedrību kopumā un veicinot nekontrolētu </w:t>
            </w:r>
            <w:proofErr w:type="spellStart"/>
            <w:r w:rsidRPr="00F2119A">
              <w:rPr>
                <w:rFonts w:ascii="Times New Roman" w:hAnsi="Times New Roman"/>
                <w:sz w:val="26"/>
                <w:szCs w:val="26"/>
                <w:lang w:val="lv-LV"/>
              </w:rPr>
              <w:t>Covid</w:t>
            </w:r>
            <w:proofErr w:type="spellEnd"/>
            <w:r w:rsidRPr="00F2119A">
              <w:rPr>
                <w:rFonts w:ascii="Times New Roman" w:hAnsi="Times New Roman"/>
                <w:sz w:val="26"/>
                <w:szCs w:val="26"/>
                <w:lang w:val="lv-LV"/>
              </w:rPr>
              <w:t xml:space="preserve"> - 19 izplatību valstī.</w:t>
            </w:r>
          </w:p>
          <w:p w:rsidR="003A1443" w:rsidRPr="007B3128" w:rsidRDefault="003A1443" w:rsidP="003A1443">
            <w:pPr>
              <w:pStyle w:val="tv213"/>
              <w:shd w:val="clear" w:color="auto" w:fill="FFFFFF"/>
              <w:spacing w:before="0" w:beforeAutospacing="0" w:after="0" w:afterAutospacing="0" w:line="293" w:lineRule="atLeast"/>
              <w:ind w:firstLine="720"/>
              <w:jc w:val="both"/>
              <w:rPr>
                <w:sz w:val="26"/>
                <w:szCs w:val="26"/>
              </w:rPr>
            </w:pPr>
            <w:r w:rsidRPr="00F2119A">
              <w:rPr>
                <w:sz w:val="26"/>
                <w:szCs w:val="26"/>
              </w:rPr>
              <w:t>Lai nodrošinātu rīkojumā ietverto pasākumu un ierobežojumu efektīvāku izpildi, likumprojekts paredz paaugstināt naudas sodu par administratīvajiem pārkāpumiem, par kuriem paredzēta administratīvā atbildība Latvijas Administratīvo pārkāpumu kodeksa 42. pantā, t.i. par epidemioloģisko prasību neievērošanu</w:t>
            </w:r>
            <w:proofErr w:type="gramStart"/>
            <w:r w:rsidRPr="00F2119A">
              <w:rPr>
                <w:sz w:val="26"/>
                <w:szCs w:val="26"/>
              </w:rPr>
              <w:t>, un Latvijas Administratīvo</w:t>
            </w:r>
            <w:proofErr w:type="gramEnd"/>
            <w:r w:rsidRPr="00F2119A">
              <w:rPr>
                <w:sz w:val="26"/>
                <w:szCs w:val="26"/>
              </w:rPr>
              <w:t xml:space="preserve"> pārkāpumu kodeksa 176.</w:t>
            </w:r>
            <w:r w:rsidRPr="00F2119A">
              <w:rPr>
                <w:sz w:val="26"/>
                <w:szCs w:val="26"/>
                <w:vertAlign w:val="superscript"/>
              </w:rPr>
              <w:t>2</w:t>
            </w:r>
            <w:r w:rsidRPr="00F2119A">
              <w:rPr>
                <w:sz w:val="26"/>
                <w:szCs w:val="26"/>
              </w:rPr>
              <w:t xml:space="preserve"> pantā, t.i. par</w:t>
            </w:r>
            <w:r w:rsidRPr="00F2119A">
              <w:rPr>
                <w:sz w:val="26"/>
                <w:szCs w:val="26"/>
                <w:shd w:val="clear" w:color="auto" w:fill="FFFFFF"/>
              </w:rPr>
              <w:t xml:space="preserve"> ārkārtējās situācijas laikā noteikto ierobežojumu vai aizliegumu pārkāpšanu, paredzot piemērot </w:t>
            </w:r>
            <w:r w:rsidRPr="007B3128">
              <w:rPr>
                <w:sz w:val="26"/>
                <w:szCs w:val="26"/>
                <w:shd w:val="clear" w:color="auto" w:fill="FFFFFF"/>
              </w:rPr>
              <w:t>par minēto administratīvo pārkāpumu izdarīšanu fiziskajām perso</w:t>
            </w:r>
            <w:r w:rsidR="007B3128" w:rsidRPr="007B3128">
              <w:rPr>
                <w:sz w:val="26"/>
                <w:szCs w:val="26"/>
                <w:shd w:val="clear" w:color="auto" w:fill="FFFFFF"/>
              </w:rPr>
              <w:t xml:space="preserve">nām naudas sodu no </w:t>
            </w:r>
            <w:r w:rsidRPr="007B3128">
              <w:rPr>
                <w:sz w:val="26"/>
                <w:szCs w:val="26"/>
                <w:shd w:val="clear" w:color="auto" w:fill="FFFFFF"/>
              </w:rPr>
              <w:t xml:space="preserve">desmit līdz divtūkstoš </w:t>
            </w:r>
            <w:proofErr w:type="spellStart"/>
            <w:r w:rsidRPr="007B3128">
              <w:rPr>
                <w:i/>
                <w:sz w:val="26"/>
                <w:szCs w:val="26"/>
                <w:shd w:val="clear" w:color="auto" w:fill="FFFFFF"/>
              </w:rPr>
              <w:t>euro</w:t>
            </w:r>
            <w:proofErr w:type="spellEnd"/>
            <w:r w:rsidRPr="007B3128">
              <w:rPr>
                <w:i/>
                <w:sz w:val="26"/>
                <w:szCs w:val="26"/>
                <w:shd w:val="clear" w:color="auto" w:fill="FFFFFF"/>
              </w:rPr>
              <w:t xml:space="preserve">, </w:t>
            </w:r>
            <w:r w:rsidRPr="007B3128">
              <w:rPr>
                <w:sz w:val="26"/>
                <w:szCs w:val="26"/>
              </w:rPr>
              <w:t xml:space="preserve">juridiskajām personām  no </w:t>
            </w:r>
            <w:r w:rsidR="007B3128" w:rsidRPr="007B3128">
              <w:rPr>
                <w:sz w:val="26"/>
                <w:szCs w:val="26"/>
              </w:rPr>
              <w:t>simt četrdesmit līdz</w:t>
            </w:r>
            <w:r w:rsidRPr="007B3128">
              <w:rPr>
                <w:sz w:val="26"/>
                <w:szCs w:val="26"/>
              </w:rPr>
              <w:t xml:space="preserve"> piectūkstoš </w:t>
            </w:r>
            <w:proofErr w:type="spellStart"/>
            <w:r w:rsidRPr="007B3128">
              <w:rPr>
                <w:i/>
                <w:iCs/>
                <w:sz w:val="26"/>
                <w:szCs w:val="26"/>
              </w:rPr>
              <w:t>euro</w:t>
            </w:r>
            <w:proofErr w:type="spellEnd"/>
            <w:r w:rsidRPr="007B3128">
              <w:rPr>
                <w:sz w:val="26"/>
                <w:szCs w:val="26"/>
              </w:rPr>
              <w:t>.</w:t>
            </w:r>
          </w:p>
          <w:p w:rsidR="00DE2134" w:rsidRDefault="003A1443" w:rsidP="003A1443">
            <w:pPr>
              <w:ind w:firstLine="720"/>
              <w:jc w:val="both"/>
              <w:rPr>
                <w:color w:val="auto"/>
                <w:sz w:val="26"/>
                <w:szCs w:val="26"/>
              </w:rPr>
            </w:pPr>
            <w:r w:rsidRPr="007B3128">
              <w:rPr>
                <w:color w:val="auto"/>
                <w:sz w:val="26"/>
                <w:szCs w:val="26"/>
                <w:shd w:val="clear" w:color="auto" w:fill="FFFFFF"/>
              </w:rPr>
              <w:t>Vienlaikus likumprojekts</w:t>
            </w:r>
            <w:r w:rsidRPr="00F2119A">
              <w:rPr>
                <w:color w:val="auto"/>
                <w:sz w:val="26"/>
                <w:szCs w:val="26"/>
                <w:shd w:val="clear" w:color="auto" w:fill="FFFFFF"/>
              </w:rPr>
              <w:t xml:space="preserve"> paredz noteikt administratīvo atbildību p</w:t>
            </w:r>
            <w:r w:rsidRPr="00F2119A">
              <w:rPr>
                <w:color w:val="auto"/>
                <w:sz w:val="26"/>
                <w:szCs w:val="26"/>
              </w:rPr>
              <w:t xml:space="preserve">ersonai, kura nesniedz informāciju, ka ir slima ar infekcijas slimību, ir bijusi kontaktā ar infekcijas slimību slimu personu vai bijusi infekcijas perēklī, laikā, kad valstī saistībā ar attiecīgās infekcijas slimības izplatību izsludināta ārkārtējā situācija, paredzot par minētā administratīvā pārkāpuma izdarīšanu piemērot naudas sodu no desmit līdz divtūkstoš </w:t>
            </w:r>
            <w:proofErr w:type="spellStart"/>
            <w:r w:rsidRPr="00F2119A">
              <w:rPr>
                <w:i/>
                <w:iCs/>
                <w:color w:val="auto"/>
                <w:sz w:val="26"/>
                <w:szCs w:val="26"/>
              </w:rPr>
              <w:t>euro</w:t>
            </w:r>
            <w:proofErr w:type="spellEnd"/>
            <w:r w:rsidRPr="00F2119A">
              <w:rPr>
                <w:color w:val="auto"/>
                <w:sz w:val="26"/>
                <w:szCs w:val="26"/>
              </w:rPr>
              <w:t xml:space="preserve">. </w:t>
            </w:r>
            <w:r w:rsidR="002A16B5">
              <w:rPr>
                <w:color w:val="auto"/>
                <w:sz w:val="26"/>
                <w:szCs w:val="26"/>
              </w:rPr>
              <w:t>Tādējādi radot pienākumu ikvienai personai</w:t>
            </w:r>
            <w:r w:rsidR="001D4E9E">
              <w:rPr>
                <w:color w:val="auto"/>
                <w:sz w:val="26"/>
                <w:szCs w:val="26"/>
              </w:rPr>
              <w:t>, pastāvot</w:t>
            </w:r>
            <w:r w:rsidR="002A16B5">
              <w:rPr>
                <w:color w:val="auto"/>
                <w:sz w:val="26"/>
                <w:szCs w:val="26"/>
              </w:rPr>
              <w:t xml:space="preserve"> minētajā normā ietvert</w:t>
            </w:r>
            <w:r w:rsidR="001D4E9E">
              <w:rPr>
                <w:color w:val="auto"/>
                <w:sz w:val="26"/>
                <w:szCs w:val="26"/>
              </w:rPr>
              <w:t>ajiem apstākļiem, i</w:t>
            </w:r>
            <w:r w:rsidR="002A16B5">
              <w:rPr>
                <w:color w:val="auto"/>
                <w:sz w:val="26"/>
                <w:szCs w:val="26"/>
              </w:rPr>
              <w:t xml:space="preserve">nformēt </w:t>
            </w:r>
            <w:r w:rsidR="001D4E9E">
              <w:rPr>
                <w:color w:val="auto"/>
                <w:sz w:val="26"/>
                <w:szCs w:val="26"/>
              </w:rPr>
              <w:t>par tiem ikvienu personu, ar kuru tā nonākusi saskarsmē.</w:t>
            </w:r>
            <w:r w:rsidR="00375EA5">
              <w:rPr>
                <w:color w:val="auto"/>
                <w:sz w:val="26"/>
                <w:szCs w:val="26"/>
              </w:rPr>
              <w:t xml:space="preserve"> Tāpat norādāms, ka p</w:t>
            </w:r>
            <w:r w:rsidR="00DE2134">
              <w:rPr>
                <w:color w:val="auto"/>
                <w:sz w:val="26"/>
                <w:szCs w:val="26"/>
              </w:rPr>
              <w:t xml:space="preserve">ersona </w:t>
            </w:r>
            <w:r w:rsidR="00DE2134">
              <w:rPr>
                <w:color w:val="auto"/>
                <w:sz w:val="26"/>
                <w:szCs w:val="26"/>
              </w:rPr>
              <w:lastRenderedPageBreak/>
              <w:t xml:space="preserve">pie administratīvās atbildības par minētajā normā paredzēto </w:t>
            </w:r>
            <w:r w:rsidR="00375EA5">
              <w:rPr>
                <w:color w:val="auto"/>
                <w:sz w:val="26"/>
                <w:szCs w:val="26"/>
              </w:rPr>
              <w:t xml:space="preserve">administratīvo </w:t>
            </w:r>
            <w:r w:rsidR="00DE2134">
              <w:rPr>
                <w:color w:val="auto"/>
                <w:sz w:val="26"/>
                <w:szCs w:val="26"/>
              </w:rPr>
              <w:t xml:space="preserve">pārkāpumu būs saucama tikai tajā gadījumā, ja </w:t>
            </w:r>
            <w:r w:rsidR="00375EA5">
              <w:rPr>
                <w:color w:val="auto"/>
                <w:sz w:val="26"/>
                <w:szCs w:val="26"/>
              </w:rPr>
              <w:t>tā</w:t>
            </w:r>
            <w:r w:rsidR="00DE2134">
              <w:rPr>
                <w:color w:val="auto"/>
                <w:sz w:val="26"/>
                <w:szCs w:val="26"/>
              </w:rPr>
              <w:t xml:space="preserve"> nesniegs </w:t>
            </w:r>
            <w:r w:rsidR="00375EA5">
              <w:rPr>
                <w:color w:val="auto"/>
                <w:sz w:val="26"/>
                <w:szCs w:val="26"/>
              </w:rPr>
              <w:t xml:space="preserve">informāciju par </w:t>
            </w:r>
            <w:r w:rsidR="00DE2134">
              <w:rPr>
                <w:color w:val="auto"/>
                <w:sz w:val="26"/>
                <w:szCs w:val="26"/>
              </w:rPr>
              <w:t xml:space="preserve">normā </w:t>
            </w:r>
            <w:r w:rsidR="00375EA5">
              <w:rPr>
                <w:color w:val="auto"/>
                <w:sz w:val="26"/>
                <w:szCs w:val="26"/>
              </w:rPr>
              <w:t>ietvertajiem apstākļiem attiecībā uz</w:t>
            </w:r>
            <w:r w:rsidR="00DE2134">
              <w:rPr>
                <w:color w:val="auto"/>
                <w:sz w:val="26"/>
                <w:szCs w:val="26"/>
              </w:rPr>
              <w:t xml:space="preserve"> tādu</w:t>
            </w:r>
            <w:r w:rsidR="002A16B5">
              <w:rPr>
                <w:color w:val="auto"/>
                <w:sz w:val="26"/>
                <w:szCs w:val="26"/>
              </w:rPr>
              <w:t xml:space="preserve"> </w:t>
            </w:r>
            <w:r w:rsidR="00DE2134">
              <w:rPr>
                <w:color w:val="auto"/>
                <w:sz w:val="26"/>
                <w:szCs w:val="26"/>
              </w:rPr>
              <w:t xml:space="preserve">infekcijas slimību, </w:t>
            </w:r>
            <w:r w:rsidR="002A16B5">
              <w:rPr>
                <w:color w:val="auto"/>
                <w:sz w:val="26"/>
                <w:szCs w:val="26"/>
              </w:rPr>
              <w:t xml:space="preserve">saistībā ar kuras </w:t>
            </w:r>
            <w:r w:rsidR="00DE2134">
              <w:rPr>
                <w:color w:val="auto"/>
                <w:sz w:val="26"/>
                <w:szCs w:val="26"/>
              </w:rPr>
              <w:t>izp</w:t>
            </w:r>
            <w:r w:rsidR="002A16B5">
              <w:rPr>
                <w:color w:val="auto"/>
                <w:sz w:val="26"/>
                <w:szCs w:val="26"/>
              </w:rPr>
              <w:t>l</w:t>
            </w:r>
            <w:r w:rsidR="00DE2134">
              <w:rPr>
                <w:color w:val="auto"/>
                <w:sz w:val="26"/>
                <w:szCs w:val="26"/>
              </w:rPr>
              <w:t>atību valstī izsludināta ārkārtējā situācija</w:t>
            </w:r>
            <w:r w:rsidR="002A16B5">
              <w:rPr>
                <w:color w:val="auto"/>
                <w:sz w:val="26"/>
                <w:szCs w:val="26"/>
              </w:rPr>
              <w:t xml:space="preserve">. </w:t>
            </w:r>
          </w:p>
          <w:p w:rsidR="003A1443" w:rsidRPr="00F2119A" w:rsidRDefault="00375EA5" w:rsidP="003A1443">
            <w:pPr>
              <w:ind w:firstLine="720"/>
              <w:jc w:val="both"/>
              <w:rPr>
                <w:color w:val="auto"/>
                <w:sz w:val="26"/>
                <w:szCs w:val="26"/>
              </w:rPr>
            </w:pPr>
            <w:r>
              <w:rPr>
                <w:color w:val="auto"/>
                <w:sz w:val="26"/>
                <w:szCs w:val="26"/>
              </w:rPr>
              <w:t>Savukārt k</w:t>
            </w:r>
            <w:r w:rsidR="003A1443" w:rsidRPr="00F2119A">
              <w:rPr>
                <w:color w:val="auto"/>
                <w:sz w:val="26"/>
                <w:szCs w:val="26"/>
              </w:rPr>
              <w:t>ā kompetentās iestādes minētā administratīvā pārkāpuma izskatīšanā ar likumprojektu noteiktas Valsts policija un pašvaldības policija.</w:t>
            </w:r>
          </w:p>
          <w:p w:rsidR="003A1443" w:rsidRPr="00F2119A" w:rsidRDefault="003A1443" w:rsidP="003A1443">
            <w:pPr>
              <w:ind w:firstLine="720"/>
              <w:jc w:val="both"/>
              <w:rPr>
                <w:color w:val="auto"/>
                <w:sz w:val="26"/>
                <w:szCs w:val="26"/>
              </w:rPr>
            </w:pPr>
            <w:r w:rsidRPr="00F2119A">
              <w:rPr>
                <w:color w:val="auto"/>
                <w:sz w:val="26"/>
                <w:szCs w:val="26"/>
              </w:rPr>
              <w:t>Tāpat ar likumprojektu pašvaldības policija kā kompetentā iestāde paredzēta par Latvijas Administratīvo pārkāpumu kodeksa 176.</w:t>
            </w:r>
            <w:r w:rsidRPr="00F2119A">
              <w:rPr>
                <w:color w:val="auto"/>
                <w:sz w:val="26"/>
                <w:szCs w:val="26"/>
                <w:vertAlign w:val="superscript"/>
              </w:rPr>
              <w:t>2</w:t>
            </w:r>
            <w:r w:rsidRPr="00F2119A">
              <w:rPr>
                <w:color w:val="auto"/>
                <w:sz w:val="26"/>
                <w:szCs w:val="26"/>
              </w:rPr>
              <w:t xml:space="preserve"> pantā paredzētā administratīvā pārkāpuma izskatīšanu.</w:t>
            </w:r>
          </w:p>
          <w:p w:rsidR="003A1443" w:rsidRPr="00F2119A" w:rsidRDefault="003A1443" w:rsidP="003A1443">
            <w:pPr>
              <w:ind w:firstLine="720"/>
              <w:jc w:val="both"/>
              <w:rPr>
                <w:color w:val="auto"/>
                <w:sz w:val="26"/>
                <w:szCs w:val="26"/>
              </w:rPr>
            </w:pPr>
            <w:r w:rsidRPr="00F2119A">
              <w:rPr>
                <w:bCs/>
                <w:color w:val="auto"/>
                <w:sz w:val="26"/>
                <w:szCs w:val="26"/>
              </w:rPr>
              <w:t>Lai būtiski atslogotu Valsts policijas amatpersonu un ārstniecības personu resursus, kas ārkārtējās situācijas laikā ir būtiski noslogotas, plānots veikt grozījumus Ministru kabineta 2018. gada 27. novembra noteikumos Nr.719 „Kārtība, kādā nosaka alkohola koncentrāciju asinīs un izelpotajā gaisā un konstatē narkotisko vai citu apreibinošo vielu ietekmi”, paredzot, ka gadījumos, kad</w:t>
            </w:r>
            <w:r w:rsidRPr="00F2119A">
              <w:rPr>
                <w:color w:val="auto"/>
                <w:sz w:val="26"/>
                <w:szCs w:val="26"/>
              </w:rPr>
              <w:t xml:space="preserve"> transportlīdzekļa vadītājs </w:t>
            </w:r>
            <w:r w:rsidRPr="00F2119A">
              <w:rPr>
                <w:bCs/>
                <w:color w:val="auto"/>
                <w:sz w:val="26"/>
                <w:szCs w:val="26"/>
              </w:rPr>
              <w:t xml:space="preserve">atteiksies no pārbaudes </w:t>
            </w:r>
            <w:r w:rsidRPr="00F2119A">
              <w:rPr>
                <w:color w:val="auto"/>
                <w:sz w:val="26"/>
                <w:szCs w:val="26"/>
              </w:rPr>
              <w:t xml:space="preserve">alkohola koncentrācijas noteikšanai izelpotajā gaisā </w:t>
            </w:r>
            <w:r w:rsidRPr="00F2119A">
              <w:rPr>
                <w:bCs/>
                <w:color w:val="auto"/>
                <w:sz w:val="26"/>
                <w:szCs w:val="26"/>
              </w:rPr>
              <w:t xml:space="preserve">vai nepiekritīs pārbaužu rezultātiem, </w:t>
            </w:r>
            <w:r w:rsidRPr="00F2119A">
              <w:rPr>
                <w:color w:val="auto"/>
                <w:sz w:val="26"/>
                <w:szCs w:val="26"/>
              </w:rPr>
              <w:t xml:space="preserve">transportlīdzekļa vadītāju, </w:t>
            </w:r>
            <w:r w:rsidRPr="00F2119A">
              <w:rPr>
                <w:bCs/>
                <w:color w:val="auto"/>
                <w:sz w:val="26"/>
                <w:szCs w:val="26"/>
              </w:rPr>
              <w:t>l</w:t>
            </w:r>
            <w:r w:rsidRPr="00F2119A">
              <w:rPr>
                <w:color w:val="auto"/>
                <w:sz w:val="26"/>
                <w:szCs w:val="26"/>
              </w:rPr>
              <w:t>ai tam konstatētu alkohola reibumu,</w:t>
            </w:r>
            <w:r w:rsidRPr="00F2119A">
              <w:rPr>
                <w:bCs/>
                <w:color w:val="auto"/>
                <w:sz w:val="26"/>
                <w:szCs w:val="26"/>
              </w:rPr>
              <w:t xml:space="preserve"> uz ārstniecības iestādi nenogādās.  Uz </w:t>
            </w:r>
            <w:r w:rsidRPr="00F2119A">
              <w:rPr>
                <w:color w:val="auto"/>
                <w:sz w:val="26"/>
                <w:szCs w:val="26"/>
              </w:rPr>
              <w:t xml:space="preserve">ārstniecības iestādi transportlīdzekļa vadītāju, lai konstatētu alkohola reibumu, medicīniskās pārbaudes veikšanai nogādās gadījumos, </w:t>
            </w:r>
            <w:r w:rsidRPr="00F2119A">
              <w:rPr>
                <w:bCs/>
                <w:color w:val="auto"/>
                <w:sz w:val="26"/>
                <w:szCs w:val="26"/>
              </w:rPr>
              <w:t xml:space="preserve">ja </w:t>
            </w:r>
            <w:r w:rsidRPr="00F2119A">
              <w:rPr>
                <w:color w:val="auto"/>
                <w:sz w:val="26"/>
                <w:szCs w:val="26"/>
              </w:rPr>
              <w:t>transportlīdzekļa vadītāja pārbaudi alkohola koncentrācijas noteikšanai izelpotajā gaisā nebūs iespējams veikt.</w:t>
            </w:r>
          </w:p>
          <w:p w:rsidR="003A1443" w:rsidRPr="00F2119A" w:rsidRDefault="003A1443" w:rsidP="00D138B9">
            <w:pPr>
              <w:ind w:firstLine="642"/>
              <w:jc w:val="both"/>
              <w:rPr>
                <w:color w:val="auto"/>
                <w:sz w:val="26"/>
                <w:szCs w:val="26"/>
              </w:rPr>
            </w:pPr>
            <w:r w:rsidRPr="00F2119A">
              <w:rPr>
                <w:color w:val="auto"/>
                <w:sz w:val="26"/>
                <w:szCs w:val="26"/>
              </w:rPr>
              <w:t xml:space="preserve">Ievērojot, ka alkohola koncentrāciju precīzi var noteikt ar tehniskajiem līdzekļiem, proti, verificētām portatīvām mērierīcēm, atteikšanās no medicīniskajām pārbaudēm </w:t>
            </w:r>
            <w:r w:rsidRPr="00F2119A">
              <w:rPr>
                <w:color w:val="auto"/>
                <w:sz w:val="26"/>
                <w:szCs w:val="26"/>
                <w:shd w:val="clear" w:color="auto" w:fill="FFFFFF"/>
              </w:rPr>
              <w:t>alkohola koncentrācijas noteikšanai ārstniecības iestādēs pierādīšanas pienākuma izpildi neietekmē.</w:t>
            </w:r>
          </w:p>
          <w:p w:rsidR="000C7EFF" w:rsidRPr="00F2119A" w:rsidRDefault="003A1443" w:rsidP="00176079">
            <w:pPr>
              <w:ind w:firstLine="720"/>
              <w:jc w:val="both"/>
              <w:rPr>
                <w:color w:val="auto"/>
                <w:sz w:val="26"/>
                <w:szCs w:val="26"/>
              </w:rPr>
            </w:pPr>
            <w:proofErr w:type="gramStart"/>
            <w:r w:rsidRPr="00F2119A">
              <w:rPr>
                <w:color w:val="auto"/>
                <w:sz w:val="26"/>
                <w:szCs w:val="26"/>
              </w:rPr>
              <w:t>Saistībā ar minēto,</w:t>
            </w:r>
            <w:proofErr w:type="gramEnd"/>
            <w:r w:rsidRPr="00F2119A">
              <w:rPr>
                <w:color w:val="auto"/>
                <w:sz w:val="26"/>
                <w:szCs w:val="26"/>
              </w:rPr>
              <w:t xml:space="preserve"> izdarāmi attiecīgi grozījumi Latvijas Administratīvo pārkāpumu kodeksā, </w:t>
            </w:r>
            <w:r w:rsidR="00176079">
              <w:rPr>
                <w:color w:val="auto"/>
                <w:sz w:val="26"/>
                <w:szCs w:val="26"/>
              </w:rPr>
              <w:t xml:space="preserve">paredzot </w:t>
            </w:r>
            <w:r w:rsidRPr="00F2119A">
              <w:rPr>
                <w:color w:val="auto"/>
                <w:sz w:val="26"/>
                <w:szCs w:val="26"/>
              </w:rPr>
              <w:t>ad</w:t>
            </w:r>
            <w:r w:rsidR="007D683B" w:rsidRPr="00F2119A">
              <w:rPr>
                <w:color w:val="auto"/>
                <w:sz w:val="26"/>
                <w:szCs w:val="26"/>
              </w:rPr>
              <w:t>ministratīvo atbildību par attei</w:t>
            </w:r>
            <w:r w:rsidRPr="00F2119A">
              <w:rPr>
                <w:color w:val="auto"/>
                <w:sz w:val="26"/>
                <w:szCs w:val="26"/>
              </w:rPr>
              <w:t xml:space="preserve">kšanos veikt </w:t>
            </w:r>
            <w:r w:rsidRPr="00F2119A">
              <w:rPr>
                <w:color w:val="auto"/>
                <w:sz w:val="26"/>
                <w:szCs w:val="26"/>
                <w:shd w:val="clear" w:color="auto" w:fill="FFFFFF"/>
              </w:rPr>
              <w:t xml:space="preserve">pārbaudi alkohola koncentrācijas noteikšanai, </w:t>
            </w:r>
            <w:r w:rsidR="00176079" w:rsidRPr="00DF4E98">
              <w:rPr>
                <w:sz w:val="26"/>
                <w:szCs w:val="26"/>
                <w:shd w:val="clear" w:color="auto" w:fill="FFFFFF"/>
              </w:rPr>
              <w:t>ja pārbaude tiek veikta,</w:t>
            </w:r>
            <w:r w:rsidR="00176079" w:rsidRPr="00DF4E98">
              <w:rPr>
                <w:sz w:val="26"/>
                <w:szCs w:val="26"/>
              </w:rPr>
              <w:t xml:space="preserve"> izmantojot</w:t>
            </w:r>
            <w:r w:rsidR="00D813D3">
              <w:rPr>
                <w:sz w:val="26"/>
                <w:szCs w:val="26"/>
              </w:rPr>
              <w:t xml:space="preserve"> </w:t>
            </w:r>
            <w:r w:rsidR="00176079" w:rsidRPr="00DF4E98">
              <w:rPr>
                <w:sz w:val="26"/>
                <w:szCs w:val="26"/>
                <w:shd w:val="clear" w:color="auto" w:fill="FFFFFF"/>
              </w:rPr>
              <w:t>portatīvo mērierīci</w:t>
            </w:r>
            <w:r w:rsidR="00176079">
              <w:rPr>
                <w:color w:val="auto"/>
                <w:sz w:val="26"/>
                <w:szCs w:val="26"/>
                <w:shd w:val="clear" w:color="auto" w:fill="FFFFFF"/>
              </w:rPr>
              <w:t>.</w:t>
            </w:r>
          </w:p>
        </w:tc>
      </w:tr>
      <w:tr w:rsidR="00335DEF" w:rsidRPr="00F2119A"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jc w:val="center"/>
              <w:rPr>
                <w:color w:val="auto"/>
                <w:sz w:val="26"/>
                <w:szCs w:val="26"/>
              </w:rPr>
            </w:pPr>
            <w:r w:rsidRPr="00F2119A">
              <w:rPr>
                <w:color w:val="auto"/>
                <w:sz w:val="26"/>
                <w:szCs w:val="26"/>
              </w:rP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F2119A" w:rsidRDefault="00BB4E87" w:rsidP="00BB4E87">
            <w:pPr>
              <w:spacing w:after="120"/>
              <w:jc w:val="both"/>
              <w:rPr>
                <w:color w:val="auto"/>
                <w:sz w:val="26"/>
                <w:szCs w:val="26"/>
              </w:rPr>
            </w:pPr>
            <w:r w:rsidRPr="00F2119A">
              <w:rPr>
                <w:color w:val="auto"/>
                <w:sz w:val="26"/>
                <w:szCs w:val="26"/>
              </w:rPr>
              <w:t>Iekšlietu ministrija.</w:t>
            </w:r>
          </w:p>
        </w:tc>
      </w:tr>
      <w:tr w:rsidR="00335DEF" w:rsidRPr="00F2119A" w:rsidTr="00F2119A">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jc w:val="center"/>
              <w:rPr>
                <w:color w:val="auto"/>
                <w:sz w:val="26"/>
                <w:szCs w:val="26"/>
              </w:rPr>
            </w:pPr>
            <w:r w:rsidRPr="00F2119A">
              <w:rPr>
                <w:color w:val="auto"/>
                <w:sz w:val="26"/>
                <w:szCs w:val="26"/>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2119A" w:rsidRDefault="004946D2">
            <w:pPr>
              <w:rPr>
                <w:color w:val="auto"/>
                <w:sz w:val="26"/>
                <w:szCs w:val="26"/>
              </w:rPr>
            </w:pPr>
            <w:r w:rsidRPr="00F2119A">
              <w:rPr>
                <w:color w:val="auto"/>
                <w:sz w:val="26"/>
                <w:szCs w:val="26"/>
              </w:rPr>
              <w:t>Nav</w:t>
            </w:r>
          </w:p>
        </w:tc>
      </w:tr>
    </w:tbl>
    <w:p w:rsidR="000C7EFF" w:rsidRPr="00F2119A" w:rsidRDefault="000C7EFF">
      <w:pPr>
        <w:shd w:val="clear" w:color="auto" w:fill="FFFFFF"/>
        <w:ind w:firstLine="300"/>
        <w:rPr>
          <w:color w:val="auto"/>
          <w:sz w:val="26"/>
          <w:szCs w:val="26"/>
        </w:rPr>
      </w:pPr>
    </w:p>
    <w:tbl>
      <w:tblPr>
        <w:tblStyle w:val="a1"/>
        <w:tblW w:w="8468"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16"/>
        <w:gridCol w:w="2592"/>
        <w:gridCol w:w="5460"/>
      </w:tblGrid>
      <w:tr w:rsidR="00335DEF" w:rsidRPr="00F2119A" w:rsidTr="00F2119A">
        <w:trPr>
          <w:trHeight w:val="220"/>
        </w:trPr>
        <w:tc>
          <w:tcPr>
            <w:tcW w:w="8468" w:type="dxa"/>
            <w:gridSpan w:val="3"/>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b/>
                <w:color w:val="auto"/>
                <w:sz w:val="26"/>
                <w:szCs w:val="26"/>
              </w:rPr>
              <w:t>II. Tiesību akta projekta ietekme uz sabiedrību, tautsaimniecības attīstību un administratīvo slogu</w:t>
            </w:r>
          </w:p>
        </w:tc>
      </w:tr>
      <w:tr w:rsidR="00335DEF" w:rsidRPr="00F2119A" w:rsidTr="00F2119A">
        <w:trPr>
          <w:trHeight w:val="46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1.</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Sabiedrības mērķgrupas, kuras tiesiskais regulējums ietekmē</w:t>
            </w:r>
            <w:proofErr w:type="gramStart"/>
            <w:r w:rsidRPr="00F2119A">
              <w:rPr>
                <w:color w:val="auto"/>
                <w:sz w:val="26"/>
                <w:szCs w:val="26"/>
              </w:rPr>
              <w:t xml:space="preserve"> vai varētu ietekmēt</w:t>
            </w:r>
            <w:proofErr w:type="gramEnd"/>
          </w:p>
        </w:tc>
        <w:tc>
          <w:tcPr>
            <w:tcW w:w="5460" w:type="dxa"/>
            <w:tcBorders>
              <w:top w:val="single" w:sz="6" w:space="0" w:color="414142"/>
              <w:left w:val="single" w:sz="6" w:space="0" w:color="414142"/>
              <w:bottom w:val="single" w:sz="6" w:space="0" w:color="414142"/>
              <w:right w:val="single" w:sz="6" w:space="0" w:color="414142"/>
            </w:tcBorders>
          </w:tcPr>
          <w:p w:rsidR="000C7EFF" w:rsidRPr="00F2119A" w:rsidRDefault="004946D2" w:rsidP="00A56038">
            <w:pPr>
              <w:shd w:val="clear" w:color="auto" w:fill="FFFFFF"/>
              <w:ind w:right="57"/>
              <w:jc w:val="both"/>
              <w:rPr>
                <w:color w:val="auto"/>
                <w:sz w:val="26"/>
                <w:szCs w:val="26"/>
              </w:rPr>
            </w:pPr>
            <w:r w:rsidRPr="00F2119A">
              <w:rPr>
                <w:rFonts w:eastAsia="Calibri"/>
                <w:color w:val="auto"/>
                <w:sz w:val="26"/>
                <w:szCs w:val="26"/>
              </w:rPr>
              <w:t xml:space="preserve">Likumprojekts </w:t>
            </w:r>
            <w:r w:rsidR="007D683B" w:rsidRPr="00F2119A">
              <w:rPr>
                <w:rFonts w:eastAsia="Calibri"/>
                <w:color w:val="auto"/>
                <w:sz w:val="26"/>
                <w:szCs w:val="26"/>
              </w:rPr>
              <w:t>att</w:t>
            </w:r>
            <w:r w:rsidR="00A56038" w:rsidRPr="00F2119A">
              <w:rPr>
                <w:rFonts w:eastAsia="Calibri"/>
                <w:color w:val="auto"/>
                <w:sz w:val="26"/>
                <w:szCs w:val="26"/>
              </w:rPr>
              <w:t>ie</w:t>
            </w:r>
            <w:r w:rsidR="00993081" w:rsidRPr="00F2119A">
              <w:rPr>
                <w:rFonts w:eastAsia="Calibri"/>
                <w:color w:val="auto"/>
                <w:sz w:val="26"/>
                <w:szCs w:val="26"/>
              </w:rPr>
              <w:t xml:space="preserve">ksies uz </w:t>
            </w:r>
            <w:r w:rsidR="00BB4E87" w:rsidRPr="00F2119A">
              <w:rPr>
                <w:rFonts w:eastAsia="Calibri"/>
                <w:color w:val="auto"/>
                <w:sz w:val="26"/>
                <w:szCs w:val="26"/>
              </w:rPr>
              <w:t xml:space="preserve">personām, kas pārkāps epidemioloģiskās drošības prasības, </w:t>
            </w:r>
            <w:r w:rsidR="00BB4E87" w:rsidRPr="00F2119A">
              <w:rPr>
                <w:color w:val="auto"/>
                <w:sz w:val="26"/>
                <w:szCs w:val="26"/>
                <w:shd w:val="clear" w:color="auto" w:fill="FFFFFF"/>
              </w:rPr>
              <w:t>ārkārtējās situācijas laikā noteiktos ierobežojumus vai aizliegumus, kā arī uz</w:t>
            </w:r>
            <w:proofErr w:type="gramStart"/>
            <w:r w:rsidR="00BB4E87" w:rsidRPr="00F2119A">
              <w:rPr>
                <w:color w:val="auto"/>
                <w:sz w:val="26"/>
                <w:szCs w:val="26"/>
                <w:shd w:val="clear" w:color="auto" w:fill="FFFFFF"/>
              </w:rPr>
              <w:t xml:space="preserve">  </w:t>
            </w:r>
            <w:proofErr w:type="gramEnd"/>
            <w:r w:rsidR="00BB4E87" w:rsidRPr="00F2119A">
              <w:rPr>
                <w:color w:val="auto"/>
                <w:sz w:val="26"/>
                <w:szCs w:val="26"/>
                <w:shd w:val="clear" w:color="auto" w:fill="FFFFFF"/>
              </w:rPr>
              <w:t>p</w:t>
            </w:r>
            <w:r w:rsidR="00BB4E87" w:rsidRPr="00F2119A">
              <w:rPr>
                <w:color w:val="auto"/>
                <w:sz w:val="26"/>
                <w:szCs w:val="26"/>
              </w:rPr>
              <w:t>ersonām, kur</w:t>
            </w:r>
            <w:r w:rsidR="00A56038" w:rsidRPr="00F2119A">
              <w:rPr>
                <w:color w:val="auto"/>
                <w:sz w:val="26"/>
                <w:szCs w:val="26"/>
              </w:rPr>
              <w:t>as</w:t>
            </w:r>
            <w:r w:rsidR="00BB4E87" w:rsidRPr="00F2119A">
              <w:rPr>
                <w:color w:val="auto"/>
                <w:sz w:val="26"/>
                <w:szCs w:val="26"/>
              </w:rPr>
              <w:t xml:space="preserve"> nesniegs informāciju, ka ir slimas ar infekcijas slimību, ir bijušas kontaktā ar infekcijas slimību slimu personu vai bijušas infekcijas perēklī, laikā, kad valstī saistībā ar attiecīgās infekcijas slimības izplatību izsludināta ārkārtējā situācija</w:t>
            </w:r>
            <w:r w:rsidR="00CD4BE2" w:rsidRPr="00F2119A">
              <w:rPr>
                <w:color w:val="auto"/>
                <w:sz w:val="26"/>
                <w:szCs w:val="26"/>
              </w:rPr>
              <w:t>.</w:t>
            </w:r>
          </w:p>
        </w:tc>
      </w:tr>
      <w:tr w:rsidR="00335DEF" w:rsidRPr="00F2119A"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2.</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A56038" w:rsidRPr="00F2119A" w:rsidRDefault="00A56038" w:rsidP="00A56038">
            <w:pPr>
              <w:jc w:val="both"/>
              <w:rPr>
                <w:color w:val="auto"/>
                <w:sz w:val="26"/>
                <w:szCs w:val="26"/>
              </w:rPr>
            </w:pPr>
            <w:r w:rsidRPr="00F2119A">
              <w:rPr>
                <w:color w:val="auto"/>
                <w:sz w:val="26"/>
                <w:szCs w:val="26"/>
              </w:rPr>
              <w:t xml:space="preserve">Tā kā </w:t>
            </w:r>
            <w:proofErr w:type="spellStart"/>
            <w:r w:rsidRPr="00F2119A">
              <w:rPr>
                <w:color w:val="auto"/>
                <w:sz w:val="26"/>
                <w:szCs w:val="26"/>
              </w:rPr>
              <w:t>Covid</w:t>
            </w:r>
            <w:proofErr w:type="spellEnd"/>
            <w:r w:rsidRPr="00F2119A">
              <w:rPr>
                <w:color w:val="auto"/>
                <w:sz w:val="26"/>
                <w:szCs w:val="26"/>
              </w:rPr>
              <w:t xml:space="preserve"> – 19 izplatību šobrīd nav iespējams prognozēt, </w:t>
            </w:r>
            <w:r w:rsidR="00DA3CCD" w:rsidRPr="00F2119A">
              <w:rPr>
                <w:color w:val="auto"/>
                <w:sz w:val="26"/>
                <w:szCs w:val="26"/>
              </w:rPr>
              <w:t xml:space="preserve">nevar </w:t>
            </w:r>
            <w:r w:rsidRPr="00F2119A">
              <w:rPr>
                <w:color w:val="auto"/>
                <w:sz w:val="26"/>
                <w:szCs w:val="26"/>
              </w:rPr>
              <w:t>noteikt likumprojekta ietekmi uz tautsaimniecību un administratīvo slogu</w:t>
            </w:r>
            <w:r w:rsidR="00DA3CCD" w:rsidRPr="00F2119A">
              <w:rPr>
                <w:color w:val="auto"/>
                <w:sz w:val="26"/>
                <w:szCs w:val="26"/>
              </w:rPr>
              <w:t>.</w:t>
            </w:r>
          </w:p>
          <w:p w:rsidR="000C7EFF" w:rsidRPr="00F2119A" w:rsidRDefault="00DA3CCD" w:rsidP="00DA3CCD">
            <w:pPr>
              <w:jc w:val="both"/>
              <w:rPr>
                <w:color w:val="auto"/>
                <w:sz w:val="26"/>
                <w:szCs w:val="26"/>
              </w:rPr>
            </w:pPr>
            <w:r w:rsidRPr="00F2119A">
              <w:rPr>
                <w:color w:val="auto"/>
                <w:sz w:val="26"/>
                <w:szCs w:val="26"/>
              </w:rPr>
              <w:t>Vienlaikus, personām, ievērojot rīkojumā noteiktos pasākumus un ierobežojumus, COVID-19 izplatība var tikt mazināta, tādējādi atstājot pozitīvu ietekmi uz sabiedrību un tautsaimniecības attīstību kopumā.</w:t>
            </w:r>
          </w:p>
        </w:tc>
      </w:tr>
      <w:tr w:rsidR="00335DEF" w:rsidRPr="00F2119A"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3.</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282B8C">
            <w:pPr>
              <w:spacing w:after="120"/>
              <w:jc w:val="both"/>
              <w:rPr>
                <w:color w:val="auto"/>
                <w:sz w:val="26"/>
                <w:szCs w:val="26"/>
              </w:rPr>
            </w:pPr>
            <w:r w:rsidRPr="00F2119A">
              <w:rPr>
                <w:color w:val="auto"/>
                <w:sz w:val="26"/>
                <w:szCs w:val="26"/>
              </w:rPr>
              <w:t>Likump</w:t>
            </w:r>
            <w:r w:rsidR="00E203EE" w:rsidRPr="00F2119A">
              <w:rPr>
                <w:color w:val="auto"/>
                <w:sz w:val="26"/>
                <w:szCs w:val="26"/>
              </w:rPr>
              <w:t>rojekts šo jomu neskar.</w:t>
            </w:r>
          </w:p>
          <w:p w:rsidR="00D813D3" w:rsidRPr="00F2119A" w:rsidRDefault="00D813D3">
            <w:pPr>
              <w:spacing w:after="120"/>
              <w:jc w:val="both"/>
              <w:rPr>
                <w:color w:val="auto"/>
                <w:sz w:val="26"/>
                <w:szCs w:val="26"/>
              </w:rPr>
            </w:pPr>
          </w:p>
        </w:tc>
      </w:tr>
      <w:tr w:rsidR="00335DEF" w:rsidRPr="00F2119A" w:rsidTr="00F2119A">
        <w:trPr>
          <w:trHeight w:val="50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4.</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282B8C">
            <w:pPr>
              <w:rPr>
                <w:color w:val="auto"/>
                <w:sz w:val="26"/>
                <w:szCs w:val="26"/>
              </w:rPr>
            </w:pPr>
            <w:r w:rsidRPr="00F2119A">
              <w:rPr>
                <w:color w:val="auto"/>
                <w:sz w:val="26"/>
                <w:szCs w:val="26"/>
              </w:rPr>
              <w:t>Likump</w:t>
            </w:r>
            <w:r w:rsidR="00E203EE" w:rsidRPr="00F2119A">
              <w:rPr>
                <w:color w:val="auto"/>
                <w:sz w:val="26"/>
                <w:szCs w:val="26"/>
              </w:rPr>
              <w:t>rojekts šo jomu neskar.</w:t>
            </w:r>
          </w:p>
          <w:p w:rsidR="00D813D3" w:rsidRDefault="00D813D3">
            <w:pPr>
              <w:rPr>
                <w:color w:val="auto"/>
                <w:sz w:val="26"/>
                <w:szCs w:val="26"/>
              </w:rPr>
            </w:pPr>
          </w:p>
          <w:p w:rsidR="00D813D3" w:rsidRPr="00F2119A" w:rsidRDefault="00D813D3">
            <w:pPr>
              <w:rPr>
                <w:color w:val="auto"/>
                <w:sz w:val="26"/>
                <w:szCs w:val="26"/>
              </w:rPr>
            </w:pPr>
          </w:p>
        </w:tc>
      </w:tr>
      <w:tr w:rsidR="00335DEF" w:rsidRPr="00F2119A" w:rsidTr="00F2119A">
        <w:trPr>
          <w:trHeight w:val="340"/>
        </w:trPr>
        <w:tc>
          <w:tcPr>
            <w:tcW w:w="416"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5.</w:t>
            </w:r>
          </w:p>
        </w:tc>
        <w:tc>
          <w:tcPr>
            <w:tcW w:w="259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Nav</w:t>
            </w:r>
          </w:p>
        </w:tc>
      </w:tr>
    </w:tbl>
    <w:p w:rsidR="000C7EFF" w:rsidRPr="00F2119A" w:rsidRDefault="00E203EE">
      <w:pPr>
        <w:shd w:val="clear" w:color="auto" w:fill="FFFFFF"/>
        <w:ind w:firstLine="300"/>
        <w:rPr>
          <w:rFonts w:eastAsia="Arial"/>
          <w:color w:val="auto"/>
          <w:sz w:val="26"/>
          <w:szCs w:val="26"/>
        </w:rPr>
      </w:pPr>
      <w:r w:rsidRPr="00F2119A">
        <w:rPr>
          <w:rFonts w:eastAsia="Arial"/>
          <w:color w:val="auto"/>
          <w:sz w:val="26"/>
          <w:szCs w:val="26"/>
        </w:rPr>
        <w:t> </w:t>
      </w:r>
    </w:p>
    <w:tbl>
      <w:tblPr>
        <w:tblW w:w="5045"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8"/>
        <w:gridCol w:w="970"/>
        <w:gridCol w:w="1071"/>
        <w:gridCol w:w="869"/>
        <w:gridCol w:w="1071"/>
        <w:gridCol w:w="869"/>
        <w:gridCol w:w="1071"/>
        <w:gridCol w:w="1071"/>
      </w:tblGrid>
      <w:tr w:rsidR="00335DEF" w:rsidRPr="00F2119A" w:rsidTr="00F2119A">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b/>
                <w:bCs/>
                <w:color w:val="auto"/>
                <w:sz w:val="26"/>
                <w:szCs w:val="26"/>
              </w:rPr>
            </w:pPr>
            <w:r w:rsidRPr="00335DEF">
              <w:rPr>
                <w:b/>
                <w:bCs/>
                <w:color w:val="auto"/>
                <w:sz w:val="26"/>
                <w:szCs w:val="26"/>
              </w:rPr>
              <w:t>III. Tiesību akta projekta ietekme uz valsts budžetu un pašvaldību budžetiem</w:t>
            </w:r>
          </w:p>
        </w:tc>
      </w:tr>
      <w:tr w:rsidR="00335DEF" w:rsidRPr="00F2119A" w:rsidTr="00F2119A">
        <w:tc>
          <w:tcPr>
            <w:tcW w:w="100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Rādītāji</w:t>
            </w:r>
          </w:p>
        </w:tc>
        <w:tc>
          <w:tcPr>
            <w:tcW w:w="122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F2119A">
              <w:rPr>
                <w:bCs/>
                <w:sz w:val="26"/>
                <w:szCs w:val="26"/>
                <w:lang w:eastAsia="en-US"/>
              </w:rPr>
              <w:t>2020</w:t>
            </w:r>
          </w:p>
        </w:tc>
        <w:tc>
          <w:tcPr>
            <w:tcW w:w="2777"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Turpmākie trīs gadi (</w:t>
            </w:r>
            <w:proofErr w:type="spellStart"/>
            <w:r w:rsidRPr="00335DEF">
              <w:rPr>
                <w:i/>
                <w:iCs/>
                <w:color w:val="auto"/>
                <w:sz w:val="26"/>
                <w:szCs w:val="26"/>
              </w:rPr>
              <w:t>euro</w:t>
            </w:r>
            <w:proofErr w:type="spellEnd"/>
            <w:r w:rsidRPr="00335DEF">
              <w:rPr>
                <w:color w:val="auto"/>
                <w:sz w:val="26"/>
                <w:szCs w:val="26"/>
              </w:rPr>
              <w:t>)</w:t>
            </w:r>
          </w:p>
        </w:tc>
      </w:tr>
      <w:tr w:rsidR="00335DEF" w:rsidRPr="00F2119A" w:rsidTr="00F2119A">
        <w:tc>
          <w:tcPr>
            <w:tcW w:w="10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11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F2119A">
              <w:rPr>
                <w:bCs/>
                <w:sz w:val="26"/>
                <w:szCs w:val="26"/>
                <w:lang w:eastAsia="en-US"/>
              </w:rPr>
              <w:t>2021</w:t>
            </w:r>
          </w:p>
        </w:tc>
        <w:tc>
          <w:tcPr>
            <w:tcW w:w="11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F2119A">
              <w:rPr>
                <w:bCs/>
                <w:sz w:val="26"/>
                <w:szCs w:val="26"/>
                <w:lang w:eastAsia="en-US"/>
              </w:rPr>
              <w:t>2022</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F2119A">
              <w:rPr>
                <w:bCs/>
                <w:sz w:val="26"/>
                <w:szCs w:val="26"/>
                <w:lang w:eastAsia="en-US"/>
              </w:rPr>
              <w:t>2023</w:t>
            </w:r>
          </w:p>
        </w:tc>
      </w:tr>
      <w:tr w:rsidR="00335DEF" w:rsidRPr="00F2119A" w:rsidTr="00F2119A">
        <w:tc>
          <w:tcPr>
            <w:tcW w:w="100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saskaņā ar valsts budžetu kārtējam gadam</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izmaiņas kārtējā gadā, salīdzinot ar valsts budžetu kārtējam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saskaņā ar vidēja termiņa budžeta ietvaru</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izmaiņas, salīdzinot ar vidēja termiņa budžeta ietvaru n+1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saskaņā ar vidēja termiņa budžeta ietvaru</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izmaiņas, salīdzinot ar vidēja termiņa budžeta ietvaru n+2 gadam</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izmaiņas, salīdzinot ar vidēja termiņa budžeta ietvaru n+2 gadam</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lastRenderedPageBreak/>
              <w:t>1</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2</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3</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4</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5</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6</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7</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93" w:lineRule="atLeast"/>
              <w:jc w:val="center"/>
              <w:rPr>
                <w:color w:val="auto"/>
                <w:sz w:val="26"/>
                <w:szCs w:val="26"/>
              </w:rPr>
            </w:pPr>
            <w:r w:rsidRPr="00335DEF">
              <w:rPr>
                <w:color w:val="auto"/>
                <w:sz w:val="26"/>
                <w:szCs w:val="26"/>
              </w:rPr>
              <w:t>8</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1. Budžeta ieņēmumi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1.1. valsts pamatbudžets, tai skaitā ieņēmumi no maksas pakalpojumiem un citi pašu ieņēmumi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1.2. valsts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1.3.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2. Budžeta izdevumi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2.1. valsts pamatbudžets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2.2. valsts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2.3.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3. Finansiālā ietekme</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3.1. valsts pamatbudžets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3.2. speciālais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3.3. pašvaldību budžets</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4. Finanšu līdzekļi papildu izdevumu finansēšanai (kompensējošu izdevumu samazinājumu norāda ar "+" zīmi)</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lastRenderedPageBreak/>
              <w:t>5. Precizēta finansiālā ietekme</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51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c>
          <w:tcPr>
            <w:tcW w:w="6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6. Detalizēts ieņēmumu un izdevumu aprēķins (ja nepieciešams, detalizētu ieņēmumu un izdevumu aprēķinu var pievienot anotācijas pielikumā)</w:t>
            </w:r>
          </w:p>
        </w:tc>
        <w:tc>
          <w:tcPr>
            <w:tcW w:w="3997"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 </w:t>
            </w: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6.1. detalizēts ieņēmumu aprēķins</w:t>
            </w:r>
          </w:p>
        </w:tc>
        <w:tc>
          <w:tcPr>
            <w:tcW w:w="399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6.2. detalizēts izdevumu aprēķins</w:t>
            </w:r>
          </w:p>
        </w:tc>
        <w:tc>
          <w:tcPr>
            <w:tcW w:w="3997"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7. Amata vietu skaita izmaiņas</w:t>
            </w:r>
          </w:p>
        </w:tc>
        <w:tc>
          <w:tcPr>
            <w:tcW w:w="399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p>
        </w:tc>
      </w:tr>
      <w:tr w:rsidR="00335DEF" w:rsidRPr="00F2119A" w:rsidTr="00F2119A">
        <w:tc>
          <w:tcPr>
            <w:tcW w:w="1003" w:type="pct"/>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rPr>
                <w:color w:val="auto"/>
                <w:sz w:val="26"/>
                <w:szCs w:val="26"/>
              </w:rPr>
            </w:pPr>
            <w:r w:rsidRPr="00335DEF">
              <w:rPr>
                <w:color w:val="auto"/>
                <w:sz w:val="26"/>
                <w:szCs w:val="26"/>
              </w:rPr>
              <w:t>8. Cita informācija</w:t>
            </w:r>
          </w:p>
        </w:tc>
        <w:tc>
          <w:tcPr>
            <w:tcW w:w="3997"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35DEF" w:rsidRPr="00335DEF" w:rsidRDefault="00335DEF" w:rsidP="00335DEF">
            <w:pPr>
              <w:pBdr>
                <w:top w:val="none" w:sz="0" w:space="0" w:color="auto"/>
                <w:left w:val="none" w:sz="0" w:space="0" w:color="auto"/>
                <w:bottom w:val="none" w:sz="0" w:space="0" w:color="auto"/>
                <w:right w:val="none" w:sz="0" w:space="0" w:color="auto"/>
                <w:between w:val="none" w:sz="0" w:space="0" w:color="auto"/>
              </w:pBdr>
              <w:jc w:val="both"/>
              <w:rPr>
                <w:color w:val="auto"/>
                <w:sz w:val="26"/>
                <w:szCs w:val="26"/>
              </w:rPr>
            </w:pPr>
            <w:r w:rsidRPr="00F2119A">
              <w:rPr>
                <w:sz w:val="26"/>
                <w:szCs w:val="26"/>
              </w:rPr>
              <w:t>Valsts budžeta ieņēmumi nav precīzi aprēķināmi, jo nav iespējams paredzēt, kāds būs administratīvi sodīto personu skaits un tām piemēroto administratīvo sodu apmērs, kas atkarīgs no konstatētajiem administratīvajiem pārkāpumiem un administratīvo pārkāpumu lietu faktiskajiem apstākļiem.</w:t>
            </w:r>
          </w:p>
        </w:tc>
      </w:tr>
    </w:tbl>
    <w:p w:rsidR="00335DEF" w:rsidRPr="00F2119A" w:rsidRDefault="00335DEF">
      <w:pPr>
        <w:shd w:val="clear" w:color="auto" w:fill="FFFFFF"/>
        <w:ind w:firstLine="300"/>
        <w:rPr>
          <w:color w:val="auto"/>
          <w:sz w:val="26"/>
          <w:szCs w:val="26"/>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335DEF" w:rsidRPr="00F2119A">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color w:val="auto"/>
                <w:sz w:val="26"/>
                <w:szCs w:val="26"/>
              </w:rPr>
              <w:t> </w:t>
            </w:r>
            <w:r w:rsidRPr="00F2119A">
              <w:rPr>
                <w:b/>
                <w:color w:val="auto"/>
                <w:sz w:val="26"/>
                <w:szCs w:val="26"/>
              </w:rPr>
              <w:t>IV. Tiesību akta projekta ietekme uz spēkā esošo tiesību normu sistēmu</w:t>
            </w:r>
          </w:p>
        </w:tc>
      </w:tr>
      <w:tr w:rsidR="00335DEF" w:rsidRPr="00F2119A">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1.</w:t>
            </w:r>
          </w:p>
        </w:tc>
        <w:tc>
          <w:tcPr>
            <w:tcW w:w="2425"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D813D3" w:rsidRDefault="00A1134C" w:rsidP="00D813D3">
            <w:pPr>
              <w:jc w:val="both"/>
              <w:rPr>
                <w:sz w:val="26"/>
                <w:szCs w:val="26"/>
                <w:shd w:val="clear" w:color="auto" w:fill="FFFFFF"/>
              </w:rPr>
            </w:pPr>
            <w:r w:rsidRPr="00D813D3">
              <w:rPr>
                <w:color w:val="auto"/>
                <w:sz w:val="26"/>
                <w:szCs w:val="26"/>
              </w:rPr>
              <w:t>Iekšlietu ministrija ir sagatavojusi Ministru kabineta noteikumu projektu</w:t>
            </w:r>
            <w:r w:rsidRPr="00D813D3">
              <w:rPr>
                <w:bCs/>
                <w:color w:val="auto"/>
                <w:sz w:val="26"/>
                <w:szCs w:val="26"/>
              </w:rPr>
              <w:t xml:space="preserve"> </w:t>
            </w:r>
            <w:r w:rsidRPr="00D813D3">
              <w:rPr>
                <w:color w:val="auto"/>
                <w:sz w:val="26"/>
                <w:szCs w:val="26"/>
              </w:rPr>
              <w:t xml:space="preserve">„Grozījumi </w:t>
            </w:r>
            <w:r w:rsidRPr="00D813D3">
              <w:rPr>
                <w:bCs/>
                <w:color w:val="auto"/>
                <w:sz w:val="26"/>
                <w:szCs w:val="26"/>
              </w:rPr>
              <w:t>Ministru kabineta 2018. gada 27. novembra noteikumos Nr.719 „Kārtība, kādā nosaka alkohola koncentrāciju asinīs un izelpotajā gaisā un konstatē narkotisko vai citu apreibinošo vielu ietekmi”</w:t>
            </w:r>
            <w:r w:rsidRPr="00D813D3">
              <w:rPr>
                <w:color w:val="auto"/>
                <w:sz w:val="26"/>
                <w:szCs w:val="26"/>
              </w:rPr>
              <w:t xml:space="preserve">”, kas </w:t>
            </w:r>
            <w:r w:rsidR="00D813D3" w:rsidRPr="00D813D3">
              <w:rPr>
                <w:sz w:val="26"/>
                <w:szCs w:val="26"/>
                <w:shd w:val="clear" w:color="auto" w:fill="FFFFFF"/>
              </w:rPr>
              <w:t>paredz saglabāt tikai vienu gadījumu</w:t>
            </w:r>
            <w:r w:rsidR="000B098E">
              <w:rPr>
                <w:sz w:val="26"/>
                <w:szCs w:val="26"/>
                <w:shd w:val="clear" w:color="auto" w:fill="FFFFFF"/>
              </w:rPr>
              <w:t xml:space="preserve">, kad transportlīdzekļa vadītājs </w:t>
            </w:r>
            <w:r w:rsidR="00D813D3" w:rsidRPr="00D813D3">
              <w:rPr>
                <w:sz w:val="26"/>
                <w:szCs w:val="26"/>
                <w:shd w:val="clear" w:color="auto" w:fill="FFFFFF"/>
              </w:rPr>
              <w:t>būtu obligāti nogād</w:t>
            </w:r>
            <w:r w:rsidR="000B098E">
              <w:rPr>
                <w:sz w:val="26"/>
                <w:szCs w:val="26"/>
                <w:shd w:val="clear" w:color="auto" w:fill="FFFFFF"/>
              </w:rPr>
              <w:t>ājams</w:t>
            </w:r>
            <w:r w:rsidR="00D813D3" w:rsidRPr="00D813D3">
              <w:rPr>
                <w:sz w:val="26"/>
                <w:szCs w:val="26"/>
                <w:shd w:val="clear" w:color="auto" w:fill="FFFFFF"/>
              </w:rPr>
              <w:t xml:space="preserve"> ārstniecības iestādē </w:t>
            </w:r>
            <w:r w:rsidR="00D813D3" w:rsidRPr="00D813D3">
              <w:rPr>
                <w:sz w:val="26"/>
                <w:szCs w:val="26"/>
                <w:shd w:val="clear" w:color="auto" w:fill="FFFFFF"/>
              </w:rPr>
              <w:lastRenderedPageBreak/>
              <w:t>medicīniskās pārbaudes veikšanai, tas ir gadījumā, kad pārbaudi alkohola koncentrācijas noteikšanai izelpotajā gaisā, izmantojot portatīvo mērierīci, nav iespējams veikt, piemēram, personas faktiskā veselības stāvokļa dēļ.</w:t>
            </w:r>
          </w:p>
          <w:p w:rsidR="00D813D3" w:rsidRPr="00D813D3" w:rsidRDefault="00D813D3" w:rsidP="00D813D3">
            <w:pPr>
              <w:jc w:val="both"/>
              <w:rPr>
                <w:color w:val="auto"/>
                <w:sz w:val="26"/>
                <w:szCs w:val="26"/>
              </w:rPr>
            </w:pPr>
            <w:r>
              <w:rPr>
                <w:sz w:val="26"/>
                <w:szCs w:val="26"/>
                <w:shd w:val="clear" w:color="auto" w:fill="FFFFFF"/>
              </w:rPr>
              <w:t xml:space="preserve">Minētais projekts </w:t>
            </w:r>
            <w:r w:rsidRPr="00D813D3">
              <w:rPr>
                <w:color w:val="auto"/>
                <w:sz w:val="26"/>
                <w:szCs w:val="26"/>
              </w:rPr>
              <w:t>nosūtīts saskaņošanai iesaistītajām institūcijām</w:t>
            </w:r>
            <w:r>
              <w:rPr>
                <w:color w:val="auto"/>
                <w:sz w:val="26"/>
                <w:szCs w:val="26"/>
              </w:rPr>
              <w:t>.</w:t>
            </w:r>
          </w:p>
        </w:tc>
      </w:tr>
      <w:tr w:rsidR="00335DEF" w:rsidRPr="00F2119A">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lastRenderedPageBreak/>
              <w:t>2.</w:t>
            </w:r>
          </w:p>
        </w:tc>
        <w:tc>
          <w:tcPr>
            <w:tcW w:w="2425"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Default="00A1134C">
            <w:pPr>
              <w:spacing w:after="120"/>
              <w:rPr>
                <w:color w:val="auto"/>
                <w:sz w:val="26"/>
                <w:szCs w:val="26"/>
              </w:rPr>
            </w:pPr>
            <w:r>
              <w:rPr>
                <w:color w:val="auto"/>
                <w:sz w:val="26"/>
                <w:szCs w:val="26"/>
              </w:rPr>
              <w:t>Iekšlietu ministrija.</w:t>
            </w:r>
          </w:p>
          <w:p w:rsidR="00D813D3" w:rsidRPr="00F2119A" w:rsidRDefault="00D813D3">
            <w:pPr>
              <w:spacing w:after="120"/>
              <w:rPr>
                <w:color w:val="auto"/>
                <w:sz w:val="26"/>
                <w:szCs w:val="26"/>
              </w:rPr>
            </w:pPr>
          </w:p>
        </w:tc>
      </w:tr>
      <w:tr w:rsidR="00335DEF" w:rsidRPr="00F2119A">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3.</w:t>
            </w:r>
          </w:p>
        </w:tc>
        <w:tc>
          <w:tcPr>
            <w:tcW w:w="2425"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F2119A" w:rsidRDefault="00081E46" w:rsidP="00BE7D7E">
            <w:pPr>
              <w:spacing w:before="100" w:after="120"/>
              <w:jc w:val="both"/>
              <w:rPr>
                <w:color w:val="auto"/>
                <w:sz w:val="26"/>
                <w:szCs w:val="26"/>
              </w:rPr>
            </w:pPr>
            <w:r w:rsidRPr="00F2119A">
              <w:rPr>
                <w:color w:val="auto"/>
                <w:sz w:val="26"/>
                <w:szCs w:val="26"/>
              </w:rPr>
              <w:t>Nav.</w:t>
            </w:r>
          </w:p>
        </w:tc>
      </w:tr>
    </w:tbl>
    <w:p w:rsidR="00D813D3" w:rsidRPr="00F2119A" w:rsidRDefault="00E203EE">
      <w:pPr>
        <w:shd w:val="clear" w:color="auto" w:fill="FFFFFF"/>
        <w:ind w:firstLine="300"/>
        <w:rPr>
          <w:color w:val="auto"/>
          <w:sz w:val="26"/>
          <w:szCs w:val="26"/>
        </w:rPr>
      </w:pPr>
      <w:r w:rsidRPr="00F2119A">
        <w:rPr>
          <w:rFonts w:eastAsia="Arial"/>
          <w:color w:val="auto"/>
          <w:sz w:val="26"/>
          <w:szCs w:val="26"/>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335DEF" w:rsidRPr="00F2119A">
        <w:tc>
          <w:tcPr>
            <w:tcW w:w="8572" w:type="dxa"/>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b/>
                <w:color w:val="auto"/>
                <w:sz w:val="26"/>
                <w:szCs w:val="26"/>
              </w:rPr>
              <w:t>V. Tiesību akta projekta atbilstība Latvijas Republikas starptautiskajām saistībām</w:t>
            </w:r>
          </w:p>
        </w:tc>
      </w:tr>
      <w:tr w:rsidR="00335DEF" w:rsidRPr="00F2119A">
        <w:tc>
          <w:tcPr>
            <w:tcW w:w="8572" w:type="dxa"/>
            <w:tcBorders>
              <w:top w:val="single" w:sz="6" w:space="0" w:color="414142"/>
              <w:left w:val="single" w:sz="6" w:space="0" w:color="414142"/>
              <w:bottom w:val="single" w:sz="6" w:space="0" w:color="414142"/>
              <w:right w:val="single" w:sz="6" w:space="0" w:color="414142"/>
            </w:tcBorders>
            <w:vAlign w:val="center"/>
          </w:tcPr>
          <w:p w:rsidR="004946D2" w:rsidRDefault="00282B8C">
            <w:pPr>
              <w:jc w:val="center"/>
              <w:rPr>
                <w:color w:val="auto"/>
                <w:sz w:val="26"/>
                <w:szCs w:val="26"/>
              </w:rPr>
            </w:pPr>
            <w:r w:rsidRPr="00F2119A">
              <w:rPr>
                <w:color w:val="auto"/>
                <w:sz w:val="26"/>
                <w:szCs w:val="26"/>
              </w:rPr>
              <w:t>Likump</w:t>
            </w:r>
            <w:r w:rsidR="004946D2" w:rsidRPr="00F2119A">
              <w:rPr>
                <w:color w:val="auto"/>
                <w:sz w:val="26"/>
                <w:szCs w:val="26"/>
              </w:rPr>
              <w:t>rojekts šo jomu neskar.</w:t>
            </w:r>
          </w:p>
          <w:p w:rsidR="00D813D3" w:rsidRPr="00F2119A" w:rsidRDefault="00D813D3">
            <w:pPr>
              <w:jc w:val="center"/>
              <w:rPr>
                <w:color w:val="auto"/>
                <w:sz w:val="26"/>
                <w:szCs w:val="26"/>
              </w:rPr>
            </w:pPr>
          </w:p>
        </w:tc>
      </w:tr>
    </w:tbl>
    <w:p w:rsidR="000C7EFF" w:rsidRPr="00F2119A" w:rsidRDefault="00E203EE" w:rsidP="004946D2">
      <w:pPr>
        <w:shd w:val="clear" w:color="auto" w:fill="FFFFFF"/>
        <w:ind w:firstLine="300"/>
        <w:rPr>
          <w:color w:val="auto"/>
          <w:sz w:val="26"/>
          <w:szCs w:val="26"/>
        </w:rPr>
      </w:pPr>
      <w:r w:rsidRPr="00F2119A">
        <w:rPr>
          <w:rFonts w:eastAsia="Arial"/>
          <w:color w:val="auto"/>
          <w:sz w:val="26"/>
          <w:szCs w:val="26"/>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335DEF" w:rsidRPr="00F2119A">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rFonts w:eastAsia="Arial"/>
                <w:color w:val="auto"/>
                <w:sz w:val="26"/>
                <w:szCs w:val="26"/>
              </w:rPr>
              <w:t> </w:t>
            </w:r>
            <w:r w:rsidRPr="00F2119A">
              <w:rPr>
                <w:b/>
                <w:color w:val="auto"/>
                <w:sz w:val="26"/>
                <w:szCs w:val="26"/>
              </w:rPr>
              <w:t>VI. Sabiedrības līdzdalība un komunikācijas aktivitātes</w:t>
            </w:r>
          </w:p>
        </w:tc>
      </w:tr>
      <w:tr w:rsidR="00335DEF" w:rsidRPr="00F2119A">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1.</w:t>
            </w:r>
          </w:p>
        </w:tc>
        <w:tc>
          <w:tcPr>
            <w:tcW w:w="251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512A37" w:rsidRPr="00F2119A" w:rsidRDefault="00364160">
            <w:pPr>
              <w:spacing w:after="120"/>
              <w:jc w:val="both"/>
              <w:rPr>
                <w:color w:val="auto"/>
                <w:sz w:val="26"/>
                <w:szCs w:val="26"/>
              </w:rPr>
            </w:pPr>
            <w:r w:rsidRPr="00F2119A">
              <w:rPr>
                <w:color w:val="auto"/>
                <w:sz w:val="26"/>
                <w:szCs w:val="26"/>
              </w:rPr>
              <w:t xml:space="preserve">Saistībā ar </w:t>
            </w:r>
            <w:proofErr w:type="spellStart"/>
            <w:r w:rsidRPr="00F2119A">
              <w:rPr>
                <w:color w:val="auto"/>
                <w:sz w:val="26"/>
                <w:szCs w:val="26"/>
              </w:rPr>
              <w:t>Covid</w:t>
            </w:r>
            <w:proofErr w:type="spellEnd"/>
            <w:r w:rsidRPr="00F2119A">
              <w:rPr>
                <w:color w:val="auto"/>
                <w:sz w:val="26"/>
                <w:szCs w:val="26"/>
              </w:rPr>
              <w:t xml:space="preserve"> – 19 izplatību, nepieciešama likumdevēja nekavējoša rīcība, tādējādi sabiedrības līdzdalības nodrošināšana nav iespējama.</w:t>
            </w:r>
          </w:p>
        </w:tc>
      </w:tr>
      <w:tr w:rsidR="00335DEF" w:rsidRPr="00F2119A">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2.</w:t>
            </w:r>
          </w:p>
        </w:tc>
        <w:tc>
          <w:tcPr>
            <w:tcW w:w="251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5E4815" w:rsidRPr="00F2119A" w:rsidRDefault="00364160" w:rsidP="00920E81">
            <w:pPr>
              <w:spacing w:after="120"/>
              <w:jc w:val="both"/>
              <w:rPr>
                <w:color w:val="auto"/>
                <w:sz w:val="26"/>
                <w:szCs w:val="26"/>
              </w:rPr>
            </w:pPr>
            <w:r w:rsidRPr="00F2119A">
              <w:rPr>
                <w:color w:val="auto"/>
                <w:sz w:val="26"/>
                <w:szCs w:val="26"/>
              </w:rPr>
              <w:t xml:space="preserve">Saistībā ar </w:t>
            </w:r>
            <w:proofErr w:type="spellStart"/>
            <w:r w:rsidRPr="00F2119A">
              <w:rPr>
                <w:color w:val="auto"/>
                <w:sz w:val="26"/>
                <w:szCs w:val="26"/>
              </w:rPr>
              <w:t>Covid</w:t>
            </w:r>
            <w:proofErr w:type="spellEnd"/>
            <w:r w:rsidRPr="00F2119A">
              <w:rPr>
                <w:color w:val="auto"/>
                <w:sz w:val="26"/>
                <w:szCs w:val="26"/>
              </w:rPr>
              <w:t xml:space="preserve"> – 19 izplatību, nepieciešama likumdevēja nekavējoša rīcība, tādējādi sabiedrības līdzdalības nodrošināšana nav iespējama.</w:t>
            </w:r>
          </w:p>
        </w:tc>
      </w:tr>
      <w:tr w:rsidR="00335DEF" w:rsidRPr="00F2119A" w:rsidTr="00F2119A">
        <w:trPr>
          <w:trHeight w:val="854"/>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3.</w:t>
            </w:r>
          </w:p>
        </w:tc>
        <w:tc>
          <w:tcPr>
            <w:tcW w:w="251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5E4815" w:rsidRPr="00F2119A" w:rsidRDefault="00364160" w:rsidP="005E4815">
            <w:pPr>
              <w:spacing w:after="120"/>
              <w:jc w:val="both"/>
              <w:rPr>
                <w:color w:val="auto"/>
                <w:sz w:val="26"/>
                <w:szCs w:val="26"/>
              </w:rPr>
            </w:pPr>
            <w:r w:rsidRPr="00F2119A">
              <w:rPr>
                <w:color w:val="auto"/>
                <w:sz w:val="26"/>
                <w:szCs w:val="26"/>
              </w:rPr>
              <w:t xml:space="preserve">Saistībā ar </w:t>
            </w:r>
            <w:proofErr w:type="spellStart"/>
            <w:r w:rsidRPr="00F2119A">
              <w:rPr>
                <w:color w:val="auto"/>
                <w:sz w:val="26"/>
                <w:szCs w:val="26"/>
              </w:rPr>
              <w:t>Covid</w:t>
            </w:r>
            <w:proofErr w:type="spellEnd"/>
            <w:r w:rsidRPr="00F2119A">
              <w:rPr>
                <w:color w:val="auto"/>
                <w:sz w:val="26"/>
                <w:szCs w:val="26"/>
              </w:rPr>
              <w:t xml:space="preserve"> – 19 izplatību, nepieciešama likumdevēja nekavējoša rīcība, tādējādi sabiedrības līdzdalības nodrošināšana nav iespējama.</w:t>
            </w:r>
          </w:p>
        </w:tc>
      </w:tr>
      <w:tr w:rsidR="00335DEF" w:rsidRPr="00F2119A">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4.</w:t>
            </w:r>
          </w:p>
        </w:tc>
        <w:tc>
          <w:tcPr>
            <w:tcW w:w="2511"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F2119A" w:rsidRDefault="00E203EE">
            <w:pPr>
              <w:spacing w:after="120"/>
              <w:rPr>
                <w:color w:val="auto"/>
                <w:sz w:val="26"/>
                <w:szCs w:val="26"/>
              </w:rPr>
            </w:pPr>
            <w:r w:rsidRPr="00F2119A">
              <w:rPr>
                <w:color w:val="auto"/>
                <w:sz w:val="26"/>
                <w:szCs w:val="26"/>
              </w:rPr>
              <w:t>Nav</w:t>
            </w:r>
          </w:p>
        </w:tc>
      </w:tr>
    </w:tbl>
    <w:p w:rsidR="000C7EFF" w:rsidRPr="00F2119A" w:rsidRDefault="00E203EE">
      <w:pPr>
        <w:shd w:val="clear" w:color="auto" w:fill="FFFFFF"/>
        <w:ind w:firstLine="300"/>
        <w:rPr>
          <w:color w:val="auto"/>
          <w:sz w:val="26"/>
          <w:szCs w:val="26"/>
        </w:rPr>
      </w:pPr>
      <w:r w:rsidRPr="00F2119A">
        <w:rPr>
          <w:rFonts w:eastAsia="Arial"/>
          <w:color w:val="auto"/>
          <w:sz w:val="26"/>
          <w:szCs w:val="26"/>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335DEF" w:rsidRPr="00F2119A">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F2119A" w:rsidRDefault="00E203EE">
            <w:pPr>
              <w:jc w:val="center"/>
              <w:rPr>
                <w:b/>
                <w:color w:val="auto"/>
                <w:sz w:val="26"/>
                <w:szCs w:val="26"/>
              </w:rPr>
            </w:pPr>
            <w:r w:rsidRPr="00F2119A">
              <w:rPr>
                <w:b/>
                <w:color w:val="auto"/>
                <w:sz w:val="26"/>
                <w:szCs w:val="26"/>
              </w:rPr>
              <w:t>VII. Tiesību akta projekta izpildes nodrošināšana un tās ietekme uz institūcijām</w:t>
            </w:r>
          </w:p>
        </w:tc>
      </w:tr>
      <w:tr w:rsidR="00335DEF" w:rsidRPr="00F2119A">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1.</w:t>
            </w:r>
          </w:p>
        </w:tc>
        <w:tc>
          <w:tcPr>
            <w:tcW w:w="3180"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81E46" w:rsidRDefault="00B247D5" w:rsidP="00F4168F">
            <w:pPr>
              <w:jc w:val="both"/>
              <w:rPr>
                <w:color w:val="auto"/>
                <w:sz w:val="26"/>
                <w:szCs w:val="26"/>
              </w:rPr>
            </w:pPr>
            <w:r w:rsidRPr="00F2119A">
              <w:rPr>
                <w:color w:val="auto"/>
                <w:sz w:val="26"/>
                <w:szCs w:val="26"/>
              </w:rPr>
              <w:t>Valsts policija, pašvaldības policija.</w:t>
            </w:r>
          </w:p>
          <w:p w:rsidR="00D813D3" w:rsidRDefault="00D813D3" w:rsidP="00F4168F">
            <w:pPr>
              <w:jc w:val="both"/>
              <w:rPr>
                <w:color w:val="auto"/>
                <w:sz w:val="26"/>
                <w:szCs w:val="26"/>
              </w:rPr>
            </w:pPr>
          </w:p>
          <w:p w:rsidR="00D813D3" w:rsidRPr="00F2119A" w:rsidRDefault="00D813D3" w:rsidP="00F4168F">
            <w:pPr>
              <w:jc w:val="both"/>
              <w:rPr>
                <w:color w:val="auto"/>
                <w:sz w:val="26"/>
                <w:szCs w:val="26"/>
              </w:rPr>
            </w:pPr>
          </w:p>
        </w:tc>
      </w:tr>
      <w:tr w:rsidR="00335DEF" w:rsidRPr="00F2119A">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2.</w:t>
            </w:r>
          </w:p>
        </w:tc>
        <w:tc>
          <w:tcPr>
            <w:tcW w:w="3180" w:type="dxa"/>
            <w:tcBorders>
              <w:top w:val="single" w:sz="6" w:space="0" w:color="414142"/>
              <w:left w:val="single" w:sz="6" w:space="0" w:color="414142"/>
              <w:bottom w:val="single" w:sz="6" w:space="0" w:color="414142"/>
              <w:right w:val="single" w:sz="6" w:space="0" w:color="414142"/>
            </w:tcBorders>
          </w:tcPr>
          <w:p w:rsidR="000C7EFF" w:rsidRPr="00F2119A" w:rsidRDefault="00E203EE" w:rsidP="00390ACB">
            <w:pPr>
              <w:jc w:val="both"/>
              <w:rPr>
                <w:color w:val="auto"/>
                <w:sz w:val="26"/>
                <w:szCs w:val="26"/>
              </w:rPr>
            </w:pPr>
            <w:r w:rsidRPr="00F2119A">
              <w:rPr>
                <w:color w:val="auto"/>
                <w:sz w:val="26"/>
                <w:szCs w:val="26"/>
              </w:rPr>
              <w:t>Projekta izpildes ietekme uz pārvaldes funkcijām un institucionālo struktūru.</w:t>
            </w:r>
          </w:p>
          <w:p w:rsidR="000C7EFF" w:rsidRPr="00F2119A" w:rsidRDefault="00E203EE" w:rsidP="00390ACB">
            <w:pPr>
              <w:jc w:val="both"/>
              <w:rPr>
                <w:color w:val="auto"/>
                <w:sz w:val="26"/>
                <w:szCs w:val="26"/>
              </w:rPr>
            </w:pPr>
            <w:r w:rsidRPr="00F2119A">
              <w:rPr>
                <w:color w:val="auto"/>
                <w:sz w:val="26"/>
                <w:szCs w:val="26"/>
              </w:rPr>
              <w:t xml:space="preserve">Jaunu institūciju izveide, esošu institūciju likvidācija </w:t>
            </w:r>
            <w:r w:rsidRPr="00F2119A">
              <w:rPr>
                <w:color w:val="auto"/>
                <w:sz w:val="26"/>
                <w:szCs w:val="26"/>
              </w:rPr>
              <w:lastRenderedPageBreak/>
              <w:t>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F2119A" w:rsidRDefault="00282B8C">
            <w:pPr>
              <w:spacing w:after="120"/>
              <w:jc w:val="both"/>
              <w:rPr>
                <w:color w:val="auto"/>
                <w:sz w:val="26"/>
                <w:szCs w:val="26"/>
              </w:rPr>
            </w:pPr>
            <w:r w:rsidRPr="00F2119A">
              <w:rPr>
                <w:color w:val="auto"/>
                <w:sz w:val="26"/>
                <w:szCs w:val="26"/>
              </w:rPr>
              <w:lastRenderedPageBreak/>
              <w:t>Likump</w:t>
            </w:r>
            <w:r w:rsidR="00390ACB" w:rsidRPr="00F2119A">
              <w:rPr>
                <w:color w:val="auto"/>
                <w:sz w:val="26"/>
                <w:szCs w:val="26"/>
              </w:rPr>
              <w:t>rojekts šo jomu neskar.</w:t>
            </w:r>
          </w:p>
        </w:tc>
      </w:tr>
      <w:tr w:rsidR="000C7EFF" w:rsidRPr="00F2119A">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3.</w:t>
            </w:r>
          </w:p>
        </w:tc>
        <w:tc>
          <w:tcPr>
            <w:tcW w:w="3180" w:type="dxa"/>
            <w:tcBorders>
              <w:top w:val="single" w:sz="6" w:space="0" w:color="414142"/>
              <w:left w:val="single" w:sz="6" w:space="0" w:color="414142"/>
              <w:bottom w:val="single" w:sz="6" w:space="0" w:color="414142"/>
              <w:right w:val="single" w:sz="6" w:space="0" w:color="414142"/>
            </w:tcBorders>
          </w:tcPr>
          <w:p w:rsidR="000C7EFF" w:rsidRPr="00F2119A" w:rsidRDefault="00E203EE">
            <w:pPr>
              <w:rPr>
                <w:color w:val="auto"/>
                <w:sz w:val="26"/>
                <w:szCs w:val="26"/>
              </w:rPr>
            </w:pPr>
            <w:r w:rsidRPr="00F2119A">
              <w:rPr>
                <w:color w:val="auto"/>
                <w:sz w:val="26"/>
                <w:szCs w:val="26"/>
              </w:rP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F2119A" w:rsidRDefault="00E203EE">
            <w:pPr>
              <w:spacing w:after="120"/>
              <w:rPr>
                <w:color w:val="auto"/>
                <w:sz w:val="26"/>
                <w:szCs w:val="26"/>
              </w:rPr>
            </w:pPr>
            <w:r w:rsidRPr="00F2119A">
              <w:rPr>
                <w:color w:val="auto"/>
                <w:sz w:val="26"/>
                <w:szCs w:val="26"/>
              </w:rPr>
              <w:t>Nav</w:t>
            </w:r>
          </w:p>
        </w:tc>
      </w:tr>
    </w:tbl>
    <w:p w:rsidR="000C7EFF" w:rsidRDefault="000C7EFF">
      <w:pPr>
        <w:rPr>
          <w:color w:val="auto"/>
          <w:sz w:val="26"/>
          <w:szCs w:val="26"/>
        </w:rPr>
      </w:pPr>
    </w:p>
    <w:p w:rsidR="002449FE" w:rsidRDefault="002449FE">
      <w:pPr>
        <w:rPr>
          <w:color w:val="auto"/>
          <w:sz w:val="26"/>
          <w:szCs w:val="26"/>
        </w:rPr>
      </w:pPr>
    </w:p>
    <w:p w:rsidR="002449FE" w:rsidRPr="00F2119A" w:rsidRDefault="002449FE">
      <w:pPr>
        <w:rPr>
          <w:color w:val="auto"/>
          <w:sz w:val="26"/>
          <w:szCs w:val="26"/>
        </w:rPr>
      </w:pPr>
    </w:p>
    <w:p w:rsidR="002449FE" w:rsidRDefault="002449FE" w:rsidP="002449FE">
      <w:pPr>
        <w:tabs>
          <w:tab w:val="left" w:pos="6521"/>
        </w:tabs>
        <w:ind w:firstLine="709"/>
        <w:rPr>
          <w:sz w:val="28"/>
          <w:szCs w:val="28"/>
        </w:rPr>
      </w:pPr>
      <w:r w:rsidRPr="00283E4E">
        <w:rPr>
          <w:sz w:val="28"/>
          <w:szCs w:val="28"/>
        </w:rPr>
        <w:t>Iekšlietu ministrs</w:t>
      </w:r>
      <w:r>
        <w:rPr>
          <w:sz w:val="28"/>
          <w:szCs w:val="28"/>
        </w:rPr>
        <w:t>,</w:t>
      </w:r>
    </w:p>
    <w:p w:rsidR="002449FE" w:rsidRDefault="002449FE" w:rsidP="002449FE">
      <w:pPr>
        <w:tabs>
          <w:tab w:val="left" w:pos="6521"/>
        </w:tabs>
        <w:ind w:firstLine="709"/>
        <w:rPr>
          <w:sz w:val="28"/>
          <w:szCs w:val="28"/>
        </w:rPr>
      </w:pPr>
      <w:r>
        <w:rPr>
          <w:sz w:val="28"/>
          <w:szCs w:val="28"/>
        </w:rPr>
        <w:t>ekonomikas ministra</w:t>
      </w:r>
    </w:p>
    <w:p w:rsidR="002449FE" w:rsidRPr="00283E4E" w:rsidRDefault="002449FE" w:rsidP="002449FE">
      <w:pPr>
        <w:tabs>
          <w:tab w:val="left" w:pos="6521"/>
        </w:tabs>
        <w:ind w:firstLine="709"/>
        <w:rPr>
          <w:sz w:val="28"/>
          <w:szCs w:val="28"/>
        </w:rPr>
      </w:pPr>
      <w:r>
        <w:rPr>
          <w:sz w:val="28"/>
          <w:szCs w:val="28"/>
        </w:rPr>
        <w:t>pienākumu izpildītājs</w:t>
      </w:r>
      <w:r w:rsidRPr="00283E4E">
        <w:rPr>
          <w:sz w:val="28"/>
          <w:szCs w:val="28"/>
        </w:rPr>
        <w:tab/>
        <w:t>S. </w:t>
      </w:r>
      <w:proofErr w:type="spellStart"/>
      <w:r w:rsidRPr="00283E4E">
        <w:rPr>
          <w:sz w:val="28"/>
          <w:szCs w:val="28"/>
        </w:rPr>
        <w:t>Ģirģens</w:t>
      </w:r>
      <w:proofErr w:type="spellEnd"/>
    </w:p>
    <w:p w:rsidR="00D813D3" w:rsidRDefault="00D813D3" w:rsidP="005E1ADF">
      <w:pPr>
        <w:tabs>
          <w:tab w:val="left" w:pos="2592"/>
        </w:tabs>
        <w:rPr>
          <w:color w:val="auto"/>
          <w:sz w:val="18"/>
          <w:szCs w:val="18"/>
        </w:rPr>
      </w:pPr>
    </w:p>
    <w:p w:rsidR="002449FE" w:rsidRDefault="002449FE" w:rsidP="005E1ADF">
      <w:pPr>
        <w:tabs>
          <w:tab w:val="left" w:pos="2592"/>
        </w:tabs>
        <w:rPr>
          <w:color w:val="auto"/>
          <w:sz w:val="18"/>
          <w:szCs w:val="18"/>
        </w:rPr>
      </w:pPr>
    </w:p>
    <w:p w:rsidR="00D813D3" w:rsidRDefault="00D813D3" w:rsidP="002449FE">
      <w:pPr>
        <w:tabs>
          <w:tab w:val="left" w:pos="2592"/>
        </w:tabs>
        <w:jc w:val="center"/>
        <w:rPr>
          <w:color w:val="auto"/>
          <w:sz w:val="18"/>
          <w:szCs w:val="18"/>
        </w:rPr>
      </w:pPr>
      <w:bookmarkStart w:id="0" w:name="_GoBack"/>
      <w:bookmarkEnd w:id="0"/>
    </w:p>
    <w:p w:rsidR="008A0E8B" w:rsidRPr="00F2119A" w:rsidRDefault="00804FE3" w:rsidP="005E1ADF">
      <w:pPr>
        <w:tabs>
          <w:tab w:val="left" w:pos="2592"/>
        </w:tabs>
        <w:rPr>
          <w:color w:val="auto"/>
          <w:sz w:val="18"/>
          <w:szCs w:val="18"/>
        </w:rPr>
      </w:pPr>
      <w:r w:rsidRPr="00F2119A">
        <w:rPr>
          <w:color w:val="auto"/>
          <w:sz w:val="18"/>
          <w:szCs w:val="18"/>
        </w:rPr>
        <w:t>I.Gorbačova-</w:t>
      </w:r>
      <w:proofErr w:type="spellStart"/>
      <w:r w:rsidRPr="00F2119A">
        <w:rPr>
          <w:color w:val="auto"/>
          <w:sz w:val="18"/>
          <w:szCs w:val="18"/>
        </w:rPr>
        <w:t>Ščogole</w:t>
      </w:r>
      <w:proofErr w:type="spellEnd"/>
    </w:p>
    <w:p w:rsidR="008A0E8B" w:rsidRDefault="008A0E8B" w:rsidP="005E1ADF">
      <w:pPr>
        <w:tabs>
          <w:tab w:val="left" w:pos="2592"/>
        </w:tabs>
        <w:rPr>
          <w:color w:val="auto"/>
          <w:sz w:val="18"/>
          <w:szCs w:val="18"/>
        </w:rPr>
      </w:pPr>
      <w:r w:rsidRPr="00F2119A">
        <w:rPr>
          <w:color w:val="auto"/>
          <w:sz w:val="18"/>
          <w:szCs w:val="18"/>
        </w:rPr>
        <w:t>67219</w:t>
      </w:r>
      <w:r w:rsidR="00804FE3" w:rsidRPr="00F2119A">
        <w:rPr>
          <w:color w:val="auto"/>
          <w:sz w:val="18"/>
          <w:szCs w:val="18"/>
        </w:rPr>
        <w:t>018</w:t>
      </w:r>
      <w:r w:rsidRPr="00F2119A">
        <w:rPr>
          <w:color w:val="auto"/>
          <w:sz w:val="18"/>
          <w:szCs w:val="18"/>
        </w:rPr>
        <w:t xml:space="preserve">, </w:t>
      </w:r>
      <w:hyperlink r:id="rId8" w:history="1">
        <w:r w:rsidR="002449FE" w:rsidRPr="00E47DA0">
          <w:rPr>
            <w:rStyle w:val="Hyperlink"/>
            <w:sz w:val="18"/>
            <w:szCs w:val="18"/>
          </w:rPr>
          <w:t>inguna.gorbacova-scogole@iem.gov.lv</w:t>
        </w:r>
      </w:hyperlink>
      <w:r w:rsidRPr="00F2119A">
        <w:rPr>
          <w:color w:val="auto"/>
          <w:sz w:val="18"/>
          <w:szCs w:val="18"/>
        </w:rPr>
        <w:t>,</w:t>
      </w:r>
    </w:p>
    <w:p w:rsidR="002449FE" w:rsidRDefault="002449FE" w:rsidP="005E1ADF">
      <w:pPr>
        <w:tabs>
          <w:tab w:val="left" w:pos="2592"/>
        </w:tabs>
        <w:rPr>
          <w:color w:val="auto"/>
          <w:sz w:val="18"/>
          <w:szCs w:val="18"/>
        </w:rPr>
      </w:pPr>
    </w:p>
    <w:p w:rsidR="002449FE" w:rsidRDefault="002449FE" w:rsidP="005E1ADF">
      <w:pPr>
        <w:tabs>
          <w:tab w:val="left" w:pos="2592"/>
        </w:tabs>
        <w:rPr>
          <w:color w:val="auto"/>
          <w:sz w:val="18"/>
          <w:szCs w:val="18"/>
        </w:rPr>
      </w:pPr>
    </w:p>
    <w:p w:rsidR="002449FE" w:rsidRDefault="002449FE" w:rsidP="005E1ADF">
      <w:pPr>
        <w:tabs>
          <w:tab w:val="left" w:pos="2592"/>
        </w:tabs>
        <w:rPr>
          <w:color w:val="auto"/>
          <w:sz w:val="18"/>
          <w:szCs w:val="18"/>
        </w:rPr>
      </w:pPr>
    </w:p>
    <w:p w:rsidR="002449FE" w:rsidRDefault="002449FE" w:rsidP="002449FE">
      <w:pPr>
        <w:rPr>
          <w:sz w:val="16"/>
          <w:szCs w:val="16"/>
        </w:rPr>
      </w:pPr>
      <w:proofErr w:type="spellStart"/>
      <w:r w:rsidRPr="008709C1">
        <w:rPr>
          <w:sz w:val="16"/>
          <w:szCs w:val="16"/>
        </w:rPr>
        <w:t>v_sk</w:t>
      </w:r>
      <w:proofErr w:type="spellEnd"/>
      <w:r w:rsidRPr="008709C1">
        <w:rPr>
          <w:sz w:val="16"/>
          <w:szCs w:val="16"/>
        </w:rPr>
        <w:t xml:space="preserve">.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1362</w:t>
      </w:r>
      <w:r w:rsidRPr="008709C1">
        <w:rPr>
          <w:sz w:val="16"/>
          <w:szCs w:val="16"/>
        </w:rPr>
        <w:fldChar w:fldCharType="end"/>
      </w:r>
    </w:p>
    <w:sectPr w:rsidR="002449FE" w:rsidSect="00464C53">
      <w:headerReference w:type="even" r:id="rId9"/>
      <w:headerReference w:type="default" r:id="rId10"/>
      <w:footerReference w:type="even" r:id="rId11"/>
      <w:footerReference w:type="default" r:id="rId12"/>
      <w:headerReference w:type="first" r:id="rId13"/>
      <w:footerReference w:type="first" r:id="rId14"/>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0CD" w:rsidRDefault="00B750CD">
      <w:r>
        <w:separator/>
      </w:r>
    </w:p>
  </w:endnote>
  <w:endnote w:type="continuationSeparator" w:id="0">
    <w:p w:rsidR="00B750CD" w:rsidRDefault="00B7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C" w:rsidRDefault="002B4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C" w:rsidRDefault="002B470C" w:rsidP="002B470C">
    <w:pPr>
      <w:tabs>
        <w:tab w:val="center" w:pos="4153"/>
        <w:tab w:val="right" w:pos="8306"/>
      </w:tabs>
      <w:jc w:val="both"/>
      <w:rPr>
        <w:sz w:val="20"/>
        <w:szCs w:val="20"/>
      </w:rPr>
    </w:pPr>
    <w:r>
      <w:rPr>
        <w:sz w:val="20"/>
        <w:szCs w:val="20"/>
      </w:rPr>
      <w:t>IEMAnot_010420 (TA-533)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E3" w:rsidRDefault="00D93E5F" w:rsidP="00804FE3">
    <w:pPr>
      <w:tabs>
        <w:tab w:val="center" w:pos="4153"/>
        <w:tab w:val="right" w:pos="8306"/>
      </w:tabs>
      <w:jc w:val="both"/>
      <w:rPr>
        <w:sz w:val="20"/>
        <w:szCs w:val="20"/>
      </w:rPr>
    </w:pPr>
    <w:r>
      <w:rPr>
        <w:sz w:val="20"/>
        <w:szCs w:val="20"/>
      </w:rPr>
      <w:t>IEMAnot_0104</w:t>
    </w:r>
    <w:r w:rsidR="00804FE3">
      <w:rPr>
        <w:sz w:val="20"/>
        <w:szCs w:val="20"/>
      </w:rPr>
      <w:t xml:space="preserve">20 </w:t>
    </w:r>
    <w:r w:rsidR="002B470C">
      <w:rPr>
        <w:sz w:val="20"/>
        <w:szCs w:val="20"/>
      </w:rPr>
      <w:t>(TA-533)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0CD" w:rsidRDefault="00B750CD">
      <w:r>
        <w:separator/>
      </w:r>
    </w:p>
  </w:footnote>
  <w:footnote w:type="continuationSeparator" w:id="0">
    <w:p w:rsidR="00B750CD" w:rsidRDefault="00B7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C" w:rsidRDefault="002B4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EFF" w:rsidRDefault="00AD656A">
    <w:pPr>
      <w:tabs>
        <w:tab w:val="center" w:pos="4153"/>
        <w:tab w:val="right" w:pos="8306"/>
      </w:tabs>
      <w:jc w:val="center"/>
    </w:pPr>
    <w:r>
      <w:fldChar w:fldCharType="begin"/>
    </w:r>
    <w:r w:rsidR="00E203EE">
      <w:instrText>PAGE</w:instrText>
    </w:r>
    <w:r>
      <w:fldChar w:fldCharType="separate"/>
    </w:r>
    <w:r w:rsidR="00824657">
      <w:rPr>
        <w:noProof/>
      </w:rPr>
      <w:t>6</w:t>
    </w:r>
    <w:r>
      <w:fldChar w:fldCharType="end"/>
    </w:r>
  </w:p>
  <w:p w:rsidR="000C7EFF" w:rsidRDefault="000C7EFF">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0C" w:rsidRDefault="002B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6" w15:restartNumberingAfterBreak="0">
    <w:nsid w:val="5BA92273"/>
    <w:multiLevelType w:val="hybridMultilevel"/>
    <w:tmpl w:val="8D8A7002"/>
    <w:lvl w:ilvl="0" w:tplc="8EA6E616">
      <w:start w:val="1"/>
      <w:numFmt w:val="decimal"/>
      <w:lvlText w:val="%1."/>
      <w:lvlJc w:val="left"/>
      <w:pPr>
        <w:ind w:left="975" w:hanging="615"/>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8"/>
  </w:num>
  <w:num w:numId="4">
    <w:abstractNumId w:val="4"/>
  </w:num>
  <w:num w:numId="5">
    <w:abstractNumId w:val="3"/>
  </w:num>
  <w:num w:numId="6">
    <w:abstractNumId w:val="7"/>
  </w:num>
  <w:num w:numId="7">
    <w:abstractNumId w:val="1"/>
  </w:num>
  <w:num w:numId="8">
    <w:abstractNumId w:val="5"/>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FF"/>
    <w:rsid w:val="000268BF"/>
    <w:rsid w:val="000369B9"/>
    <w:rsid w:val="00081E46"/>
    <w:rsid w:val="000B098E"/>
    <w:rsid w:val="000C3DA7"/>
    <w:rsid w:val="000C678F"/>
    <w:rsid w:val="000C7EFF"/>
    <w:rsid w:val="0010564F"/>
    <w:rsid w:val="001172D2"/>
    <w:rsid w:val="0012152D"/>
    <w:rsid w:val="001311D2"/>
    <w:rsid w:val="00146BDF"/>
    <w:rsid w:val="00147C68"/>
    <w:rsid w:val="00151A8E"/>
    <w:rsid w:val="00176079"/>
    <w:rsid w:val="001837A5"/>
    <w:rsid w:val="00185D57"/>
    <w:rsid w:val="001920C0"/>
    <w:rsid w:val="001935A0"/>
    <w:rsid w:val="001C1675"/>
    <w:rsid w:val="001D4E9E"/>
    <w:rsid w:val="001F097B"/>
    <w:rsid w:val="001F0BF2"/>
    <w:rsid w:val="00205F34"/>
    <w:rsid w:val="0023333C"/>
    <w:rsid w:val="002449FE"/>
    <w:rsid w:val="00256B52"/>
    <w:rsid w:val="0027019C"/>
    <w:rsid w:val="0027432C"/>
    <w:rsid w:val="00282B8C"/>
    <w:rsid w:val="002A16B5"/>
    <w:rsid w:val="002B470C"/>
    <w:rsid w:val="00305AC4"/>
    <w:rsid w:val="0032013B"/>
    <w:rsid w:val="00322E4D"/>
    <w:rsid w:val="00332B54"/>
    <w:rsid w:val="00335DEF"/>
    <w:rsid w:val="00354B44"/>
    <w:rsid w:val="00364160"/>
    <w:rsid w:val="00375EA5"/>
    <w:rsid w:val="00385CD0"/>
    <w:rsid w:val="00390ACB"/>
    <w:rsid w:val="003A1443"/>
    <w:rsid w:val="003A4ABB"/>
    <w:rsid w:val="003E0508"/>
    <w:rsid w:val="003F11A8"/>
    <w:rsid w:val="0041082A"/>
    <w:rsid w:val="00434DB0"/>
    <w:rsid w:val="00463910"/>
    <w:rsid w:val="00464C53"/>
    <w:rsid w:val="004946D2"/>
    <w:rsid w:val="004A0496"/>
    <w:rsid w:val="004A3E14"/>
    <w:rsid w:val="004A71BE"/>
    <w:rsid w:val="004B5DF9"/>
    <w:rsid w:val="004E7D49"/>
    <w:rsid w:val="00512A37"/>
    <w:rsid w:val="005616CA"/>
    <w:rsid w:val="005B0526"/>
    <w:rsid w:val="005C0F14"/>
    <w:rsid w:val="005C709A"/>
    <w:rsid w:val="005D6722"/>
    <w:rsid w:val="005D73AA"/>
    <w:rsid w:val="005E1ADF"/>
    <w:rsid w:val="005E4815"/>
    <w:rsid w:val="006002F2"/>
    <w:rsid w:val="00694788"/>
    <w:rsid w:val="00713C41"/>
    <w:rsid w:val="00764589"/>
    <w:rsid w:val="007A330F"/>
    <w:rsid w:val="007B3128"/>
    <w:rsid w:val="007D683B"/>
    <w:rsid w:val="00804FE3"/>
    <w:rsid w:val="00824657"/>
    <w:rsid w:val="0082604F"/>
    <w:rsid w:val="00856234"/>
    <w:rsid w:val="008A0E8B"/>
    <w:rsid w:val="008E5A63"/>
    <w:rsid w:val="009040BE"/>
    <w:rsid w:val="00906C23"/>
    <w:rsid w:val="00920E81"/>
    <w:rsid w:val="00955984"/>
    <w:rsid w:val="00993081"/>
    <w:rsid w:val="009B3844"/>
    <w:rsid w:val="009D4D09"/>
    <w:rsid w:val="00A1134C"/>
    <w:rsid w:val="00A167AB"/>
    <w:rsid w:val="00A35762"/>
    <w:rsid w:val="00A56038"/>
    <w:rsid w:val="00A70D93"/>
    <w:rsid w:val="00AC3F52"/>
    <w:rsid w:val="00AD59B7"/>
    <w:rsid w:val="00AD656A"/>
    <w:rsid w:val="00AE75D9"/>
    <w:rsid w:val="00B247D5"/>
    <w:rsid w:val="00B35203"/>
    <w:rsid w:val="00B51056"/>
    <w:rsid w:val="00B62251"/>
    <w:rsid w:val="00B65A80"/>
    <w:rsid w:val="00B750CD"/>
    <w:rsid w:val="00B800AE"/>
    <w:rsid w:val="00BA173E"/>
    <w:rsid w:val="00BA4BF4"/>
    <w:rsid w:val="00BA774B"/>
    <w:rsid w:val="00BB3FF9"/>
    <w:rsid w:val="00BB4E87"/>
    <w:rsid w:val="00BB69C4"/>
    <w:rsid w:val="00BD188B"/>
    <w:rsid w:val="00BE7D7E"/>
    <w:rsid w:val="00C045B2"/>
    <w:rsid w:val="00C13611"/>
    <w:rsid w:val="00C3686E"/>
    <w:rsid w:val="00C85904"/>
    <w:rsid w:val="00CB186C"/>
    <w:rsid w:val="00CD4BE2"/>
    <w:rsid w:val="00CD6D68"/>
    <w:rsid w:val="00CF4D93"/>
    <w:rsid w:val="00D138B9"/>
    <w:rsid w:val="00D42D05"/>
    <w:rsid w:val="00D52DDE"/>
    <w:rsid w:val="00D813D3"/>
    <w:rsid w:val="00D93E5F"/>
    <w:rsid w:val="00DA3CCD"/>
    <w:rsid w:val="00DE063E"/>
    <w:rsid w:val="00DE2134"/>
    <w:rsid w:val="00DF4E98"/>
    <w:rsid w:val="00DF53A5"/>
    <w:rsid w:val="00DF7ACC"/>
    <w:rsid w:val="00E203EE"/>
    <w:rsid w:val="00E4551B"/>
    <w:rsid w:val="00E6693F"/>
    <w:rsid w:val="00E75A1E"/>
    <w:rsid w:val="00E90F7F"/>
    <w:rsid w:val="00EB11DA"/>
    <w:rsid w:val="00EF6BE6"/>
    <w:rsid w:val="00F13759"/>
    <w:rsid w:val="00F2119A"/>
    <w:rsid w:val="00F4168F"/>
    <w:rsid w:val="00F74233"/>
    <w:rsid w:val="00FB69C0"/>
    <w:rsid w:val="00FE0744"/>
    <w:rsid w:val="00FE6D49"/>
    <w:rsid w:val="00FF23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3846"/>
  <w15:docId w15:val="{ED2BD95E-92D9-4047-BB66-66EFCE2D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F4D93"/>
  </w:style>
  <w:style w:type="paragraph" w:styleId="Heading1">
    <w:name w:val="heading 1"/>
    <w:basedOn w:val="Normal"/>
    <w:next w:val="Normal"/>
    <w:rsid w:val="00DF7ACC"/>
    <w:pPr>
      <w:keepNext/>
      <w:keepLines/>
      <w:spacing w:before="480" w:after="120"/>
      <w:outlineLvl w:val="0"/>
    </w:pPr>
    <w:rPr>
      <w:b/>
      <w:sz w:val="48"/>
      <w:szCs w:val="48"/>
    </w:rPr>
  </w:style>
  <w:style w:type="paragraph" w:styleId="Heading2">
    <w:name w:val="heading 2"/>
    <w:basedOn w:val="Normal"/>
    <w:next w:val="Normal"/>
    <w:rsid w:val="00DF7ACC"/>
    <w:pPr>
      <w:keepNext/>
      <w:keepLines/>
      <w:spacing w:before="360" w:after="80"/>
      <w:outlineLvl w:val="1"/>
    </w:pPr>
    <w:rPr>
      <w:b/>
      <w:sz w:val="36"/>
      <w:szCs w:val="36"/>
    </w:rPr>
  </w:style>
  <w:style w:type="paragraph" w:styleId="Heading3">
    <w:name w:val="heading 3"/>
    <w:basedOn w:val="Normal"/>
    <w:next w:val="Normal"/>
    <w:rsid w:val="00DF7ACC"/>
    <w:pPr>
      <w:keepNext/>
      <w:keepLines/>
      <w:spacing w:before="280" w:after="80"/>
      <w:outlineLvl w:val="2"/>
    </w:pPr>
    <w:rPr>
      <w:b/>
      <w:sz w:val="28"/>
      <w:szCs w:val="28"/>
    </w:rPr>
  </w:style>
  <w:style w:type="paragraph" w:styleId="Heading4">
    <w:name w:val="heading 4"/>
    <w:basedOn w:val="Normal"/>
    <w:next w:val="Normal"/>
    <w:rsid w:val="00DF7ACC"/>
    <w:pPr>
      <w:keepNext/>
      <w:keepLines/>
      <w:spacing w:before="240" w:after="40"/>
      <w:outlineLvl w:val="3"/>
    </w:pPr>
    <w:rPr>
      <w:b/>
    </w:rPr>
  </w:style>
  <w:style w:type="paragraph" w:styleId="Heading5">
    <w:name w:val="heading 5"/>
    <w:basedOn w:val="Normal"/>
    <w:next w:val="Normal"/>
    <w:rsid w:val="00DF7ACC"/>
    <w:pPr>
      <w:keepNext/>
      <w:keepLines/>
      <w:spacing w:before="220" w:after="40"/>
      <w:outlineLvl w:val="4"/>
    </w:pPr>
    <w:rPr>
      <w:b/>
      <w:sz w:val="22"/>
      <w:szCs w:val="22"/>
    </w:rPr>
  </w:style>
  <w:style w:type="paragraph" w:styleId="Heading6">
    <w:name w:val="heading 6"/>
    <w:basedOn w:val="Normal"/>
    <w:next w:val="Normal"/>
    <w:rsid w:val="00DF7AC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7ACC"/>
    <w:pPr>
      <w:keepNext/>
      <w:keepLines/>
      <w:spacing w:before="480" w:after="120"/>
    </w:pPr>
    <w:rPr>
      <w:b/>
      <w:sz w:val="72"/>
      <w:szCs w:val="72"/>
    </w:rPr>
  </w:style>
  <w:style w:type="paragraph" w:styleId="Subtitle">
    <w:name w:val="Subtitle"/>
    <w:basedOn w:val="Normal"/>
    <w:next w:val="Normal"/>
    <w:rsid w:val="00DF7ACC"/>
    <w:pPr>
      <w:keepNext/>
      <w:keepLines/>
      <w:spacing w:before="360" w:after="80"/>
    </w:pPr>
    <w:rPr>
      <w:rFonts w:ascii="Georgia" w:eastAsia="Georgia" w:hAnsi="Georgia" w:cs="Georgia"/>
      <w:i/>
      <w:color w:val="666666"/>
      <w:sz w:val="48"/>
      <w:szCs w:val="48"/>
    </w:rPr>
  </w:style>
  <w:style w:type="table" w:customStyle="1" w:styleId="a">
    <w:basedOn w:val="TableNormal"/>
    <w:rsid w:val="00DF7ACC"/>
    <w:rPr>
      <w:rFonts w:ascii="Calibri" w:eastAsia="Calibri" w:hAnsi="Calibri" w:cs="Calibri"/>
    </w:rPr>
    <w:tblPr>
      <w:tblStyleRowBandSize w:val="1"/>
      <w:tblStyleColBandSize w:val="1"/>
    </w:tblPr>
  </w:style>
  <w:style w:type="table" w:customStyle="1" w:styleId="a0">
    <w:basedOn w:val="TableNormal"/>
    <w:rsid w:val="00DF7ACC"/>
    <w:tblPr>
      <w:tblStyleRowBandSize w:val="1"/>
      <w:tblStyleColBandSize w:val="1"/>
      <w:tblCellMar>
        <w:top w:w="30" w:type="dxa"/>
        <w:left w:w="30" w:type="dxa"/>
        <w:bottom w:w="30" w:type="dxa"/>
        <w:right w:w="30" w:type="dxa"/>
      </w:tblCellMar>
    </w:tblPr>
  </w:style>
  <w:style w:type="table" w:customStyle="1" w:styleId="a1">
    <w:basedOn w:val="TableNormal"/>
    <w:rsid w:val="00DF7ACC"/>
    <w:tblPr>
      <w:tblStyleRowBandSize w:val="1"/>
      <w:tblStyleColBandSize w:val="1"/>
      <w:tblCellMar>
        <w:top w:w="30" w:type="dxa"/>
        <w:left w:w="30" w:type="dxa"/>
        <w:bottom w:w="30" w:type="dxa"/>
        <w:right w:w="30" w:type="dxa"/>
      </w:tblCellMar>
    </w:tblPr>
  </w:style>
  <w:style w:type="table" w:customStyle="1" w:styleId="a2">
    <w:basedOn w:val="TableNormal"/>
    <w:rsid w:val="00DF7ACC"/>
    <w:tblPr>
      <w:tblStyleRowBandSize w:val="1"/>
      <w:tblStyleColBandSize w:val="1"/>
      <w:tblCellMar>
        <w:top w:w="24" w:type="dxa"/>
        <w:left w:w="24" w:type="dxa"/>
        <w:bottom w:w="24" w:type="dxa"/>
        <w:right w:w="24" w:type="dxa"/>
      </w:tblCellMar>
    </w:tblPr>
  </w:style>
  <w:style w:type="table" w:customStyle="1" w:styleId="a3">
    <w:basedOn w:val="TableNormal"/>
    <w:rsid w:val="00DF7ACC"/>
    <w:tblPr>
      <w:tblStyleRowBandSize w:val="1"/>
      <w:tblStyleColBandSize w:val="1"/>
      <w:tblCellMar>
        <w:top w:w="30" w:type="dxa"/>
        <w:left w:w="30" w:type="dxa"/>
        <w:bottom w:w="30" w:type="dxa"/>
        <w:right w:w="30" w:type="dxa"/>
      </w:tblCellMar>
    </w:tblPr>
  </w:style>
  <w:style w:type="table" w:customStyle="1" w:styleId="a4">
    <w:basedOn w:val="TableNormal"/>
    <w:rsid w:val="00DF7ACC"/>
    <w:tblPr>
      <w:tblStyleRowBandSize w:val="1"/>
      <w:tblStyleColBandSize w:val="1"/>
      <w:tblCellMar>
        <w:top w:w="30" w:type="dxa"/>
        <w:left w:w="30" w:type="dxa"/>
        <w:bottom w:w="30" w:type="dxa"/>
        <w:right w:w="30" w:type="dxa"/>
      </w:tblCellMar>
    </w:tblPr>
  </w:style>
  <w:style w:type="table" w:customStyle="1" w:styleId="a5">
    <w:basedOn w:val="TableNormal"/>
    <w:rsid w:val="00DF7ACC"/>
    <w:tblPr>
      <w:tblStyleRowBandSize w:val="1"/>
      <w:tblStyleColBandSize w:val="1"/>
      <w:tblCellMar>
        <w:top w:w="24" w:type="dxa"/>
        <w:left w:w="24" w:type="dxa"/>
        <w:bottom w:w="24" w:type="dxa"/>
        <w:right w:w="24" w:type="dxa"/>
      </w:tblCellMar>
    </w:tblPr>
  </w:style>
  <w:style w:type="table" w:customStyle="1" w:styleId="a6">
    <w:basedOn w:val="TableNormal"/>
    <w:rsid w:val="00DF7ACC"/>
    <w:tblPr>
      <w:tblStyleRowBandSize w:val="1"/>
      <w:tblStyleColBandSize w:val="1"/>
      <w:tblCellMar>
        <w:top w:w="30" w:type="dxa"/>
        <w:left w:w="30" w:type="dxa"/>
        <w:bottom w:w="30" w:type="dxa"/>
        <w:right w:w="30" w:type="dxa"/>
      </w:tblCellMar>
    </w:tblPr>
  </w:style>
  <w:style w:type="table" w:customStyle="1" w:styleId="a7">
    <w:basedOn w:val="TableNormal"/>
    <w:rsid w:val="00DF7ACC"/>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 w:type="paragraph" w:customStyle="1" w:styleId="tv213">
    <w:name w:val="tv213"/>
    <w:basedOn w:val="Normal"/>
    <w:rsid w:val="003A144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customStyle="1" w:styleId="tvhtml">
    <w:name w:val="tv_html"/>
    <w:basedOn w:val="Normal"/>
    <w:rsid w:val="00335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NormalWeb">
    <w:name w:val="Normal (Web)"/>
    <w:basedOn w:val="Normal"/>
    <w:uiPriority w:val="99"/>
    <w:rsid w:val="00DF4E98"/>
    <w:pPr>
      <w:pBdr>
        <w:top w:val="none" w:sz="0" w:space="0" w:color="auto"/>
        <w:left w:val="none" w:sz="0" w:space="0" w:color="auto"/>
        <w:bottom w:val="none" w:sz="0" w:space="0" w:color="auto"/>
        <w:right w:val="none" w:sz="0" w:space="0" w:color="auto"/>
        <w:between w:val="none" w:sz="0" w:space="0" w:color="auto"/>
      </w:pBdr>
      <w:suppressAutoHyphens/>
      <w:spacing w:before="280" w:after="280"/>
    </w:pPr>
    <w:rPr>
      <w:color w:val="auto"/>
      <w:lang w:eastAsia="ar-SA"/>
    </w:rPr>
  </w:style>
  <w:style w:type="character" w:styleId="UnresolvedMention">
    <w:name w:val="Unresolved Mention"/>
    <w:basedOn w:val="DefaultParagraphFont"/>
    <w:uiPriority w:val="99"/>
    <w:semiHidden/>
    <w:unhideWhenUsed/>
    <w:rsid w:val="0024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26732">
      <w:bodyDiv w:val="1"/>
      <w:marLeft w:val="0"/>
      <w:marRight w:val="0"/>
      <w:marTop w:val="0"/>
      <w:marBottom w:val="0"/>
      <w:divBdr>
        <w:top w:val="none" w:sz="0" w:space="0" w:color="auto"/>
        <w:left w:val="none" w:sz="0" w:space="0" w:color="auto"/>
        <w:bottom w:val="none" w:sz="0" w:space="0" w:color="auto"/>
        <w:right w:val="none" w:sz="0" w:space="0" w:color="auto"/>
      </w:divBdr>
    </w:div>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guna.gorbacova-scogole@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C581-33D0-44C0-BE19-FBA0DF4C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1413</Words>
  <Characters>10389</Characters>
  <Application>Microsoft Office Word</Application>
  <DocSecurity>0</DocSecurity>
  <Lines>611</Lines>
  <Paragraphs>157</Paragraphs>
  <ScaleCrop>false</ScaleCrop>
  <HeadingPairs>
    <vt:vector size="2" baseType="variant">
      <vt:variant>
        <vt:lpstr>Title</vt:lpstr>
      </vt:variant>
      <vt:variant>
        <vt:i4>1</vt:i4>
      </vt:variant>
    </vt:vector>
  </HeadingPairs>
  <TitlesOfParts>
    <vt:vector size="1" baseType="lpstr">
      <vt:lpstr/>
    </vt:vector>
  </TitlesOfParts>
  <Company>BASTARDS TeaM</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Skirusa</dc:creator>
  <cp:lastModifiedBy>Aija Talmane</cp:lastModifiedBy>
  <cp:revision>10</cp:revision>
  <cp:lastPrinted>2020-04-01T05:22:00Z</cp:lastPrinted>
  <dcterms:created xsi:type="dcterms:W3CDTF">2020-04-01T05:22:00Z</dcterms:created>
  <dcterms:modified xsi:type="dcterms:W3CDTF">2020-04-01T10:37:00Z</dcterms:modified>
</cp:coreProperties>
</file>