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00" w:rsidRPr="003C51EE" w:rsidRDefault="007116C7" w:rsidP="005C7400">
      <w:pPr>
        <w:pStyle w:val="naisnod"/>
        <w:spacing w:before="0" w:after="0"/>
        <w:rPr>
          <w:rFonts w:asciiTheme="minorHAnsi" w:eastAsiaTheme="minorHAnsi" w:hAnsiTheme="minorHAnsi" w:cstheme="minorBidi"/>
          <w:b w:val="0"/>
          <w:bCs w:val="0"/>
          <w:iCs/>
          <w:sz w:val="28"/>
          <w:szCs w:val="28"/>
          <w:lang w:eastAsia="en-US"/>
        </w:rPr>
      </w:pPr>
      <w:r w:rsidRPr="003C51EE">
        <w:rPr>
          <w:sz w:val="28"/>
          <w:szCs w:val="28"/>
        </w:rPr>
        <w:t>Izziņa par atzinumos sniegtajiem iebildumiem</w:t>
      </w:r>
      <w:r w:rsidR="005C7400" w:rsidRPr="003C51EE">
        <w:rPr>
          <w:rFonts w:asciiTheme="minorHAnsi" w:eastAsiaTheme="minorHAnsi" w:hAnsiTheme="minorHAnsi" w:cstheme="minorBidi"/>
          <w:b w:val="0"/>
          <w:bCs w:val="0"/>
          <w:iCs/>
          <w:sz w:val="28"/>
          <w:szCs w:val="28"/>
          <w:lang w:eastAsia="en-US"/>
        </w:rPr>
        <w:t xml:space="preserve"> </w:t>
      </w:r>
      <w:r w:rsidR="007D0018" w:rsidRPr="003C51EE">
        <w:rPr>
          <w:rFonts w:eastAsiaTheme="minorHAnsi"/>
          <w:bCs w:val="0"/>
          <w:iCs/>
          <w:sz w:val="28"/>
          <w:szCs w:val="28"/>
          <w:lang w:eastAsia="en-US"/>
        </w:rPr>
        <w:t>par</w:t>
      </w:r>
      <w:r w:rsidR="007D0018" w:rsidRPr="003C51EE">
        <w:rPr>
          <w:rFonts w:asciiTheme="minorHAnsi" w:eastAsiaTheme="minorHAnsi" w:hAnsiTheme="minorHAnsi" w:cstheme="minorBidi"/>
          <w:b w:val="0"/>
          <w:bCs w:val="0"/>
          <w:iCs/>
          <w:sz w:val="28"/>
          <w:szCs w:val="28"/>
          <w:lang w:eastAsia="en-US"/>
        </w:rPr>
        <w:t xml:space="preserve"> </w:t>
      </w:r>
      <w:r w:rsidR="005C7400" w:rsidRPr="003C51EE">
        <w:rPr>
          <w:iCs/>
          <w:sz w:val="28"/>
          <w:szCs w:val="28"/>
        </w:rPr>
        <w:t>Ministru kabineta noteikumu projekt</w:t>
      </w:r>
      <w:r w:rsidR="007D0018" w:rsidRPr="003C51EE">
        <w:rPr>
          <w:iCs/>
          <w:sz w:val="28"/>
          <w:szCs w:val="28"/>
        </w:rPr>
        <w:t>u</w:t>
      </w:r>
    </w:p>
    <w:p w:rsidR="007116C7" w:rsidRPr="003C51EE" w:rsidRDefault="003D4F3F" w:rsidP="00BD4E04">
      <w:pPr>
        <w:pStyle w:val="naisnod"/>
        <w:spacing w:before="0" w:after="0"/>
        <w:rPr>
          <w:sz w:val="28"/>
          <w:szCs w:val="28"/>
        </w:rPr>
      </w:pPr>
      <w:r w:rsidRPr="003C51EE">
        <w:rPr>
          <w:iCs/>
          <w:sz w:val="28"/>
          <w:szCs w:val="28"/>
        </w:rPr>
        <w:t>“</w:t>
      </w:r>
      <w:r w:rsidR="005C7400" w:rsidRPr="003C51EE">
        <w:rPr>
          <w:iCs/>
          <w:sz w:val="28"/>
          <w:szCs w:val="28"/>
        </w:rPr>
        <w:t>Grozījum</w:t>
      </w:r>
      <w:r w:rsidR="005C0114" w:rsidRPr="003C51EE">
        <w:rPr>
          <w:iCs/>
          <w:sz w:val="28"/>
          <w:szCs w:val="28"/>
        </w:rPr>
        <w:t>i</w:t>
      </w:r>
      <w:r w:rsidR="005C7400" w:rsidRPr="003C51EE">
        <w:rPr>
          <w:iCs/>
          <w:sz w:val="28"/>
          <w:szCs w:val="28"/>
        </w:rPr>
        <w:t xml:space="preserve"> Ministru kabineta 2014.gada 9.decembra noteikumos Nr.757</w:t>
      </w:r>
      <w:r w:rsidR="00F34DA7" w:rsidRPr="003C51EE">
        <w:rPr>
          <w:iCs/>
          <w:sz w:val="28"/>
          <w:szCs w:val="28"/>
        </w:rPr>
        <w:t xml:space="preserve"> “</w:t>
      </w:r>
      <w:r w:rsidR="005C7400" w:rsidRPr="003C51EE">
        <w:rPr>
          <w:iCs/>
          <w:sz w:val="28"/>
          <w:szCs w:val="28"/>
        </w:rPr>
        <w:t xml:space="preserve">Apsardzes darbības licencēšanas </w:t>
      </w:r>
      <w:r w:rsidR="00F34DA7" w:rsidRPr="003C51EE">
        <w:rPr>
          <w:iCs/>
          <w:sz w:val="28"/>
          <w:szCs w:val="28"/>
        </w:rPr>
        <w:t>noteikumi”</w:t>
      </w:r>
      <w:r w:rsidR="005C7400" w:rsidRPr="003C51EE">
        <w:rPr>
          <w:iCs/>
          <w:sz w:val="28"/>
          <w:szCs w:val="28"/>
        </w:rPr>
        <w:t>”</w:t>
      </w:r>
      <w:r w:rsidR="00471EE1" w:rsidRPr="003C51EE">
        <w:rPr>
          <w:iCs/>
          <w:sz w:val="28"/>
          <w:szCs w:val="28"/>
        </w:rPr>
        <w:t xml:space="preserve"> (VSS-629)</w:t>
      </w:r>
    </w:p>
    <w:p w:rsidR="007B4C0F" w:rsidRPr="003C51EE" w:rsidRDefault="007B4C0F" w:rsidP="00DB7395">
      <w:pPr>
        <w:pStyle w:val="naisf"/>
        <w:spacing w:before="0" w:after="0"/>
        <w:ind w:firstLine="720"/>
      </w:pPr>
    </w:p>
    <w:p w:rsidR="007B4C0F" w:rsidRPr="003C51EE" w:rsidRDefault="007B4C0F" w:rsidP="00184479">
      <w:pPr>
        <w:pStyle w:val="naisf"/>
        <w:spacing w:before="0" w:after="0"/>
        <w:ind w:firstLine="0"/>
        <w:jc w:val="center"/>
        <w:rPr>
          <w:b/>
        </w:rPr>
      </w:pPr>
      <w:r w:rsidRPr="003C51EE">
        <w:rPr>
          <w:b/>
        </w:rPr>
        <w:t xml:space="preserve">I. Jautājumi, par kuriem saskaņošanā </w:t>
      </w:r>
      <w:r w:rsidR="00134188" w:rsidRPr="003C51EE">
        <w:rPr>
          <w:b/>
        </w:rPr>
        <w:t xml:space="preserve">vienošanās </w:t>
      </w:r>
      <w:r w:rsidRPr="003C51EE">
        <w:rPr>
          <w:b/>
        </w:rPr>
        <w:t>nav panākta</w:t>
      </w:r>
    </w:p>
    <w:p w:rsidR="007B4C0F" w:rsidRPr="003C51EE"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3C51EE" w:rsidRPr="003C51EE">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3C51EE" w:rsidRDefault="005F4BFD" w:rsidP="0036160E">
            <w:pPr>
              <w:pStyle w:val="naisc"/>
              <w:spacing w:before="0" w:after="0"/>
            </w:pPr>
            <w:r w:rsidRPr="003C51EE">
              <w:t>Nr. p.</w:t>
            </w:r>
            <w:r w:rsidR="00D64FB0" w:rsidRPr="003C51EE">
              <w:t> </w:t>
            </w:r>
            <w:r w:rsidRPr="003C51EE">
              <w:t>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3C51EE" w:rsidRDefault="005F4BFD" w:rsidP="00364BB6">
            <w:pPr>
              <w:pStyle w:val="naisc"/>
              <w:spacing w:before="0" w:after="0"/>
              <w:ind w:firstLine="12"/>
            </w:pPr>
            <w:r w:rsidRPr="003C51EE">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3C51EE" w:rsidRDefault="005F4BFD" w:rsidP="00364BB6">
            <w:pPr>
              <w:pStyle w:val="naisc"/>
              <w:spacing w:before="0" w:after="0"/>
              <w:ind w:right="3"/>
            </w:pPr>
            <w:r w:rsidRPr="003C51EE">
              <w:t>Atzinumā norādītais ministrijas (citas institūcijas) iebildums</w:t>
            </w:r>
            <w:r w:rsidR="00184479" w:rsidRPr="003C51EE">
              <w:t>,</w:t>
            </w:r>
            <w:r w:rsidR="000E5509" w:rsidRPr="003C51EE">
              <w:t xml:space="preserve"> kā arī saskaņošanā papildus izteiktais iebildums</w:t>
            </w:r>
            <w:r w:rsidRPr="003C51EE">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3C51EE" w:rsidRDefault="005F4BFD" w:rsidP="00364BB6">
            <w:pPr>
              <w:pStyle w:val="naisc"/>
              <w:spacing w:before="0" w:after="0"/>
              <w:ind w:firstLine="21"/>
            </w:pPr>
            <w:r w:rsidRPr="003C51EE">
              <w:t>Atbildīgās ministrijas pamatojums</w:t>
            </w:r>
            <w:r w:rsidR="009307F2" w:rsidRPr="003C51EE">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3C51EE" w:rsidRDefault="005F4BFD" w:rsidP="00364BB6">
            <w:pPr>
              <w:jc w:val="center"/>
            </w:pPr>
            <w:r w:rsidRPr="003C51EE">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3C51EE" w:rsidRDefault="005F4BFD" w:rsidP="00364BB6">
            <w:pPr>
              <w:jc w:val="center"/>
            </w:pPr>
            <w:r w:rsidRPr="003C51EE">
              <w:t>Projekta attiecīgā punkta (panta) galīgā redakcija</w:t>
            </w:r>
          </w:p>
        </w:tc>
      </w:tr>
      <w:tr w:rsidR="005F4BFD" w:rsidRPr="003C51EE">
        <w:tc>
          <w:tcPr>
            <w:tcW w:w="708" w:type="dxa"/>
            <w:tcBorders>
              <w:top w:val="single" w:sz="6" w:space="0" w:color="000000"/>
              <w:left w:val="single" w:sz="6" w:space="0" w:color="000000"/>
              <w:bottom w:val="single" w:sz="6" w:space="0" w:color="000000"/>
              <w:right w:val="single" w:sz="6" w:space="0" w:color="000000"/>
            </w:tcBorders>
          </w:tcPr>
          <w:p w:rsidR="005F4BFD" w:rsidRPr="003C51EE" w:rsidRDefault="008A36C9" w:rsidP="008A36C9">
            <w:pPr>
              <w:pStyle w:val="naisc"/>
              <w:spacing w:before="0" w:after="0"/>
            </w:pPr>
            <w:r w:rsidRPr="003C51EE">
              <w:t>1</w:t>
            </w:r>
          </w:p>
        </w:tc>
        <w:tc>
          <w:tcPr>
            <w:tcW w:w="3086" w:type="dxa"/>
            <w:tcBorders>
              <w:top w:val="single" w:sz="6" w:space="0" w:color="000000"/>
              <w:left w:val="single" w:sz="6" w:space="0" w:color="000000"/>
              <w:bottom w:val="single" w:sz="6" w:space="0" w:color="000000"/>
              <w:right w:val="single" w:sz="6" w:space="0" w:color="000000"/>
            </w:tcBorders>
          </w:tcPr>
          <w:p w:rsidR="005F4BFD" w:rsidRPr="003C51EE" w:rsidRDefault="008A36C9" w:rsidP="008A36C9">
            <w:pPr>
              <w:pStyle w:val="naisc"/>
              <w:spacing w:before="0" w:after="0"/>
              <w:ind w:firstLine="720"/>
            </w:pPr>
            <w:r w:rsidRPr="003C51EE">
              <w:t>2</w:t>
            </w:r>
          </w:p>
        </w:tc>
        <w:tc>
          <w:tcPr>
            <w:tcW w:w="3118" w:type="dxa"/>
            <w:tcBorders>
              <w:top w:val="single" w:sz="6" w:space="0" w:color="000000"/>
              <w:left w:val="single" w:sz="6" w:space="0" w:color="000000"/>
              <w:bottom w:val="single" w:sz="6" w:space="0" w:color="000000"/>
              <w:right w:val="single" w:sz="6" w:space="0" w:color="000000"/>
            </w:tcBorders>
          </w:tcPr>
          <w:p w:rsidR="005F4BFD" w:rsidRPr="003C51EE" w:rsidRDefault="008A36C9" w:rsidP="008A36C9">
            <w:pPr>
              <w:pStyle w:val="naisc"/>
              <w:spacing w:before="0" w:after="0"/>
              <w:ind w:firstLine="720"/>
            </w:pPr>
            <w:r w:rsidRPr="003C51EE">
              <w:t>3</w:t>
            </w:r>
          </w:p>
        </w:tc>
        <w:tc>
          <w:tcPr>
            <w:tcW w:w="2977" w:type="dxa"/>
            <w:tcBorders>
              <w:top w:val="single" w:sz="6" w:space="0" w:color="000000"/>
              <w:left w:val="single" w:sz="6" w:space="0" w:color="000000"/>
              <w:bottom w:val="single" w:sz="6" w:space="0" w:color="000000"/>
              <w:right w:val="single" w:sz="6" w:space="0" w:color="000000"/>
            </w:tcBorders>
          </w:tcPr>
          <w:p w:rsidR="005F4BFD" w:rsidRPr="003C51EE" w:rsidRDefault="008A36C9" w:rsidP="008A36C9">
            <w:pPr>
              <w:pStyle w:val="naisc"/>
              <w:spacing w:before="0" w:after="0"/>
              <w:ind w:firstLine="720"/>
            </w:pPr>
            <w:r w:rsidRPr="003C51EE">
              <w:t>4</w:t>
            </w:r>
          </w:p>
        </w:tc>
        <w:tc>
          <w:tcPr>
            <w:tcW w:w="2459" w:type="dxa"/>
            <w:tcBorders>
              <w:top w:val="single" w:sz="4" w:space="0" w:color="auto"/>
              <w:left w:val="single" w:sz="4" w:space="0" w:color="auto"/>
              <w:bottom w:val="single" w:sz="4" w:space="0" w:color="auto"/>
              <w:right w:val="single" w:sz="4" w:space="0" w:color="auto"/>
            </w:tcBorders>
          </w:tcPr>
          <w:p w:rsidR="005F4BFD" w:rsidRPr="003C51EE" w:rsidRDefault="008A36C9" w:rsidP="008A36C9">
            <w:pPr>
              <w:jc w:val="center"/>
            </w:pPr>
            <w:r w:rsidRPr="003C51EE">
              <w:t>5</w:t>
            </w:r>
          </w:p>
        </w:tc>
        <w:tc>
          <w:tcPr>
            <w:tcW w:w="1920" w:type="dxa"/>
            <w:tcBorders>
              <w:top w:val="single" w:sz="4" w:space="0" w:color="auto"/>
              <w:left w:val="single" w:sz="4" w:space="0" w:color="auto"/>
              <w:bottom w:val="single" w:sz="4" w:space="0" w:color="auto"/>
            </w:tcBorders>
          </w:tcPr>
          <w:p w:rsidR="005F4BFD" w:rsidRPr="003C51EE" w:rsidRDefault="008A36C9" w:rsidP="008A36C9">
            <w:pPr>
              <w:jc w:val="center"/>
            </w:pPr>
            <w:r w:rsidRPr="003C51EE">
              <w:t>6</w:t>
            </w:r>
          </w:p>
        </w:tc>
      </w:tr>
    </w:tbl>
    <w:p w:rsidR="007B4C0F" w:rsidRPr="003C51EE" w:rsidRDefault="007B4C0F" w:rsidP="007B4C0F">
      <w:pPr>
        <w:pStyle w:val="naisf"/>
        <w:spacing w:before="0" w:after="0"/>
        <w:ind w:firstLine="0"/>
      </w:pPr>
    </w:p>
    <w:p w:rsidR="005D67F7" w:rsidRPr="003C51EE" w:rsidRDefault="005D67F7" w:rsidP="005D67F7">
      <w:pPr>
        <w:pStyle w:val="naisf"/>
        <w:spacing w:before="0" w:after="0"/>
        <w:ind w:firstLine="0"/>
        <w:rPr>
          <w:b/>
        </w:rPr>
      </w:pPr>
      <w:r w:rsidRPr="003C51EE">
        <w:rPr>
          <w:b/>
        </w:rPr>
        <w:t xml:space="preserve">Informācija par </w:t>
      </w:r>
      <w:proofErr w:type="spellStart"/>
      <w:r w:rsidRPr="003C51EE">
        <w:rPr>
          <w:b/>
        </w:rPr>
        <w:t>starpministriju</w:t>
      </w:r>
      <w:proofErr w:type="spellEnd"/>
      <w:r w:rsidRPr="003C51EE">
        <w:rPr>
          <w:b/>
        </w:rPr>
        <w:t xml:space="preserve"> (starpinstitūciju) sanāksmi vai elektronisko saskaņošanu</w:t>
      </w:r>
    </w:p>
    <w:tbl>
      <w:tblPr>
        <w:tblW w:w="12940" w:type="dxa"/>
        <w:tblLook w:val="00A0" w:firstRow="1" w:lastRow="0" w:firstColumn="1" w:lastColumn="0" w:noHBand="0" w:noVBand="0"/>
      </w:tblPr>
      <w:tblGrid>
        <w:gridCol w:w="6903"/>
        <w:gridCol w:w="6625"/>
        <w:gridCol w:w="13"/>
      </w:tblGrid>
      <w:tr w:rsidR="003C51EE" w:rsidRPr="003C51EE" w:rsidTr="0064431A">
        <w:trPr>
          <w:gridAfter w:val="1"/>
          <w:wAfter w:w="11" w:type="dxa"/>
          <w:trHeight w:val="465"/>
        </w:trPr>
        <w:tc>
          <w:tcPr>
            <w:tcW w:w="6660" w:type="dxa"/>
          </w:tcPr>
          <w:p w:rsidR="00631D87" w:rsidRPr="003C51EE" w:rsidRDefault="00631D87" w:rsidP="00F73832"/>
          <w:p w:rsidR="00631D87" w:rsidRPr="003C51EE" w:rsidRDefault="00631D87" w:rsidP="00F73832">
            <w:r w:rsidRPr="003C51EE">
              <w:t>Datums  </w:t>
            </w:r>
          </w:p>
        </w:tc>
        <w:tc>
          <w:tcPr>
            <w:tcW w:w="6269" w:type="dxa"/>
            <w:shd w:val="clear" w:color="auto" w:fill="auto"/>
          </w:tcPr>
          <w:p w:rsidR="00631D87" w:rsidRPr="0064431A" w:rsidRDefault="00631D87" w:rsidP="00F73832">
            <w:pPr>
              <w:ind w:firstLine="720"/>
            </w:pPr>
          </w:p>
          <w:p w:rsidR="0007100C" w:rsidRPr="0064431A" w:rsidRDefault="00E35851" w:rsidP="0007100C">
            <w:pPr>
              <w:pStyle w:val="NormalWeb"/>
              <w:spacing w:before="0" w:beforeAutospacing="0" w:after="0" w:afterAutospacing="0"/>
            </w:pPr>
            <w:r w:rsidRPr="0064431A">
              <w:t>20</w:t>
            </w:r>
            <w:r w:rsidR="0007100C" w:rsidRPr="0064431A">
              <w:t>17.gada 1</w:t>
            </w:r>
            <w:r w:rsidR="0006030B" w:rsidRPr="0064431A">
              <w:t>5</w:t>
            </w:r>
            <w:r w:rsidR="0007100C" w:rsidRPr="0064431A">
              <w:t>.jū</w:t>
            </w:r>
            <w:r w:rsidR="0006030B" w:rsidRPr="0064431A">
              <w:t>nijs</w:t>
            </w:r>
            <w:r w:rsidR="00AB5662" w:rsidRPr="0064431A">
              <w:t>;</w:t>
            </w:r>
          </w:p>
          <w:p w:rsidR="0007100C" w:rsidRPr="0064431A" w:rsidRDefault="0007100C" w:rsidP="0007100C">
            <w:pPr>
              <w:pStyle w:val="NormalWeb"/>
              <w:spacing w:before="0" w:beforeAutospacing="0" w:after="0" w:afterAutospacing="0"/>
            </w:pPr>
            <w:r w:rsidRPr="0064431A">
              <w:t>2018.gada 2</w:t>
            </w:r>
            <w:r w:rsidR="00A31CA3" w:rsidRPr="0064431A">
              <w:t>0</w:t>
            </w:r>
            <w:r w:rsidRPr="0064431A">
              <w:t>.</w:t>
            </w:r>
            <w:r w:rsidR="00A31CA3" w:rsidRPr="0064431A">
              <w:t>jūlijs</w:t>
            </w:r>
            <w:r w:rsidR="00AB5662" w:rsidRPr="0064431A">
              <w:t>;</w:t>
            </w:r>
          </w:p>
          <w:p w:rsidR="0007100C" w:rsidRPr="0064431A" w:rsidRDefault="0007100C" w:rsidP="0007100C">
            <w:pPr>
              <w:pStyle w:val="NormalWeb"/>
              <w:spacing w:before="0" w:beforeAutospacing="0" w:after="0" w:afterAutospacing="0"/>
            </w:pPr>
            <w:r w:rsidRPr="0064431A">
              <w:t>201</w:t>
            </w:r>
            <w:r w:rsidR="005946B1" w:rsidRPr="0064431A">
              <w:t>8</w:t>
            </w:r>
            <w:r w:rsidRPr="0064431A">
              <w:t xml:space="preserve">.gada </w:t>
            </w:r>
            <w:r w:rsidR="005946B1" w:rsidRPr="0064431A">
              <w:t>26</w:t>
            </w:r>
            <w:r w:rsidRPr="0064431A">
              <w:t>.</w:t>
            </w:r>
            <w:r w:rsidR="005946B1" w:rsidRPr="0064431A">
              <w:t>septembris</w:t>
            </w:r>
            <w:r w:rsidR="00AB5662" w:rsidRPr="0064431A">
              <w:t>;</w:t>
            </w:r>
          </w:p>
          <w:p w:rsidR="00631D87" w:rsidRPr="0064431A" w:rsidRDefault="0007100C" w:rsidP="00AB5662">
            <w:r w:rsidRPr="0064431A">
              <w:t xml:space="preserve">2019.gada </w:t>
            </w:r>
            <w:r w:rsidR="00AB5662" w:rsidRPr="0064431A">
              <w:t>8.marts;</w:t>
            </w:r>
          </w:p>
          <w:p w:rsidR="00AB5662" w:rsidRPr="0064431A" w:rsidRDefault="00AB5662" w:rsidP="0064431A">
            <w:r w:rsidRPr="0064431A">
              <w:t xml:space="preserve">2019.gada </w:t>
            </w:r>
            <w:r w:rsidR="0064431A" w:rsidRPr="0064431A">
              <w:t>6.novembris.</w:t>
            </w:r>
          </w:p>
        </w:tc>
      </w:tr>
      <w:tr w:rsidR="003C51EE" w:rsidRPr="003C51EE" w:rsidTr="0007100C">
        <w:trPr>
          <w:trHeight w:val="465"/>
        </w:trPr>
        <w:tc>
          <w:tcPr>
            <w:tcW w:w="12940" w:type="dxa"/>
            <w:gridSpan w:val="3"/>
          </w:tcPr>
          <w:p w:rsidR="00631D87" w:rsidRPr="003C51EE" w:rsidRDefault="00631D87" w:rsidP="00F73832"/>
          <w:tbl>
            <w:tblPr>
              <w:tblpPr w:leftFromText="180" w:rightFromText="180" w:vertAnchor="text" w:tblpX="-142" w:tblpY="1"/>
              <w:tblOverlap w:val="never"/>
              <w:tblW w:w="13325" w:type="dxa"/>
              <w:tblLook w:val="00A0" w:firstRow="1" w:lastRow="0" w:firstColumn="1" w:lastColumn="0" w:noHBand="0" w:noVBand="0"/>
            </w:tblPr>
            <w:tblGrid>
              <w:gridCol w:w="6487"/>
              <w:gridCol w:w="6838"/>
            </w:tblGrid>
            <w:tr w:rsidR="003C51EE" w:rsidRPr="003C51EE" w:rsidTr="00CF0C40">
              <w:tc>
                <w:tcPr>
                  <w:tcW w:w="6487" w:type="dxa"/>
                </w:tcPr>
                <w:p w:rsidR="00631D87" w:rsidRPr="003C51EE" w:rsidRDefault="00631D87" w:rsidP="00F73832">
                  <w:pPr>
                    <w:tabs>
                      <w:tab w:val="left" w:pos="0"/>
                    </w:tabs>
                  </w:pPr>
                  <w:r w:rsidRPr="003C51EE">
                    <w:t>Saskaņošanas dalībnieki</w:t>
                  </w:r>
                  <w:bookmarkStart w:id="0" w:name="_GoBack"/>
                  <w:bookmarkEnd w:id="0"/>
                </w:p>
              </w:tc>
              <w:tc>
                <w:tcPr>
                  <w:tcW w:w="6838" w:type="dxa"/>
                </w:tcPr>
                <w:p w:rsidR="009D7109" w:rsidRPr="003C51EE" w:rsidRDefault="00F9150D" w:rsidP="00F73832">
                  <w:r w:rsidRPr="003C51EE">
                    <w:t>Finanšu m</w:t>
                  </w:r>
                  <w:r w:rsidR="009D7109" w:rsidRPr="003C51EE">
                    <w:t xml:space="preserve">inistrija, Tieslietu ministrija, </w:t>
                  </w:r>
                  <w:r w:rsidRPr="003C51EE">
                    <w:t xml:space="preserve">Valsts kanceleja, </w:t>
                  </w:r>
                </w:p>
                <w:p w:rsidR="00CF0C40" w:rsidRPr="003C51EE" w:rsidRDefault="00F9150D" w:rsidP="00F73832">
                  <w:r w:rsidRPr="003C51EE">
                    <w:t xml:space="preserve">Latvijas Brīvo arodbiedrību savienība, </w:t>
                  </w:r>
                </w:p>
                <w:p w:rsidR="00CF0C40" w:rsidRPr="003C51EE" w:rsidRDefault="00F9150D" w:rsidP="00F73832">
                  <w:r w:rsidRPr="003C51EE">
                    <w:t xml:space="preserve">Latvijas Darba devēju konfederācija, </w:t>
                  </w:r>
                </w:p>
                <w:p w:rsidR="00631D87" w:rsidRPr="003C51EE" w:rsidRDefault="00F9150D" w:rsidP="00F73832">
                  <w:r w:rsidRPr="003C51EE">
                    <w:t>Latvijas tirdzniecības un rūpniecības kamera</w:t>
                  </w:r>
                </w:p>
              </w:tc>
            </w:tr>
          </w:tbl>
          <w:p w:rsidR="00631D87" w:rsidRPr="003C51EE" w:rsidRDefault="00631D87" w:rsidP="00F73832"/>
        </w:tc>
      </w:tr>
      <w:tr w:rsidR="003C51EE" w:rsidRPr="003C51EE" w:rsidTr="0007100C">
        <w:trPr>
          <w:gridAfter w:val="1"/>
          <w:wAfter w:w="11" w:type="dxa"/>
        </w:trPr>
        <w:tc>
          <w:tcPr>
            <w:tcW w:w="6660" w:type="dxa"/>
          </w:tcPr>
          <w:p w:rsidR="00631D87" w:rsidRPr="003C51EE" w:rsidRDefault="00631D87" w:rsidP="00F73832"/>
          <w:p w:rsidR="00631D87" w:rsidRPr="003C51EE" w:rsidRDefault="00631D87" w:rsidP="00F73832">
            <w:r w:rsidRPr="003C51EE">
              <w:t xml:space="preserve">Saskaņošanas dalībnieki izskatīja šādu ministriju (citu institūciju) iebildumus </w:t>
            </w:r>
          </w:p>
          <w:p w:rsidR="00631D87" w:rsidRPr="003C51EE" w:rsidRDefault="00631D87" w:rsidP="00F73832"/>
        </w:tc>
        <w:tc>
          <w:tcPr>
            <w:tcW w:w="6269" w:type="dxa"/>
          </w:tcPr>
          <w:p w:rsidR="00631D87" w:rsidRPr="003C51EE" w:rsidRDefault="00631D87" w:rsidP="00F73832">
            <w:pPr>
              <w:ind w:firstLine="720"/>
            </w:pPr>
          </w:p>
          <w:p w:rsidR="00631D87" w:rsidRPr="003C51EE" w:rsidRDefault="00631D87" w:rsidP="00F73832">
            <w:r w:rsidRPr="003C51EE">
              <w:t>Finanšu mini</w:t>
            </w:r>
            <w:r w:rsidR="009D7109" w:rsidRPr="003C51EE">
              <w:t xml:space="preserve">strijas, Tieslietu ministrijas, </w:t>
            </w:r>
            <w:r w:rsidRPr="003C51EE">
              <w:t>Valsts kancelejas</w:t>
            </w:r>
          </w:p>
        </w:tc>
      </w:tr>
      <w:tr w:rsidR="003C51EE" w:rsidRPr="003C51EE" w:rsidTr="0007100C">
        <w:trPr>
          <w:gridAfter w:val="1"/>
          <w:wAfter w:w="11" w:type="dxa"/>
        </w:trPr>
        <w:tc>
          <w:tcPr>
            <w:tcW w:w="6660" w:type="dxa"/>
          </w:tcPr>
          <w:p w:rsidR="00631D87" w:rsidRPr="003C51EE" w:rsidRDefault="00631D87" w:rsidP="00F73832">
            <w:r w:rsidRPr="003C51EE">
              <w:t>Ministrijas (citas institūcijas), kuras nav ieradušās uz sanāksmi vai kuras nav atbildējušas uz uzaicinājumu piedalīties elektroniskajā saskaņošanā</w:t>
            </w:r>
          </w:p>
        </w:tc>
        <w:tc>
          <w:tcPr>
            <w:tcW w:w="6269" w:type="dxa"/>
          </w:tcPr>
          <w:p w:rsidR="00631D87" w:rsidRPr="003C51EE" w:rsidRDefault="00631D87" w:rsidP="00F73832"/>
        </w:tc>
      </w:tr>
    </w:tbl>
    <w:p w:rsidR="007B4C0F" w:rsidRPr="003C51EE" w:rsidRDefault="007B4C0F" w:rsidP="00184479">
      <w:pPr>
        <w:pStyle w:val="naisf"/>
        <w:spacing w:before="0" w:after="0"/>
        <w:ind w:firstLine="0"/>
        <w:jc w:val="center"/>
        <w:rPr>
          <w:b/>
        </w:rPr>
      </w:pPr>
      <w:r w:rsidRPr="003C51EE">
        <w:rPr>
          <w:b/>
        </w:rPr>
        <w:lastRenderedPageBreak/>
        <w:t>II. </w:t>
      </w:r>
      <w:r w:rsidR="00134188" w:rsidRPr="003C51EE">
        <w:rPr>
          <w:b/>
        </w:rPr>
        <w:t>Jautājumi, par kuriem saskaņošanā vienošan</w:t>
      </w:r>
      <w:r w:rsidR="00144622" w:rsidRPr="003C51EE">
        <w:rPr>
          <w:b/>
        </w:rPr>
        <w:t>ā</w:t>
      </w:r>
      <w:r w:rsidR="00134188" w:rsidRPr="003C51EE">
        <w:rPr>
          <w:b/>
        </w:rPr>
        <w:t>s ir panākta</w:t>
      </w:r>
    </w:p>
    <w:p w:rsidR="007B4C0F" w:rsidRPr="003C51EE" w:rsidRDefault="007B4C0F" w:rsidP="00DB7395">
      <w:pPr>
        <w:pStyle w:val="naisf"/>
        <w:spacing w:before="0" w:after="0"/>
        <w:ind w:firstLine="720"/>
        <w:rPr>
          <w:sz w:val="26"/>
          <w:szCs w:val="26"/>
        </w:rPr>
      </w:pPr>
    </w:p>
    <w:tbl>
      <w:tblPr>
        <w:tblW w:w="15243" w:type="dxa"/>
        <w:tblInd w:w="-7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84"/>
        <w:gridCol w:w="2324"/>
        <w:gridCol w:w="653"/>
        <w:gridCol w:w="4536"/>
        <w:gridCol w:w="990"/>
        <w:gridCol w:w="2696"/>
        <w:gridCol w:w="3260"/>
      </w:tblGrid>
      <w:tr w:rsidR="003C51EE" w:rsidRPr="003C51EE" w:rsidTr="00113C06">
        <w:tc>
          <w:tcPr>
            <w:tcW w:w="784" w:type="dxa"/>
            <w:tcBorders>
              <w:top w:val="single" w:sz="6" w:space="0" w:color="000000"/>
              <w:left w:val="single" w:sz="6" w:space="0" w:color="000000"/>
              <w:bottom w:val="single" w:sz="6" w:space="0" w:color="000000"/>
              <w:right w:val="single" w:sz="6" w:space="0" w:color="000000"/>
            </w:tcBorders>
          </w:tcPr>
          <w:p w:rsidR="00113C06" w:rsidRPr="003C51EE" w:rsidRDefault="00ED28BC" w:rsidP="00E94FF8">
            <w:pPr>
              <w:pStyle w:val="naisc"/>
              <w:spacing w:before="0" w:after="0"/>
              <w:ind w:firstLine="12"/>
            </w:pPr>
            <w:r w:rsidRPr="003C51EE">
              <w:t>Nr. p.</w:t>
            </w:r>
            <w:r w:rsidR="00113C06" w:rsidRPr="003C51EE">
              <w:t>k.</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13C06" w:rsidRPr="003C51EE" w:rsidRDefault="00113C06" w:rsidP="00E94FF8">
            <w:pPr>
              <w:pStyle w:val="naisc"/>
              <w:spacing w:before="0" w:after="0"/>
              <w:ind w:firstLine="12"/>
            </w:pPr>
            <w:r w:rsidRPr="003C51EE">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rsidR="00113C06" w:rsidRPr="003C51EE" w:rsidRDefault="00113C06" w:rsidP="00E94FF8">
            <w:pPr>
              <w:pStyle w:val="naisc"/>
              <w:spacing w:before="0" w:after="0"/>
              <w:ind w:right="3"/>
            </w:pPr>
            <w:r w:rsidRPr="003C51EE">
              <w:t>Atzinumā norādītais ministrijas (citas institūcijas) iebildums, kā arī saskaņošanā papildus izteiktais iebildums par projekta konkrēto punktu (pantu)</w:t>
            </w:r>
          </w:p>
        </w:tc>
        <w:tc>
          <w:tcPr>
            <w:tcW w:w="3686" w:type="dxa"/>
            <w:gridSpan w:val="2"/>
            <w:tcBorders>
              <w:top w:val="single" w:sz="6" w:space="0" w:color="000000"/>
              <w:left w:val="single" w:sz="6" w:space="0" w:color="000000"/>
              <w:bottom w:val="single" w:sz="6" w:space="0" w:color="000000"/>
              <w:right w:val="single" w:sz="6" w:space="0" w:color="000000"/>
            </w:tcBorders>
            <w:vAlign w:val="center"/>
          </w:tcPr>
          <w:p w:rsidR="00113C06" w:rsidRPr="003C51EE" w:rsidRDefault="00113C06" w:rsidP="00E94FF8">
            <w:pPr>
              <w:pStyle w:val="naisc"/>
              <w:spacing w:before="0" w:after="0"/>
              <w:ind w:firstLine="21"/>
            </w:pPr>
            <w:r w:rsidRPr="003C51EE">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rsidR="00113C06" w:rsidRPr="003C51EE" w:rsidRDefault="00113C06" w:rsidP="00E94FF8">
            <w:pPr>
              <w:jc w:val="center"/>
            </w:pPr>
            <w:r w:rsidRPr="003C51EE">
              <w:t>Projekta attiecīgā punkta (panta) galīgā redakcija</w:t>
            </w:r>
          </w:p>
        </w:tc>
      </w:tr>
      <w:tr w:rsidR="003C51EE" w:rsidRPr="003C51EE" w:rsidTr="00113C06">
        <w:tc>
          <w:tcPr>
            <w:tcW w:w="784" w:type="dxa"/>
            <w:tcBorders>
              <w:top w:val="single" w:sz="6" w:space="0" w:color="000000"/>
              <w:left w:val="single" w:sz="6" w:space="0" w:color="000000"/>
              <w:bottom w:val="single" w:sz="6" w:space="0" w:color="000000"/>
              <w:right w:val="single" w:sz="6" w:space="0" w:color="000000"/>
            </w:tcBorders>
          </w:tcPr>
          <w:p w:rsidR="00113C06" w:rsidRPr="003C51EE" w:rsidRDefault="00113C06" w:rsidP="00E94FF8">
            <w:pPr>
              <w:pStyle w:val="naisc"/>
              <w:spacing w:before="0" w:after="0"/>
              <w:ind w:firstLine="27"/>
            </w:pPr>
            <w:r w:rsidRPr="003C51EE">
              <w:t>1</w:t>
            </w:r>
          </w:p>
        </w:tc>
        <w:tc>
          <w:tcPr>
            <w:tcW w:w="2977" w:type="dxa"/>
            <w:gridSpan w:val="2"/>
            <w:tcBorders>
              <w:top w:val="single" w:sz="6" w:space="0" w:color="000000"/>
              <w:left w:val="single" w:sz="6" w:space="0" w:color="000000"/>
              <w:bottom w:val="single" w:sz="6" w:space="0" w:color="000000"/>
              <w:right w:val="single" w:sz="6" w:space="0" w:color="000000"/>
            </w:tcBorders>
          </w:tcPr>
          <w:p w:rsidR="00113C06" w:rsidRPr="003C51EE" w:rsidRDefault="00113C06" w:rsidP="00E94FF8">
            <w:pPr>
              <w:pStyle w:val="naisc"/>
              <w:spacing w:before="0" w:after="0"/>
              <w:ind w:firstLine="27"/>
            </w:pPr>
            <w:r w:rsidRPr="003C51EE">
              <w:t>2</w:t>
            </w:r>
          </w:p>
        </w:tc>
        <w:tc>
          <w:tcPr>
            <w:tcW w:w="4536" w:type="dxa"/>
            <w:tcBorders>
              <w:top w:val="single" w:sz="6" w:space="0" w:color="000000"/>
              <w:left w:val="single" w:sz="6" w:space="0" w:color="000000"/>
              <w:bottom w:val="single" w:sz="6" w:space="0" w:color="000000"/>
              <w:right w:val="single" w:sz="6" w:space="0" w:color="000000"/>
            </w:tcBorders>
          </w:tcPr>
          <w:p w:rsidR="00113C06" w:rsidRPr="003C51EE" w:rsidRDefault="00113C06" w:rsidP="00E94FF8">
            <w:pPr>
              <w:pStyle w:val="naisc"/>
              <w:spacing w:before="0" w:after="0"/>
              <w:ind w:firstLine="27"/>
            </w:pPr>
            <w:r w:rsidRPr="003C51EE">
              <w:t>3</w:t>
            </w:r>
          </w:p>
        </w:tc>
        <w:tc>
          <w:tcPr>
            <w:tcW w:w="3686" w:type="dxa"/>
            <w:gridSpan w:val="2"/>
            <w:tcBorders>
              <w:top w:val="single" w:sz="6" w:space="0" w:color="000000"/>
              <w:left w:val="single" w:sz="6" w:space="0" w:color="000000"/>
              <w:bottom w:val="single" w:sz="6" w:space="0" w:color="000000"/>
              <w:right w:val="single" w:sz="6" w:space="0" w:color="000000"/>
            </w:tcBorders>
          </w:tcPr>
          <w:p w:rsidR="00113C06" w:rsidRPr="003C51EE" w:rsidRDefault="00113C06" w:rsidP="00E94FF8">
            <w:pPr>
              <w:pStyle w:val="naisc"/>
              <w:spacing w:before="0" w:after="0"/>
              <w:ind w:firstLine="27"/>
            </w:pPr>
            <w:r w:rsidRPr="003C51EE">
              <w:t>4</w:t>
            </w:r>
          </w:p>
        </w:tc>
        <w:tc>
          <w:tcPr>
            <w:tcW w:w="3260" w:type="dxa"/>
            <w:tcBorders>
              <w:top w:val="single" w:sz="4" w:space="0" w:color="auto"/>
              <w:left w:val="single" w:sz="4" w:space="0" w:color="auto"/>
              <w:bottom w:val="single" w:sz="4" w:space="0" w:color="auto"/>
            </w:tcBorders>
          </w:tcPr>
          <w:p w:rsidR="00113C06" w:rsidRPr="003C51EE" w:rsidRDefault="00113C06" w:rsidP="00E94FF8">
            <w:pPr>
              <w:pStyle w:val="naisc"/>
              <w:spacing w:before="0" w:after="0"/>
              <w:ind w:firstLine="27"/>
            </w:pPr>
            <w:r w:rsidRPr="003C51EE">
              <w:t>5</w:t>
            </w:r>
          </w:p>
        </w:tc>
      </w:tr>
      <w:tr w:rsidR="003C51EE" w:rsidRPr="003C51EE" w:rsidTr="00113C06">
        <w:tc>
          <w:tcPr>
            <w:tcW w:w="784" w:type="dxa"/>
            <w:tcBorders>
              <w:left w:val="single" w:sz="6" w:space="0" w:color="000000"/>
              <w:bottom w:val="single" w:sz="4" w:space="0" w:color="auto"/>
              <w:right w:val="single" w:sz="6" w:space="0" w:color="000000"/>
            </w:tcBorders>
          </w:tcPr>
          <w:p w:rsidR="00113C06" w:rsidRPr="003C51EE" w:rsidRDefault="00C167DC" w:rsidP="00E94FF8">
            <w:pPr>
              <w:pStyle w:val="naisc"/>
              <w:spacing w:before="0" w:after="0"/>
              <w:ind w:firstLine="27"/>
              <w:jc w:val="left"/>
            </w:pPr>
            <w:r w:rsidRPr="003C51EE">
              <w:t>1.</w:t>
            </w:r>
          </w:p>
        </w:tc>
        <w:tc>
          <w:tcPr>
            <w:tcW w:w="2977" w:type="dxa"/>
            <w:gridSpan w:val="2"/>
            <w:tcBorders>
              <w:left w:val="single" w:sz="6" w:space="0" w:color="000000"/>
              <w:bottom w:val="single" w:sz="4" w:space="0" w:color="auto"/>
              <w:right w:val="single" w:sz="6" w:space="0" w:color="000000"/>
            </w:tcBorders>
          </w:tcPr>
          <w:p w:rsidR="00640518" w:rsidRPr="003C51EE" w:rsidRDefault="006C71D9" w:rsidP="00B71708">
            <w:pPr>
              <w:autoSpaceDE w:val="0"/>
              <w:autoSpaceDN w:val="0"/>
              <w:adjustRightInd w:val="0"/>
              <w:jc w:val="both"/>
            </w:pPr>
            <w:r w:rsidRPr="003C51EE">
              <w:t>“</w:t>
            </w:r>
            <w:r w:rsidR="00640518" w:rsidRPr="003C51EE">
              <w:t>23.</w:t>
            </w:r>
            <w:r w:rsidR="00640518" w:rsidRPr="003C51EE">
              <w:rPr>
                <w:vertAlign w:val="superscript"/>
              </w:rPr>
              <w:t xml:space="preserve">1 </w:t>
            </w:r>
            <w:r w:rsidR="00640518" w:rsidRPr="003C51EE">
              <w:t xml:space="preserve">Saņemot šo noteikumu </w:t>
            </w:r>
            <w:hyperlink r:id="rId8" w:anchor="p15" w:tgtFrame="_blank" w:history="1">
              <w:r w:rsidR="00640518" w:rsidRPr="003C51EE">
                <w:t>15.punktā</w:t>
              </w:r>
            </w:hyperlink>
            <w:r w:rsidR="00640518" w:rsidRPr="003C51EE">
              <w:t> minēto iesniegumu, licencēšanas komisija ne vēlāk kā triju darbdienu laikā pēc tā saņemšanas pieprasa Valsts ieņēmuma dienestam atzinumu par iespējamo individuālā komersanta, komercsabiedrības pārvaldes (pārstāvības) amatpersonas vai dalībnieka saistību ar noziedzīgi iegūtu līdzekļu legalizāciju vai terorisma finansēšanu.</w:t>
            </w:r>
            <w:r w:rsidRPr="003C51EE">
              <w:t>”</w:t>
            </w:r>
            <w:r w:rsidR="004C40B1" w:rsidRPr="003C51EE">
              <w:t>;</w:t>
            </w:r>
          </w:p>
          <w:p w:rsidR="004C40B1" w:rsidRDefault="004C40B1" w:rsidP="00B71708">
            <w:pPr>
              <w:autoSpaceDE w:val="0"/>
              <w:autoSpaceDN w:val="0"/>
              <w:adjustRightInd w:val="0"/>
              <w:jc w:val="both"/>
            </w:pPr>
          </w:p>
          <w:p w:rsidR="00AE18BB" w:rsidRDefault="00AE18BB" w:rsidP="00B71708">
            <w:pPr>
              <w:autoSpaceDE w:val="0"/>
              <w:autoSpaceDN w:val="0"/>
              <w:adjustRightInd w:val="0"/>
              <w:jc w:val="both"/>
            </w:pPr>
          </w:p>
          <w:p w:rsidR="00AE18BB" w:rsidRDefault="00AE18BB" w:rsidP="00B71708">
            <w:pPr>
              <w:autoSpaceDE w:val="0"/>
              <w:autoSpaceDN w:val="0"/>
              <w:adjustRightInd w:val="0"/>
              <w:jc w:val="both"/>
            </w:pPr>
          </w:p>
          <w:p w:rsidR="00AE18BB" w:rsidRDefault="00AE18BB" w:rsidP="00B71708">
            <w:pPr>
              <w:autoSpaceDE w:val="0"/>
              <w:autoSpaceDN w:val="0"/>
              <w:adjustRightInd w:val="0"/>
              <w:jc w:val="both"/>
            </w:pPr>
          </w:p>
          <w:p w:rsidR="00AE18BB" w:rsidRDefault="00AE18BB" w:rsidP="00B71708">
            <w:pPr>
              <w:autoSpaceDE w:val="0"/>
              <w:autoSpaceDN w:val="0"/>
              <w:adjustRightInd w:val="0"/>
              <w:jc w:val="both"/>
            </w:pPr>
          </w:p>
          <w:p w:rsidR="00AE18BB" w:rsidRDefault="00AE18BB" w:rsidP="00B71708">
            <w:pPr>
              <w:autoSpaceDE w:val="0"/>
              <w:autoSpaceDN w:val="0"/>
              <w:adjustRightInd w:val="0"/>
              <w:jc w:val="both"/>
            </w:pPr>
          </w:p>
          <w:p w:rsidR="00AE18BB" w:rsidRDefault="00AE18BB" w:rsidP="00B71708">
            <w:pPr>
              <w:autoSpaceDE w:val="0"/>
              <w:autoSpaceDN w:val="0"/>
              <w:adjustRightInd w:val="0"/>
              <w:jc w:val="both"/>
            </w:pPr>
          </w:p>
          <w:p w:rsidR="00AE18BB" w:rsidRPr="003C51EE" w:rsidRDefault="00AE18BB" w:rsidP="00B71708">
            <w:pPr>
              <w:autoSpaceDE w:val="0"/>
              <w:autoSpaceDN w:val="0"/>
              <w:adjustRightInd w:val="0"/>
              <w:jc w:val="both"/>
            </w:pPr>
          </w:p>
          <w:p w:rsidR="00FF3A7D" w:rsidRPr="003C51EE" w:rsidRDefault="004C40B1" w:rsidP="004C40B1">
            <w:pPr>
              <w:autoSpaceDE w:val="0"/>
              <w:autoSpaceDN w:val="0"/>
              <w:adjustRightInd w:val="0"/>
              <w:jc w:val="both"/>
            </w:pPr>
            <w:r w:rsidRPr="003C51EE">
              <w:t>“</w:t>
            </w:r>
            <w:r w:rsidR="00FF3A7D" w:rsidRPr="003C51EE">
              <w:t>23.</w:t>
            </w:r>
            <w:r w:rsidR="00FF3A7D" w:rsidRPr="003C51EE">
              <w:rPr>
                <w:vertAlign w:val="superscript"/>
              </w:rPr>
              <w:t>2</w:t>
            </w:r>
            <w:r w:rsidR="00FF3A7D" w:rsidRPr="003C51EE">
              <w:t xml:space="preserve"> Šo noteikumu 23.</w:t>
            </w:r>
            <w:r w:rsidR="00FF3A7D" w:rsidRPr="003C51EE">
              <w:rPr>
                <w:vertAlign w:val="superscript"/>
              </w:rPr>
              <w:t>1</w:t>
            </w:r>
            <w:r w:rsidR="00FF3A7D" w:rsidRPr="003C51EE">
              <w:t>punktā minēto atzinumu Valsts ieņēmuma dienests sniedz 15 dienu laikā pēc licencēšanas komisijas pieprasījuma saņemšanas.”.</w:t>
            </w:r>
          </w:p>
          <w:p w:rsidR="00FF3A7D" w:rsidRPr="003C51EE" w:rsidRDefault="00FF3A7D" w:rsidP="00E94FF8">
            <w:pPr>
              <w:pStyle w:val="naisc"/>
              <w:spacing w:before="0" w:after="0"/>
              <w:ind w:firstLine="27"/>
              <w:jc w:val="both"/>
              <w:rPr>
                <w:sz w:val="26"/>
                <w:szCs w:val="26"/>
              </w:rPr>
            </w:pPr>
          </w:p>
        </w:tc>
        <w:tc>
          <w:tcPr>
            <w:tcW w:w="4536" w:type="dxa"/>
            <w:tcBorders>
              <w:left w:val="single" w:sz="6" w:space="0" w:color="000000"/>
              <w:bottom w:val="single" w:sz="4" w:space="0" w:color="auto"/>
              <w:right w:val="single" w:sz="6" w:space="0" w:color="000000"/>
            </w:tcBorders>
          </w:tcPr>
          <w:p w:rsidR="00A67F0A" w:rsidRPr="003C51EE" w:rsidRDefault="00640518" w:rsidP="001620D6">
            <w:pPr>
              <w:pStyle w:val="naisc"/>
              <w:spacing w:before="0" w:after="0"/>
              <w:ind w:firstLine="27"/>
              <w:rPr>
                <w:b/>
              </w:rPr>
            </w:pPr>
            <w:r w:rsidRPr="003C51EE">
              <w:rPr>
                <w:b/>
              </w:rPr>
              <w:t>Finanšu</w:t>
            </w:r>
            <w:r w:rsidR="00C167DC" w:rsidRPr="003C51EE">
              <w:rPr>
                <w:b/>
              </w:rPr>
              <w:t xml:space="preserve"> ministrija</w:t>
            </w:r>
            <w:r w:rsidR="00A67F0A" w:rsidRPr="003C51EE">
              <w:rPr>
                <w:b/>
              </w:rPr>
              <w:t xml:space="preserve"> </w:t>
            </w:r>
          </w:p>
          <w:p w:rsidR="00C167DC" w:rsidRPr="003C51EE" w:rsidRDefault="00A67F0A" w:rsidP="001620D6">
            <w:pPr>
              <w:pStyle w:val="naisc"/>
              <w:spacing w:before="0" w:after="0"/>
              <w:ind w:firstLine="27"/>
              <w:rPr>
                <w:b/>
              </w:rPr>
            </w:pPr>
            <w:r w:rsidRPr="003C51EE">
              <w:rPr>
                <w:b/>
              </w:rPr>
              <w:t>(28.06.2017</w:t>
            </w:r>
            <w:r w:rsidR="00ED05DE" w:rsidRPr="003C51EE">
              <w:rPr>
                <w:b/>
              </w:rPr>
              <w:t>.,</w:t>
            </w:r>
            <w:r w:rsidRPr="003C51EE">
              <w:rPr>
                <w:b/>
              </w:rPr>
              <w:t xml:space="preserve"> Nr.</w:t>
            </w:r>
            <w:r w:rsidR="00ED05DE" w:rsidRPr="003C51EE">
              <w:rPr>
                <w:b/>
              </w:rPr>
              <w:t xml:space="preserve"> </w:t>
            </w:r>
            <w:r w:rsidRPr="003C51EE">
              <w:rPr>
                <w:b/>
              </w:rPr>
              <w:t>A-IEM-7/5047)</w:t>
            </w:r>
          </w:p>
          <w:p w:rsidR="00640518" w:rsidRPr="003C51EE" w:rsidRDefault="00640518" w:rsidP="00C41DF6">
            <w:pPr>
              <w:ind w:firstLine="433"/>
              <w:jc w:val="both"/>
              <w:rPr>
                <w:lang w:eastAsia="en-US"/>
              </w:rPr>
            </w:pPr>
            <w:r w:rsidRPr="003C51EE">
              <w:rPr>
                <w:lang w:eastAsia="en-US"/>
              </w:rPr>
              <w:t>Atbilstoši 2017.gada 3.maijā apstiprinātā Pasākumu plāna noziedzīgi iegūtu līdzekļu legalizācijas un terorisma finansēšanas risku ierobežošanai 2017.-2019.gadam 2.3.punktā iekļautajam uzdevumam – izdarīt grozījumus kārtībā, kādā tiek izsniegta licence personām, kas sniedz inkasācijas pakalpojumus un Patērētāju tiesību aizsardzības centra licencēto komercsabiedrību kreditēšanas pakalpojumus (izņemot kredītiestādes), nosakot, ka pirms licences izsniegšanas attiecīgo Noziedzīgi iegūtu līdzekļu legalizācijas un terorisma finansēšanas novēršanas likuma subjektu uzraudzības un kontroles institūcija pārbauda attiecīgo likuma subjektu iekšējās kontroles sistēmas atbilstību noziedzīgi iegūtu līdzekļu legalizācijas un terorisma finansēšanas likuma prasībām, lūdzam izteikt 23.</w:t>
            </w:r>
            <w:r w:rsidRPr="003C51EE">
              <w:rPr>
                <w:vertAlign w:val="superscript"/>
                <w:lang w:eastAsia="en-US"/>
              </w:rPr>
              <w:t xml:space="preserve">1 </w:t>
            </w:r>
            <w:r w:rsidRPr="003C51EE">
              <w:rPr>
                <w:lang w:eastAsia="en-US"/>
              </w:rPr>
              <w:t>punktu šādā redakcijā:</w:t>
            </w:r>
          </w:p>
          <w:p w:rsidR="00640518" w:rsidRPr="003C51EE" w:rsidRDefault="00640518" w:rsidP="00C41DF6">
            <w:pPr>
              <w:ind w:firstLine="433"/>
              <w:jc w:val="both"/>
              <w:rPr>
                <w:lang w:eastAsia="en-US"/>
              </w:rPr>
            </w:pPr>
            <w:r w:rsidRPr="003C51EE">
              <w:rPr>
                <w:lang w:eastAsia="en-US"/>
              </w:rPr>
              <w:t>“23.</w:t>
            </w:r>
            <w:r w:rsidRPr="003C51EE">
              <w:rPr>
                <w:vertAlign w:val="superscript"/>
                <w:lang w:eastAsia="en-US"/>
              </w:rPr>
              <w:t xml:space="preserve">1 </w:t>
            </w:r>
            <w:r w:rsidRPr="003C51EE">
              <w:rPr>
                <w:lang w:eastAsia="en-US"/>
              </w:rPr>
              <w:t xml:space="preserve">Saņemot šo noteikumu 15.punktā minēto iesniegumu, licencēšanas komisija ne vēlāk kā triju darbdienu laikā pēc tā </w:t>
            </w:r>
            <w:r w:rsidRPr="003C51EE">
              <w:rPr>
                <w:lang w:eastAsia="en-US"/>
              </w:rPr>
              <w:lastRenderedPageBreak/>
              <w:t>saņemšanas pieprasa Valsts ieņēmuma dienestam atzinumu par individuālā komersanta, komercsabiedrības pārvaldes (pārstāvības) amatpersonas vai dalībnieka atbilstību Noziedzīgi iegūtu līdzekļu legalizācijas un terorisma finansēšanas novēršanas likuma prasībām.”</w:t>
            </w:r>
          </w:p>
          <w:p w:rsidR="00113C06" w:rsidRPr="003C51EE" w:rsidRDefault="00640518" w:rsidP="00735CEE">
            <w:pPr>
              <w:ind w:firstLine="433"/>
              <w:jc w:val="both"/>
              <w:rPr>
                <w:lang w:eastAsia="en-US"/>
              </w:rPr>
            </w:pPr>
            <w:r w:rsidRPr="003C51EE">
              <w:rPr>
                <w:lang w:eastAsia="en-US"/>
              </w:rPr>
              <w:t>Lūdzam atbilstoši papildināt anotāciju, iekļaujot normas skaidrojumu, ka Valsts ieņēmumu dienests sniedz atzinumu par individuālā komersanta, komercsabiedrības pārvaldes (pārstāvības) amatpersonas vai dalībnieka atbilstību Noziedzīgi iegūtu līdzekļu legalizācijas un terorisma finansēšanas novēršanas likuma III nodaļā Iekšējā kontrole iekļautajām prasībām.</w:t>
            </w:r>
          </w:p>
        </w:tc>
        <w:tc>
          <w:tcPr>
            <w:tcW w:w="3686" w:type="dxa"/>
            <w:gridSpan w:val="2"/>
            <w:tcBorders>
              <w:left w:val="single" w:sz="6" w:space="0" w:color="000000"/>
              <w:bottom w:val="single" w:sz="4" w:space="0" w:color="auto"/>
              <w:right w:val="single" w:sz="6" w:space="0" w:color="000000"/>
            </w:tcBorders>
          </w:tcPr>
          <w:p w:rsidR="00113C06" w:rsidRPr="003C51EE" w:rsidRDefault="00EA4936" w:rsidP="00E94FF8">
            <w:pPr>
              <w:pStyle w:val="naisc"/>
              <w:spacing w:before="0" w:after="0"/>
              <w:ind w:firstLine="27"/>
              <w:rPr>
                <w:b/>
              </w:rPr>
            </w:pPr>
            <w:r w:rsidRPr="003C51EE">
              <w:rPr>
                <w:b/>
              </w:rPr>
              <w:lastRenderedPageBreak/>
              <w:t>I</w:t>
            </w:r>
            <w:r w:rsidR="00113C06" w:rsidRPr="003C51EE">
              <w:rPr>
                <w:b/>
              </w:rPr>
              <w:t>ebildums ir ņemts vērā</w:t>
            </w:r>
            <w:r w:rsidRPr="003C51EE">
              <w:rPr>
                <w:b/>
              </w:rPr>
              <w:t>.</w:t>
            </w:r>
          </w:p>
          <w:p w:rsidR="001620D6" w:rsidRPr="003C51EE" w:rsidRDefault="008D04D3" w:rsidP="001A0E99">
            <w:pPr>
              <w:pStyle w:val="naisc"/>
              <w:spacing w:before="0" w:after="0"/>
              <w:jc w:val="both"/>
            </w:pPr>
            <w:r w:rsidRPr="003C51EE">
              <w:t xml:space="preserve">Projekta </w:t>
            </w:r>
            <w:r w:rsidRPr="003C51EE">
              <w:rPr>
                <w:lang w:eastAsia="en-US"/>
              </w:rPr>
              <w:t>23.</w:t>
            </w:r>
            <w:r w:rsidRPr="003C51EE">
              <w:rPr>
                <w:vertAlign w:val="superscript"/>
                <w:lang w:eastAsia="en-US"/>
              </w:rPr>
              <w:t xml:space="preserve">1 </w:t>
            </w:r>
            <w:r w:rsidRPr="003C51EE">
              <w:t>un 23.</w:t>
            </w:r>
            <w:r w:rsidRPr="003C51EE">
              <w:rPr>
                <w:vertAlign w:val="superscript"/>
              </w:rPr>
              <w:t>2</w:t>
            </w:r>
            <w:r w:rsidRPr="003C51EE">
              <w:t xml:space="preserve"> punkts dzēsts. Projekts papildināts ar</w:t>
            </w:r>
            <w:r w:rsidR="00477ED2" w:rsidRPr="003C51EE">
              <w:t xml:space="preserve"> </w:t>
            </w:r>
            <w:r w:rsidR="001620D6" w:rsidRPr="003C51EE">
              <w:t xml:space="preserve">9.6. apakšpunktu, 16.4.apakšpunktu un </w:t>
            </w:r>
            <w:r w:rsidR="00477ED2" w:rsidRPr="003C51EE">
              <w:t>63.punktu</w:t>
            </w:r>
            <w:r w:rsidR="00640518" w:rsidRPr="003C51EE">
              <w:t xml:space="preserve">. </w:t>
            </w:r>
          </w:p>
          <w:p w:rsidR="00113C06" w:rsidRPr="003C51EE" w:rsidRDefault="00640518" w:rsidP="001A0E99">
            <w:pPr>
              <w:pStyle w:val="naisc"/>
              <w:spacing w:before="0" w:after="0"/>
              <w:jc w:val="both"/>
              <w:rPr>
                <w:sz w:val="26"/>
                <w:szCs w:val="26"/>
              </w:rPr>
            </w:pPr>
            <w:r w:rsidRPr="003C51EE">
              <w:t>Precizēta projekta anotācijā ietvertā informācija.</w:t>
            </w:r>
          </w:p>
        </w:tc>
        <w:tc>
          <w:tcPr>
            <w:tcW w:w="3260" w:type="dxa"/>
            <w:tcBorders>
              <w:top w:val="single" w:sz="4" w:space="0" w:color="auto"/>
              <w:left w:val="single" w:sz="4" w:space="0" w:color="auto"/>
              <w:bottom w:val="single" w:sz="4" w:space="0" w:color="auto"/>
            </w:tcBorders>
          </w:tcPr>
          <w:p w:rsidR="001620D6" w:rsidRPr="003C51EE" w:rsidRDefault="00C07B2C" w:rsidP="00C07B2C">
            <w:pPr>
              <w:autoSpaceDE w:val="0"/>
              <w:autoSpaceDN w:val="0"/>
              <w:adjustRightInd w:val="0"/>
              <w:jc w:val="both"/>
            </w:pPr>
            <w:r w:rsidRPr="003C51EE">
              <w:t>“</w:t>
            </w:r>
            <w:r w:rsidR="001620D6" w:rsidRPr="003C51EE">
              <w:t>9.6. izstrādā noziedzīgi iegūtu līdzekļu legalizācijas un terorisma finansēšanas novēršanas iekšējās kontroles sistēmu atbilstoši Noziedzīgi iegūtu līdzekļu legalizācijas un terorisma finansēša</w:t>
            </w:r>
            <w:r w:rsidR="00037D64" w:rsidRPr="003C51EE">
              <w:t>nas novēršanas likuma prasībām.</w:t>
            </w:r>
            <w:r w:rsidRPr="003C51EE">
              <w:t>”;</w:t>
            </w:r>
          </w:p>
          <w:p w:rsidR="00C07B2C" w:rsidRPr="003C51EE" w:rsidRDefault="00C07B2C" w:rsidP="00C07B2C">
            <w:pPr>
              <w:autoSpaceDE w:val="0"/>
              <w:autoSpaceDN w:val="0"/>
              <w:adjustRightInd w:val="0"/>
              <w:jc w:val="both"/>
            </w:pPr>
          </w:p>
          <w:p w:rsidR="001620D6" w:rsidRPr="003C51EE" w:rsidRDefault="00C07B2C" w:rsidP="00C07B2C">
            <w:pPr>
              <w:autoSpaceDE w:val="0"/>
              <w:autoSpaceDN w:val="0"/>
              <w:adjustRightInd w:val="0"/>
              <w:jc w:val="both"/>
            </w:pPr>
            <w:r w:rsidRPr="003C51EE">
              <w:t>“</w:t>
            </w:r>
            <w:r w:rsidR="001620D6" w:rsidRPr="003C51EE">
              <w:t>16.4. dokumentu, kas apliecina, ka komersants ir izstrādājis noziedzīgi iegūtu līdzekļu legalizācijas un terorisma finansēšanas novēršanas iekšējās kontroles sistēmu.</w:t>
            </w:r>
            <w:r w:rsidRPr="003C51EE">
              <w:t>”;</w:t>
            </w:r>
          </w:p>
          <w:p w:rsidR="00C07B2C" w:rsidRPr="003C51EE" w:rsidRDefault="00C07B2C" w:rsidP="00C07B2C">
            <w:pPr>
              <w:autoSpaceDE w:val="0"/>
              <w:autoSpaceDN w:val="0"/>
              <w:adjustRightInd w:val="0"/>
              <w:jc w:val="both"/>
            </w:pPr>
          </w:p>
          <w:p w:rsidR="001620D6" w:rsidRPr="003C51EE" w:rsidRDefault="00C07B2C" w:rsidP="00C07B2C">
            <w:pPr>
              <w:tabs>
                <w:tab w:val="left" w:pos="6521"/>
                <w:tab w:val="right" w:pos="8820"/>
              </w:tabs>
              <w:jc w:val="both"/>
            </w:pPr>
            <w:r w:rsidRPr="003C51EE">
              <w:t>“</w:t>
            </w:r>
            <w:r w:rsidR="001620D6" w:rsidRPr="003C51EE">
              <w:t>63.</w:t>
            </w:r>
            <w:r w:rsidR="008C01BD" w:rsidRPr="003C51EE">
              <w:t xml:space="preserve"> </w:t>
            </w:r>
            <w:r w:rsidR="001620D6" w:rsidRPr="003C51EE">
              <w:t>Komersanti, kas saņēmuši speciālo atļauju (licenci)</w:t>
            </w:r>
            <w:r w:rsidR="006359E4" w:rsidRPr="003C51EE">
              <w:t>,</w:t>
            </w:r>
            <w:r w:rsidR="001620D6" w:rsidRPr="003C51EE">
              <w:t xml:space="preserve"> izveido iekšējās kontroles sistēmu atbilstoši Noziedzīgi iegūtu līdzekļu legalizācijas un terorisma finansēšanas novēršanas likuma prasībām un līdz </w:t>
            </w:r>
            <w:r w:rsidR="00770882" w:rsidRPr="003C51EE">
              <w:t>2020</w:t>
            </w:r>
            <w:r w:rsidR="001620D6" w:rsidRPr="003C51EE">
              <w:t xml:space="preserve">.gada </w:t>
            </w:r>
            <w:r w:rsidR="00770882" w:rsidRPr="003C51EE">
              <w:t>3</w:t>
            </w:r>
            <w:r w:rsidR="001620D6" w:rsidRPr="003C51EE">
              <w:t>1.</w:t>
            </w:r>
            <w:r w:rsidR="00770882" w:rsidRPr="003C51EE">
              <w:t>decembrim</w:t>
            </w:r>
            <w:r w:rsidR="001620D6" w:rsidRPr="003C51EE">
              <w:t xml:space="preserve"> iesniedz Valsts policijā </w:t>
            </w:r>
            <w:r w:rsidR="001620D6" w:rsidRPr="003C51EE">
              <w:lastRenderedPageBreak/>
              <w:t>dokumentu, kas to apliecina.</w:t>
            </w:r>
            <w:r w:rsidRPr="003C51EE">
              <w:t>”.</w:t>
            </w:r>
          </w:p>
          <w:p w:rsidR="00113C06" w:rsidRPr="003C51EE" w:rsidRDefault="00113C06" w:rsidP="00E94FF8">
            <w:pPr>
              <w:rPr>
                <w:sz w:val="26"/>
                <w:szCs w:val="26"/>
              </w:rPr>
            </w:pPr>
          </w:p>
        </w:tc>
      </w:tr>
      <w:tr w:rsidR="003C51EE" w:rsidRPr="003C51EE" w:rsidTr="00113C06">
        <w:tc>
          <w:tcPr>
            <w:tcW w:w="784" w:type="dxa"/>
            <w:tcBorders>
              <w:left w:val="single" w:sz="6" w:space="0" w:color="000000"/>
              <w:bottom w:val="single" w:sz="4" w:space="0" w:color="auto"/>
              <w:right w:val="single" w:sz="6" w:space="0" w:color="000000"/>
            </w:tcBorders>
          </w:tcPr>
          <w:p w:rsidR="001620D6" w:rsidRPr="003C51EE" w:rsidRDefault="001620D6" w:rsidP="001620D6">
            <w:pPr>
              <w:pStyle w:val="naisc"/>
              <w:spacing w:before="0" w:after="0"/>
              <w:ind w:firstLine="27"/>
              <w:jc w:val="left"/>
            </w:pPr>
            <w:r w:rsidRPr="003C51EE">
              <w:lastRenderedPageBreak/>
              <w:t>2.</w:t>
            </w:r>
          </w:p>
        </w:tc>
        <w:tc>
          <w:tcPr>
            <w:tcW w:w="2977" w:type="dxa"/>
            <w:gridSpan w:val="2"/>
            <w:tcBorders>
              <w:left w:val="single" w:sz="6" w:space="0" w:color="000000"/>
              <w:bottom w:val="single" w:sz="4" w:space="0" w:color="auto"/>
              <w:right w:val="single" w:sz="6" w:space="0" w:color="000000"/>
            </w:tcBorders>
          </w:tcPr>
          <w:p w:rsidR="001620D6" w:rsidRPr="003C51EE" w:rsidRDefault="00AB36F0" w:rsidP="00AB36F0">
            <w:pPr>
              <w:pStyle w:val="naisc"/>
              <w:spacing w:before="0"/>
              <w:jc w:val="both"/>
            </w:pPr>
            <w:r w:rsidRPr="003C51EE">
              <w:t>“</w:t>
            </w:r>
            <w:r w:rsidR="001620D6" w:rsidRPr="003C51EE">
              <w:t>23.</w:t>
            </w:r>
            <w:r w:rsidR="001620D6" w:rsidRPr="003C51EE">
              <w:rPr>
                <w:vertAlign w:val="superscript"/>
              </w:rPr>
              <w:t xml:space="preserve">1 </w:t>
            </w:r>
            <w:r w:rsidR="001620D6" w:rsidRPr="003C51EE">
              <w:t xml:space="preserve">Saņemot šo noteikumu </w:t>
            </w:r>
            <w:hyperlink r:id="rId9" w:anchor="p15" w:tgtFrame="_blank" w:history="1">
              <w:r w:rsidR="001620D6" w:rsidRPr="003C51EE">
                <w:rPr>
                  <w:rStyle w:val="Hyperlink"/>
                  <w:color w:val="auto"/>
                  <w:u w:val="none"/>
                </w:rPr>
                <w:t>15.punktā</w:t>
              </w:r>
            </w:hyperlink>
            <w:r w:rsidR="001620D6" w:rsidRPr="003C51EE">
              <w:t> minēto iesniegumu, licencēšanas komisija ne vēlāk kā triju darbdienu laikā pēc tā saņemšanas pieprasa Valsts ieņēmuma dienestam atzinumu par iespējamo individuālā komersanta, komercsabiedrības pārvaldes (pārstāvības) amatpersonas vai dalībnieka saistību ar noziedzīgi iegūtu līdzekļu legalizāciju vai terorisma finansēšanu.</w:t>
            </w:r>
            <w:r w:rsidR="004E546A" w:rsidRPr="003C51EE">
              <w:t>”;</w:t>
            </w:r>
          </w:p>
          <w:p w:rsidR="00364025" w:rsidRPr="003C51EE" w:rsidRDefault="00364025" w:rsidP="00364025">
            <w:pPr>
              <w:autoSpaceDE w:val="0"/>
              <w:autoSpaceDN w:val="0"/>
              <w:adjustRightInd w:val="0"/>
              <w:jc w:val="both"/>
            </w:pPr>
            <w:r w:rsidRPr="003C51EE">
              <w:t>“23.</w:t>
            </w:r>
            <w:r w:rsidRPr="003C51EE">
              <w:rPr>
                <w:vertAlign w:val="superscript"/>
              </w:rPr>
              <w:t>2</w:t>
            </w:r>
            <w:r w:rsidRPr="003C51EE">
              <w:t xml:space="preserve"> Šo noteikumu 23.</w:t>
            </w:r>
            <w:r w:rsidRPr="003C51EE">
              <w:rPr>
                <w:vertAlign w:val="superscript"/>
              </w:rPr>
              <w:t>1</w:t>
            </w:r>
            <w:r w:rsidRPr="003C51EE">
              <w:t>punktā minēto atzinumu Valsts ieņēmuma dienests sniedz 15 dienu laikā pēc licencēšanas komisijas pieprasījuma saņemšanas.”.</w:t>
            </w:r>
          </w:p>
          <w:p w:rsidR="001620D6" w:rsidRPr="003C51EE" w:rsidRDefault="001620D6" w:rsidP="001620D6">
            <w:pPr>
              <w:pStyle w:val="naisc"/>
              <w:spacing w:before="0" w:after="0"/>
              <w:ind w:firstLine="27"/>
              <w:jc w:val="both"/>
            </w:pPr>
          </w:p>
        </w:tc>
        <w:tc>
          <w:tcPr>
            <w:tcW w:w="4536" w:type="dxa"/>
            <w:tcBorders>
              <w:left w:val="single" w:sz="6" w:space="0" w:color="000000"/>
              <w:bottom w:val="single" w:sz="4" w:space="0" w:color="auto"/>
              <w:right w:val="single" w:sz="6" w:space="0" w:color="000000"/>
            </w:tcBorders>
          </w:tcPr>
          <w:p w:rsidR="001620D6" w:rsidRPr="003C51EE" w:rsidRDefault="001620D6" w:rsidP="001620D6">
            <w:pPr>
              <w:pStyle w:val="naisc"/>
              <w:spacing w:before="0" w:after="0"/>
              <w:ind w:firstLine="27"/>
              <w:rPr>
                <w:b/>
              </w:rPr>
            </w:pPr>
            <w:r w:rsidRPr="003C51EE">
              <w:rPr>
                <w:b/>
              </w:rPr>
              <w:t>Tieslietu ministrija</w:t>
            </w:r>
          </w:p>
          <w:p w:rsidR="002210EA" w:rsidRPr="003C51EE" w:rsidRDefault="002210EA" w:rsidP="002210EA">
            <w:pPr>
              <w:pStyle w:val="naisc"/>
              <w:spacing w:before="0" w:after="0"/>
              <w:ind w:firstLine="27"/>
              <w:rPr>
                <w:b/>
              </w:rPr>
            </w:pPr>
            <w:r w:rsidRPr="003C51EE">
              <w:rPr>
                <w:b/>
              </w:rPr>
              <w:t>(2</w:t>
            </w:r>
            <w:r w:rsidR="0074351B" w:rsidRPr="003C51EE">
              <w:rPr>
                <w:b/>
              </w:rPr>
              <w:t>7</w:t>
            </w:r>
            <w:r w:rsidRPr="003C51EE">
              <w:rPr>
                <w:b/>
              </w:rPr>
              <w:t>.06.2017., Nr.</w:t>
            </w:r>
            <w:r w:rsidR="00F131BC" w:rsidRPr="003C51EE">
              <w:rPr>
                <w:b/>
              </w:rPr>
              <w:t>1-9.1/760</w:t>
            </w:r>
            <w:r w:rsidRPr="003C51EE">
              <w:rPr>
                <w:b/>
              </w:rPr>
              <w:t>)</w:t>
            </w:r>
          </w:p>
          <w:p w:rsidR="001620D6" w:rsidRPr="003C51EE" w:rsidRDefault="001620D6" w:rsidP="008E0457">
            <w:pPr>
              <w:ind w:firstLine="433"/>
              <w:jc w:val="both"/>
              <w:rPr>
                <w:rFonts w:eastAsia="Calibri"/>
                <w:lang w:eastAsia="en-US"/>
              </w:rPr>
            </w:pPr>
            <w:r w:rsidRPr="003C51EE">
              <w:rPr>
                <w:rFonts w:eastAsia="Calibri"/>
                <w:lang w:eastAsia="en-US"/>
              </w:rPr>
              <w:t>Projekts paredz papildināt Ministru kabineta 2014. gada 9. decembra noteikumus Nr.757 “Apsardzes darbības licencēšanas noteikumi” (turpmāk – noteikumi) ar 23.</w:t>
            </w:r>
            <w:r w:rsidRPr="003C51EE">
              <w:rPr>
                <w:rFonts w:eastAsia="Calibri"/>
                <w:vertAlign w:val="superscript"/>
                <w:lang w:eastAsia="en-US"/>
              </w:rPr>
              <w:t>1 </w:t>
            </w:r>
            <w:r w:rsidRPr="003C51EE">
              <w:rPr>
                <w:rFonts w:eastAsia="Calibri"/>
                <w:lang w:eastAsia="en-US"/>
              </w:rPr>
              <w:t xml:space="preserve">punktu, kas nosaka, ka Valsts ieņēmumu dienests sniedz atzinumu licencēšanas komisijai par iespējamo individuālā komersanta, komercdarbības pārvaldes (pārstāvības) amatpersonas vai dalībnieka saistību ar noziedzīgi iegūtu līdzekļu legalizāciju vai terorisma finansēšanu. Vēršam uzmanību, ka projekts un tā anotācija nesniedz priekšstatu, kas ir interpretējams kā tiesību normā norādītā “saistība ar noziedzīgi iegūtu līdzekļu legalizāciju vai terorisma finansēšanu”, ņemot vērā, ka noziedzīgi iegūtu līdzekļu legalizācija un terorisma finansēšana ir tīši noziedzīgi nodarījumi. Papildus var norādīt, ka Krimināllikuma 20. pants nosaka, ka persona, kura kopīgi ar noziedzīgā nodarījuma izdarītāju piedalījusies tīša noziedzīga nodarījuma izdarīšanā, bet pati nav bijusi tā tiešais izdarītājs, tiek uzskatīta par līdzdalībnieku (organizētāju, uzkūdītāju, atbalstītāju) un ir saucama pie kriminālatbildības saskaņā ar to pašu Krimināllikuma pantu, kas paredz izdarītāja atbildību. </w:t>
            </w:r>
          </w:p>
          <w:p w:rsidR="001620D6" w:rsidRPr="003C51EE" w:rsidRDefault="001620D6" w:rsidP="00676E8E">
            <w:pPr>
              <w:ind w:firstLine="433"/>
              <w:jc w:val="both"/>
              <w:rPr>
                <w:rFonts w:eastAsia="Calibri"/>
                <w:lang w:eastAsia="en-US"/>
              </w:rPr>
            </w:pPr>
            <w:r w:rsidRPr="003C51EE">
              <w:rPr>
                <w:rFonts w:eastAsia="Calibri"/>
                <w:lang w:eastAsia="en-US"/>
              </w:rPr>
              <w:t xml:space="preserve">Saskaņā ar Apsardzes darbības likuma 7. panta otro daļu individuālajam komersantam un vismaz vienai personai, kas tiesīga pārstāvēt komercsabiedrību, vai komercsabiedrības noteiktam darbiniekam, kas tieši organizēs un vadīs apsardzes darbinieku darbu (apsardzes organizators), ir jāsaņem apsardzes sertifikāts. Savukārt saskaņā ar šī likuma 15. panta pirmo daļu apsardzes sertifikātu aizliegts izsniegt personai, kura sodīta par tīšu noziedzīgu nodarījumu, vai kura ir notiesāta par tīša noziedzīgā nodarījuma izdarīšanu, atbrīvojot no soda vai soda izciešanas, — ja nav pagājis gads pēc nolēmuma par atbrīvošanu no soda vai soda izciešanas stāšanās spēkā, vai kura atbrīvota no kriminālatbildības par tīša noziedzīgā nodarījuma izdarīšanu, - ja nav pagājis gads pēc lēmuma stāšanās spēkā, vai kura nosacīti atbrīvota no kriminālatbildības par tīša noziedzīgā nodarījuma izdarīšanu, - pirms pārbaudes laika beigām, vai kurai kriminālprocesā piemērots apsūdzētā statuss par tīša noziedzīgā nodarījuma izdarīšanu. Papildus norādām, ka Apsardzes darbības likuma 7. panta trešās daļas 5. punkts nosaka, ka speciālo atļauju (licenci) ir aizliegts izsniegt komersantam, par kuru kompetentām valsts iestādēm ir pamats uzskatīt, ka individuālais komersants, komercsabiedrības pārvaldes (pārstāvības) amatpersona vai dalībnieks darbojas pretvalstiskā vai noziedzīgā organizācijā vai ir tās biedrs, rada draudus valsts vai sabiedrības drošībai. No minētā var izdarīt secinājumus, ka Apsardzes darbības likums jau šobrīd ir noteicis noteiktus ierobežojumus, kas saistās ar personas izdarīto noziedzīgo nodarījumu. </w:t>
            </w:r>
          </w:p>
          <w:p w:rsidR="001620D6" w:rsidRPr="003C51EE" w:rsidRDefault="001620D6" w:rsidP="00676E8E">
            <w:pPr>
              <w:ind w:firstLine="433"/>
              <w:jc w:val="both"/>
              <w:rPr>
                <w:rFonts w:eastAsia="Calibri"/>
                <w:lang w:eastAsia="en-US"/>
              </w:rPr>
            </w:pPr>
            <w:r w:rsidRPr="003C51EE">
              <w:rPr>
                <w:rFonts w:eastAsia="Calibri"/>
                <w:lang w:eastAsia="en-US"/>
              </w:rPr>
              <w:t>Papildus vēlamies norādīt, ka lēmums par licences izsniegšanu vai neizsniegšanu ir administratīvais akts, ko var apstrīdēt un pārsūdzēt Administratīvā procesa likumā noteiktajā kārtībā. Ievērojot Valsts ieņēmumu dienesta kompetenci, nav saprotams, balstoties uz kādu likumā paredzētu informāciju</w:t>
            </w:r>
            <w:r w:rsidR="00F80EB0" w:rsidRPr="003C51EE">
              <w:rPr>
                <w:rFonts w:eastAsia="Calibri"/>
                <w:lang w:eastAsia="en-US"/>
              </w:rPr>
              <w:t>,</w:t>
            </w:r>
            <w:r w:rsidRPr="003C51EE">
              <w:rPr>
                <w:rFonts w:eastAsia="Calibri"/>
                <w:lang w:eastAsia="en-US"/>
              </w:rPr>
              <w:t xml:space="preserve"> Valsts ieņēmumu dienests varēs sniegt šādu atzinumu. Likumā “Par Valsts ieņēmumu dienestu” nav tiesību normas, kas noteiktu Valsts ieņēmumu dienestam kompetenci sniegt atzinumus saistībā ar noziedzīgi iegūtu līdzekļu legalizāciju vai terorisma finansēšanu. Noteikumos šāds regulējums var būt pretrunā ar Administratīvā procesa likuma 11. pantā noteikto regulējumu. Ievērojot minēto, projektā nepieciešams precizēt ietverto formulējumu “saistība ar noziedzīgi iegūtu līdzekļu legalizāciju vai terorisma finansēšanu”, izsakot to nepārprotami, kā arī attiecībā uz Valsts ieņēmuma dienesta iespējām sniegt atzinumu par personas saistību ar noziedzīgi iegūtu līdzekļu legalizāciju vai terorisma finansēšanu.</w:t>
            </w:r>
          </w:p>
        </w:tc>
        <w:tc>
          <w:tcPr>
            <w:tcW w:w="3686" w:type="dxa"/>
            <w:gridSpan w:val="2"/>
            <w:tcBorders>
              <w:left w:val="single" w:sz="6" w:space="0" w:color="000000"/>
              <w:bottom w:val="single" w:sz="4" w:space="0" w:color="auto"/>
              <w:right w:val="single" w:sz="6" w:space="0" w:color="000000"/>
            </w:tcBorders>
          </w:tcPr>
          <w:p w:rsidR="001620D6" w:rsidRPr="003C51EE" w:rsidRDefault="001620D6" w:rsidP="001620D6">
            <w:pPr>
              <w:pStyle w:val="naisc"/>
              <w:spacing w:before="0" w:after="0"/>
              <w:ind w:firstLine="27"/>
              <w:rPr>
                <w:b/>
              </w:rPr>
            </w:pPr>
            <w:r w:rsidRPr="003C51EE">
              <w:rPr>
                <w:b/>
              </w:rPr>
              <w:t>Iebildums ir ņemts vērā.</w:t>
            </w:r>
          </w:p>
          <w:p w:rsidR="00E10237" w:rsidRPr="003C51EE" w:rsidRDefault="00E10237" w:rsidP="00E10237">
            <w:pPr>
              <w:pStyle w:val="naisc"/>
              <w:spacing w:before="0" w:after="0"/>
              <w:jc w:val="both"/>
            </w:pPr>
            <w:r w:rsidRPr="003C51EE">
              <w:t xml:space="preserve">Projekta </w:t>
            </w:r>
            <w:r w:rsidRPr="003C51EE">
              <w:rPr>
                <w:lang w:eastAsia="en-US"/>
              </w:rPr>
              <w:t>23.</w:t>
            </w:r>
            <w:r w:rsidRPr="003C51EE">
              <w:rPr>
                <w:vertAlign w:val="superscript"/>
                <w:lang w:eastAsia="en-US"/>
              </w:rPr>
              <w:t xml:space="preserve">1 </w:t>
            </w:r>
            <w:r w:rsidRPr="003C51EE">
              <w:t>un 23.</w:t>
            </w:r>
            <w:r w:rsidRPr="003C51EE">
              <w:rPr>
                <w:vertAlign w:val="superscript"/>
              </w:rPr>
              <w:t>2</w:t>
            </w:r>
            <w:r w:rsidRPr="003C51EE">
              <w:t xml:space="preserve"> punkts dzēsts. Projekts papildināts ar 9.6. apakšpunktu, 16.4.apakšpunktu un 63.punktu. </w:t>
            </w:r>
          </w:p>
          <w:p w:rsidR="00E10237" w:rsidRPr="003C51EE" w:rsidRDefault="00E10237" w:rsidP="00E10237">
            <w:pPr>
              <w:pStyle w:val="naisc"/>
              <w:spacing w:before="0" w:after="0"/>
              <w:jc w:val="both"/>
            </w:pPr>
            <w:r w:rsidRPr="003C51EE">
              <w:t>Precizēta projekta anotācijā ietvertā informācija.</w:t>
            </w:r>
          </w:p>
          <w:p w:rsidR="001620D6" w:rsidRPr="003C51EE" w:rsidRDefault="001620D6" w:rsidP="0088065B">
            <w:pPr>
              <w:pStyle w:val="naisc"/>
              <w:spacing w:before="0" w:after="0"/>
              <w:jc w:val="both"/>
              <w:rPr>
                <w:sz w:val="26"/>
                <w:szCs w:val="26"/>
              </w:rPr>
            </w:pPr>
          </w:p>
        </w:tc>
        <w:tc>
          <w:tcPr>
            <w:tcW w:w="3260" w:type="dxa"/>
            <w:tcBorders>
              <w:top w:val="single" w:sz="4" w:space="0" w:color="auto"/>
              <w:left w:val="single" w:sz="4" w:space="0" w:color="auto"/>
              <w:bottom w:val="single" w:sz="4" w:space="0" w:color="auto"/>
            </w:tcBorders>
          </w:tcPr>
          <w:p w:rsidR="001620D6" w:rsidRPr="003C51EE" w:rsidRDefault="00AB4AB6" w:rsidP="001620D6">
            <w:pPr>
              <w:autoSpaceDE w:val="0"/>
              <w:autoSpaceDN w:val="0"/>
              <w:adjustRightInd w:val="0"/>
              <w:jc w:val="both"/>
            </w:pPr>
            <w:r w:rsidRPr="003C51EE">
              <w:t>“</w:t>
            </w:r>
            <w:r w:rsidR="001620D6" w:rsidRPr="003C51EE">
              <w:t>9.6. izstrādā noziedzīgi iegūtu līdzekļu legalizācijas un terorisma finansēšanas novēršanas iekšējās kontroles sistēmu atbilstoši Noziedzīgi iegūtu līdzekļu legalizācijas un terorisma finansēšanas novēršanas likuma prasībām.</w:t>
            </w:r>
            <w:r w:rsidRPr="003C51EE">
              <w:t>”</w:t>
            </w:r>
            <w:r w:rsidR="001620D6" w:rsidRPr="003C51EE">
              <w:t>;</w:t>
            </w:r>
          </w:p>
          <w:p w:rsidR="001620D6" w:rsidRPr="003C51EE" w:rsidRDefault="00012B7D" w:rsidP="001620D6">
            <w:pPr>
              <w:autoSpaceDE w:val="0"/>
              <w:autoSpaceDN w:val="0"/>
              <w:adjustRightInd w:val="0"/>
              <w:spacing w:before="120"/>
              <w:jc w:val="both"/>
            </w:pPr>
            <w:r w:rsidRPr="003C51EE">
              <w:t>“</w:t>
            </w:r>
            <w:r w:rsidR="001620D6" w:rsidRPr="003C51EE">
              <w:t>16.4. dokumentu, kas apliecina, ka komersants ir izstrādājis noziedzīgi iegūtu līdzekļu legalizācijas un terorisma finansēšanas novēršanas iekšējās kontroles sistēmu.</w:t>
            </w:r>
            <w:r w:rsidRPr="003C51EE">
              <w:t>”;</w:t>
            </w:r>
          </w:p>
          <w:p w:rsidR="001620D6" w:rsidRPr="003C51EE" w:rsidRDefault="006834C1" w:rsidP="001620D6">
            <w:pPr>
              <w:tabs>
                <w:tab w:val="left" w:pos="6521"/>
                <w:tab w:val="right" w:pos="8820"/>
              </w:tabs>
              <w:jc w:val="both"/>
            </w:pPr>
            <w:r w:rsidRPr="003C51EE">
              <w:t>“</w:t>
            </w:r>
            <w:r w:rsidR="001620D6" w:rsidRPr="003C51EE">
              <w:t>63.</w:t>
            </w:r>
            <w:r w:rsidR="00012B7D" w:rsidRPr="003C51EE">
              <w:t xml:space="preserve"> </w:t>
            </w:r>
            <w:r w:rsidR="001620D6" w:rsidRPr="003C51EE">
              <w:t>Komersanti, kas saņēmuši speciālo atļauju (licenci)</w:t>
            </w:r>
            <w:r w:rsidR="00996AD5" w:rsidRPr="003C51EE">
              <w:t>,</w:t>
            </w:r>
            <w:r w:rsidR="001620D6" w:rsidRPr="003C51EE">
              <w:t xml:space="preserve"> izveido iekšējās kontroles sistēmu atbilstoši Noziedzīgi iegūtu līdzekļu legalizācijas un terorisma finansēšanas novēršanas likuma prasībām un līdz </w:t>
            </w:r>
            <w:r w:rsidR="00770882" w:rsidRPr="003C51EE">
              <w:t>2020</w:t>
            </w:r>
            <w:r w:rsidR="001620D6" w:rsidRPr="003C51EE">
              <w:t xml:space="preserve">.gada </w:t>
            </w:r>
            <w:r w:rsidR="00770882" w:rsidRPr="003C51EE">
              <w:t>3</w:t>
            </w:r>
            <w:r w:rsidR="001620D6" w:rsidRPr="003C51EE">
              <w:t>1.</w:t>
            </w:r>
            <w:r w:rsidR="00770882" w:rsidRPr="003C51EE">
              <w:t>decembrim</w:t>
            </w:r>
            <w:r w:rsidR="001620D6" w:rsidRPr="003C51EE">
              <w:t xml:space="preserve"> iesniedz Valsts policijā dokumentu, kas to apliecina.</w:t>
            </w:r>
            <w:r w:rsidRPr="003C51EE">
              <w:t>”.</w:t>
            </w:r>
          </w:p>
          <w:p w:rsidR="001620D6" w:rsidRPr="003C51EE" w:rsidRDefault="001620D6" w:rsidP="001620D6">
            <w:pPr>
              <w:rPr>
                <w:sz w:val="26"/>
                <w:szCs w:val="26"/>
              </w:rPr>
            </w:pPr>
          </w:p>
        </w:tc>
      </w:tr>
      <w:tr w:rsidR="003C51EE" w:rsidRPr="003C51EE" w:rsidTr="00113C06">
        <w:tc>
          <w:tcPr>
            <w:tcW w:w="784" w:type="dxa"/>
            <w:tcBorders>
              <w:left w:val="single" w:sz="6" w:space="0" w:color="000000"/>
              <w:bottom w:val="single" w:sz="4" w:space="0" w:color="auto"/>
              <w:right w:val="single" w:sz="6" w:space="0" w:color="000000"/>
            </w:tcBorders>
          </w:tcPr>
          <w:p w:rsidR="00235E5E" w:rsidRPr="003C51EE" w:rsidRDefault="00235E5E" w:rsidP="001620D6">
            <w:pPr>
              <w:pStyle w:val="naisc"/>
              <w:spacing w:before="0" w:after="0"/>
              <w:ind w:firstLine="27"/>
              <w:jc w:val="left"/>
              <w:rPr>
                <w:highlight w:val="lightGray"/>
              </w:rPr>
            </w:pPr>
            <w:r w:rsidRPr="003C51EE">
              <w:t>3.</w:t>
            </w:r>
          </w:p>
        </w:tc>
        <w:tc>
          <w:tcPr>
            <w:tcW w:w="2977" w:type="dxa"/>
            <w:gridSpan w:val="2"/>
            <w:tcBorders>
              <w:left w:val="single" w:sz="6" w:space="0" w:color="000000"/>
              <w:bottom w:val="single" w:sz="4" w:space="0" w:color="auto"/>
              <w:right w:val="single" w:sz="6" w:space="0" w:color="000000"/>
            </w:tcBorders>
          </w:tcPr>
          <w:p w:rsidR="00235E5E" w:rsidRPr="003C51EE" w:rsidRDefault="00235E5E" w:rsidP="00235E5E">
            <w:pPr>
              <w:pStyle w:val="naisc"/>
              <w:spacing w:before="0"/>
              <w:jc w:val="both"/>
            </w:pPr>
            <w:r w:rsidRPr="003C51EE">
              <w:t>“23.</w:t>
            </w:r>
            <w:r w:rsidRPr="003C51EE">
              <w:rPr>
                <w:vertAlign w:val="superscript"/>
              </w:rPr>
              <w:t xml:space="preserve">1 </w:t>
            </w:r>
            <w:r w:rsidRPr="003C51EE">
              <w:t xml:space="preserve">Saņemot šo noteikumu </w:t>
            </w:r>
            <w:hyperlink r:id="rId10" w:anchor="p15" w:tgtFrame="_blank" w:history="1">
              <w:r w:rsidRPr="003C51EE">
                <w:rPr>
                  <w:rStyle w:val="Hyperlink"/>
                  <w:color w:val="auto"/>
                  <w:u w:val="none"/>
                </w:rPr>
                <w:t>15.punktā</w:t>
              </w:r>
            </w:hyperlink>
            <w:r w:rsidRPr="003C51EE">
              <w:t> minēto iesniegumu, licencēšanas komisija ne vēlāk kā triju darbdienu laikā pēc tā saņemšanas pieprasa Valsts ieņēmuma dienestam atzinumu par iespējamo individuālā komersanta, komercsabiedrības pārvaldes (pārstāvības) amatpersonas vai dalībnieka saistību ar noziedzīgi iegūtu līdzekļu legalizāciju vai terorisma finansēšanu.”</w:t>
            </w:r>
            <w:r w:rsidR="00C36F71" w:rsidRPr="003C51EE">
              <w:t>;</w:t>
            </w:r>
          </w:p>
          <w:p w:rsidR="00235E5E" w:rsidRPr="003C51EE" w:rsidRDefault="00831058" w:rsidP="00831058">
            <w:pPr>
              <w:autoSpaceDE w:val="0"/>
              <w:autoSpaceDN w:val="0"/>
              <w:adjustRightInd w:val="0"/>
              <w:jc w:val="both"/>
            </w:pPr>
            <w:r w:rsidRPr="003C51EE">
              <w:t>“23.</w:t>
            </w:r>
            <w:r w:rsidRPr="003C51EE">
              <w:rPr>
                <w:vertAlign w:val="superscript"/>
              </w:rPr>
              <w:t>2</w:t>
            </w:r>
            <w:r w:rsidRPr="003C51EE">
              <w:t xml:space="preserve"> Šo noteikumu 23.</w:t>
            </w:r>
            <w:r w:rsidRPr="003C51EE">
              <w:rPr>
                <w:vertAlign w:val="superscript"/>
              </w:rPr>
              <w:t>1</w:t>
            </w:r>
            <w:r w:rsidRPr="003C51EE">
              <w:t>punktā minēto atzinumu Valsts ieņēmuma dienests sniedz 15 dienu laikā pēc licencēšanas komisijas pieprasījuma saņemšanas.”.</w:t>
            </w:r>
          </w:p>
        </w:tc>
        <w:tc>
          <w:tcPr>
            <w:tcW w:w="4536" w:type="dxa"/>
            <w:tcBorders>
              <w:left w:val="single" w:sz="6" w:space="0" w:color="000000"/>
              <w:bottom w:val="single" w:sz="4" w:space="0" w:color="auto"/>
              <w:right w:val="single" w:sz="6" w:space="0" w:color="000000"/>
            </w:tcBorders>
          </w:tcPr>
          <w:p w:rsidR="00235E5E" w:rsidRPr="003C51EE" w:rsidRDefault="00235E5E" w:rsidP="00235E5E">
            <w:pPr>
              <w:pStyle w:val="naisc"/>
              <w:spacing w:before="0" w:after="0"/>
              <w:ind w:firstLine="27"/>
              <w:rPr>
                <w:b/>
              </w:rPr>
            </w:pPr>
            <w:r w:rsidRPr="003C51EE">
              <w:rPr>
                <w:b/>
              </w:rPr>
              <w:t>Valsts kanceleja</w:t>
            </w:r>
          </w:p>
          <w:p w:rsidR="00235E5E" w:rsidRPr="003C51EE" w:rsidRDefault="00235E5E" w:rsidP="00235E5E">
            <w:pPr>
              <w:pStyle w:val="naisc"/>
              <w:spacing w:before="0" w:after="0"/>
              <w:ind w:firstLine="27"/>
              <w:rPr>
                <w:b/>
              </w:rPr>
            </w:pPr>
            <w:r w:rsidRPr="003C51EE">
              <w:rPr>
                <w:b/>
              </w:rPr>
              <w:t>(03.07.2017., Nr. 3.1.2/53)</w:t>
            </w:r>
          </w:p>
          <w:p w:rsidR="00235E5E" w:rsidRPr="003C51EE" w:rsidRDefault="00235E5E" w:rsidP="00E110A5">
            <w:pPr>
              <w:pStyle w:val="naisc"/>
              <w:spacing w:before="0" w:after="0"/>
              <w:jc w:val="both"/>
              <w:rPr>
                <w:b/>
                <w:highlight w:val="magenta"/>
              </w:rPr>
            </w:pPr>
            <w:r w:rsidRPr="003C51EE">
              <w:rPr>
                <w:lang w:eastAsia="en-US"/>
              </w:rPr>
              <w:t>Vēršam uzmanību, ka noteikumu projekts paredz administratīvās izmaksas licencēšanas komisijai un Valsts ieņēmumu dienestam, jo noteikumu projekta 23.</w:t>
            </w:r>
            <w:r w:rsidRPr="003C51EE">
              <w:rPr>
                <w:vertAlign w:val="superscript"/>
                <w:lang w:eastAsia="en-US"/>
              </w:rPr>
              <w:t xml:space="preserve">1 </w:t>
            </w:r>
            <w:r w:rsidRPr="003C51EE">
              <w:rPr>
                <w:lang w:eastAsia="en-US"/>
              </w:rPr>
              <w:t>un 23.</w:t>
            </w:r>
            <w:r w:rsidRPr="003C51EE">
              <w:rPr>
                <w:vertAlign w:val="superscript"/>
                <w:lang w:eastAsia="en-US"/>
              </w:rPr>
              <w:t xml:space="preserve">2 </w:t>
            </w:r>
            <w:r w:rsidRPr="003C51EE">
              <w:rPr>
                <w:lang w:eastAsia="en-US"/>
              </w:rPr>
              <w:t>punkti paredz informācijas sniegšanas pienākumus. Ievērojot minēto, lūdzam izstrādāt un atbilstoši Ministru kabineta 2009.gada 15.decembra instrukcijas Nr.19 ”Tiesību akta projekta sākotnējās ietekmes izvērtēšanas kārtība” 22. un 24.punktam aizpildīt noteikumu projekta anotācijas II sadaļas 2. un 3.punktu.</w:t>
            </w:r>
          </w:p>
        </w:tc>
        <w:tc>
          <w:tcPr>
            <w:tcW w:w="3686" w:type="dxa"/>
            <w:gridSpan w:val="2"/>
            <w:tcBorders>
              <w:left w:val="single" w:sz="6" w:space="0" w:color="000000"/>
              <w:bottom w:val="single" w:sz="4" w:space="0" w:color="auto"/>
              <w:right w:val="single" w:sz="6" w:space="0" w:color="000000"/>
            </w:tcBorders>
          </w:tcPr>
          <w:p w:rsidR="002A1053" w:rsidRPr="003C51EE" w:rsidRDefault="002A1053" w:rsidP="002A1053">
            <w:pPr>
              <w:pStyle w:val="naisc"/>
              <w:spacing w:before="0" w:after="0"/>
              <w:ind w:firstLine="27"/>
              <w:rPr>
                <w:b/>
              </w:rPr>
            </w:pPr>
            <w:r w:rsidRPr="003C51EE">
              <w:rPr>
                <w:b/>
              </w:rPr>
              <w:t>Iebildums ir ņemts vērā.</w:t>
            </w:r>
          </w:p>
          <w:p w:rsidR="00483E3E" w:rsidRPr="003C51EE" w:rsidRDefault="00483E3E" w:rsidP="00483E3E">
            <w:pPr>
              <w:pStyle w:val="naisc"/>
              <w:spacing w:before="0" w:after="0"/>
              <w:jc w:val="both"/>
            </w:pPr>
            <w:r w:rsidRPr="003C51EE">
              <w:t xml:space="preserve">Projekta </w:t>
            </w:r>
            <w:r w:rsidRPr="003C51EE">
              <w:rPr>
                <w:lang w:eastAsia="en-US"/>
              </w:rPr>
              <w:t>23.</w:t>
            </w:r>
            <w:r w:rsidRPr="003C51EE">
              <w:rPr>
                <w:vertAlign w:val="superscript"/>
                <w:lang w:eastAsia="en-US"/>
              </w:rPr>
              <w:t xml:space="preserve">1 </w:t>
            </w:r>
            <w:r w:rsidRPr="003C51EE">
              <w:t>un 23.</w:t>
            </w:r>
            <w:r w:rsidRPr="003C51EE">
              <w:rPr>
                <w:vertAlign w:val="superscript"/>
              </w:rPr>
              <w:t>2</w:t>
            </w:r>
            <w:r w:rsidRPr="003C51EE">
              <w:t xml:space="preserve"> punkts dzēsts. Projekts papildināts ar 9.6. apakšpunktu, 16.4.apakšpunktu un 63.punktu. </w:t>
            </w:r>
          </w:p>
          <w:p w:rsidR="00235E5E" w:rsidRPr="003C51EE" w:rsidRDefault="00483E3E" w:rsidP="002A1053">
            <w:pPr>
              <w:pStyle w:val="naisc"/>
              <w:spacing w:before="0" w:after="0"/>
              <w:jc w:val="both"/>
              <w:rPr>
                <w:highlight w:val="lightGray"/>
              </w:rPr>
            </w:pPr>
            <w:r w:rsidRPr="003C51EE">
              <w:t>Precizēta projekta anotācijā ietvertā informācija.</w:t>
            </w:r>
          </w:p>
        </w:tc>
        <w:tc>
          <w:tcPr>
            <w:tcW w:w="3260" w:type="dxa"/>
            <w:tcBorders>
              <w:top w:val="single" w:sz="4" w:space="0" w:color="auto"/>
              <w:left w:val="single" w:sz="4" w:space="0" w:color="auto"/>
              <w:bottom w:val="single" w:sz="4" w:space="0" w:color="auto"/>
            </w:tcBorders>
          </w:tcPr>
          <w:p w:rsidR="00C0350F" w:rsidRPr="003C51EE" w:rsidRDefault="00C0350F" w:rsidP="00C0350F">
            <w:pPr>
              <w:autoSpaceDE w:val="0"/>
              <w:autoSpaceDN w:val="0"/>
              <w:adjustRightInd w:val="0"/>
              <w:jc w:val="both"/>
            </w:pPr>
            <w:r w:rsidRPr="003C51EE">
              <w:t>“9.6. izstrādā noziedzīgi iegūtu līdzekļu legalizācijas un terorisma finansēšanas novēršanas iekšējās kontroles sistēmu atbilstoši Noziedzīgi iegūtu līdzekļu legalizācijas un terorisma finansēšanas novēršanas likuma prasībām.”;</w:t>
            </w:r>
          </w:p>
          <w:p w:rsidR="00C0350F" w:rsidRPr="003C51EE" w:rsidRDefault="00C0350F" w:rsidP="00C0350F">
            <w:pPr>
              <w:autoSpaceDE w:val="0"/>
              <w:autoSpaceDN w:val="0"/>
              <w:adjustRightInd w:val="0"/>
              <w:jc w:val="both"/>
            </w:pPr>
          </w:p>
          <w:p w:rsidR="00C0350F" w:rsidRPr="003C51EE" w:rsidRDefault="00C0350F" w:rsidP="00C0350F">
            <w:pPr>
              <w:autoSpaceDE w:val="0"/>
              <w:autoSpaceDN w:val="0"/>
              <w:adjustRightInd w:val="0"/>
              <w:jc w:val="both"/>
            </w:pPr>
            <w:r w:rsidRPr="003C51EE">
              <w:t>“16.4. dokumentu, kas apliecina, ka komersants ir izstrādājis noziedzīgi iegūtu līdzekļu legalizācijas un terorisma finansēšanas novēršanas iekšējās kontroles sistēmu.”;</w:t>
            </w:r>
          </w:p>
          <w:p w:rsidR="00C0350F" w:rsidRPr="003C51EE" w:rsidRDefault="00C0350F" w:rsidP="00C0350F">
            <w:pPr>
              <w:autoSpaceDE w:val="0"/>
              <w:autoSpaceDN w:val="0"/>
              <w:adjustRightInd w:val="0"/>
              <w:jc w:val="both"/>
            </w:pPr>
          </w:p>
          <w:p w:rsidR="00235E5E" w:rsidRPr="003C51EE" w:rsidRDefault="00C0350F" w:rsidP="00996AD5">
            <w:pPr>
              <w:autoSpaceDE w:val="0"/>
              <w:autoSpaceDN w:val="0"/>
              <w:adjustRightInd w:val="0"/>
              <w:jc w:val="both"/>
              <w:rPr>
                <w:highlight w:val="lightGray"/>
              </w:rPr>
            </w:pPr>
            <w:r w:rsidRPr="003C51EE">
              <w:t>“63. Komersanti, kas saņēmuši speciālo atļauju (licenci)</w:t>
            </w:r>
            <w:r w:rsidR="00996AD5" w:rsidRPr="003C51EE">
              <w:t>,</w:t>
            </w:r>
            <w:r w:rsidRPr="003C51EE">
              <w:t xml:space="preserve"> izveido iekšējās kontroles sistēmu atbilstoši Noziedzīgi iegūtu līdzekļu legalizācijas un terorisma finansēšanas novēršanas likuma prasībām un līdz 2020.gada 31.decembrim iesniedz Valsts policijā dokumentu, kas to apliecina.”.</w:t>
            </w:r>
          </w:p>
        </w:tc>
      </w:tr>
      <w:tr w:rsidR="00AE18BB" w:rsidRPr="003C51EE" w:rsidTr="00DA5350">
        <w:tc>
          <w:tcPr>
            <w:tcW w:w="784" w:type="dxa"/>
            <w:tcBorders>
              <w:left w:val="single" w:sz="6" w:space="0" w:color="000000"/>
              <w:bottom w:val="single" w:sz="4" w:space="0" w:color="auto"/>
              <w:right w:val="single" w:sz="6" w:space="0" w:color="000000"/>
            </w:tcBorders>
          </w:tcPr>
          <w:p w:rsidR="00AE18BB" w:rsidRPr="003C51EE" w:rsidRDefault="00AE18BB" w:rsidP="00DA5350">
            <w:pPr>
              <w:pStyle w:val="naisc"/>
              <w:spacing w:before="0" w:after="0"/>
              <w:ind w:firstLine="27"/>
              <w:jc w:val="left"/>
            </w:pPr>
            <w:r>
              <w:t>4</w:t>
            </w:r>
            <w:r w:rsidRPr="003C51EE">
              <w:t>.</w:t>
            </w:r>
          </w:p>
        </w:tc>
        <w:tc>
          <w:tcPr>
            <w:tcW w:w="2977" w:type="dxa"/>
            <w:gridSpan w:val="2"/>
            <w:tcBorders>
              <w:left w:val="single" w:sz="6" w:space="0" w:color="000000"/>
              <w:bottom w:val="single" w:sz="4" w:space="0" w:color="auto"/>
              <w:right w:val="single" w:sz="6" w:space="0" w:color="000000"/>
            </w:tcBorders>
          </w:tcPr>
          <w:p w:rsidR="00AE18BB" w:rsidRPr="003C51EE" w:rsidRDefault="00AE18BB" w:rsidP="00DA5350">
            <w:pPr>
              <w:pStyle w:val="naisc"/>
              <w:spacing w:before="0" w:after="0"/>
              <w:jc w:val="both"/>
            </w:pPr>
            <w:r w:rsidRPr="003C51EE">
              <w:t>“23.</w:t>
            </w:r>
            <w:r w:rsidRPr="003C51EE">
              <w:rPr>
                <w:vertAlign w:val="superscript"/>
              </w:rPr>
              <w:t xml:space="preserve">1 </w:t>
            </w:r>
            <w:r w:rsidRPr="003C51EE">
              <w:t xml:space="preserve">Saņemot šo noteikumu </w:t>
            </w:r>
            <w:hyperlink r:id="rId11" w:anchor="p15" w:tgtFrame="_blank" w:history="1">
              <w:r w:rsidRPr="003C51EE">
                <w:rPr>
                  <w:rStyle w:val="Hyperlink"/>
                  <w:color w:val="auto"/>
                  <w:u w:val="none"/>
                </w:rPr>
                <w:t>15.punktā</w:t>
              </w:r>
            </w:hyperlink>
            <w:r w:rsidRPr="003C51EE">
              <w:t> minēto iesniegumu, licencēšanas komisija ne vēlāk kā triju darbdienu laikā pēc tā saņemšanas pieprasa Valsts ieņēmuma dienestam atzinumu par iespējamo individuālā komersanta, komercsabiedrības pārvaldes (pārstāvības) amatpersonas vai dalībnieka saistību ar noziedzīgi iegūtu līdzekļu legalizāciju vai terorisma finansēšanu.”;</w:t>
            </w:r>
          </w:p>
          <w:p w:rsidR="00AE18BB" w:rsidRPr="003C51EE" w:rsidRDefault="00AE18BB" w:rsidP="00DA5350">
            <w:pPr>
              <w:pStyle w:val="naisc"/>
              <w:spacing w:before="0" w:after="0"/>
              <w:jc w:val="both"/>
            </w:pPr>
          </w:p>
          <w:p w:rsidR="00AE18BB" w:rsidRPr="003C51EE" w:rsidRDefault="00AE18BB" w:rsidP="00DA5350">
            <w:pPr>
              <w:autoSpaceDE w:val="0"/>
              <w:autoSpaceDN w:val="0"/>
              <w:adjustRightInd w:val="0"/>
              <w:jc w:val="both"/>
            </w:pPr>
            <w:r w:rsidRPr="003C51EE">
              <w:t>“23.</w:t>
            </w:r>
            <w:r w:rsidRPr="003C51EE">
              <w:rPr>
                <w:vertAlign w:val="superscript"/>
              </w:rPr>
              <w:t>2</w:t>
            </w:r>
            <w:r w:rsidRPr="003C51EE">
              <w:t xml:space="preserve"> Šo noteikumu 23.</w:t>
            </w:r>
            <w:r w:rsidRPr="003C51EE">
              <w:rPr>
                <w:vertAlign w:val="superscript"/>
              </w:rPr>
              <w:t>1</w:t>
            </w:r>
            <w:r w:rsidRPr="003C51EE">
              <w:t>punktā minēto atzinumu Valsts ieņēmuma dienests sniedz 15 dienu laikā pēc licencēšanas komisijas pieprasījuma saņemšanas.”.</w:t>
            </w:r>
          </w:p>
          <w:p w:rsidR="00AE18BB" w:rsidRPr="003C51EE" w:rsidRDefault="00AE18BB" w:rsidP="00DA5350">
            <w:pPr>
              <w:pStyle w:val="naisc"/>
              <w:spacing w:before="0" w:after="0"/>
              <w:ind w:firstLine="28"/>
              <w:jc w:val="both"/>
            </w:pPr>
          </w:p>
        </w:tc>
        <w:tc>
          <w:tcPr>
            <w:tcW w:w="4536" w:type="dxa"/>
            <w:tcBorders>
              <w:left w:val="single" w:sz="6" w:space="0" w:color="000000"/>
              <w:bottom w:val="single" w:sz="4" w:space="0" w:color="auto"/>
              <w:right w:val="single" w:sz="6" w:space="0" w:color="000000"/>
            </w:tcBorders>
          </w:tcPr>
          <w:p w:rsidR="00AE18BB" w:rsidRDefault="00AE18BB" w:rsidP="00DA5350">
            <w:pPr>
              <w:pStyle w:val="naisc"/>
              <w:spacing w:before="0" w:after="0"/>
              <w:ind w:firstLine="27"/>
              <w:rPr>
                <w:b/>
              </w:rPr>
            </w:pPr>
            <w:r w:rsidRPr="003C51EE">
              <w:rPr>
                <w:b/>
              </w:rPr>
              <w:t>Tieslietu ministrija</w:t>
            </w:r>
          </w:p>
          <w:p w:rsidR="00AE18BB" w:rsidRPr="003C51EE" w:rsidRDefault="00AE18BB" w:rsidP="00DA5350">
            <w:pPr>
              <w:pStyle w:val="naisc"/>
              <w:spacing w:before="0" w:after="0"/>
              <w:ind w:firstLine="27"/>
              <w:rPr>
                <w:b/>
              </w:rPr>
            </w:pPr>
            <w:r>
              <w:rPr>
                <w:b/>
              </w:rPr>
              <w:t>(19.17.2017.</w:t>
            </w:r>
            <w:r>
              <w:rPr>
                <w:b/>
              </w:rPr>
              <w:t xml:space="preserve"> elektroniskā pasta vēstule bez Nr.</w:t>
            </w:r>
            <w:r>
              <w:rPr>
                <w:b/>
              </w:rPr>
              <w:t>)</w:t>
            </w:r>
          </w:p>
          <w:p w:rsidR="00AE18BB" w:rsidRPr="003C51EE" w:rsidRDefault="00AE18BB" w:rsidP="00DA5350">
            <w:pPr>
              <w:pStyle w:val="naisc"/>
              <w:spacing w:before="0" w:after="0"/>
              <w:ind w:firstLine="433"/>
              <w:jc w:val="both"/>
              <w:rPr>
                <w:b/>
              </w:rPr>
            </w:pPr>
            <w:r w:rsidRPr="003C51EE">
              <w:t>Lēmums par licences izsniegšanu vai neizsniegšanu ir administratīvais akts, ko var apstrīdēt un pārsūdzēt Administratīvā procesa likumā noteiktajā kārtībā. Iekļaujot piedāvāto regulējumu noteikumos, tas būs pretrunā ar Administratīvā procesa likuma 11. pantā noteikto. Šobrīd ar likumu nav noteikts komercdarbības ierobežojums – individuālā komersanta, komercsabiedrības pārvaldes (pārstāvības) amatpersonas vai dalībnieka neatbilstība Noziedzīgi iegūtu līdzekļu legalizācijas un terorisma finansēšanas novēršanas likuma prasībām. Apsardzes darbības likuma 7.panta trešā daļa precīzi nosaka ierobežojumus licences izsniegšanai, bet administratīvā procesa principi nepieļauj paplašināti interpretēt privātpersonai nelabvēlīga regulējuma piemērošanu. Atbilstoši esošajam likuma regulējumam ierobežojumu kontrolei nepieciešamās ziņas par uzsāktiem kriminālprocesiem vai sodāmībām, tai skaitā par noziedzīgi iegūtu līdzekļu legalizāciju Valsts policija var iegūt tieši no Sodu reģistra. Projekta anotācijā šobrīd skaidrots, ka Valsts ieņēmumu dienesta atzinumā tiks norādīta informācija par Noziedzīgi iegūtu līdzekļu legalizācijas un terorisma finansēšanas novēršanas likuma II nodaļā “Iekšējā kontrole” iekļauto prasību izpildi. Tādējādi nav saprotams, kā tiks īstenota potenciālā apsardzes komersanta un Valsts ieņēmumu dienesta sadarbība pirms inkasācijas apsardzes licences saņemšanas, ja, piemēram, Noziedzīgi iegūtu līdzekļu legalizācijas un terorisma finansēšanas novēršanas likuma 10.panta pirmā daļa paredz, ka šā likuma subjekts 30 dienu laikā pēc likuma subjekta statusa iegūšanas vai izmaiņām par šā likuma prasību ievērošanu atbildīgo darbinieku sastāvā paziņo par to attiecīgajai uzraudzības un kontroles institūcijai. Ievērojot minēto, nav saprotams, balstoties uz kādu likumā paredzētu ierobežojumu Valsts policija varēs pieņemt lēmumu par inkasācijas apsardzes licences neizsniegšanu, ja būs saņemts negatīvs Valsts ieņēmumu dienesta atzinums, proti, potenciālais inkasācijas pakalpojumu sniedzējs nav izveidojis iekšējās kontroles sistēmu. Tādejādi pirms projektā paredzēto grozījumu veikšanas nepieciešams izdarīt grozījumus Apsardzes darbības likuma 7.panta trešajā daļā, nosakot precīzi definētu ierobežojumu apsardzes komersantam inkasācijas apsardzes licences iegūšanai, kas būtu saskaņoti ar Noziedzīgi iegūtu līdzekļu legalizācijas un terorisma finansēšanas novēršanas likumā noteikto regulējumu par šī likuma prasību neievērošanu.</w:t>
            </w:r>
          </w:p>
        </w:tc>
        <w:tc>
          <w:tcPr>
            <w:tcW w:w="3686" w:type="dxa"/>
            <w:gridSpan w:val="2"/>
            <w:tcBorders>
              <w:left w:val="single" w:sz="6" w:space="0" w:color="000000"/>
              <w:bottom w:val="single" w:sz="4" w:space="0" w:color="auto"/>
              <w:right w:val="single" w:sz="6" w:space="0" w:color="000000"/>
            </w:tcBorders>
          </w:tcPr>
          <w:p w:rsidR="00AE18BB" w:rsidRPr="003C51EE" w:rsidRDefault="00AE18BB" w:rsidP="00DA5350">
            <w:pPr>
              <w:pStyle w:val="naisc"/>
              <w:spacing w:before="0" w:after="0"/>
              <w:ind w:firstLine="27"/>
              <w:rPr>
                <w:b/>
              </w:rPr>
            </w:pPr>
            <w:r w:rsidRPr="003C51EE">
              <w:rPr>
                <w:b/>
              </w:rPr>
              <w:t>Iebildums ir ņemts vērā.</w:t>
            </w:r>
          </w:p>
          <w:p w:rsidR="00AE18BB" w:rsidRPr="003C51EE" w:rsidRDefault="00AE18BB" w:rsidP="00DA5350">
            <w:pPr>
              <w:pStyle w:val="naisc"/>
              <w:spacing w:before="0" w:after="0"/>
              <w:jc w:val="both"/>
            </w:pPr>
            <w:r w:rsidRPr="003C51EE">
              <w:t xml:space="preserve">Projekta </w:t>
            </w:r>
            <w:r w:rsidRPr="003C51EE">
              <w:rPr>
                <w:lang w:eastAsia="en-US"/>
              </w:rPr>
              <w:t>23.</w:t>
            </w:r>
            <w:r w:rsidRPr="003C51EE">
              <w:rPr>
                <w:vertAlign w:val="superscript"/>
                <w:lang w:eastAsia="en-US"/>
              </w:rPr>
              <w:t xml:space="preserve">1 </w:t>
            </w:r>
            <w:r w:rsidRPr="003C51EE">
              <w:t>un 23.</w:t>
            </w:r>
            <w:r w:rsidRPr="003C51EE">
              <w:rPr>
                <w:vertAlign w:val="superscript"/>
              </w:rPr>
              <w:t>2</w:t>
            </w:r>
            <w:r w:rsidRPr="003C51EE">
              <w:t xml:space="preserve"> punkts dzēsts. Projekts papildināts ar 9.6.apakšpunktu, 16.4.apakšpunktu un 63.punktu. </w:t>
            </w:r>
          </w:p>
          <w:p w:rsidR="00AE18BB" w:rsidRPr="003C51EE" w:rsidRDefault="00AE18BB" w:rsidP="00DA5350">
            <w:pPr>
              <w:pStyle w:val="naisc"/>
              <w:spacing w:before="0" w:after="0"/>
              <w:jc w:val="both"/>
              <w:rPr>
                <w:sz w:val="26"/>
                <w:szCs w:val="26"/>
              </w:rPr>
            </w:pPr>
            <w:r w:rsidRPr="003C51EE">
              <w:t>Precizēta projekta anotācijā ietvertā informācija.</w:t>
            </w:r>
          </w:p>
        </w:tc>
        <w:tc>
          <w:tcPr>
            <w:tcW w:w="3260" w:type="dxa"/>
            <w:tcBorders>
              <w:top w:val="single" w:sz="4" w:space="0" w:color="auto"/>
              <w:left w:val="single" w:sz="4" w:space="0" w:color="auto"/>
              <w:bottom w:val="single" w:sz="4" w:space="0" w:color="auto"/>
            </w:tcBorders>
          </w:tcPr>
          <w:p w:rsidR="00AE18BB" w:rsidRPr="003C51EE" w:rsidRDefault="00AE18BB" w:rsidP="00DA5350">
            <w:pPr>
              <w:autoSpaceDE w:val="0"/>
              <w:autoSpaceDN w:val="0"/>
              <w:adjustRightInd w:val="0"/>
              <w:jc w:val="both"/>
            </w:pPr>
            <w:r w:rsidRPr="003C51EE">
              <w:t>“9.6. izstrādā noziedzīgi iegūtu līdzekļu legalizācijas un terorisma finansēšanas novēršanas iekšējās kontroles sistēmu atbilstoši Noziedzīgi iegūtu līdzekļu legalizācijas un terorisma finansēšanas novēršanas likuma prasībām.”;</w:t>
            </w:r>
          </w:p>
          <w:p w:rsidR="00AE18BB" w:rsidRPr="003C51EE" w:rsidRDefault="00AE18BB" w:rsidP="00DA5350">
            <w:pPr>
              <w:autoSpaceDE w:val="0"/>
              <w:autoSpaceDN w:val="0"/>
              <w:adjustRightInd w:val="0"/>
              <w:jc w:val="both"/>
            </w:pPr>
          </w:p>
          <w:p w:rsidR="00AE18BB" w:rsidRPr="003C51EE" w:rsidRDefault="00AE18BB" w:rsidP="00DA5350">
            <w:pPr>
              <w:autoSpaceDE w:val="0"/>
              <w:autoSpaceDN w:val="0"/>
              <w:adjustRightInd w:val="0"/>
              <w:jc w:val="both"/>
            </w:pPr>
            <w:r w:rsidRPr="003C51EE">
              <w:t>“16.4. dokumentu, kas apliecina, ka komersants ir izstrādājis noziedzīgi iegūtu līdzekļu legalizācijas un terorisma finansēšanas novēršanas iekšējās kontroles sistēmu.”;</w:t>
            </w:r>
          </w:p>
          <w:p w:rsidR="00AE18BB" w:rsidRPr="003C51EE" w:rsidRDefault="00AE18BB" w:rsidP="00DA5350">
            <w:pPr>
              <w:autoSpaceDE w:val="0"/>
              <w:autoSpaceDN w:val="0"/>
              <w:adjustRightInd w:val="0"/>
              <w:jc w:val="both"/>
            </w:pPr>
          </w:p>
          <w:p w:rsidR="00AE18BB" w:rsidRPr="003C51EE" w:rsidRDefault="00AE18BB" w:rsidP="00DA5350">
            <w:pPr>
              <w:tabs>
                <w:tab w:val="left" w:pos="6521"/>
                <w:tab w:val="right" w:pos="8820"/>
              </w:tabs>
              <w:jc w:val="both"/>
            </w:pPr>
            <w:r w:rsidRPr="003C51EE">
              <w:t>“63. Komersanti, kas saņēmuši speciālo atļauju (licenci), izveido iekšējās kontroles sistēmu atbilstoši Noziedzīgi iegūtu līdzekļu legalizācijas un terorisma finansēšanas novēršanas likuma prasībām un līdz 2020.gada 31.decembrim iesniedz Valsts policijā dokumentu, kas to apliecina.”.</w:t>
            </w:r>
          </w:p>
          <w:p w:rsidR="00AE18BB" w:rsidRPr="003C51EE" w:rsidRDefault="00AE18BB" w:rsidP="00DA5350">
            <w:pPr>
              <w:tabs>
                <w:tab w:val="left" w:pos="6521"/>
                <w:tab w:val="right" w:pos="8820"/>
              </w:tabs>
              <w:jc w:val="both"/>
              <w:rPr>
                <w:sz w:val="26"/>
                <w:szCs w:val="26"/>
              </w:rPr>
            </w:pPr>
          </w:p>
        </w:tc>
      </w:tr>
      <w:tr w:rsidR="003C51EE" w:rsidRPr="003C51EE" w:rsidTr="00113C06">
        <w:tc>
          <w:tcPr>
            <w:tcW w:w="784" w:type="dxa"/>
            <w:tcBorders>
              <w:left w:val="single" w:sz="6" w:space="0" w:color="000000"/>
              <w:bottom w:val="single" w:sz="4" w:space="0" w:color="auto"/>
              <w:right w:val="single" w:sz="6" w:space="0" w:color="000000"/>
            </w:tcBorders>
          </w:tcPr>
          <w:p w:rsidR="004869CB" w:rsidRPr="003C51EE" w:rsidRDefault="00620F08" w:rsidP="001620D6">
            <w:pPr>
              <w:pStyle w:val="naisc"/>
              <w:spacing w:before="0" w:after="0"/>
              <w:ind w:firstLine="27"/>
              <w:jc w:val="left"/>
              <w:rPr>
                <w:highlight w:val="lightGray"/>
              </w:rPr>
            </w:pPr>
            <w:r>
              <w:t>5</w:t>
            </w:r>
            <w:r w:rsidR="00A2721A" w:rsidRPr="003C51EE">
              <w:t>.</w:t>
            </w:r>
          </w:p>
        </w:tc>
        <w:tc>
          <w:tcPr>
            <w:tcW w:w="2977" w:type="dxa"/>
            <w:gridSpan w:val="2"/>
            <w:tcBorders>
              <w:left w:val="single" w:sz="6" w:space="0" w:color="000000"/>
              <w:bottom w:val="single" w:sz="4" w:space="0" w:color="auto"/>
              <w:right w:val="single" w:sz="6" w:space="0" w:color="000000"/>
            </w:tcBorders>
          </w:tcPr>
          <w:p w:rsidR="004869CB" w:rsidRPr="003C51EE" w:rsidRDefault="004869CB" w:rsidP="00D4673D">
            <w:pPr>
              <w:pStyle w:val="naisc"/>
              <w:spacing w:before="0"/>
              <w:ind w:firstLine="27"/>
              <w:jc w:val="both"/>
            </w:pPr>
          </w:p>
        </w:tc>
        <w:tc>
          <w:tcPr>
            <w:tcW w:w="4536" w:type="dxa"/>
            <w:tcBorders>
              <w:left w:val="single" w:sz="6" w:space="0" w:color="000000"/>
              <w:bottom w:val="single" w:sz="4" w:space="0" w:color="auto"/>
              <w:right w:val="single" w:sz="6" w:space="0" w:color="000000"/>
            </w:tcBorders>
          </w:tcPr>
          <w:p w:rsidR="00E07D96" w:rsidRPr="003C51EE" w:rsidRDefault="00E07D96" w:rsidP="00E07D96">
            <w:pPr>
              <w:pStyle w:val="naisc"/>
              <w:spacing w:before="0" w:after="0"/>
              <w:ind w:firstLine="27"/>
              <w:rPr>
                <w:b/>
              </w:rPr>
            </w:pPr>
            <w:r w:rsidRPr="003C51EE">
              <w:rPr>
                <w:b/>
              </w:rPr>
              <w:t>Finanšu ministrija</w:t>
            </w:r>
          </w:p>
          <w:p w:rsidR="00E07D96" w:rsidRPr="003C51EE" w:rsidRDefault="00E07D96" w:rsidP="00E07D96">
            <w:pPr>
              <w:pStyle w:val="naisc"/>
              <w:spacing w:before="0" w:after="0"/>
              <w:ind w:firstLine="27"/>
              <w:rPr>
                <w:b/>
              </w:rPr>
            </w:pPr>
            <w:r w:rsidRPr="003C51EE">
              <w:rPr>
                <w:b/>
              </w:rPr>
              <w:t>(27.07.2018., Nr. 10.1-6/7-1/970)</w:t>
            </w:r>
          </w:p>
          <w:p w:rsidR="00E07D96" w:rsidRPr="003C51EE" w:rsidRDefault="00E07D96" w:rsidP="003262E7">
            <w:pPr>
              <w:ind w:firstLine="433"/>
              <w:jc w:val="both"/>
            </w:pPr>
            <w:r w:rsidRPr="003C51EE">
              <w:rPr>
                <w:rFonts w:ascii="Times New Roman ,serif" w:hAnsi="Times New Roman ,serif"/>
              </w:rPr>
              <w:t>Apsardzes darbības likuma 9.panta pirmās daļas 2. un 4.punkts nosaka, ka speciālo atļauju (licenci) anulē, ja apsardzes komersants pārkāpj vai nepilda minētā likuma vai citu normatīvo aktu prasības un ja to nosaka cits likums vai tiesas nolēmums.</w:t>
            </w:r>
          </w:p>
          <w:p w:rsidR="00E07D96" w:rsidRPr="003C51EE" w:rsidRDefault="00E07D96" w:rsidP="00E07D96">
            <w:pPr>
              <w:jc w:val="both"/>
            </w:pPr>
            <w:r w:rsidRPr="003C51EE">
              <w:rPr>
                <w:rFonts w:ascii="Times New Roman ,serif" w:hAnsi="Times New Roman ,serif"/>
              </w:rPr>
              <w:t xml:space="preserve">Vienlaikus </w:t>
            </w:r>
            <w:r w:rsidRPr="003C51EE">
              <w:t>Ministru kabineta 2014.gada 9.decembra noteikumu Nr.757 “</w:t>
            </w:r>
            <w:r w:rsidRPr="003C51EE">
              <w:rPr>
                <w:rFonts w:ascii="Times New Roman ,serif" w:hAnsi="Times New Roman ,serif"/>
              </w:rPr>
              <w:t>Apsardzes darbības licencēšanas noteikumi” 51.punktā noteikts, ka speciālo atļauju (licenci) apsardzes komersantam anulē Apsardzes darbības likumā noteiktajos gadījumos. Licencēšanas komisija pieņem lēmumu par speciālās atļaujas (licences) anulēšanu un izdara attiecīgu ierakstu licencēšanas komisijas sēdes protokolā.</w:t>
            </w:r>
          </w:p>
          <w:p w:rsidR="00E07D96" w:rsidRPr="003C51EE" w:rsidRDefault="00E07D96" w:rsidP="003262E7">
            <w:pPr>
              <w:ind w:firstLine="433"/>
              <w:jc w:val="both"/>
            </w:pPr>
            <w:r w:rsidRPr="003C51EE">
              <w:t xml:space="preserve">Saskaņā ar </w:t>
            </w:r>
            <w:r w:rsidRPr="003C51EE">
              <w:rPr>
                <w:rFonts w:ascii="Times New Roman ,serif" w:hAnsi="Times New Roman ,serif"/>
              </w:rPr>
              <w:t>Noziedzīgi iegūtu līdzekļu legalizācijas</w:t>
            </w:r>
            <w:r w:rsidRPr="003C51EE">
              <w:t xml:space="preserve"> un terorisma novēršanas likuma (turpmāk – NILLTFN likums) 3.panta pirmās daļas 8.punktu un 45.panta otrās daļas 6.punkta “d” apakšpunktu par Valsts ieņēmumu dienesta (VID) uzraugāmajiem NILLTFN likuma subjektiem tiek uzskatītas personas, kas sniedz inkasācijas pakalpojumus.</w:t>
            </w:r>
          </w:p>
          <w:p w:rsidR="00E07D96" w:rsidRPr="003C51EE" w:rsidRDefault="00E07D96" w:rsidP="003262E7">
            <w:pPr>
              <w:ind w:firstLine="433"/>
              <w:jc w:val="both"/>
            </w:pPr>
            <w:r w:rsidRPr="003C51EE">
              <w:t xml:space="preserve">Turklāt atbilstoši NILLTFN likuma 77.panta pirmajai daļai VID kā </w:t>
            </w:r>
            <w:r w:rsidRPr="003C51EE">
              <w:rPr>
                <w:rFonts w:ascii="Times New Roman ,serif" w:hAnsi="Times New Roman ,serif"/>
              </w:rPr>
              <w:t>uzraudzības un kontroles institūcija piemēro NILLTFN likuma 78.panta pirmajā daļā paredzētas sankcijas, tai skaitā apturēt vai anulēt licenci (sertifikātu), ja tiek konstatēti normatīvo aktu pārkāpumi noziedzīgi iegūtu līdzekļu legalizācijas un terorisma finansēšanas novēršanas jomā.</w:t>
            </w:r>
          </w:p>
          <w:p w:rsidR="00E07D96" w:rsidRPr="003C51EE" w:rsidRDefault="00E07D96" w:rsidP="003262E7">
            <w:pPr>
              <w:ind w:firstLine="433"/>
              <w:jc w:val="both"/>
            </w:pPr>
            <w:r w:rsidRPr="003C51EE">
              <w:rPr>
                <w:rFonts w:ascii="Times New Roman ,serif" w:hAnsi="Times New Roman ,serif"/>
              </w:rPr>
              <w:t>Ņemot vērā minēto, uzskatām, ka noteikumu projekts jāpapildina ar kārtību, kādā izpildāms VID lēmums par NILLTFN likuma 78.panta pirmās daļas 4.punktā paredzētās sankcijas piemērošanu, proti, speciālās atļaujas (licences) inkasācijas apsardzes pakalpojumu sniegšanas anulēšanai, tādējādi lūdzam</w:t>
            </w:r>
            <w:r w:rsidRPr="003C51EE">
              <w:t xml:space="preserve"> </w:t>
            </w:r>
            <w:r w:rsidRPr="003C51EE">
              <w:rPr>
                <w:rFonts w:ascii="Times New Roman ,serif" w:hAnsi="Times New Roman ,serif"/>
              </w:rPr>
              <w:t>papildināt noteikumu projektu ar jaunu punktu šādā redakcijā:</w:t>
            </w:r>
          </w:p>
          <w:p w:rsidR="004869CB" w:rsidRPr="003C51EE" w:rsidRDefault="00E07D96" w:rsidP="003262E7">
            <w:pPr>
              <w:pStyle w:val="naisc"/>
              <w:spacing w:before="0" w:after="0"/>
              <w:ind w:firstLine="433"/>
              <w:jc w:val="both"/>
              <w:rPr>
                <w:b/>
                <w:highlight w:val="magenta"/>
              </w:rPr>
            </w:pPr>
            <w:r w:rsidRPr="003C51EE">
              <w:rPr>
                <w:rFonts w:ascii="Times New Roman ,serif" w:hAnsi="Times New Roman ,serif"/>
              </w:rPr>
              <w:t>“51.</w:t>
            </w:r>
            <w:r w:rsidRPr="003C51EE">
              <w:rPr>
                <w:rFonts w:ascii="Times New Roman ,serif" w:hAnsi="Times New Roman ,serif"/>
                <w:vertAlign w:val="superscript"/>
              </w:rPr>
              <w:t>1 </w:t>
            </w:r>
            <w:r w:rsidRPr="003C51EE">
              <w:rPr>
                <w:rFonts w:ascii="Times New Roman ,serif" w:hAnsi="Times New Roman ,serif"/>
              </w:rPr>
              <w:t>Apsardzes darbības likuma 9.panta 4.punktā noteiktajā gadījumā speciālo atļauju (licenci) apsardzes komersantam, pamatojoties uz valsts pārvaldes iestādes lēmumu par speciālās atļaujas (licences) anulēšanu, licencēšanas komisija anulē, nepieņemot atsevišķu lēmumu.”</w:t>
            </w:r>
            <w:r w:rsidR="00EE4DAD" w:rsidRPr="003C51EE">
              <w:rPr>
                <w:rFonts w:ascii="Times New Roman ,serif" w:hAnsi="Times New Roman ,serif"/>
              </w:rPr>
              <w:t>.</w:t>
            </w:r>
          </w:p>
        </w:tc>
        <w:tc>
          <w:tcPr>
            <w:tcW w:w="3686" w:type="dxa"/>
            <w:gridSpan w:val="2"/>
            <w:tcBorders>
              <w:left w:val="single" w:sz="6" w:space="0" w:color="000000"/>
              <w:bottom w:val="single" w:sz="4" w:space="0" w:color="auto"/>
              <w:right w:val="single" w:sz="6" w:space="0" w:color="000000"/>
            </w:tcBorders>
          </w:tcPr>
          <w:p w:rsidR="003262E7" w:rsidRPr="003C51EE" w:rsidRDefault="003262E7" w:rsidP="003262E7">
            <w:pPr>
              <w:pStyle w:val="naisc"/>
              <w:spacing w:before="0" w:after="0"/>
              <w:ind w:firstLine="27"/>
              <w:rPr>
                <w:b/>
              </w:rPr>
            </w:pPr>
            <w:r w:rsidRPr="003C51EE">
              <w:rPr>
                <w:b/>
              </w:rPr>
              <w:t>Iebildums ir ņemts vērā.</w:t>
            </w:r>
          </w:p>
          <w:p w:rsidR="003262E7" w:rsidRPr="003C51EE" w:rsidRDefault="00E75939" w:rsidP="003262E7">
            <w:pPr>
              <w:pStyle w:val="naisc"/>
              <w:spacing w:before="0" w:after="0"/>
              <w:jc w:val="both"/>
            </w:pPr>
            <w:r w:rsidRPr="003C51EE">
              <w:t>Projekts papildināts</w:t>
            </w:r>
            <w:r w:rsidR="003262E7" w:rsidRPr="003C51EE">
              <w:t xml:space="preserve"> </w:t>
            </w:r>
            <w:r w:rsidRPr="003C51EE">
              <w:t>ar</w:t>
            </w:r>
            <w:r w:rsidR="003262E7" w:rsidRPr="003C51EE">
              <w:t xml:space="preserve"> </w:t>
            </w:r>
            <w:r w:rsidR="003262E7" w:rsidRPr="003C51EE">
              <w:rPr>
                <w:rFonts w:ascii="Times New Roman ,serif" w:hAnsi="Times New Roman ,serif"/>
              </w:rPr>
              <w:t>51.</w:t>
            </w:r>
            <w:r w:rsidR="003262E7" w:rsidRPr="003C51EE">
              <w:rPr>
                <w:rFonts w:ascii="Times New Roman ,serif" w:hAnsi="Times New Roman ,serif"/>
                <w:vertAlign w:val="superscript"/>
              </w:rPr>
              <w:t>1 </w:t>
            </w:r>
            <w:r w:rsidR="003262E7" w:rsidRPr="003C51EE">
              <w:t xml:space="preserve">punktu. </w:t>
            </w:r>
          </w:p>
          <w:p w:rsidR="004869CB" w:rsidRPr="003C51EE" w:rsidRDefault="003262E7" w:rsidP="003262E7">
            <w:pPr>
              <w:pStyle w:val="naisc"/>
              <w:spacing w:before="0" w:after="0"/>
              <w:jc w:val="both"/>
              <w:rPr>
                <w:b/>
                <w:highlight w:val="lightGray"/>
              </w:rPr>
            </w:pPr>
            <w:r w:rsidRPr="003C51EE">
              <w:t>Precizēta projekta anotācijā ietvertā informācija.</w:t>
            </w:r>
          </w:p>
        </w:tc>
        <w:tc>
          <w:tcPr>
            <w:tcW w:w="3260" w:type="dxa"/>
            <w:tcBorders>
              <w:top w:val="single" w:sz="4" w:space="0" w:color="auto"/>
              <w:left w:val="single" w:sz="4" w:space="0" w:color="auto"/>
              <w:bottom w:val="single" w:sz="4" w:space="0" w:color="auto"/>
            </w:tcBorders>
          </w:tcPr>
          <w:p w:rsidR="00762D6E" w:rsidRPr="003C51EE" w:rsidRDefault="00762D6E" w:rsidP="00762D6E">
            <w:pPr>
              <w:tabs>
                <w:tab w:val="left" w:pos="6521"/>
                <w:tab w:val="right" w:pos="8820"/>
              </w:tabs>
              <w:jc w:val="both"/>
            </w:pPr>
            <w:r w:rsidRPr="003C51EE">
              <w:rPr>
                <w:rFonts w:ascii="Times New Roman ,serif" w:hAnsi="Times New Roman ,serif"/>
              </w:rPr>
              <w:t>“51.</w:t>
            </w:r>
            <w:r w:rsidRPr="003C51EE">
              <w:rPr>
                <w:rFonts w:ascii="Times New Roman ,serif" w:hAnsi="Times New Roman ,serif"/>
                <w:vertAlign w:val="superscript"/>
              </w:rPr>
              <w:t>1 </w:t>
            </w:r>
            <w:r w:rsidRPr="003C51EE">
              <w:rPr>
                <w:rFonts w:ascii="Times New Roman ,serif" w:hAnsi="Times New Roman ,serif"/>
              </w:rPr>
              <w:t xml:space="preserve">Apsardzes darbības likuma 9.panta pirmās daļas </w:t>
            </w:r>
            <w:r w:rsidRPr="003C51EE">
              <w:rPr>
                <w:rFonts w:ascii="Times New Roman ,serif" w:hAnsi="Times New Roman ,serif"/>
                <w:u w:val="single"/>
              </w:rPr>
              <w:t>2. un</w:t>
            </w:r>
            <w:r w:rsidRPr="003C51EE">
              <w:rPr>
                <w:rFonts w:ascii="Times New Roman ,serif" w:hAnsi="Times New Roman ,serif"/>
              </w:rPr>
              <w:t xml:space="preserve"> 4.punktā noteiktajā gadījumā licencēšanas komisija speciālo atļauju (licenci) apsardzes komersantam anulē, pamatojoties uz valsts pārvaldes iestādes lēmumu par speciālās atļaujas (licences) anulēšanu, nepieņemot atsevišķu lēmumu.”.</w:t>
            </w:r>
          </w:p>
          <w:p w:rsidR="002A077D" w:rsidRPr="003C51EE" w:rsidRDefault="002A077D" w:rsidP="002A077D">
            <w:pPr>
              <w:autoSpaceDE w:val="0"/>
              <w:autoSpaceDN w:val="0"/>
              <w:adjustRightInd w:val="0"/>
              <w:jc w:val="both"/>
              <w:rPr>
                <w:highlight w:val="lightGray"/>
              </w:rPr>
            </w:pPr>
          </w:p>
        </w:tc>
      </w:tr>
      <w:tr w:rsidR="003C51EE" w:rsidRPr="003C51EE" w:rsidTr="00113C06">
        <w:tc>
          <w:tcPr>
            <w:tcW w:w="784" w:type="dxa"/>
            <w:tcBorders>
              <w:left w:val="single" w:sz="6" w:space="0" w:color="000000"/>
              <w:bottom w:val="single" w:sz="4" w:space="0" w:color="auto"/>
              <w:right w:val="single" w:sz="6" w:space="0" w:color="000000"/>
            </w:tcBorders>
          </w:tcPr>
          <w:p w:rsidR="00DF401D" w:rsidRPr="003C51EE" w:rsidRDefault="00620F08" w:rsidP="00620F08">
            <w:pPr>
              <w:pStyle w:val="naisc"/>
              <w:spacing w:before="0" w:after="0"/>
              <w:ind w:firstLine="27"/>
              <w:jc w:val="left"/>
            </w:pPr>
            <w:r>
              <w:t>6</w:t>
            </w:r>
            <w:r w:rsidR="00CF68C5" w:rsidRPr="003C51EE">
              <w:t>.</w:t>
            </w:r>
          </w:p>
        </w:tc>
        <w:tc>
          <w:tcPr>
            <w:tcW w:w="2977" w:type="dxa"/>
            <w:gridSpan w:val="2"/>
            <w:tcBorders>
              <w:left w:val="single" w:sz="6" w:space="0" w:color="000000"/>
              <w:bottom w:val="single" w:sz="4" w:space="0" w:color="auto"/>
              <w:right w:val="single" w:sz="6" w:space="0" w:color="000000"/>
            </w:tcBorders>
          </w:tcPr>
          <w:p w:rsidR="00DF401D" w:rsidRPr="003C51EE" w:rsidRDefault="00DF401D" w:rsidP="00D4673D">
            <w:pPr>
              <w:pStyle w:val="naisc"/>
              <w:spacing w:before="0"/>
              <w:ind w:firstLine="27"/>
              <w:jc w:val="both"/>
            </w:pPr>
          </w:p>
        </w:tc>
        <w:tc>
          <w:tcPr>
            <w:tcW w:w="4536" w:type="dxa"/>
            <w:tcBorders>
              <w:left w:val="single" w:sz="6" w:space="0" w:color="000000"/>
              <w:bottom w:val="single" w:sz="4" w:space="0" w:color="auto"/>
              <w:right w:val="single" w:sz="6" w:space="0" w:color="000000"/>
            </w:tcBorders>
          </w:tcPr>
          <w:p w:rsidR="008063AF" w:rsidRPr="003C51EE" w:rsidRDefault="008063AF" w:rsidP="008063AF">
            <w:pPr>
              <w:pStyle w:val="naisc"/>
              <w:spacing w:before="0" w:after="0"/>
              <w:ind w:firstLine="27"/>
              <w:rPr>
                <w:b/>
              </w:rPr>
            </w:pPr>
            <w:r w:rsidRPr="003C51EE">
              <w:rPr>
                <w:b/>
              </w:rPr>
              <w:t>Valsts kanceleja</w:t>
            </w:r>
          </w:p>
          <w:p w:rsidR="008063AF" w:rsidRPr="003C51EE" w:rsidRDefault="008063AF" w:rsidP="008063AF">
            <w:pPr>
              <w:pStyle w:val="naisc"/>
              <w:spacing w:before="0" w:after="0"/>
              <w:ind w:firstLine="27"/>
              <w:rPr>
                <w:b/>
              </w:rPr>
            </w:pPr>
            <w:r w:rsidRPr="003C51EE">
              <w:rPr>
                <w:b/>
              </w:rPr>
              <w:t>(23.07.2018.</w:t>
            </w:r>
            <w:r w:rsidR="00620F08">
              <w:rPr>
                <w:b/>
              </w:rPr>
              <w:t xml:space="preserve"> elektroniskā pasta vēstule bez Nr.</w:t>
            </w:r>
            <w:r w:rsidRPr="003C51EE">
              <w:rPr>
                <w:b/>
              </w:rPr>
              <w:t>)</w:t>
            </w:r>
          </w:p>
          <w:p w:rsidR="00DF401D" w:rsidRPr="003C51EE" w:rsidRDefault="008063AF" w:rsidP="008063AF">
            <w:pPr>
              <w:pStyle w:val="naisc"/>
              <w:spacing w:before="0" w:after="0"/>
              <w:jc w:val="both"/>
              <w:rPr>
                <w:b/>
              </w:rPr>
            </w:pPr>
            <w:r w:rsidRPr="003C51EE">
              <w:t xml:space="preserve">Lūdzam noformēt sākotnējās ietekmes novērtējuma ziņojumu (anotāciju) atbilstoši Ministru kabineta 2009.gada 15.decembra instrukcijas Nr.19 ”Tiesību akta projekta sākotnējās ietekmes izvērtēšanas kārtība” 5.punktam, aizpildot </w:t>
            </w:r>
            <w:r w:rsidRPr="003C51EE">
              <w:rPr>
                <w:u w:val="single"/>
              </w:rPr>
              <w:t>jaunu</w:t>
            </w:r>
            <w:r w:rsidRPr="003C51EE">
              <w:t xml:space="preserve"> anotācijas veidlapu, kā arī veidlapas aizpildīšanā ievērot minētajā instrukcijā noteikto (piem., par anotācijas sadaļu aizpildīšanu, ja noteikumu projekts neskar kādu no anotācijas aspektiem).</w:t>
            </w:r>
          </w:p>
        </w:tc>
        <w:tc>
          <w:tcPr>
            <w:tcW w:w="3686" w:type="dxa"/>
            <w:gridSpan w:val="2"/>
            <w:tcBorders>
              <w:left w:val="single" w:sz="6" w:space="0" w:color="000000"/>
              <w:bottom w:val="single" w:sz="4" w:space="0" w:color="auto"/>
              <w:right w:val="single" w:sz="6" w:space="0" w:color="000000"/>
            </w:tcBorders>
          </w:tcPr>
          <w:p w:rsidR="008063AF" w:rsidRPr="003C51EE" w:rsidRDefault="008063AF" w:rsidP="008063AF">
            <w:pPr>
              <w:pStyle w:val="naisc"/>
              <w:spacing w:before="0" w:after="0"/>
              <w:ind w:firstLine="27"/>
              <w:rPr>
                <w:b/>
              </w:rPr>
            </w:pPr>
            <w:r w:rsidRPr="003C51EE">
              <w:rPr>
                <w:b/>
              </w:rPr>
              <w:t>Iebildums ir ņemts vērā.</w:t>
            </w:r>
          </w:p>
          <w:p w:rsidR="00DF401D" w:rsidRPr="003C51EE" w:rsidRDefault="008063AF" w:rsidP="008063AF">
            <w:pPr>
              <w:pStyle w:val="naisc"/>
              <w:spacing w:before="0" w:after="0"/>
              <w:jc w:val="both"/>
              <w:rPr>
                <w:b/>
              </w:rPr>
            </w:pPr>
            <w:r w:rsidRPr="003C51EE">
              <w:t>Precizēta projekta anotācijā ietvertā informācija.</w:t>
            </w:r>
          </w:p>
        </w:tc>
        <w:tc>
          <w:tcPr>
            <w:tcW w:w="3260" w:type="dxa"/>
            <w:tcBorders>
              <w:top w:val="single" w:sz="4" w:space="0" w:color="auto"/>
              <w:left w:val="single" w:sz="4" w:space="0" w:color="auto"/>
              <w:bottom w:val="single" w:sz="4" w:space="0" w:color="auto"/>
            </w:tcBorders>
          </w:tcPr>
          <w:p w:rsidR="00DF401D" w:rsidRPr="003C51EE" w:rsidRDefault="00DF401D" w:rsidP="00DF401D">
            <w:pPr>
              <w:autoSpaceDE w:val="0"/>
              <w:autoSpaceDN w:val="0"/>
              <w:adjustRightInd w:val="0"/>
              <w:jc w:val="both"/>
              <w:rPr>
                <w:highlight w:val="lightGray"/>
              </w:rPr>
            </w:pPr>
          </w:p>
        </w:tc>
      </w:tr>
      <w:tr w:rsidR="003C51EE" w:rsidRPr="003C51EE" w:rsidTr="00113C06">
        <w:tc>
          <w:tcPr>
            <w:tcW w:w="784" w:type="dxa"/>
            <w:tcBorders>
              <w:left w:val="single" w:sz="6" w:space="0" w:color="000000"/>
              <w:bottom w:val="single" w:sz="4" w:space="0" w:color="auto"/>
              <w:right w:val="single" w:sz="6" w:space="0" w:color="000000"/>
            </w:tcBorders>
          </w:tcPr>
          <w:p w:rsidR="008063AF" w:rsidRPr="003C51EE" w:rsidRDefault="00620F08" w:rsidP="00620F08">
            <w:pPr>
              <w:pStyle w:val="naisc"/>
              <w:spacing w:before="0" w:after="0"/>
              <w:ind w:firstLine="27"/>
              <w:jc w:val="left"/>
            </w:pPr>
            <w:r>
              <w:t>7</w:t>
            </w:r>
            <w:r w:rsidR="002C790F" w:rsidRPr="003C51EE">
              <w:t>.</w:t>
            </w:r>
          </w:p>
        </w:tc>
        <w:tc>
          <w:tcPr>
            <w:tcW w:w="2977" w:type="dxa"/>
            <w:gridSpan w:val="2"/>
            <w:tcBorders>
              <w:left w:val="single" w:sz="6" w:space="0" w:color="000000"/>
              <w:bottom w:val="single" w:sz="4" w:space="0" w:color="auto"/>
              <w:right w:val="single" w:sz="6" w:space="0" w:color="000000"/>
            </w:tcBorders>
          </w:tcPr>
          <w:p w:rsidR="008063AF" w:rsidRPr="003C51EE" w:rsidRDefault="008063AF" w:rsidP="00D4673D">
            <w:pPr>
              <w:pStyle w:val="naisc"/>
              <w:spacing w:before="0"/>
              <w:ind w:firstLine="27"/>
              <w:jc w:val="both"/>
            </w:pPr>
          </w:p>
        </w:tc>
        <w:tc>
          <w:tcPr>
            <w:tcW w:w="4536" w:type="dxa"/>
            <w:tcBorders>
              <w:left w:val="single" w:sz="6" w:space="0" w:color="000000"/>
              <w:bottom w:val="single" w:sz="4" w:space="0" w:color="auto"/>
              <w:right w:val="single" w:sz="6" w:space="0" w:color="000000"/>
            </w:tcBorders>
          </w:tcPr>
          <w:p w:rsidR="00292ED6" w:rsidRPr="003C51EE" w:rsidRDefault="00292ED6" w:rsidP="00292ED6">
            <w:pPr>
              <w:pStyle w:val="naisc"/>
              <w:spacing w:before="0" w:after="0"/>
              <w:ind w:firstLine="27"/>
              <w:rPr>
                <w:b/>
              </w:rPr>
            </w:pPr>
            <w:r w:rsidRPr="003C51EE">
              <w:rPr>
                <w:b/>
              </w:rPr>
              <w:t>Valsts kanceleja</w:t>
            </w:r>
          </w:p>
          <w:p w:rsidR="00292ED6" w:rsidRPr="003C51EE" w:rsidRDefault="00292ED6" w:rsidP="00292ED6">
            <w:pPr>
              <w:pStyle w:val="naisc"/>
              <w:spacing w:before="0" w:after="0"/>
              <w:ind w:firstLine="27"/>
              <w:rPr>
                <w:b/>
              </w:rPr>
            </w:pPr>
            <w:r w:rsidRPr="003C51EE">
              <w:rPr>
                <w:b/>
              </w:rPr>
              <w:t>(23.07.2018.</w:t>
            </w:r>
            <w:r w:rsidR="00620F08">
              <w:rPr>
                <w:b/>
              </w:rPr>
              <w:t xml:space="preserve"> </w:t>
            </w:r>
            <w:r w:rsidR="00620F08">
              <w:rPr>
                <w:b/>
              </w:rPr>
              <w:t>elektroniskā pasta vēstule bez Nr.</w:t>
            </w:r>
            <w:r w:rsidRPr="003C51EE">
              <w:rPr>
                <w:b/>
              </w:rPr>
              <w:t>)</w:t>
            </w:r>
          </w:p>
          <w:p w:rsidR="008063AF" w:rsidRPr="003C51EE" w:rsidRDefault="00292ED6" w:rsidP="00292ED6">
            <w:pPr>
              <w:pStyle w:val="naisc"/>
              <w:spacing w:before="0" w:after="0"/>
              <w:jc w:val="both"/>
              <w:rPr>
                <w:b/>
              </w:rPr>
            </w:pPr>
            <w:r w:rsidRPr="003C51EE">
              <w:t>Vēršam uzmanību, ka noteikumu projekts paredz administratīvā sloga palielināšanos, juridiskajām personām, kas saņēmušas vai saņems speciālo atļauju (licenci) inkasācijas apsardzes pakalpojumu sniegšanai (informācijas sniegšana), gan Valsts policijai (iesniegtas informācijas izvērtēšana), līdz ar to, lūdzam attiecīgi precizēt noteikumu projekta anotācijas II sadaļas 2. un 3. punktu.</w:t>
            </w:r>
          </w:p>
        </w:tc>
        <w:tc>
          <w:tcPr>
            <w:tcW w:w="3686" w:type="dxa"/>
            <w:gridSpan w:val="2"/>
            <w:tcBorders>
              <w:left w:val="single" w:sz="6" w:space="0" w:color="000000"/>
              <w:bottom w:val="single" w:sz="4" w:space="0" w:color="auto"/>
              <w:right w:val="single" w:sz="6" w:space="0" w:color="000000"/>
            </w:tcBorders>
          </w:tcPr>
          <w:p w:rsidR="00A87AEC" w:rsidRPr="003C51EE" w:rsidRDefault="00A87AEC" w:rsidP="00A87AEC">
            <w:pPr>
              <w:pStyle w:val="naisc"/>
              <w:spacing w:before="0" w:after="0"/>
              <w:ind w:firstLine="27"/>
              <w:rPr>
                <w:b/>
              </w:rPr>
            </w:pPr>
            <w:r w:rsidRPr="003C51EE">
              <w:rPr>
                <w:b/>
              </w:rPr>
              <w:t>Iebildums ir ņemts vērā.</w:t>
            </w:r>
          </w:p>
          <w:p w:rsidR="008063AF" w:rsidRPr="003C51EE" w:rsidRDefault="00A87AEC" w:rsidP="00A87AEC">
            <w:pPr>
              <w:pStyle w:val="naisc"/>
              <w:spacing w:before="0" w:after="0"/>
              <w:jc w:val="both"/>
              <w:rPr>
                <w:b/>
              </w:rPr>
            </w:pPr>
            <w:r w:rsidRPr="003C51EE">
              <w:t>Precizēta projekta anotācijā ietvertā informācija.</w:t>
            </w:r>
          </w:p>
        </w:tc>
        <w:tc>
          <w:tcPr>
            <w:tcW w:w="3260" w:type="dxa"/>
            <w:tcBorders>
              <w:top w:val="single" w:sz="4" w:space="0" w:color="auto"/>
              <w:left w:val="single" w:sz="4" w:space="0" w:color="auto"/>
              <w:bottom w:val="single" w:sz="4" w:space="0" w:color="auto"/>
            </w:tcBorders>
          </w:tcPr>
          <w:p w:rsidR="008063AF" w:rsidRPr="003C51EE" w:rsidRDefault="008063AF" w:rsidP="00DF401D">
            <w:pPr>
              <w:autoSpaceDE w:val="0"/>
              <w:autoSpaceDN w:val="0"/>
              <w:adjustRightInd w:val="0"/>
              <w:jc w:val="both"/>
              <w:rPr>
                <w:highlight w:val="lightGray"/>
              </w:rPr>
            </w:pPr>
          </w:p>
        </w:tc>
      </w:tr>
      <w:tr w:rsidR="003C51EE" w:rsidRPr="003C51EE" w:rsidTr="00113C06">
        <w:tc>
          <w:tcPr>
            <w:tcW w:w="784" w:type="dxa"/>
            <w:tcBorders>
              <w:left w:val="single" w:sz="6" w:space="0" w:color="000000"/>
              <w:bottom w:val="single" w:sz="4" w:space="0" w:color="auto"/>
              <w:right w:val="single" w:sz="6" w:space="0" w:color="000000"/>
            </w:tcBorders>
          </w:tcPr>
          <w:p w:rsidR="008063AF" w:rsidRPr="003C51EE" w:rsidRDefault="00620F08" w:rsidP="00620F08">
            <w:pPr>
              <w:pStyle w:val="naisc"/>
              <w:spacing w:before="0" w:after="0"/>
              <w:ind w:firstLine="27"/>
              <w:jc w:val="left"/>
            </w:pPr>
            <w:r>
              <w:t>8</w:t>
            </w:r>
            <w:r w:rsidR="002C790F" w:rsidRPr="003C51EE">
              <w:t>.</w:t>
            </w:r>
          </w:p>
        </w:tc>
        <w:tc>
          <w:tcPr>
            <w:tcW w:w="2977" w:type="dxa"/>
            <w:gridSpan w:val="2"/>
            <w:tcBorders>
              <w:left w:val="single" w:sz="6" w:space="0" w:color="000000"/>
              <w:bottom w:val="single" w:sz="4" w:space="0" w:color="auto"/>
              <w:right w:val="single" w:sz="6" w:space="0" w:color="000000"/>
            </w:tcBorders>
          </w:tcPr>
          <w:p w:rsidR="008063AF" w:rsidRPr="003C51EE" w:rsidRDefault="008063AF" w:rsidP="00D4673D">
            <w:pPr>
              <w:pStyle w:val="naisc"/>
              <w:spacing w:before="0"/>
              <w:ind w:firstLine="27"/>
              <w:jc w:val="both"/>
            </w:pPr>
          </w:p>
        </w:tc>
        <w:tc>
          <w:tcPr>
            <w:tcW w:w="4536" w:type="dxa"/>
            <w:tcBorders>
              <w:left w:val="single" w:sz="6" w:space="0" w:color="000000"/>
              <w:bottom w:val="single" w:sz="4" w:space="0" w:color="auto"/>
              <w:right w:val="single" w:sz="6" w:space="0" w:color="000000"/>
            </w:tcBorders>
          </w:tcPr>
          <w:p w:rsidR="00D612F2" w:rsidRPr="003C51EE" w:rsidRDefault="00D612F2" w:rsidP="00D612F2">
            <w:pPr>
              <w:pStyle w:val="naisc"/>
              <w:spacing w:before="0" w:after="0"/>
              <w:ind w:firstLine="27"/>
              <w:rPr>
                <w:b/>
              </w:rPr>
            </w:pPr>
            <w:r w:rsidRPr="003C51EE">
              <w:rPr>
                <w:b/>
              </w:rPr>
              <w:t>Valsts kanceleja</w:t>
            </w:r>
          </w:p>
          <w:p w:rsidR="00D612F2" w:rsidRPr="003C51EE" w:rsidRDefault="00D612F2" w:rsidP="00D612F2">
            <w:pPr>
              <w:pStyle w:val="naisc"/>
              <w:spacing w:before="0" w:after="0"/>
              <w:ind w:firstLine="27"/>
              <w:rPr>
                <w:b/>
              </w:rPr>
            </w:pPr>
            <w:r w:rsidRPr="003C51EE">
              <w:rPr>
                <w:b/>
              </w:rPr>
              <w:t>(23.07.2018.</w:t>
            </w:r>
            <w:r w:rsidR="00620F08">
              <w:rPr>
                <w:b/>
              </w:rPr>
              <w:t xml:space="preserve"> </w:t>
            </w:r>
            <w:r w:rsidR="00620F08">
              <w:rPr>
                <w:b/>
              </w:rPr>
              <w:t>elektroniskā pasta vēstule bez Nr.</w:t>
            </w:r>
            <w:r w:rsidR="00620F08" w:rsidRPr="003C51EE">
              <w:rPr>
                <w:b/>
              </w:rPr>
              <w:t>)</w:t>
            </w:r>
          </w:p>
          <w:p w:rsidR="008063AF" w:rsidRPr="003C51EE" w:rsidRDefault="00D612F2" w:rsidP="00D612F2">
            <w:pPr>
              <w:pStyle w:val="naisc"/>
              <w:spacing w:before="0" w:after="0"/>
              <w:jc w:val="both"/>
              <w:rPr>
                <w:b/>
              </w:rPr>
            </w:pPr>
            <w:r w:rsidRPr="003C51EE">
              <w:t xml:space="preserve">Noteikumu projektā paredzētās noziedzīgi iegūtu līdzekļu legalizācijas un terorisma finansēšanas novēršanas iekšējās kontroles sistēmas izstrāde, tai skaitā izstrādājot un dokumentējot attiecīgās politikas un procedūras, kuras apstiprina likuma subjekta valde, ja tā ir iecelta, vai likuma subjekta augstākā pārvaldes institūcija ir uzskatāma par prasību, kas rada </w:t>
            </w:r>
            <w:r w:rsidRPr="003C51EE">
              <w:rPr>
                <w:u w:val="single"/>
              </w:rPr>
              <w:t>atbilstības izmaksas</w:t>
            </w:r>
            <w:r w:rsidRPr="003C51EE">
              <w:t xml:space="preserve"> juridiskajām personām, kas saņēmušas vai saņems speciālo atļauju (licenci) inkasācijas apsardzes pakalpojumu sniegšanai. Līdz ar to, lūdzam aprēķināt paredzētas atbilstības izmaksas un aizpildīt anotācijas II. sadaļas 4.punktu.</w:t>
            </w:r>
          </w:p>
        </w:tc>
        <w:tc>
          <w:tcPr>
            <w:tcW w:w="3686" w:type="dxa"/>
            <w:gridSpan w:val="2"/>
            <w:tcBorders>
              <w:left w:val="single" w:sz="6" w:space="0" w:color="000000"/>
              <w:bottom w:val="single" w:sz="4" w:space="0" w:color="auto"/>
              <w:right w:val="single" w:sz="6" w:space="0" w:color="000000"/>
            </w:tcBorders>
          </w:tcPr>
          <w:p w:rsidR="00A87AEC" w:rsidRPr="003C51EE" w:rsidRDefault="00A87AEC" w:rsidP="00A87AEC">
            <w:pPr>
              <w:pStyle w:val="naisc"/>
              <w:spacing w:before="0" w:after="0"/>
              <w:ind w:firstLine="27"/>
              <w:rPr>
                <w:b/>
              </w:rPr>
            </w:pPr>
            <w:r w:rsidRPr="003C51EE">
              <w:rPr>
                <w:b/>
              </w:rPr>
              <w:t>Iebildums ir ņemts vērā.</w:t>
            </w:r>
          </w:p>
          <w:p w:rsidR="008063AF" w:rsidRPr="003C51EE" w:rsidRDefault="00A87AEC" w:rsidP="00A87AEC">
            <w:pPr>
              <w:pStyle w:val="naisc"/>
              <w:spacing w:before="0" w:after="0"/>
              <w:jc w:val="both"/>
              <w:rPr>
                <w:b/>
              </w:rPr>
            </w:pPr>
            <w:r w:rsidRPr="003C51EE">
              <w:t>Precizēta projekta anotācijā ietvertā informācija.</w:t>
            </w:r>
          </w:p>
        </w:tc>
        <w:tc>
          <w:tcPr>
            <w:tcW w:w="3260" w:type="dxa"/>
            <w:tcBorders>
              <w:top w:val="single" w:sz="4" w:space="0" w:color="auto"/>
              <w:left w:val="single" w:sz="4" w:space="0" w:color="auto"/>
              <w:bottom w:val="single" w:sz="4" w:space="0" w:color="auto"/>
            </w:tcBorders>
          </w:tcPr>
          <w:p w:rsidR="008063AF" w:rsidRPr="003C51EE" w:rsidRDefault="008063AF" w:rsidP="00DF401D">
            <w:pPr>
              <w:autoSpaceDE w:val="0"/>
              <w:autoSpaceDN w:val="0"/>
              <w:adjustRightInd w:val="0"/>
              <w:jc w:val="both"/>
              <w:rPr>
                <w:highlight w:val="lightGray"/>
              </w:rPr>
            </w:pPr>
          </w:p>
        </w:tc>
      </w:tr>
      <w:tr w:rsidR="003C51EE" w:rsidRPr="003C51EE" w:rsidTr="00113C06">
        <w:tc>
          <w:tcPr>
            <w:tcW w:w="784" w:type="dxa"/>
            <w:tcBorders>
              <w:left w:val="single" w:sz="6" w:space="0" w:color="000000"/>
              <w:bottom w:val="single" w:sz="4" w:space="0" w:color="auto"/>
              <w:right w:val="single" w:sz="6" w:space="0" w:color="000000"/>
            </w:tcBorders>
          </w:tcPr>
          <w:p w:rsidR="00C051C0" w:rsidRPr="003C51EE" w:rsidRDefault="00620F08" w:rsidP="00620F08">
            <w:pPr>
              <w:pStyle w:val="naisc"/>
              <w:spacing w:before="0" w:after="0"/>
              <w:ind w:firstLine="27"/>
              <w:jc w:val="left"/>
            </w:pPr>
            <w:r>
              <w:t>9</w:t>
            </w:r>
            <w:r w:rsidR="00C051C0" w:rsidRPr="003C51EE">
              <w:t>.</w:t>
            </w:r>
          </w:p>
        </w:tc>
        <w:tc>
          <w:tcPr>
            <w:tcW w:w="2977" w:type="dxa"/>
            <w:gridSpan w:val="2"/>
            <w:tcBorders>
              <w:left w:val="single" w:sz="6" w:space="0" w:color="000000"/>
              <w:bottom w:val="single" w:sz="4" w:space="0" w:color="auto"/>
              <w:right w:val="single" w:sz="6" w:space="0" w:color="000000"/>
            </w:tcBorders>
          </w:tcPr>
          <w:p w:rsidR="00C051C0" w:rsidRPr="003C51EE" w:rsidRDefault="00C051C0" w:rsidP="00D4673D">
            <w:pPr>
              <w:pStyle w:val="naisc"/>
              <w:spacing w:before="0"/>
              <w:ind w:firstLine="27"/>
              <w:jc w:val="both"/>
            </w:pPr>
          </w:p>
        </w:tc>
        <w:tc>
          <w:tcPr>
            <w:tcW w:w="4536" w:type="dxa"/>
            <w:tcBorders>
              <w:left w:val="single" w:sz="6" w:space="0" w:color="000000"/>
              <w:bottom w:val="single" w:sz="4" w:space="0" w:color="auto"/>
              <w:right w:val="single" w:sz="6" w:space="0" w:color="000000"/>
            </w:tcBorders>
          </w:tcPr>
          <w:p w:rsidR="008353CC" w:rsidRPr="003C51EE" w:rsidRDefault="008353CC" w:rsidP="008353CC">
            <w:pPr>
              <w:pStyle w:val="naisc"/>
              <w:spacing w:before="0" w:after="0"/>
              <w:ind w:firstLine="27"/>
              <w:rPr>
                <w:b/>
              </w:rPr>
            </w:pPr>
            <w:r w:rsidRPr="003C51EE">
              <w:rPr>
                <w:b/>
              </w:rPr>
              <w:t>Valsts kanceleja</w:t>
            </w:r>
          </w:p>
          <w:p w:rsidR="008353CC" w:rsidRPr="003C51EE" w:rsidRDefault="008353CC" w:rsidP="008353CC">
            <w:pPr>
              <w:pStyle w:val="naisc"/>
              <w:spacing w:before="0" w:after="0"/>
              <w:ind w:firstLine="27"/>
              <w:rPr>
                <w:b/>
              </w:rPr>
            </w:pPr>
            <w:r w:rsidRPr="003C51EE">
              <w:rPr>
                <w:b/>
              </w:rPr>
              <w:t>(23.07.2018.</w:t>
            </w:r>
            <w:r w:rsidR="00620F08">
              <w:rPr>
                <w:b/>
              </w:rPr>
              <w:t xml:space="preserve"> </w:t>
            </w:r>
            <w:r w:rsidR="00620F08">
              <w:rPr>
                <w:b/>
              </w:rPr>
              <w:t>elektroniskā pasta vēstule bez Nr.</w:t>
            </w:r>
            <w:r w:rsidR="00620F08" w:rsidRPr="003C51EE">
              <w:rPr>
                <w:b/>
              </w:rPr>
              <w:t>)</w:t>
            </w:r>
          </w:p>
          <w:p w:rsidR="00C051C0" w:rsidRPr="003C51EE" w:rsidRDefault="008353CC" w:rsidP="008353CC">
            <w:pPr>
              <w:pStyle w:val="naisc"/>
              <w:spacing w:before="0" w:after="0"/>
              <w:jc w:val="both"/>
              <w:rPr>
                <w:b/>
              </w:rPr>
            </w:pPr>
            <w:r w:rsidRPr="003C51EE">
              <w:t>Aicinām papildināt anotācijas VI. sadaļas 1.punktu, konkretizējot iemeslus, kāpēc noteikumu projekta izstrādē sabiedrības līdzdalība netika organizēta, kā arī precizēt normatīvā akta veidu, uz kuru atsaucas šajā punktā.</w:t>
            </w:r>
          </w:p>
        </w:tc>
        <w:tc>
          <w:tcPr>
            <w:tcW w:w="3686" w:type="dxa"/>
            <w:gridSpan w:val="2"/>
            <w:tcBorders>
              <w:left w:val="single" w:sz="6" w:space="0" w:color="000000"/>
              <w:bottom w:val="single" w:sz="4" w:space="0" w:color="auto"/>
              <w:right w:val="single" w:sz="6" w:space="0" w:color="000000"/>
            </w:tcBorders>
          </w:tcPr>
          <w:p w:rsidR="00A87AEC" w:rsidRPr="003C51EE" w:rsidRDefault="00A87AEC" w:rsidP="00A87AEC">
            <w:pPr>
              <w:pStyle w:val="naisc"/>
              <w:spacing w:before="0" w:after="0"/>
              <w:ind w:firstLine="27"/>
              <w:rPr>
                <w:b/>
              </w:rPr>
            </w:pPr>
            <w:r w:rsidRPr="003C51EE">
              <w:rPr>
                <w:b/>
              </w:rPr>
              <w:t>Iebildums ir ņemts vērā.</w:t>
            </w:r>
          </w:p>
          <w:p w:rsidR="00C051C0" w:rsidRPr="003C51EE" w:rsidRDefault="00A87AEC" w:rsidP="00A87AEC">
            <w:pPr>
              <w:pStyle w:val="naisc"/>
              <w:spacing w:before="0" w:after="0"/>
              <w:jc w:val="both"/>
              <w:rPr>
                <w:b/>
              </w:rPr>
            </w:pPr>
            <w:r w:rsidRPr="003C51EE">
              <w:t>Precizēta projekta anotācijā ietvertā informācija.</w:t>
            </w:r>
          </w:p>
        </w:tc>
        <w:tc>
          <w:tcPr>
            <w:tcW w:w="3260" w:type="dxa"/>
            <w:tcBorders>
              <w:top w:val="single" w:sz="4" w:space="0" w:color="auto"/>
              <w:left w:val="single" w:sz="4" w:space="0" w:color="auto"/>
              <w:bottom w:val="single" w:sz="4" w:space="0" w:color="auto"/>
            </w:tcBorders>
          </w:tcPr>
          <w:p w:rsidR="00C051C0" w:rsidRPr="003C51EE" w:rsidRDefault="00C051C0" w:rsidP="00DF401D">
            <w:pPr>
              <w:autoSpaceDE w:val="0"/>
              <w:autoSpaceDN w:val="0"/>
              <w:adjustRightInd w:val="0"/>
              <w:jc w:val="both"/>
              <w:rPr>
                <w:highlight w:val="lightGray"/>
              </w:rPr>
            </w:pPr>
          </w:p>
        </w:tc>
      </w:tr>
      <w:tr w:rsidR="003C51EE" w:rsidRPr="003C51EE" w:rsidTr="00113C06">
        <w:tc>
          <w:tcPr>
            <w:tcW w:w="784" w:type="dxa"/>
            <w:tcBorders>
              <w:left w:val="single" w:sz="6" w:space="0" w:color="000000"/>
              <w:bottom w:val="single" w:sz="4" w:space="0" w:color="auto"/>
              <w:right w:val="single" w:sz="6" w:space="0" w:color="000000"/>
            </w:tcBorders>
          </w:tcPr>
          <w:p w:rsidR="00C051C0" w:rsidRPr="003C51EE" w:rsidRDefault="00620F08" w:rsidP="00620F08">
            <w:pPr>
              <w:pStyle w:val="naisc"/>
              <w:spacing w:before="0" w:after="0"/>
              <w:ind w:firstLine="27"/>
              <w:jc w:val="left"/>
            </w:pPr>
            <w:r>
              <w:t>10</w:t>
            </w:r>
            <w:r w:rsidR="004D6103" w:rsidRPr="003C51EE">
              <w:t>.</w:t>
            </w:r>
          </w:p>
        </w:tc>
        <w:tc>
          <w:tcPr>
            <w:tcW w:w="2977" w:type="dxa"/>
            <w:gridSpan w:val="2"/>
            <w:tcBorders>
              <w:left w:val="single" w:sz="6" w:space="0" w:color="000000"/>
              <w:bottom w:val="single" w:sz="4" w:space="0" w:color="auto"/>
              <w:right w:val="single" w:sz="6" w:space="0" w:color="000000"/>
            </w:tcBorders>
          </w:tcPr>
          <w:p w:rsidR="00C051C0" w:rsidRPr="003C51EE" w:rsidRDefault="00C051C0" w:rsidP="00D4673D">
            <w:pPr>
              <w:pStyle w:val="naisc"/>
              <w:spacing w:before="0"/>
              <w:ind w:firstLine="27"/>
              <w:jc w:val="both"/>
            </w:pPr>
          </w:p>
        </w:tc>
        <w:tc>
          <w:tcPr>
            <w:tcW w:w="4536" w:type="dxa"/>
            <w:tcBorders>
              <w:left w:val="single" w:sz="6" w:space="0" w:color="000000"/>
              <w:bottom w:val="single" w:sz="4" w:space="0" w:color="auto"/>
              <w:right w:val="single" w:sz="6" w:space="0" w:color="000000"/>
            </w:tcBorders>
          </w:tcPr>
          <w:p w:rsidR="00414AC9" w:rsidRPr="003C51EE" w:rsidRDefault="00414AC9" w:rsidP="00414AC9">
            <w:pPr>
              <w:pStyle w:val="naisc"/>
              <w:spacing w:before="0" w:after="0"/>
              <w:ind w:firstLine="27"/>
              <w:rPr>
                <w:b/>
              </w:rPr>
            </w:pPr>
            <w:r w:rsidRPr="003C51EE">
              <w:rPr>
                <w:b/>
              </w:rPr>
              <w:t>Finanšu ministrija</w:t>
            </w:r>
          </w:p>
          <w:p w:rsidR="00414AC9" w:rsidRPr="003C51EE" w:rsidRDefault="00414AC9" w:rsidP="00414AC9">
            <w:pPr>
              <w:pStyle w:val="naisc"/>
              <w:spacing w:before="0" w:after="0"/>
              <w:ind w:firstLine="27"/>
              <w:rPr>
                <w:b/>
              </w:rPr>
            </w:pPr>
            <w:r w:rsidRPr="003C51EE">
              <w:rPr>
                <w:b/>
              </w:rPr>
              <w:t>(04.10.2018., Nr. 10.1-6/7-1/1304)</w:t>
            </w:r>
          </w:p>
          <w:p w:rsidR="00C051C0" w:rsidRPr="003C51EE" w:rsidRDefault="00414AC9" w:rsidP="00414AC9">
            <w:pPr>
              <w:pStyle w:val="naisc"/>
              <w:spacing w:before="0" w:after="0"/>
              <w:jc w:val="both"/>
              <w:rPr>
                <w:b/>
              </w:rPr>
            </w:pPr>
            <w:proofErr w:type="spellStart"/>
            <w:r w:rsidRPr="003C51EE">
              <w:rPr>
                <w:rFonts w:eastAsia="Calibri"/>
              </w:rPr>
              <w:t>Iekšlietu</w:t>
            </w:r>
            <w:proofErr w:type="spellEnd"/>
            <w:r w:rsidRPr="003C51EE">
              <w:rPr>
                <w:rFonts w:eastAsia="Calibri"/>
              </w:rPr>
              <w:t xml:space="preserve"> ministrija Izziņā par atzinumos sniegtajiem iebildumiem ir norādījusi, ka Finanšu ministrijas iebildumi ir ņemti vērā, pārstrādājot  noteikumu projektu, kaut gan pārstrādātās projekta normas neatbilst Finanšu ministrijas atzinumā iekļautajam iebildumam (izziņas 1.punkts).</w:t>
            </w:r>
          </w:p>
        </w:tc>
        <w:tc>
          <w:tcPr>
            <w:tcW w:w="3686" w:type="dxa"/>
            <w:gridSpan w:val="2"/>
            <w:tcBorders>
              <w:left w:val="single" w:sz="6" w:space="0" w:color="000000"/>
              <w:bottom w:val="single" w:sz="4" w:space="0" w:color="auto"/>
              <w:right w:val="single" w:sz="6" w:space="0" w:color="000000"/>
            </w:tcBorders>
          </w:tcPr>
          <w:p w:rsidR="006930B1" w:rsidRPr="003C51EE" w:rsidRDefault="006930B1" w:rsidP="006930B1">
            <w:pPr>
              <w:pStyle w:val="naisc"/>
              <w:spacing w:before="0" w:after="0"/>
              <w:ind w:firstLine="27"/>
              <w:rPr>
                <w:b/>
              </w:rPr>
            </w:pPr>
            <w:r w:rsidRPr="003C51EE">
              <w:rPr>
                <w:b/>
              </w:rPr>
              <w:t>Iebildums ir ņemts vērā.</w:t>
            </w:r>
          </w:p>
          <w:p w:rsidR="00C051C0" w:rsidRPr="003C51EE" w:rsidRDefault="006930B1" w:rsidP="006930B1">
            <w:pPr>
              <w:pStyle w:val="naisc"/>
              <w:spacing w:before="0" w:after="0"/>
              <w:jc w:val="both"/>
              <w:rPr>
                <w:b/>
              </w:rPr>
            </w:pPr>
            <w:r w:rsidRPr="003C51EE">
              <w:t>Precizēts projekts un anotācijā ietvertā informācija.</w:t>
            </w:r>
          </w:p>
        </w:tc>
        <w:tc>
          <w:tcPr>
            <w:tcW w:w="3260" w:type="dxa"/>
            <w:tcBorders>
              <w:top w:val="single" w:sz="4" w:space="0" w:color="auto"/>
              <w:left w:val="single" w:sz="4" w:space="0" w:color="auto"/>
              <w:bottom w:val="single" w:sz="4" w:space="0" w:color="auto"/>
            </w:tcBorders>
          </w:tcPr>
          <w:p w:rsidR="00C051C0" w:rsidRPr="003C51EE" w:rsidRDefault="00C051C0" w:rsidP="00DF401D">
            <w:pPr>
              <w:autoSpaceDE w:val="0"/>
              <w:autoSpaceDN w:val="0"/>
              <w:adjustRightInd w:val="0"/>
              <w:jc w:val="both"/>
              <w:rPr>
                <w:highlight w:val="lightGray"/>
              </w:rPr>
            </w:pPr>
          </w:p>
        </w:tc>
      </w:tr>
      <w:tr w:rsidR="003C51EE" w:rsidRPr="003C51EE" w:rsidTr="00113C06">
        <w:tc>
          <w:tcPr>
            <w:tcW w:w="784" w:type="dxa"/>
            <w:tcBorders>
              <w:left w:val="single" w:sz="6" w:space="0" w:color="000000"/>
              <w:bottom w:val="single" w:sz="4" w:space="0" w:color="auto"/>
              <w:right w:val="single" w:sz="6" w:space="0" w:color="000000"/>
            </w:tcBorders>
          </w:tcPr>
          <w:p w:rsidR="0017054C" w:rsidRPr="003C51EE" w:rsidRDefault="00620F08" w:rsidP="001620D6">
            <w:pPr>
              <w:pStyle w:val="naisc"/>
              <w:spacing w:before="0" w:after="0"/>
              <w:ind w:firstLine="27"/>
              <w:jc w:val="left"/>
            </w:pPr>
            <w:r>
              <w:t>11</w:t>
            </w:r>
            <w:r w:rsidR="008D4105" w:rsidRPr="003C51EE">
              <w:t>.</w:t>
            </w:r>
          </w:p>
        </w:tc>
        <w:tc>
          <w:tcPr>
            <w:tcW w:w="2977" w:type="dxa"/>
            <w:gridSpan w:val="2"/>
            <w:tcBorders>
              <w:left w:val="single" w:sz="6" w:space="0" w:color="000000"/>
              <w:bottom w:val="single" w:sz="4" w:space="0" w:color="auto"/>
              <w:right w:val="single" w:sz="6" w:space="0" w:color="000000"/>
            </w:tcBorders>
          </w:tcPr>
          <w:p w:rsidR="0017054C" w:rsidRPr="003C51EE" w:rsidRDefault="0017054C" w:rsidP="00D4673D">
            <w:pPr>
              <w:pStyle w:val="naisc"/>
              <w:spacing w:before="0"/>
              <w:ind w:firstLine="27"/>
              <w:jc w:val="both"/>
            </w:pPr>
          </w:p>
        </w:tc>
        <w:tc>
          <w:tcPr>
            <w:tcW w:w="4536" w:type="dxa"/>
            <w:tcBorders>
              <w:left w:val="single" w:sz="6" w:space="0" w:color="000000"/>
              <w:bottom w:val="single" w:sz="4" w:space="0" w:color="auto"/>
              <w:right w:val="single" w:sz="6" w:space="0" w:color="000000"/>
            </w:tcBorders>
          </w:tcPr>
          <w:p w:rsidR="00765F9F" w:rsidRPr="003C51EE" w:rsidRDefault="00765F9F" w:rsidP="00765F9F">
            <w:pPr>
              <w:pStyle w:val="naisc"/>
              <w:spacing w:before="0" w:after="0"/>
              <w:ind w:firstLine="27"/>
              <w:rPr>
                <w:b/>
              </w:rPr>
            </w:pPr>
            <w:r w:rsidRPr="003C51EE">
              <w:rPr>
                <w:b/>
              </w:rPr>
              <w:t>Finanšu ministrija</w:t>
            </w:r>
          </w:p>
          <w:p w:rsidR="00765F9F" w:rsidRPr="003C51EE" w:rsidRDefault="00765F9F" w:rsidP="00765F9F">
            <w:pPr>
              <w:pStyle w:val="naisc"/>
              <w:spacing w:before="0" w:after="0"/>
              <w:ind w:firstLine="27"/>
              <w:rPr>
                <w:b/>
              </w:rPr>
            </w:pPr>
            <w:r w:rsidRPr="003C51EE">
              <w:rPr>
                <w:b/>
              </w:rPr>
              <w:t>(04.10.2018., Nr. 10.1-6/7-1/1304)</w:t>
            </w:r>
          </w:p>
          <w:p w:rsidR="00765F9F" w:rsidRPr="003C51EE" w:rsidRDefault="00765F9F" w:rsidP="00765F9F">
            <w:pPr>
              <w:ind w:firstLine="360"/>
              <w:jc w:val="both"/>
              <w:rPr>
                <w:rFonts w:eastAsia="Calibri"/>
              </w:rPr>
            </w:pPr>
            <w:r w:rsidRPr="003C51EE">
              <w:rPr>
                <w:rFonts w:eastAsia="Calibri"/>
              </w:rPr>
              <w:t>Noteikumu projekta 2.punkts paredz, ka komersants, kas vēlas saņemt speciālo atļauju (licenci) inkasācijas apsardzes pakalpojumu sniegšanai, iesniedz iesniegumu Valsts policijā (</w:t>
            </w:r>
            <w:hyperlink r:id="rId12" w:anchor="piel1" w:history="1">
              <w:r w:rsidRPr="003C51EE">
                <w:rPr>
                  <w:rFonts w:eastAsia="Calibri"/>
                  <w:u w:val="single"/>
                </w:rPr>
                <w:t>1. pielikums</w:t>
              </w:r>
            </w:hyperlink>
            <w:r w:rsidRPr="003C51EE">
              <w:rPr>
                <w:rFonts w:eastAsia="Calibri"/>
              </w:rPr>
              <w:t>), iesniegumam pievienojot dokumentu, kas apliecina, ka komersants ir izstrādājis noziedzīgi iegūtu līdzekļu legalizācijas un terorisma finansēšanas novēršanas iekšējās kontroles sistēmu.</w:t>
            </w:r>
          </w:p>
          <w:p w:rsidR="0017054C" w:rsidRPr="003C51EE" w:rsidRDefault="00765F9F" w:rsidP="00765F9F">
            <w:pPr>
              <w:ind w:firstLine="433"/>
              <w:jc w:val="both"/>
              <w:rPr>
                <w:rFonts w:eastAsia="Calibri"/>
              </w:rPr>
            </w:pPr>
            <w:r w:rsidRPr="003C51EE">
              <w:rPr>
                <w:rFonts w:eastAsia="Calibri"/>
              </w:rPr>
              <w:t>Nav skaidrs, vai licences saņemšanai pietiek tikai ar dokumentu, kurā ir apliecinājums par iekšējās kontroles sistēmas (turpmāk - IKS) izveidi, vai tomēr IKS ir jāatbilst kādiem noteiktiem kritērijiem. Uzskatām, ka ar atsauci uz Noziedzīgi iegūtu līdzekļu legalizācijas un terorisma finansēšanas novēršanas likumu ir par maz, jo likums nosaka IKS saturu visiem likuma subjektiem, nevis katram atsevišķi, balstoties uz subjekta specifiku vai noziedzīgi iegūtu līdzekļu legalizācijas un terorisma finansēšanas riskiem, piemēram, Finanšu un kapitāla tirgus komisija, izsniedzot licenci Noziedzīgi iegūtu līdzekļu legalizācijas un terorisma finansēšanas novēršanas likuma subjektam, prasa iesniegt dokumentus par IKS atbilstību pēc noteikumos ietvertajiem punktiem. Ņemot vērā iepriekš minēto, ir jābūt vismaz anotācijā paskaidrotam, kas komersantam būs jāiekļauj IKS dokumentā, un IKS atbilstībai ir jābūt, piemēram, līdzvērtīgam dokumentam kā VID izdotās vadlīnijas attiecībā uz IKS.</w:t>
            </w:r>
          </w:p>
        </w:tc>
        <w:tc>
          <w:tcPr>
            <w:tcW w:w="3686" w:type="dxa"/>
            <w:gridSpan w:val="2"/>
            <w:tcBorders>
              <w:left w:val="single" w:sz="6" w:space="0" w:color="000000"/>
              <w:bottom w:val="single" w:sz="4" w:space="0" w:color="auto"/>
              <w:right w:val="single" w:sz="6" w:space="0" w:color="000000"/>
            </w:tcBorders>
          </w:tcPr>
          <w:p w:rsidR="00927419" w:rsidRPr="003C51EE" w:rsidRDefault="00927419" w:rsidP="00927419">
            <w:pPr>
              <w:pStyle w:val="naisc"/>
              <w:spacing w:before="0" w:after="0"/>
              <w:ind w:firstLine="27"/>
              <w:rPr>
                <w:b/>
              </w:rPr>
            </w:pPr>
            <w:r w:rsidRPr="003C51EE">
              <w:rPr>
                <w:b/>
              </w:rPr>
              <w:t>Iebildums ir ņemts vērā.</w:t>
            </w:r>
          </w:p>
          <w:p w:rsidR="0017054C" w:rsidRPr="003C51EE" w:rsidRDefault="00927419" w:rsidP="00927419">
            <w:pPr>
              <w:pStyle w:val="naisc"/>
              <w:spacing w:before="0" w:after="0"/>
              <w:jc w:val="both"/>
              <w:rPr>
                <w:b/>
              </w:rPr>
            </w:pPr>
            <w:r w:rsidRPr="003C51EE">
              <w:t>Precizēts projekts un anotācijā ietvertā informācija.</w:t>
            </w:r>
          </w:p>
        </w:tc>
        <w:tc>
          <w:tcPr>
            <w:tcW w:w="3260" w:type="dxa"/>
            <w:tcBorders>
              <w:top w:val="single" w:sz="4" w:space="0" w:color="auto"/>
              <w:left w:val="single" w:sz="4" w:space="0" w:color="auto"/>
              <w:bottom w:val="single" w:sz="4" w:space="0" w:color="auto"/>
            </w:tcBorders>
          </w:tcPr>
          <w:p w:rsidR="0017054C" w:rsidRPr="003C51EE" w:rsidRDefault="0017054C" w:rsidP="00DF401D">
            <w:pPr>
              <w:autoSpaceDE w:val="0"/>
              <w:autoSpaceDN w:val="0"/>
              <w:adjustRightInd w:val="0"/>
              <w:jc w:val="both"/>
              <w:rPr>
                <w:highlight w:val="lightGray"/>
              </w:rPr>
            </w:pPr>
          </w:p>
        </w:tc>
      </w:tr>
      <w:tr w:rsidR="003C51EE" w:rsidRPr="003C51EE" w:rsidTr="00113C06">
        <w:tc>
          <w:tcPr>
            <w:tcW w:w="784" w:type="dxa"/>
            <w:tcBorders>
              <w:left w:val="single" w:sz="6" w:space="0" w:color="000000"/>
              <w:bottom w:val="single" w:sz="4" w:space="0" w:color="auto"/>
              <w:right w:val="single" w:sz="6" w:space="0" w:color="000000"/>
            </w:tcBorders>
          </w:tcPr>
          <w:p w:rsidR="0017054C" w:rsidRPr="003C51EE" w:rsidRDefault="00620F08" w:rsidP="001620D6">
            <w:pPr>
              <w:pStyle w:val="naisc"/>
              <w:spacing w:before="0" w:after="0"/>
              <w:ind w:firstLine="27"/>
              <w:jc w:val="left"/>
              <w:rPr>
                <w:highlight w:val="lightGray"/>
              </w:rPr>
            </w:pPr>
            <w:r>
              <w:t>12</w:t>
            </w:r>
            <w:r w:rsidR="008D4105" w:rsidRPr="003C51EE">
              <w:t>.</w:t>
            </w:r>
          </w:p>
        </w:tc>
        <w:tc>
          <w:tcPr>
            <w:tcW w:w="2977" w:type="dxa"/>
            <w:gridSpan w:val="2"/>
            <w:tcBorders>
              <w:left w:val="single" w:sz="6" w:space="0" w:color="000000"/>
              <w:bottom w:val="single" w:sz="4" w:space="0" w:color="auto"/>
              <w:right w:val="single" w:sz="6" w:space="0" w:color="000000"/>
            </w:tcBorders>
          </w:tcPr>
          <w:p w:rsidR="0017054C" w:rsidRPr="003C51EE" w:rsidRDefault="0017054C" w:rsidP="00D4673D">
            <w:pPr>
              <w:pStyle w:val="naisc"/>
              <w:spacing w:before="0"/>
              <w:ind w:firstLine="27"/>
              <w:jc w:val="both"/>
            </w:pPr>
          </w:p>
        </w:tc>
        <w:tc>
          <w:tcPr>
            <w:tcW w:w="4536" w:type="dxa"/>
            <w:tcBorders>
              <w:left w:val="single" w:sz="6" w:space="0" w:color="000000"/>
              <w:bottom w:val="single" w:sz="4" w:space="0" w:color="auto"/>
              <w:right w:val="single" w:sz="6" w:space="0" w:color="000000"/>
            </w:tcBorders>
          </w:tcPr>
          <w:p w:rsidR="00C92472" w:rsidRPr="003C51EE" w:rsidRDefault="00C92472" w:rsidP="00C92472">
            <w:pPr>
              <w:pStyle w:val="naisc"/>
              <w:spacing w:before="0" w:after="0"/>
              <w:ind w:firstLine="27"/>
              <w:rPr>
                <w:b/>
              </w:rPr>
            </w:pPr>
            <w:r w:rsidRPr="003C51EE">
              <w:rPr>
                <w:b/>
              </w:rPr>
              <w:t>Finanšu ministrija</w:t>
            </w:r>
          </w:p>
          <w:p w:rsidR="00C92472" w:rsidRPr="003C51EE" w:rsidRDefault="00C92472" w:rsidP="00C92472">
            <w:pPr>
              <w:pStyle w:val="naisc"/>
              <w:spacing w:before="0" w:after="0"/>
              <w:ind w:firstLine="27"/>
              <w:rPr>
                <w:b/>
              </w:rPr>
            </w:pPr>
            <w:r w:rsidRPr="003C51EE">
              <w:rPr>
                <w:b/>
              </w:rPr>
              <w:t>(04.10.2018., Nr. 10.1-6/7-1/1304)</w:t>
            </w:r>
          </w:p>
          <w:p w:rsidR="00C92472" w:rsidRPr="003C51EE" w:rsidRDefault="00C92472" w:rsidP="00C92472">
            <w:pPr>
              <w:ind w:firstLine="426"/>
              <w:jc w:val="both"/>
              <w:rPr>
                <w:rFonts w:eastAsia="Calibri"/>
              </w:rPr>
            </w:pPr>
            <w:r w:rsidRPr="003C51EE">
              <w:rPr>
                <w:rFonts w:eastAsia="Calibri"/>
              </w:rPr>
              <w:t>No noteikumu projekta nav skaidra pārsūdzība attiecībā uz tiem lēmumiem, kad speciālā atļauja (licence) tiks anulēta,  balstoties uz IKS neatbilstību, vai pārsūdzēt varēs VID vai Valsts policijā, jo pēc būtības  Noziedzīgi iegūtu līdzekļu legalizācijas un terorisma finansēšanas novēršanas likuma ietvaros VID izdos lēmumu par neatbilstību IKS prasībām, bet Valsts policija izdod savukārt speciālo atļauju (licenci), līdz ar to ir skaidri jānosaka, kuras iestādes kompetencē būs lēmumu pārsūdzības izvērtēšana, lai nerastos situācija, kad tiek prettiesiski īstenotas speciālās atļaujas (licences) anulēšanas funkcijas, pieņemot divus atsevišķus lēmumus. Ir jānosaka iepriekš minētais vismaz anotācijā.</w:t>
            </w:r>
          </w:p>
          <w:p w:rsidR="0017054C" w:rsidRPr="003C51EE" w:rsidRDefault="00C92472" w:rsidP="00EB57D9">
            <w:pPr>
              <w:ind w:firstLine="433"/>
              <w:jc w:val="both"/>
              <w:rPr>
                <w:b/>
                <w:highlight w:val="magenta"/>
              </w:rPr>
            </w:pPr>
            <w:r w:rsidRPr="003C51EE">
              <w:rPr>
                <w:rFonts w:eastAsia="Calibri"/>
              </w:rPr>
              <w:t xml:space="preserve"> Ņemot vērā minēto, lai rastu skaidrāku izpratini par normu pielietojumu praksē, kā arī iespējamo nepieciešamo precizējumu noteikumu projektā vai anotācijā, lūdzam </w:t>
            </w:r>
            <w:proofErr w:type="spellStart"/>
            <w:r w:rsidRPr="003C51EE">
              <w:rPr>
                <w:rFonts w:eastAsia="Calibri"/>
              </w:rPr>
              <w:t>Iekšlietu</w:t>
            </w:r>
            <w:proofErr w:type="spellEnd"/>
            <w:r w:rsidRPr="003C51EE">
              <w:rPr>
                <w:rFonts w:eastAsia="Calibri"/>
              </w:rPr>
              <w:t xml:space="preserve"> ministriju rast iespēju rīkot starpinstitūciju sanāksmi kopā ar atzinumu sniedzējiem.</w:t>
            </w:r>
          </w:p>
        </w:tc>
        <w:tc>
          <w:tcPr>
            <w:tcW w:w="3686" w:type="dxa"/>
            <w:gridSpan w:val="2"/>
            <w:tcBorders>
              <w:left w:val="single" w:sz="6" w:space="0" w:color="000000"/>
              <w:bottom w:val="single" w:sz="4" w:space="0" w:color="auto"/>
              <w:right w:val="single" w:sz="6" w:space="0" w:color="000000"/>
            </w:tcBorders>
          </w:tcPr>
          <w:p w:rsidR="008F2A25" w:rsidRPr="003C51EE" w:rsidRDefault="008F2A25" w:rsidP="008F2A25">
            <w:pPr>
              <w:pStyle w:val="naisc"/>
              <w:spacing w:before="0" w:after="0"/>
              <w:ind w:firstLine="27"/>
              <w:rPr>
                <w:b/>
              </w:rPr>
            </w:pPr>
            <w:r w:rsidRPr="003C51EE">
              <w:rPr>
                <w:b/>
              </w:rPr>
              <w:t>Iebildums ir ņemts vērā.</w:t>
            </w:r>
          </w:p>
          <w:p w:rsidR="0017054C" w:rsidRPr="003C51EE" w:rsidRDefault="008F2A25" w:rsidP="008F2A25">
            <w:pPr>
              <w:pStyle w:val="naisc"/>
              <w:spacing w:before="0" w:after="0"/>
              <w:jc w:val="both"/>
              <w:rPr>
                <w:b/>
              </w:rPr>
            </w:pPr>
            <w:r w:rsidRPr="003C51EE">
              <w:t>Precizēts projekts un anotācijā ietvertā informācija.</w:t>
            </w:r>
          </w:p>
        </w:tc>
        <w:tc>
          <w:tcPr>
            <w:tcW w:w="3260" w:type="dxa"/>
            <w:tcBorders>
              <w:top w:val="single" w:sz="4" w:space="0" w:color="auto"/>
              <w:left w:val="single" w:sz="4" w:space="0" w:color="auto"/>
              <w:bottom w:val="single" w:sz="4" w:space="0" w:color="auto"/>
            </w:tcBorders>
          </w:tcPr>
          <w:p w:rsidR="0017054C" w:rsidRPr="003C51EE" w:rsidRDefault="0017054C" w:rsidP="00DF401D">
            <w:pPr>
              <w:autoSpaceDE w:val="0"/>
              <w:autoSpaceDN w:val="0"/>
              <w:adjustRightInd w:val="0"/>
              <w:jc w:val="both"/>
              <w:rPr>
                <w:highlight w:val="lightGray"/>
              </w:rPr>
            </w:pPr>
          </w:p>
        </w:tc>
      </w:tr>
      <w:tr w:rsidR="003C51EE" w:rsidRPr="003C51EE" w:rsidTr="00113C06">
        <w:tblPrEx>
          <w:tblBorders>
            <w:top w:val="none" w:sz="0" w:space="0" w:color="auto"/>
            <w:left w:val="none" w:sz="0" w:space="0" w:color="auto"/>
            <w:bottom w:val="none" w:sz="0" w:space="0" w:color="auto"/>
            <w:right w:val="none" w:sz="0" w:space="0" w:color="auto"/>
          </w:tblBorders>
        </w:tblPrEx>
        <w:trPr>
          <w:gridAfter w:val="2"/>
          <w:wAfter w:w="5956" w:type="dxa"/>
        </w:trPr>
        <w:tc>
          <w:tcPr>
            <w:tcW w:w="3108" w:type="dxa"/>
            <w:gridSpan w:val="2"/>
          </w:tcPr>
          <w:p w:rsidR="00113C06" w:rsidRPr="003C51EE" w:rsidRDefault="00113C06" w:rsidP="00E94FF8">
            <w:pPr>
              <w:pStyle w:val="naiskr"/>
              <w:spacing w:before="0" w:after="0"/>
            </w:pPr>
          </w:p>
          <w:p w:rsidR="00113C06" w:rsidRPr="003C51EE" w:rsidRDefault="00113C06" w:rsidP="00E94FF8">
            <w:pPr>
              <w:pStyle w:val="naiskr"/>
              <w:spacing w:before="0" w:after="0"/>
            </w:pPr>
            <w:r w:rsidRPr="003C51EE">
              <w:t>Atbildīgā amatpersona</w:t>
            </w:r>
          </w:p>
        </w:tc>
        <w:tc>
          <w:tcPr>
            <w:tcW w:w="6179" w:type="dxa"/>
            <w:gridSpan w:val="3"/>
          </w:tcPr>
          <w:p w:rsidR="00113C06" w:rsidRPr="003C51EE" w:rsidRDefault="00113C06" w:rsidP="00E94FF8">
            <w:pPr>
              <w:pStyle w:val="naiskr"/>
              <w:spacing w:before="0" w:after="0"/>
              <w:ind w:firstLine="720"/>
            </w:pPr>
            <w:r w:rsidRPr="003C51EE">
              <w:t>  </w:t>
            </w:r>
          </w:p>
        </w:tc>
      </w:tr>
      <w:tr w:rsidR="003C51EE" w:rsidRPr="003C51EE" w:rsidTr="00113C06">
        <w:tblPrEx>
          <w:tblBorders>
            <w:top w:val="none" w:sz="0" w:space="0" w:color="auto"/>
            <w:left w:val="none" w:sz="0" w:space="0" w:color="auto"/>
            <w:bottom w:val="none" w:sz="0" w:space="0" w:color="auto"/>
            <w:right w:val="none" w:sz="0" w:space="0" w:color="auto"/>
          </w:tblBorders>
        </w:tblPrEx>
        <w:trPr>
          <w:gridAfter w:val="2"/>
          <w:wAfter w:w="5956" w:type="dxa"/>
        </w:trPr>
        <w:tc>
          <w:tcPr>
            <w:tcW w:w="3108" w:type="dxa"/>
            <w:gridSpan w:val="2"/>
          </w:tcPr>
          <w:p w:rsidR="00113C06" w:rsidRPr="003C51EE" w:rsidRDefault="00113C06" w:rsidP="00E94FF8">
            <w:pPr>
              <w:pStyle w:val="naiskr"/>
              <w:spacing w:before="0" w:after="0"/>
              <w:ind w:firstLine="720"/>
            </w:pPr>
          </w:p>
        </w:tc>
        <w:tc>
          <w:tcPr>
            <w:tcW w:w="6179" w:type="dxa"/>
            <w:gridSpan w:val="3"/>
            <w:tcBorders>
              <w:top w:val="single" w:sz="6" w:space="0" w:color="000000"/>
            </w:tcBorders>
          </w:tcPr>
          <w:p w:rsidR="00113C06" w:rsidRPr="003C51EE" w:rsidRDefault="00113C06" w:rsidP="00E94FF8">
            <w:pPr>
              <w:pStyle w:val="naisc"/>
              <w:spacing w:before="0" w:after="0"/>
              <w:ind w:firstLine="720"/>
            </w:pPr>
            <w:r w:rsidRPr="003C51EE">
              <w:t>(paraksts*)</w:t>
            </w:r>
          </w:p>
        </w:tc>
      </w:tr>
    </w:tbl>
    <w:p w:rsidR="007116C7" w:rsidRPr="003C51EE" w:rsidRDefault="007116C7" w:rsidP="00DB7395">
      <w:pPr>
        <w:pStyle w:val="naisf"/>
        <w:spacing w:before="0" w:after="0"/>
        <w:ind w:firstLine="720"/>
      </w:pPr>
    </w:p>
    <w:p w:rsidR="00317DC7" w:rsidRPr="003C51EE" w:rsidRDefault="00184479" w:rsidP="00DB7395">
      <w:pPr>
        <w:pStyle w:val="naisf"/>
        <w:spacing w:before="0" w:after="0"/>
        <w:ind w:firstLine="720"/>
      </w:pPr>
      <w:r w:rsidRPr="003C51EE">
        <w:t>Piezīme.</w:t>
      </w:r>
      <w:r w:rsidR="00767BF3" w:rsidRPr="003C51EE">
        <w:t> </w:t>
      </w:r>
      <w:r w:rsidR="00FB6C91" w:rsidRPr="003C51EE">
        <w:t>*</w:t>
      </w:r>
      <w:r w:rsidR="00767BF3" w:rsidRPr="003C51EE">
        <w:t> </w:t>
      </w:r>
      <w:r w:rsidR="00317DC7" w:rsidRPr="003C51EE">
        <w:t xml:space="preserve">Dokumenta rekvizītu </w:t>
      </w:r>
      <w:r w:rsidR="00364BB6" w:rsidRPr="003C51EE">
        <w:t>"</w:t>
      </w:r>
      <w:r w:rsidR="0018210A" w:rsidRPr="003C51EE">
        <w:t>p</w:t>
      </w:r>
      <w:r w:rsidR="00317DC7" w:rsidRPr="003C51EE">
        <w:t>araksts</w:t>
      </w:r>
      <w:r w:rsidR="00364BB6" w:rsidRPr="003C51EE">
        <w:t>"</w:t>
      </w:r>
      <w:r w:rsidR="00317DC7" w:rsidRPr="003C51EE">
        <w:t xml:space="preserve"> neaizpilda, ja elektroniskais dokuments ir </w:t>
      </w:r>
      <w:r w:rsidRPr="003C51EE">
        <w:t>sagatavots</w:t>
      </w:r>
      <w:r w:rsidR="00317DC7" w:rsidRPr="003C51EE">
        <w:t xml:space="preserve"> atbilstoši </w:t>
      </w:r>
      <w:r w:rsidRPr="003C51EE">
        <w:t xml:space="preserve">normatīvajiem aktiem par </w:t>
      </w:r>
      <w:r w:rsidR="00317DC7" w:rsidRPr="003C51EE">
        <w:t>elektronisko dokumentu noformēšan</w:t>
      </w:r>
      <w:r w:rsidRPr="003C51EE">
        <w:t>u.</w:t>
      </w:r>
    </w:p>
    <w:p w:rsidR="004373E1" w:rsidRPr="003C51EE" w:rsidRDefault="004373E1" w:rsidP="00DB7395">
      <w:pPr>
        <w:pStyle w:val="naisf"/>
        <w:spacing w:before="0" w:after="0"/>
        <w:ind w:firstLine="720"/>
      </w:pPr>
    </w:p>
    <w:p w:rsidR="00610B32" w:rsidRPr="003C51EE" w:rsidRDefault="008778CB" w:rsidP="008778CB">
      <w:pPr>
        <w:pStyle w:val="naisf"/>
        <w:spacing w:before="0" w:after="0"/>
        <w:ind w:firstLine="0"/>
      </w:pPr>
      <w:r w:rsidRPr="003C51EE">
        <w:t xml:space="preserve">                        </w:t>
      </w:r>
      <w:r w:rsidR="00BF3810" w:rsidRPr="003C51EE">
        <w:t xml:space="preserve">                        </w:t>
      </w:r>
      <w:r w:rsidR="001322BD">
        <w:t>Dina Lejniece-Riekstiņa</w:t>
      </w:r>
    </w:p>
    <w:tbl>
      <w:tblPr>
        <w:tblW w:w="0" w:type="auto"/>
        <w:tblLook w:val="00A0" w:firstRow="1" w:lastRow="0" w:firstColumn="1" w:lastColumn="0" w:noHBand="0" w:noVBand="0"/>
      </w:tblPr>
      <w:tblGrid>
        <w:gridCol w:w="8268"/>
      </w:tblGrid>
      <w:tr w:rsidR="003C51EE" w:rsidRPr="003C51EE" w:rsidTr="00791D83">
        <w:tc>
          <w:tcPr>
            <w:tcW w:w="8268" w:type="dxa"/>
            <w:tcBorders>
              <w:top w:val="single" w:sz="4" w:space="0" w:color="000000"/>
            </w:tcBorders>
          </w:tcPr>
          <w:p w:rsidR="008655A2" w:rsidRPr="003C51EE" w:rsidRDefault="00184479" w:rsidP="00184479">
            <w:pPr>
              <w:jc w:val="center"/>
              <w:rPr>
                <w:sz w:val="20"/>
                <w:szCs w:val="20"/>
              </w:rPr>
            </w:pPr>
            <w:r w:rsidRPr="003C51EE">
              <w:rPr>
                <w:sz w:val="20"/>
                <w:szCs w:val="20"/>
              </w:rPr>
              <w:t>(</w:t>
            </w:r>
            <w:r w:rsidR="008655A2" w:rsidRPr="003C51EE">
              <w:rPr>
                <w:sz w:val="20"/>
                <w:szCs w:val="20"/>
              </w:rPr>
              <w:t xml:space="preserve">par projektu atbildīgās amatpersonas </w:t>
            </w:r>
            <w:r w:rsidRPr="003C51EE">
              <w:rPr>
                <w:sz w:val="20"/>
                <w:szCs w:val="20"/>
              </w:rPr>
              <w:t xml:space="preserve">vārds un </w:t>
            </w:r>
            <w:r w:rsidR="008655A2" w:rsidRPr="003C51EE">
              <w:rPr>
                <w:sz w:val="20"/>
                <w:szCs w:val="20"/>
              </w:rPr>
              <w:t>uzvārds</w:t>
            </w:r>
            <w:r w:rsidRPr="003C51EE">
              <w:rPr>
                <w:sz w:val="20"/>
                <w:szCs w:val="20"/>
              </w:rPr>
              <w:t>)</w:t>
            </w:r>
          </w:p>
          <w:p w:rsidR="008778CB" w:rsidRPr="003C51EE" w:rsidRDefault="008778CB" w:rsidP="00184479">
            <w:pPr>
              <w:jc w:val="center"/>
              <w:rPr>
                <w:sz w:val="20"/>
                <w:szCs w:val="20"/>
              </w:rPr>
            </w:pPr>
          </w:p>
        </w:tc>
      </w:tr>
      <w:tr w:rsidR="003C51EE" w:rsidRPr="003C51EE" w:rsidTr="00791D83">
        <w:tc>
          <w:tcPr>
            <w:tcW w:w="8268" w:type="dxa"/>
            <w:tcBorders>
              <w:bottom w:val="single" w:sz="4" w:space="0" w:color="000000"/>
            </w:tcBorders>
          </w:tcPr>
          <w:p w:rsidR="00880498" w:rsidRPr="003C51EE" w:rsidRDefault="008778CB" w:rsidP="00477ED2">
            <w:pPr>
              <w:jc w:val="center"/>
            </w:pPr>
            <w:r w:rsidRPr="003C51EE">
              <w:t xml:space="preserve">Valsts policijas Galvenās kārtības policijas pārvaldes </w:t>
            </w:r>
          </w:p>
          <w:p w:rsidR="00880498" w:rsidRPr="003C51EE" w:rsidRDefault="008778CB" w:rsidP="00477ED2">
            <w:pPr>
              <w:jc w:val="center"/>
            </w:pPr>
            <w:r w:rsidRPr="003C51EE">
              <w:t xml:space="preserve">Koordinācijas un kontroles pārvaldes </w:t>
            </w:r>
          </w:p>
          <w:p w:rsidR="008655A2" w:rsidRPr="003C51EE" w:rsidRDefault="008778CB" w:rsidP="001322BD">
            <w:pPr>
              <w:jc w:val="center"/>
            </w:pPr>
            <w:r w:rsidRPr="003C51EE">
              <w:t>Licencēšanas un atļauju sist</w:t>
            </w:r>
            <w:r w:rsidR="00BF3810" w:rsidRPr="003C51EE">
              <w:t xml:space="preserve">ēmas biroja </w:t>
            </w:r>
            <w:r w:rsidR="00477ED2" w:rsidRPr="003C51EE">
              <w:t>vecāk</w:t>
            </w:r>
            <w:r w:rsidR="001322BD">
              <w:t>ā speciāliste</w:t>
            </w:r>
          </w:p>
        </w:tc>
      </w:tr>
      <w:tr w:rsidR="003C51EE" w:rsidRPr="003C51EE" w:rsidTr="00791D83">
        <w:tc>
          <w:tcPr>
            <w:tcW w:w="8268" w:type="dxa"/>
            <w:tcBorders>
              <w:top w:val="single" w:sz="4" w:space="0" w:color="000000"/>
            </w:tcBorders>
          </w:tcPr>
          <w:p w:rsidR="008655A2" w:rsidRPr="003C51EE" w:rsidRDefault="00184479" w:rsidP="00184479">
            <w:pPr>
              <w:jc w:val="center"/>
              <w:rPr>
                <w:sz w:val="20"/>
                <w:szCs w:val="20"/>
              </w:rPr>
            </w:pPr>
            <w:r w:rsidRPr="003C51EE">
              <w:rPr>
                <w:sz w:val="20"/>
                <w:szCs w:val="20"/>
              </w:rPr>
              <w:t>(</w:t>
            </w:r>
            <w:r w:rsidR="008655A2" w:rsidRPr="003C51EE">
              <w:rPr>
                <w:sz w:val="20"/>
                <w:szCs w:val="20"/>
              </w:rPr>
              <w:t>amats</w:t>
            </w:r>
            <w:r w:rsidRPr="003C51EE">
              <w:rPr>
                <w:sz w:val="20"/>
                <w:szCs w:val="20"/>
              </w:rPr>
              <w:t>)</w:t>
            </w:r>
          </w:p>
          <w:p w:rsidR="008778CB" w:rsidRPr="003C51EE" w:rsidRDefault="008778CB" w:rsidP="00184479">
            <w:pPr>
              <w:jc w:val="center"/>
              <w:rPr>
                <w:sz w:val="20"/>
                <w:szCs w:val="20"/>
              </w:rPr>
            </w:pPr>
          </w:p>
        </w:tc>
      </w:tr>
      <w:tr w:rsidR="003C51EE" w:rsidRPr="003C51EE" w:rsidTr="00791D83">
        <w:tc>
          <w:tcPr>
            <w:tcW w:w="8268" w:type="dxa"/>
            <w:tcBorders>
              <w:bottom w:val="single" w:sz="4" w:space="0" w:color="000000"/>
            </w:tcBorders>
          </w:tcPr>
          <w:p w:rsidR="008655A2" w:rsidRPr="003C51EE" w:rsidRDefault="00BF3810" w:rsidP="001322BD">
            <w:pPr>
              <w:jc w:val="center"/>
            </w:pPr>
            <w:r w:rsidRPr="003C51EE">
              <w:t>67208</w:t>
            </w:r>
            <w:r w:rsidR="001322BD">
              <w:t>100</w:t>
            </w:r>
          </w:p>
        </w:tc>
      </w:tr>
      <w:tr w:rsidR="003C51EE" w:rsidRPr="003C51EE" w:rsidTr="00791D83">
        <w:tc>
          <w:tcPr>
            <w:tcW w:w="8268" w:type="dxa"/>
            <w:tcBorders>
              <w:top w:val="single" w:sz="4" w:space="0" w:color="000000"/>
            </w:tcBorders>
          </w:tcPr>
          <w:p w:rsidR="008655A2" w:rsidRPr="003C51EE" w:rsidRDefault="00184479" w:rsidP="00184479">
            <w:pPr>
              <w:jc w:val="center"/>
              <w:rPr>
                <w:sz w:val="20"/>
                <w:szCs w:val="20"/>
              </w:rPr>
            </w:pPr>
            <w:r w:rsidRPr="003C51EE">
              <w:rPr>
                <w:sz w:val="20"/>
                <w:szCs w:val="20"/>
              </w:rPr>
              <w:t>(</w:t>
            </w:r>
            <w:r w:rsidR="008655A2" w:rsidRPr="003C51EE">
              <w:rPr>
                <w:sz w:val="20"/>
                <w:szCs w:val="20"/>
              </w:rPr>
              <w:t>tālruņa un faksa numurs</w:t>
            </w:r>
            <w:r w:rsidRPr="003C51EE">
              <w:rPr>
                <w:sz w:val="20"/>
                <w:szCs w:val="20"/>
              </w:rPr>
              <w:t>)</w:t>
            </w:r>
          </w:p>
          <w:p w:rsidR="008778CB" w:rsidRPr="003C51EE" w:rsidRDefault="008778CB" w:rsidP="00184479">
            <w:pPr>
              <w:jc w:val="center"/>
              <w:rPr>
                <w:sz w:val="20"/>
                <w:szCs w:val="20"/>
              </w:rPr>
            </w:pPr>
          </w:p>
        </w:tc>
      </w:tr>
      <w:tr w:rsidR="003C51EE" w:rsidRPr="003C51EE" w:rsidTr="00791D83">
        <w:tc>
          <w:tcPr>
            <w:tcW w:w="8268" w:type="dxa"/>
            <w:tcBorders>
              <w:bottom w:val="single" w:sz="4" w:space="0" w:color="000000"/>
            </w:tcBorders>
          </w:tcPr>
          <w:p w:rsidR="008655A2" w:rsidRPr="003C51EE" w:rsidRDefault="001322BD" w:rsidP="001322BD">
            <w:pPr>
              <w:jc w:val="center"/>
            </w:pPr>
            <w:r>
              <w:t>dina.lejniece-riekstina</w:t>
            </w:r>
            <w:r w:rsidR="008778CB" w:rsidRPr="003C51EE">
              <w:t>@vp.gov.lv</w:t>
            </w:r>
          </w:p>
        </w:tc>
      </w:tr>
      <w:tr w:rsidR="003C51EE" w:rsidRPr="003C51EE" w:rsidTr="00791D83">
        <w:tc>
          <w:tcPr>
            <w:tcW w:w="8268" w:type="dxa"/>
            <w:tcBorders>
              <w:top w:val="single" w:sz="4" w:space="0" w:color="000000"/>
            </w:tcBorders>
          </w:tcPr>
          <w:p w:rsidR="008655A2" w:rsidRPr="003C51EE" w:rsidRDefault="00184479" w:rsidP="00184479">
            <w:pPr>
              <w:jc w:val="center"/>
              <w:rPr>
                <w:sz w:val="20"/>
                <w:szCs w:val="20"/>
              </w:rPr>
            </w:pPr>
            <w:r w:rsidRPr="003C51EE">
              <w:rPr>
                <w:sz w:val="20"/>
                <w:szCs w:val="20"/>
              </w:rPr>
              <w:t>(</w:t>
            </w:r>
            <w:r w:rsidR="008655A2" w:rsidRPr="003C51EE">
              <w:rPr>
                <w:sz w:val="20"/>
                <w:szCs w:val="20"/>
              </w:rPr>
              <w:t>e-pasta adrese</w:t>
            </w:r>
            <w:r w:rsidRPr="003C51EE">
              <w:rPr>
                <w:sz w:val="20"/>
                <w:szCs w:val="20"/>
              </w:rPr>
              <w:t>)</w:t>
            </w:r>
          </w:p>
        </w:tc>
      </w:tr>
    </w:tbl>
    <w:tbl>
      <w:tblPr>
        <w:tblpPr w:leftFromText="180" w:rightFromText="180" w:vertAnchor="text" w:horzAnchor="margin" w:tblpY="15"/>
        <w:tblW w:w="0" w:type="auto"/>
        <w:tblLook w:val="00A0" w:firstRow="1" w:lastRow="0" w:firstColumn="1" w:lastColumn="0" w:noHBand="0" w:noVBand="0"/>
      </w:tblPr>
      <w:tblGrid>
        <w:gridCol w:w="222"/>
        <w:gridCol w:w="222"/>
      </w:tblGrid>
      <w:tr w:rsidR="003C51EE" w:rsidRPr="003C51EE" w:rsidTr="00791D83">
        <w:trPr>
          <w:trHeight w:val="436"/>
        </w:trPr>
        <w:tc>
          <w:tcPr>
            <w:tcW w:w="0" w:type="auto"/>
          </w:tcPr>
          <w:p w:rsidR="00791D83" w:rsidRPr="003C51EE" w:rsidRDefault="00791D83" w:rsidP="00791D83"/>
        </w:tc>
        <w:tc>
          <w:tcPr>
            <w:tcW w:w="0" w:type="auto"/>
          </w:tcPr>
          <w:p w:rsidR="00791D83" w:rsidRPr="003C51EE" w:rsidRDefault="00791D83" w:rsidP="00791D83"/>
        </w:tc>
      </w:tr>
    </w:tbl>
    <w:p w:rsidR="007116C7" w:rsidRPr="003C51EE" w:rsidRDefault="007116C7" w:rsidP="003E3830">
      <w:pPr>
        <w:pStyle w:val="naisf"/>
        <w:spacing w:before="0" w:after="0"/>
        <w:ind w:firstLine="0"/>
        <w:jc w:val="left"/>
        <w:rPr>
          <w:sz w:val="26"/>
          <w:szCs w:val="26"/>
        </w:rPr>
      </w:pPr>
    </w:p>
    <w:p w:rsidR="009564BB" w:rsidRPr="003C51EE" w:rsidRDefault="009564BB" w:rsidP="00791D83">
      <w:pPr>
        <w:pStyle w:val="naisf"/>
        <w:spacing w:before="0" w:after="0"/>
        <w:ind w:firstLine="0"/>
        <w:jc w:val="left"/>
        <w:rPr>
          <w:sz w:val="26"/>
          <w:szCs w:val="26"/>
        </w:rPr>
      </w:pPr>
    </w:p>
    <w:sectPr w:rsidR="009564BB" w:rsidRPr="003C51EE" w:rsidSect="00AE18BB">
      <w:headerReference w:type="even" r:id="rId13"/>
      <w:headerReference w:type="default" r:id="rId14"/>
      <w:footerReference w:type="default" r:id="rId15"/>
      <w:footerReference w:type="first" r:id="rId16"/>
      <w:pgSz w:w="16838" w:h="11906" w:orient="landscape"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557" w:rsidRDefault="00C05557">
      <w:r>
        <w:separator/>
      </w:r>
    </w:p>
  </w:endnote>
  <w:endnote w:type="continuationSeparator" w:id="0">
    <w:p w:rsidR="00C05557" w:rsidRDefault="00C0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3C" w:rsidRPr="007B681C" w:rsidRDefault="00936FDA" w:rsidP="002C200F">
    <w:pPr>
      <w:pStyle w:val="Footer"/>
      <w:rPr>
        <w:sz w:val="20"/>
        <w:szCs w:val="20"/>
      </w:rPr>
    </w:pPr>
    <w:r w:rsidRPr="00364217">
      <w:rPr>
        <w:sz w:val="20"/>
        <w:szCs w:val="20"/>
      </w:rPr>
      <w:fldChar w:fldCharType="begin"/>
    </w:r>
    <w:r w:rsidRPr="00364217">
      <w:rPr>
        <w:sz w:val="20"/>
        <w:szCs w:val="20"/>
      </w:rPr>
      <w:instrText xml:space="preserve"> FILENAME   \* MERGEFORMAT </w:instrText>
    </w:r>
    <w:r w:rsidRPr="00364217">
      <w:rPr>
        <w:sz w:val="20"/>
        <w:szCs w:val="20"/>
      </w:rPr>
      <w:fldChar w:fldCharType="separate"/>
    </w:r>
    <w:r w:rsidR="002A1435">
      <w:rPr>
        <w:noProof/>
        <w:sz w:val="20"/>
        <w:szCs w:val="20"/>
      </w:rPr>
      <w:t>IEMi</w:t>
    </w:r>
    <w:r w:rsidR="00C2007D">
      <w:rPr>
        <w:noProof/>
        <w:sz w:val="20"/>
        <w:szCs w:val="20"/>
      </w:rPr>
      <w:t>zz_</w:t>
    </w:r>
    <w:r w:rsidR="001322BD">
      <w:rPr>
        <w:noProof/>
        <w:sz w:val="20"/>
        <w:szCs w:val="20"/>
      </w:rPr>
      <w:t>061119</w:t>
    </w:r>
    <w:r>
      <w:rPr>
        <w:noProof/>
        <w:sz w:val="20"/>
        <w:szCs w:val="20"/>
      </w:rPr>
      <w:t>_licencesana.docx</w:t>
    </w:r>
    <w:r w:rsidRPr="00364217">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6763D6B0627C4AEA8F5C21DF572A69B8"/>
      </w:placeholder>
      <w:temporary/>
      <w:showingPlcHdr/>
      <w15:appearance w15:val="hidden"/>
    </w:sdtPr>
    <w:sdtContent>
      <w:p w:rsidR="00AE18BB" w:rsidRDefault="00AE18BB">
        <w:pPr>
          <w:pStyle w:val="Footer"/>
        </w:pPr>
        <w:r>
          <w:t>[Type here]</w:t>
        </w:r>
      </w:p>
    </w:sdtContent>
  </w:sdt>
  <w:p w:rsidR="006455E7" w:rsidRPr="00015C84" w:rsidRDefault="006455E7" w:rsidP="00364BB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557" w:rsidRDefault="00C05557">
      <w:r>
        <w:separator/>
      </w:r>
    </w:p>
  </w:footnote>
  <w:footnote w:type="continuationSeparator" w:id="0">
    <w:p w:rsidR="00C05557" w:rsidRDefault="00C05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435">
      <w:rPr>
        <w:rStyle w:val="PageNumber"/>
        <w:noProof/>
      </w:rPr>
      <w:t>15</w:t>
    </w:r>
    <w:r>
      <w:rPr>
        <w:rStyle w:val="PageNumber"/>
      </w:rPr>
      <w:fldChar w:fldCharType="end"/>
    </w:r>
  </w:p>
  <w:p w:rsidR="006455E7" w:rsidRPr="00BF3810" w:rsidRDefault="006455E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1F89"/>
    <w:rsid w:val="00003B01"/>
    <w:rsid w:val="00003B8F"/>
    <w:rsid w:val="00003C53"/>
    <w:rsid w:val="0000456E"/>
    <w:rsid w:val="000055EA"/>
    <w:rsid w:val="00006A3F"/>
    <w:rsid w:val="00006BF1"/>
    <w:rsid w:val="00007262"/>
    <w:rsid w:val="0001118D"/>
    <w:rsid w:val="0001131F"/>
    <w:rsid w:val="00011663"/>
    <w:rsid w:val="00011756"/>
    <w:rsid w:val="0001249F"/>
    <w:rsid w:val="000125C0"/>
    <w:rsid w:val="0001270C"/>
    <w:rsid w:val="00012B7D"/>
    <w:rsid w:val="000136AA"/>
    <w:rsid w:val="00013B4C"/>
    <w:rsid w:val="00013BF6"/>
    <w:rsid w:val="0001554C"/>
    <w:rsid w:val="00015B94"/>
    <w:rsid w:val="00015C84"/>
    <w:rsid w:val="00015DE5"/>
    <w:rsid w:val="000172E2"/>
    <w:rsid w:val="00017449"/>
    <w:rsid w:val="00020249"/>
    <w:rsid w:val="000205ED"/>
    <w:rsid w:val="00022338"/>
    <w:rsid w:val="0002296A"/>
    <w:rsid w:val="00022B0F"/>
    <w:rsid w:val="00022B9A"/>
    <w:rsid w:val="00023FD6"/>
    <w:rsid w:val="00024141"/>
    <w:rsid w:val="0002416A"/>
    <w:rsid w:val="00024CCD"/>
    <w:rsid w:val="00024D20"/>
    <w:rsid w:val="000253DB"/>
    <w:rsid w:val="000278E7"/>
    <w:rsid w:val="00027A63"/>
    <w:rsid w:val="00027F9D"/>
    <w:rsid w:val="000307B5"/>
    <w:rsid w:val="00032457"/>
    <w:rsid w:val="0003413A"/>
    <w:rsid w:val="000349CA"/>
    <w:rsid w:val="000354AD"/>
    <w:rsid w:val="0003557A"/>
    <w:rsid w:val="00035C06"/>
    <w:rsid w:val="000366DF"/>
    <w:rsid w:val="000376CD"/>
    <w:rsid w:val="00037D64"/>
    <w:rsid w:val="00040A5C"/>
    <w:rsid w:val="00043005"/>
    <w:rsid w:val="0004345F"/>
    <w:rsid w:val="00044026"/>
    <w:rsid w:val="00046075"/>
    <w:rsid w:val="00046CAD"/>
    <w:rsid w:val="00046F5C"/>
    <w:rsid w:val="00047385"/>
    <w:rsid w:val="00047CA9"/>
    <w:rsid w:val="00050554"/>
    <w:rsid w:val="00053706"/>
    <w:rsid w:val="00053E04"/>
    <w:rsid w:val="000579E6"/>
    <w:rsid w:val="0006030B"/>
    <w:rsid w:val="00060E03"/>
    <w:rsid w:val="000641CE"/>
    <w:rsid w:val="000650D3"/>
    <w:rsid w:val="00065271"/>
    <w:rsid w:val="00066176"/>
    <w:rsid w:val="0006618D"/>
    <w:rsid w:val="00066885"/>
    <w:rsid w:val="0006694E"/>
    <w:rsid w:val="00066A37"/>
    <w:rsid w:val="00066D87"/>
    <w:rsid w:val="00066F05"/>
    <w:rsid w:val="0006783B"/>
    <w:rsid w:val="0007100C"/>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3EC8"/>
    <w:rsid w:val="000A4035"/>
    <w:rsid w:val="000A483A"/>
    <w:rsid w:val="000A55D2"/>
    <w:rsid w:val="000A64D3"/>
    <w:rsid w:val="000A77B9"/>
    <w:rsid w:val="000A7EA7"/>
    <w:rsid w:val="000B013F"/>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34E"/>
    <w:rsid w:val="000D0AED"/>
    <w:rsid w:val="000D3602"/>
    <w:rsid w:val="000D4D89"/>
    <w:rsid w:val="000D6BBD"/>
    <w:rsid w:val="000D7751"/>
    <w:rsid w:val="000D7C23"/>
    <w:rsid w:val="000E0A16"/>
    <w:rsid w:val="000E1B4C"/>
    <w:rsid w:val="000E1BFA"/>
    <w:rsid w:val="000E2142"/>
    <w:rsid w:val="000E21D0"/>
    <w:rsid w:val="000E2A38"/>
    <w:rsid w:val="000E2ACC"/>
    <w:rsid w:val="000E5509"/>
    <w:rsid w:val="000E585F"/>
    <w:rsid w:val="000E66F8"/>
    <w:rsid w:val="000F054F"/>
    <w:rsid w:val="000F079D"/>
    <w:rsid w:val="000F0D9D"/>
    <w:rsid w:val="000F1D56"/>
    <w:rsid w:val="000F2203"/>
    <w:rsid w:val="000F2534"/>
    <w:rsid w:val="000F28D9"/>
    <w:rsid w:val="000F2D43"/>
    <w:rsid w:val="000F2F9A"/>
    <w:rsid w:val="000F34F1"/>
    <w:rsid w:val="000F3AA0"/>
    <w:rsid w:val="000F3E6F"/>
    <w:rsid w:val="000F4AEB"/>
    <w:rsid w:val="000F4B40"/>
    <w:rsid w:val="000F4C3B"/>
    <w:rsid w:val="000F4E7B"/>
    <w:rsid w:val="000F57C3"/>
    <w:rsid w:val="000F5C37"/>
    <w:rsid w:val="000F5DF0"/>
    <w:rsid w:val="000F6A0B"/>
    <w:rsid w:val="000F7695"/>
    <w:rsid w:val="00100E53"/>
    <w:rsid w:val="001012E3"/>
    <w:rsid w:val="001015BD"/>
    <w:rsid w:val="00101EEB"/>
    <w:rsid w:val="0010375A"/>
    <w:rsid w:val="001038ED"/>
    <w:rsid w:val="001042B0"/>
    <w:rsid w:val="00106F4F"/>
    <w:rsid w:val="001071D3"/>
    <w:rsid w:val="001075A8"/>
    <w:rsid w:val="00110259"/>
    <w:rsid w:val="00110AA9"/>
    <w:rsid w:val="0011254D"/>
    <w:rsid w:val="001139C2"/>
    <w:rsid w:val="00113C06"/>
    <w:rsid w:val="00114559"/>
    <w:rsid w:val="00114EA9"/>
    <w:rsid w:val="00115ED0"/>
    <w:rsid w:val="0011683C"/>
    <w:rsid w:val="001179E8"/>
    <w:rsid w:val="00120159"/>
    <w:rsid w:val="0012021B"/>
    <w:rsid w:val="0012222D"/>
    <w:rsid w:val="001255E6"/>
    <w:rsid w:val="0013053A"/>
    <w:rsid w:val="0013066A"/>
    <w:rsid w:val="001315EF"/>
    <w:rsid w:val="0013178A"/>
    <w:rsid w:val="00131F39"/>
    <w:rsid w:val="001322BD"/>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0D6"/>
    <w:rsid w:val="001623DE"/>
    <w:rsid w:val="00162A68"/>
    <w:rsid w:val="00162E08"/>
    <w:rsid w:val="001633F1"/>
    <w:rsid w:val="00163BCA"/>
    <w:rsid w:val="00164A07"/>
    <w:rsid w:val="0016531E"/>
    <w:rsid w:val="0016565C"/>
    <w:rsid w:val="0016628F"/>
    <w:rsid w:val="00166314"/>
    <w:rsid w:val="00166746"/>
    <w:rsid w:val="00167590"/>
    <w:rsid w:val="00167918"/>
    <w:rsid w:val="00167C1E"/>
    <w:rsid w:val="0017043B"/>
    <w:rsid w:val="0017054C"/>
    <w:rsid w:val="001706A1"/>
    <w:rsid w:val="00170914"/>
    <w:rsid w:val="00170DF2"/>
    <w:rsid w:val="00174841"/>
    <w:rsid w:val="001761FD"/>
    <w:rsid w:val="00177D61"/>
    <w:rsid w:val="00180125"/>
    <w:rsid w:val="001808CA"/>
    <w:rsid w:val="00180923"/>
    <w:rsid w:val="00180CE5"/>
    <w:rsid w:val="00181BAA"/>
    <w:rsid w:val="00181D2D"/>
    <w:rsid w:val="00181DBF"/>
    <w:rsid w:val="0018210A"/>
    <w:rsid w:val="00182DE0"/>
    <w:rsid w:val="0018386C"/>
    <w:rsid w:val="001839BE"/>
    <w:rsid w:val="00184479"/>
    <w:rsid w:val="0018472C"/>
    <w:rsid w:val="00184838"/>
    <w:rsid w:val="00185755"/>
    <w:rsid w:val="00187398"/>
    <w:rsid w:val="00187F73"/>
    <w:rsid w:val="00187FB0"/>
    <w:rsid w:val="001902E9"/>
    <w:rsid w:val="00190327"/>
    <w:rsid w:val="00190A0A"/>
    <w:rsid w:val="001926F2"/>
    <w:rsid w:val="00193BCE"/>
    <w:rsid w:val="00194B87"/>
    <w:rsid w:val="0019555C"/>
    <w:rsid w:val="0019569A"/>
    <w:rsid w:val="00195962"/>
    <w:rsid w:val="00197533"/>
    <w:rsid w:val="001977E7"/>
    <w:rsid w:val="00197CCA"/>
    <w:rsid w:val="001A0D8A"/>
    <w:rsid w:val="001A0E99"/>
    <w:rsid w:val="001A192D"/>
    <w:rsid w:val="001A37CA"/>
    <w:rsid w:val="001A40B5"/>
    <w:rsid w:val="001A4EDA"/>
    <w:rsid w:val="001A519C"/>
    <w:rsid w:val="001A5D7C"/>
    <w:rsid w:val="001A7C72"/>
    <w:rsid w:val="001B084B"/>
    <w:rsid w:val="001B0CEC"/>
    <w:rsid w:val="001B0FFC"/>
    <w:rsid w:val="001B1719"/>
    <w:rsid w:val="001B1CF2"/>
    <w:rsid w:val="001B3047"/>
    <w:rsid w:val="001B4388"/>
    <w:rsid w:val="001B463E"/>
    <w:rsid w:val="001B49E0"/>
    <w:rsid w:val="001B5377"/>
    <w:rsid w:val="001B6553"/>
    <w:rsid w:val="001B6647"/>
    <w:rsid w:val="001B6A47"/>
    <w:rsid w:val="001B6B0A"/>
    <w:rsid w:val="001B6C3C"/>
    <w:rsid w:val="001C0824"/>
    <w:rsid w:val="001C0B83"/>
    <w:rsid w:val="001C0BDC"/>
    <w:rsid w:val="001C1510"/>
    <w:rsid w:val="001C1989"/>
    <w:rsid w:val="001C28FD"/>
    <w:rsid w:val="001C3349"/>
    <w:rsid w:val="001C4ABA"/>
    <w:rsid w:val="001C546B"/>
    <w:rsid w:val="001C5EA2"/>
    <w:rsid w:val="001C6608"/>
    <w:rsid w:val="001C6C7D"/>
    <w:rsid w:val="001C760A"/>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6DBB"/>
    <w:rsid w:val="001E774F"/>
    <w:rsid w:val="001E7C1D"/>
    <w:rsid w:val="001F073F"/>
    <w:rsid w:val="001F0922"/>
    <w:rsid w:val="001F3009"/>
    <w:rsid w:val="001F3358"/>
    <w:rsid w:val="001F35CB"/>
    <w:rsid w:val="001F390F"/>
    <w:rsid w:val="001F5032"/>
    <w:rsid w:val="001F5CD1"/>
    <w:rsid w:val="001F7257"/>
    <w:rsid w:val="001F7739"/>
    <w:rsid w:val="0020011B"/>
    <w:rsid w:val="0020187E"/>
    <w:rsid w:val="00201DC6"/>
    <w:rsid w:val="00202375"/>
    <w:rsid w:val="002025EA"/>
    <w:rsid w:val="00202884"/>
    <w:rsid w:val="00202A3E"/>
    <w:rsid w:val="00202E44"/>
    <w:rsid w:val="00203556"/>
    <w:rsid w:val="00204015"/>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10EA"/>
    <w:rsid w:val="00222386"/>
    <w:rsid w:val="00222BEC"/>
    <w:rsid w:val="00222F51"/>
    <w:rsid w:val="002230E1"/>
    <w:rsid w:val="00223361"/>
    <w:rsid w:val="00223631"/>
    <w:rsid w:val="002244BA"/>
    <w:rsid w:val="002247AA"/>
    <w:rsid w:val="00224DA7"/>
    <w:rsid w:val="002261CB"/>
    <w:rsid w:val="002268BF"/>
    <w:rsid w:val="00227BDE"/>
    <w:rsid w:val="00230045"/>
    <w:rsid w:val="0023014E"/>
    <w:rsid w:val="002308FA"/>
    <w:rsid w:val="00230BCC"/>
    <w:rsid w:val="0023132F"/>
    <w:rsid w:val="00231AA5"/>
    <w:rsid w:val="00232F90"/>
    <w:rsid w:val="0023339B"/>
    <w:rsid w:val="0023469C"/>
    <w:rsid w:val="00234C71"/>
    <w:rsid w:val="00235262"/>
    <w:rsid w:val="00235511"/>
    <w:rsid w:val="00235E5E"/>
    <w:rsid w:val="002366E0"/>
    <w:rsid w:val="00236DE1"/>
    <w:rsid w:val="002372EE"/>
    <w:rsid w:val="002372FD"/>
    <w:rsid w:val="0023764D"/>
    <w:rsid w:val="002415BC"/>
    <w:rsid w:val="002434B2"/>
    <w:rsid w:val="002442F4"/>
    <w:rsid w:val="002445EA"/>
    <w:rsid w:val="00244ECE"/>
    <w:rsid w:val="00244FC5"/>
    <w:rsid w:val="00245D1D"/>
    <w:rsid w:val="00250EDA"/>
    <w:rsid w:val="002514CB"/>
    <w:rsid w:val="00251502"/>
    <w:rsid w:val="002518E8"/>
    <w:rsid w:val="00251C10"/>
    <w:rsid w:val="002527F0"/>
    <w:rsid w:val="00252E1E"/>
    <w:rsid w:val="002538BA"/>
    <w:rsid w:val="0025443A"/>
    <w:rsid w:val="0025469D"/>
    <w:rsid w:val="002552B1"/>
    <w:rsid w:val="00255D01"/>
    <w:rsid w:val="00256E55"/>
    <w:rsid w:val="00257E0E"/>
    <w:rsid w:val="00257FF4"/>
    <w:rsid w:val="00260FCB"/>
    <w:rsid w:val="002615F5"/>
    <w:rsid w:val="002616B9"/>
    <w:rsid w:val="002617CE"/>
    <w:rsid w:val="0026217B"/>
    <w:rsid w:val="002629E4"/>
    <w:rsid w:val="00263FE3"/>
    <w:rsid w:val="002650C0"/>
    <w:rsid w:val="00265593"/>
    <w:rsid w:val="002675EA"/>
    <w:rsid w:val="00267BC5"/>
    <w:rsid w:val="00267CBE"/>
    <w:rsid w:val="00267E0B"/>
    <w:rsid w:val="00270680"/>
    <w:rsid w:val="00271103"/>
    <w:rsid w:val="002721FA"/>
    <w:rsid w:val="0027230C"/>
    <w:rsid w:val="00272B99"/>
    <w:rsid w:val="002735E6"/>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2ED6"/>
    <w:rsid w:val="00294BDE"/>
    <w:rsid w:val="00295DB6"/>
    <w:rsid w:val="0029788B"/>
    <w:rsid w:val="00297D1B"/>
    <w:rsid w:val="00297F4D"/>
    <w:rsid w:val="002A0226"/>
    <w:rsid w:val="002A0661"/>
    <w:rsid w:val="002A077D"/>
    <w:rsid w:val="002A1053"/>
    <w:rsid w:val="002A1435"/>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0239"/>
    <w:rsid w:val="002C200F"/>
    <w:rsid w:val="002C2892"/>
    <w:rsid w:val="002C58AB"/>
    <w:rsid w:val="002C6D84"/>
    <w:rsid w:val="002C790F"/>
    <w:rsid w:val="002C7D21"/>
    <w:rsid w:val="002D1564"/>
    <w:rsid w:val="002D1CA4"/>
    <w:rsid w:val="002D247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0C10"/>
    <w:rsid w:val="002F16D5"/>
    <w:rsid w:val="002F1A90"/>
    <w:rsid w:val="002F1C2F"/>
    <w:rsid w:val="002F2102"/>
    <w:rsid w:val="002F3D1C"/>
    <w:rsid w:val="002F4EA1"/>
    <w:rsid w:val="002F52DE"/>
    <w:rsid w:val="002F55C1"/>
    <w:rsid w:val="002F5692"/>
    <w:rsid w:val="002F601A"/>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2E7"/>
    <w:rsid w:val="003267B4"/>
    <w:rsid w:val="00331193"/>
    <w:rsid w:val="003333D4"/>
    <w:rsid w:val="00334951"/>
    <w:rsid w:val="00335274"/>
    <w:rsid w:val="00336411"/>
    <w:rsid w:val="0033678D"/>
    <w:rsid w:val="0033720D"/>
    <w:rsid w:val="003373E8"/>
    <w:rsid w:val="0033797A"/>
    <w:rsid w:val="00340D85"/>
    <w:rsid w:val="003443DD"/>
    <w:rsid w:val="00344D5A"/>
    <w:rsid w:val="00346EB6"/>
    <w:rsid w:val="00347EDB"/>
    <w:rsid w:val="00350797"/>
    <w:rsid w:val="00351A85"/>
    <w:rsid w:val="003522E8"/>
    <w:rsid w:val="00352A8F"/>
    <w:rsid w:val="00353989"/>
    <w:rsid w:val="00355B7A"/>
    <w:rsid w:val="0035617C"/>
    <w:rsid w:val="00356E7E"/>
    <w:rsid w:val="00356EB8"/>
    <w:rsid w:val="00357B83"/>
    <w:rsid w:val="003614A8"/>
    <w:rsid w:val="0036160E"/>
    <w:rsid w:val="00362610"/>
    <w:rsid w:val="00363830"/>
    <w:rsid w:val="00363D2D"/>
    <w:rsid w:val="00364025"/>
    <w:rsid w:val="00364217"/>
    <w:rsid w:val="00364BB6"/>
    <w:rsid w:val="00364D6B"/>
    <w:rsid w:val="00365408"/>
    <w:rsid w:val="00365CC0"/>
    <w:rsid w:val="003668DF"/>
    <w:rsid w:val="00367688"/>
    <w:rsid w:val="00371457"/>
    <w:rsid w:val="0037218F"/>
    <w:rsid w:val="00372221"/>
    <w:rsid w:val="00372CF2"/>
    <w:rsid w:val="0037424D"/>
    <w:rsid w:val="00374C7E"/>
    <w:rsid w:val="00377353"/>
    <w:rsid w:val="0037736B"/>
    <w:rsid w:val="00381F57"/>
    <w:rsid w:val="0038216E"/>
    <w:rsid w:val="003822E5"/>
    <w:rsid w:val="003830B8"/>
    <w:rsid w:val="00383262"/>
    <w:rsid w:val="00386B3C"/>
    <w:rsid w:val="003A157A"/>
    <w:rsid w:val="003A283F"/>
    <w:rsid w:val="003A2A16"/>
    <w:rsid w:val="003A2FDD"/>
    <w:rsid w:val="003A3C43"/>
    <w:rsid w:val="003A5CCC"/>
    <w:rsid w:val="003A70FF"/>
    <w:rsid w:val="003A74D2"/>
    <w:rsid w:val="003A756B"/>
    <w:rsid w:val="003A76C8"/>
    <w:rsid w:val="003A7902"/>
    <w:rsid w:val="003B23D7"/>
    <w:rsid w:val="003B34CB"/>
    <w:rsid w:val="003B3AB4"/>
    <w:rsid w:val="003B3CA8"/>
    <w:rsid w:val="003B45D5"/>
    <w:rsid w:val="003B52FE"/>
    <w:rsid w:val="003B572A"/>
    <w:rsid w:val="003B6325"/>
    <w:rsid w:val="003B71E0"/>
    <w:rsid w:val="003B7637"/>
    <w:rsid w:val="003B78A4"/>
    <w:rsid w:val="003C144E"/>
    <w:rsid w:val="003C1A07"/>
    <w:rsid w:val="003C1E74"/>
    <w:rsid w:val="003C20A2"/>
    <w:rsid w:val="003C2673"/>
    <w:rsid w:val="003C27A2"/>
    <w:rsid w:val="003C51EE"/>
    <w:rsid w:val="003C567C"/>
    <w:rsid w:val="003C59B8"/>
    <w:rsid w:val="003C6809"/>
    <w:rsid w:val="003C7897"/>
    <w:rsid w:val="003D0937"/>
    <w:rsid w:val="003D17E6"/>
    <w:rsid w:val="003D1A20"/>
    <w:rsid w:val="003D1AC9"/>
    <w:rsid w:val="003D2AC9"/>
    <w:rsid w:val="003D2CD8"/>
    <w:rsid w:val="003D3724"/>
    <w:rsid w:val="003D46A7"/>
    <w:rsid w:val="003D4F3F"/>
    <w:rsid w:val="003D5AA7"/>
    <w:rsid w:val="003D6376"/>
    <w:rsid w:val="003E1235"/>
    <w:rsid w:val="003E1342"/>
    <w:rsid w:val="003E2A35"/>
    <w:rsid w:val="003E2B56"/>
    <w:rsid w:val="003E2CE1"/>
    <w:rsid w:val="003E2DCB"/>
    <w:rsid w:val="003E2F64"/>
    <w:rsid w:val="003E3830"/>
    <w:rsid w:val="003E4C3F"/>
    <w:rsid w:val="003E4D7C"/>
    <w:rsid w:val="003E5FA8"/>
    <w:rsid w:val="003E6252"/>
    <w:rsid w:val="003F1200"/>
    <w:rsid w:val="003F1421"/>
    <w:rsid w:val="003F1844"/>
    <w:rsid w:val="003F241E"/>
    <w:rsid w:val="003F28C0"/>
    <w:rsid w:val="003F52B2"/>
    <w:rsid w:val="003F6BD6"/>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5933"/>
    <w:rsid w:val="004065D6"/>
    <w:rsid w:val="0040687D"/>
    <w:rsid w:val="0040709D"/>
    <w:rsid w:val="0040713F"/>
    <w:rsid w:val="004075A3"/>
    <w:rsid w:val="00410C48"/>
    <w:rsid w:val="00412EF0"/>
    <w:rsid w:val="00414AC9"/>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17A4"/>
    <w:rsid w:val="004520CD"/>
    <w:rsid w:val="0045226B"/>
    <w:rsid w:val="00452DF3"/>
    <w:rsid w:val="004534F5"/>
    <w:rsid w:val="00453765"/>
    <w:rsid w:val="00454EC3"/>
    <w:rsid w:val="0045530A"/>
    <w:rsid w:val="004554AE"/>
    <w:rsid w:val="004554C3"/>
    <w:rsid w:val="00455FB6"/>
    <w:rsid w:val="00456E77"/>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1EE1"/>
    <w:rsid w:val="004720C9"/>
    <w:rsid w:val="00472257"/>
    <w:rsid w:val="00472E49"/>
    <w:rsid w:val="004732BB"/>
    <w:rsid w:val="00474C60"/>
    <w:rsid w:val="00475944"/>
    <w:rsid w:val="00475DF0"/>
    <w:rsid w:val="00476525"/>
    <w:rsid w:val="004772E2"/>
    <w:rsid w:val="0047739F"/>
    <w:rsid w:val="00477ED2"/>
    <w:rsid w:val="00477F97"/>
    <w:rsid w:val="00480A2D"/>
    <w:rsid w:val="00480AFB"/>
    <w:rsid w:val="00481247"/>
    <w:rsid w:val="004828DC"/>
    <w:rsid w:val="00482FF7"/>
    <w:rsid w:val="00483098"/>
    <w:rsid w:val="004831BA"/>
    <w:rsid w:val="00483AFB"/>
    <w:rsid w:val="00483E3E"/>
    <w:rsid w:val="00483E56"/>
    <w:rsid w:val="0048402B"/>
    <w:rsid w:val="0048414A"/>
    <w:rsid w:val="00485323"/>
    <w:rsid w:val="00485C56"/>
    <w:rsid w:val="004869CB"/>
    <w:rsid w:val="00486B79"/>
    <w:rsid w:val="00486CA2"/>
    <w:rsid w:val="00490B25"/>
    <w:rsid w:val="00490FD6"/>
    <w:rsid w:val="004911C4"/>
    <w:rsid w:val="00493110"/>
    <w:rsid w:val="00494CC8"/>
    <w:rsid w:val="004955E7"/>
    <w:rsid w:val="0049589C"/>
    <w:rsid w:val="00495EF1"/>
    <w:rsid w:val="00496ED4"/>
    <w:rsid w:val="00497D4A"/>
    <w:rsid w:val="004A03D4"/>
    <w:rsid w:val="004A0441"/>
    <w:rsid w:val="004A044F"/>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B74E7"/>
    <w:rsid w:val="004C2107"/>
    <w:rsid w:val="004C40B1"/>
    <w:rsid w:val="004C5BDE"/>
    <w:rsid w:val="004C5FC6"/>
    <w:rsid w:val="004C6435"/>
    <w:rsid w:val="004C649B"/>
    <w:rsid w:val="004C7B9C"/>
    <w:rsid w:val="004C7D55"/>
    <w:rsid w:val="004D089A"/>
    <w:rsid w:val="004D3184"/>
    <w:rsid w:val="004D5030"/>
    <w:rsid w:val="004D6045"/>
    <w:rsid w:val="004D6103"/>
    <w:rsid w:val="004D7546"/>
    <w:rsid w:val="004D7C36"/>
    <w:rsid w:val="004D7EC5"/>
    <w:rsid w:val="004E02B0"/>
    <w:rsid w:val="004E0B29"/>
    <w:rsid w:val="004E0E11"/>
    <w:rsid w:val="004E0F08"/>
    <w:rsid w:val="004E1546"/>
    <w:rsid w:val="004E19DC"/>
    <w:rsid w:val="004E35E8"/>
    <w:rsid w:val="004E50F0"/>
    <w:rsid w:val="004E546A"/>
    <w:rsid w:val="004E6A03"/>
    <w:rsid w:val="004F0070"/>
    <w:rsid w:val="004F0468"/>
    <w:rsid w:val="004F0C51"/>
    <w:rsid w:val="004F16F7"/>
    <w:rsid w:val="004F1A3E"/>
    <w:rsid w:val="004F263C"/>
    <w:rsid w:val="004F2BB1"/>
    <w:rsid w:val="004F2EC7"/>
    <w:rsid w:val="004F3CE8"/>
    <w:rsid w:val="004F4B4F"/>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3479"/>
    <w:rsid w:val="0052550F"/>
    <w:rsid w:val="00526C0F"/>
    <w:rsid w:val="0052702A"/>
    <w:rsid w:val="00530397"/>
    <w:rsid w:val="00530F73"/>
    <w:rsid w:val="00533B8E"/>
    <w:rsid w:val="00535417"/>
    <w:rsid w:val="00535833"/>
    <w:rsid w:val="00536D28"/>
    <w:rsid w:val="005372C5"/>
    <w:rsid w:val="00537A26"/>
    <w:rsid w:val="00537A9C"/>
    <w:rsid w:val="00540E47"/>
    <w:rsid w:val="00542849"/>
    <w:rsid w:val="00543283"/>
    <w:rsid w:val="0054364C"/>
    <w:rsid w:val="00546747"/>
    <w:rsid w:val="00547510"/>
    <w:rsid w:val="00547ECC"/>
    <w:rsid w:val="00550E9A"/>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0CD2"/>
    <w:rsid w:val="005933AA"/>
    <w:rsid w:val="005940AA"/>
    <w:rsid w:val="00594614"/>
    <w:rsid w:val="005946B1"/>
    <w:rsid w:val="00594E10"/>
    <w:rsid w:val="00596306"/>
    <w:rsid w:val="00596487"/>
    <w:rsid w:val="005A0809"/>
    <w:rsid w:val="005A0B91"/>
    <w:rsid w:val="005A1494"/>
    <w:rsid w:val="005A3590"/>
    <w:rsid w:val="005A4A1C"/>
    <w:rsid w:val="005A5BD8"/>
    <w:rsid w:val="005A692A"/>
    <w:rsid w:val="005A6AB8"/>
    <w:rsid w:val="005B1014"/>
    <w:rsid w:val="005B11C2"/>
    <w:rsid w:val="005B180A"/>
    <w:rsid w:val="005B382C"/>
    <w:rsid w:val="005B3C11"/>
    <w:rsid w:val="005B40DA"/>
    <w:rsid w:val="005B4226"/>
    <w:rsid w:val="005B5AA4"/>
    <w:rsid w:val="005B656B"/>
    <w:rsid w:val="005B71B3"/>
    <w:rsid w:val="005B76A4"/>
    <w:rsid w:val="005C0114"/>
    <w:rsid w:val="005C04A7"/>
    <w:rsid w:val="005C17A4"/>
    <w:rsid w:val="005C1AE2"/>
    <w:rsid w:val="005C27CC"/>
    <w:rsid w:val="005C370D"/>
    <w:rsid w:val="005C38A2"/>
    <w:rsid w:val="005C504E"/>
    <w:rsid w:val="005C6153"/>
    <w:rsid w:val="005C6653"/>
    <w:rsid w:val="005C7400"/>
    <w:rsid w:val="005C78B0"/>
    <w:rsid w:val="005C7B95"/>
    <w:rsid w:val="005D01EB"/>
    <w:rsid w:val="005D0DFB"/>
    <w:rsid w:val="005D1112"/>
    <w:rsid w:val="005D17B1"/>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327"/>
    <w:rsid w:val="005E7F14"/>
    <w:rsid w:val="005F0154"/>
    <w:rsid w:val="005F0176"/>
    <w:rsid w:val="005F021D"/>
    <w:rsid w:val="005F12CD"/>
    <w:rsid w:val="005F1EAC"/>
    <w:rsid w:val="005F2D78"/>
    <w:rsid w:val="005F308F"/>
    <w:rsid w:val="005F4869"/>
    <w:rsid w:val="005F4BFD"/>
    <w:rsid w:val="005F5748"/>
    <w:rsid w:val="005F5834"/>
    <w:rsid w:val="005F5E11"/>
    <w:rsid w:val="006003E5"/>
    <w:rsid w:val="0060085A"/>
    <w:rsid w:val="00600E63"/>
    <w:rsid w:val="00601561"/>
    <w:rsid w:val="00601E55"/>
    <w:rsid w:val="00602037"/>
    <w:rsid w:val="006029DD"/>
    <w:rsid w:val="00602C6A"/>
    <w:rsid w:val="00603AF5"/>
    <w:rsid w:val="00606C66"/>
    <w:rsid w:val="00607390"/>
    <w:rsid w:val="00610145"/>
    <w:rsid w:val="00610B32"/>
    <w:rsid w:val="00610D1F"/>
    <w:rsid w:val="00610FBF"/>
    <w:rsid w:val="006123C6"/>
    <w:rsid w:val="00612C02"/>
    <w:rsid w:val="00612CDD"/>
    <w:rsid w:val="0061562E"/>
    <w:rsid w:val="00616D41"/>
    <w:rsid w:val="00617292"/>
    <w:rsid w:val="006200A9"/>
    <w:rsid w:val="00620F08"/>
    <w:rsid w:val="00622225"/>
    <w:rsid w:val="00622B5D"/>
    <w:rsid w:val="00622D03"/>
    <w:rsid w:val="00622DCD"/>
    <w:rsid w:val="00622F57"/>
    <w:rsid w:val="00623DD5"/>
    <w:rsid w:val="00624269"/>
    <w:rsid w:val="00624A34"/>
    <w:rsid w:val="00624D3C"/>
    <w:rsid w:val="0062568D"/>
    <w:rsid w:val="006256D3"/>
    <w:rsid w:val="00626502"/>
    <w:rsid w:val="006267F5"/>
    <w:rsid w:val="00627337"/>
    <w:rsid w:val="00630069"/>
    <w:rsid w:val="00630583"/>
    <w:rsid w:val="00630D2E"/>
    <w:rsid w:val="00630D39"/>
    <w:rsid w:val="00631D87"/>
    <w:rsid w:val="00631E19"/>
    <w:rsid w:val="00633E76"/>
    <w:rsid w:val="00633EC9"/>
    <w:rsid w:val="006340F5"/>
    <w:rsid w:val="00634542"/>
    <w:rsid w:val="006359E4"/>
    <w:rsid w:val="00635E4D"/>
    <w:rsid w:val="0063620C"/>
    <w:rsid w:val="00637E18"/>
    <w:rsid w:val="0064032E"/>
    <w:rsid w:val="0064038D"/>
    <w:rsid w:val="00640518"/>
    <w:rsid w:val="00641A0B"/>
    <w:rsid w:val="00641D5A"/>
    <w:rsid w:val="00641E06"/>
    <w:rsid w:val="00643007"/>
    <w:rsid w:val="006431D0"/>
    <w:rsid w:val="006432C5"/>
    <w:rsid w:val="006436FA"/>
    <w:rsid w:val="00643852"/>
    <w:rsid w:val="00643C27"/>
    <w:rsid w:val="0064431A"/>
    <w:rsid w:val="006455E7"/>
    <w:rsid w:val="00645758"/>
    <w:rsid w:val="006461A1"/>
    <w:rsid w:val="00647422"/>
    <w:rsid w:val="00647E6B"/>
    <w:rsid w:val="00650E84"/>
    <w:rsid w:val="0065198B"/>
    <w:rsid w:val="00651F15"/>
    <w:rsid w:val="006525AF"/>
    <w:rsid w:val="0065266A"/>
    <w:rsid w:val="0065388B"/>
    <w:rsid w:val="00653F9C"/>
    <w:rsid w:val="00655470"/>
    <w:rsid w:val="00656FEE"/>
    <w:rsid w:val="00657152"/>
    <w:rsid w:val="0065758F"/>
    <w:rsid w:val="00660897"/>
    <w:rsid w:val="00661028"/>
    <w:rsid w:val="006617BD"/>
    <w:rsid w:val="0066194D"/>
    <w:rsid w:val="00662AFE"/>
    <w:rsid w:val="00664695"/>
    <w:rsid w:val="00664840"/>
    <w:rsid w:val="00664B44"/>
    <w:rsid w:val="006652BF"/>
    <w:rsid w:val="0066630C"/>
    <w:rsid w:val="00667BBD"/>
    <w:rsid w:val="00671149"/>
    <w:rsid w:val="00671615"/>
    <w:rsid w:val="00671741"/>
    <w:rsid w:val="00671766"/>
    <w:rsid w:val="00672914"/>
    <w:rsid w:val="006744C3"/>
    <w:rsid w:val="0067537F"/>
    <w:rsid w:val="00675D50"/>
    <w:rsid w:val="00676410"/>
    <w:rsid w:val="00676E8E"/>
    <w:rsid w:val="00680509"/>
    <w:rsid w:val="006805CB"/>
    <w:rsid w:val="00681CC1"/>
    <w:rsid w:val="0068233B"/>
    <w:rsid w:val="006827E7"/>
    <w:rsid w:val="00682E11"/>
    <w:rsid w:val="00683081"/>
    <w:rsid w:val="006834C1"/>
    <w:rsid w:val="00684C95"/>
    <w:rsid w:val="006850D3"/>
    <w:rsid w:val="00685249"/>
    <w:rsid w:val="006856B9"/>
    <w:rsid w:val="00685BDE"/>
    <w:rsid w:val="00686085"/>
    <w:rsid w:val="00687C0D"/>
    <w:rsid w:val="00691237"/>
    <w:rsid w:val="006920E6"/>
    <w:rsid w:val="00692555"/>
    <w:rsid w:val="006930B1"/>
    <w:rsid w:val="00696566"/>
    <w:rsid w:val="006966BA"/>
    <w:rsid w:val="00696C63"/>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5DF4"/>
    <w:rsid w:val="006B6DDA"/>
    <w:rsid w:val="006B73D9"/>
    <w:rsid w:val="006B7DF0"/>
    <w:rsid w:val="006B7E74"/>
    <w:rsid w:val="006C0D75"/>
    <w:rsid w:val="006C1C48"/>
    <w:rsid w:val="006C312C"/>
    <w:rsid w:val="006C3C1D"/>
    <w:rsid w:val="006C41FF"/>
    <w:rsid w:val="006C499D"/>
    <w:rsid w:val="006C5145"/>
    <w:rsid w:val="006C59ED"/>
    <w:rsid w:val="006C65A8"/>
    <w:rsid w:val="006C71D9"/>
    <w:rsid w:val="006D05AD"/>
    <w:rsid w:val="006D0EC1"/>
    <w:rsid w:val="006D16F8"/>
    <w:rsid w:val="006D1813"/>
    <w:rsid w:val="006D24A9"/>
    <w:rsid w:val="006D2AF3"/>
    <w:rsid w:val="006D2C55"/>
    <w:rsid w:val="006D4D79"/>
    <w:rsid w:val="006D4FBD"/>
    <w:rsid w:val="006D5879"/>
    <w:rsid w:val="006D63FD"/>
    <w:rsid w:val="006D65B4"/>
    <w:rsid w:val="006D754A"/>
    <w:rsid w:val="006D7B9C"/>
    <w:rsid w:val="006E04C6"/>
    <w:rsid w:val="006E0A65"/>
    <w:rsid w:val="006E1B01"/>
    <w:rsid w:val="006E322E"/>
    <w:rsid w:val="006E3E3D"/>
    <w:rsid w:val="006E4836"/>
    <w:rsid w:val="006E5DDD"/>
    <w:rsid w:val="006E7811"/>
    <w:rsid w:val="006F04DA"/>
    <w:rsid w:val="006F0557"/>
    <w:rsid w:val="006F05BE"/>
    <w:rsid w:val="006F0EA3"/>
    <w:rsid w:val="006F1B5D"/>
    <w:rsid w:val="006F212B"/>
    <w:rsid w:val="006F37F7"/>
    <w:rsid w:val="006F4A61"/>
    <w:rsid w:val="006F4A67"/>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1609"/>
    <w:rsid w:val="00722129"/>
    <w:rsid w:val="00722D56"/>
    <w:rsid w:val="00724173"/>
    <w:rsid w:val="00724D41"/>
    <w:rsid w:val="00726730"/>
    <w:rsid w:val="00730598"/>
    <w:rsid w:val="00731C24"/>
    <w:rsid w:val="0073257E"/>
    <w:rsid w:val="00732A32"/>
    <w:rsid w:val="00733066"/>
    <w:rsid w:val="00733469"/>
    <w:rsid w:val="00733539"/>
    <w:rsid w:val="00735557"/>
    <w:rsid w:val="00735CEE"/>
    <w:rsid w:val="00737108"/>
    <w:rsid w:val="007379CE"/>
    <w:rsid w:val="007419A7"/>
    <w:rsid w:val="00741B21"/>
    <w:rsid w:val="00741DD8"/>
    <w:rsid w:val="00741E49"/>
    <w:rsid w:val="0074250D"/>
    <w:rsid w:val="00742CCF"/>
    <w:rsid w:val="0074351B"/>
    <w:rsid w:val="007445E2"/>
    <w:rsid w:val="00745005"/>
    <w:rsid w:val="00745496"/>
    <w:rsid w:val="007460DA"/>
    <w:rsid w:val="0074705B"/>
    <w:rsid w:val="007470EC"/>
    <w:rsid w:val="0075020B"/>
    <w:rsid w:val="00751017"/>
    <w:rsid w:val="00751960"/>
    <w:rsid w:val="00751BE8"/>
    <w:rsid w:val="007535C7"/>
    <w:rsid w:val="00753ECB"/>
    <w:rsid w:val="007552CE"/>
    <w:rsid w:val="00756551"/>
    <w:rsid w:val="00757769"/>
    <w:rsid w:val="0076067E"/>
    <w:rsid w:val="00761BFD"/>
    <w:rsid w:val="00761D5C"/>
    <w:rsid w:val="00761FE5"/>
    <w:rsid w:val="00762476"/>
    <w:rsid w:val="00762A18"/>
    <w:rsid w:val="00762D6E"/>
    <w:rsid w:val="00763AE2"/>
    <w:rsid w:val="0076467D"/>
    <w:rsid w:val="00765F9F"/>
    <w:rsid w:val="00766D90"/>
    <w:rsid w:val="00767BF3"/>
    <w:rsid w:val="00767C19"/>
    <w:rsid w:val="00767D4E"/>
    <w:rsid w:val="00770882"/>
    <w:rsid w:val="00771067"/>
    <w:rsid w:val="00771805"/>
    <w:rsid w:val="007722ED"/>
    <w:rsid w:val="00773ECE"/>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16F4"/>
    <w:rsid w:val="00791D83"/>
    <w:rsid w:val="00792971"/>
    <w:rsid w:val="007935C6"/>
    <w:rsid w:val="00794129"/>
    <w:rsid w:val="00794516"/>
    <w:rsid w:val="00794878"/>
    <w:rsid w:val="00795512"/>
    <w:rsid w:val="00795AB7"/>
    <w:rsid w:val="00795E37"/>
    <w:rsid w:val="00795ECB"/>
    <w:rsid w:val="0079694C"/>
    <w:rsid w:val="00796D89"/>
    <w:rsid w:val="00796DA2"/>
    <w:rsid w:val="007A0415"/>
    <w:rsid w:val="007A06BA"/>
    <w:rsid w:val="007A27BD"/>
    <w:rsid w:val="007A294A"/>
    <w:rsid w:val="007A4C96"/>
    <w:rsid w:val="007A51A6"/>
    <w:rsid w:val="007A523D"/>
    <w:rsid w:val="007A5629"/>
    <w:rsid w:val="007A56E5"/>
    <w:rsid w:val="007A603C"/>
    <w:rsid w:val="007A60CA"/>
    <w:rsid w:val="007A6A37"/>
    <w:rsid w:val="007A6F0F"/>
    <w:rsid w:val="007A708C"/>
    <w:rsid w:val="007A75B5"/>
    <w:rsid w:val="007A7985"/>
    <w:rsid w:val="007A7ABE"/>
    <w:rsid w:val="007B03C5"/>
    <w:rsid w:val="007B26E1"/>
    <w:rsid w:val="007B3045"/>
    <w:rsid w:val="007B4C0F"/>
    <w:rsid w:val="007B5A94"/>
    <w:rsid w:val="007B5E25"/>
    <w:rsid w:val="007B681C"/>
    <w:rsid w:val="007B6E0E"/>
    <w:rsid w:val="007C27FB"/>
    <w:rsid w:val="007C2CBB"/>
    <w:rsid w:val="007C309C"/>
    <w:rsid w:val="007C4209"/>
    <w:rsid w:val="007C45FC"/>
    <w:rsid w:val="007C5EB9"/>
    <w:rsid w:val="007C695E"/>
    <w:rsid w:val="007C7449"/>
    <w:rsid w:val="007C7EA5"/>
    <w:rsid w:val="007D0018"/>
    <w:rsid w:val="007D0096"/>
    <w:rsid w:val="007D1A95"/>
    <w:rsid w:val="007D245E"/>
    <w:rsid w:val="007D2AE2"/>
    <w:rsid w:val="007D3764"/>
    <w:rsid w:val="007D485A"/>
    <w:rsid w:val="007D54FF"/>
    <w:rsid w:val="007D57D4"/>
    <w:rsid w:val="007D6315"/>
    <w:rsid w:val="007D691E"/>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D0"/>
    <w:rsid w:val="007F20F1"/>
    <w:rsid w:val="007F3026"/>
    <w:rsid w:val="007F4224"/>
    <w:rsid w:val="007F4DD2"/>
    <w:rsid w:val="007F4FB9"/>
    <w:rsid w:val="007F5DFE"/>
    <w:rsid w:val="007F7022"/>
    <w:rsid w:val="007F7690"/>
    <w:rsid w:val="008011CC"/>
    <w:rsid w:val="00801404"/>
    <w:rsid w:val="008017AA"/>
    <w:rsid w:val="00801CBA"/>
    <w:rsid w:val="00801D92"/>
    <w:rsid w:val="00804BCF"/>
    <w:rsid w:val="00804FA4"/>
    <w:rsid w:val="00805275"/>
    <w:rsid w:val="00805A6C"/>
    <w:rsid w:val="008063AF"/>
    <w:rsid w:val="00806A62"/>
    <w:rsid w:val="00806E55"/>
    <w:rsid w:val="008075CE"/>
    <w:rsid w:val="00812179"/>
    <w:rsid w:val="008124E2"/>
    <w:rsid w:val="008131FB"/>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058"/>
    <w:rsid w:val="00831250"/>
    <w:rsid w:val="00831D8D"/>
    <w:rsid w:val="008333B7"/>
    <w:rsid w:val="008336EC"/>
    <w:rsid w:val="008337B9"/>
    <w:rsid w:val="00834FD2"/>
    <w:rsid w:val="00835084"/>
    <w:rsid w:val="00835184"/>
    <w:rsid w:val="008353CC"/>
    <w:rsid w:val="00835569"/>
    <w:rsid w:val="00835802"/>
    <w:rsid w:val="00836295"/>
    <w:rsid w:val="008370EE"/>
    <w:rsid w:val="0084037A"/>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DB7"/>
    <w:rsid w:val="00852F6C"/>
    <w:rsid w:val="008545DA"/>
    <w:rsid w:val="0085465C"/>
    <w:rsid w:val="00854967"/>
    <w:rsid w:val="0085540B"/>
    <w:rsid w:val="00855511"/>
    <w:rsid w:val="0085582C"/>
    <w:rsid w:val="00855FD3"/>
    <w:rsid w:val="00857086"/>
    <w:rsid w:val="00857572"/>
    <w:rsid w:val="008602A3"/>
    <w:rsid w:val="00860F4D"/>
    <w:rsid w:val="008611DE"/>
    <w:rsid w:val="00861375"/>
    <w:rsid w:val="0086186B"/>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6AB6"/>
    <w:rsid w:val="00877328"/>
    <w:rsid w:val="0087787A"/>
    <w:rsid w:val="008778CB"/>
    <w:rsid w:val="008802F0"/>
    <w:rsid w:val="00880498"/>
    <w:rsid w:val="0088065B"/>
    <w:rsid w:val="00880992"/>
    <w:rsid w:val="00881692"/>
    <w:rsid w:val="00883143"/>
    <w:rsid w:val="00883BFA"/>
    <w:rsid w:val="00884EC8"/>
    <w:rsid w:val="00886154"/>
    <w:rsid w:val="00890277"/>
    <w:rsid w:val="0089061A"/>
    <w:rsid w:val="008915C6"/>
    <w:rsid w:val="008915DA"/>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6EC"/>
    <w:rsid w:val="008B6934"/>
    <w:rsid w:val="008B6CF8"/>
    <w:rsid w:val="008B72F6"/>
    <w:rsid w:val="008C01BD"/>
    <w:rsid w:val="008C0454"/>
    <w:rsid w:val="008C119E"/>
    <w:rsid w:val="008C1E24"/>
    <w:rsid w:val="008C296B"/>
    <w:rsid w:val="008C2A46"/>
    <w:rsid w:val="008C2AA0"/>
    <w:rsid w:val="008C4278"/>
    <w:rsid w:val="008C520E"/>
    <w:rsid w:val="008C563B"/>
    <w:rsid w:val="008C567E"/>
    <w:rsid w:val="008C582A"/>
    <w:rsid w:val="008C5DEE"/>
    <w:rsid w:val="008C6285"/>
    <w:rsid w:val="008C7182"/>
    <w:rsid w:val="008C7268"/>
    <w:rsid w:val="008C7CA5"/>
    <w:rsid w:val="008C7D9D"/>
    <w:rsid w:val="008D0416"/>
    <w:rsid w:val="008D04D3"/>
    <w:rsid w:val="008D13C6"/>
    <w:rsid w:val="008D1B04"/>
    <w:rsid w:val="008D3235"/>
    <w:rsid w:val="008D33C8"/>
    <w:rsid w:val="008D3893"/>
    <w:rsid w:val="008D4105"/>
    <w:rsid w:val="008D45CD"/>
    <w:rsid w:val="008D47B3"/>
    <w:rsid w:val="008D55F1"/>
    <w:rsid w:val="008D5CD7"/>
    <w:rsid w:val="008D6393"/>
    <w:rsid w:val="008D718E"/>
    <w:rsid w:val="008E0457"/>
    <w:rsid w:val="008E09C5"/>
    <w:rsid w:val="008E0AA7"/>
    <w:rsid w:val="008E2355"/>
    <w:rsid w:val="008E3151"/>
    <w:rsid w:val="008E3386"/>
    <w:rsid w:val="008E4004"/>
    <w:rsid w:val="008E5410"/>
    <w:rsid w:val="008E5A3F"/>
    <w:rsid w:val="008E6DA3"/>
    <w:rsid w:val="008E7209"/>
    <w:rsid w:val="008E7448"/>
    <w:rsid w:val="008F0EEC"/>
    <w:rsid w:val="008F11BB"/>
    <w:rsid w:val="008F16FF"/>
    <w:rsid w:val="008F182F"/>
    <w:rsid w:val="008F1E95"/>
    <w:rsid w:val="008F2304"/>
    <w:rsid w:val="008F2A25"/>
    <w:rsid w:val="008F39E4"/>
    <w:rsid w:val="008F57DD"/>
    <w:rsid w:val="008F5AEE"/>
    <w:rsid w:val="008F6EAA"/>
    <w:rsid w:val="008F7396"/>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5F31"/>
    <w:rsid w:val="00916057"/>
    <w:rsid w:val="00916AD1"/>
    <w:rsid w:val="009173E9"/>
    <w:rsid w:val="00917637"/>
    <w:rsid w:val="00917FEE"/>
    <w:rsid w:val="0092023D"/>
    <w:rsid w:val="00920472"/>
    <w:rsid w:val="00921251"/>
    <w:rsid w:val="00921861"/>
    <w:rsid w:val="0092189E"/>
    <w:rsid w:val="009219FD"/>
    <w:rsid w:val="00921DF7"/>
    <w:rsid w:val="009257B0"/>
    <w:rsid w:val="009258BD"/>
    <w:rsid w:val="00925DEB"/>
    <w:rsid w:val="009263C0"/>
    <w:rsid w:val="00927419"/>
    <w:rsid w:val="009302D4"/>
    <w:rsid w:val="009307F2"/>
    <w:rsid w:val="00930CEC"/>
    <w:rsid w:val="00930F4A"/>
    <w:rsid w:val="0093375E"/>
    <w:rsid w:val="00933BEF"/>
    <w:rsid w:val="00936FDA"/>
    <w:rsid w:val="0093787E"/>
    <w:rsid w:val="009412CC"/>
    <w:rsid w:val="0094388B"/>
    <w:rsid w:val="00943D09"/>
    <w:rsid w:val="00943F33"/>
    <w:rsid w:val="00944826"/>
    <w:rsid w:val="009457A1"/>
    <w:rsid w:val="009466DA"/>
    <w:rsid w:val="00946C31"/>
    <w:rsid w:val="00947C5D"/>
    <w:rsid w:val="00947CA9"/>
    <w:rsid w:val="00950478"/>
    <w:rsid w:val="00950888"/>
    <w:rsid w:val="00950AF9"/>
    <w:rsid w:val="00950B5F"/>
    <w:rsid w:val="00950D35"/>
    <w:rsid w:val="00951301"/>
    <w:rsid w:val="0095144C"/>
    <w:rsid w:val="0095165B"/>
    <w:rsid w:val="00951B17"/>
    <w:rsid w:val="00951B8D"/>
    <w:rsid w:val="0095207B"/>
    <w:rsid w:val="009536A8"/>
    <w:rsid w:val="00954596"/>
    <w:rsid w:val="00955851"/>
    <w:rsid w:val="00955C63"/>
    <w:rsid w:val="009564BB"/>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7FD"/>
    <w:rsid w:val="00976D65"/>
    <w:rsid w:val="00977CE6"/>
    <w:rsid w:val="00980321"/>
    <w:rsid w:val="009807AC"/>
    <w:rsid w:val="00980C18"/>
    <w:rsid w:val="009810E9"/>
    <w:rsid w:val="0098141C"/>
    <w:rsid w:val="00981AA9"/>
    <w:rsid w:val="00981C91"/>
    <w:rsid w:val="00981F45"/>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6AD5"/>
    <w:rsid w:val="00997959"/>
    <w:rsid w:val="009A0BAF"/>
    <w:rsid w:val="009A1431"/>
    <w:rsid w:val="009A153D"/>
    <w:rsid w:val="009A1634"/>
    <w:rsid w:val="009A2C35"/>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7F88"/>
    <w:rsid w:val="009C058F"/>
    <w:rsid w:val="009C2B3E"/>
    <w:rsid w:val="009C2EA2"/>
    <w:rsid w:val="009C3721"/>
    <w:rsid w:val="009C4141"/>
    <w:rsid w:val="009C4B55"/>
    <w:rsid w:val="009C5FCC"/>
    <w:rsid w:val="009C61A2"/>
    <w:rsid w:val="009C6DF6"/>
    <w:rsid w:val="009C6E92"/>
    <w:rsid w:val="009D04F7"/>
    <w:rsid w:val="009D1589"/>
    <w:rsid w:val="009D2003"/>
    <w:rsid w:val="009D2E13"/>
    <w:rsid w:val="009D38C2"/>
    <w:rsid w:val="009D417F"/>
    <w:rsid w:val="009D45E5"/>
    <w:rsid w:val="009D4B85"/>
    <w:rsid w:val="009D535B"/>
    <w:rsid w:val="009D630B"/>
    <w:rsid w:val="009D6CAA"/>
    <w:rsid w:val="009D6CF6"/>
    <w:rsid w:val="009D6E69"/>
    <w:rsid w:val="009D7109"/>
    <w:rsid w:val="009E02DC"/>
    <w:rsid w:val="009E2040"/>
    <w:rsid w:val="009E49AE"/>
    <w:rsid w:val="009E4DC7"/>
    <w:rsid w:val="009E656C"/>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6A4"/>
    <w:rsid w:val="00A07DCF"/>
    <w:rsid w:val="00A12979"/>
    <w:rsid w:val="00A131A9"/>
    <w:rsid w:val="00A1496E"/>
    <w:rsid w:val="00A14F84"/>
    <w:rsid w:val="00A16344"/>
    <w:rsid w:val="00A16D6D"/>
    <w:rsid w:val="00A17C75"/>
    <w:rsid w:val="00A211C8"/>
    <w:rsid w:val="00A2121E"/>
    <w:rsid w:val="00A21EAC"/>
    <w:rsid w:val="00A221DE"/>
    <w:rsid w:val="00A22CB2"/>
    <w:rsid w:val="00A23138"/>
    <w:rsid w:val="00A232F8"/>
    <w:rsid w:val="00A23940"/>
    <w:rsid w:val="00A23ECC"/>
    <w:rsid w:val="00A24CD3"/>
    <w:rsid w:val="00A25461"/>
    <w:rsid w:val="00A26367"/>
    <w:rsid w:val="00A2678A"/>
    <w:rsid w:val="00A269E1"/>
    <w:rsid w:val="00A2721A"/>
    <w:rsid w:val="00A27C1C"/>
    <w:rsid w:val="00A30F6A"/>
    <w:rsid w:val="00A31CA3"/>
    <w:rsid w:val="00A32AEA"/>
    <w:rsid w:val="00A32F32"/>
    <w:rsid w:val="00A33E80"/>
    <w:rsid w:val="00A33EFE"/>
    <w:rsid w:val="00A4148D"/>
    <w:rsid w:val="00A43129"/>
    <w:rsid w:val="00A44D0E"/>
    <w:rsid w:val="00A44D2E"/>
    <w:rsid w:val="00A4621D"/>
    <w:rsid w:val="00A464BC"/>
    <w:rsid w:val="00A468B1"/>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67F0A"/>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6600"/>
    <w:rsid w:val="00A8728F"/>
    <w:rsid w:val="00A8756A"/>
    <w:rsid w:val="00A87AEC"/>
    <w:rsid w:val="00A87F7D"/>
    <w:rsid w:val="00A906B7"/>
    <w:rsid w:val="00A9070E"/>
    <w:rsid w:val="00A92D40"/>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3AAA"/>
    <w:rsid w:val="00AA4A2C"/>
    <w:rsid w:val="00AA59A6"/>
    <w:rsid w:val="00AA6299"/>
    <w:rsid w:val="00AA6E05"/>
    <w:rsid w:val="00AA7F61"/>
    <w:rsid w:val="00AB0262"/>
    <w:rsid w:val="00AB14A1"/>
    <w:rsid w:val="00AB202A"/>
    <w:rsid w:val="00AB36F0"/>
    <w:rsid w:val="00AB4978"/>
    <w:rsid w:val="00AB4AB6"/>
    <w:rsid w:val="00AB5555"/>
    <w:rsid w:val="00AB55AD"/>
    <w:rsid w:val="00AB5662"/>
    <w:rsid w:val="00AB5D1B"/>
    <w:rsid w:val="00AB6918"/>
    <w:rsid w:val="00AB6B40"/>
    <w:rsid w:val="00AB740A"/>
    <w:rsid w:val="00AC116C"/>
    <w:rsid w:val="00AC1DA5"/>
    <w:rsid w:val="00AC216B"/>
    <w:rsid w:val="00AC26B1"/>
    <w:rsid w:val="00AC42B8"/>
    <w:rsid w:val="00AC45C5"/>
    <w:rsid w:val="00AC4791"/>
    <w:rsid w:val="00AC4FB6"/>
    <w:rsid w:val="00AC4FD1"/>
    <w:rsid w:val="00AC5FEF"/>
    <w:rsid w:val="00AC6036"/>
    <w:rsid w:val="00AC67CB"/>
    <w:rsid w:val="00AC7706"/>
    <w:rsid w:val="00AC7ED0"/>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18BB"/>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2A5"/>
    <w:rsid w:val="00AF2A5C"/>
    <w:rsid w:val="00AF2EC7"/>
    <w:rsid w:val="00AF3AC0"/>
    <w:rsid w:val="00AF3D6C"/>
    <w:rsid w:val="00AF435E"/>
    <w:rsid w:val="00AF4F4A"/>
    <w:rsid w:val="00B00C24"/>
    <w:rsid w:val="00B00F93"/>
    <w:rsid w:val="00B01BBE"/>
    <w:rsid w:val="00B025B1"/>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3521"/>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33EC"/>
    <w:rsid w:val="00B46957"/>
    <w:rsid w:val="00B47B54"/>
    <w:rsid w:val="00B50E99"/>
    <w:rsid w:val="00B51926"/>
    <w:rsid w:val="00B51D44"/>
    <w:rsid w:val="00B51F9A"/>
    <w:rsid w:val="00B52C7E"/>
    <w:rsid w:val="00B54DA7"/>
    <w:rsid w:val="00B600C6"/>
    <w:rsid w:val="00B60167"/>
    <w:rsid w:val="00B60FC0"/>
    <w:rsid w:val="00B61665"/>
    <w:rsid w:val="00B6254D"/>
    <w:rsid w:val="00B63528"/>
    <w:rsid w:val="00B63DAF"/>
    <w:rsid w:val="00B63E98"/>
    <w:rsid w:val="00B65754"/>
    <w:rsid w:val="00B661AA"/>
    <w:rsid w:val="00B66242"/>
    <w:rsid w:val="00B670D3"/>
    <w:rsid w:val="00B67958"/>
    <w:rsid w:val="00B701D1"/>
    <w:rsid w:val="00B716BB"/>
    <w:rsid w:val="00B716FD"/>
    <w:rsid w:val="00B71708"/>
    <w:rsid w:val="00B734C2"/>
    <w:rsid w:val="00B73BDA"/>
    <w:rsid w:val="00B74053"/>
    <w:rsid w:val="00B765A0"/>
    <w:rsid w:val="00B76C02"/>
    <w:rsid w:val="00B77BD2"/>
    <w:rsid w:val="00B814CB"/>
    <w:rsid w:val="00B81B6A"/>
    <w:rsid w:val="00B820F4"/>
    <w:rsid w:val="00B82779"/>
    <w:rsid w:val="00B835E0"/>
    <w:rsid w:val="00B8396D"/>
    <w:rsid w:val="00B90331"/>
    <w:rsid w:val="00B903ED"/>
    <w:rsid w:val="00B90B2D"/>
    <w:rsid w:val="00B935A1"/>
    <w:rsid w:val="00B95DAD"/>
    <w:rsid w:val="00B96C0C"/>
    <w:rsid w:val="00B9734D"/>
    <w:rsid w:val="00B97732"/>
    <w:rsid w:val="00BA27F4"/>
    <w:rsid w:val="00BA2E40"/>
    <w:rsid w:val="00BA3A89"/>
    <w:rsid w:val="00BA3CB7"/>
    <w:rsid w:val="00BA41DE"/>
    <w:rsid w:val="00BA556C"/>
    <w:rsid w:val="00BA56EE"/>
    <w:rsid w:val="00BB0F31"/>
    <w:rsid w:val="00BB15AB"/>
    <w:rsid w:val="00BB189B"/>
    <w:rsid w:val="00BB1D21"/>
    <w:rsid w:val="00BB20D2"/>
    <w:rsid w:val="00BB2E51"/>
    <w:rsid w:val="00BB4BEA"/>
    <w:rsid w:val="00BB4C1A"/>
    <w:rsid w:val="00BB50AB"/>
    <w:rsid w:val="00BB6664"/>
    <w:rsid w:val="00BC01FC"/>
    <w:rsid w:val="00BC1F79"/>
    <w:rsid w:val="00BC2201"/>
    <w:rsid w:val="00BC3C7A"/>
    <w:rsid w:val="00BC7DC6"/>
    <w:rsid w:val="00BD0082"/>
    <w:rsid w:val="00BD0FDD"/>
    <w:rsid w:val="00BD1039"/>
    <w:rsid w:val="00BD13B5"/>
    <w:rsid w:val="00BD15CC"/>
    <w:rsid w:val="00BD2EFC"/>
    <w:rsid w:val="00BD340E"/>
    <w:rsid w:val="00BD4E04"/>
    <w:rsid w:val="00BD60AD"/>
    <w:rsid w:val="00BD6C02"/>
    <w:rsid w:val="00BD79A9"/>
    <w:rsid w:val="00BE1244"/>
    <w:rsid w:val="00BE165D"/>
    <w:rsid w:val="00BE2394"/>
    <w:rsid w:val="00BE2702"/>
    <w:rsid w:val="00BE4326"/>
    <w:rsid w:val="00BE5F4F"/>
    <w:rsid w:val="00BE60DB"/>
    <w:rsid w:val="00BE66D6"/>
    <w:rsid w:val="00BF0191"/>
    <w:rsid w:val="00BF13EC"/>
    <w:rsid w:val="00BF1C07"/>
    <w:rsid w:val="00BF23B5"/>
    <w:rsid w:val="00BF3810"/>
    <w:rsid w:val="00BF3DC0"/>
    <w:rsid w:val="00BF3DEE"/>
    <w:rsid w:val="00BF54AC"/>
    <w:rsid w:val="00BF54BD"/>
    <w:rsid w:val="00BF6B8E"/>
    <w:rsid w:val="00C003FF"/>
    <w:rsid w:val="00C025A5"/>
    <w:rsid w:val="00C0350F"/>
    <w:rsid w:val="00C03C78"/>
    <w:rsid w:val="00C04FD3"/>
    <w:rsid w:val="00C051C0"/>
    <w:rsid w:val="00C05557"/>
    <w:rsid w:val="00C05DEB"/>
    <w:rsid w:val="00C065A2"/>
    <w:rsid w:val="00C07919"/>
    <w:rsid w:val="00C07B2C"/>
    <w:rsid w:val="00C103F9"/>
    <w:rsid w:val="00C104AC"/>
    <w:rsid w:val="00C110E1"/>
    <w:rsid w:val="00C1198F"/>
    <w:rsid w:val="00C11FA1"/>
    <w:rsid w:val="00C12E21"/>
    <w:rsid w:val="00C12E65"/>
    <w:rsid w:val="00C13C20"/>
    <w:rsid w:val="00C13F74"/>
    <w:rsid w:val="00C145B3"/>
    <w:rsid w:val="00C146D3"/>
    <w:rsid w:val="00C167DC"/>
    <w:rsid w:val="00C16BE0"/>
    <w:rsid w:val="00C16F60"/>
    <w:rsid w:val="00C2007D"/>
    <w:rsid w:val="00C219A3"/>
    <w:rsid w:val="00C21C39"/>
    <w:rsid w:val="00C2325C"/>
    <w:rsid w:val="00C239ED"/>
    <w:rsid w:val="00C24D9D"/>
    <w:rsid w:val="00C25CF3"/>
    <w:rsid w:val="00C263E9"/>
    <w:rsid w:val="00C2775A"/>
    <w:rsid w:val="00C3056B"/>
    <w:rsid w:val="00C3063A"/>
    <w:rsid w:val="00C30BAD"/>
    <w:rsid w:val="00C31E8F"/>
    <w:rsid w:val="00C335DA"/>
    <w:rsid w:val="00C33D3E"/>
    <w:rsid w:val="00C35387"/>
    <w:rsid w:val="00C35ABF"/>
    <w:rsid w:val="00C362E0"/>
    <w:rsid w:val="00C36ED4"/>
    <w:rsid w:val="00C36F71"/>
    <w:rsid w:val="00C376CC"/>
    <w:rsid w:val="00C400F7"/>
    <w:rsid w:val="00C40EC6"/>
    <w:rsid w:val="00C419AD"/>
    <w:rsid w:val="00C41B5F"/>
    <w:rsid w:val="00C41DF6"/>
    <w:rsid w:val="00C437BA"/>
    <w:rsid w:val="00C44395"/>
    <w:rsid w:val="00C443B3"/>
    <w:rsid w:val="00C45B69"/>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6D6"/>
    <w:rsid w:val="00C629CB"/>
    <w:rsid w:val="00C62B75"/>
    <w:rsid w:val="00C657B5"/>
    <w:rsid w:val="00C661E1"/>
    <w:rsid w:val="00C66686"/>
    <w:rsid w:val="00C669DA"/>
    <w:rsid w:val="00C678C4"/>
    <w:rsid w:val="00C71215"/>
    <w:rsid w:val="00C7216B"/>
    <w:rsid w:val="00C727BE"/>
    <w:rsid w:val="00C732A9"/>
    <w:rsid w:val="00C73448"/>
    <w:rsid w:val="00C73E2E"/>
    <w:rsid w:val="00C74127"/>
    <w:rsid w:val="00C74546"/>
    <w:rsid w:val="00C748E2"/>
    <w:rsid w:val="00C7776C"/>
    <w:rsid w:val="00C8398D"/>
    <w:rsid w:val="00C84BC2"/>
    <w:rsid w:val="00C85139"/>
    <w:rsid w:val="00C85657"/>
    <w:rsid w:val="00C91C88"/>
    <w:rsid w:val="00C92472"/>
    <w:rsid w:val="00C939C3"/>
    <w:rsid w:val="00C94228"/>
    <w:rsid w:val="00C95883"/>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70E"/>
    <w:rsid w:val="00CB0C6E"/>
    <w:rsid w:val="00CB0C89"/>
    <w:rsid w:val="00CB226B"/>
    <w:rsid w:val="00CB229B"/>
    <w:rsid w:val="00CB33B4"/>
    <w:rsid w:val="00CB3D93"/>
    <w:rsid w:val="00CB4441"/>
    <w:rsid w:val="00CB4B1A"/>
    <w:rsid w:val="00CB4E1F"/>
    <w:rsid w:val="00CB6662"/>
    <w:rsid w:val="00CC152E"/>
    <w:rsid w:val="00CC2493"/>
    <w:rsid w:val="00CC3222"/>
    <w:rsid w:val="00CC35F1"/>
    <w:rsid w:val="00CC35FF"/>
    <w:rsid w:val="00CD0E6E"/>
    <w:rsid w:val="00CD23AE"/>
    <w:rsid w:val="00CD27DF"/>
    <w:rsid w:val="00CD2D8A"/>
    <w:rsid w:val="00CD3BAC"/>
    <w:rsid w:val="00CD3FF2"/>
    <w:rsid w:val="00CD4A65"/>
    <w:rsid w:val="00CD531F"/>
    <w:rsid w:val="00CD691C"/>
    <w:rsid w:val="00CD6FA3"/>
    <w:rsid w:val="00CE2184"/>
    <w:rsid w:val="00CE3306"/>
    <w:rsid w:val="00CE39D2"/>
    <w:rsid w:val="00CE3B7F"/>
    <w:rsid w:val="00CE3FA2"/>
    <w:rsid w:val="00CE41A0"/>
    <w:rsid w:val="00CE4958"/>
    <w:rsid w:val="00CE68E2"/>
    <w:rsid w:val="00CE706E"/>
    <w:rsid w:val="00CE70B1"/>
    <w:rsid w:val="00CE7AE4"/>
    <w:rsid w:val="00CF0A4C"/>
    <w:rsid w:val="00CF0C40"/>
    <w:rsid w:val="00CF150A"/>
    <w:rsid w:val="00CF1687"/>
    <w:rsid w:val="00CF2225"/>
    <w:rsid w:val="00CF25E7"/>
    <w:rsid w:val="00CF3C77"/>
    <w:rsid w:val="00CF45A2"/>
    <w:rsid w:val="00CF4A2A"/>
    <w:rsid w:val="00CF52E7"/>
    <w:rsid w:val="00CF5913"/>
    <w:rsid w:val="00CF63F1"/>
    <w:rsid w:val="00CF64B5"/>
    <w:rsid w:val="00CF65FE"/>
    <w:rsid w:val="00CF68C5"/>
    <w:rsid w:val="00CF6E64"/>
    <w:rsid w:val="00CF7853"/>
    <w:rsid w:val="00D004ED"/>
    <w:rsid w:val="00D0260F"/>
    <w:rsid w:val="00D02A05"/>
    <w:rsid w:val="00D03708"/>
    <w:rsid w:val="00D06776"/>
    <w:rsid w:val="00D06E46"/>
    <w:rsid w:val="00D06E78"/>
    <w:rsid w:val="00D06F95"/>
    <w:rsid w:val="00D1158C"/>
    <w:rsid w:val="00D11600"/>
    <w:rsid w:val="00D119A2"/>
    <w:rsid w:val="00D12E31"/>
    <w:rsid w:val="00D12F0F"/>
    <w:rsid w:val="00D137F9"/>
    <w:rsid w:val="00D1458C"/>
    <w:rsid w:val="00D14BA5"/>
    <w:rsid w:val="00D1620E"/>
    <w:rsid w:val="00D16867"/>
    <w:rsid w:val="00D16EEC"/>
    <w:rsid w:val="00D170F9"/>
    <w:rsid w:val="00D2047A"/>
    <w:rsid w:val="00D20591"/>
    <w:rsid w:val="00D20631"/>
    <w:rsid w:val="00D207FC"/>
    <w:rsid w:val="00D21338"/>
    <w:rsid w:val="00D2260B"/>
    <w:rsid w:val="00D22D49"/>
    <w:rsid w:val="00D23930"/>
    <w:rsid w:val="00D23A23"/>
    <w:rsid w:val="00D24D8A"/>
    <w:rsid w:val="00D24DA4"/>
    <w:rsid w:val="00D25235"/>
    <w:rsid w:val="00D25383"/>
    <w:rsid w:val="00D25670"/>
    <w:rsid w:val="00D262D4"/>
    <w:rsid w:val="00D277CA"/>
    <w:rsid w:val="00D301FF"/>
    <w:rsid w:val="00D3257F"/>
    <w:rsid w:val="00D340E2"/>
    <w:rsid w:val="00D36887"/>
    <w:rsid w:val="00D36CB6"/>
    <w:rsid w:val="00D37563"/>
    <w:rsid w:val="00D379EB"/>
    <w:rsid w:val="00D400B8"/>
    <w:rsid w:val="00D4022C"/>
    <w:rsid w:val="00D41023"/>
    <w:rsid w:val="00D41C6C"/>
    <w:rsid w:val="00D42465"/>
    <w:rsid w:val="00D42E5B"/>
    <w:rsid w:val="00D439D1"/>
    <w:rsid w:val="00D43C68"/>
    <w:rsid w:val="00D444B2"/>
    <w:rsid w:val="00D453E4"/>
    <w:rsid w:val="00D4673D"/>
    <w:rsid w:val="00D47226"/>
    <w:rsid w:val="00D50B21"/>
    <w:rsid w:val="00D51349"/>
    <w:rsid w:val="00D527AF"/>
    <w:rsid w:val="00D529E1"/>
    <w:rsid w:val="00D534C2"/>
    <w:rsid w:val="00D5410F"/>
    <w:rsid w:val="00D564DF"/>
    <w:rsid w:val="00D56AEF"/>
    <w:rsid w:val="00D576DD"/>
    <w:rsid w:val="00D57CB4"/>
    <w:rsid w:val="00D612F2"/>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489"/>
    <w:rsid w:val="00D9186A"/>
    <w:rsid w:val="00D92D47"/>
    <w:rsid w:val="00D9389B"/>
    <w:rsid w:val="00D94213"/>
    <w:rsid w:val="00D94BEB"/>
    <w:rsid w:val="00D94EA5"/>
    <w:rsid w:val="00D95F32"/>
    <w:rsid w:val="00DA024A"/>
    <w:rsid w:val="00DA0470"/>
    <w:rsid w:val="00DA07EE"/>
    <w:rsid w:val="00DA0A58"/>
    <w:rsid w:val="00DA0F27"/>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68C5"/>
    <w:rsid w:val="00DB7395"/>
    <w:rsid w:val="00DB75C2"/>
    <w:rsid w:val="00DB7E2C"/>
    <w:rsid w:val="00DC027B"/>
    <w:rsid w:val="00DC0A64"/>
    <w:rsid w:val="00DC0FC4"/>
    <w:rsid w:val="00DC1B9A"/>
    <w:rsid w:val="00DC2344"/>
    <w:rsid w:val="00DC2A78"/>
    <w:rsid w:val="00DC2E4F"/>
    <w:rsid w:val="00DC384C"/>
    <w:rsid w:val="00DC3F32"/>
    <w:rsid w:val="00DC40C4"/>
    <w:rsid w:val="00DC4AFD"/>
    <w:rsid w:val="00DC4D87"/>
    <w:rsid w:val="00DC4D8A"/>
    <w:rsid w:val="00DC64A2"/>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8A0"/>
    <w:rsid w:val="00DE0E5D"/>
    <w:rsid w:val="00DE447F"/>
    <w:rsid w:val="00DE48F0"/>
    <w:rsid w:val="00DE4A77"/>
    <w:rsid w:val="00DE68EE"/>
    <w:rsid w:val="00DE6D24"/>
    <w:rsid w:val="00DE7285"/>
    <w:rsid w:val="00DE7C40"/>
    <w:rsid w:val="00DF0EA5"/>
    <w:rsid w:val="00DF1F1D"/>
    <w:rsid w:val="00DF23A5"/>
    <w:rsid w:val="00DF401D"/>
    <w:rsid w:val="00DF4C6E"/>
    <w:rsid w:val="00DF623E"/>
    <w:rsid w:val="00DF6666"/>
    <w:rsid w:val="00DF745E"/>
    <w:rsid w:val="00DF7524"/>
    <w:rsid w:val="00DF762E"/>
    <w:rsid w:val="00E0044E"/>
    <w:rsid w:val="00E00816"/>
    <w:rsid w:val="00E0239F"/>
    <w:rsid w:val="00E0267B"/>
    <w:rsid w:val="00E04441"/>
    <w:rsid w:val="00E05F03"/>
    <w:rsid w:val="00E06370"/>
    <w:rsid w:val="00E06B7B"/>
    <w:rsid w:val="00E06E20"/>
    <w:rsid w:val="00E07D96"/>
    <w:rsid w:val="00E07DD9"/>
    <w:rsid w:val="00E10237"/>
    <w:rsid w:val="00E102F8"/>
    <w:rsid w:val="00E110A5"/>
    <w:rsid w:val="00E114AE"/>
    <w:rsid w:val="00E12FCF"/>
    <w:rsid w:val="00E13273"/>
    <w:rsid w:val="00E13379"/>
    <w:rsid w:val="00E134DA"/>
    <w:rsid w:val="00E139EE"/>
    <w:rsid w:val="00E146B6"/>
    <w:rsid w:val="00E14D83"/>
    <w:rsid w:val="00E14FA6"/>
    <w:rsid w:val="00E15A0D"/>
    <w:rsid w:val="00E16640"/>
    <w:rsid w:val="00E169B2"/>
    <w:rsid w:val="00E1740F"/>
    <w:rsid w:val="00E200CF"/>
    <w:rsid w:val="00E24287"/>
    <w:rsid w:val="00E24814"/>
    <w:rsid w:val="00E311BA"/>
    <w:rsid w:val="00E31367"/>
    <w:rsid w:val="00E3181C"/>
    <w:rsid w:val="00E32EF3"/>
    <w:rsid w:val="00E3337E"/>
    <w:rsid w:val="00E33E21"/>
    <w:rsid w:val="00E34BC4"/>
    <w:rsid w:val="00E3540C"/>
    <w:rsid w:val="00E35851"/>
    <w:rsid w:val="00E36187"/>
    <w:rsid w:val="00E36332"/>
    <w:rsid w:val="00E36C9B"/>
    <w:rsid w:val="00E37638"/>
    <w:rsid w:val="00E376BD"/>
    <w:rsid w:val="00E379DE"/>
    <w:rsid w:val="00E37E9D"/>
    <w:rsid w:val="00E41B71"/>
    <w:rsid w:val="00E42569"/>
    <w:rsid w:val="00E434A0"/>
    <w:rsid w:val="00E44D30"/>
    <w:rsid w:val="00E4597F"/>
    <w:rsid w:val="00E465C1"/>
    <w:rsid w:val="00E46CB7"/>
    <w:rsid w:val="00E4723D"/>
    <w:rsid w:val="00E5077C"/>
    <w:rsid w:val="00E50EC8"/>
    <w:rsid w:val="00E5159B"/>
    <w:rsid w:val="00E515C6"/>
    <w:rsid w:val="00E5166F"/>
    <w:rsid w:val="00E52E0D"/>
    <w:rsid w:val="00E52FE2"/>
    <w:rsid w:val="00E54629"/>
    <w:rsid w:val="00E54715"/>
    <w:rsid w:val="00E54D6B"/>
    <w:rsid w:val="00E54E6F"/>
    <w:rsid w:val="00E55338"/>
    <w:rsid w:val="00E562D8"/>
    <w:rsid w:val="00E569AF"/>
    <w:rsid w:val="00E5774E"/>
    <w:rsid w:val="00E57EEB"/>
    <w:rsid w:val="00E60318"/>
    <w:rsid w:val="00E60BA8"/>
    <w:rsid w:val="00E61E25"/>
    <w:rsid w:val="00E61E28"/>
    <w:rsid w:val="00E628E4"/>
    <w:rsid w:val="00E647F7"/>
    <w:rsid w:val="00E65FF5"/>
    <w:rsid w:val="00E66857"/>
    <w:rsid w:val="00E67556"/>
    <w:rsid w:val="00E716F8"/>
    <w:rsid w:val="00E7252F"/>
    <w:rsid w:val="00E73FC2"/>
    <w:rsid w:val="00E74481"/>
    <w:rsid w:val="00E74517"/>
    <w:rsid w:val="00E755D7"/>
    <w:rsid w:val="00E7566D"/>
    <w:rsid w:val="00E75939"/>
    <w:rsid w:val="00E76E91"/>
    <w:rsid w:val="00E774B4"/>
    <w:rsid w:val="00E778F5"/>
    <w:rsid w:val="00E80E7C"/>
    <w:rsid w:val="00E81779"/>
    <w:rsid w:val="00E8205B"/>
    <w:rsid w:val="00E82444"/>
    <w:rsid w:val="00E8341C"/>
    <w:rsid w:val="00E84707"/>
    <w:rsid w:val="00E8602B"/>
    <w:rsid w:val="00E86B5F"/>
    <w:rsid w:val="00E87D05"/>
    <w:rsid w:val="00E90761"/>
    <w:rsid w:val="00E91F96"/>
    <w:rsid w:val="00E92E99"/>
    <w:rsid w:val="00E94FF8"/>
    <w:rsid w:val="00E968FD"/>
    <w:rsid w:val="00E96D55"/>
    <w:rsid w:val="00E97993"/>
    <w:rsid w:val="00EA0D5D"/>
    <w:rsid w:val="00EA1192"/>
    <w:rsid w:val="00EA153F"/>
    <w:rsid w:val="00EA2788"/>
    <w:rsid w:val="00EA2C6E"/>
    <w:rsid w:val="00EA4936"/>
    <w:rsid w:val="00EA4964"/>
    <w:rsid w:val="00EA4F1A"/>
    <w:rsid w:val="00EB02DE"/>
    <w:rsid w:val="00EB0A07"/>
    <w:rsid w:val="00EB1B69"/>
    <w:rsid w:val="00EB1C78"/>
    <w:rsid w:val="00EB3B46"/>
    <w:rsid w:val="00EB4F08"/>
    <w:rsid w:val="00EB57D9"/>
    <w:rsid w:val="00EC2E07"/>
    <w:rsid w:val="00EC43C7"/>
    <w:rsid w:val="00EC465D"/>
    <w:rsid w:val="00EC5C89"/>
    <w:rsid w:val="00EC66D2"/>
    <w:rsid w:val="00EC67E7"/>
    <w:rsid w:val="00EC6E91"/>
    <w:rsid w:val="00ED05DE"/>
    <w:rsid w:val="00ED0A1B"/>
    <w:rsid w:val="00ED21BC"/>
    <w:rsid w:val="00ED28BC"/>
    <w:rsid w:val="00ED2FEC"/>
    <w:rsid w:val="00ED317E"/>
    <w:rsid w:val="00ED3F67"/>
    <w:rsid w:val="00ED440A"/>
    <w:rsid w:val="00ED668B"/>
    <w:rsid w:val="00ED7971"/>
    <w:rsid w:val="00EE0748"/>
    <w:rsid w:val="00EE29A0"/>
    <w:rsid w:val="00EE2CEA"/>
    <w:rsid w:val="00EE3365"/>
    <w:rsid w:val="00EE48DF"/>
    <w:rsid w:val="00EE4AB3"/>
    <w:rsid w:val="00EE4DAD"/>
    <w:rsid w:val="00EE7405"/>
    <w:rsid w:val="00EF033E"/>
    <w:rsid w:val="00EF06EC"/>
    <w:rsid w:val="00EF14FF"/>
    <w:rsid w:val="00EF235C"/>
    <w:rsid w:val="00EF2BFE"/>
    <w:rsid w:val="00EF2D85"/>
    <w:rsid w:val="00EF33A5"/>
    <w:rsid w:val="00EF402C"/>
    <w:rsid w:val="00EF45E0"/>
    <w:rsid w:val="00EF4E6F"/>
    <w:rsid w:val="00EF5C82"/>
    <w:rsid w:val="00EF7A15"/>
    <w:rsid w:val="00F004D6"/>
    <w:rsid w:val="00F01F8C"/>
    <w:rsid w:val="00F035A6"/>
    <w:rsid w:val="00F04AD0"/>
    <w:rsid w:val="00F07D4A"/>
    <w:rsid w:val="00F10033"/>
    <w:rsid w:val="00F10848"/>
    <w:rsid w:val="00F10B68"/>
    <w:rsid w:val="00F11F55"/>
    <w:rsid w:val="00F12DEC"/>
    <w:rsid w:val="00F13151"/>
    <w:rsid w:val="00F131BC"/>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4DA7"/>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3AA0"/>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355E"/>
    <w:rsid w:val="00F74D6D"/>
    <w:rsid w:val="00F75415"/>
    <w:rsid w:val="00F773F9"/>
    <w:rsid w:val="00F80EB0"/>
    <w:rsid w:val="00F8101C"/>
    <w:rsid w:val="00F817B9"/>
    <w:rsid w:val="00F81CB7"/>
    <w:rsid w:val="00F82280"/>
    <w:rsid w:val="00F8235F"/>
    <w:rsid w:val="00F83297"/>
    <w:rsid w:val="00F83A22"/>
    <w:rsid w:val="00F83A97"/>
    <w:rsid w:val="00F844F0"/>
    <w:rsid w:val="00F84895"/>
    <w:rsid w:val="00F84E9D"/>
    <w:rsid w:val="00F8647B"/>
    <w:rsid w:val="00F8659E"/>
    <w:rsid w:val="00F86CE4"/>
    <w:rsid w:val="00F86F42"/>
    <w:rsid w:val="00F9150D"/>
    <w:rsid w:val="00F91941"/>
    <w:rsid w:val="00F9202B"/>
    <w:rsid w:val="00F92E3F"/>
    <w:rsid w:val="00F938D2"/>
    <w:rsid w:val="00F96389"/>
    <w:rsid w:val="00F9650E"/>
    <w:rsid w:val="00F96B73"/>
    <w:rsid w:val="00F977C7"/>
    <w:rsid w:val="00FA00A8"/>
    <w:rsid w:val="00FA072B"/>
    <w:rsid w:val="00FA0890"/>
    <w:rsid w:val="00FA164A"/>
    <w:rsid w:val="00FA3F3E"/>
    <w:rsid w:val="00FA4231"/>
    <w:rsid w:val="00FA4272"/>
    <w:rsid w:val="00FA4855"/>
    <w:rsid w:val="00FA4ACD"/>
    <w:rsid w:val="00FA6428"/>
    <w:rsid w:val="00FA7144"/>
    <w:rsid w:val="00FA7184"/>
    <w:rsid w:val="00FA74A5"/>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2EEE"/>
    <w:rsid w:val="00FC393B"/>
    <w:rsid w:val="00FC4052"/>
    <w:rsid w:val="00FC5252"/>
    <w:rsid w:val="00FC6356"/>
    <w:rsid w:val="00FC7D01"/>
    <w:rsid w:val="00FD0130"/>
    <w:rsid w:val="00FD0373"/>
    <w:rsid w:val="00FD0582"/>
    <w:rsid w:val="00FD0C93"/>
    <w:rsid w:val="00FD0D8E"/>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3A7D"/>
    <w:rsid w:val="00FF4953"/>
    <w:rsid w:val="00FF5FA3"/>
    <w:rsid w:val="00FF5FCE"/>
    <w:rsid w:val="00FF610E"/>
    <w:rsid w:val="00FF6177"/>
    <w:rsid w:val="00FF6AD9"/>
    <w:rsid w:val="00FF7E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8BE546E-E206-4791-8277-6E30557E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752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5740295">
      <w:bodyDiv w:val="1"/>
      <w:marLeft w:val="0"/>
      <w:marRight w:val="0"/>
      <w:marTop w:val="0"/>
      <w:marBottom w:val="0"/>
      <w:divBdr>
        <w:top w:val="none" w:sz="0" w:space="0" w:color="auto"/>
        <w:left w:val="none" w:sz="0" w:space="0" w:color="auto"/>
        <w:bottom w:val="none" w:sz="0" w:space="0" w:color="auto"/>
        <w:right w:val="none" w:sz="0" w:space="0" w:color="auto"/>
      </w:divBdr>
    </w:div>
    <w:div w:id="968515835">
      <w:bodyDiv w:val="1"/>
      <w:marLeft w:val="0"/>
      <w:marRight w:val="0"/>
      <w:marTop w:val="0"/>
      <w:marBottom w:val="0"/>
      <w:divBdr>
        <w:top w:val="none" w:sz="0" w:space="0" w:color="auto"/>
        <w:left w:val="none" w:sz="0" w:space="0" w:color="auto"/>
        <w:bottom w:val="none" w:sz="0" w:space="0" w:color="auto"/>
        <w:right w:val="none" w:sz="0" w:space="0" w:color="auto"/>
      </w:divBdr>
    </w:div>
    <w:div w:id="103477065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61351881">
      <w:bodyDiv w:val="1"/>
      <w:marLeft w:val="0"/>
      <w:marRight w:val="0"/>
      <w:marTop w:val="0"/>
      <w:marBottom w:val="0"/>
      <w:divBdr>
        <w:top w:val="none" w:sz="0" w:space="0" w:color="auto"/>
        <w:left w:val="none" w:sz="0" w:space="0" w:color="auto"/>
        <w:bottom w:val="none" w:sz="0" w:space="0" w:color="auto"/>
        <w:right w:val="none" w:sz="0" w:space="0" w:color="auto"/>
      </w:divBdr>
    </w:div>
    <w:div w:id="16864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1269-apsardzes-darbibas-licencesanas-noteikumi"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7126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1269-apsardzes-darbibas-licencesanas-noteikum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71269-apsardzes-darbibas-licencesanas-noteiku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71269-apsardzes-darbibas-licencesanas-noteikumi"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63D6B0627C4AEA8F5C21DF572A69B8"/>
        <w:category>
          <w:name w:val="General"/>
          <w:gallery w:val="placeholder"/>
        </w:category>
        <w:types>
          <w:type w:val="bbPlcHdr"/>
        </w:types>
        <w:behaviors>
          <w:behavior w:val="content"/>
        </w:behaviors>
        <w:guid w:val="{5A66A529-330B-4DBC-AB35-0C882375C184}"/>
      </w:docPartPr>
      <w:docPartBody>
        <w:p w:rsidR="00000000" w:rsidRDefault="001E18FE" w:rsidP="001E18FE">
          <w:pPr>
            <w:pStyle w:val="6763D6B0627C4AEA8F5C21DF572A69B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FE"/>
    <w:rsid w:val="001E18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63D6B0627C4AEA8F5C21DF572A69B8">
    <w:name w:val="6763D6B0627C4AEA8F5C21DF572A69B8"/>
    <w:rsid w:val="001E1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134EA-9811-42D7-B232-6ABFE4F7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2684</TotalTime>
  <Pages>15</Pages>
  <Words>15717</Words>
  <Characters>8960</Characters>
  <Application>Microsoft Office Word</Application>
  <DocSecurity>0</DocSecurity>
  <Lines>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dc:description>67012345, vards.uzvards@mk.gov.lv</dc:description>
  <cp:lastModifiedBy>Lejniece-Riekstiņa, Dina</cp:lastModifiedBy>
  <cp:revision>269</cp:revision>
  <cp:lastPrinted>2019-10-02T09:25:00Z</cp:lastPrinted>
  <dcterms:created xsi:type="dcterms:W3CDTF">2019-09-27T08:01:00Z</dcterms:created>
  <dcterms:modified xsi:type="dcterms:W3CDTF">2020-01-31T09:32:00Z</dcterms:modified>
</cp:coreProperties>
</file>