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3725869"/>
        <w:docPartObj>
          <w:docPartGallery w:val="Page Numbers (Bottom of Page)"/>
          <w:docPartUnique/>
        </w:docPartObj>
      </w:sdtPr>
      <w:sdtEndPr>
        <w:rPr>
          <w:b/>
        </w:rPr>
      </w:sdtEndPr>
      <w:sdtContent>
        <w:p w14:paraId="4FBAEB42" w14:textId="30EE2135" w:rsidR="00EC767A" w:rsidRPr="00C8411C" w:rsidRDefault="00652AFD" w:rsidP="006F31D2">
          <w:pPr>
            <w:shd w:val="clear" w:color="auto" w:fill="FFFFFF"/>
            <w:jc w:val="center"/>
            <w:rPr>
              <w:b/>
            </w:rPr>
          </w:pPr>
          <w:r>
            <w:rPr>
              <w:b/>
            </w:rPr>
            <w:t>Likumprojekta “Grozījumi</w:t>
          </w:r>
          <w:r w:rsidR="00CE73A3">
            <w:rPr>
              <w:b/>
            </w:rPr>
            <w:t xml:space="preserve"> </w:t>
          </w:r>
          <w:r w:rsidR="006F31D2">
            <w:rPr>
              <w:b/>
            </w:rPr>
            <w:t xml:space="preserve">Augstskolu </w:t>
          </w:r>
          <w:r w:rsidR="00EC767A" w:rsidRPr="00C8411C">
            <w:rPr>
              <w:b/>
            </w:rPr>
            <w:t>likumā”</w:t>
          </w:r>
        </w:p>
        <w:p w14:paraId="4FBAEB43" w14:textId="77777777" w:rsidR="009D66C8" w:rsidRPr="00C8411C" w:rsidRDefault="00222C95" w:rsidP="00914CB7">
          <w:pPr>
            <w:shd w:val="clear" w:color="auto" w:fill="FFFFFF"/>
            <w:jc w:val="center"/>
            <w:rPr>
              <w:b/>
              <w:bCs/>
            </w:rPr>
          </w:pPr>
          <w:r w:rsidRPr="00C8411C">
            <w:rPr>
              <w:b/>
              <w:bCs/>
            </w:rPr>
            <w:t>sākotnējās ietekmes novērtējuma ziņojums (anotācija)</w:t>
          </w:r>
          <w:r w:rsidRPr="00C8411C">
            <w:rPr>
              <w:b/>
            </w:rPr>
            <w:t xml:space="preserve"> </w:t>
          </w:r>
        </w:p>
      </w:sdtContent>
    </w:sdt>
    <w:p w14:paraId="4FBAEB44" w14:textId="77777777" w:rsidR="00161647" w:rsidRPr="00C8411C"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94"/>
      </w:tblGrid>
      <w:tr w:rsidR="00C8411C" w:rsidRPr="00C8411C" w14:paraId="4FBAEB46" w14:textId="77777777" w:rsidTr="00B260DB">
        <w:trPr>
          <w:cantSplit/>
        </w:trPr>
        <w:tc>
          <w:tcPr>
            <w:tcW w:w="9066" w:type="dxa"/>
            <w:gridSpan w:val="2"/>
            <w:shd w:val="clear" w:color="auto" w:fill="FFFFFF"/>
            <w:vAlign w:val="center"/>
            <w:hideMark/>
          </w:tcPr>
          <w:p w14:paraId="4FBAEB45" w14:textId="77777777" w:rsidR="00BD5588" w:rsidRPr="00C8411C" w:rsidRDefault="00222C95" w:rsidP="00E273A1">
            <w:pPr>
              <w:jc w:val="center"/>
              <w:rPr>
                <w:b/>
                <w:iCs/>
                <w:lang w:eastAsia="en-US"/>
              </w:rPr>
            </w:pPr>
            <w:r w:rsidRPr="00C8411C">
              <w:rPr>
                <w:b/>
                <w:iCs/>
                <w:lang w:eastAsia="en-US"/>
              </w:rPr>
              <w:t>Tiesību akta projekta anotācijas kopsavilkums</w:t>
            </w:r>
          </w:p>
        </w:tc>
      </w:tr>
      <w:tr w:rsidR="00C8411C" w:rsidRPr="00C8411C" w14:paraId="4FBAEB49" w14:textId="77777777" w:rsidTr="00B260DB">
        <w:trPr>
          <w:cantSplit/>
        </w:trPr>
        <w:tc>
          <w:tcPr>
            <w:tcW w:w="2972" w:type="dxa"/>
            <w:shd w:val="clear" w:color="auto" w:fill="FFFFFF"/>
            <w:hideMark/>
          </w:tcPr>
          <w:p w14:paraId="4FBAEB47" w14:textId="77777777" w:rsidR="00BD5588" w:rsidRPr="00C8411C" w:rsidRDefault="00222C95" w:rsidP="00777A06">
            <w:pPr>
              <w:rPr>
                <w:iCs/>
                <w:lang w:eastAsia="en-US"/>
              </w:rPr>
            </w:pPr>
            <w:r w:rsidRPr="00C8411C">
              <w:rPr>
                <w:iCs/>
                <w:lang w:eastAsia="en-US"/>
              </w:rPr>
              <w:t>Mērķis, risinājums un projekta spēkā stāšanās laiks (500 zīmes bez atstarpēm)</w:t>
            </w:r>
          </w:p>
        </w:tc>
        <w:tc>
          <w:tcPr>
            <w:tcW w:w="6094" w:type="dxa"/>
            <w:shd w:val="clear" w:color="auto" w:fill="FFFFFF"/>
            <w:hideMark/>
          </w:tcPr>
          <w:p w14:paraId="4FBAEB48" w14:textId="77777777" w:rsidR="00770594" w:rsidRPr="000B2369" w:rsidRDefault="006F31D2" w:rsidP="006F31D2">
            <w:pPr>
              <w:jc w:val="both"/>
            </w:pPr>
            <w:r w:rsidRPr="000B2369">
              <w:rPr>
                <w:iCs/>
              </w:rPr>
              <w:t>Saskaņā ar Ministru kabineta 2009. gada 15. decembra instrukcijas Nr. 19 “Tiesību akta projekta sākotnējās ietekmes izvērtēšanas kārtība” 5.</w:t>
            </w:r>
            <w:r w:rsidRPr="000B2369">
              <w:rPr>
                <w:iCs/>
                <w:vertAlign w:val="superscript"/>
              </w:rPr>
              <w:t xml:space="preserve">1 </w:t>
            </w:r>
            <w:r w:rsidRPr="000B2369">
              <w:rPr>
                <w:iCs/>
              </w:rPr>
              <w:t>punktu anotācijas kopsavilkums nav jāaizpilda, jo projekta anotācijas I sadaļas 2. punkts nepārsniedz divas lapaspuses.</w:t>
            </w:r>
          </w:p>
        </w:tc>
      </w:tr>
    </w:tbl>
    <w:p w14:paraId="4FBAEB4A" w14:textId="77777777" w:rsidR="00161647" w:rsidRPr="00C8411C" w:rsidRDefault="00161647" w:rsidP="008D7797">
      <w:pPr>
        <w:pStyle w:val="Title"/>
        <w:jc w:val="both"/>
        <w:rPr>
          <w:sz w:val="24"/>
          <w:szCs w:val="24"/>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7"/>
        <w:gridCol w:w="48"/>
        <w:gridCol w:w="2407"/>
        <w:gridCol w:w="6095"/>
        <w:gridCol w:w="177"/>
      </w:tblGrid>
      <w:tr w:rsidR="00C8411C" w:rsidRPr="00C8411C" w14:paraId="4FBAEB4C" w14:textId="77777777" w:rsidTr="008D7797">
        <w:trPr>
          <w:gridAfter w:val="1"/>
          <w:wAfter w:w="96" w:type="pct"/>
        </w:trPr>
        <w:tc>
          <w:tcPr>
            <w:tcW w:w="4904" w:type="pct"/>
            <w:gridSpan w:val="4"/>
            <w:vAlign w:val="center"/>
            <w:hideMark/>
          </w:tcPr>
          <w:p w14:paraId="4FBAEB4B" w14:textId="77777777" w:rsidR="00BD5588" w:rsidRPr="00C8411C" w:rsidRDefault="00222C95" w:rsidP="00777A06">
            <w:pPr>
              <w:widowControl w:val="0"/>
              <w:jc w:val="center"/>
              <w:rPr>
                <w:b/>
                <w:bCs/>
              </w:rPr>
            </w:pPr>
            <w:r w:rsidRPr="00C8411C">
              <w:rPr>
                <w:b/>
                <w:bCs/>
              </w:rPr>
              <w:t>I. Tiesību akta projekta izstrādes nepieciešamība</w:t>
            </w:r>
          </w:p>
        </w:tc>
      </w:tr>
      <w:tr w:rsidR="00C8411C" w:rsidRPr="00C8411C" w14:paraId="4FBAEB50" w14:textId="77777777" w:rsidTr="008D7797">
        <w:trPr>
          <w:gridAfter w:val="1"/>
          <w:wAfter w:w="96" w:type="pct"/>
        </w:trPr>
        <w:tc>
          <w:tcPr>
            <w:tcW w:w="305" w:type="pct"/>
            <w:gridSpan w:val="2"/>
            <w:hideMark/>
          </w:tcPr>
          <w:p w14:paraId="4FBAEB4D" w14:textId="77777777" w:rsidR="00BD5588" w:rsidRPr="00C8411C" w:rsidRDefault="00222C95" w:rsidP="00777A06">
            <w:pPr>
              <w:widowControl w:val="0"/>
              <w:jc w:val="both"/>
            </w:pPr>
            <w:r w:rsidRPr="00C8411C">
              <w:t>1.</w:t>
            </w:r>
          </w:p>
        </w:tc>
        <w:tc>
          <w:tcPr>
            <w:tcW w:w="1302" w:type="pct"/>
            <w:hideMark/>
          </w:tcPr>
          <w:p w14:paraId="4FBAEB4E" w14:textId="77777777" w:rsidR="00BD5588" w:rsidRPr="00C8411C" w:rsidRDefault="00222C95" w:rsidP="00777A06">
            <w:pPr>
              <w:widowControl w:val="0"/>
              <w:jc w:val="both"/>
            </w:pPr>
            <w:r w:rsidRPr="00C8411C">
              <w:t>Pamatojums</w:t>
            </w:r>
          </w:p>
        </w:tc>
        <w:tc>
          <w:tcPr>
            <w:tcW w:w="3296" w:type="pct"/>
          </w:tcPr>
          <w:p w14:paraId="4FBAEB4F" w14:textId="5CBF58CD" w:rsidR="00161647" w:rsidRPr="006F31D2" w:rsidRDefault="00CB03D6" w:rsidP="006F31D2">
            <w:pPr>
              <w:jc w:val="both"/>
            </w:pPr>
            <w:r w:rsidRPr="00C8411C">
              <w:rPr>
                <w:bCs/>
              </w:rPr>
              <w:t xml:space="preserve">Likumprojekts </w:t>
            </w:r>
            <w:r w:rsidR="00652AFD">
              <w:rPr>
                <w:bCs/>
              </w:rPr>
              <w:t>“Grozījumi</w:t>
            </w:r>
            <w:r w:rsidR="006F31D2">
              <w:rPr>
                <w:bCs/>
              </w:rPr>
              <w:t xml:space="preserve"> Augstskolu likumā</w:t>
            </w:r>
            <w:r w:rsidRPr="00C8411C">
              <w:t>” (turp</w:t>
            </w:r>
            <w:r w:rsidR="006F31D2">
              <w:t>māk – likumprojekts) izstrādāts p</w:t>
            </w:r>
            <w:r w:rsidR="006F31D2" w:rsidRPr="006F31D2">
              <w:t>ēc Izglītības un zinātnes ministrijas iniciatīvas.</w:t>
            </w:r>
          </w:p>
        </w:tc>
      </w:tr>
      <w:tr w:rsidR="00C8411C" w:rsidRPr="00C8411C" w14:paraId="4FBAEB5E" w14:textId="77777777" w:rsidTr="008D7797">
        <w:trPr>
          <w:gridAfter w:val="1"/>
          <w:wAfter w:w="96" w:type="pct"/>
        </w:trPr>
        <w:tc>
          <w:tcPr>
            <w:tcW w:w="305" w:type="pct"/>
            <w:gridSpan w:val="2"/>
            <w:hideMark/>
          </w:tcPr>
          <w:p w14:paraId="4FBAEB51" w14:textId="77777777" w:rsidR="00BD5588" w:rsidRPr="00C8411C" w:rsidRDefault="00222C95" w:rsidP="00777A06">
            <w:pPr>
              <w:widowControl w:val="0"/>
            </w:pPr>
            <w:r w:rsidRPr="00C8411C">
              <w:t>2.</w:t>
            </w:r>
          </w:p>
        </w:tc>
        <w:tc>
          <w:tcPr>
            <w:tcW w:w="1302" w:type="pct"/>
            <w:hideMark/>
          </w:tcPr>
          <w:p w14:paraId="4FBAEB52" w14:textId="77777777" w:rsidR="00EB796A" w:rsidRPr="00C8411C" w:rsidRDefault="00222C95" w:rsidP="00777A06">
            <w:pPr>
              <w:widowControl w:val="0"/>
            </w:pPr>
            <w:r w:rsidRPr="00C8411C">
              <w:t>Pašreizējā situācija un problēmas, kuru risināšanai tiesību akta projekts izstrādāts, tiesiskā regulējuma mērķis un būtība</w:t>
            </w:r>
          </w:p>
          <w:p w14:paraId="4FBAEB53" w14:textId="77777777" w:rsidR="00EB796A" w:rsidRPr="00C8411C" w:rsidRDefault="00EB796A" w:rsidP="00777A06"/>
          <w:p w14:paraId="4FBAEB54" w14:textId="77777777" w:rsidR="00BD5588" w:rsidRPr="00C8411C" w:rsidRDefault="00BD5588" w:rsidP="00777A06">
            <w:pPr>
              <w:jc w:val="right"/>
            </w:pPr>
          </w:p>
        </w:tc>
        <w:tc>
          <w:tcPr>
            <w:tcW w:w="3296" w:type="pct"/>
          </w:tcPr>
          <w:p w14:paraId="4FBAEB55" w14:textId="77777777" w:rsidR="00BF4C23" w:rsidRPr="00BF4C23" w:rsidRDefault="00C80C3E" w:rsidP="00BF4C23">
            <w:pPr>
              <w:jc w:val="both"/>
              <w:rPr>
                <w:bCs/>
              </w:rPr>
            </w:pPr>
            <w:r w:rsidRPr="00C80C3E">
              <w:rPr>
                <w:bCs/>
              </w:rPr>
              <w:t>Augstskolu lik</w:t>
            </w:r>
            <w:r w:rsidR="00BF4C23">
              <w:rPr>
                <w:bCs/>
              </w:rPr>
              <w:t>uma pārejas noteikumu 48. punktā</w:t>
            </w:r>
            <w:r w:rsidRPr="00C80C3E">
              <w:rPr>
                <w:bCs/>
              </w:rPr>
              <w:t xml:space="preserve"> noteikts, ka </w:t>
            </w:r>
            <w:r w:rsidR="00BF4C23" w:rsidRPr="00BF4C23">
              <w:rPr>
                <w:bCs/>
              </w:rPr>
              <w:t>Studiju virzienus, kuri akreditējami 2019. gadā, akreditē saskaņā ar šādu studiju virzienu akreditācijas grafiku:</w:t>
            </w:r>
          </w:p>
          <w:p w14:paraId="4FBAEB56" w14:textId="77777777" w:rsidR="00BF4C23" w:rsidRPr="00BF4C23" w:rsidRDefault="00BF4C23" w:rsidP="00BF4C23">
            <w:pPr>
              <w:jc w:val="both"/>
              <w:rPr>
                <w:bCs/>
              </w:rPr>
            </w:pPr>
            <w:r w:rsidRPr="00BF4C23">
              <w:rPr>
                <w:bCs/>
              </w:rPr>
              <w:t>1) studiju virzienus "Psiholoģija", "Tiesību zinātne", "Ekonomika", "Informācijas un komunikācijas zinātnes" un "Vadība, administrēšana un nekustamo īpašumu pārvaldība" akreditē līdz 2020. gada 31. decembrim. Minēto studiju virzienu akreditācijas termiņš tiek pagarināts līdz brīdim, kad tiek pieņemts lēmums par studiju virziena akreditāciju vai lēmums par atteikumu akreditēt studiju virzienu, bet ne ilgāk kā līdz 2020. gada 31. decembrim;</w:t>
            </w:r>
          </w:p>
          <w:p w14:paraId="4FBAEB57" w14:textId="77777777" w:rsidR="00BF4C23" w:rsidRPr="00BF4C23" w:rsidRDefault="00BF4C23" w:rsidP="00BF4C23">
            <w:pPr>
              <w:jc w:val="both"/>
              <w:rPr>
                <w:bCs/>
              </w:rPr>
            </w:pPr>
            <w:r w:rsidRPr="00BF4C23">
              <w:rPr>
                <w:bCs/>
              </w:rPr>
              <w:t xml:space="preserve">2) studiju virzienus "Mehānika un metālapstrāde, siltumenerģētika, siltumtehnika un mašīnzinības", "Enerģētika, elektrotehnika un </w:t>
            </w:r>
            <w:proofErr w:type="spellStart"/>
            <w:r w:rsidRPr="00BF4C23">
              <w:rPr>
                <w:bCs/>
              </w:rPr>
              <w:t>elektrotehnoloģijas</w:t>
            </w:r>
            <w:proofErr w:type="spellEnd"/>
            <w:r w:rsidRPr="00BF4C23">
              <w:rPr>
                <w:bCs/>
              </w:rPr>
              <w:t>", "Ražošana un pārstrāde", "Arhitektūra un būvniecība", "Lauksaimniecība, mežsaimniecība, zivsaimniecība, veterinārmedicīna un pārtikas higiēna", "Veselības aprūpe" un "Sociālā labklājība" akreditē līdz 2021. gada 31. decembrim. Minēto studiju virzienu akreditācijas termiņš tiek pagarināts līdz brīdim, kad tiek pieņemts lēmums par studiju virziena akreditāciju vai lēmums par atteikumu akreditēt studiju virzienu, bet ne ilgāk kā līdz 2021. gada 31. decembrim;</w:t>
            </w:r>
          </w:p>
          <w:p w14:paraId="4FBAEB58" w14:textId="77777777" w:rsidR="00BF4C23" w:rsidRPr="00BF4C23" w:rsidRDefault="00BF4C23" w:rsidP="00BF4C23">
            <w:pPr>
              <w:jc w:val="both"/>
              <w:rPr>
                <w:bCs/>
              </w:rPr>
            </w:pPr>
            <w:r w:rsidRPr="00BF4C23">
              <w:rPr>
                <w:bCs/>
              </w:rPr>
              <w:t>3) studiju virzienus "Mākslas", "Reliģija un teoloģija", "Vēsture un filozofija", "Ģeogrāfijas un zemes zinātnes", "Dzīvās dabas zinātnes", "Ķīmija, ķīmijas tehnoloģijas un biotehnoloģija", "Fizika, materiālzinātne, matemātika un statistika" un "Informācijas tehnoloģija, datortehnika, elektronika, telekomunikācijas, datorvadība un datorzinātne" akreditē līdz 2022. gada 31. decembrim. Minēto studiju virzienu akreditācijas termiņš tiek pagarināts līdz brīdim, kad tiek pieņemts lēmums par studiju virziena akreditāciju vai lēmums par atteikumu akreditēt studiju virzienu, bet ne ilgāk kā līdz 2022. gada 31. decembrim;</w:t>
            </w:r>
          </w:p>
          <w:p w14:paraId="4FBAEB59" w14:textId="77777777" w:rsidR="00BF4C23" w:rsidRDefault="00BF4C23" w:rsidP="00C80C3E">
            <w:pPr>
              <w:jc w:val="both"/>
              <w:rPr>
                <w:bCs/>
              </w:rPr>
            </w:pPr>
            <w:r w:rsidRPr="00BF4C23">
              <w:rPr>
                <w:bCs/>
              </w:rPr>
              <w:t xml:space="preserve">4) studiju virzienus "Izglītība, pedagoģija un sports", "Valodu un kultūras studijas, dzimtās valodas studijas un valodu programmas", "Tulkošana", "Socioloģija, politoloģija un antropoloģija", "Viesnīcu un restorānu serviss, tūrisma un </w:t>
            </w:r>
            <w:r w:rsidRPr="00BF4C23">
              <w:rPr>
                <w:bCs/>
              </w:rPr>
              <w:lastRenderedPageBreak/>
              <w:t>atpūtas organizācija", "Transporta pakalpojumi", "Vides aizsardzība", "Iekšējā drošība un civilā aizsardzība" un "Militārā aizsardzība" akreditē līdz 2023. gada 31. decembrim. Minēto studiju virzienu akreditācijas termiņš tiek pagarināts līdz brīdim, kad tiek pieņemts lēmums par studiju virziena akreditāciju vai lēmums par atteikumu akreditēt studiju virzienu, bet ne ilgāk kā līdz 2023. gada 31. decembrim.</w:t>
            </w:r>
          </w:p>
          <w:p w14:paraId="4FBAEB5A" w14:textId="5D2230B6" w:rsidR="00C80C3E" w:rsidRPr="00C80C3E" w:rsidRDefault="00C80C3E" w:rsidP="00C80C3E">
            <w:pPr>
              <w:jc w:val="both"/>
              <w:rPr>
                <w:bCs/>
              </w:rPr>
            </w:pPr>
            <w:r w:rsidRPr="00C80C3E">
              <w:rPr>
                <w:bCs/>
              </w:rPr>
              <w:t>Ministru kabineta 2018. gada 11. decembra noteikumu Nr. 793</w:t>
            </w:r>
            <w:proofErr w:type="gramStart"/>
            <w:r w:rsidRPr="00C80C3E">
              <w:rPr>
                <w:bCs/>
              </w:rPr>
              <w:t xml:space="preserve">  </w:t>
            </w:r>
            <w:proofErr w:type="gramEnd"/>
            <w:r w:rsidRPr="00C80C3E">
              <w:rPr>
                <w:bCs/>
              </w:rPr>
              <w:t xml:space="preserve">„Studiju virzienu atvēršanas un akreditācijas noteikumi” </w:t>
            </w:r>
            <w:r w:rsidR="00CA6484" w:rsidRPr="00CA6484">
              <w:rPr>
                <w:bCs/>
              </w:rPr>
              <w:t xml:space="preserve">10. </w:t>
            </w:r>
            <w:r w:rsidR="00CA6484">
              <w:rPr>
                <w:bCs/>
              </w:rPr>
              <w:t xml:space="preserve">punkts nosaka, ka </w:t>
            </w:r>
            <w:r w:rsidR="00C94FC5">
              <w:rPr>
                <w:bCs/>
              </w:rPr>
              <w:t>a</w:t>
            </w:r>
            <w:r w:rsidR="00CA6484" w:rsidRPr="00CA6484">
              <w:rPr>
                <w:bCs/>
              </w:rPr>
              <w:t xml:space="preserve">ugstskola vai koledža pirms studiju virziena akreditācijas iesnieguma iesniegšanas iesniedz Akadēmiskās informācijas centrā </w:t>
            </w:r>
            <w:r w:rsidR="00C94FC5">
              <w:rPr>
                <w:bCs/>
              </w:rPr>
              <w:t xml:space="preserve">(turpmāk – AIC) </w:t>
            </w:r>
            <w:r w:rsidR="00CA6484" w:rsidRPr="00CA6484">
              <w:rPr>
                <w:bCs/>
              </w:rPr>
              <w:t>vai Eiropas augstākās izglītības kvalitātes nodrošināšanas reģistrā iekļautajā kvalitātes nodrošināšanas aģentūrā iesniegumu par studiju virziena novērtēšanu un</w:t>
            </w:r>
            <w:r w:rsidR="00CA6484">
              <w:rPr>
                <w:bCs/>
              </w:rPr>
              <w:t xml:space="preserve"> aģentūras norādītos dokumentus un </w:t>
            </w:r>
            <w:r w:rsidRPr="00C80C3E">
              <w:rPr>
                <w:bCs/>
              </w:rPr>
              <w:t xml:space="preserve">18. punkts nosaka, ka </w:t>
            </w:r>
            <w:r w:rsidR="00C94FC5">
              <w:rPr>
                <w:bCs/>
              </w:rPr>
              <w:t xml:space="preserve">AIC </w:t>
            </w:r>
            <w:r w:rsidRPr="00C80C3E">
              <w:rPr>
                <w:bCs/>
              </w:rPr>
              <w:t>se</w:t>
            </w:r>
            <w:r w:rsidR="00EB3125">
              <w:rPr>
                <w:bCs/>
              </w:rPr>
              <w:t>šu mēnešu laikā pēc augstskolu/</w:t>
            </w:r>
            <w:r w:rsidRPr="00C80C3E">
              <w:rPr>
                <w:bCs/>
              </w:rPr>
              <w:t xml:space="preserve">koledžu iesnieguma par studiju virziena novērtēšanu saņemšanas nodrošina, ka pēc studiju virziena un tam atbilstošo studiju programmu novērtēšanas ekspertu grupa sagatavo ekspertu grupas kopīgo atzinumu. </w:t>
            </w:r>
            <w:r>
              <w:rPr>
                <w:bCs/>
              </w:rPr>
              <w:t>A</w:t>
            </w:r>
            <w:r w:rsidRPr="00C80C3E">
              <w:rPr>
                <w:bCs/>
              </w:rPr>
              <w:t>tbilstoši aktuālajai informācijai</w:t>
            </w:r>
            <w:r>
              <w:rPr>
                <w:bCs/>
              </w:rPr>
              <w:t xml:space="preserve"> saistībā ar </w:t>
            </w:r>
            <w:proofErr w:type="spellStart"/>
            <w:r>
              <w:rPr>
                <w:bCs/>
              </w:rPr>
              <w:t>koronavīrusa</w:t>
            </w:r>
            <w:proofErr w:type="spellEnd"/>
            <w:r w:rsidR="00EB3125">
              <w:rPr>
                <w:bCs/>
              </w:rPr>
              <w:t xml:space="preserve"> izraisītās slimības</w:t>
            </w:r>
            <w:r>
              <w:rPr>
                <w:bCs/>
              </w:rPr>
              <w:t xml:space="preserve"> </w:t>
            </w:r>
            <w:proofErr w:type="spellStart"/>
            <w:r>
              <w:rPr>
                <w:bCs/>
              </w:rPr>
              <w:t>Covid-19</w:t>
            </w:r>
            <w:proofErr w:type="spellEnd"/>
            <w:r w:rsidRPr="00C80C3E">
              <w:rPr>
                <w:bCs/>
              </w:rPr>
              <w:t xml:space="preserve"> izplatību pasaulē, tajā skaitā Latvijā, regulāri tiek atjaunota informācija par iespējamiem riskiem un ierobežojošiem pasākumiem visā pasaulē. Valstis, izvērtējot </w:t>
            </w:r>
            <w:r>
              <w:rPr>
                <w:bCs/>
              </w:rPr>
              <w:t xml:space="preserve">riskus, kas saistīti ar </w:t>
            </w:r>
            <w:proofErr w:type="spellStart"/>
            <w:r>
              <w:rPr>
                <w:bCs/>
              </w:rPr>
              <w:t>Covid-19</w:t>
            </w:r>
            <w:proofErr w:type="spellEnd"/>
            <w:r w:rsidRPr="00C80C3E">
              <w:rPr>
                <w:bCs/>
              </w:rPr>
              <w:t xml:space="preserve"> pieaugošu izplatību, ievieš drošības pasākumus, lai samazinātu vai novērstu </w:t>
            </w:r>
            <w:proofErr w:type="spellStart"/>
            <w:r w:rsidR="00EB3125">
              <w:rPr>
                <w:bCs/>
              </w:rPr>
              <w:t>korona</w:t>
            </w:r>
            <w:r w:rsidRPr="00C80C3E">
              <w:rPr>
                <w:bCs/>
              </w:rPr>
              <w:t>vīrusa</w:t>
            </w:r>
            <w:proofErr w:type="spellEnd"/>
            <w:r w:rsidRPr="00C80C3E">
              <w:rPr>
                <w:bCs/>
              </w:rPr>
              <w:t xml:space="preserve"> izplatību, tajā skaitā ir noteikti vairāku Eiropas valstu ierobežojumi personu ieceļošanai un izceļošanai (tajā skaitā ārvalstu ekspertu ieceļošanai Latvijā), paaugstināti lidojumi atcelšanas gadījumu riski, sagatavoti Latvijas Slimību profilakses un kontroles centra sagatavotie ieteikumi, kā arī sniegti Latvijas valdības attiecīgie norādījumi.</w:t>
            </w:r>
          </w:p>
          <w:p w14:paraId="4FBAEB5B" w14:textId="21AFB924" w:rsidR="00E101AD" w:rsidRPr="00C80C3E" w:rsidRDefault="00B15A62" w:rsidP="00E101AD">
            <w:pPr>
              <w:jc w:val="both"/>
              <w:rPr>
                <w:bCs/>
              </w:rPr>
            </w:pPr>
            <w:r>
              <w:rPr>
                <w:bCs/>
              </w:rPr>
              <w:t xml:space="preserve">2019. gadā </w:t>
            </w:r>
            <w:r w:rsidR="00E101AD" w:rsidRPr="00C80C3E">
              <w:rPr>
                <w:bCs/>
              </w:rPr>
              <w:t xml:space="preserve">paredzēts veikt 57 studiju virzienu novērtēšanas, </w:t>
            </w:r>
            <w:r w:rsidR="00E101AD">
              <w:rPr>
                <w:bCs/>
              </w:rPr>
              <w:t xml:space="preserve">AIC </w:t>
            </w:r>
            <w:r w:rsidR="00EB3125">
              <w:rPr>
                <w:bCs/>
              </w:rPr>
              <w:t>un augstskolas/</w:t>
            </w:r>
            <w:r w:rsidR="00E101AD" w:rsidRPr="00C80C3E">
              <w:rPr>
                <w:bCs/>
              </w:rPr>
              <w:t>koledžas jau parakstījušas līgumus par 43 stu</w:t>
            </w:r>
            <w:r>
              <w:rPr>
                <w:bCs/>
              </w:rPr>
              <w:t>diju virzienu novērtēšanu, kuru izpildi</w:t>
            </w:r>
            <w:r w:rsidR="00E101AD" w:rsidRPr="00C80C3E">
              <w:rPr>
                <w:bCs/>
              </w:rPr>
              <w:t xml:space="preserve"> </w:t>
            </w:r>
            <w:proofErr w:type="spellStart"/>
            <w:r w:rsidR="00E101AD" w:rsidRPr="00EB3125">
              <w:rPr>
                <w:bCs/>
                <w:i/>
              </w:rPr>
              <w:t>f</w:t>
            </w:r>
            <w:r w:rsidR="00E101AD" w:rsidRPr="00C80C3E">
              <w:rPr>
                <w:bCs/>
                <w:i/>
              </w:rPr>
              <w:t>orce</w:t>
            </w:r>
            <w:proofErr w:type="spellEnd"/>
            <w:r w:rsidR="00E101AD" w:rsidRPr="00C80C3E">
              <w:rPr>
                <w:bCs/>
                <w:i/>
              </w:rPr>
              <w:t xml:space="preserve"> </w:t>
            </w:r>
            <w:proofErr w:type="spellStart"/>
            <w:r w:rsidR="00E101AD" w:rsidRPr="00C80C3E">
              <w:rPr>
                <w:bCs/>
                <w:i/>
              </w:rPr>
              <w:t>majeure</w:t>
            </w:r>
            <w:proofErr w:type="spellEnd"/>
            <w:r w:rsidR="00E101AD" w:rsidRPr="00C80C3E">
              <w:rPr>
                <w:bCs/>
                <w:u w:val="single"/>
              </w:rPr>
              <w:t xml:space="preserve"> </w:t>
            </w:r>
            <w:r w:rsidR="00E101AD" w:rsidRPr="00C80C3E">
              <w:rPr>
                <w:bCs/>
              </w:rPr>
              <w:t>apstākļos nav iespējams nodrošināt.</w:t>
            </w:r>
          </w:p>
          <w:p w14:paraId="4FBAEB5C" w14:textId="16D02885" w:rsidR="00C80C3E" w:rsidRPr="00C80C3E" w:rsidRDefault="00C80C3E" w:rsidP="00C80C3E">
            <w:pPr>
              <w:jc w:val="both"/>
              <w:rPr>
                <w:bCs/>
              </w:rPr>
            </w:pPr>
            <w:r w:rsidRPr="00C80C3E">
              <w:rPr>
                <w:bCs/>
              </w:rPr>
              <w:t>Ņemot vērā radušos situāciju visā pasaul</w:t>
            </w:r>
            <w:r w:rsidR="00E101AD">
              <w:rPr>
                <w:bCs/>
              </w:rPr>
              <w:t>ē</w:t>
            </w:r>
            <w:r w:rsidR="00EB3125">
              <w:rPr>
                <w:bCs/>
              </w:rPr>
              <w:t>,</w:t>
            </w:r>
            <w:r w:rsidRPr="00C80C3E">
              <w:rPr>
                <w:bCs/>
              </w:rPr>
              <w:t xml:space="preserve"> šobrīd vairāki ārvalstu eksperti, kuri ir apstiprināti studiju virzienu novērtēšanām, atceļ </w:t>
            </w:r>
            <w:r w:rsidR="00EB3125">
              <w:rPr>
                <w:bCs/>
              </w:rPr>
              <w:t>ceļojumus</w:t>
            </w:r>
            <w:r w:rsidRPr="00C80C3E">
              <w:rPr>
                <w:bCs/>
              </w:rPr>
              <w:t xml:space="preserve"> vai arī izsaka atteikumu piedalīties novērtēšanas vizītēs</w:t>
            </w:r>
            <w:r w:rsidR="00E101AD">
              <w:rPr>
                <w:bCs/>
              </w:rPr>
              <w:t xml:space="preserve">, lūdz ar ko </w:t>
            </w:r>
            <w:r w:rsidR="00E101AD" w:rsidRPr="00C80C3E">
              <w:rPr>
                <w:bCs/>
              </w:rPr>
              <w:t>ārvalstu ekspertu piesaiste ir apgrūtināta</w:t>
            </w:r>
            <w:proofErr w:type="gramStart"/>
            <w:r w:rsidR="00E101AD" w:rsidRPr="00C80C3E">
              <w:rPr>
                <w:bCs/>
              </w:rPr>
              <w:t xml:space="preserve"> vai pat neiespējama, kas kavē novērtēšanas procedūru gaitu, līdz ar to nav iespējams iekļauties normatīvajā regulējumā noteiktajos termiņos</w:t>
            </w:r>
            <w:proofErr w:type="gramEnd"/>
            <w:r w:rsidR="00E101AD" w:rsidRPr="00C80C3E">
              <w:rPr>
                <w:bCs/>
              </w:rPr>
              <w:t>.</w:t>
            </w:r>
          </w:p>
          <w:p w14:paraId="4FBAEB5D" w14:textId="50695CB5" w:rsidR="006F2857" w:rsidRPr="00884DB4" w:rsidRDefault="00C80C3E" w:rsidP="00314083">
            <w:pPr>
              <w:jc w:val="both"/>
              <w:rPr>
                <w:bCs/>
              </w:rPr>
            </w:pPr>
            <w:r w:rsidRPr="00C80C3E">
              <w:rPr>
                <w:bCs/>
              </w:rPr>
              <w:t xml:space="preserve">Lai nodrošinātu, ka šī brīža situācija neietekmē studiju virzienu </w:t>
            </w:r>
            <w:r w:rsidR="00314083">
              <w:rPr>
                <w:bCs/>
              </w:rPr>
              <w:t>akreditāciju</w:t>
            </w:r>
            <w:r w:rsidR="00B6205D">
              <w:rPr>
                <w:bCs/>
              </w:rPr>
              <w:t xml:space="preserve">, </w:t>
            </w:r>
            <w:r w:rsidR="00FF45F0">
              <w:rPr>
                <w:bCs/>
              </w:rPr>
              <w:t>ir nepieciešams</w:t>
            </w:r>
            <w:r w:rsidR="00B6205D">
              <w:rPr>
                <w:b/>
                <w:bCs/>
              </w:rPr>
              <w:t xml:space="preserve"> </w:t>
            </w:r>
            <w:r w:rsidR="00A75AA6" w:rsidRPr="00A75AA6">
              <w:rPr>
                <w:bCs/>
              </w:rPr>
              <w:t xml:space="preserve">veikt izmaiņas </w:t>
            </w:r>
            <w:r w:rsidR="00E1186C">
              <w:rPr>
                <w:bCs/>
              </w:rPr>
              <w:t xml:space="preserve">visā </w:t>
            </w:r>
            <w:r w:rsidR="00A75AA6" w:rsidRPr="00A75AA6">
              <w:rPr>
                <w:bCs/>
              </w:rPr>
              <w:t>studiju virzienu akreditācijas grafikā,</w:t>
            </w:r>
            <w:r w:rsidR="00A75AA6">
              <w:rPr>
                <w:b/>
                <w:bCs/>
              </w:rPr>
              <w:t xml:space="preserve"> </w:t>
            </w:r>
            <w:r w:rsidR="00A75AA6">
              <w:rPr>
                <w:bCs/>
              </w:rPr>
              <w:t>pagarino</w:t>
            </w:r>
            <w:r w:rsidR="00FF45F0">
              <w:rPr>
                <w:bCs/>
              </w:rPr>
              <w:t>t</w:t>
            </w:r>
            <w:r w:rsidRPr="00C80C3E">
              <w:rPr>
                <w:b/>
                <w:bCs/>
              </w:rPr>
              <w:t xml:space="preserve"> </w:t>
            </w:r>
            <w:r w:rsidRPr="00A75AA6">
              <w:rPr>
                <w:bCs/>
              </w:rPr>
              <w:t>studiju virzienu akre</w:t>
            </w:r>
            <w:r w:rsidR="00A75AA6" w:rsidRPr="00A75AA6">
              <w:rPr>
                <w:bCs/>
              </w:rPr>
              <w:t>ditācijai paredzētos termiņu</w:t>
            </w:r>
            <w:r w:rsidR="00EB3125">
              <w:rPr>
                <w:bCs/>
              </w:rPr>
              <w:t>s</w:t>
            </w:r>
            <w:proofErr w:type="gramStart"/>
            <w:r w:rsidR="00A75AA6" w:rsidRPr="00A75AA6">
              <w:rPr>
                <w:bCs/>
              </w:rPr>
              <w:t xml:space="preserve"> </w:t>
            </w:r>
            <w:r w:rsidRPr="00A75AA6">
              <w:rPr>
                <w:bCs/>
              </w:rPr>
              <w:t xml:space="preserve"> </w:t>
            </w:r>
            <w:proofErr w:type="gramEnd"/>
            <w:r w:rsidR="00A75AA6" w:rsidRPr="00A75AA6">
              <w:rPr>
                <w:bCs/>
              </w:rPr>
              <w:t>par sešiem</w:t>
            </w:r>
            <w:r w:rsidRPr="00A75AA6">
              <w:rPr>
                <w:bCs/>
              </w:rPr>
              <w:t xml:space="preserve"> mēnešiem</w:t>
            </w:r>
            <w:r w:rsidR="00A75AA6">
              <w:rPr>
                <w:bCs/>
              </w:rPr>
              <w:t>.</w:t>
            </w:r>
          </w:p>
        </w:tc>
      </w:tr>
      <w:tr w:rsidR="00C8411C" w:rsidRPr="00C8411C" w14:paraId="4FBAEB62" w14:textId="77777777" w:rsidTr="008D7797">
        <w:trPr>
          <w:gridAfter w:val="1"/>
          <w:wAfter w:w="96" w:type="pct"/>
        </w:trPr>
        <w:tc>
          <w:tcPr>
            <w:tcW w:w="305" w:type="pct"/>
            <w:gridSpan w:val="2"/>
            <w:hideMark/>
          </w:tcPr>
          <w:p w14:paraId="4FBAEB5F" w14:textId="77777777" w:rsidR="00BD5588" w:rsidRPr="00C8411C" w:rsidRDefault="00222C95" w:rsidP="00793205">
            <w:pPr>
              <w:widowControl w:val="0"/>
              <w:jc w:val="center"/>
            </w:pPr>
            <w:r w:rsidRPr="00C8411C">
              <w:lastRenderedPageBreak/>
              <w:t>3.</w:t>
            </w:r>
          </w:p>
        </w:tc>
        <w:tc>
          <w:tcPr>
            <w:tcW w:w="1302" w:type="pct"/>
            <w:hideMark/>
          </w:tcPr>
          <w:p w14:paraId="4FBAEB60" w14:textId="77777777" w:rsidR="00BD5588" w:rsidRPr="00C8411C" w:rsidRDefault="00222C95" w:rsidP="00793205">
            <w:pPr>
              <w:widowControl w:val="0"/>
            </w:pPr>
            <w:r w:rsidRPr="00C8411C">
              <w:t>Projekta izstrādē iesaistītās institūcijas un publiskas personas kapitālsabiedrības</w:t>
            </w:r>
          </w:p>
        </w:tc>
        <w:tc>
          <w:tcPr>
            <w:tcW w:w="3296" w:type="pct"/>
          </w:tcPr>
          <w:p w14:paraId="4FBAEB61" w14:textId="77777777" w:rsidR="00AA0F1B" w:rsidRPr="00C8411C" w:rsidRDefault="00CB03D6" w:rsidP="00907B0E">
            <w:pPr>
              <w:jc w:val="both"/>
              <w:rPr>
                <w:bCs/>
              </w:rPr>
            </w:pPr>
            <w:r w:rsidRPr="00C8411C">
              <w:rPr>
                <w:bCs/>
              </w:rPr>
              <w:t xml:space="preserve">Izglītības un zinātnes ministrija </w:t>
            </w:r>
            <w:r w:rsidR="00907B0E">
              <w:rPr>
                <w:bCs/>
              </w:rPr>
              <w:t>un AIC</w:t>
            </w:r>
            <w:r w:rsidR="004E52E8">
              <w:rPr>
                <w:bCs/>
              </w:rPr>
              <w:t>.</w:t>
            </w:r>
          </w:p>
        </w:tc>
      </w:tr>
      <w:tr w:rsidR="001B1B15" w:rsidRPr="00C8411C" w14:paraId="4FBAEB66" w14:textId="77777777" w:rsidTr="008D7797">
        <w:trPr>
          <w:gridAfter w:val="1"/>
          <w:wAfter w:w="96" w:type="pct"/>
        </w:trPr>
        <w:tc>
          <w:tcPr>
            <w:tcW w:w="305" w:type="pct"/>
            <w:gridSpan w:val="2"/>
            <w:hideMark/>
          </w:tcPr>
          <w:p w14:paraId="4FBAEB63" w14:textId="77777777" w:rsidR="00BD5588" w:rsidRPr="00C8411C" w:rsidRDefault="00222C95" w:rsidP="00793205">
            <w:pPr>
              <w:widowControl w:val="0"/>
              <w:jc w:val="center"/>
            </w:pPr>
            <w:r w:rsidRPr="00C8411C">
              <w:t>4.</w:t>
            </w:r>
          </w:p>
        </w:tc>
        <w:tc>
          <w:tcPr>
            <w:tcW w:w="1302" w:type="pct"/>
            <w:hideMark/>
          </w:tcPr>
          <w:p w14:paraId="4FBAEB64" w14:textId="77777777" w:rsidR="00BD5588" w:rsidRPr="00C8411C" w:rsidRDefault="00222C95" w:rsidP="00793205">
            <w:pPr>
              <w:widowControl w:val="0"/>
            </w:pPr>
            <w:r w:rsidRPr="00C8411C">
              <w:t>Cita informācija</w:t>
            </w:r>
          </w:p>
        </w:tc>
        <w:tc>
          <w:tcPr>
            <w:tcW w:w="3296" w:type="pct"/>
            <w:hideMark/>
          </w:tcPr>
          <w:p w14:paraId="4FBAEB65" w14:textId="77777777" w:rsidR="00BD5588" w:rsidRPr="00C8411C" w:rsidRDefault="00222C95" w:rsidP="00EA3D31">
            <w:pPr>
              <w:widowControl w:val="0"/>
              <w:ind w:firstLine="108"/>
            </w:pPr>
            <w:r w:rsidRPr="00C8411C">
              <w:t>Nav</w:t>
            </w:r>
            <w:r w:rsidR="00EA3D31" w:rsidRPr="00C8411C">
              <w:t>.</w:t>
            </w:r>
          </w:p>
        </w:tc>
      </w:tr>
      <w:tr w:rsidR="00C8411C" w:rsidRPr="00C8411C" w14:paraId="4FBAEB69" w14:textId="77777777" w:rsidTr="008D7797">
        <w:tblPrEx>
          <w:tblLook w:val="04A0" w:firstRow="1" w:lastRow="0" w:firstColumn="1" w:lastColumn="0" w:noHBand="0" w:noVBand="1"/>
        </w:tblPrEx>
        <w:tc>
          <w:tcPr>
            <w:tcW w:w="5000" w:type="pct"/>
            <w:gridSpan w:val="5"/>
            <w:vAlign w:val="center"/>
            <w:hideMark/>
          </w:tcPr>
          <w:p w14:paraId="4FBAEB68" w14:textId="77777777" w:rsidR="00BD5588" w:rsidRPr="00C8411C" w:rsidRDefault="00222C95" w:rsidP="00E273A1">
            <w:pPr>
              <w:jc w:val="center"/>
              <w:rPr>
                <w:b/>
                <w:bCs/>
              </w:rPr>
            </w:pPr>
            <w:r w:rsidRPr="00C8411C">
              <w:rPr>
                <w:b/>
                <w:bCs/>
              </w:rPr>
              <w:lastRenderedPageBreak/>
              <w:t>II. Tiesību akta projekta ietekme uz sabiedrību, tautsaimniecības attīstību un administratīvo slogu</w:t>
            </w:r>
          </w:p>
        </w:tc>
      </w:tr>
      <w:tr w:rsidR="00C8411C" w:rsidRPr="00C8411C" w14:paraId="4FBAEB6D" w14:textId="77777777" w:rsidTr="008D7797">
        <w:tblPrEx>
          <w:tblLook w:val="04A0" w:firstRow="1" w:lastRow="0" w:firstColumn="1" w:lastColumn="0" w:noHBand="0" w:noVBand="1"/>
        </w:tblPrEx>
        <w:tc>
          <w:tcPr>
            <w:tcW w:w="279" w:type="pct"/>
            <w:hideMark/>
          </w:tcPr>
          <w:p w14:paraId="4FBAEB6A" w14:textId="77777777" w:rsidR="00BD5588" w:rsidRPr="00C8411C" w:rsidRDefault="00222C95" w:rsidP="00E273A1">
            <w:pPr>
              <w:jc w:val="center"/>
            </w:pPr>
            <w:r w:rsidRPr="00C8411C">
              <w:t>1.</w:t>
            </w:r>
          </w:p>
        </w:tc>
        <w:tc>
          <w:tcPr>
            <w:tcW w:w="1327" w:type="pct"/>
            <w:gridSpan w:val="2"/>
            <w:hideMark/>
          </w:tcPr>
          <w:p w14:paraId="4FBAEB6B" w14:textId="77777777" w:rsidR="00BD5588" w:rsidRPr="00C8411C" w:rsidRDefault="00222C95" w:rsidP="00E30236">
            <w:r w:rsidRPr="00C8411C">
              <w:t>Sabiedrības mērķgrupas, kuras tiesiskais regulējums ietekmē</w:t>
            </w:r>
            <w:proofErr w:type="gramStart"/>
            <w:r w:rsidRPr="00C8411C">
              <w:t xml:space="preserve"> vai varētu ietekmēt</w:t>
            </w:r>
            <w:proofErr w:type="gramEnd"/>
          </w:p>
        </w:tc>
        <w:tc>
          <w:tcPr>
            <w:tcW w:w="3394" w:type="pct"/>
            <w:gridSpan w:val="2"/>
          </w:tcPr>
          <w:p w14:paraId="4FBAEB6C" w14:textId="77777777" w:rsidR="00A40F38" w:rsidRPr="00C8411C" w:rsidRDefault="001E747B" w:rsidP="00313F32">
            <w:pPr>
              <w:pStyle w:val="naiskr"/>
              <w:spacing w:before="0" w:after="0"/>
              <w:jc w:val="both"/>
            </w:pPr>
            <w:r>
              <w:t>AIC, augstskolas un koledžas.</w:t>
            </w:r>
          </w:p>
        </w:tc>
      </w:tr>
      <w:tr w:rsidR="00C8411C" w:rsidRPr="00C8411C" w14:paraId="4FBAEB71" w14:textId="77777777" w:rsidTr="008D7797">
        <w:tblPrEx>
          <w:tblLook w:val="04A0" w:firstRow="1" w:lastRow="0" w:firstColumn="1" w:lastColumn="0" w:noHBand="0" w:noVBand="1"/>
        </w:tblPrEx>
        <w:tc>
          <w:tcPr>
            <w:tcW w:w="279" w:type="pct"/>
            <w:hideMark/>
          </w:tcPr>
          <w:p w14:paraId="4FBAEB6E" w14:textId="77777777" w:rsidR="00BD5588" w:rsidRPr="00C8411C" w:rsidRDefault="00222C95" w:rsidP="00E273A1">
            <w:pPr>
              <w:jc w:val="center"/>
            </w:pPr>
            <w:r w:rsidRPr="00C8411C">
              <w:t>2.</w:t>
            </w:r>
          </w:p>
        </w:tc>
        <w:tc>
          <w:tcPr>
            <w:tcW w:w="1327" w:type="pct"/>
            <w:gridSpan w:val="2"/>
            <w:hideMark/>
          </w:tcPr>
          <w:p w14:paraId="4FBAEB6F" w14:textId="77777777" w:rsidR="00BD5588" w:rsidRPr="00D6481C" w:rsidRDefault="00222C95" w:rsidP="00E30236">
            <w:r w:rsidRPr="00D6481C">
              <w:t>Tiesiskā regulējuma ietekme uz tautsaimniecību un administratīvo slogu</w:t>
            </w:r>
          </w:p>
        </w:tc>
        <w:tc>
          <w:tcPr>
            <w:tcW w:w="3394" w:type="pct"/>
            <w:gridSpan w:val="2"/>
            <w:hideMark/>
          </w:tcPr>
          <w:p w14:paraId="4FBAEB70" w14:textId="46F67FAE" w:rsidR="00313F32" w:rsidRPr="00D6481C" w:rsidRDefault="00D6481C" w:rsidP="00A129C8">
            <w:pPr>
              <w:tabs>
                <w:tab w:val="left" w:pos="7371"/>
              </w:tabs>
              <w:jc w:val="both"/>
            </w:pPr>
            <w:r w:rsidRPr="00D6481C">
              <w:t xml:space="preserve">Likumprojekts </w:t>
            </w:r>
            <w:r w:rsidR="008F3CCA">
              <w:t xml:space="preserve">ir neitrāls attiecībā uz tautsaimniecību un </w:t>
            </w:r>
            <w:r w:rsidRPr="00D6481C">
              <w:t>administratīvo slogu, jo nemaina akreditācijas</w:t>
            </w:r>
            <w:r w:rsidR="008F3CCA">
              <w:t xml:space="preserve"> proces</w:t>
            </w:r>
            <w:r w:rsidR="00A129C8">
              <w:t>a nepieciešamību</w:t>
            </w:r>
            <w:r w:rsidR="008F3CCA">
              <w:t xml:space="preserve"> un</w:t>
            </w:r>
            <w:r w:rsidRPr="00D6481C">
              <w:t xml:space="preserve"> </w:t>
            </w:r>
            <w:r w:rsidR="00A129C8">
              <w:t xml:space="preserve">akreditācijas </w:t>
            </w:r>
            <w:r w:rsidRPr="00D6481C">
              <w:t>procedūras, bet tikai maina to termiņu ārkārtas situācijas apstākļos.</w:t>
            </w:r>
          </w:p>
        </w:tc>
      </w:tr>
      <w:tr w:rsidR="00C8411C" w:rsidRPr="00C8411C" w14:paraId="4FBAEB75" w14:textId="77777777" w:rsidTr="008D7797">
        <w:tblPrEx>
          <w:tblLook w:val="04A0" w:firstRow="1" w:lastRow="0" w:firstColumn="1" w:lastColumn="0" w:noHBand="0" w:noVBand="1"/>
        </w:tblPrEx>
        <w:tc>
          <w:tcPr>
            <w:tcW w:w="279" w:type="pct"/>
            <w:hideMark/>
          </w:tcPr>
          <w:p w14:paraId="4FBAEB72" w14:textId="77777777" w:rsidR="00BD5588" w:rsidRPr="00C8411C" w:rsidRDefault="00222C95" w:rsidP="00E273A1">
            <w:pPr>
              <w:jc w:val="center"/>
            </w:pPr>
            <w:r w:rsidRPr="00C8411C">
              <w:t>3.</w:t>
            </w:r>
          </w:p>
        </w:tc>
        <w:tc>
          <w:tcPr>
            <w:tcW w:w="1327" w:type="pct"/>
            <w:gridSpan w:val="2"/>
            <w:hideMark/>
          </w:tcPr>
          <w:p w14:paraId="4FBAEB73" w14:textId="77777777" w:rsidR="00BD5588" w:rsidRPr="00D6481C" w:rsidRDefault="00222C95" w:rsidP="00E30236">
            <w:r w:rsidRPr="00D6481C">
              <w:t>Administratīvo izmaksu monetārs novērtējums</w:t>
            </w:r>
          </w:p>
        </w:tc>
        <w:tc>
          <w:tcPr>
            <w:tcW w:w="3394" w:type="pct"/>
            <w:gridSpan w:val="2"/>
            <w:hideMark/>
          </w:tcPr>
          <w:p w14:paraId="4FBAEB74" w14:textId="77777777" w:rsidR="00BD5588" w:rsidRPr="00D6481C" w:rsidRDefault="00D6481C" w:rsidP="004F3E18">
            <w:pPr>
              <w:ind w:firstLine="108"/>
              <w:jc w:val="both"/>
            </w:pPr>
            <w:r w:rsidRPr="00D6481C">
              <w:t>Likumprojekts šo jomu neskar.</w:t>
            </w:r>
          </w:p>
        </w:tc>
      </w:tr>
      <w:tr w:rsidR="00C8411C" w:rsidRPr="00C8411C" w14:paraId="4FBAEB79" w14:textId="77777777" w:rsidTr="008D7797">
        <w:tblPrEx>
          <w:tblLook w:val="04A0" w:firstRow="1" w:lastRow="0" w:firstColumn="1" w:lastColumn="0" w:noHBand="0" w:noVBand="1"/>
        </w:tblPrEx>
        <w:tc>
          <w:tcPr>
            <w:tcW w:w="279" w:type="pct"/>
            <w:hideMark/>
          </w:tcPr>
          <w:p w14:paraId="4FBAEB76" w14:textId="77777777" w:rsidR="00BD5588" w:rsidRPr="00C8411C" w:rsidRDefault="00222C95" w:rsidP="00E273A1">
            <w:pPr>
              <w:jc w:val="center"/>
            </w:pPr>
            <w:r w:rsidRPr="00C8411C">
              <w:t>4.</w:t>
            </w:r>
          </w:p>
        </w:tc>
        <w:tc>
          <w:tcPr>
            <w:tcW w:w="1327" w:type="pct"/>
            <w:gridSpan w:val="2"/>
            <w:hideMark/>
          </w:tcPr>
          <w:p w14:paraId="4FBAEB77" w14:textId="77777777" w:rsidR="00BD5588" w:rsidRPr="00C8411C" w:rsidRDefault="00222C95" w:rsidP="00E273A1">
            <w:r w:rsidRPr="00C8411C">
              <w:t>Atbilstības izmaksu monetārs novērtējums</w:t>
            </w:r>
          </w:p>
        </w:tc>
        <w:tc>
          <w:tcPr>
            <w:tcW w:w="3394" w:type="pct"/>
            <w:gridSpan w:val="2"/>
            <w:hideMark/>
          </w:tcPr>
          <w:p w14:paraId="4FBAEB78" w14:textId="77777777" w:rsidR="00BD5588" w:rsidRPr="00C8411C" w:rsidRDefault="00D6481C" w:rsidP="00EA3D31">
            <w:pPr>
              <w:ind w:firstLine="108"/>
            </w:pPr>
            <w:r>
              <w:t>Likump</w:t>
            </w:r>
            <w:r w:rsidR="00222C95" w:rsidRPr="00C8411C">
              <w:t>rojekts šo jomu neskar</w:t>
            </w:r>
            <w:r w:rsidR="00EA3D31" w:rsidRPr="00C8411C">
              <w:t>.</w:t>
            </w:r>
          </w:p>
        </w:tc>
      </w:tr>
      <w:tr w:rsidR="001B1B15" w:rsidRPr="00C8411C" w14:paraId="4FBAEB7E" w14:textId="77777777" w:rsidTr="008D7797">
        <w:tblPrEx>
          <w:tblLook w:val="04A0" w:firstRow="1" w:lastRow="0" w:firstColumn="1" w:lastColumn="0" w:noHBand="0" w:noVBand="1"/>
        </w:tblPrEx>
        <w:tc>
          <w:tcPr>
            <w:tcW w:w="279" w:type="pct"/>
            <w:hideMark/>
          </w:tcPr>
          <w:p w14:paraId="4FBAEB7A" w14:textId="77777777" w:rsidR="00BD5588" w:rsidRPr="00C8411C" w:rsidRDefault="00222C95" w:rsidP="00E273A1">
            <w:pPr>
              <w:jc w:val="center"/>
            </w:pPr>
            <w:r w:rsidRPr="00C8411C">
              <w:t>5.</w:t>
            </w:r>
          </w:p>
        </w:tc>
        <w:tc>
          <w:tcPr>
            <w:tcW w:w="1327" w:type="pct"/>
            <w:gridSpan w:val="2"/>
            <w:hideMark/>
          </w:tcPr>
          <w:p w14:paraId="4FBAEB7B" w14:textId="77777777" w:rsidR="00BD5588" w:rsidRPr="00C8411C" w:rsidRDefault="00222C95" w:rsidP="00E273A1">
            <w:r w:rsidRPr="00C8411C">
              <w:t>Cita informācija</w:t>
            </w:r>
          </w:p>
        </w:tc>
        <w:tc>
          <w:tcPr>
            <w:tcW w:w="3394" w:type="pct"/>
            <w:gridSpan w:val="2"/>
            <w:hideMark/>
          </w:tcPr>
          <w:p w14:paraId="4FBAEB7C" w14:textId="77777777" w:rsidR="00BD5588" w:rsidRPr="00C8411C" w:rsidRDefault="00222C95" w:rsidP="00EA3D31">
            <w:pPr>
              <w:ind w:firstLine="108"/>
            </w:pPr>
            <w:r w:rsidRPr="00C8411C">
              <w:t>Nav</w:t>
            </w:r>
            <w:r w:rsidR="00EA3D31" w:rsidRPr="00C8411C">
              <w:t>.</w:t>
            </w:r>
          </w:p>
          <w:p w14:paraId="4FBAEB7D" w14:textId="77777777" w:rsidR="00161647" w:rsidRPr="00C8411C" w:rsidRDefault="00161647" w:rsidP="00EA3D31">
            <w:pPr>
              <w:ind w:firstLine="108"/>
            </w:pPr>
          </w:p>
        </w:tc>
      </w:tr>
    </w:tbl>
    <w:p w14:paraId="4FBAEB7F" w14:textId="77777777" w:rsidR="004E4DD9" w:rsidRPr="008D7797" w:rsidRDefault="004E4DD9" w:rsidP="00E273A1">
      <w:pPr>
        <w:rPr>
          <w:sz w:val="16"/>
          <w:szCs w:val="16"/>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C8411C" w:rsidRPr="00C8411C" w14:paraId="4FBAEB81"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80" w14:textId="77777777" w:rsidR="00F54498" w:rsidRPr="00C8411C" w:rsidRDefault="00222C95" w:rsidP="00113C64">
            <w:pPr>
              <w:ind w:right="-34"/>
              <w:jc w:val="center"/>
              <w:rPr>
                <w:b/>
              </w:rPr>
            </w:pPr>
            <w:r w:rsidRPr="00C8411C">
              <w:rPr>
                <w:b/>
              </w:rPr>
              <w:t>III. Tiesību akta projekta ietekme uz valsts budžetu un pašvaldību budžetiem</w:t>
            </w:r>
          </w:p>
        </w:tc>
      </w:tr>
      <w:tr w:rsidR="00C8411C" w:rsidRPr="00C8411C" w14:paraId="4FBAEB83"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82" w14:textId="6836DA3E" w:rsidR="00BD7871" w:rsidRPr="00C8411C" w:rsidRDefault="00305200" w:rsidP="00113C64">
            <w:pPr>
              <w:ind w:right="-34"/>
              <w:jc w:val="center"/>
            </w:pPr>
            <w:r>
              <w:t>Likump</w:t>
            </w:r>
            <w:r w:rsidRPr="00C8411C">
              <w:t>rojekts šo jomu neskar</w:t>
            </w:r>
          </w:p>
        </w:tc>
      </w:tr>
    </w:tbl>
    <w:p w14:paraId="4FBAEB84" w14:textId="77777777" w:rsidR="004E4DD9" w:rsidRPr="008D7797" w:rsidRDefault="004E4DD9" w:rsidP="008D7797">
      <w:pPr>
        <w:pStyle w:val="Title"/>
        <w:jc w:val="both"/>
        <w:rPr>
          <w:sz w:val="16"/>
          <w:szCs w:val="16"/>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14083" w:rsidRPr="00C8411C" w14:paraId="23414B80" w14:textId="77777777" w:rsidTr="008359F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761D7" w14:textId="23D742CC" w:rsidR="00314083" w:rsidRPr="00C8411C" w:rsidRDefault="00314083" w:rsidP="008359F3">
            <w:pPr>
              <w:ind w:right="-34"/>
              <w:jc w:val="center"/>
              <w:rPr>
                <w:b/>
              </w:rPr>
            </w:pPr>
            <w:r w:rsidRPr="00C8411C">
              <w:rPr>
                <w:b/>
                <w:bCs/>
              </w:rPr>
              <w:t>IV. Tiesību akta projekta ietekme uz spēkā esošo tiesību normu sistēmu</w:t>
            </w:r>
          </w:p>
        </w:tc>
      </w:tr>
      <w:tr w:rsidR="00314083" w:rsidRPr="00C8411C" w14:paraId="0B4B2BEA" w14:textId="77777777" w:rsidTr="008359F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AFA318A" w14:textId="77777777" w:rsidR="00314083" w:rsidRPr="00C8411C" w:rsidRDefault="00314083" w:rsidP="008359F3">
            <w:pPr>
              <w:ind w:right="-34"/>
              <w:jc w:val="center"/>
            </w:pPr>
            <w:r>
              <w:t>Likump</w:t>
            </w:r>
            <w:r w:rsidRPr="00C8411C">
              <w:t>rojekts šo jomu neskar</w:t>
            </w:r>
          </w:p>
        </w:tc>
      </w:tr>
    </w:tbl>
    <w:p w14:paraId="4FBAEB95" w14:textId="77777777" w:rsidR="00161647" w:rsidRPr="008D7797" w:rsidRDefault="00161647" w:rsidP="008D7797">
      <w:pPr>
        <w:pStyle w:val="Title"/>
        <w:jc w:val="both"/>
        <w:rPr>
          <w:sz w:val="16"/>
          <w:szCs w:val="16"/>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340A6" w:rsidRPr="00C8411C" w14:paraId="4FBAEB97"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6" w14:textId="77777777" w:rsidR="003340A6" w:rsidRPr="00C8411C" w:rsidRDefault="003340A6" w:rsidP="00CA423D">
            <w:pPr>
              <w:ind w:right="-34"/>
              <w:jc w:val="center"/>
              <w:rPr>
                <w:b/>
              </w:rPr>
            </w:pPr>
            <w:r w:rsidRPr="00C8411C">
              <w:rPr>
                <w:b/>
                <w:bCs/>
              </w:rPr>
              <w:t>V. Tiesību akta projekta atbilstība Latvijas Republikas starptautiskajām saistībām</w:t>
            </w:r>
          </w:p>
        </w:tc>
      </w:tr>
      <w:tr w:rsidR="003340A6" w:rsidRPr="00C8411C" w14:paraId="4FBAEB99"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8" w14:textId="77777777" w:rsidR="003340A6" w:rsidRPr="00C8411C" w:rsidRDefault="00257E18" w:rsidP="00CA423D">
            <w:pPr>
              <w:ind w:right="-34"/>
              <w:jc w:val="center"/>
            </w:pPr>
            <w:r>
              <w:t>Likump</w:t>
            </w:r>
            <w:r w:rsidR="003340A6" w:rsidRPr="00C8411C">
              <w:t>rojekts šo jomu neskar</w:t>
            </w:r>
          </w:p>
        </w:tc>
      </w:tr>
    </w:tbl>
    <w:p w14:paraId="4FBAEB9A" w14:textId="77777777" w:rsidR="00161647" w:rsidRDefault="00161647" w:rsidP="00161647">
      <w:pPr>
        <w:pStyle w:val="Title"/>
        <w:spacing w:before="130" w:line="260" w:lineRule="exact"/>
        <w:jc w:val="both"/>
        <w:rPr>
          <w:sz w:val="24"/>
          <w:szCs w:val="24"/>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340A6" w:rsidRPr="00C8411C" w14:paraId="4FBAEB9C"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B" w14:textId="77777777" w:rsidR="003340A6" w:rsidRPr="00C8411C" w:rsidRDefault="003340A6" w:rsidP="00CA423D">
            <w:pPr>
              <w:ind w:right="-34"/>
              <w:jc w:val="center"/>
              <w:rPr>
                <w:b/>
              </w:rPr>
            </w:pPr>
            <w:r w:rsidRPr="00C8411C">
              <w:rPr>
                <w:b/>
                <w:bCs/>
              </w:rPr>
              <w:t>VI. Sabiedrības līdzdalība un komunikācijas aktivitātes</w:t>
            </w:r>
          </w:p>
        </w:tc>
      </w:tr>
      <w:tr w:rsidR="003340A6" w:rsidRPr="00C8411C" w14:paraId="4FBAEB9E"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D" w14:textId="77777777" w:rsidR="003340A6" w:rsidRPr="00C8411C" w:rsidRDefault="00257E18" w:rsidP="00CA423D">
            <w:pPr>
              <w:ind w:right="-34"/>
              <w:jc w:val="center"/>
            </w:pPr>
            <w:r>
              <w:t>Likump</w:t>
            </w:r>
            <w:r w:rsidR="003340A6" w:rsidRPr="00C8411C">
              <w:t>rojekts šo jomu neskar</w:t>
            </w:r>
          </w:p>
        </w:tc>
      </w:tr>
    </w:tbl>
    <w:p w14:paraId="4FBAEB9F" w14:textId="77777777" w:rsidR="00161647" w:rsidRPr="00C8411C"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C8411C" w:rsidRPr="00C8411C" w14:paraId="4FBAEBA2" w14:textId="77777777" w:rsidTr="00E92DFB">
        <w:trPr>
          <w:cantSplit/>
          <w:trHeight w:val="669"/>
        </w:trPr>
        <w:tc>
          <w:tcPr>
            <w:tcW w:w="5000" w:type="pct"/>
            <w:gridSpan w:val="3"/>
            <w:vAlign w:val="center"/>
            <w:hideMark/>
          </w:tcPr>
          <w:p w14:paraId="4FBAEBA0" w14:textId="77777777" w:rsidR="00D21A8A" w:rsidRPr="00C8411C" w:rsidRDefault="00222C95" w:rsidP="00B76031">
            <w:pPr>
              <w:jc w:val="center"/>
              <w:rPr>
                <w:b/>
                <w:bCs/>
              </w:rPr>
            </w:pPr>
            <w:r w:rsidRPr="00C8411C">
              <w:rPr>
                <w:b/>
                <w:bCs/>
              </w:rPr>
              <w:t>VII. Tiesību akta projekta izpildes nodrošināšan</w:t>
            </w:r>
            <w:r w:rsidR="00B76031" w:rsidRPr="00C8411C">
              <w:rPr>
                <w:b/>
                <w:bCs/>
              </w:rPr>
              <w:t>a un tās ietekme uz institūcijām</w:t>
            </w:r>
          </w:p>
          <w:p w14:paraId="4FBAEBA1" w14:textId="77777777" w:rsidR="00CE1FA4" w:rsidRPr="00C8411C" w:rsidRDefault="00CE1FA4" w:rsidP="00D21A8A"/>
        </w:tc>
      </w:tr>
      <w:tr w:rsidR="00C8411C" w:rsidRPr="00C8411C" w14:paraId="4FBAEBA7" w14:textId="77777777" w:rsidTr="00B83FC0">
        <w:trPr>
          <w:cantSplit/>
        </w:trPr>
        <w:tc>
          <w:tcPr>
            <w:tcW w:w="306" w:type="pct"/>
            <w:hideMark/>
          </w:tcPr>
          <w:p w14:paraId="4FBAEBA3" w14:textId="77777777" w:rsidR="009B1677" w:rsidRPr="00C8411C" w:rsidRDefault="009B1677" w:rsidP="009B1677">
            <w:pPr>
              <w:jc w:val="center"/>
            </w:pPr>
            <w:r w:rsidRPr="00C8411C">
              <w:t>1.</w:t>
            </w:r>
          </w:p>
        </w:tc>
        <w:tc>
          <w:tcPr>
            <w:tcW w:w="1769" w:type="pct"/>
            <w:hideMark/>
          </w:tcPr>
          <w:p w14:paraId="4FBAEBA4" w14:textId="77777777" w:rsidR="009B1677" w:rsidRPr="00C8411C" w:rsidRDefault="009B1677" w:rsidP="009B1677">
            <w:r w:rsidRPr="00C8411C">
              <w:t>Projekta izpildē iesaistītās institūcijas</w:t>
            </w:r>
          </w:p>
        </w:tc>
        <w:tc>
          <w:tcPr>
            <w:tcW w:w="2925" w:type="pct"/>
            <w:hideMark/>
          </w:tcPr>
          <w:p w14:paraId="4FBAEBA5" w14:textId="69BD4EC1" w:rsidR="009B1677" w:rsidRPr="00C8411C" w:rsidRDefault="003340A6" w:rsidP="009B1677">
            <w:pPr>
              <w:pStyle w:val="ListParagraph"/>
              <w:tabs>
                <w:tab w:val="left" w:pos="220"/>
              </w:tabs>
              <w:ind w:left="0"/>
              <w:jc w:val="both"/>
              <w:rPr>
                <w:lang w:eastAsia="en-US"/>
              </w:rPr>
            </w:pPr>
            <w:r>
              <w:rPr>
                <w:lang w:eastAsia="en-US"/>
              </w:rPr>
              <w:t>AIC</w:t>
            </w:r>
          </w:p>
          <w:p w14:paraId="4FBAEBA6" w14:textId="77777777" w:rsidR="009B1677" w:rsidRPr="00C8411C" w:rsidRDefault="009B1677" w:rsidP="009B1677">
            <w:pPr>
              <w:jc w:val="both"/>
            </w:pPr>
          </w:p>
        </w:tc>
      </w:tr>
      <w:tr w:rsidR="00C8411C" w:rsidRPr="00C8411C" w14:paraId="4FBAEBAC" w14:textId="77777777" w:rsidTr="00B83FC0">
        <w:tc>
          <w:tcPr>
            <w:tcW w:w="306" w:type="pct"/>
            <w:hideMark/>
          </w:tcPr>
          <w:p w14:paraId="4FBAEBA8" w14:textId="77777777" w:rsidR="009B1677" w:rsidRPr="00C8411C" w:rsidRDefault="009B1677" w:rsidP="009B1677">
            <w:pPr>
              <w:jc w:val="center"/>
            </w:pPr>
            <w:r w:rsidRPr="00C8411C">
              <w:t>2.</w:t>
            </w:r>
          </w:p>
        </w:tc>
        <w:tc>
          <w:tcPr>
            <w:tcW w:w="1769" w:type="pct"/>
            <w:hideMark/>
          </w:tcPr>
          <w:p w14:paraId="4FBAEBA9" w14:textId="77777777" w:rsidR="009B1677" w:rsidRPr="00C8411C" w:rsidRDefault="009B1677" w:rsidP="009B1677">
            <w:r w:rsidRPr="00C8411C">
              <w:t>Projekta izpildes ietekme uz pārvaldes funkcijām un institucionālo struktūru.</w:t>
            </w:r>
            <w:r w:rsidRPr="00C8411C">
              <w:br/>
              <w:t>Jaunu institūciju izveide, esošu institūciju likvidācija vai reorganizācija, to ietekme uz institūcijas cilvēkresursiem</w:t>
            </w:r>
          </w:p>
        </w:tc>
        <w:tc>
          <w:tcPr>
            <w:tcW w:w="2925" w:type="pct"/>
            <w:hideMark/>
          </w:tcPr>
          <w:p w14:paraId="4FBAEBAA" w14:textId="16161F59" w:rsidR="00257E18" w:rsidRDefault="00257E18" w:rsidP="00257E18">
            <w:pPr>
              <w:jc w:val="both"/>
            </w:pPr>
            <w:r>
              <w:t>Likump</w:t>
            </w:r>
            <w:r w:rsidR="009B1677" w:rsidRPr="00C8411C">
              <w:t xml:space="preserve">rojekts neietekmēs pārvaldes funkcijas un institucionālo struktūru. </w:t>
            </w:r>
            <w:r>
              <w:t xml:space="preserve"> </w:t>
            </w:r>
          </w:p>
          <w:p w14:paraId="4FBAEBAB" w14:textId="77777777" w:rsidR="009B1677" w:rsidRPr="00C8411C" w:rsidRDefault="00257E18" w:rsidP="00257E18">
            <w:pPr>
              <w:jc w:val="both"/>
            </w:pPr>
            <w:r>
              <w:t>Likump</w:t>
            </w:r>
            <w:r w:rsidR="009B1677" w:rsidRPr="00C8411C">
              <w:t xml:space="preserve">rojekta izpilde neprasa jaunu institūciju izveidi, esošu institūciju likvidāciju vai reorganizāciju, neietekmēs cilvēkresursus. </w:t>
            </w:r>
          </w:p>
        </w:tc>
      </w:tr>
      <w:tr w:rsidR="001B1B15" w:rsidRPr="00C8411C" w14:paraId="4FBAEBB0" w14:textId="77777777" w:rsidTr="00B83FC0">
        <w:trPr>
          <w:cantSplit/>
        </w:trPr>
        <w:tc>
          <w:tcPr>
            <w:tcW w:w="306" w:type="pct"/>
            <w:hideMark/>
          </w:tcPr>
          <w:p w14:paraId="4FBAEBAD" w14:textId="77777777" w:rsidR="00BD5588" w:rsidRPr="00C8411C" w:rsidRDefault="00222C95" w:rsidP="00E273A1">
            <w:pPr>
              <w:jc w:val="center"/>
            </w:pPr>
            <w:r w:rsidRPr="00C8411C">
              <w:t>3.</w:t>
            </w:r>
          </w:p>
        </w:tc>
        <w:tc>
          <w:tcPr>
            <w:tcW w:w="1769" w:type="pct"/>
            <w:hideMark/>
          </w:tcPr>
          <w:p w14:paraId="4FBAEBAE" w14:textId="77777777" w:rsidR="00BD5588" w:rsidRPr="00C8411C" w:rsidRDefault="00222C95" w:rsidP="00E273A1">
            <w:r w:rsidRPr="00C8411C">
              <w:t>Cita informācija</w:t>
            </w:r>
          </w:p>
        </w:tc>
        <w:tc>
          <w:tcPr>
            <w:tcW w:w="2925" w:type="pct"/>
            <w:hideMark/>
          </w:tcPr>
          <w:p w14:paraId="4FBAEBAF" w14:textId="77777777" w:rsidR="00BD5588" w:rsidRPr="00C8411C" w:rsidRDefault="002F4583" w:rsidP="00EA1889">
            <w:pPr>
              <w:ind w:firstLine="108"/>
            </w:pPr>
            <w:r w:rsidRPr="00C8411C">
              <w:t xml:space="preserve">Nav. </w:t>
            </w:r>
          </w:p>
        </w:tc>
      </w:tr>
    </w:tbl>
    <w:p w14:paraId="6D0EC75E" w14:textId="6ADD0190" w:rsidR="008D7797" w:rsidRPr="00163941" w:rsidRDefault="008D7797" w:rsidP="008D7797">
      <w:pPr>
        <w:pStyle w:val="Body"/>
        <w:tabs>
          <w:tab w:val="left" w:pos="2079"/>
        </w:tabs>
        <w:spacing w:after="0" w:line="240" w:lineRule="auto"/>
        <w:ind w:firstLine="709"/>
        <w:jc w:val="both"/>
        <w:rPr>
          <w:rFonts w:ascii="Times New Roman" w:hAnsi="Times New Roman" w:cs="Times New Roman"/>
          <w:color w:val="auto"/>
          <w:sz w:val="28"/>
          <w:szCs w:val="28"/>
          <w:lang w:val="de-DE"/>
        </w:rPr>
      </w:pPr>
    </w:p>
    <w:p w14:paraId="6B0345B3" w14:textId="77777777" w:rsidR="008D7797" w:rsidRPr="00163941" w:rsidRDefault="008D7797" w:rsidP="00163941">
      <w:pPr>
        <w:pStyle w:val="Body"/>
        <w:spacing w:after="0" w:line="240" w:lineRule="auto"/>
        <w:ind w:firstLine="709"/>
        <w:jc w:val="both"/>
        <w:rPr>
          <w:rFonts w:ascii="Times New Roman" w:hAnsi="Times New Roman" w:cs="Times New Roman"/>
          <w:color w:val="auto"/>
          <w:sz w:val="28"/>
          <w:szCs w:val="28"/>
          <w:lang w:val="de-DE"/>
        </w:rPr>
      </w:pPr>
    </w:p>
    <w:p w14:paraId="7795DB3C" w14:textId="77777777" w:rsidR="008D7797" w:rsidRPr="00163941" w:rsidRDefault="008D7797"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p w14:paraId="4FBAEBB2" w14:textId="3B91E753" w:rsidR="00D21A8A" w:rsidRDefault="00D21A8A" w:rsidP="00466C3A">
      <w:pPr>
        <w:tabs>
          <w:tab w:val="left" w:pos="6946"/>
        </w:tabs>
        <w:rPr>
          <w:lang w:eastAsia="ru-RU"/>
        </w:rPr>
      </w:pPr>
    </w:p>
    <w:p w14:paraId="67643849" w14:textId="77777777" w:rsidR="008D7797" w:rsidRPr="00C8411C" w:rsidRDefault="008D7797" w:rsidP="00466C3A">
      <w:pPr>
        <w:tabs>
          <w:tab w:val="left" w:pos="6946"/>
        </w:tabs>
        <w:rPr>
          <w:lang w:eastAsia="ru-RU"/>
        </w:rPr>
      </w:pPr>
      <w:bookmarkStart w:id="0" w:name="_GoBack"/>
      <w:bookmarkEnd w:id="0"/>
    </w:p>
    <w:p w14:paraId="4FBAEBB8" w14:textId="77777777" w:rsidR="005F11BD" w:rsidRPr="00C8411C" w:rsidRDefault="003340A6" w:rsidP="001E1EA0">
      <w:pPr>
        <w:tabs>
          <w:tab w:val="left" w:pos="0"/>
        </w:tabs>
        <w:jc w:val="both"/>
        <w:rPr>
          <w:sz w:val="22"/>
          <w:szCs w:val="22"/>
          <w:lang w:eastAsia="ru-RU"/>
        </w:rPr>
      </w:pPr>
      <w:r>
        <w:rPr>
          <w:sz w:val="22"/>
          <w:szCs w:val="22"/>
          <w:lang w:eastAsia="ru-RU"/>
        </w:rPr>
        <w:t>N. Mazure</w:t>
      </w:r>
      <w:r w:rsidR="002C2A5C" w:rsidRPr="00C8411C">
        <w:rPr>
          <w:sz w:val="22"/>
          <w:szCs w:val="22"/>
          <w:lang w:eastAsia="ru-RU"/>
        </w:rPr>
        <w:t xml:space="preserve">, </w:t>
      </w:r>
      <w:r>
        <w:rPr>
          <w:sz w:val="22"/>
          <w:szCs w:val="22"/>
          <w:lang w:eastAsia="ru-RU"/>
        </w:rPr>
        <w:t>67047940</w:t>
      </w:r>
    </w:p>
    <w:p w14:paraId="4FBAEBB9" w14:textId="3B976172" w:rsidR="005F11BD" w:rsidRDefault="008D7797" w:rsidP="00AE11F6">
      <w:pPr>
        <w:tabs>
          <w:tab w:val="left" w:pos="0"/>
          <w:tab w:val="right" w:pos="9071"/>
        </w:tabs>
        <w:jc w:val="both"/>
        <w:rPr>
          <w:sz w:val="22"/>
          <w:szCs w:val="22"/>
          <w:lang w:eastAsia="ru-RU"/>
        </w:rPr>
      </w:pPr>
      <w:hyperlink r:id="rId8" w:history="1">
        <w:r w:rsidR="00E02BDD" w:rsidRPr="004A332E">
          <w:rPr>
            <w:rStyle w:val="Hyperlink"/>
            <w:sz w:val="22"/>
            <w:szCs w:val="22"/>
            <w:lang w:eastAsia="ru-RU"/>
          </w:rPr>
          <w:t>Nadezda.mazure@izm.gov.lv</w:t>
        </w:r>
      </w:hyperlink>
      <w:r w:rsidR="00E02BDD">
        <w:rPr>
          <w:sz w:val="22"/>
          <w:szCs w:val="22"/>
          <w:lang w:eastAsia="ru-RU"/>
        </w:rPr>
        <w:t xml:space="preserve"> </w:t>
      </w:r>
    </w:p>
    <w:p w14:paraId="1B64290C" w14:textId="39405763" w:rsidR="008D7797" w:rsidRDefault="008D7797" w:rsidP="008D7797">
      <w:pP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911</w:t>
      </w:r>
      <w:r w:rsidRPr="008709C1">
        <w:rPr>
          <w:sz w:val="16"/>
          <w:szCs w:val="16"/>
        </w:rPr>
        <w:fldChar w:fldCharType="end"/>
      </w:r>
    </w:p>
    <w:sectPr w:rsidR="008D7797" w:rsidSect="008D7797">
      <w:headerReference w:type="default" r:id="rId9"/>
      <w:footerReference w:type="default" r:id="rId10"/>
      <w:footerReference w:type="first" r:id="rId11"/>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A8A6" w14:textId="77777777" w:rsidR="00925693" w:rsidRDefault="00925693">
      <w:r>
        <w:separator/>
      </w:r>
    </w:p>
  </w:endnote>
  <w:endnote w:type="continuationSeparator" w:id="0">
    <w:p w14:paraId="24AAF12B" w14:textId="77777777" w:rsidR="00925693" w:rsidRDefault="0092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42F2" w14:textId="77777777" w:rsidR="00EF0CC0" w:rsidRDefault="00EF0CC0" w:rsidP="00EF0CC0">
    <w:pPr>
      <w:pStyle w:val="Footer"/>
    </w:pPr>
    <w:r w:rsidRPr="00196722">
      <w:rPr>
        <w:sz w:val="22"/>
        <w:szCs w:val="22"/>
      </w:rPr>
      <w:t>IZMAnot_</w:t>
    </w:r>
    <w:r>
      <w:rPr>
        <w:sz w:val="22"/>
        <w:szCs w:val="22"/>
      </w:rPr>
      <w:t>030420_akreditacija (TA-589)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EBC4" w14:textId="7293C2E9" w:rsidR="00315286" w:rsidRDefault="00196722">
    <w:pPr>
      <w:pStyle w:val="Footer"/>
    </w:pPr>
    <w:r w:rsidRPr="00196722">
      <w:rPr>
        <w:sz w:val="22"/>
        <w:szCs w:val="22"/>
      </w:rPr>
      <w:t>IZMAnot_</w:t>
    </w:r>
    <w:r w:rsidR="00AC1304">
      <w:rPr>
        <w:sz w:val="22"/>
        <w:szCs w:val="22"/>
      </w:rPr>
      <w:t>0304</w:t>
    </w:r>
    <w:r w:rsidR="00C8411C">
      <w:rPr>
        <w:sz w:val="22"/>
        <w:szCs w:val="22"/>
      </w:rPr>
      <w:t>20</w:t>
    </w:r>
    <w:r w:rsidR="00AC1304">
      <w:rPr>
        <w:sz w:val="22"/>
        <w:szCs w:val="22"/>
      </w:rPr>
      <w:t>_akreditacija</w:t>
    </w:r>
    <w:r w:rsidR="00EF0CC0">
      <w:rPr>
        <w:sz w:val="22"/>
        <w:szCs w:val="22"/>
      </w:rPr>
      <w:t xml:space="preserve"> (TA-589)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2781" w14:textId="77777777" w:rsidR="00925693" w:rsidRDefault="00925693">
      <w:r>
        <w:separator/>
      </w:r>
    </w:p>
  </w:footnote>
  <w:footnote w:type="continuationSeparator" w:id="0">
    <w:p w14:paraId="1A69C4F7" w14:textId="77777777" w:rsidR="00925693" w:rsidRDefault="0092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433030"/>
      <w:docPartObj>
        <w:docPartGallery w:val="Page Numbers (Top of Page)"/>
        <w:docPartUnique/>
      </w:docPartObj>
    </w:sdtPr>
    <w:sdtEndPr>
      <w:rPr>
        <w:noProof/>
      </w:rPr>
    </w:sdtEndPr>
    <w:sdtContent>
      <w:p w14:paraId="4FBAEBBF" w14:textId="77777777" w:rsidR="00315286" w:rsidRDefault="00315286">
        <w:pPr>
          <w:pStyle w:val="Header"/>
          <w:jc w:val="center"/>
        </w:pPr>
        <w:r>
          <w:fldChar w:fldCharType="begin"/>
        </w:r>
        <w:r>
          <w:instrText xml:space="preserve"> PAGE   \* MERGEFORMAT </w:instrText>
        </w:r>
        <w:r>
          <w:fldChar w:fldCharType="separate"/>
        </w:r>
        <w:r w:rsidR="00D8295C">
          <w:rPr>
            <w:noProof/>
          </w:rPr>
          <w:t>4</w:t>
        </w:r>
        <w:r>
          <w:rPr>
            <w:noProof/>
          </w:rPr>
          <w:fldChar w:fldCharType="end"/>
        </w:r>
      </w:p>
    </w:sdtContent>
  </w:sdt>
  <w:p w14:paraId="4FBAEBC0" w14:textId="77777777" w:rsidR="00315286" w:rsidRDefault="00315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9"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0"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2"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4"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5"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6"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7"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8"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9"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0"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2"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4"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4"/>
  </w:num>
  <w:num w:numId="4">
    <w:abstractNumId w:val="21"/>
  </w:num>
  <w:num w:numId="5">
    <w:abstractNumId w:val="8"/>
  </w:num>
  <w:num w:numId="6">
    <w:abstractNumId w:val="13"/>
  </w:num>
  <w:num w:numId="7">
    <w:abstractNumId w:val="3"/>
  </w:num>
  <w:num w:numId="8">
    <w:abstractNumId w:val="1"/>
  </w:num>
  <w:num w:numId="9">
    <w:abstractNumId w:val="18"/>
  </w:num>
  <w:num w:numId="10">
    <w:abstractNumId w:val="9"/>
  </w:num>
  <w:num w:numId="11">
    <w:abstractNumId w:val="17"/>
  </w:num>
  <w:num w:numId="12">
    <w:abstractNumId w:val="11"/>
  </w:num>
  <w:num w:numId="13">
    <w:abstractNumId w:val="15"/>
  </w:num>
  <w:num w:numId="14">
    <w:abstractNumId w:val="0"/>
  </w:num>
  <w:num w:numId="15">
    <w:abstractNumId w:val="24"/>
  </w:num>
  <w:num w:numId="16">
    <w:abstractNumId w:val="16"/>
  </w:num>
  <w:num w:numId="17">
    <w:abstractNumId w:val="19"/>
  </w:num>
  <w:num w:numId="18">
    <w:abstractNumId w:val="12"/>
  </w:num>
  <w:num w:numId="19">
    <w:abstractNumId w:val="5"/>
  </w:num>
  <w:num w:numId="20">
    <w:abstractNumId w:val="4"/>
  </w:num>
  <w:num w:numId="21">
    <w:abstractNumId w:val="20"/>
  </w:num>
  <w:num w:numId="22">
    <w:abstractNumId w:val="22"/>
  </w:num>
  <w:num w:numId="23">
    <w:abstractNumId w:val="10"/>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zO3MDM2MzUwNzBU0lEKTi0uzszPAykwrAUABC+6NiwAAAA="/>
  </w:docVars>
  <w:rsids>
    <w:rsidRoot w:val="00BD5588"/>
    <w:rsid w:val="00003B47"/>
    <w:rsid w:val="00003D69"/>
    <w:rsid w:val="00004209"/>
    <w:rsid w:val="00006B19"/>
    <w:rsid w:val="000120C1"/>
    <w:rsid w:val="00012E91"/>
    <w:rsid w:val="00014157"/>
    <w:rsid w:val="00016567"/>
    <w:rsid w:val="00017788"/>
    <w:rsid w:val="00022364"/>
    <w:rsid w:val="00023C1E"/>
    <w:rsid w:val="000259BE"/>
    <w:rsid w:val="00031364"/>
    <w:rsid w:val="00031C49"/>
    <w:rsid w:val="0003391E"/>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54B3"/>
    <w:rsid w:val="0007674D"/>
    <w:rsid w:val="00082C22"/>
    <w:rsid w:val="0008718F"/>
    <w:rsid w:val="00087451"/>
    <w:rsid w:val="00087587"/>
    <w:rsid w:val="00087AE9"/>
    <w:rsid w:val="0009085E"/>
    <w:rsid w:val="00090C29"/>
    <w:rsid w:val="00091F1F"/>
    <w:rsid w:val="00093175"/>
    <w:rsid w:val="00094A4E"/>
    <w:rsid w:val="000954ED"/>
    <w:rsid w:val="000A024C"/>
    <w:rsid w:val="000A74A2"/>
    <w:rsid w:val="000B2369"/>
    <w:rsid w:val="000B423C"/>
    <w:rsid w:val="000B4EFE"/>
    <w:rsid w:val="000B5D28"/>
    <w:rsid w:val="000C00CF"/>
    <w:rsid w:val="000C0222"/>
    <w:rsid w:val="000C025F"/>
    <w:rsid w:val="000C0586"/>
    <w:rsid w:val="000C3EA0"/>
    <w:rsid w:val="000C44E4"/>
    <w:rsid w:val="000C498A"/>
    <w:rsid w:val="000C4D2D"/>
    <w:rsid w:val="000C7464"/>
    <w:rsid w:val="000C78E6"/>
    <w:rsid w:val="000D5489"/>
    <w:rsid w:val="000E056E"/>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B02"/>
    <w:rsid w:val="00140C9E"/>
    <w:rsid w:val="0014113C"/>
    <w:rsid w:val="00141DD2"/>
    <w:rsid w:val="001420F7"/>
    <w:rsid w:val="0014695B"/>
    <w:rsid w:val="001470F1"/>
    <w:rsid w:val="00147AE2"/>
    <w:rsid w:val="0015121A"/>
    <w:rsid w:val="00155A9F"/>
    <w:rsid w:val="00155D7A"/>
    <w:rsid w:val="00156487"/>
    <w:rsid w:val="00156750"/>
    <w:rsid w:val="0016015E"/>
    <w:rsid w:val="00161647"/>
    <w:rsid w:val="00164017"/>
    <w:rsid w:val="0016587E"/>
    <w:rsid w:val="00167B03"/>
    <w:rsid w:val="00170B58"/>
    <w:rsid w:val="001718C5"/>
    <w:rsid w:val="00171C87"/>
    <w:rsid w:val="00171CF8"/>
    <w:rsid w:val="0017228B"/>
    <w:rsid w:val="00175F3C"/>
    <w:rsid w:val="00177449"/>
    <w:rsid w:val="00177E8B"/>
    <w:rsid w:val="0018035F"/>
    <w:rsid w:val="001807BB"/>
    <w:rsid w:val="0018150B"/>
    <w:rsid w:val="00182956"/>
    <w:rsid w:val="00183C31"/>
    <w:rsid w:val="00185968"/>
    <w:rsid w:val="00190577"/>
    <w:rsid w:val="00196722"/>
    <w:rsid w:val="001A6B13"/>
    <w:rsid w:val="001B1B15"/>
    <w:rsid w:val="001B50DA"/>
    <w:rsid w:val="001B5F5D"/>
    <w:rsid w:val="001C05E2"/>
    <w:rsid w:val="001C45AC"/>
    <w:rsid w:val="001D04DD"/>
    <w:rsid w:val="001D4167"/>
    <w:rsid w:val="001D5AE2"/>
    <w:rsid w:val="001E1EA0"/>
    <w:rsid w:val="001E7456"/>
    <w:rsid w:val="001E747B"/>
    <w:rsid w:val="001F0223"/>
    <w:rsid w:val="001F3847"/>
    <w:rsid w:val="001F3E08"/>
    <w:rsid w:val="001F5971"/>
    <w:rsid w:val="001F6499"/>
    <w:rsid w:val="001F756D"/>
    <w:rsid w:val="001F7A5C"/>
    <w:rsid w:val="0020255C"/>
    <w:rsid w:val="00206658"/>
    <w:rsid w:val="002069BE"/>
    <w:rsid w:val="00206F43"/>
    <w:rsid w:val="002160E3"/>
    <w:rsid w:val="00217FD6"/>
    <w:rsid w:val="0022026C"/>
    <w:rsid w:val="00222C95"/>
    <w:rsid w:val="002240F4"/>
    <w:rsid w:val="00224FF8"/>
    <w:rsid w:val="00226B05"/>
    <w:rsid w:val="00227A5F"/>
    <w:rsid w:val="002363A8"/>
    <w:rsid w:val="0024179D"/>
    <w:rsid w:val="00243A9B"/>
    <w:rsid w:val="002450F0"/>
    <w:rsid w:val="00246DA4"/>
    <w:rsid w:val="00247D4A"/>
    <w:rsid w:val="002540CC"/>
    <w:rsid w:val="00254274"/>
    <w:rsid w:val="002574E6"/>
    <w:rsid w:val="00257E18"/>
    <w:rsid w:val="00261913"/>
    <w:rsid w:val="00262845"/>
    <w:rsid w:val="00262DCD"/>
    <w:rsid w:val="00263473"/>
    <w:rsid w:val="00265F1C"/>
    <w:rsid w:val="00271120"/>
    <w:rsid w:val="00271D02"/>
    <w:rsid w:val="00272C77"/>
    <w:rsid w:val="00283DC2"/>
    <w:rsid w:val="00286F08"/>
    <w:rsid w:val="0028764B"/>
    <w:rsid w:val="0029031A"/>
    <w:rsid w:val="0029179E"/>
    <w:rsid w:val="00293120"/>
    <w:rsid w:val="00295FB1"/>
    <w:rsid w:val="002960B7"/>
    <w:rsid w:val="002975FE"/>
    <w:rsid w:val="002A234A"/>
    <w:rsid w:val="002A30F0"/>
    <w:rsid w:val="002B30E6"/>
    <w:rsid w:val="002B39A8"/>
    <w:rsid w:val="002B4723"/>
    <w:rsid w:val="002B6A93"/>
    <w:rsid w:val="002B6FD5"/>
    <w:rsid w:val="002B7EAD"/>
    <w:rsid w:val="002C0ACD"/>
    <w:rsid w:val="002C2A5C"/>
    <w:rsid w:val="002C2BE5"/>
    <w:rsid w:val="002C3F00"/>
    <w:rsid w:val="002C4365"/>
    <w:rsid w:val="002C527E"/>
    <w:rsid w:val="002C56BC"/>
    <w:rsid w:val="002C69DF"/>
    <w:rsid w:val="002C7259"/>
    <w:rsid w:val="002D67D8"/>
    <w:rsid w:val="002D7166"/>
    <w:rsid w:val="002E13B4"/>
    <w:rsid w:val="002E264C"/>
    <w:rsid w:val="002E3C03"/>
    <w:rsid w:val="002E5A95"/>
    <w:rsid w:val="002E7E2B"/>
    <w:rsid w:val="002F0540"/>
    <w:rsid w:val="002F0590"/>
    <w:rsid w:val="002F07A8"/>
    <w:rsid w:val="002F1D71"/>
    <w:rsid w:val="002F1F46"/>
    <w:rsid w:val="002F2CC6"/>
    <w:rsid w:val="002F4583"/>
    <w:rsid w:val="002F4B13"/>
    <w:rsid w:val="002F52E2"/>
    <w:rsid w:val="002F6CDE"/>
    <w:rsid w:val="002F7C2D"/>
    <w:rsid w:val="00300A81"/>
    <w:rsid w:val="00301726"/>
    <w:rsid w:val="00301C78"/>
    <w:rsid w:val="00305200"/>
    <w:rsid w:val="00305302"/>
    <w:rsid w:val="00305E04"/>
    <w:rsid w:val="00305FDF"/>
    <w:rsid w:val="0030689D"/>
    <w:rsid w:val="00306CA0"/>
    <w:rsid w:val="0030774D"/>
    <w:rsid w:val="00307AAF"/>
    <w:rsid w:val="00311149"/>
    <w:rsid w:val="003111A8"/>
    <w:rsid w:val="00313F32"/>
    <w:rsid w:val="00314083"/>
    <w:rsid w:val="00315286"/>
    <w:rsid w:val="003157E9"/>
    <w:rsid w:val="00315E11"/>
    <w:rsid w:val="00316682"/>
    <w:rsid w:val="00325BFD"/>
    <w:rsid w:val="003272CB"/>
    <w:rsid w:val="00327B93"/>
    <w:rsid w:val="00330B03"/>
    <w:rsid w:val="00333DD2"/>
    <w:rsid w:val="003340A6"/>
    <w:rsid w:val="00335776"/>
    <w:rsid w:val="00345808"/>
    <w:rsid w:val="0034599E"/>
    <w:rsid w:val="00345D02"/>
    <w:rsid w:val="00347A07"/>
    <w:rsid w:val="003560C5"/>
    <w:rsid w:val="00356A22"/>
    <w:rsid w:val="00363BC4"/>
    <w:rsid w:val="00364D64"/>
    <w:rsid w:val="00365581"/>
    <w:rsid w:val="00367545"/>
    <w:rsid w:val="00370547"/>
    <w:rsid w:val="00370A64"/>
    <w:rsid w:val="00370D13"/>
    <w:rsid w:val="00371A18"/>
    <w:rsid w:val="003727B5"/>
    <w:rsid w:val="00372A6D"/>
    <w:rsid w:val="00374554"/>
    <w:rsid w:val="003747CB"/>
    <w:rsid w:val="00374CAD"/>
    <w:rsid w:val="0038355E"/>
    <w:rsid w:val="00384617"/>
    <w:rsid w:val="00386938"/>
    <w:rsid w:val="00390F02"/>
    <w:rsid w:val="00391B48"/>
    <w:rsid w:val="003A3BBD"/>
    <w:rsid w:val="003A5D20"/>
    <w:rsid w:val="003A71C2"/>
    <w:rsid w:val="003B030A"/>
    <w:rsid w:val="003B044A"/>
    <w:rsid w:val="003B1139"/>
    <w:rsid w:val="003B1642"/>
    <w:rsid w:val="003B4B3E"/>
    <w:rsid w:val="003C2CF9"/>
    <w:rsid w:val="003C3CD9"/>
    <w:rsid w:val="003C6B47"/>
    <w:rsid w:val="003D0D1C"/>
    <w:rsid w:val="003D1C62"/>
    <w:rsid w:val="003D1F6B"/>
    <w:rsid w:val="003D1F8A"/>
    <w:rsid w:val="003D33DE"/>
    <w:rsid w:val="003D48DD"/>
    <w:rsid w:val="003D6C05"/>
    <w:rsid w:val="003E51D8"/>
    <w:rsid w:val="003E71C5"/>
    <w:rsid w:val="003F5C6E"/>
    <w:rsid w:val="00400C15"/>
    <w:rsid w:val="00401C29"/>
    <w:rsid w:val="00402BBA"/>
    <w:rsid w:val="00403C2A"/>
    <w:rsid w:val="004048E6"/>
    <w:rsid w:val="00404CF4"/>
    <w:rsid w:val="0041017B"/>
    <w:rsid w:val="0041043A"/>
    <w:rsid w:val="0041096A"/>
    <w:rsid w:val="00413D86"/>
    <w:rsid w:val="00415538"/>
    <w:rsid w:val="00417087"/>
    <w:rsid w:val="00420BDC"/>
    <w:rsid w:val="0042123D"/>
    <w:rsid w:val="00421499"/>
    <w:rsid w:val="00422B12"/>
    <w:rsid w:val="004245BC"/>
    <w:rsid w:val="00424C4B"/>
    <w:rsid w:val="0043081E"/>
    <w:rsid w:val="00430E05"/>
    <w:rsid w:val="004327C5"/>
    <w:rsid w:val="00432CFC"/>
    <w:rsid w:val="004330F8"/>
    <w:rsid w:val="004360B2"/>
    <w:rsid w:val="00440113"/>
    <w:rsid w:val="00441F6D"/>
    <w:rsid w:val="00443C00"/>
    <w:rsid w:val="00444D26"/>
    <w:rsid w:val="00446DAB"/>
    <w:rsid w:val="00447527"/>
    <w:rsid w:val="00447814"/>
    <w:rsid w:val="00453F5B"/>
    <w:rsid w:val="0045563C"/>
    <w:rsid w:val="00455824"/>
    <w:rsid w:val="00462FBF"/>
    <w:rsid w:val="00465678"/>
    <w:rsid w:val="00466C3A"/>
    <w:rsid w:val="00471C87"/>
    <w:rsid w:val="00473ED4"/>
    <w:rsid w:val="00473F9D"/>
    <w:rsid w:val="00477888"/>
    <w:rsid w:val="00485616"/>
    <w:rsid w:val="00486066"/>
    <w:rsid w:val="00490E1B"/>
    <w:rsid w:val="00491833"/>
    <w:rsid w:val="00493A83"/>
    <w:rsid w:val="00497D16"/>
    <w:rsid w:val="00497FAC"/>
    <w:rsid w:val="004A1D80"/>
    <w:rsid w:val="004A373B"/>
    <w:rsid w:val="004A3A56"/>
    <w:rsid w:val="004A3F35"/>
    <w:rsid w:val="004A3FCA"/>
    <w:rsid w:val="004B2D3A"/>
    <w:rsid w:val="004B3F7D"/>
    <w:rsid w:val="004B4668"/>
    <w:rsid w:val="004C574D"/>
    <w:rsid w:val="004C5DAC"/>
    <w:rsid w:val="004C6703"/>
    <w:rsid w:val="004D5914"/>
    <w:rsid w:val="004D6765"/>
    <w:rsid w:val="004E1F8F"/>
    <w:rsid w:val="004E4DD9"/>
    <w:rsid w:val="004E52E8"/>
    <w:rsid w:val="004E5EF0"/>
    <w:rsid w:val="004E638D"/>
    <w:rsid w:val="004E6CB1"/>
    <w:rsid w:val="004F3E18"/>
    <w:rsid w:val="004F429E"/>
    <w:rsid w:val="004F54A9"/>
    <w:rsid w:val="004F6D3B"/>
    <w:rsid w:val="004F6E35"/>
    <w:rsid w:val="00500A3C"/>
    <w:rsid w:val="005010AB"/>
    <w:rsid w:val="00501220"/>
    <w:rsid w:val="00502F05"/>
    <w:rsid w:val="00504D51"/>
    <w:rsid w:val="00506F9F"/>
    <w:rsid w:val="00511426"/>
    <w:rsid w:val="00511F5D"/>
    <w:rsid w:val="00515A0B"/>
    <w:rsid w:val="00516016"/>
    <w:rsid w:val="005171BB"/>
    <w:rsid w:val="00517562"/>
    <w:rsid w:val="005223C6"/>
    <w:rsid w:val="00524F21"/>
    <w:rsid w:val="0052605D"/>
    <w:rsid w:val="00526871"/>
    <w:rsid w:val="00526EAD"/>
    <w:rsid w:val="00530CA5"/>
    <w:rsid w:val="00536DB3"/>
    <w:rsid w:val="0054077A"/>
    <w:rsid w:val="00550F7C"/>
    <w:rsid w:val="00555D79"/>
    <w:rsid w:val="005615CB"/>
    <w:rsid w:val="00561B6D"/>
    <w:rsid w:val="00563370"/>
    <w:rsid w:val="0056593C"/>
    <w:rsid w:val="00565D9D"/>
    <w:rsid w:val="005732B3"/>
    <w:rsid w:val="00573BF7"/>
    <w:rsid w:val="00574881"/>
    <w:rsid w:val="005751E7"/>
    <w:rsid w:val="0057649F"/>
    <w:rsid w:val="005808FD"/>
    <w:rsid w:val="00585498"/>
    <w:rsid w:val="00586700"/>
    <w:rsid w:val="00587D93"/>
    <w:rsid w:val="00592979"/>
    <w:rsid w:val="005933BD"/>
    <w:rsid w:val="00594BDA"/>
    <w:rsid w:val="00595340"/>
    <w:rsid w:val="005A1052"/>
    <w:rsid w:val="005A188F"/>
    <w:rsid w:val="005A2055"/>
    <w:rsid w:val="005A3EC6"/>
    <w:rsid w:val="005B04DF"/>
    <w:rsid w:val="005B3B2D"/>
    <w:rsid w:val="005B4660"/>
    <w:rsid w:val="005B49CC"/>
    <w:rsid w:val="005B7CDC"/>
    <w:rsid w:val="005C07C9"/>
    <w:rsid w:val="005C163B"/>
    <w:rsid w:val="005C4BF1"/>
    <w:rsid w:val="005C661B"/>
    <w:rsid w:val="005C6BC0"/>
    <w:rsid w:val="005C6D85"/>
    <w:rsid w:val="005D360A"/>
    <w:rsid w:val="005D4701"/>
    <w:rsid w:val="005D4A1E"/>
    <w:rsid w:val="005D70DF"/>
    <w:rsid w:val="005E0981"/>
    <w:rsid w:val="005E2669"/>
    <w:rsid w:val="005F0ECB"/>
    <w:rsid w:val="005F11BD"/>
    <w:rsid w:val="005F1B3A"/>
    <w:rsid w:val="005F1F9C"/>
    <w:rsid w:val="005F2C4A"/>
    <w:rsid w:val="005F6E3B"/>
    <w:rsid w:val="00602238"/>
    <w:rsid w:val="00604CFB"/>
    <w:rsid w:val="0061160A"/>
    <w:rsid w:val="006121B3"/>
    <w:rsid w:val="00627586"/>
    <w:rsid w:val="00630BEE"/>
    <w:rsid w:val="00634EFA"/>
    <w:rsid w:val="0063564F"/>
    <w:rsid w:val="00640243"/>
    <w:rsid w:val="0064292B"/>
    <w:rsid w:val="00643AD2"/>
    <w:rsid w:val="006460EE"/>
    <w:rsid w:val="006465DD"/>
    <w:rsid w:val="00646918"/>
    <w:rsid w:val="00647578"/>
    <w:rsid w:val="00647CEF"/>
    <w:rsid w:val="0065011B"/>
    <w:rsid w:val="00650B47"/>
    <w:rsid w:val="00652AFD"/>
    <w:rsid w:val="00653B64"/>
    <w:rsid w:val="0065401C"/>
    <w:rsid w:val="00654D64"/>
    <w:rsid w:val="00655A4A"/>
    <w:rsid w:val="00656B5C"/>
    <w:rsid w:val="00661256"/>
    <w:rsid w:val="00662942"/>
    <w:rsid w:val="00662B82"/>
    <w:rsid w:val="0066352D"/>
    <w:rsid w:val="00664C74"/>
    <w:rsid w:val="00664D5F"/>
    <w:rsid w:val="006662B8"/>
    <w:rsid w:val="006701A7"/>
    <w:rsid w:val="0067228C"/>
    <w:rsid w:val="00673016"/>
    <w:rsid w:val="00675275"/>
    <w:rsid w:val="00680949"/>
    <w:rsid w:val="00682054"/>
    <w:rsid w:val="006858C4"/>
    <w:rsid w:val="00687679"/>
    <w:rsid w:val="00690C15"/>
    <w:rsid w:val="006910CD"/>
    <w:rsid w:val="00694072"/>
    <w:rsid w:val="006945B1"/>
    <w:rsid w:val="00695510"/>
    <w:rsid w:val="006A3533"/>
    <w:rsid w:val="006A48C1"/>
    <w:rsid w:val="006A5E3B"/>
    <w:rsid w:val="006A5F9D"/>
    <w:rsid w:val="006B1C47"/>
    <w:rsid w:val="006B3F3B"/>
    <w:rsid w:val="006B6A19"/>
    <w:rsid w:val="006C2F94"/>
    <w:rsid w:val="006D285B"/>
    <w:rsid w:val="006D2F23"/>
    <w:rsid w:val="006D449E"/>
    <w:rsid w:val="006D629D"/>
    <w:rsid w:val="006D65B6"/>
    <w:rsid w:val="006D68C5"/>
    <w:rsid w:val="006E2C23"/>
    <w:rsid w:val="006E35D4"/>
    <w:rsid w:val="006E44C9"/>
    <w:rsid w:val="006E7A69"/>
    <w:rsid w:val="006F18AC"/>
    <w:rsid w:val="006F23A5"/>
    <w:rsid w:val="006F25C0"/>
    <w:rsid w:val="006F2857"/>
    <w:rsid w:val="006F31D2"/>
    <w:rsid w:val="00701B04"/>
    <w:rsid w:val="00704509"/>
    <w:rsid w:val="007067FA"/>
    <w:rsid w:val="0071026B"/>
    <w:rsid w:val="0071205F"/>
    <w:rsid w:val="00712191"/>
    <w:rsid w:val="00712F12"/>
    <w:rsid w:val="00713A22"/>
    <w:rsid w:val="00714306"/>
    <w:rsid w:val="00715799"/>
    <w:rsid w:val="00721B4A"/>
    <w:rsid w:val="00725349"/>
    <w:rsid w:val="007255AD"/>
    <w:rsid w:val="0073012E"/>
    <w:rsid w:val="00730A4F"/>
    <w:rsid w:val="00731A3E"/>
    <w:rsid w:val="00736AC1"/>
    <w:rsid w:val="00736BBC"/>
    <w:rsid w:val="0073772E"/>
    <w:rsid w:val="007400FE"/>
    <w:rsid w:val="00740602"/>
    <w:rsid w:val="00741FB3"/>
    <w:rsid w:val="00742EB2"/>
    <w:rsid w:val="00746B81"/>
    <w:rsid w:val="00751AB0"/>
    <w:rsid w:val="0075227C"/>
    <w:rsid w:val="0075360A"/>
    <w:rsid w:val="00756D97"/>
    <w:rsid w:val="00763F59"/>
    <w:rsid w:val="0076593C"/>
    <w:rsid w:val="00770594"/>
    <w:rsid w:val="0077473B"/>
    <w:rsid w:val="00774E4C"/>
    <w:rsid w:val="007761BC"/>
    <w:rsid w:val="0077698E"/>
    <w:rsid w:val="00777A06"/>
    <w:rsid w:val="00781624"/>
    <w:rsid w:val="00787FAF"/>
    <w:rsid w:val="00793205"/>
    <w:rsid w:val="007A009D"/>
    <w:rsid w:val="007A0521"/>
    <w:rsid w:val="007B23DA"/>
    <w:rsid w:val="007B557D"/>
    <w:rsid w:val="007B6BD9"/>
    <w:rsid w:val="007B7A2C"/>
    <w:rsid w:val="007C0208"/>
    <w:rsid w:val="007C2632"/>
    <w:rsid w:val="007C5CEA"/>
    <w:rsid w:val="007C69C7"/>
    <w:rsid w:val="007C7017"/>
    <w:rsid w:val="007D2376"/>
    <w:rsid w:val="007D27DF"/>
    <w:rsid w:val="007E053B"/>
    <w:rsid w:val="007E088F"/>
    <w:rsid w:val="007E1B0F"/>
    <w:rsid w:val="007E71EC"/>
    <w:rsid w:val="007F1CEC"/>
    <w:rsid w:val="007F42E4"/>
    <w:rsid w:val="007F4353"/>
    <w:rsid w:val="007F7252"/>
    <w:rsid w:val="007F7FCB"/>
    <w:rsid w:val="008010CA"/>
    <w:rsid w:val="00803184"/>
    <w:rsid w:val="008051D4"/>
    <w:rsid w:val="0081080D"/>
    <w:rsid w:val="00812E43"/>
    <w:rsid w:val="00812E5A"/>
    <w:rsid w:val="00820521"/>
    <w:rsid w:val="00820E5B"/>
    <w:rsid w:val="00831571"/>
    <w:rsid w:val="0083271D"/>
    <w:rsid w:val="008346BC"/>
    <w:rsid w:val="00835A27"/>
    <w:rsid w:val="0083637C"/>
    <w:rsid w:val="0083768C"/>
    <w:rsid w:val="008406CB"/>
    <w:rsid w:val="008423C7"/>
    <w:rsid w:val="00844143"/>
    <w:rsid w:val="00846D96"/>
    <w:rsid w:val="00847CF7"/>
    <w:rsid w:val="00852472"/>
    <w:rsid w:val="0085447F"/>
    <w:rsid w:val="00855891"/>
    <w:rsid w:val="00856539"/>
    <w:rsid w:val="00857D89"/>
    <w:rsid w:val="008621A0"/>
    <w:rsid w:val="0086369F"/>
    <w:rsid w:val="008654CD"/>
    <w:rsid w:val="008665D1"/>
    <w:rsid w:val="0086663C"/>
    <w:rsid w:val="0087080F"/>
    <w:rsid w:val="0087237C"/>
    <w:rsid w:val="00872A5F"/>
    <w:rsid w:val="00872D8C"/>
    <w:rsid w:val="0087596A"/>
    <w:rsid w:val="008811F3"/>
    <w:rsid w:val="008817F9"/>
    <w:rsid w:val="00882E11"/>
    <w:rsid w:val="00884DB4"/>
    <w:rsid w:val="00885AD0"/>
    <w:rsid w:val="0089253C"/>
    <w:rsid w:val="00892B9A"/>
    <w:rsid w:val="00893133"/>
    <w:rsid w:val="008943E4"/>
    <w:rsid w:val="00894DCC"/>
    <w:rsid w:val="00895BE1"/>
    <w:rsid w:val="0089737C"/>
    <w:rsid w:val="008A0644"/>
    <w:rsid w:val="008A10D7"/>
    <w:rsid w:val="008A1943"/>
    <w:rsid w:val="008A6789"/>
    <w:rsid w:val="008A7E4D"/>
    <w:rsid w:val="008B2057"/>
    <w:rsid w:val="008B618F"/>
    <w:rsid w:val="008B6236"/>
    <w:rsid w:val="008B69B2"/>
    <w:rsid w:val="008C0DB8"/>
    <w:rsid w:val="008C1001"/>
    <w:rsid w:val="008C54F6"/>
    <w:rsid w:val="008C5F43"/>
    <w:rsid w:val="008D0205"/>
    <w:rsid w:val="008D1627"/>
    <w:rsid w:val="008D1DD3"/>
    <w:rsid w:val="008D27ED"/>
    <w:rsid w:val="008D3F2E"/>
    <w:rsid w:val="008D75CD"/>
    <w:rsid w:val="008D7797"/>
    <w:rsid w:val="008E0CB9"/>
    <w:rsid w:val="008E3197"/>
    <w:rsid w:val="008E7B23"/>
    <w:rsid w:val="008F00DA"/>
    <w:rsid w:val="008F3A17"/>
    <w:rsid w:val="008F3CCA"/>
    <w:rsid w:val="008F648F"/>
    <w:rsid w:val="00905240"/>
    <w:rsid w:val="00907B0E"/>
    <w:rsid w:val="0091045E"/>
    <w:rsid w:val="00910521"/>
    <w:rsid w:val="009125B3"/>
    <w:rsid w:val="00914CB7"/>
    <w:rsid w:val="00917E28"/>
    <w:rsid w:val="00922B83"/>
    <w:rsid w:val="00924A77"/>
    <w:rsid w:val="00925693"/>
    <w:rsid w:val="009260F3"/>
    <w:rsid w:val="009277E1"/>
    <w:rsid w:val="00930B91"/>
    <w:rsid w:val="00933EC4"/>
    <w:rsid w:val="00935024"/>
    <w:rsid w:val="009367B8"/>
    <w:rsid w:val="00940357"/>
    <w:rsid w:val="00943ACC"/>
    <w:rsid w:val="00944AB4"/>
    <w:rsid w:val="00945414"/>
    <w:rsid w:val="00945599"/>
    <w:rsid w:val="009479F9"/>
    <w:rsid w:val="00947EFB"/>
    <w:rsid w:val="009530F9"/>
    <w:rsid w:val="00955D10"/>
    <w:rsid w:val="00961783"/>
    <w:rsid w:val="00963AD9"/>
    <w:rsid w:val="009640AE"/>
    <w:rsid w:val="00967A53"/>
    <w:rsid w:val="009701F9"/>
    <w:rsid w:val="009724A0"/>
    <w:rsid w:val="00973CEC"/>
    <w:rsid w:val="00974F58"/>
    <w:rsid w:val="00976309"/>
    <w:rsid w:val="00981319"/>
    <w:rsid w:val="00982525"/>
    <w:rsid w:val="009878D6"/>
    <w:rsid w:val="00987919"/>
    <w:rsid w:val="00987C59"/>
    <w:rsid w:val="00987DE4"/>
    <w:rsid w:val="009926C6"/>
    <w:rsid w:val="0099293D"/>
    <w:rsid w:val="0099392B"/>
    <w:rsid w:val="00994BC9"/>
    <w:rsid w:val="00994F14"/>
    <w:rsid w:val="009A2CF5"/>
    <w:rsid w:val="009A38B4"/>
    <w:rsid w:val="009A39A7"/>
    <w:rsid w:val="009A3D99"/>
    <w:rsid w:val="009A4868"/>
    <w:rsid w:val="009B09E6"/>
    <w:rsid w:val="009B1677"/>
    <w:rsid w:val="009B381F"/>
    <w:rsid w:val="009B3EC3"/>
    <w:rsid w:val="009B4623"/>
    <w:rsid w:val="009B6C25"/>
    <w:rsid w:val="009C44D8"/>
    <w:rsid w:val="009C678B"/>
    <w:rsid w:val="009C750C"/>
    <w:rsid w:val="009D0E2D"/>
    <w:rsid w:val="009D21F6"/>
    <w:rsid w:val="009D3AC1"/>
    <w:rsid w:val="009D5BBB"/>
    <w:rsid w:val="009D66C8"/>
    <w:rsid w:val="009D6904"/>
    <w:rsid w:val="009E5678"/>
    <w:rsid w:val="009E67AF"/>
    <w:rsid w:val="009F0B72"/>
    <w:rsid w:val="009F1979"/>
    <w:rsid w:val="009F4D21"/>
    <w:rsid w:val="009F734F"/>
    <w:rsid w:val="00A00CBC"/>
    <w:rsid w:val="00A06CDF"/>
    <w:rsid w:val="00A104DE"/>
    <w:rsid w:val="00A129C8"/>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40F38"/>
    <w:rsid w:val="00A44911"/>
    <w:rsid w:val="00A521C2"/>
    <w:rsid w:val="00A53CB3"/>
    <w:rsid w:val="00A55777"/>
    <w:rsid w:val="00A5594D"/>
    <w:rsid w:val="00A57548"/>
    <w:rsid w:val="00A615E7"/>
    <w:rsid w:val="00A624D9"/>
    <w:rsid w:val="00A626E2"/>
    <w:rsid w:val="00A63483"/>
    <w:rsid w:val="00A638AA"/>
    <w:rsid w:val="00A64511"/>
    <w:rsid w:val="00A65D77"/>
    <w:rsid w:val="00A66D2A"/>
    <w:rsid w:val="00A673FC"/>
    <w:rsid w:val="00A706BB"/>
    <w:rsid w:val="00A70AB3"/>
    <w:rsid w:val="00A72D03"/>
    <w:rsid w:val="00A73FF1"/>
    <w:rsid w:val="00A755F4"/>
    <w:rsid w:val="00A75671"/>
    <w:rsid w:val="00A757D4"/>
    <w:rsid w:val="00A7594E"/>
    <w:rsid w:val="00A75AA6"/>
    <w:rsid w:val="00A77AC6"/>
    <w:rsid w:val="00A8049D"/>
    <w:rsid w:val="00A86CA4"/>
    <w:rsid w:val="00A8798F"/>
    <w:rsid w:val="00A92036"/>
    <w:rsid w:val="00A929A6"/>
    <w:rsid w:val="00A935AC"/>
    <w:rsid w:val="00A95BEA"/>
    <w:rsid w:val="00AA0F1B"/>
    <w:rsid w:val="00AA1EB2"/>
    <w:rsid w:val="00AA2B92"/>
    <w:rsid w:val="00AA693E"/>
    <w:rsid w:val="00AB0342"/>
    <w:rsid w:val="00AB0DBA"/>
    <w:rsid w:val="00AB1829"/>
    <w:rsid w:val="00AB42F1"/>
    <w:rsid w:val="00AB7360"/>
    <w:rsid w:val="00AB7F20"/>
    <w:rsid w:val="00AC1304"/>
    <w:rsid w:val="00AC144B"/>
    <w:rsid w:val="00AC4347"/>
    <w:rsid w:val="00AC511B"/>
    <w:rsid w:val="00AC550B"/>
    <w:rsid w:val="00AC5FAE"/>
    <w:rsid w:val="00AD2D41"/>
    <w:rsid w:val="00AD47D0"/>
    <w:rsid w:val="00AD49A5"/>
    <w:rsid w:val="00AD4F57"/>
    <w:rsid w:val="00AD670F"/>
    <w:rsid w:val="00AD7B2D"/>
    <w:rsid w:val="00AE11F6"/>
    <w:rsid w:val="00AE1BE8"/>
    <w:rsid w:val="00AE2E51"/>
    <w:rsid w:val="00AE3980"/>
    <w:rsid w:val="00AE4C68"/>
    <w:rsid w:val="00AE6883"/>
    <w:rsid w:val="00AF05A1"/>
    <w:rsid w:val="00AF17E7"/>
    <w:rsid w:val="00B05123"/>
    <w:rsid w:val="00B15A62"/>
    <w:rsid w:val="00B16445"/>
    <w:rsid w:val="00B20AA5"/>
    <w:rsid w:val="00B20EBA"/>
    <w:rsid w:val="00B2155F"/>
    <w:rsid w:val="00B2288A"/>
    <w:rsid w:val="00B23DA3"/>
    <w:rsid w:val="00B24888"/>
    <w:rsid w:val="00B24A79"/>
    <w:rsid w:val="00B260DB"/>
    <w:rsid w:val="00B26B4A"/>
    <w:rsid w:val="00B27F75"/>
    <w:rsid w:val="00B301D6"/>
    <w:rsid w:val="00B30AB9"/>
    <w:rsid w:val="00B325A7"/>
    <w:rsid w:val="00B3287C"/>
    <w:rsid w:val="00B33A2B"/>
    <w:rsid w:val="00B42D56"/>
    <w:rsid w:val="00B42F33"/>
    <w:rsid w:val="00B43598"/>
    <w:rsid w:val="00B4466E"/>
    <w:rsid w:val="00B46EE6"/>
    <w:rsid w:val="00B4753B"/>
    <w:rsid w:val="00B500DE"/>
    <w:rsid w:val="00B5180F"/>
    <w:rsid w:val="00B52239"/>
    <w:rsid w:val="00B556BD"/>
    <w:rsid w:val="00B6205D"/>
    <w:rsid w:val="00B62435"/>
    <w:rsid w:val="00B64D08"/>
    <w:rsid w:val="00B66B08"/>
    <w:rsid w:val="00B670D1"/>
    <w:rsid w:val="00B7077E"/>
    <w:rsid w:val="00B7296C"/>
    <w:rsid w:val="00B731A0"/>
    <w:rsid w:val="00B74360"/>
    <w:rsid w:val="00B76031"/>
    <w:rsid w:val="00B76386"/>
    <w:rsid w:val="00B77DC8"/>
    <w:rsid w:val="00B82734"/>
    <w:rsid w:val="00B83FC0"/>
    <w:rsid w:val="00B91EF3"/>
    <w:rsid w:val="00B931B0"/>
    <w:rsid w:val="00B94112"/>
    <w:rsid w:val="00B9422A"/>
    <w:rsid w:val="00B96E3C"/>
    <w:rsid w:val="00BB0AE1"/>
    <w:rsid w:val="00BB1B72"/>
    <w:rsid w:val="00BB2D33"/>
    <w:rsid w:val="00BB6B98"/>
    <w:rsid w:val="00BB7186"/>
    <w:rsid w:val="00BB7227"/>
    <w:rsid w:val="00BB73D5"/>
    <w:rsid w:val="00BC5121"/>
    <w:rsid w:val="00BC5D05"/>
    <w:rsid w:val="00BC6411"/>
    <w:rsid w:val="00BC6B0E"/>
    <w:rsid w:val="00BC6B48"/>
    <w:rsid w:val="00BC78C1"/>
    <w:rsid w:val="00BD1F3B"/>
    <w:rsid w:val="00BD3934"/>
    <w:rsid w:val="00BD4068"/>
    <w:rsid w:val="00BD5588"/>
    <w:rsid w:val="00BD7871"/>
    <w:rsid w:val="00BE10A7"/>
    <w:rsid w:val="00BE1597"/>
    <w:rsid w:val="00BE5B81"/>
    <w:rsid w:val="00BF0326"/>
    <w:rsid w:val="00BF0DEC"/>
    <w:rsid w:val="00BF2759"/>
    <w:rsid w:val="00BF29F3"/>
    <w:rsid w:val="00BF4208"/>
    <w:rsid w:val="00BF4C23"/>
    <w:rsid w:val="00BF5C85"/>
    <w:rsid w:val="00C00EB2"/>
    <w:rsid w:val="00C02C98"/>
    <w:rsid w:val="00C03F55"/>
    <w:rsid w:val="00C04055"/>
    <w:rsid w:val="00C07EB2"/>
    <w:rsid w:val="00C10BF5"/>
    <w:rsid w:val="00C11F43"/>
    <w:rsid w:val="00C127F0"/>
    <w:rsid w:val="00C15AAF"/>
    <w:rsid w:val="00C16DC4"/>
    <w:rsid w:val="00C23FFA"/>
    <w:rsid w:val="00C250AC"/>
    <w:rsid w:val="00C2541A"/>
    <w:rsid w:val="00C265B7"/>
    <w:rsid w:val="00C271AB"/>
    <w:rsid w:val="00C27721"/>
    <w:rsid w:val="00C31FC5"/>
    <w:rsid w:val="00C32595"/>
    <w:rsid w:val="00C32F8D"/>
    <w:rsid w:val="00C339A4"/>
    <w:rsid w:val="00C36D50"/>
    <w:rsid w:val="00C50D47"/>
    <w:rsid w:val="00C54801"/>
    <w:rsid w:val="00C60815"/>
    <w:rsid w:val="00C64F6E"/>
    <w:rsid w:val="00C67D28"/>
    <w:rsid w:val="00C713F8"/>
    <w:rsid w:val="00C7261C"/>
    <w:rsid w:val="00C72AD6"/>
    <w:rsid w:val="00C732E3"/>
    <w:rsid w:val="00C734B4"/>
    <w:rsid w:val="00C75CD9"/>
    <w:rsid w:val="00C77EA2"/>
    <w:rsid w:val="00C80C3E"/>
    <w:rsid w:val="00C81749"/>
    <w:rsid w:val="00C83EB8"/>
    <w:rsid w:val="00C8411C"/>
    <w:rsid w:val="00C842D4"/>
    <w:rsid w:val="00C84A59"/>
    <w:rsid w:val="00C856E2"/>
    <w:rsid w:val="00C8600B"/>
    <w:rsid w:val="00C91DD3"/>
    <w:rsid w:val="00C92C56"/>
    <w:rsid w:val="00C93083"/>
    <w:rsid w:val="00C94FC5"/>
    <w:rsid w:val="00C96250"/>
    <w:rsid w:val="00C978B3"/>
    <w:rsid w:val="00CA4674"/>
    <w:rsid w:val="00CA6484"/>
    <w:rsid w:val="00CB03D6"/>
    <w:rsid w:val="00CB2184"/>
    <w:rsid w:val="00CB452F"/>
    <w:rsid w:val="00CB5BD2"/>
    <w:rsid w:val="00CB691E"/>
    <w:rsid w:val="00CB76EC"/>
    <w:rsid w:val="00CC0370"/>
    <w:rsid w:val="00CC2EC1"/>
    <w:rsid w:val="00CC6ABB"/>
    <w:rsid w:val="00CD7BD3"/>
    <w:rsid w:val="00CE176D"/>
    <w:rsid w:val="00CE1FA4"/>
    <w:rsid w:val="00CE269E"/>
    <w:rsid w:val="00CE42EE"/>
    <w:rsid w:val="00CE664B"/>
    <w:rsid w:val="00CE6A95"/>
    <w:rsid w:val="00CE73A3"/>
    <w:rsid w:val="00CE7964"/>
    <w:rsid w:val="00CE7E5A"/>
    <w:rsid w:val="00CF157D"/>
    <w:rsid w:val="00CF2F54"/>
    <w:rsid w:val="00CF321A"/>
    <w:rsid w:val="00CF4763"/>
    <w:rsid w:val="00CF4D9F"/>
    <w:rsid w:val="00D007AA"/>
    <w:rsid w:val="00D0086B"/>
    <w:rsid w:val="00D0220C"/>
    <w:rsid w:val="00D03358"/>
    <w:rsid w:val="00D04073"/>
    <w:rsid w:val="00D05E7B"/>
    <w:rsid w:val="00D07250"/>
    <w:rsid w:val="00D10449"/>
    <w:rsid w:val="00D1057D"/>
    <w:rsid w:val="00D135FC"/>
    <w:rsid w:val="00D21A6F"/>
    <w:rsid w:val="00D21A8A"/>
    <w:rsid w:val="00D259AC"/>
    <w:rsid w:val="00D26CF3"/>
    <w:rsid w:val="00D26DA2"/>
    <w:rsid w:val="00D2727D"/>
    <w:rsid w:val="00D3033B"/>
    <w:rsid w:val="00D32220"/>
    <w:rsid w:val="00D351CA"/>
    <w:rsid w:val="00D40771"/>
    <w:rsid w:val="00D414F6"/>
    <w:rsid w:val="00D43A09"/>
    <w:rsid w:val="00D442F7"/>
    <w:rsid w:val="00D45D54"/>
    <w:rsid w:val="00D46D09"/>
    <w:rsid w:val="00D555B0"/>
    <w:rsid w:val="00D56587"/>
    <w:rsid w:val="00D571A2"/>
    <w:rsid w:val="00D613CD"/>
    <w:rsid w:val="00D62762"/>
    <w:rsid w:val="00D644F9"/>
    <w:rsid w:val="00D6481C"/>
    <w:rsid w:val="00D70066"/>
    <w:rsid w:val="00D70DBF"/>
    <w:rsid w:val="00D739E1"/>
    <w:rsid w:val="00D74393"/>
    <w:rsid w:val="00D75B34"/>
    <w:rsid w:val="00D76A5A"/>
    <w:rsid w:val="00D7739F"/>
    <w:rsid w:val="00D8295C"/>
    <w:rsid w:val="00D84DBF"/>
    <w:rsid w:val="00D86996"/>
    <w:rsid w:val="00D87A45"/>
    <w:rsid w:val="00D959FE"/>
    <w:rsid w:val="00DA1545"/>
    <w:rsid w:val="00DA2A8C"/>
    <w:rsid w:val="00DB4587"/>
    <w:rsid w:val="00DB4D30"/>
    <w:rsid w:val="00DC2409"/>
    <w:rsid w:val="00DC55B5"/>
    <w:rsid w:val="00DC5AF5"/>
    <w:rsid w:val="00DC645E"/>
    <w:rsid w:val="00DD2929"/>
    <w:rsid w:val="00DD5D01"/>
    <w:rsid w:val="00DD75C2"/>
    <w:rsid w:val="00DE1472"/>
    <w:rsid w:val="00DE3138"/>
    <w:rsid w:val="00DE32AA"/>
    <w:rsid w:val="00DE4D49"/>
    <w:rsid w:val="00DE6279"/>
    <w:rsid w:val="00DF086B"/>
    <w:rsid w:val="00DF1C39"/>
    <w:rsid w:val="00DF2DA5"/>
    <w:rsid w:val="00DF2FF8"/>
    <w:rsid w:val="00DF6235"/>
    <w:rsid w:val="00E00A80"/>
    <w:rsid w:val="00E01512"/>
    <w:rsid w:val="00E017F1"/>
    <w:rsid w:val="00E02BDD"/>
    <w:rsid w:val="00E072D8"/>
    <w:rsid w:val="00E101AD"/>
    <w:rsid w:val="00E1186C"/>
    <w:rsid w:val="00E13684"/>
    <w:rsid w:val="00E138A2"/>
    <w:rsid w:val="00E226C5"/>
    <w:rsid w:val="00E248F6"/>
    <w:rsid w:val="00E265D9"/>
    <w:rsid w:val="00E273A1"/>
    <w:rsid w:val="00E30236"/>
    <w:rsid w:val="00E305A7"/>
    <w:rsid w:val="00E35069"/>
    <w:rsid w:val="00E37CCB"/>
    <w:rsid w:val="00E40162"/>
    <w:rsid w:val="00E44034"/>
    <w:rsid w:val="00E44472"/>
    <w:rsid w:val="00E44E02"/>
    <w:rsid w:val="00E45F25"/>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028A"/>
    <w:rsid w:val="00E92DFB"/>
    <w:rsid w:val="00E9349B"/>
    <w:rsid w:val="00E96134"/>
    <w:rsid w:val="00E961BD"/>
    <w:rsid w:val="00EA1889"/>
    <w:rsid w:val="00EA2E2B"/>
    <w:rsid w:val="00EA3D31"/>
    <w:rsid w:val="00EA410A"/>
    <w:rsid w:val="00EA4F58"/>
    <w:rsid w:val="00EB0BE7"/>
    <w:rsid w:val="00EB10D0"/>
    <w:rsid w:val="00EB3125"/>
    <w:rsid w:val="00EB796A"/>
    <w:rsid w:val="00EC271D"/>
    <w:rsid w:val="00EC3CEE"/>
    <w:rsid w:val="00EC4AE0"/>
    <w:rsid w:val="00EC767A"/>
    <w:rsid w:val="00EE1894"/>
    <w:rsid w:val="00EE4399"/>
    <w:rsid w:val="00EE566B"/>
    <w:rsid w:val="00EE581E"/>
    <w:rsid w:val="00EE59E4"/>
    <w:rsid w:val="00EE640D"/>
    <w:rsid w:val="00EE6C56"/>
    <w:rsid w:val="00EE7332"/>
    <w:rsid w:val="00EF08F1"/>
    <w:rsid w:val="00EF0CC0"/>
    <w:rsid w:val="00EF0ED7"/>
    <w:rsid w:val="00EF1283"/>
    <w:rsid w:val="00EF1EE3"/>
    <w:rsid w:val="00EF2C74"/>
    <w:rsid w:val="00EF33F2"/>
    <w:rsid w:val="00EF5D19"/>
    <w:rsid w:val="00EF6408"/>
    <w:rsid w:val="00F00DAD"/>
    <w:rsid w:val="00F01F2F"/>
    <w:rsid w:val="00F05CA2"/>
    <w:rsid w:val="00F14A6B"/>
    <w:rsid w:val="00F20098"/>
    <w:rsid w:val="00F2040A"/>
    <w:rsid w:val="00F213DD"/>
    <w:rsid w:val="00F27651"/>
    <w:rsid w:val="00F34C48"/>
    <w:rsid w:val="00F360B5"/>
    <w:rsid w:val="00F41870"/>
    <w:rsid w:val="00F42F41"/>
    <w:rsid w:val="00F46F67"/>
    <w:rsid w:val="00F478A2"/>
    <w:rsid w:val="00F502BA"/>
    <w:rsid w:val="00F51B8C"/>
    <w:rsid w:val="00F52FEE"/>
    <w:rsid w:val="00F54498"/>
    <w:rsid w:val="00F544AD"/>
    <w:rsid w:val="00F56110"/>
    <w:rsid w:val="00F57968"/>
    <w:rsid w:val="00F6040A"/>
    <w:rsid w:val="00F64007"/>
    <w:rsid w:val="00F65669"/>
    <w:rsid w:val="00F66631"/>
    <w:rsid w:val="00F67D86"/>
    <w:rsid w:val="00F72657"/>
    <w:rsid w:val="00F73988"/>
    <w:rsid w:val="00F73BED"/>
    <w:rsid w:val="00F7569E"/>
    <w:rsid w:val="00F77EF3"/>
    <w:rsid w:val="00F81A34"/>
    <w:rsid w:val="00F8398B"/>
    <w:rsid w:val="00F90202"/>
    <w:rsid w:val="00F91AA9"/>
    <w:rsid w:val="00F930DF"/>
    <w:rsid w:val="00F93DFF"/>
    <w:rsid w:val="00F95DF2"/>
    <w:rsid w:val="00FA124C"/>
    <w:rsid w:val="00FA13C1"/>
    <w:rsid w:val="00FA2286"/>
    <w:rsid w:val="00FA315F"/>
    <w:rsid w:val="00FA3B65"/>
    <w:rsid w:val="00FB4184"/>
    <w:rsid w:val="00FB5C61"/>
    <w:rsid w:val="00FC155A"/>
    <w:rsid w:val="00FC1CAA"/>
    <w:rsid w:val="00FC3551"/>
    <w:rsid w:val="00FC4312"/>
    <w:rsid w:val="00FC435A"/>
    <w:rsid w:val="00FC72BB"/>
    <w:rsid w:val="00FD1F7C"/>
    <w:rsid w:val="00FD43F6"/>
    <w:rsid w:val="00FE0E49"/>
    <w:rsid w:val="00FE213D"/>
    <w:rsid w:val="00FE43C1"/>
    <w:rsid w:val="00FE58B8"/>
    <w:rsid w:val="00FE648A"/>
    <w:rsid w:val="00FE6857"/>
    <w:rsid w:val="00FE7B37"/>
    <w:rsid w:val="00FF03BC"/>
    <w:rsid w:val="00FF21C6"/>
    <w:rsid w:val="00FF3720"/>
    <w:rsid w:val="00FF45F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EB4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4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 w:type="paragraph" w:customStyle="1" w:styleId="Body">
    <w:name w:val="Body"/>
    <w:rsid w:val="008D7797"/>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1835608230">
      <w:bodyDiv w:val="1"/>
      <w:marLeft w:val="0"/>
      <w:marRight w:val="0"/>
      <w:marTop w:val="0"/>
      <w:marBottom w:val="0"/>
      <w:divBdr>
        <w:top w:val="none" w:sz="0" w:space="0" w:color="auto"/>
        <w:left w:val="none" w:sz="0" w:space="0" w:color="auto"/>
        <w:bottom w:val="none" w:sz="0" w:space="0" w:color="auto"/>
        <w:right w:val="none" w:sz="0" w:space="0" w:color="auto"/>
      </w:divBdr>
    </w:div>
    <w:div w:id="2001157840">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FB0F0-ACFE-4C82-B417-C85692C0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6718</Characters>
  <Application>Microsoft Office Word</Application>
  <DocSecurity>0</DocSecurity>
  <Lines>197</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Aija Talmane</cp:lastModifiedBy>
  <cp:revision>5</cp:revision>
  <cp:lastPrinted>2020-01-13T09:29:00Z</cp:lastPrinted>
  <dcterms:created xsi:type="dcterms:W3CDTF">2020-04-06T09:29:00Z</dcterms:created>
  <dcterms:modified xsi:type="dcterms:W3CDTF">2020-04-07T07:43:00Z</dcterms:modified>
</cp:coreProperties>
</file>