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F6941" w:rsidR="007F6941" w:rsidP="5A589640" w:rsidRDefault="00032471">
      <w:pPr>
        <w:shd w:val="clear" w:color="auto" w:fill="FFFFFF" w:themeFill="background1"/>
        <w:contextualSpacing/>
        <w:jc w:val="center"/>
        <w:rPr>
          <w:b/>
          <w:sz w:val="28"/>
          <w:szCs w:val="28"/>
          <w:lang w:val="lv-LV"/>
        </w:rPr>
      </w:pPr>
      <w:bookmarkStart w:name="_GoBack" w:id="0"/>
      <w:bookmarkEnd w:id="0"/>
      <w:r w:rsidRPr="007F6941">
        <w:rPr>
          <w:b/>
          <w:sz w:val="28"/>
          <w:szCs w:val="28"/>
          <w:lang w:val="lv-LV"/>
        </w:rPr>
        <w:t xml:space="preserve">Ministru kabineta </w:t>
      </w:r>
      <w:r w:rsidRPr="007F6941" w:rsidR="003C6FFE">
        <w:rPr>
          <w:b/>
          <w:sz w:val="28"/>
          <w:szCs w:val="28"/>
          <w:lang w:val="lv-LV"/>
        </w:rPr>
        <w:t>noteikum</w:t>
      </w:r>
      <w:r w:rsidRPr="007F6941" w:rsidR="00470DB2">
        <w:rPr>
          <w:b/>
          <w:sz w:val="28"/>
          <w:szCs w:val="28"/>
          <w:lang w:val="lv-LV"/>
        </w:rPr>
        <w:t>u</w:t>
      </w:r>
      <w:r w:rsidRPr="007F6941">
        <w:rPr>
          <w:b/>
          <w:sz w:val="28"/>
          <w:szCs w:val="28"/>
          <w:lang w:val="lv-LV"/>
        </w:rPr>
        <w:t xml:space="preserve"> </w:t>
      </w:r>
      <w:r w:rsidRPr="007F6941" w:rsidR="0061357B">
        <w:rPr>
          <w:b/>
          <w:sz w:val="28"/>
          <w:szCs w:val="28"/>
          <w:lang w:val="lv-LV"/>
        </w:rPr>
        <w:t>projekta</w:t>
      </w:r>
    </w:p>
    <w:p w:rsidR="00CD6FF6" w:rsidP="5A589640" w:rsidRDefault="007F6941">
      <w:pPr>
        <w:shd w:val="clear" w:color="auto" w:fill="FFFFFF" w:themeFill="background1"/>
        <w:contextualSpacing/>
        <w:jc w:val="center"/>
        <w:rPr>
          <w:b/>
          <w:sz w:val="28"/>
          <w:szCs w:val="28"/>
          <w:lang w:val="lv-LV"/>
        </w:rPr>
      </w:pPr>
      <w:r w:rsidRPr="007F6941">
        <w:rPr>
          <w:b/>
          <w:sz w:val="28"/>
          <w:szCs w:val="28"/>
          <w:lang w:val="lv-LV"/>
        </w:rPr>
        <w:t>„</w:t>
      </w:r>
      <w:r w:rsidRPr="007F6941" w:rsidR="00D70D88">
        <w:rPr>
          <w:b/>
          <w:sz w:val="28"/>
          <w:szCs w:val="28"/>
          <w:lang w:val="lv-LV"/>
        </w:rPr>
        <w:t xml:space="preserve">Grozījumi Ministru kabineta 2020.gada </w:t>
      </w:r>
      <w:r w:rsidRPr="007F6941" w:rsidR="00F62EE4">
        <w:rPr>
          <w:b/>
          <w:sz w:val="28"/>
          <w:szCs w:val="28"/>
          <w:lang w:val="lv-LV"/>
        </w:rPr>
        <w:t>31</w:t>
      </w:r>
      <w:r w:rsidRPr="007F6941" w:rsidR="00D70D88">
        <w:rPr>
          <w:b/>
          <w:sz w:val="28"/>
          <w:szCs w:val="28"/>
          <w:lang w:val="lv-LV"/>
        </w:rPr>
        <w:t>.marta noteikumos Nr.</w:t>
      </w:r>
      <w:r w:rsidRPr="00970443" w:rsidR="00970443">
        <w:rPr>
          <w:b/>
          <w:sz w:val="28"/>
          <w:szCs w:val="28"/>
          <w:lang w:val="lv-LV"/>
        </w:rPr>
        <w:t>179</w:t>
      </w:r>
      <w:r w:rsidRPr="007F6941" w:rsidR="00D70D88">
        <w:rPr>
          <w:b/>
          <w:sz w:val="28"/>
          <w:szCs w:val="28"/>
          <w:lang w:val="lv-LV"/>
        </w:rPr>
        <w:t xml:space="preserve"> </w:t>
      </w:r>
      <w:r w:rsidRPr="007F6941">
        <w:rPr>
          <w:b/>
          <w:sz w:val="28"/>
          <w:szCs w:val="28"/>
          <w:lang w:val="lv-LV"/>
        </w:rPr>
        <w:t>„</w:t>
      </w:r>
      <w:r w:rsidRPr="007F6941" w:rsidR="00BA3446">
        <w:rPr>
          <w:b/>
          <w:sz w:val="28"/>
          <w:szCs w:val="28"/>
          <w:lang w:val="lv-LV"/>
        </w:rPr>
        <w:t xml:space="preserve">Noteikumi par </w:t>
      </w:r>
      <w:r w:rsidRPr="007F6941" w:rsidR="00F62EE4">
        <w:rPr>
          <w:b/>
          <w:sz w:val="28"/>
          <w:szCs w:val="28"/>
          <w:lang w:val="lv-LV"/>
        </w:rPr>
        <w:t xml:space="preserve">dīkstāves pabalstu pašnodarbinātām personām, kuras </w:t>
      </w:r>
      <w:r w:rsidRPr="007F6941">
        <w:rPr>
          <w:b/>
          <w:sz w:val="28"/>
          <w:szCs w:val="28"/>
          <w:lang w:val="lv-LV"/>
        </w:rPr>
        <w:t xml:space="preserve">skārusi </w:t>
      </w:r>
      <w:r w:rsidRPr="007F6941" w:rsidR="00BA3446">
        <w:rPr>
          <w:b/>
          <w:sz w:val="28"/>
          <w:szCs w:val="28"/>
          <w:lang w:val="lv-LV"/>
        </w:rPr>
        <w:t xml:space="preserve">Covid-19 </w:t>
      </w:r>
      <w:r w:rsidRPr="007F6941" w:rsidR="00F62EE4">
        <w:rPr>
          <w:b/>
          <w:sz w:val="28"/>
          <w:szCs w:val="28"/>
          <w:lang w:val="lv-LV"/>
        </w:rPr>
        <w:t>izplatība</w:t>
      </w:r>
      <w:r w:rsidRPr="007F6941" w:rsidR="00032471">
        <w:rPr>
          <w:b/>
          <w:sz w:val="28"/>
          <w:szCs w:val="28"/>
          <w:lang w:val="lv-LV"/>
        </w:rPr>
        <w:t>”</w:t>
      </w:r>
      <w:r w:rsidRPr="007F6941" w:rsidR="00BD1CFF">
        <w:rPr>
          <w:b/>
          <w:sz w:val="28"/>
          <w:szCs w:val="28"/>
          <w:lang w:val="lv-LV"/>
        </w:rPr>
        <w:t>”</w:t>
      </w:r>
      <w:r w:rsidRPr="007F6941" w:rsidR="003C585E">
        <w:rPr>
          <w:b/>
          <w:sz w:val="28"/>
          <w:szCs w:val="28"/>
          <w:lang w:val="lv-LV"/>
        </w:rPr>
        <w:t xml:space="preserve"> </w:t>
      </w:r>
      <w:r w:rsidRPr="007F6941" w:rsidR="00032471">
        <w:rPr>
          <w:b/>
          <w:sz w:val="28"/>
          <w:szCs w:val="28"/>
          <w:lang w:val="lv-LV"/>
        </w:rPr>
        <w:t xml:space="preserve">sākotnējās ietekmes novērtējuma </w:t>
      </w:r>
    </w:p>
    <w:p w:rsidRPr="007F6941" w:rsidR="00310924" w:rsidP="5A589640" w:rsidRDefault="00032471">
      <w:pPr>
        <w:shd w:val="clear" w:color="auto" w:fill="FFFFFF" w:themeFill="background1"/>
        <w:contextualSpacing/>
        <w:jc w:val="center"/>
        <w:rPr>
          <w:b/>
          <w:sz w:val="28"/>
          <w:szCs w:val="28"/>
          <w:lang w:val="lv-LV"/>
        </w:rPr>
      </w:pPr>
      <w:r w:rsidRPr="007F6941">
        <w:rPr>
          <w:b/>
          <w:sz w:val="28"/>
          <w:szCs w:val="28"/>
          <w:lang w:val="lv-LV"/>
        </w:rPr>
        <w:t>ziņojums (anotācija)</w:t>
      </w:r>
    </w:p>
    <w:p w:rsidRPr="007F6941" w:rsidR="00032471" w:rsidP="006064F8" w:rsidRDefault="00032471">
      <w:pPr>
        <w:contextualSpacing/>
        <w:rPr>
          <w:b/>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749"/>
        <w:gridCol w:w="5472"/>
      </w:tblGrid>
      <w:tr w:rsidRPr="00C41658" w:rsidR="00310924" w:rsidTr="000C3D46">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7F6941" w:rsidR="00310924" w:rsidP="007F6941" w:rsidRDefault="00310924">
            <w:pPr>
              <w:contextualSpacing/>
              <w:jc w:val="center"/>
              <w:rPr>
                <w:rFonts w:eastAsia="Times New Roman"/>
                <w:b/>
                <w:bCs/>
                <w:iCs/>
                <w:sz w:val="28"/>
                <w:szCs w:val="28"/>
                <w:lang w:val="lv-LV" w:eastAsia="lv-LV"/>
              </w:rPr>
            </w:pPr>
            <w:r w:rsidRPr="007F6941">
              <w:rPr>
                <w:rFonts w:eastAsia="Times New Roman"/>
                <w:b/>
                <w:bCs/>
                <w:iCs/>
                <w:sz w:val="28"/>
                <w:szCs w:val="28"/>
                <w:lang w:val="lv-LV" w:eastAsia="lv-LV"/>
              </w:rPr>
              <w:t>Tiesību akta projekta anotācijas kopsavilkums</w:t>
            </w:r>
          </w:p>
        </w:tc>
      </w:tr>
      <w:tr w:rsidRPr="00887984" w:rsidR="00310924" w:rsidTr="000C3D46">
        <w:trPr>
          <w:tblCellSpacing w:w="15" w:type="dxa"/>
        </w:trPr>
        <w:tc>
          <w:tcPr>
            <w:tcW w:w="2015" w:type="pct"/>
            <w:tcBorders>
              <w:top w:val="outset" w:color="auto" w:sz="6" w:space="0"/>
              <w:left w:val="outset" w:color="auto" w:sz="6" w:space="0"/>
              <w:bottom w:val="outset" w:color="auto" w:sz="6" w:space="0"/>
              <w:right w:val="outset" w:color="auto" w:sz="6" w:space="0"/>
            </w:tcBorders>
            <w:hideMark/>
          </w:tcPr>
          <w:p w:rsidRPr="007F6941" w:rsidR="00310924" w:rsidP="006064F8" w:rsidRDefault="00310924">
            <w:pPr>
              <w:contextualSpacing/>
              <w:rPr>
                <w:rFonts w:eastAsia="Times New Roman"/>
                <w:iCs/>
                <w:sz w:val="28"/>
                <w:szCs w:val="28"/>
                <w:lang w:val="lv-LV" w:eastAsia="lv-LV"/>
              </w:rPr>
            </w:pPr>
            <w:r w:rsidRPr="007F6941">
              <w:rPr>
                <w:rFonts w:eastAsia="Times New Roman"/>
                <w:iCs/>
                <w:sz w:val="28"/>
                <w:szCs w:val="28"/>
                <w:lang w:val="lv-LV" w:eastAsia="lv-LV"/>
              </w:rPr>
              <w:t>Mērķis, risinājums un projekta spēkā stāšanās laiks (500 zīmes bez atstarpēm)</w:t>
            </w:r>
          </w:p>
        </w:tc>
        <w:tc>
          <w:tcPr>
            <w:tcW w:w="2936" w:type="pct"/>
            <w:tcBorders>
              <w:top w:val="outset" w:color="auto" w:sz="6" w:space="0"/>
              <w:left w:val="outset" w:color="auto" w:sz="6" w:space="0"/>
              <w:bottom w:val="outset" w:color="auto" w:sz="6" w:space="0"/>
              <w:right w:val="outset" w:color="auto" w:sz="6" w:space="0"/>
            </w:tcBorders>
            <w:hideMark/>
          </w:tcPr>
          <w:p w:rsidRPr="0091445D" w:rsidR="0091445D" w:rsidP="0091445D" w:rsidRDefault="0091445D">
            <w:pPr>
              <w:ind w:firstLine="567"/>
              <w:contextualSpacing/>
              <w:jc w:val="both"/>
              <w:rPr>
                <w:sz w:val="28"/>
                <w:szCs w:val="28"/>
                <w:lang w:val="lv-LV"/>
              </w:rPr>
            </w:pPr>
            <w:r w:rsidRPr="0091445D">
              <w:rPr>
                <w:sz w:val="28"/>
                <w:szCs w:val="28"/>
                <w:lang w:val="lv-LV"/>
              </w:rPr>
              <w:t xml:space="preserve">Lai mazinātu Covid-19 izplatības radītās krīzes ietekmi uz pašnodarbinātām personām, Ministru kabinets 2020.gada 31.martā, pamatojoties uz likuma </w:t>
            </w:r>
            <w:r>
              <w:rPr>
                <w:sz w:val="28"/>
                <w:szCs w:val="28"/>
                <w:lang w:val="lv-LV"/>
              </w:rPr>
              <w:t>„</w:t>
            </w:r>
            <w:r w:rsidRPr="0091445D">
              <w:rPr>
                <w:sz w:val="28"/>
                <w:szCs w:val="28"/>
                <w:lang w:val="lv-LV"/>
              </w:rPr>
              <w:t>Par valsts apdraudējuma un tā seku novēršanas un pārvarēšanas pasākumiem sakarā ar Covid-19 izplatību</w:t>
            </w:r>
            <w:r>
              <w:rPr>
                <w:sz w:val="28"/>
                <w:szCs w:val="28"/>
                <w:lang w:val="lv-LV"/>
              </w:rPr>
              <w:t>”</w:t>
            </w:r>
            <w:r w:rsidRPr="0091445D">
              <w:rPr>
                <w:sz w:val="28"/>
                <w:szCs w:val="28"/>
                <w:lang w:val="lv-LV"/>
              </w:rPr>
              <w:t xml:space="preserve"> 2.pantu un 14.panta otro daļu, pieņēma </w:t>
            </w:r>
            <w:r w:rsidR="000C3D46">
              <w:rPr>
                <w:sz w:val="28"/>
                <w:szCs w:val="28"/>
                <w:lang w:val="lv-LV"/>
              </w:rPr>
              <w:t xml:space="preserve">2020.gada 31.marta </w:t>
            </w:r>
            <w:r w:rsidRPr="0091445D">
              <w:rPr>
                <w:sz w:val="28"/>
                <w:szCs w:val="28"/>
                <w:lang w:val="lv-LV"/>
              </w:rPr>
              <w:t xml:space="preserve">noteikumus </w:t>
            </w:r>
            <w:r w:rsidR="000C3D46">
              <w:rPr>
                <w:sz w:val="28"/>
                <w:szCs w:val="28"/>
                <w:lang w:val="lv-LV"/>
              </w:rPr>
              <w:t>Nr.</w:t>
            </w:r>
            <w:r w:rsidRPr="00970443" w:rsidR="00970443">
              <w:rPr>
                <w:sz w:val="28"/>
                <w:szCs w:val="28"/>
                <w:lang w:val="lv-LV"/>
              </w:rPr>
              <w:t>179</w:t>
            </w:r>
            <w:r w:rsidR="000C3D46">
              <w:rPr>
                <w:sz w:val="28"/>
                <w:szCs w:val="28"/>
                <w:lang w:val="lv-LV"/>
              </w:rPr>
              <w:t xml:space="preserve"> </w:t>
            </w:r>
            <w:r>
              <w:rPr>
                <w:sz w:val="28"/>
                <w:szCs w:val="28"/>
                <w:lang w:val="lv-LV"/>
              </w:rPr>
              <w:t>„</w:t>
            </w:r>
            <w:r w:rsidRPr="0091445D">
              <w:rPr>
                <w:sz w:val="28"/>
                <w:szCs w:val="28"/>
                <w:lang w:val="lv-LV"/>
              </w:rPr>
              <w:t>Noteikumi par dīkstāves pabalstu pašnodarbinātām personām, kuras sk</w:t>
            </w:r>
            <w:r>
              <w:rPr>
                <w:sz w:val="28"/>
                <w:szCs w:val="28"/>
                <w:lang w:val="lv-LV"/>
              </w:rPr>
              <w:t>ārusi</w:t>
            </w:r>
            <w:r w:rsidRPr="0091445D">
              <w:rPr>
                <w:sz w:val="28"/>
                <w:szCs w:val="28"/>
                <w:lang w:val="lv-LV"/>
              </w:rPr>
              <w:t xml:space="preserve"> Covid-19 izplatība”</w:t>
            </w:r>
            <w:r w:rsidR="00CD6FF6">
              <w:rPr>
                <w:sz w:val="28"/>
                <w:szCs w:val="28"/>
                <w:lang w:val="lv-LV"/>
              </w:rPr>
              <w:t xml:space="preserve"> </w:t>
            </w:r>
            <w:r w:rsidRPr="0091445D" w:rsidR="00CD6FF6">
              <w:rPr>
                <w:sz w:val="28"/>
                <w:szCs w:val="28"/>
                <w:lang w:val="lv-LV"/>
              </w:rPr>
              <w:t>(turpmāk – MK noteikumi Nr.</w:t>
            </w:r>
            <w:r w:rsidRPr="00970443" w:rsidR="00970443">
              <w:rPr>
                <w:sz w:val="28"/>
                <w:szCs w:val="28"/>
                <w:lang w:val="lv-LV"/>
              </w:rPr>
              <w:t>179</w:t>
            </w:r>
            <w:r w:rsidRPr="0091445D" w:rsidR="00CD6FF6">
              <w:rPr>
                <w:sz w:val="28"/>
                <w:szCs w:val="28"/>
                <w:lang w:val="lv-LV"/>
              </w:rPr>
              <w:t>)</w:t>
            </w:r>
            <w:r w:rsidRPr="0091445D">
              <w:rPr>
                <w:sz w:val="28"/>
                <w:szCs w:val="28"/>
                <w:lang w:val="lv-LV"/>
              </w:rPr>
              <w:t xml:space="preserve">, kas paredz kārtību kādā pašnodarbinātās personas var saņemt dīkstāves pabalstu, lai pašnodarbinātām personām novērstu </w:t>
            </w:r>
            <w:r w:rsidR="007A3DA9">
              <w:rPr>
                <w:sz w:val="28"/>
                <w:szCs w:val="28"/>
                <w:lang w:val="lv-LV"/>
              </w:rPr>
              <w:t>būtisku</w:t>
            </w:r>
            <w:r w:rsidRPr="0091445D">
              <w:rPr>
                <w:sz w:val="28"/>
                <w:szCs w:val="28"/>
                <w:lang w:val="lv-LV"/>
              </w:rPr>
              <w:t xml:space="preserve"> ienākumu un iztikas līdzekļu </w:t>
            </w:r>
            <w:r w:rsidR="007A3DA9">
              <w:rPr>
                <w:sz w:val="28"/>
                <w:szCs w:val="28"/>
                <w:lang w:val="lv-LV"/>
              </w:rPr>
              <w:t>samazinājumu</w:t>
            </w:r>
            <w:r w:rsidRPr="0091445D">
              <w:rPr>
                <w:sz w:val="28"/>
                <w:szCs w:val="28"/>
                <w:lang w:val="lv-LV"/>
              </w:rPr>
              <w:t>.</w:t>
            </w:r>
          </w:p>
          <w:p w:rsidRPr="007F6941" w:rsidR="00DD696D" w:rsidP="00CD6FF6" w:rsidRDefault="00CD6FF6">
            <w:pPr>
              <w:ind w:firstLine="567"/>
              <w:contextualSpacing/>
              <w:jc w:val="both"/>
              <w:rPr>
                <w:sz w:val="28"/>
                <w:szCs w:val="28"/>
                <w:lang w:val="lv-LV"/>
              </w:rPr>
            </w:pPr>
            <w:r>
              <w:rPr>
                <w:sz w:val="28"/>
                <w:szCs w:val="28"/>
                <w:lang w:val="lv-LV"/>
              </w:rPr>
              <w:t>Ministru kabineta n</w:t>
            </w:r>
            <w:r w:rsidRPr="0091445D" w:rsidR="0091445D">
              <w:rPr>
                <w:sz w:val="28"/>
                <w:szCs w:val="28"/>
                <w:lang w:val="lv-LV"/>
              </w:rPr>
              <w:t xml:space="preserve">oteikumu projekts </w:t>
            </w:r>
            <w:r w:rsidR="0091445D">
              <w:rPr>
                <w:sz w:val="28"/>
                <w:szCs w:val="28"/>
                <w:lang w:val="lv-LV"/>
              </w:rPr>
              <w:t>„</w:t>
            </w:r>
            <w:r w:rsidRPr="0091445D" w:rsidR="0091445D">
              <w:rPr>
                <w:sz w:val="28"/>
                <w:szCs w:val="28"/>
                <w:lang w:val="lv-LV"/>
              </w:rPr>
              <w:t>Grozījumi Ministru kabineta 2020.gada 31.marta noteikumos Nr.</w:t>
            </w:r>
            <w:r w:rsidRPr="00970443" w:rsidR="00970443">
              <w:rPr>
                <w:sz w:val="28"/>
                <w:szCs w:val="28"/>
                <w:lang w:val="lv-LV"/>
              </w:rPr>
              <w:t>179</w:t>
            </w:r>
            <w:r w:rsidRPr="0091445D" w:rsidR="0091445D">
              <w:rPr>
                <w:sz w:val="28"/>
                <w:szCs w:val="28"/>
                <w:lang w:val="lv-LV"/>
              </w:rPr>
              <w:t xml:space="preserve"> </w:t>
            </w:r>
            <w:r w:rsidR="0091445D">
              <w:rPr>
                <w:sz w:val="28"/>
                <w:szCs w:val="28"/>
                <w:lang w:val="lv-LV"/>
              </w:rPr>
              <w:t>„</w:t>
            </w:r>
            <w:r w:rsidRPr="0091445D" w:rsidR="0091445D">
              <w:rPr>
                <w:sz w:val="28"/>
                <w:szCs w:val="28"/>
                <w:lang w:val="lv-LV"/>
              </w:rPr>
              <w:t>Noteikumi par dīkstāves pabalstu pašnodarbinātām personām, kuras sk</w:t>
            </w:r>
            <w:r w:rsidR="0091445D">
              <w:rPr>
                <w:sz w:val="28"/>
                <w:szCs w:val="28"/>
                <w:lang w:val="lv-LV"/>
              </w:rPr>
              <w:t>ārusi</w:t>
            </w:r>
            <w:r w:rsidRPr="0091445D" w:rsidR="0091445D">
              <w:rPr>
                <w:sz w:val="28"/>
                <w:szCs w:val="28"/>
                <w:lang w:val="lv-LV"/>
              </w:rPr>
              <w:t xml:space="preserve"> Covid-19 izplatība”” (turpmāk – Projekts) precizē kritērijus un prasības, atbilstoši kurām krīzes skartās pašnodarbinātās personas var pieteikties dīkstāves pabalstam.</w:t>
            </w:r>
          </w:p>
        </w:tc>
      </w:tr>
    </w:tbl>
    <w:p w:rsidRPr="007F6941" w:rsidR="00310924" w:rsidP="00434856" w:rsidRDefault="00310924">
      <w:pPr>
        <w:tabs>
          <w:tab w:val="right" w:pos="9072"/>
        </w:tabs>
        <w:contextualSpacing/>
        <w:rPr>
          <w:sz w:val="28"/>
          <w:szCs w:val="28"/>
          <w:lang w:val="lv-LV"/>
        </w:rPr>
      </w:pPr>
    </w:p>
    <w:tbl>
      <w:tblPr>
        <w:tblW w:w="9326"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57" w:type="dxa"/>
          <w:bottom w:w="30" w:type="dxa"/>
          <w:right w:w="57" w:type="dxa"/>
        </w:tblCellMar>
        <w:tblLook w:val="04A0"/>
      </w:tblPr>
      <w:tblGrid>
        <w:gridCol w:w="468"/>
        <w:gridCol w:w="3330"/>
        <w:gridCol w:w="5528"/>
      </w:tblGrid>
      <w:tr w:rsidRPr="00C41658" w:rsidR="00844176" w:rsidTr="0091445D">
        <w:trPr>
          <w:trHeight w:val="307"/>
          <w:tblCellSpacing w:w="20" w:type="dxa"/>
        </w:trPr>
        <w:tc>
          <w:tcPr>
            <w:tcW w:w="9246" w:type="dxa"/>
            <w:gridSpan w:val="3"/>
            <w:hideMark/>
          </w:tcPr>
          <w:p w:rsidRPr="007F6941" w:rsidR="00844176" w:rsidP="00434856" w:rsidRDefault="00844176">
            <w:pPr>
              <w:tabs>
                <w:tab w:val="left" w:pos="5888"/>
              </w:tabs>
              <w:contextualSpacing/>
              <w:jc w:val="center"/>
              <w:rPr>
                <w:rFonts w:eastAsia="Times New Roman"/>
                <w:sz w:val="28"/>
                <w:szCs w:val="28"/>
                <w:lang w:val="lv-LV" w:eastAsia="lv-LV"/>
              </w:rPr>
            </w:pPr>
            <w:r w:rsidRPr="007F6941">
              <w:rPr>
                <w:b/>
                <w:sz w:val="28"/>
                <w:szCs w:val="28"/>
                <w:lang w:val="lv-LV"/>
              </w:rPr>
              <w:t>I. Tiesību akta projekta izstrādes nepieciešamība</w:t>
            </w:r>
          </w:p>
        </w:tc>
      </w:tr>
      <w:tr w:rsidRPr="00887984" w:rsidR="00844176" w:rsidTr="000C3D46">
        <w:trPr>
          <w:trHeight w:val="405"/>
          <w:tblCellSpacing w:w="20" w:type="dxa"/>
        </w:trPr>
        <w:tc>
          <w:tcPr>
            <w:tcW w:w="408" w:type="dxa"/>
            <w:hideMark/>
          </w:tcPr>
          <w:p w:rsidRPr="007F6941" w:rsidR="00844176" w:rsidP="002C6557" w:rsidRDefault="00844176">
            <w:pPr>
              <w:contextualSpacing/>
              <w:jc w:val="center"/>
              <w:rPr>
                <w:rFonts w:eastAsia="Times New Roman"/>
                <w:sz w:val="28"/>
                <w:szCs w:val="28"/>
                <w:lang w:val="lv-LV" w:eastAsia="lv-LV"/>
              </w:rPr>
            </w:pPr>
            <w:r w:rsidRPr="007F6941">
              <w:rPr>
                <w:sz w:val="28"/>
                <w:szCs w:val="28"/>
                <w:lang w:val="lv-LV"/>
              </w:rPr>
              <w:t>1.</w:t>
            </w:r>
          </w:p>
        </w:tc>
        <w:tc>
          <w:tcPr>
            <w:tcW w:w="3290" w:type="dxa"/>
            <w:hideMark/>
          </w:tcPr>
          <w:p w:rsidRPr="007F6941" w:rsidR="00844176" w:rsidP="00434856" w:rsidRDefault="00844176">
            <w:pPr>
              <w:contextualSpacing/>
              <w:rPr>
                <w:rFonts w:eastAsia="Times New Roman"/>
                <w:sz w:val="28"/>
                <w:szCs w:val="28"/>
                <w:lang w:val="lv-LV" w:eastAsia="lv-LV"/>
              </w:rPr>
            </w:pPr>
            <w:r w:rsidRPr="007F6941">
              <w:rPr>
                <w:sz w:val="28"/>
                <w:szCs w:val="28"/>
                <w:lang w:val="lv-LV"/>
              </w:rPr>
              <w:t>Pamatojums</w:t>
            </w:r>
          </w:p>
        </w:tc>
        <w:tc>
          <w:tcPr>
            <w:tcW w:w="5468" w:type="dxa"/>
            <w:hideMark/>
          </w:tcPr>
          <w:p w:rsidRPr="007F6941" w:rsidR="00B72365" w:rsidP="002C6557" w:rsidRDefault="0091445D">
            <w:pPr>
              <w:contextualSpacing/>
              <w:jc w:val="both"/>
              <w:rPr>
                <w:sz w:val="28"/>
                <w:szCs w:val="28"/>
                <w:lang w:val="lv-LV"/>
              </w:rPr>
            </w:pPr>
            <w:r w:rsidRPr="0091445D">
              <w:rPr>
                <w:sz w:val="28"/>
                <w:szCs w:val="28"/>
                <w:lang w:val="lv-LV"/>
              </w:rPr>
              <w:t xml:space="preserve">Projekts </w:t>
            </w:r>
            <w:r w:rsidR="002C6557">
              <w:rPr>
                <w:sz w:val="28"/>
                <w:szCs w:val="28"/>
                <w:lang w:val="lv-LV"/>
              </w:rPr>
              <w:t>sagatavots</w:t>
            </w:r>
            <w:r w:rsidRPr="0091445D">
              <w:rPr>
                <w:sz w:val="28"/>
                <w:szCs w:val="28"/>
                <w:lang w:val="lv-LV"/>
              </w:rPr>
              <w:t xml:space="preserve">, </w:t>
            </w:r>
            <w:r w:rsidR="000C3D46">
              <w:rPr>
                <w:sz w:val="28"/>
                <w:szCs w:val="28"/>
                <w:lang w:val="lv-LV"/>
              </w:rPr>
              <w:t>pamatojoties</w:t>
            </w:r>
            <w:r w:rsidRPr="0091445D" w:rsidR="000C3D46">
              <w:rPr>
                <w:sz w:val="28"/>
                <w:szCs w:val="28"/>
                <w:lang w:val="lv-LV"/>
              </w:rPr>
              <w:t xml:space="preserve"> </w:t>
            </w:r>
            <w:r w:rsidRPr="0091445D">
              <w:rPr>
                <w:sz w:val="28"/>
                <w:szCs w:val="28"/>
                <w:lang w:val="lv-LV"/>
              </w:rPr>
              <w:t xml:space="preserve">uz Krīzes vadības grupas uzņēmējdarbības un nodarbinātības veicināšanai (izveidota ar Ministru prezidenta 2020.gada 16.marta rīkojumu Nr.2020/1.2.1.-62) </w:t>
            </w:r>
            <w:r w:rsidRPr="0091445D" w:rsidR="00CD6FF6">
              <w:rPr>
                <w:sz w:val="28"/>
                <w:szCs w:val="28"/>
                <w:lang w:val="lv-LV"/>
              </w:rPr>
              <w:t>2020.</w:t>
            </w:r>
            <w:r w:rsidR="00CD6FF6">
              <w:rPr>
                <w:sz w:val="28"/>
                <w:szCs w:val="28"/>
                <w:lang w:val="lv-LV"/>
              </w:rPr>
              <w:t xml:space="preserve">gada </w:t>
            </w:r>
            <w:r w:rsidR="00970443">
              <w:rPr>
                <w:sz w:val="28"/>
                <w:szCs w:val="28"/>
                <w:lang w:val="lv-LV"/>
              </w:rPr>
              <w:t>6</w:t>
            </w:r>
            <w:r w:rsidR="00CD6FF6">
              <w:rPr>
                <w:sz w:val="28"/>
                <w:szCs w:val="28"/>
                <w:lang w:val="lv-LV"/>
              </w:rPr>
              <w:t>.aprīļa</w:t>
            </w:r>
            <w:r w:rsidRPr="0091445D" w:rsidR="00CD6FF6">
              <w:rPr>
                <w:sz w:val="28"/>
                <w:szCs w:val="28"/>
                <w:lang w:val="lv-LV"/>
              </w:rPr>
              <w:t xml:space="preserve"> </w:t>
            </w:r>
            <w:r w:rsidR="00CD6FF6">
              <w:rPr>
                <w:sz w:val="28"/>
                <w:szCs w:val="28"/>
                <w:lang w:val="lv-LV"/>
              </w:rPr>
              <w:t xml:space="preserve">sēdē </w:t>
            </w:r>
            <w:r w:rsidR="00E42B2F">
              <w:rPr>
                <w:sz w:val="28"/>
                <w:szCs w:val="28"/>
                <w:lang w:val="lv-LV"/>
              </w:rPr>
              <w:t xml:space="preserve">nolemto </w:t>
            </w:r>
            <w:r w:rsidRPr="0091445D">
              <w:rPr>
                <w:sz w:val="28"/>
                <w:szCs w:val="28"/>
                <w:lang w:val="lv-LV"/>
              </w:rPr>
              <w:t xml:space="preserve">un likuma </w:t>
            </w:r>
            <w:r w:rsidR="000C3D46">
              <w:rPr>
                <w:sz w:val="28"/>
                <w:szCs w:val="28"/>
                <w:lang w:val="lv-LV"/>
              </w:rPr>
              <w:t>„</w:t>
            </w:r>
            <w:r w:rsidRPr="0091445D">
              <w:rPr>
                <w:sz w:val="28"/>
                <w:szCs w:val="28"/>
                <w:lang w:val="lv-LV"/>
              </w:rPr>
              <w:t>Par valsts apdraudējuma un tā seku novēršanas un pārvarēšanas pasākumiem sakarā ar Covid-19 izplatību” 2.pantu un 14.panta pirmo daļu.</w:t>
            </w:r>
          </w:p>
        </w:tc>
      </w:tr>
      <w:tr w:rsidRPr="00887984" w:rsidR="00844176" w:rsidTr="000C3D46">
        <w:trPr>
          <w:trHeight w:val="465"/>
          <w:tblCellSpacing w:w="20" w:type="dxa"/>
        </w:trPr>
        <w:tc>
          <w:tcPr>
            <w:tcW w:w="408" w:type="dxa"/>
            <w:hideMark/>
          </w:tcPr>
          <w:p w:rsidRPr="007F6941" w:rsidR="00844176" w:rsidP="003B4F80" w:rsidRDefault="00844176">
            <w:pPr>
              <w:contextualSpacing/>
              <w:jc w:val="both"/>
              <w:rPr>
                <w:rFonts w:eastAsia="Times New Roman"/>
                <w:sz w:val="28"/>
                <w:szCs w:val="28"/>
                <w:lang w:val="lv-LV" w:eastAsia="lv-LV"/>
              </w:rPr>
            </w:pPr>
            <w:r w:rsidRPr="007F6941">
              <w:rPr>
                <w:sz w:val="28"/>
                <w:szCs w:val="28"/>
                <w:lang w:val="lv-LV"/>
              </w:rPr>
              <w:lastRenderedPageBreak/>
              <w:t>2.</w:t>
            </w:r>
          </w:p>
        </w:tc>
        <w:tc>
          <w:tcPr>
            <w:tcW w:w="3290" w:type="dxa"/>
            <w:hideMark/>
          </w:tcPr>
          <w:p w:rsidRPr="007F6941" w:rsidR="00844176" w:rsidP="003B4F80" w:rsidRDefault="00844176">
            <w:pPr>
              <w:contextualSpacing/>
              <w:jc w:val="both"/>
              <w:rPr>
                <w:sz w:val="28"/>
                <w:szCs w:val="28"/>
                <w:lang w:val="lv-LV"/>
              </w:rPr>
            </w:pPr>
            <w:r w:rsidRPr="007F6941">
              <w:rPr>
                <w:sz w:val="28"/>
                <w:szCs w:val="28"/>
                <w:lang w:val="lv-LV"/>
              </w:rPr>
              <w:t>Pašreizējā situācija un problēmas, kuru risināšanai tiesību akta projekts izstrādāts, tiesiskā regulējuma mērķis un būtība</w:t>
            </w: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B1279F" w:rsidP="00B1279F" w:rsidRDefault="00B1279F">
            <w:pPr>
              <w:jc w:val="both"/>
              <w:rPr>
                <w:rFonts w:eastAsia="Times New Roman"/>
                <w:sz w:val="28"/>
                <w:szCs w:val="28"/>
                <w:lang w:val="lv-LV" w:eastAsia="lv-LV"/>
              </w:rPr>
            </w:pPr>
          </w:p>
          <w:p w:rsidRPr="007F6941" w:rsidR="00E37A40" w:rsidP="001C7E0E" w:rsidRDefault="00E37A40">
            <w:pPr>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2906E7" w:rsidRDefault="00175B7D">
            <w:pPr>
              <w:jc w:val="right"/>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tc>
        <w:tc>
          <w:tcPr>
            <w:tcW w:w="5468" w:type="dxa"/>
            <w:shd w:val="clear" w:color="auto" w:fill="auto"/>
          </w:tcPr>
          <w:p w:rsidR="00CD6FF6" w:rsidRDefault="0091445D">
            <w:pPr>
              <w:ind w:firstLine="567"/>
              <w:jc w:val="both"/>
              <w:rPr>
                <w:sz w:val="28"/>
                <w:szCs w:val="28"/>
                <w:lang w:val="lv-LV"/>
              </w:rPr>
            </w:pPr>
            <w:r w:rsidRPr="0091445D">
              <w:rPr>
                <w:sz w:val="28"/>
                <w:szCs w:val="28"/>
                <w:lang w:val="lv-LV"/>
              </w:rPr>
              <w:t>Spēkā esošā kārtība atbilstoši MK noteikumi</w:t>
            </w:r>
            <w:r w:rsidR="00CD6FF6">
              <w:rPr>
                <w:sz w:val="28"/>
                <w:szCs w:val="28"/>
                <w:lang w:val="lv-LV"/>
              </w:rPr>
              <w:t>em</w:t>
            </w:r>
            <w:r w:rsidRPr="0091445D">
              <w:rPr>
                <w:sz w:val="28"/>
                <w:szCs w:val="28"/>
                <w:lang w:val="lv-LV"/>
              </w:rPr>
              <w:t xml:space="preserve"> Nr.</w:t>
            </w:r>
            <w:r w:rsidRPr="00970443" w:rsidR="00970443">
              <w:rPr>
                <w:sz w:val="28"/>
                <w:szCs w:val="28"/>
                <w:lang w:val="lv-LV"/>
              </w:rPr>
              <w:t>179</w:t>
            </w:r>
            <w:r w:rsidRPr="0091445D">
              <w:rPr>
                <w:sz w:val="28"/>
                <w:szCs w:val="28"/>
                <w:lang w:val="lv-LV"/>
              </w:rPr>
              <w:t xml:space="preserve"> </w:t>
            </w:r>
            <w:r w:rsidRPr="0091445D" w:rsidDel="00F61B23">
              <w:rPr>
                <w:sz w:val="28"/>
                <w:szCs w:val="28"/>
                <w:lang w:val="lv-LV"/>
              </w:rPr>
              <w:t>nosaka</w:t>
            </w:r>
            <w:r w:rsidRPr="0091445D">
              <w:rPr>
                <w:sz w:val="28"/>
                <w:szCs w:val="28"/>
                <w:lang w:val="lv-LV"/>
              </w:rPr>
              <w:t xml:space="preserve"> kritērijus, saskaņā ar kuriem tiek piešķirts dīkstāves pabalsts pašnodarbinātām personām.</w:t>
            </w:r>
          </w:p>
          <w:p w:rsidR="00CD6FF6" w:rsidRDefault="0091445D">
            <w:pPr>
              <w:ind w:firstLine="567"/>
              <w:jc w:val="both"/>
              <w:rPr>
                <w:sz w:val="28"/>
                <w:szCs w:val="28"/>
                <w:lang w:val="lv-LV"/>
              </w:rPr>
            </w:pPr>
            <w:r w:rsidRPr="0091445D">
              <w:rPr>
                <w:sz w:val="28"/>
                <w:szCs w:val="28"/>
                <w:lang w:val="lv-LV"/>
              </w:rPr>
              <w:t>Projekts paredz precizēt kritērijus attiecībā uz dīkstāves pabalsta piešķiršanu krīzes skartajām pašnodarbinātajām personām.</w:t>
            </w:r>
          </w:p>
          <w:p w:rsidR="00CD6FF6" w:rsidRDefault="0091445D">
            <w:pPr>
              <w:ind w:firstLine="567"/>
              <w:jc w:val="both"/>
              <w:rPr>
                <w:sz w:val="28"/>
                <w:szCs w:val="28"/>
                <w:lang w:val="lv-LV"/>
              </w:rPr>
            </w:pPr>
            <w:r w:rsidRPr="0091445D">
              <w:rPr>
                <w:sz w:val="28"/>
                <w:szCs w:val="28"/>
                <w:lang w:val="lv-LV"/>
              </w:rPr>
              <w:t>MK noteikumu Nr.</w:t>
            </w:r>
            <w:r w:rsidRPr="00970443" w:rsidR="00970443">
              <w:rPr>
                <w:sz w:val="28"/>
                <w:szCs w:val="28"/>
                <w:lang w:val="lv-LV"/>
              </w:rPr>
              <w:t>179</w:t>
            </w:r>
            <w:r w:rsidRPr="0091445D">
              <w:rPr>
                <w:sz w:val="28"/>
                <w:szCs w:val="28"/>
                <w:lang w:val="lv-LV"/>
              </w:rPr>
              <w:t xml:space="preserve"> 4.punkts nosaka, ka par krīzes skartām pašnodarbinātām personām ir uzskatāmas fiziskas personas, kas reģistrējušās Valsts ieņēmumu dienestā kā saimnieciskās darbības veicējas, ir veikušas valsts sociālās apdrošināšanas obligātās iemaksas kā pašnodarbinātās personas vai autoratlīdzības saņēmēji, vai ir mikrouzņēmumu nodokļa maksātāji, un kuras dīkstāves periodā </w:t>
            </w:r>
            <w:r w:rsidR="00CD6FF6">
              <w:rPr>
                <w:sz w:val="28"/>
                <w:szCs w:val="28"/>
                <w:lang w:val="lv-LV"/>
              </w:rPr>
              <w:t>(</w:t>
            </w:r>
            <w:r w:rsidRPr="00CD6FF6" w:rsidR="00CD6FF6">
              <w:rPr>
                <w:sz w:val="28"/>
                <w:szCs w:val="28"/>
                <w:lang w:val="lv-LV"/>
              </w:rPr>
              <w:t>terminēts laikposms no 2020.gada 14.marta līdz 14.maijam, bet ne ilgāk kā ir spēkā Ministru kabineta lēmums par ārkārtējo situāciju</w:t>
            </w:r>
            <w:r w:rsidR="00CD6FF6">
              <w:rPr>
                <w:sz w:val="28"/>
                <w:szCs w:val="28"/>
                <w:lang w:val="lv-LV"/>
              </w:rPr>
              <w:t xml:space="preserve">) </w:t>
            </w:r>
            <w:r w:rsidRPr="0091445D">
              <w:rPr>
                <w:sz w:val="28"/>
                <w:szCs w:val="28"/>
                <w:lang w:val="lv-LV"/>
              </w:rPr>
              <w:t xml:space="preserve">nav guvušas ienākumus no saimnieciskās darbības. Radošo profesiju pārstāvji – autori un izpildītāji – dīkstāves laikā var saņemt autoratlīdzības maksājumus par darbu lietojumu, kas veikts pirms ārkārtējās situācijas noteikšanas </w:t>
            </w:r>
            <w:r w:rsidR="000C3D46">
              <w:rPr>
                <w:sz w:val="28"/>
                <w:szCs w:val="28"/>
                <w:lang w:val="lv-LV"/>
              </w:rPr>
              <w:t>–</w:t>
            </w:r>
            <w:r w:rsidRPr="0091445D" w:rsidR="000C3D46">
              <w:rPr>
                <w:sz w:val="28"/>
                <w:szCs w:val="28"/>
                <w:lang w:val="lv-LV"/>
              </w:rPr>
              <w:t xml:space="preserve"> </w:t>
            </w:r>
            <w:r w:rsidRPr="0091445D">
              <w:rPr>
                <w:sz w:val="28"/>
                <w:szCs w:val="28"/>
                <w:lang w:val="lv-LV"/>
              </w:rPr>
              <w:t>gan no autortiesību un blakustiesību kolektīvā pārvaldījuma organizācijām, gan no pašiem darbu lietotājiem. Šie ienākumi nav uzskatāmi par ienākumiem no saimnieciskās darbības dīkstāves periodā, ņemot vērā to, ka šie ienākumi attiecas uz darbu tiesību lietojumu pirms tā. Līdz ar to Projekt</w:t>
            </w:r>
            <w:r w:rsidR="00CD6FF6">
              <w:rPr>
                <w:sz w:val="28"/>
                <w:szCs w:val="28"/>
                <w:lang w:val="lv-LV"/>
              </w:rPr>
              <w:t>s paredz precizēt</w:t>
            </w:r>
            <w:r w:rsidRPr="0091445D">
              <w:rPr>
                <w:sz w:val="28"/>
                <w:szCs w:val="28"/>
                <w:lang w:val="lv-LV"/>
              </w:rPr>
              <w:t xml:space="preserve"> </w:t>
            </w:r>
            <w:r w:rsidRPr="0091445D" w:rsidR="00CD6FF6">
              <w:rPr>
                <w:sz w:val="28"/>
                <w:szCs w:val="28"/>
                <w:lang w:val="lv-LV"/>
              </w:rPr>
              <w:t>MK noteikumu Nr.</w:t>
            </w:r>
            <w:r w:rsidRPr="00970443" w:rsidR="00970443">
              <w:rPr>
                <w:sz w:val="28"/>
                <w:szCs w:val="28"/>
                <w:lang w:val="lv-LV"/>
              </w:rPr>
              <w:t>179</w:t>
            </w:r>
            <w:r w:rsidR="00CD6FF6">
              <w:rPr>
                <w:sz w:val="28"/>
                <w:szCs w:val="28"/>
                <w:lang w:val="lv-LV"/>
              </w:rPr>
              <w:t xml:space="preserve"> 4.punktu</w:t>
            </w:r>
            <w:r w:rsidRPr="0091445D">
              <w:rPr>
                <w:sz w:val="28"/>
                <w:szCs w:val="28"/>
                <w:lang w:val="lv-LV"/>
              </w:rPr>
              <w:t xml:space="preserve">, nosakot, ka </w:t>
            </w:r>
            <w:r w:rsidR="00265CB2">
              <w:rPr>
                <w:rFonts w:eastAsia="Times New Roman"/>
                <w:sz w:val="28"/>
                <w:szCs w:val="28"/>
                <w:lang w:val="lv-LV"/>
              </w:rPr>
              <w:t>k</w:t>
            </w:r>
            <w:r w:rsidRPr="00265CB2" w:rsidR="00265CB2">
              <w:rPr>
                <w:rFonts w:eastAsia="Times New Roman"/>
                <w:sz w:val="28"/>
                <w:szCs w:val="28"/>
                <w:lang w:val="lv-LV"/>
              </w:rPr>
              <w:t xml:space="preserve">rīzes skartā pašnodarbinātā persona ir fiziskā persona, kas reģistrējusies Valsts ieņēmumu dienestā kā saimnieciskās darbības veicēja, ir veikusi valsts sociālās apdrošināšanas obligātās iemaksas kā pašnodarbinātā persona vai autoratlīdzības saņēmēja, vai ir mikrouzņēmumu nodokļa maksātāja, vai ir individuālais komersants, un kura dīkstāves periodā nav guvusi ienākumus no saimnieciskās darbības, izņemot ienākumus, </w:t>
            </w:r>
            <w:r w:rsidRPr="00265CB2" w:rsidR="00265CB2">
              <w:rPr>
                <w:rFonts w:eastAsia="Times New Roman"/>
                <w:sz w:val="28"/>
                <w:szCs w:val="28"/>
                <w:lang w:val="lv-LV"/>
              </w:rPr>
              <w:lastRenderedPageBreak/>
              <w:t>kas saņemti no autortiesību un blakustiesību kolektīvā pārvaldījuma organizācijām, un autoru un izpildītāju saņemto autoratlīdzību</w:t>
            </w:r>
            <w:r w:rsidRPr="0091445D">
              <w:rPr>
                <w:sz w:val="28"/>
                <w:szCs w:val="28"/>
                <w:lang w:val="lv-LV"/>
              </w:rPr>
              <w:t>.</w:t>
            </w:r>
          </w:p>
          <w:p w:rsidR="00CD6FF6" w:rsidP="007A3DA9" w:rsidRDefault="007A3DA9">
            <w:pPr>
              <w:ind w:firstLine="567"/>
              <w:jc w:val="both"/>
              <w:rPr>
                <w:sz w:val="28"/>
                <w:szCs w:val="28"/>
                <w:lang w:val="lv-LV"/>
              </w:rPr>
            </w:pPr>
            <w:r>
              <w:rPr>
                <w:sz w:val="28"/>
                <w:szCs w:val="28"/>
                <w:lang w:val="lv-LV"/>
              </w:rPr>
              <w:t xml:space="preserve">Fiziska persona var reģistrēt saimniecisko darbību Valsts ieņēmumu dienestā kā individuālais komersants, veicot </w:t>
            </w:r>
            <w:r w:rsidRPr="007A3DA9">
              <w:rPr>
                <w:sz w:val="28"/>
                <w:szCs w:val="28"/>
                <w:lang w:val="lv-LV"/>
              </w:rPr>
              <w:t>valsts sociālās apdrošināšanas obligā</w:t>
            </w:r>
            <w:r w:rsidR="00265CB2">
              <w:rPr>
                <w:sz w:val="28"/>
                <w:szCs w:val="28"/>
                <w:lang w:val="lv-LV"/>
              </w:rPr>
              <w:t>tās iemaksas atbilstoši likuma „</w:t>
            </w:r>
            <w:r w:rsidRPr="007A3DA9">
              <w:rPr>
                <w:sz w:val="28"/>
                <w:szCs w:val="28"/>
                <w:lang w:val="lv-LV"/>
              </w:rPr>
              <w:t>Par valsts sociālo a</w:t>
            </w:r>
            <w:r w:rsidR="00265CB2">
              <w:rPr>
                <w:sz w:val="28"/>
                <w:szCs w:val="28"/>
                <w:lang w:val="lv-LV"/>
              </w:rPr>
              <w:t xml:space="preserve">pdrošināšanu” 1.panta 3.punkta </w:t>
            </w:r>
            <w:r w:rsidRPr="007A3DA9">
              <w:rPr>
                <w:sz w:val="28"/>
                <w:szCs w:val="28"/>
                <w:lang w:val="lv-LV"/>
              </w:rPr>
              <w:t>l</w:t>
            </w:r>
            <w:r w:rsidR="00265CB2">
              <w:rPr>
                <w:sz w:val="28"/>
                <w:szCs w:val="28"/>
                <w:lang w:val="lv-LV"/>
              </w:rPr>
              <w:t>) </w:t>
            </w:r>
            <w:r w:rsidRPr="007A3DA9">
              <w:rPr>
                <w:sz w:val="28"/>
                <w:szCs w:val="28"/>
                <w:lang w:val="lv-LV"/>
              </w:rPr>
              <w:t xml:space="preserve">apakšpunktam kā pašnodarbinātā persona. </w:t>
            </w:r>
            <w:r w:rsidR="00265CB2">
              <w:rPr>
                <w:sz w:val="28"/>
                <w:szCs w:val="28"/>
                <w:lang w:val="lv-LV"/>
              </w:rPr>
              <w:t xml:space="preserve">Individuālajam komersantam </w:t>
            </w:r>
            <w:r w:rsidRPr="007A3DA9">
              <w:rPr>
                <w:sz w:val="28"/>
                <w:szCs w:val="28"/>
                <w:lang w:val="lv-LV"/>
              </w:rPr>
              <w:t xml:space="preserve">nav piemērojami </w:t>
            </w:r>
            <w:r w:rsidRPr="0091445D" w:rsidR="00265CB2">
              <w:rPr>
                <w:sz w:val="28"/>
                <w:szCs w:val="28"/>
                <w:lang w:val="lv-LV"/>
              </w:rPr>
              <w:t>MK noteikumi Nr.</w:t>
            </w:r>
            <w:r w:rsidRPr="00970443" w:rsidR="00265CB2">
              <w:rPr>
                <w:sz w:val="28"/>
                <w:szCs w:val="28"/>
                <w:lang w:val="lv-LV"/>
              </w:rPr>
              <w:t>179</w:t>
            </w:r>
            <w:r>
              <w:rPr>
                <w:sz w:val="28"/>
                <w:szCs w:val="28"/>
                <w:lang w:val="lv-LV"/>
              </w:rPr>
              <w:t xml:space="preserve">. Vienlaikus dīkstāves pabalsts </w:t>
            </w:r>
            <w:r w:rsidR="00265CB2">
              <w:rPr>
                <w:sz w:val="28"/>
                <w:szCs w:val="28"/>
                <w:lang w:val="lv-LV"/>
              </w:rPr>
              <w:t>individuālajam komersantam</w:t>
            </w:r>
            <w:r>
              <w:rPr>
                <w:sz w:val="28"/>
                <w:szCs w:val="28"/>
                <w:lang w:val="lv-LV"/>
              </w:rPr>
              <w:t xml:space="preserve"> šobrīd nevar tikt piešķirts arī saskaņā ar </w:t>
            </w:r>
            <w:r w:rsidRPr="0091445D">
              <w:rPr>
                <w:sz w:val="28"/>
                <w:szCs w:val="28"/>
                <w:lang w:val="lv-LV"/>
              </w:rPr>
              <w:t>MK noteikum</w:t>
            </w:r>
            <w:r>
              <w:rPr>
                <w:sz w:val="28"/>
                <w:szCs w:val="28"/>
                <w:lang w:val="lv-LV"/>
              </w:rPr>
              <w:t>iem</w:t>
            </w:r>
            <w:r w:rsidRPr="0091445D">
              <w:rPr>
                <w:sz w:val="28"/>
                <w:szCs w:val="28"/>
                <w:lang w:val="lv-LV"/>
              </w:rPr>
              <w:t xml:space="preserve"> Nr.</w:t>
            </w:r>
            <w:r w:rsidRPr="00970443">
              <w:rPr>
                <w:sz w:val="28"/>
                <w:szCs w:val="28"/>
                <w:lang w:val="lv-LV"/>
              </w:rPr>
              <w:t>179</w:t>
            </w:r>
            <w:r>
              <w:rPr>
                <w:sz w:val="28"/>
                <w:szCs w:val="28"/>
                <w:lang w:val="lv-LV"/>
              </w:rPr>
              <w:t>. L</w:t>
            </w:r>
            <w:r w:rsidRPr="007A3DA9">
              <w:rPr>
                <w:sz w:val="28"/>
                <w:szCs w:val="28"/>
                <w:lang w:val="lv-LV"/>
              </w:rPr>
              <w:t xml:space="preserve">ai novērstu regulējuma trūkumu un </w:t>
            </w:r>
            <w:r w:rsidR="00265CB2">
              <w:rPr>
                <w:sz w:val="28"/>
                <w:szCs w:val="28"/>
                <w:lang w:val="lv-LV"/>
              </w:rPr>
              <w:t>individuālais komersants</w:t>
            </w:r>
            <w:r w:rsidRPr="007A3DA9">
              <w:rPr>
                <w:sz w:val="28"/>
                <w:szCs w:val="28"/>
                <w:lang w:val="lv-LV"/>
              </w:rPr>
              <w:t xml:space="preserve"> varētu pretendēt uz dīkstāves pabalstu, </w:t>
            </w:r>
            <w:r>
              <w:rPr>
                <w:sz w:val="28"/>
                <w:szCs w:val="28"/>
                <w:lang w:val="lv-LV"/>
              </w:rPr>
              <w:t xml:space="preserve">Projekts paredz precizēt </w:t>
            </w:r>
            <w:r w:rsidRPr="0091445D" w:rsidR="00265CB2">
              <w:rPr>
                <w:sz w:val="28"/>
                <w:szCs w:val="28"/>
                <w:lang w:val="lv-LV"/>
              </w:rPr>
              <w:t>MK noteikumu Nr.</w:t>
            </w:r>
            <w:r w:rsidRPr="00970443" w:rsidR="00265CB2">
              <w:rPr>
                <w:sz w:val="28"/>
                <w:szCs w:val="28"/>
                <w:lang w:val="lv-LV"/>
              </w:rPr>
              <w:t>179</w:t>
            </w:r>
            <w:r w:rsidR="00265CB2">
              <w:rPr>
                <w:sz w:val="28"/>
                <w:szCs w:val="28"/>
                <w:lang w:val="lv-LV"/>
              </w:rPr>
              <w:t xml:space="preserve"> </w:t>
            </w:r>
            <w:r w:rsidRPr="007A3DA9">
              <w:rPr>
                <w:sz w:val="28"/>
                <w:szCs w:val="28"/>
                <w:lang w:val="lv-LV"/>
              </w:rPr>
              <w:t>4.punktu</w:t>
            </w:r>
            <w:r>
              <w:rPr>
                <w:sz w:val="28"/>
                <w:szCs w:val="28"/>
                <w:lang w:val="lv-LV"/>
              </w:rPr>
              <w:t xml:space="preserve">, papildinot krīzes skarto pašnodarbināto personu definīciju ar individuālajiem komersantiem. </w:t>
            </w:r>
          </w:p>
          <w:p w:rsidR="002F1474" w:rsidP="002F1474" w:rsidRDefault="002F1474">
            <w:pPr>
              <w:ind w:firstLine="567"/>
              <w:jc w:val="both"/>
              <w:rPr>
                <w:sz w:val="28"/>
                <w:szCs w:val="28"/>
                <w:lang w:val="lv-LV"/>
              </w:rPr>
            </w:pPr>
            <w:r>
              <w:rPr>
                <w:sz w:val="28"/>
                <w:szCs w:val="28"/>
                <w:lang w:val="lv-LV"/>
              </w:rPr>
              <w:t xml:space="preserve">Šobrīd </w:t>
            </w:r>
            <w:r w:rsidRPr="0091445D">
              <w:rPr>
                <w:sz w:val="28"/>
                <w:szCs w:val="28"/>
                <w:lang w:val="lv-LV"/>
              </w:rPr>
              <w:t>MK noteikum</w:t>
            </w:r>
            <w:r>
              <w:rPr>
                <w:sz w:val="28"/>
                <w:szCs w:val="28"/>
                <w:lang w:val="lv-LV"/>
              </w:rPr>
              <w:t>u</w:t>
            </w:r>
            <w:r w:rsidRPr="0091445D">
              <w:rPr>
                <w:sz w:val="28"/>
                <w:szCs w:val="28"/>
                <w:lang w:val="lv-LV"/>
              </w:rPr>
              <w:t xml:space="preserve"> Nr.</w:t>
            </w:r>
            <w:r w:rsidRPr="00970443">
              <w:rPr>
                <w:sz w:val="28"/>
                <w:szCs w:val="28"/>
                <w:lang w:val="lv-LV"/>
              </w:rPr>
              <w:t>179</w:t>
            </w:r>
            <w:r>
              <w:rPr>
                <w:sz w:val="28"/>
                <w:szCs w:val="28"/>
                <w:lang w:val="lv-LV"/>
              </w:rPr>
              <w:t xml:space="preserve"> 7.2.apakšpunkts nosaka, </w:t>
            </w:r>
            <w:r w:rsidRPr="00600387">
              <w:rPr>
                <w:sz w:val="28"/>
                <w:szCs w:val="28"/>
                <w:lang w:val="lv-LV"/>
              </w:rPr>
              <w:t>ka dīkstāves pabalstu pašnodarbināt</w:t>
            </w:r>
            <w:r w:rsidR="003F6217">
              <w:rPr>
                <w:sz w:val="28"/>
                <w:szCs w:val="28"/>
                <w:lang w:val="lv-LV"/>
              </w:rPr>
              <w:t>ai personai</w:t>
            </w:r>
            <w:r w:rsidRPr="00600387">
              <w:rPr>
                <w:sz w:val="28"/>
                <w:szCs w:val="28"/>
                <w:lang w:val="lv-LV"/>
              </w:rPr>
              <w:t xml:space="preserve"> nosaka 75% apmērā no  saimnieciskās darbības ienākumiem (no ieņēmumiem atskaitīti izdevumi)</w:t>
            </w:r>
            <w:r w:rsidR="003F6217">
              <w:rPr>
                <w:sz w:val="28"/>
                <w:szCs w:val="28"/>
                <w:lang w:val="lv-LV"/>
              </w:rPr>
              <w:t>,</w:t>
            </w:r>
            <w:r w:rsidRPr="00600387">
              <w:rPr>
                <w:sz w:val="28"/>
                <w:szCs w:val="28"/>
                <w:lang w:val="lv-LV"/>
              </w:rPr>
              <w:t xml:space="preserve"> atskaitot aprēķinātās </w:t>
            </w:r>
            <w:r w:rsidRPr="002F1474">
              <w:rPr>
                <w:sz w:val="28"/>
                <w:szCs w:val="28"/>
                <w:lang w:val="lv-LV"/>
              </w:rPr>
              <w:t>valsts sociālās apdrošināšanas obligātās iemaksas</w:t>
            </w:r>
            <w:r w:rsidRPr="00600387">
              <w:rPr>
                <w:sz w:val="28"/>
                <w:szCs w:val="28"/>
                <w:lang w:val="lv-LV"/>
              </w:rPr>
              <w:t>. Tādējādi</w:t>
            </w:r>
            <w:r>
              <w:rPr>
                <w:sz w:val="28"/>
                <w:szCs w:val="28"/>
                <w:lang w:val="lv-LV"/>
              </w:rPr>
              <w:t xml:space="preserve"> </w:t>
            </w:r>
            <w:r w:rsidRPr="00600387">
              <w:rPr>
                <w:sz w:val="28"/>
                <w:szCs w:val="28"/>
                <w:lang w:val="lv-LV"/>
              </w:rPr>
              <w:t>objekts, no kura aprēķina pabalsta apmēru, samazinās atkarībā no iepriekš aprēķinātājām valsts sociālās apdr</w:t>
            </w:r>
            <w:r>
              <w:rPr>
                <w:sz w:val="28"/>
                <w:szCs w:val="28"/>
                <w:lang w:val="lv-LV"/>
              </w:rPr>
              <w:t xml:space="preserve">ošināšanas obligātajām iemaksām, un </w:t>
            </w:r>
            <w:r w:rsidRPr="00600387">
              <w:rPr>
                <w:sz w:val="28"/>
                <w:szCs w:val="28"/>
                <w:lang w:val="lv-LV"/>
              </w:rPr>
              <w:t xml:space="preserve">veidojas situācija, </w:t>
            </w:r>
            <w:r>
              <w:rPr>
                <w:sz w:val="28"/>
                <w:szCs w:val="28"/>
                <w:lang w:val="lv-LV"/>
              </w:rPr>
              <w:t xml:space="preserve">ka, </w:t>
            </w:r>
            <w:r w:rsidRPr="00600387">
              <w:rPr>
                <w:sz w:val="28"/>
                <w:szCs w:val="28"/>
                <w:lang w:val="lv-LV"/>
              </w:rPr>
              <w:t xml:space="preserve">jo vairāk iepriekš maksātas </w:t>
            </w:r>
            <w:r w:rsidRPr="002F1474">
              <w:rPr>
                <w:sz w:val="28"/>
                <w:szCs w:val="28"/>
                <w:lang w:val="lv-LV"/>
              </w:rPr>
              <w:t>valsts sociālās apdrošināšanas obligātās iemaksas</w:t>
            </w:r>
            <w:r w:rsidRPr="00600387">
              <w:rPr>
                <w:sz w:val="28"/>
                <w:szCs w:val="28"/>
                <w:lang w:val="lv-LV"/>
              </w:rPr>
              <w:t xml:space="preserve">, jo mazāks ir pabalsta apmērs. Lai nodrošinātu, ka dīkstāves pabalsta apmērs nesamazinātos atkarībā no samaksātā </w:t>
            </w:r>
            <w:r w:rsidRPr="002F1474">
              <w:rPr>
                <w:sz w:val="28"/>
                <w:szCs w:val="28"/>
                <w:lang w:val="lv-LV"/>
              </w:rPr>
              <w:t>valsts sociāl</w:t>
            </w:r>
            <w:r>
              <w:rPr>
                <w:sz w:val="28"/>
                <w:szCs w:val="28"/>
                <w:lang w:val="lv-LV"/>
              </w:rPr>
              <w:t>o</w:t>
            </w:r>
            <w:r w:rsidRPr="002F1474">
              <w:rPr>
                <w:sz w:val="28"/>
                <w:szCs w:val="28"/>
                <w:lang w:val="lv-LV"/>
              </w:rPr>
              <w:t xml:space="preserve"> apdrošināšanas obligāt</w:t>
            </w:r>
            <w:r>
              <w:rPr>
                <w:sz w:val="28"/>
                <w:szCs w:val="28"/>
                <w:lang w:val="lv-LV"/>
              </w:rPr>
              <w:t>o</w:t>
            </w:r>
            <w:r w:rsidRPr="002F1474">
              <w:rPr>
                <w:sz w:val="28"/>
                <w:szCs w:val="28"/>
                <w:lang w:val="lv-LV"/>
              </w:rPr>
              <w:t xml:space="preserve"> iemaks</w:t>
            </w:r>
            <w:r>
              <w:rPr>
                <w:sz w:val="28"/>
                <w:szCs w:val="28"/>
                <w:lang w:val="lv-LV"/>
              </w:rPr>
              <w:t xml:space="preserve">u apmēra, un </w:t>
            </w:r>
            <w:r w:rsidRPr="00600387">
              <w:rPr>
                <w:sz w:val="28"/>
                <w:szCs w:val="28"/>
                <w:lang w:val="lv-LV"/>
              </w:rPr>
              <w:t>nodrošinātu līdzīgu dīkstāves aprēķināšanas principu</w:t>
            </w:r>
            <w:r>
              <w:rPr>
                <w:sz w:val="28"/>
                <w:szCs w:val="28"/>
                <w:lang w:val="lv-LV"/>
              </w:rPr>
              <w:t xml:space="preserve"> kā mikrouzņēmum</w:t>
            </w:r>
            <w:r w:rsidR="003F6217">
              <w:rPr>
                <w:sz w:val="28"/>
                <w:szCs w:val="28"/>
                <w:lang w:val="lv-LV"/>
              </w:rPr>
              <w:t>u</w:t>
            </w:r>
            <w:r>
              <w:rPr>
                <w:sz w:val="28"/>
                <w:szCs w:val="28"/>
                <w:lang w:val="lv-LV"/>
              </w:rPr>
              <w:t xml:space="preserve"> nodokļa maksātājiem</w:t>
            </w:r>
            <w:r w:rsidRPr="00600387">
              <w:rPr>
                <w:sz w:val="28"/>
                <w:szCs w:val="28"/>
                <w:lang w:val="lv-LV"/>
              </w:rPr>
              <w:t xml:space="preserve">, </w:t>
            </w:r>
            <w:r w:rsidR="00372A23">
              <w:rPr>
                <w:sz w:val="28"/>
                <w:szCs w:val="28"/>
                <w:lang w:val="lv-LV"/>
              </w:rPr>
              <w:t>Projekts paredz precizēt</w:t>
            </w:r>
            <w:r>
              <w:rPr>
                <w:sz w:val="28"/>
                <w:szCs w:val="28"/>
                <w:lang w:val="lv-LV"/>
              </w:rPr>
              <w:t xml:space="preserve"> MK noteikumu Nr.179 </w:t>
            </w:r>
            <w:r w:rsidRPr="00600387">
              <w:rPr>
                <w:sz w:val="28"/>
                <w:szCs w:val="28"/>
                <w:lang w:val="lv-LV"/>
              </w:rPr>
              <w:t>7.2.ap</w:t>
            </w:r>
            <w:r w:rsidR="00451662">
              <w:rPr>
                <w:sz w:val="28"/>
                <w:szCs w:val="28"/>
                <w:lang w:val="lv-LV"/>
              </w:rPr>
              <w:t>a</w:t>
            </w:r>
            <w:r w:rsidRPr="00600387">
              <w:rPr>
                <w:sz w:val="28"/>
                <w:szCs w:val="28"/>
                <w:lang w:val="lv-LV"/>
              </w:rPr>
              <w:t>kšpunkt</w:t>
            </w:r>
            <w:r>
              <w:rPr>
                <w:sz w:val="28"/>
                <w:szCs w:val="28"/>
                <w:lang w:val="lv-LV"/>
              </w:rPr>
              <w:t>u</w:t>
            </w:r>
            <w:r w:rsidRPr="00600387">
              <w:rPr>
                <w:sz w:val="28"/>
                <w:szCs w:val="28"/>
                <w:lang w:val="lv-LV"/>
              </w:rPr>
              <w:t xml:space="preserve">, </w:t>
            </w:r>
            <w:r>
              <w:rPr>
                <w:sz w:val="28"/>
                <w:szCs w:val="28"/>
                <w:lang w:val="lv-LV"/>
              </w:rPr>
              <w:t>nosakot, ka pašnodarbinātai personai dīks</w:t>
            </w:r>
            <w:r w:rsidR="00372A23">
              <w:rPr>
                <w:sz w:val="28"/>
                <w:szCs w:val="28"/>
                <w:lang w:val="lv-LV"/>
              </w:rPr>
              <w:t>tāves pabalsta apmēru nosaka 75</w:t>
            </w:r>
            <w:r w:rsidRPr="00600387" w:rsidR="00372A23">
              <w:rPr>
                <w:sz w:val="28"/>
                <w:szCs w:val="28"/>
                <w:lang w:val="lv-LV"/>
              </w:rPr>
              <w:t>%</w:t>
            </w:r>
            <w:r w:rsidRPr="00AE2FAE">
              <w:rPr>
                <w:sz w:val="28"/>
                <w:szCs w:val="28"/>
                <w:lang w:val="lv-LV"/>
              </w:rPr>
              <w:t xml:space="preserve"> apmērā no attiecīgās personas vidējā valsts sociālās </w:t>
            </w:r>
            <w:r w:rsidRPr="00AE2FAE">
              <w:rPr>
                <w:sz w:val="28"/>
                <w:szCs w:val="28"/>
                <w:lang w:val="lv-LV"/>
              </w:rPr>
              <w:lastRenderedPageBreak/>
              <w:t>apdrošināšanas obligāto iemaksu objekta apmēra pēdējos divos noslēgtajos ceturkšņos, bet ne vairāk kā 700</w:t>
            </w:r>
            <w:r>
              <w:rPr>
                <w:sz w:val="28"/>
                <w:szCs w:val="28"/>
                <w:lang w:val="lv-LV"/>
              </w:rPr>
              <w:t> </w:t>
            </w:r>
            <w:r w:rsidRPr="00AE2FAE">
              <w:rPr>
                <w:i/>
                <w:sz w:val="28"/>
                <w:szCs w:val="28"/>
                <w:lang w:val="lv-LV"/>
              </w:rPr>
              <w:t>euro</w:t>
            </w:r>
            <w:r w:rsidRPr="00AE2FAE">
              <w:rPr>
                <w:sz w:val="28"/>
                <w:szCs w:val="28"/>
                <w:lang w:val="lv-LV"/>
              </w:rPr>
              <w:t xml:space="preserve"> mēnesī</w:t>
            </w:r>
            <w:r>
              <w:rPr>
                <w:sz w:val="28"/>
                <w:szCs w:val="28"/>
                <w:lang w:val="lv-LV"/>
              </w:rPr>
              <w:t>.</w:t>
            </w:r>
          </w:p>
          <w:p w:rsidR="003717EF" w:rsidP="00C41658" w:rsidRDefault="0010433F">
            <w:pPr>
              <w:ind w:firstLine="567"/>
              <w:jc w:val="both"/>
              <w:rPr>
                <w:sz w:val="28"/>
                <w:szCs w:val="28"/>
                <w:lang w:val="lv-LV"/>
              </w:rPr>
            </w:pPr>
            <w:r>
              <w:rPr>
                <w:sz w:val="28"/>
                <w:szCs w:val="28"/>
                <w:lang w:val="lv-LV"/>
              </w:rPr>
              <w:t xml:space="preserve">Lai netiktu diskriminētas tās pašnodarbinātās personas, kuras dīkstāves periodā ir atradušās bērna kopšanas atvaļinājumā, Projekts paredz papildināt </w:t>
            </w:r>
            <w:r w:rsidR="002C6557">
              <w:rPr>
                <w:sz w:val="28"/>
                <w:szCs w:val="28"/>
                <w:lang w:val="lv-LV"/>
              </w:rPr>
              <w:t xml:space="preserve">MK noteikumus Nr.179 ar </w:t>
            </w:r>
            <w:r>
              <w:rPr>
                <w:sz w:val="28"/>
                <w:szCs w:val="28"/>
                <w:lang w:val="lv-LV"/>
              </w:rPr>
              <w:t>7.3.</w:t>
            </w:r>
            <w:r w:rsidR="002C6557">
              <w:rPr>
                <w:sz w:val="28"/>
                <w:szCs w:val="28"/>
                <w:lang w:val="lv-LV"/>
              </w:rPr>
              <w:t>apakšpunktu</w:t>
            </w:r>
            <w:r>
              <w:rPr>
                <w:sz w:val="28"/>
                <w:szCs w:val="28"/>
                <w:lang w:val="lv-LV"/>
              </w:rPr>
              <w:t xml:space="preserve">, kas nosaka, ka </w:t>
            </w:r>
            <w:r w:rsidR="002C6557">
              <w:rPr>
                <w:sz w:val="28"/>
                <w:szCs w:val="28"/>
                <w:lang w:val="lv-LV"/>
              </w:rPr>
              <w:t>MK noteikumu Nr.179</w:t>
            </w:r>
            <w:r w:rsidR="00427A1C">
              <w:rPr>
                <w:sz w:val="28"/>
                <w:szCs w:val="28"/>
                <w:lang w:val="lv-LV"/>
              </w:rPr>
              <w:t xml:space="preserve"> </w:t>
            </w:r>
            <w:r w:rsidR="002C6557">
              <w:rPr>
                <w:sz w:val="28"/>
                <w:szCs w:val="28"/>
                <w:lang w:val="lv-LV"/>
              </w:rPr>
              <w:t>7.1. un 7.2.</w:t>
            </w:r>
            <w:r w:rsidRPr="0010433F">
              <w:rPr>
                <w:sz w:val="28"/>
                <w:szCs w:val="28"/>
                <w:lang w:val="lv-LV"/>
              </w:rPr>
              <w:t xml:space="preserve">apakšpunktā minētajai personai, kura dīkstāves laikā atgriežas darbā no bērna kopšanas atvaļinājuma, dīkstāves pabalstu nosaka 100% apmērā no piešķirtā vecāku pabalsta par sešu mēnešu periodu pirms ārkārtējās situācijas izsludināšanas, bet ne vairāk kā 700 </w:t>
            </w:r>
            <w:r w:rsidRPr="002C6557">
              <w:rPr>
                <w:i/>
                <w:sz w:val="28"/>
                <w:szCs w:val="28"/>
                <w:lang w:val="lv-LV"/>
              </w:rPr>
              <w:t>euro</w:t>
            </w:r>
            <w:r w:rsidRPr="0010433F">
              <w:rPr>
                <w:sz w:val="28"/>
                <w:szCs w:val="28"/>
                <w:lang w:val="lv-LV"/>
              </w:rPr>
              <w:t xml:space="preserve"> apmērā par kalendāra mēnesi</w:t>
            </w:r>
            <w:r w:rsidR="00011FAD">
              <w:rPr>
                <w:sz w:val="28"/>
                <w:szCs w:val="28"/>
                <w:lang w:val="lv-LV"/>
              </w:rPr>
              <w:t>.</w:t>
            </w:r>
          </w:p>
        </w:tc>
      </w:tr>
      <w:tr w:rsidRPr="007F6941" w:rsidR="00844176" w:rsidTr="000C3D46">
        <w:trPr>
          <w:trHeight w:val="465"/>
          <w:tblCellSpacing w:w="20" w:type="dxa"/>
        </w:trPr>
        <w:tc>
          <w:tcPr>
            <w:tcW w:w="408" w:type="dxa"/>
            <w:hideMark/>
          </w:tcPr>
          <w:p w:rsidRPr="007F6941" w:rsidR="00844176" w:rsidP="002C6557" w:rsidRDefault="00844176">
            <w:pPr>
              <w:contextualSpacing/>
              <w:jc w:val="center"/>
              <w:rPr>
                <w:rFonts w:eastAsia="Times New Roman"/>
                <w:sz w:val="28"/>
                <w:szCs w:val="28"/>
                <w:lang w:val="lv-LV" w:eastAsia="lv-LV"/>
              </w:rPr>
            </w:pPr>
            <w:r w:rsidRPr="007F6941">
              <w:rPr>
                <w:sz w:val="28"/>
                <w:szCs w:val="28"/>
                <w:lang w:val="lv-LV"/>
              </w:rPr>
              <w:lastRenderedPageBreak/>
              <w:t>3.</w:t>
            </w:r>
          </w:p>
        </w:tc>
        <w:tc>
          <w:tcPr>
            <w:tcW w:w="3290" w:type="dxa"/>
            <w:hideMark/>
          </w:tcPr>
          <w:p w:rsidRPr="007F6941" w:rsidR="00844176" w:rsidP="003D3252" w:rsidRDefault="00557B17">
            <w:pPr>
              <w:contextualSpacing/>
              <w:rPr>
                <w:rFonts w:eastAsia="Times New Roman"/>
                <w:sz w:val="28"/>
                <w:szCs w:val="28"/>
                <w:lang w:val="lv-LV" w:eastAsia="lv-LV"/>
              </w:rPr>
            </w:pPr>
            <w:r w:rsidRPr="007F6941">
              <w:rPr>
                <w:sz w:val="28"/>
                <w:szCs w:val="28"/>
                <w:lang w:val="lv-LV"/>
              </w:rPr>
              <w:t>Projekta izstrādē iesaistītās institūcijas un publiskas personas kapitālsabiedrības</w:t>
            </w:r>
          </w:p>
        </w:tc>
        <w:tc>
          <w:tcPr>
            <w:tcW w:w="5468" w:type="dxa"/>
            <w:hideMark/>
          </w:tcPr>
          <w:p w:rsidR="00CD6FF6" w:rsidRDefault="003E50F9">
            <w:pPr>
              <w:ind w:left="-31"/>
              <w:contextualSpacing/>
              <w:jc w:val="both"/>
              <w:rPr>
                <w:rFonts w:eastAsia="Times New Roman"/>
                <w:sz w:val="28"/>
                <w:szCs w:val="28"/>
                <w:lang w:val="lv-LV" w:eastAsia="lv-LV"/>
              </w:rPr>
            </w:pPr>
            <w:r w:rsidRPr="007F6941">
              <w:rPr>
                <w:rFonts w:eastAsia="Times New Roman"/>
                <w:sz w:val="28"/>
                <w:szCs w:val="28"/>
                <w:lang w:val="lv-LV" w:eastAsia="lv-LV"/>
              </w:rPr>
              <w:t>Kultūras</w:t>
            </w:r>
            <w:r w:rsidRPr="007F6941" w:rsidR="00D04133">
              <w:rPr>
                <w:rFonts w:eastAsia="Times New Roman"/>
                <w:sz w:val="28"/>
                <w:szCs w:val="28"/>
                <w:lang w:val="lv-LV" w:eastAsia="lv-LV"/>
              </w:rPr>
              <w:t xml:space="preserve"> ministrija</w:t>
            </w:r>
            <w:r w:rsidRPr="007F6941">
              <w:rPr>
                <w:rFonts w:eastAsia="Times New Roman"/>
                <w:sz w:val="28"/>
                <w:szCs w:val="28"/>
                <w:lang w:val="lv-LV" w:eastAsia="lv-LV"/>
              </w:rPr>
              <w:t xml:space="preserve">, Finanšu ministrija, </w:t>
            </w:r>
            <w:r w:rsidRPr="007F6941" w:rsidR="00B278A0">
              <w:rPr>
                <w:rFonts w:eastAsia="Times New Roman"/>
                <w:sz w:val="28"/>
                <w:szCs w:val="28"/>
                <w:lang w:val="lv-LV" w:eastAsia="lv-LV"/>
              </w:rPr>
              <w:t xml:space="preserve">Labklājības ministrija, </w:t>
            </w:r>
            <w:r w:rsidRPr="007F6941">
              <w:rPr>
                <w:rFonts w:eastAsia="Times New Roman"/>
                <w:sz w:val="28"/>
                <w:szCs w:val="28"/>
                <w:lang w:val="lv-LV" w:eastAsia="lv-LV"/>
              </w:rPr>
              <w:t>Valsts ieņēmumu dienests</w:t>
            </w:r>
          </w:p>
        </w:tc>
      </w:tr>
      <w:tr w:rsidRPr="00887984" w:rsidR="00844176" w:rsidTr="000C3D46">
        <w:trPr>
          <w:tblCellSpacing w:w="20" w:type="dxa"/>
        </w:trPr>
        <w:tc>
          <w:tcPr>
            <w:tcW w:w="408" w:type="dxa"/>
            <w:hideMark/>
          </w:tcPr>
          <w:p w:rsidRPr="007F6941" w:rsidR="00844176" w:rsidP="002C6557" w:rsidRDefault="00844176">
            <w:pPr>
              <w:contextualSpacing/>
              <w:jc w:val="center"/>
              <w:rPr>
                <w:rFonts w:eastAsia="Times New Roman"/>
                <w:sz w:val="28"/>
                <w:szCs w:val="28"/>
                <w:lang w:val="lv-LV" w:eastAsia="lv-LV"/>
              </w:rPr>
            </w:pPr>
            <w:r w:rsidRPr="007F6941">
              <w:rPr>
                <w:sz w:val="28"/>
                <w:szCs w:val="28"/>
                <w:lang w:val="lv-LV"/>
              </w:rPr>
              <w:t>4.</w:t>
            </w:r>
          </w:p>
        </w:tc>
        <w:tc>
          <w:tcPr>
            <w:tcW w:w="3290" w:type="dxa"/>
            <w:hideMark/>
          </w:tcPr>
          <w:p w:rsidRPr="007F6941" w:rsidR="00844176" w:rsidP="003D3252" w:rsidRDefault="00844176">
            <w:pPr>
              <w:contextualSpacing/>
              <w:rPr>
                <w:rFonts w:eastAsia="Times New Roman"/>
                <w:sz w:val="28"/>
                <w:szCs w:val="28"/>
                <w:lang w:val="lv-LV" w:eastAsia="lv-LV"/>
              </w:rPr>
            </w:pPr>
            <w:r w:rsidRPr="007F6941">
              <w:rPr>
                <w:sz w:val="28"/>
                <w:szCs w:val="28"/>
                <w:lang w:val="lv-LV"/>
              </w:rPr>
              <w:t>Cita informācija</w:t>
            </w:r>
          </w:p>
        </w:tc>
        <w:tc>
          <w:tcPr>
            <w:tcW w:w="5468" w:type="dxa"/>
            <w:hideMark/>
          </w:tcPr>
          <w:p w:rsidR="00CD6FF6" w:rsidRDefault="0091445D">
            <w:pPr>
              <w:contextualSpacing/>
              <w:jc w:val="both"/>
              <w:rPr>
                <w:sz w:val="28"/>
                <w:szCs w:val="28"/>
                <w:lang w:val="lv-LV"/>
              </w:rPr>
            </w:pPr>
            <w:r w:rsidRPr="0091445D">
              <w:rPr>
                <w:sz w:val="28"/>
                <w:szCs w:val="28"/>
                <w:lang w:val="lv-LV"/>
              </w:rPr>
              <w:t>Saskaņā ar autortiesību un blakustiesību kolektīvā pārvaldījuma organizāciju sniegto informāciju:</w:t>
            </w:r>
          </w:p>
          <w:p w:rsidR="00CD6FF6" w:rsidRDefault="0091445D">
            <w:pPr>
              <w:numPr>
                <w:ilvl w:val="0"/>
                <w:numId w:val="20"/>
              </w:numPr>
              <w:ind w:left="333" w:hanging="333"/>
              <w:contextualSpacing/>
              <w:jc w:val="both"/>
              <w:rPr>
                <w:sz w:val="28"/>
                <w:szCs w:val="28"/>
                <w:lang w:val="lv-LV"/>
              </w:rPr>
            </w:pPr>
            <w:r w:rsidRPr="0091445D">
              <w:rPr>
                <w:sz w:val="28"/>
                <w:szCs w:val="28"/>
                <w:lang w:val="lv-LV"/>
              </w:rPr>
              <w:t>AKKA/LAA veiktās autoratlīdzību izmaksas 2019.gadā un 2020.gada pirmajos trīs mēnešos mēnesī vidēji ir saņēmušas 875</w:t>
            </w:r>
            <w:r w:rsidR="000C3D46">
              <w:rPr>
                <w:sz w:val="28"/>
                <w:szCs w:val="28"/>
                <w:lang w:val="lv-LV"/>
              </w:rPr>
              <w:t> </w:t>
            </w:r>
            <w:r w:rsidRPr="0091445D">
              <w:rPr>
                <w:sz w:val="28"/>
                <w:szCs w:val="28"/>
                <w:lang w:val="lv-LV"/>
              </w:rPr>
              <w:t xml:space="preserve">personas, vidēji 95 </w:t>
            </w:r>
            <w:r w:rsidRPr="0091445D">
              <w:rPr>
                <w:i/>
                <w:sz w:val="28"/>
                <w:szCs w:val="28"/>
                <w:lang w:val="lv-LV"/>
              </w:rPr>
              <w:t>euro</w:t>
            </w:r>
            <w:r w:rsidRPr="0091445D">
              <w:rPr>
                <w:sz w:val="28"/>
                <w:szCs w:val="28"/>
                <w:lang w:val="lv-LV"/>
              </w:rPr>
              <w:t xml:space="preserve"> mēnesī apmērā. 91% saņēmēju mēneša vidējā atlīdzība ir mazāka par 200 </w:t>
            </w:r>
            <w:r w:rsidRPr="0091445D">
              <w:rPr>
                <w:i/>
                <w:sz w:val="28"/>
                <w:szCs w:val="28"/>
                <w:lang w:val="lv-LV"/>
              </w:rPr>
              <w:t>euro</w:t>
            </w:r>
            <w:r w:rsidRPr="0091445D">
              <w:rPr>
                <w:sz w:val="28"/>
                <w:szCs w:val="28"/>
                <w:lang w:val="lv-LV"/>
              </w:rPr>
              <w:t>, un tikai 19</w:t>
            </w:r>
            <w:r w:rsidR="00CD6FF6">
              <w:rPr>
                <w:sz w:val="28"/>
                <w:szCs w:val="28"/>
                <w:lang w:val="lv-LV"/>
              </w:rPr>
              <w:t> </w:t>
            </w:r>
            <w:r w:rsidRPr="0091445D">
              <w:rPr>
                <w:sz w:val="28"/>
                <w:szCs w:val="28"/>
                <w:lang w:val="lv-LV"/>
              </w:rPr>
              <w:t xml:space="preserve">personas ir saņēmušas mēneša atlīdzību, kas ir lielāka par 700 </w:t>
            </w:r>
            <w:r w:rsidRPr="0091445D">
              <w:rPr>
                <w:i/>
                <w:sz w:val="28"/>
                <w:szCs w:val="28"/>
                <w:lang w:val="lv-LV"/>
              </w:rPr>
              <w:t>euro</w:t>
            </w:r>
            <w:r w:rsidR="00CD6FF6">
              <w:rPr>
                <w:sz w:val="28"/>
                <w:szCs w:val="28"/>
                <w:lang w:val="lv-LV"/>
              </w:rPr>
              <w:t>;</w:t>
            </w:r>
          </w:p>
          <w:p w:rsidR="00CD6FF6" w:rsidRDefault="0091445D">
            <w:pPr>
              <w:numPr>
                <w:ilvl w:val="0"/>
                <w:numId w:val="20"/>
              </w:numPr>
              <w:ind w:left="333" w:hanging="333"/>
              <w:contextualSpacing/>
              <w:jc w:val="both"/>
              <w:rPr>
                <w:rFonts w:eastAsia="Times New Roman"/>
                <w:sz w:val="28"/>
                <w:szCs w:val="28"/>
                <w:lang w:val="lv-LV" w:eastAsia="lv-LV"/>
              </w:rPr>
            </w:pPr>
            <w:proofErr w:type="spellStart"/>
            <w:r w:rsidRPr="0091445D">
              <w:rPr>
                <w:sz w:val="28"/>
                <w:szCs w:val="28"/>
                <w:lang w:val="lv-LV"/>
              </w:rPr>
              <w:t>LaIPA</w:t>
            </w:r>
            <w:proofErr w:type="spellEnd"/>
            <w:r w:rsidRPr="0091445D">
              <w:rPr>
                <w:sz w:val="28"/>
                <w:szCs w:val="28"/>
                <w:lang w:val="lv-LV"/>
              </w:rPr>
              <w:t xml:space="preserve"> 2020.gada martā ir veikusi 30% avansa maksājumu par 2020.gadu, izmaksājot autoratlīdzību 48 personām, vidēji 118 </w:t>
            </w:r>
            <w:r w:rsidRPr="0091445D">
              <w:rPr>
                <w:i/>
                <w:sz w:val="28"/>
                <w:szCs w:val="28"/>
                <w:lang w:val="lv-LV"/>
              </w:rPr>
              <w:t>euro</w:t>
            </w:r>
            <w:r w:rsidRPr="0091445D">
              <w:rPr>
                <w:sz w:val="28"/>
                <w:szCs w:val="28"/>
                <w:lang w:val="lv-LV"/>
              </w:rPr>
              <w:t xml:space="preserve"> mēnesī apmērā. No 4</w:t>
            </w:r>
            <w:r w:rsidR="00CD6FF6">
              <w:rPr>
                <w:sz w:val="28"/>
                <w:szCs w:val="28"/>
                <w:lang w:val="lv-LV"/>
              </w:rPr>
              <w:t> </w:t>
            </w:r>
            <w:r w:rsidRPr="0091445D">
              <w:rPr>
                <w:sz w:val="28"/>
                <w:szCs w:val="28"/>
                <w:lang w:val="lv-LV"/>
              </w:rPr>
              <w:t>436</w:t>
            </w:r>
            <w:r w:rsidR="000C3D46">
              <w:rPr>
                <w:sz w:val="28"/>
                <w:szCs w:val="28"/>
                <w:lang w:val="lv-LV"/>
              </w:rPr>
              <w:t> </w:t>
            </w:r>
            <w:proofErr w:type="spellStart"/>
            <w:r w:rsidRPr="0091445D">
              <w:rPr>
                <w:sz w:val="28"/>
                <w:szCs w:val="28"/>
                <w:lang w:val="lv-LV"/>
              </w:rPr>
              <w:t>LaIPA</w:t>
            </w:r>
            <w:proofErr w:type="spellEnd"/>
            <w:r w:rsidRPr="0091445D">
              <w:rPr>
                <w:sz w:val="28"/>
                <w:szCs w:val="28"/>
                <w:lang w:val="lv-LV"/>
              </w:rPr>
              <w:t xml:space="preserve"> biedriem 2019.gadā 80% ir saņēmuši mēneša atlīdzību, kas ir mazāka par 200 </w:t>
            </w:r>
            <w:r w:rsidRPr="0091445D">
              <w:rPr>
                <w:i/>
                <w:sz w:val="28"/>
                <w:szCs w:val="28"/>
                <w:lang w:val="lv-LV"/>
              </w:rPr>
              <w:t>euro</w:t>
            </w:r>
            <w:r w:rsidRPr="0091445D">
              <w:rPr>
                <w:sz w:val="28"/>
                <w:szCs w:val="28"/>
                <w:lang w:val="lv-LV"/>
              </w:rPr>
              <w:t xml:space="preserve">. </w:t>
            </w:r>
          </w:p>
        </w:tc>
      </w:tr>
    </w:tbl>
    <w:p w:rsidR="009A00EB" w:rsidP="009A00EB" w:rsidRDefault="009A00EB">
      <w:pPr>
        <w:contextualSpacing/>
        <w:rPr>
          <w:rFonts w:eastAsia="Times New Roman"/>
          <w:sz w:val="28"/>
          <w:szCs w:val="28"/>
          <w:lang w:val="lv-LV" w:eastAsia="lv-LV"/>
        </w:rPr>
      </w:pPr>
    </w:p>
    <w:p w:rsidR="00887984" w:rsidP="009A00EB" w:rsidRDefault="00887984">
      <w:pPr>
        <w:contextualSpacing/>
        <w:rPr>
          <w:rFonts w:eastAsia="Times New Roman"/>
          <w:sz w:val="28"/>
          <w:szCs w:val="28"/>
          <w:lang w:val="lv-LV" w:eastAsia="lv-LV"/>
        </w:rPr>
      </w:pPr>
    </w:p>
    <w:p w:rsidRPr="007F6941" w:rsidR="00887984" w:rsidP="009A00EB" w:rsidRDefault="00887984">
      <w:pPr>
        <w:contextualSpacing/>
        <w:rPr>
          <w:rFonts w:eastAsia="Times New Roman"/>
          <w:sz w:val="28"/>
          <w:szCs w:val="28"/>
          <w:lang w:val="lv-LV" w:eastAsia="lv-LV"/>
        </w:rPr>
      </w:pPr>
    </w:p>
    <w:tbl>
      <w:tblPr>
        <w:tblW w:w="9299"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511"/>
        <w:gridCol w:w="3260"/>
        <w:gridCol w:w="5528"/>
      </w:tblGrid>
      <w:tr w:rsidRPr="00887984" w:rsidR="00844176" w:rsidTr="0091445D">
        <w:trPr>
          <w:trHeight w:val="555"/>
          <w:tblCellSpacing w:w="20" w:type="dxa"/>
        </w:trPr>
        <w:tc>
          <w:tcPr>
            <w:tcW w:w="9219" w:type="dxa"/>
            <w:gridSpan w:val="3"/>
            <w:hideMark/>
          </w:tcPr>
          <w:p w:rsidRPr="007F6941" w:rsidR="00844176" w:rsidP="003D3252" w:rsidRDefault="009A00EB">
            <w:pPr>
              <w:contextualSpacing/>
              <w:jc w:val="center"/>
              <w:rPr>
                <w:rFonts w:eastAsia="Times New Roman"/>
                <w:sz w:val="28"/>
                <w:szCs w:val="28"/>
                <w:lang w:val="lv-LV" w:eastAsia="lv-LV"/>
              </w:rPr>
            </w:pPr>
            <w:r w:rsidRPr="007F6941">
              <w:rPr>
                <w:rFonts w:eastAsia="Times New Roman"/>
                <w:b/>
                <w:bCs/>
                <w:sz w:val="28"/>
                <w:szCs w:val="28"/>
                <w:lang w:val="lv-LV" w:eastAsia="lv-LV"/>
              </w:rPr>
              <w:t>II. Tiesību akta projekta ietekme uz sabiedrību, tautsaimniecības attīstību un administratīvo slogu</w:t>
            </w:r>
          </w:p>
        </w:tc>
      </w:tr>
      <w:tr w:rsidRPr="00887984" w:rsidR="00A76C0A" w:rsidTr="00CD6FF6">
        <w:trPr>
          <w:trHeight w:val="465"/>
          <w:tblCellSpacing w:w="20" w:type="dxa"/>
        </w:trPr>
        <w:tc>
          <w:tcPr>
            <w:tcW w:w="451" w:type="dxa"/>
            <w:hideMark/>
          </w:tcPr>
          <w:p w:rsidRPr="007F6941" w:rsidR="009A00EB" w:rsidP="002C6557"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1.</w:t>
            </w:r>
          </w:p>
        </w:tc>
        <w:tc>
          <w:tcPr>
            <w:tcW w:w="3220" w:type="dxa"/>
            <w:hideMark/>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Sabiedrības mērķgrupas, kuras tiesiskais regulējums ietekmē vai varētu ietekmēt</w:t>
            </w:r>
          </w:p>
        </w:tc>
        <w:tc>
          <w:tcPr>
            <w:tcW w:w="5468" w:type="dxa"/>
            <w:hideMark/>
          </w:tcPr>
          <w:p w:rsidR="00CD6FF6" w:rsidRDefault="003E50F9">
            <w:pPr>
              <w:jc w:val="both"/>
              <w:rPr>
                <w:sz w:val="28"/>
                <w:szCs w:val="28"/>
                <w:lang w:val="lv-LV"/>
              </w:rPr>
            </w:pPr>
            <w:r w:rsidRPr="007F6941">
              <w:rPr>
                <w:sz w:val="28"/>
                <w:szCs w:val="28"/>
                <w:lang w:val="lv-LV"/>
              </w:rPr>
              <w:t>Fiziskas personas, kas reģistrējušās Valsts ieņēmumu dienestā kā saimnieciskās darbības veicēji</w:t>
            </w:r>
            <w:r w:rsidRPr="007F6941">
              <w:rPr>
                <w:rFonts w:eastAsia="Times New Roman"/>
                <w:bCs/>
                <w:sz w:val="28"/>
                <w:szCs w:val="28"/>
                <w:lang w:val="lv-LV"/>
              </w:rPr>
              <w:t xml:space="preserve">, ir veikušas </w:t>
            </w:r>
            <w:r w:rsidRPr="007F6941">
              <w:rPr>
                <w:sz w:val="28"/>
                <w:szCs w:val="28"/>
                <w:lang w:val="lv-LV"/>
              </w:rPr>
              <w:t>valsts sociālās apdrošināšanas obligātās iemaksas kā pašnodarbinātās personas vai autoratlīdzības saņēmēji, vai ir mikrouzņēmumu nodokļa maksātāji, un kuras dīkstāves periodā nav guvušas ienākumus no saimnieciskās darbības</w:t>
            </w:r>
            <w:r w:rsidRPr="007F6941" w:rsidR="00B278A0">
              <w:rPr>
                <w:sz w:val="28"/>
                <w:szCs w:val="28"/>
                <w:lang w:val="lv-LV"/>
              </w:rPr>
              <w:t>, izņemot ienākumus, kas saņemti no autortiesību un blakustiesību kolektīvā pārvaldījuma organizācijām, un autoru un izpildītāju saņemto autoratlīdzību</w:t>
            </w:r>
            <w:r w:rsidRPr="007F6941">
              <w:rPr>
                <w:sz w:val="28"/>
                <w:szCs w:val="28"/>
                <w:lang w:val="lv-LV"/>
              </w:rPr>
              <w:t>.</w:t>
            </w:r>
          </w:p>
        </w:tc>
      </w:tr>
      <w:tr w:rsidRPr="007F6941" w:rsidR="00A76C0A" w:rsidTr="00CD6FF6">
        <w:trPr>
          <w:trHeight w:val="510"/>
          <w:tblCellSpacing w:w="20" w:type="dxa"/>
        </w:trPr>
        <w:tc>
          <w:tcPr>
            <w:tcW w:w="451" w:type="dxa"/>
            <w:hideMark/>
          </w:tcPr>
          <w:p w:rsidRPr="007F6941" w:rsidR="009A00EB" w:rsidP="002C6557"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2.</w:t>
            </w:r>
          </w:p>
        </w:tc>
        <w:tc>
          <w:tcPr>
            <w:tcW w:w="3220" w:type="dxa"/>
            <w:hideMark/>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Tiesiskā regulējuma ietekme uz tautsaimniecību un administratīvo slogu</w:t>
            </w:r>
          </w:p>
        </w:tc>
        <w:tc>
          <w:tcPr>
            <w:tcW w:w="5468" w:type="dxa"/>
            <w:hideMark/>
          </w:tcPr>
          <w:p w:rsidRPr="007F6941" w:rsidR="009A00EB" w:rsidP="005F3196" w:rsidRDefault="007061B6">
            <w:pPr>
              <w:pStyle w:val="Pamatteksts"/>
              <w:ind w:right="201"/>
              <w:contextualSpacing/>
              <w:rPr>
                <w:rFonts w:eastAsia="Calibri"/>
                <w:szCs w:val="28"/>
                <w:lang w:eastAsia="en-US"/>
              </w:rPr>
            </w:pPr>
            <w:r w:rsidRPr="007F6941">
              <w:rPr>
                <w:rFonts w:eastAsia="Calibri"/>
                <w:szCs w:val="28"/>
                <w:lang w:eastAsia="en-US"/>
              </w:rPr>
              <w:t>Projekts šo jomu neskar</w:t>
            </w:r>
            <w:r w:rsidR="0091445D">
              <w:rPr>
                <w:rFonts w:eastAsia="Calibri"/>
                <w:szCs w:val="28"/>
                <w:lang w:eastAsia="en-US"/>
              </w:rPr>
              <w:t>.</w:t>
            </w:r>
          </w:p>
        </w:tc>
      </w:tr>
      <w:tr w:rsidRPr="007F6941" w:rsidR="00A76C0A" w:rsidTr="00CD6FF6">
        <w:trPr>
          <w:trHeight w:val="510"/>
          <w:tblCellSpacing w:w="20" w:type="dxa"/>
        </w:trPr>
        <w:tc>
          <w:tcPr>
            <w:tcW w:w="451" w:type="dxa"/>
            <w:hideMark/>
          </w:tcPr>
          <w:p w:rsidRPr="007F6941" w:rsidR="009A00EB" w:rsidP="002C6557"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3.</w:t>
            </w:r>
          </w:p>
        </w:tc>
        <w:tc>
          <w:tcPr>
            <w:tcW w:w="3220" w:type="dxa"/>
            <w:hideMark/>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Administratīvo izmaksu monetārs novērtējums</w:t>
            </w:r>
          </w:p>
        </w:tc>
        <w:tc>
          <w:tcPr>
            <w:tcW w:w="5468" w:type="dxa"/>
            <w:hideMark/>
          </w:tcPr>
          <w:p w:rsidRPr="007F6941" w:rsidR="009A00EB" w:rsidP="005F3196" w:rsidRDefault="009A00EB">
            <w:pPr>
              <w:pStyle w:val="Pamatteksts"/>
              <w:ind w:right="201"/>
              <w:contextualSpacing/>
              <w:rPr>
                <w:rFonts w:eastAsia="Calibri"/>
                <w:szCs w:val="28"/>
                <w:lang w:eastAsia="en-US"/>
              </w:rPr>
            </w:pPr>
            <w:r w:rsidRPr="007F6941">
              <w:rPr>
                <w:rFonts w:eastAsia="Calibri"/>
                <w:szCs w:val="28"/>
                <w:lang w:eastAsia="en-US"/>
              </w:rPr>
              <w:t>Projekts šo jomu neskar</w:t>
            </w:r>
            <w:r w:rsidR="0091445D">
              <w:rPr>
                <w:rFonts w:eastAsia="Calibri"/>
                <w:szCs w:val="28"/>
                <w:lang w:eastAsia="en-US"/>
              </w:rPr>
              <w:t>.</w:t>
            </w:r>
          </w:p>
        </w:tc>
      </w:tr>
      <w:tr w:rsidRPr="007F6941" w:rsidR="00A76C0A" w:rsidTr="00CD6FF6">
        <w:trPr>
          <w:trHeight w:val="510"/>
          <w:tblCellSpacing w:w="20" w:type="dxa"/>
        </w:trPr>
        <w:tc>
          <w:tcPr>
            <w:tcW w:w="451" w:type="dxa"/>
          </w:tcPr>
          <w:p w:rsidRPr="007F6941" w:rsidR="009A00EB" w:rsidP="002C6557"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4.</w:t>
            </w:r>
          </w:p>
        </w:tc>
        <w:tc>
          <w:tcPr>
            <w:tcW w:w="3220" w:type="dxa"/>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Atbilstības izmaksu monetārs novērtējums</w:t>
            </w:r>
          </w:p>
        </w:tc>
        <w:tc>
          <w:tcPr>
            <w:tcW w:w="5468" w:type="dxa"/>
          </w:tcPr>
          <w:p w:rsidRPr="007F6941" w:rsidR="009A00EB" w:rsidP="005F3196" w:rsidRDefault="009A00EB">
            <w:pPr>
              <w:pStyle w:val="Pamatteksts"/>
              <w:ind w:right="201"/>
              <w:contextualSpacing/>
              <w:rPr>
                <w:rFonts w:eastAsia="Calibri"/>
                <w:szCs w:val="28"/>
                <w:lang w:eastAsia="en-US"/>
              </w:rPr>
            </w:pPr>
            <w:r w:rsidRPr="007F6941">
              <w:rPr>
                <w:rFonts w:eastAsia="Calibri"/>
                <w:szCs w:val="28"/>
                <w:lang w:eastAsia="en-US"/>
              </w:rPr>
              <w:t>Projekts šo jomu neskar</w:t>
            </w:r>
            <w:r w:rsidR="0091445D">
              <w:rPr>
                <w:rFonts w:eastAsia="Calibri"/>
                <w:szCs w:val="28"/>
                <w:lang w:eastAsia="en-US"/>
              </w:rPr>
              <w:t>.</w:t>
            </w:r>
          </w:p>
        </w:tc>
      </w:tr>
      <w:tr w:rsidRPr="007F6941" w:rsidR="00A76C0A" w:rsidTr="00CD6FF6">
        <w:trPr>
          <w:trHeight w:val="345"/>
          <w:tblCellSpacing w:w="20" w:type="dxa"/>
        </w:trPr>
        <w:tc>
          <w:tcPr>
            <w:tcW w:w="451" w:type="dxa"/>
            <w:hideMark/>
          </w:tcPr>
          <w:p w:rsidRPr="007F6941" w:rsidR="009A00EB" w:rsidP="002C6557"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5.</w:t>
            </w:r>
          </w:p>
        </w:tc>
        <w:tc>
          <w:tcPr>
            <w:tcW w:w="3220" w:type="dxa"/>
            <w:hideMark/>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Cita informācija</w:t>
            </w:r>
          </w:p>
        </w:tc>
        <w:tc>
          <w:tcPr>
            <w:tcW w:w="5468" w:type="dxa"/>
            <w:hideMark/>
          </w:tcPr>
          <w:p w:rsidRPr="007F6941" w:rsidR="009A00EB" w:rsidP="005F3196" w:rsidRDefault="009A00EB">
            <w:pPr>
              <w:ind w:right="201"/>
              <w:contextualSpacing/>
              <w:jc w:val="both"/>
              <w:rPr>
                <w:sz w:val="28"/>
                <w:szCs w:val="28"/>
                <w:lang w:val="lv-LV"/>
              </w:rPr>
            </w:pPr>
            <w:r w:rsidRPr="007F6941">
              <w:rPr>
                <w:sz w:val="28"/>
                <w:szCs w:val="28"/>
                <w:lang w:val="lv-LV"/>
              </w:rPr>
              <w:t>Nav</w:t>
            </w:r>
          </w:p>
        </w:tc>
      </w:tr>
    </w:tbl>
    <w:p w:rsidR="00167E1C" w:rsidP="00167E1C" w:rsidRDefault="00167E1C">
      <w:pPr>
        <w:contextualSpacing/>
        <w:rPr>
          <w:rFonts w:eastAsia="Times New Roman"/>
          <w:sz w:val="28"/>
          <w:szCs w:val="28"/>
          <w:lang w:val="lv-LV" w:eastAsia="lv-LV"/>
        </w:rPr>
      </w:pPr>
    </w:p>
    <w:tbl>
      <w:tblPr>
        <w:tblW w:w="9289" w:type="dxa"/>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tblPr>
      <w:tblGrid>
        <w:gridCol w:w="1972"/>
        <w:gridCol w:w="969"/>
        <w:gridCol w:w="1079"/>
        <w:gridCol w:w="876"/>
        <w:gridCol w:w="1079"/>
        <w:gridCol w:w="876"/>
        <w:gridCol w:w="1079"/>
        <w:gridCol w:w="1359"/>
      </w:tblGrid>
      <w:tr w:rsidRPr="00887984" w:rsidR="0091445D" w:rsidTr="0091445D">
        <w:trPr>
          <w:tblCellSpacing w:w="15" w:type="dxa"/>
        </w:trPr>
        <w:tc>
          <w:tcPr>
            <w:tcW w:w="9229" w:type="dxa"/>
            <w:gridSpan w:val="8"/>
            <w:vAlign w:val="center"/>
          </w:tcPr>
          <w:p w:rsidRPr="002E7548" w:rsidR="0091445D" w:rsidP="0091445D" w:rsidRDefault="0091445D">
            <w:pPr>
              <w:contextualSpacing/>
              <w:jc w:val="center"/>
              <w:rPr>
                <w:rFonts w:eastAsia="Times New Roman"/>
                <w:b/>
                <w:bCs/>
                <w:iCs/>
                <w:sz w:val="28"/>
                <w:szCs w:val="28"/>
                <w:lang w:val="lv-LV" w:eastAsia="lv-LV"/>
              </w:rPr>
            </w:pPr>
            <w:r w:rsidRPr="002E7548">
              <w:rPr>
                <w:rFonts w:eastAsia="Times New Roman"/>
                <w:b/>
                <w:bCs/>
                <w:iCs/>
                <w:sz w:val="28"/>
                <w:szCs w:val="28"/>
                <w:lang w:val="lv-LV" w:eastAsia="lv-LV"/>
              </w:rPr>
              <w:t>III. Tiesību akta projekta ietekme uz valsts budžetu un pašvaldību budžetiem</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vMerge w:val="restart"/>
            <w:vAlign w:val="center"/>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Rādītāji</w:t>
            </w:r>
          </w:p>
        </w:tc>
        <w:tc>
          <w:tcPr>
            <w:tcW w:w="2018" w:type="dxa"/>
            <w:gridSpan w:val="2"/>
            <w:vMerge w:val="restart"/>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2020.gads</w:t>
            </w:r>
          </w:p>
        </w:tc>
        <w:tc>
          <w:tcPr>
            <w:tcW w:w="5224" w:type="dxa"/>
            <w:gridSpan w:val="5"/>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Turpmākie trīs gadi (</w:t>
            </w:r>
            <w:r w:rsidRPr="002E7548">
              <w:rPr>
                <w:rFonts w:eastAsia="Times New Roman"/>
                <w:i/>
                <w:iCs/>
                <w:sz w:val="28"/>
                <w:szCs w:val="28"/>
                <w:lang w:val="lv-LV" w:eastAsia="lv-LV"/>
              </w:rPr>
              <w:t>euro</w:t>
            </w:r>
            <w:r w:rsidRPr="002E7548">
              <w:rPr>
                <w:rFonts w:eastAsia="Times New Roman"/>
                <w:iCs/>
                <w:sz w:val="28"/>
                <w:szCs w:val="28"/>
                <w:lang w:val="lv-LV" w:eastAsia="lv-LV"/>
              </w:rPr>
              <w:t>)</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vMerge/>
            <w:vAlign w:val="center"/>
            <w:hideMark/>
          </w:tcPr>
          <w:p w:rsidRPr="002E7548" w:rsidR="0091445D" w:rsidP="0091445D" w:rsidRDefault="0091445D">
            <w:pPr>
              <w:tabs>
                <w:tab w:val="left" w:pos="1385"/>
              </w:tabs>
              <w:contextualSpacing/>
              <w:rPr>
                <w:rFonts w:eastAsia="Times New Roman"/>
                <w:iCs/>
                <w:sz w:val="28"/>
                <w:szCs w:val="28"/>
                <w:lang w:val="lv-LV" w:eastAsia="lv-LV"/>
              </w:rPr>
            </w:pPr>
          </w:p>
        </w:tc>
        <w:tc>
          <w:tcPr>
            <w:tcW w:w="2018" w:type="dxa"/>
            <w:gridSpan w:val="2"/>
            <w:vMerge/>
            <w:vAlign w:val="center"/>
            <w:hideMark/>
          </w:tcPr>
          <w:p w:rsidRPr="002E7548" w:rsidR="0091445D" w:rsidP="0091445D" w:rsidRDefault="0091445D">
            <w:pPr>
              <w:contextualSpacing/>
              <w:rPr>
                <w:rFonts w:eastAsia="Times New Roman"/>
                <w:iCs/>
                <w:sz w:val="28"/>
                <w:szCs w:val="28"/>
                <w:lang w:val="lv-LV" w:eastAsia="lv-LV"/>
              </w:rPr>
            </w:pPr>
          </w:p>
        </w:tc>
        <w:tc>
          <w:tcPr>
            <w:tcW w:w="1925" w:type="dxa"/>
            <w:gridSpan w:val="2"/>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2021.gads</w:t>
            </w:r>
          </w:p>
        </w:tc>
        <w:tc>
          <w:tcPr>
            <w:tcW w:w="1925" w:type="dxa"/>
            <w:gridSpan w:val="2"/>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2022.gads</w:t>
            </w:r>
          </w:p>
        </w:tc>
        <w:tc>
          <w:tcPr>
            <w:tcW w:w="1314" w:type="dxa"/>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2023.gads</w:t>
            </w:r>
          </w:p>
        </w:tc>
      </w:tr>
      <w:tr w:rsidRPr="00C41658" w:rsidR="0091445D" w:rsidTr="0091445D">
        <w:tblPrEx>
          <w:tblCellSpacing w:w="10" w:type="dxa"/>
          <w:tblCellMar>
            <w:top w:w="20" w:type="dxa"/>
            <w:left w:w="20" w:type="dxa"/>
            <w:bottom w:w="20" w:type="dxa"/>
            <w:right w:w="20" w:type="dxa"/>
          </w:tblCellMar>
        </w:tblPrEx>
        <w:trPr>
          <w:tblCellSpacing w:w="10" w:type="dxa"/>
        </w:trPr>
        <w:tc>
          <w:tcPr>
            <w:tcW w:w="1927" w:type="dxa"/>
            <w:vMerge/>
            <w:vAlign w:val="center"/>
            <w:hideMark/>
          </w:tcPr>
          <w:p w:rsidRPr="002E7548" w:rsidR="0091445D" w:rsidP="0091445D" w:rsidRDefault="0091445D">
            <w:pPr>
              <w:tabs>
                <w:tab w:val="left" w:pos="1385"/>
              </w:tabs>
              <w:contextualSpacing/>
              <w:rPr>
                <w:rFonts w:eastAsia="Times New Roman"/>
                <w:iCs/>
                <w:sz w:val="28"/>
                <w:szCs w:val="28"/>
                <w:lang w:val="lv-LV" w:eastAsia="lv-LV"/>
              </w:rPr>
            </w:pPr>
          </w:p>
        </w:tc>
        <w:tc>
          <w:tcPr>
            <w:tcW w:w="939"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valsts budžetu kārtējam gadam</w:t>
            </w:r>
          </w:p>
        </w:tc>
        <w:tc>
          <w:tcPr>
            <w:tcW w:w="1049"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kārtējā gadā, salīdzinot ar valsts budžetu kārtējam gadam</w:t>
            </w:r>
          </w:p>
        </w:tc>
        <w:tc>
          <w:tcPr>
            <w:tcW w:w="846"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vidēja termiņa budžeta ietvaru</w:t>
            </w:r>
          </w:p>
        </w:tc>
        <w:tc>
          <w:tcPr>
            <w:tcW w:w="1049"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2021. gadam</w:t>
            </w:r>
          </w:p>
        </w:tc>
        <w:tc>
          <w:tcPr>
            <w:tcW w:w="846"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vidēja termiņa budžeta ietvaru</w:t>
            </w:r>
          </w:p>
        </w:tc>
        <w:tc>
          <w:tcPr>
            <w:tcW w:w="1049"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2022. gadam</w:t>
            </w:r>
          </w:p>
        </w:tc>
        <w:tc>
          <w:tcPr>
            <w:tcW w:w="1314"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2022. gadam</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vAlign w:val="center"/>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w:t>
            </w:r>
          </w:p>
        </w:tc>
        <w:tc>
          <w:tcPr>
            <w:tcW w:w="939"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2</w:t>
            </w:r>
          </w:p>
        </w:tc>
        <w:tc>
          <w:tcPr>
            <w:tcW w:w="1049"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3</w:t>
            </w:r>
          </w:p>
        </w:tc>
        <w:tc>
          <w:tcPr>
            <w:tcW w:w="846"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4</w:t>
            </w:r>
          </w:p>
        </w:tc>
        <w:tc>
          <w:tcPr>
            <w:tcW w:w="1049"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5</w:t>
            </w:r>
          </w:p>
        </w:tc>
        <w:tc>
          <w:tcPr>
            <w:tcW w:w="846"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6</w:t>
            </w:r>
          </w:p>
        </w:tc>
        <w:tc>
          <w:tcPr>
            <w:tcW w:w="1049"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7</w:t>
            </w:r>
          </w:p>
        </w:tc>
        <w:tc>
          <w:tcPr>
            <w:tcW w:w="1314"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8</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 Budžeta ieņēmumi</w:t>
            </w:r>
          </w:p>
        </w:tc>
        <w:tc>
          <w:tcPr>
            <w:tcW w:w="93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1.1. valsts pamatbudžets, tai skaitā ieņēmumi no maksas pakalpojumiem un citi pašu ieņēmumi</w:t>
            </w:r>
          </w:p>
        </w:tc>
        <w:tc>
          <w:tcPr>
            <w:tcW w:w="93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1.2. valsts speciālais budžets</w:t>
            </w:r>
          </w:p>
        </w:tc>
        <w:tc>
          <w:tcPr>
            <w:tcW w:w="93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1.3. pašvaldību budžets</w:t>
            </w:r>
          </w:p>
        </w:tc>
        <w:tc>
          <w:tcPr>
            <w:tcW w:w="93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 Budžeta izdevumi</w:t>
            </w:r>
          </w:p>
        </w:tc>
        <w:tc>
          <w:tcPr>
            <w:tcW w:w="93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Times New Roman"/>
                <w:iCs/>
                <w:sz w:val="28"/>
                <w:szCs w:val="28"/>
                <w:lang w:val="lv-LV" w:eastAsia="lv-LV"/>
              </w:rPr>
              <w:t>35 309 400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Times New Roman"/>
                <w:sz w:val="28"/>
                <w:szCs w:val="28"/>
                <w:lang w:val="lv-LV" w:eastAsia="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2.1. valsts pamatbudžets</w:t>
            </w:r>
          </w:p>
        </w:tc>
        <w:tc>
          <w:tcPr>
            <w:tcW w:w="93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Times New Roman"/>
                <w:iCs/>
                <w:sz w:val="28"/>
                <w:szCs w:val="28"/>
                <w:lang w:val="lv-LV" w:eastAsia="lv-LV"/>
              </w:rPr>
              <w:t>35 309 400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Times New Roman"/>
                <w:sz w:val="28"/>
                <w:szCs w:val="28"/>
                <w:lang w:val="lv-LV" w:eastAsia="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2.2. valsts speciālais budžets</w:t>
            </w:r>
          </w:p>
        </w:tc>
        <w:tc>
          <w:tcPr>
            <w:tcW w:w="939"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2.3. pašvaldību budžets</w:t>
            </w:r>
          </w:p>
        </w:tc>
        <w:tc>
          <w:tcPr>
            <w:tcW w:w="939"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 Finansiālā ietekme</w:t>
            </w:r>
          </w:p>
        </w:tc>
        <w:tc>
          <w:tcPr>
            <w:tcW w:w="939"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w:t>
            </w:r>
            <w:r w:rsidRPr="007F6941">
              <w:rPr>
                <w:rFonts w:eastAsia="Times New Roman"/>
                <w:iCs/>
                <w:sz w:val="28"/>
                <w:szCs w:val="28"/>
                <w:lang w:val="lv-LV" w:eastAsia="lv-LV"/>
              </w:rPr>
              <w:t>35 309 400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Times New Roman"/>
                <w:sz w:val="28"/>
                <w:szCs w:val="28"/>
                <w:lang w:val="lv-LV" w:eastAsia="lv-LV"/>
              </w:rPr>
              <w:t>0</w:t>
            </w:r>
          </w:p>
        </w:tc>
        <w:tc>
          <w:tcPr>
            <w:tcW w:w="846"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3.1. valsts pamatbudžets</w:t>
            </w:r>
          </w:p>
        </w:tc>
        <w:tc>
          <w:tcPr>
            <w:tcW w:w="939"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w:t>
            </w:r>
            <w:r w:rsidRPr="007F6941">
              <w:rPr>
                <w:rFonts w:eastAsia="Times New Roman"/>
                <w:iCs/>
                <w:sz w:val="28"/>
                <w:szCs w:val="28"/>
                <w:lang w:val="lv-LV" w:eastAsia="lv-LV"/>
              </w:rPr>
              <w:t>35 309 400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Times New Roman"/>
                <w:sz w:val="28"/>
                <w:szCs w:val="28"/>
                <w:lang w:val="lv-LV" w:eastAsia="lv-LV"/>
              </w:rPr>
              <w:t>0</w:t>
            </w:r>
          </w:p>
        </w:tc>
        <w:tc>
          <w:tcPr>
            <w:tcW w:w="846"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3.2. speciālais budžets</w:t>
            </w:r>
          </w:p>
        </w:tc>
        <w:tc>
          <w:tcPr>
            <w:tcW w:w="93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3.3. pašvaldību budžets</w:t>
            </w:r>
          </w:p>
        </w:tc>
        <w:tc>
          <w:tcPr>
            <w:tcW w:w="93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4. Finanšu līdzekļi papildu izdevumu finansēšanai (kompensējošu izdevumu samazinājumu norāda ar "+" zīmi)</w:t>
            </w:r>
          </w:p>
        </w:tc>
        <w:tc>
          <w:tcPr>
            <w:tcW w:w="93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X</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X</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X</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X</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5. Precizēta finansiālā ietekme</w:t>
            </w:r>
          </w:p>
        </w:tc>
        <w:tc>
          <w:tcPr>
            <w:tcW w:w="939"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w:t>
            </w:r>
            <w:r w:rsidRPr="007F6941">
              <w:rPr>
                <w:rFonts w:eastAsia="Times New Roman"/>
                <w:iCs/>
                <w:sz w:val="28"/>
                <w:szCs w:val="28"/>
                <w:lang w:val="lv-LV" w:eastAsia="lv-LV"/>
              </w:rPr>
              <w:t>35 309 400</w:t>
            </w:r>
          </w:p>
          <w:p w:rsidRPr="002E7548" w:rsidR="0091445D" w:rsidP="0091445D" w:rsidRDefault="0091445D">
            <w:pPr>
              <w:contextualSpacing/>
              <w:rPr>
                <w:rFonts w:eastAsia="Times New Roman"/>
                <w:iCs/>
                <w:sz w:val="26"/>
                <w:szCs w:val="26"/>
                <w:lang w:val="lv-LV" w:eastAsia="lv-LV"/>
              </w:rPr>
            </w:pPr>
          </w:p>
        </w:tc>
        <w:tc>
          <w:tcPr>
            <w:tcW w:w="1049" w:type="dxa"/>
            <w:vAlign w:val="center"/>
            <w:hideMark/>
          </w:tcPr>
          <w:p w:rsidRPr="002E7548" w:rsidR="0091445D" w:rsidP="0091445D" w:rsidRDefault="0091445D">
            <w:pPr>
              <w:contextualSpacing/>
              <w:rPr>
                <w:rFonts w:eastAsia="Times New Roman"/>
                <w:iCs/>
                <w:sz w:val="26"/>
                <w:szCs w:val="26"/>
                <w:lang w:val="lv-LV" w:eastAsia="lv-LV"/>
              </w:rPr>
            </w:pPr>
            <w:r w:rsidRPr="007F6941">
              <w:rPr>
                <w:rFonts w:eastAsia="Times New Roman"/>
                <w:sz w:val="28"/>
                <w:szCs w:val="28"/>
                <w:lang w:val="lv-LV" w:eastAsia="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X</w:t>
            </w:r>
          </w:p>
          <w:p w:rsidRPr="002E7548" w:rsidR="0091445D" w:rsidP="0091445D" w:rsidRDefault="0091445D">
            <w:pPr>
              <w:contextualSpacing/>
              <w:rPr>
                <w:rFonts w:eastAsia="Times New Roman"/>
                <w:iCs/>
                <w:sz w:val="26"/>
                <w:szCs w:val="26"/>
                <w:lang w:val="lv-LV" w:eastAsia="lv-LV"/>
              </w:rPr>
            </w:pP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X</w:t>
            </w:r>
          </w:p>
          <w:p w:rsidRPr="002E7548" w:rsidR="0091445D" w:rsidP="0091445D" w:rsidRDefault="0091445D">
            <w:pPr>
              <w:contextualSpacing/>
              <w:rPr>
                <w:rFonts w:eastAsia="Times New Roman"/>
                <w:iCs/>
                <w:sz w:val="26"/>
                <w:szCs w:val="26"/>
                <w:lang w:val="lv-LV" w:eastAsia="lv-LV"/>
              </w:rPr>
            </w:pP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X</w:t>
            </w:r>
          </w:p>
        </w:tc>
      </w:tr>
      <w:tr w:rsidRPr="00887984"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6. Detalizēts ieņēmumu un izdevumu aprēķins (ja nepieciešams, detalizētu ieņēmumu un izdevumu aprēķinu var pievienot anotācijas pielikumā)</w:t>
            </w:r>
          </w:p>
        </w:tc>
        <w:tc>
          <w:tcPr>
            <w:tcW w:w="7272" w:type="dxa"/>
            <w:gridSpan w:val="7"/>
            <w:vMerge w:val="restart"/>
          </w:tcPr>
          <w:p w:rsidRPr="0091445D" w:rsidR="0091445D" w:rsidP="0091445D" w:rsidRDefault="0091445D">
            <w:pPr>
              <w:ind w:firstLine="567"/>
              <w:contextualSpacing/>
              <w:jc w:val="both"/>
              <w:rPr>
                <w:rFonts w:eastAsia="Times New Roman"/>
                <w:iCs/>
                <w:sz w:val="28"/>
                <w:szCs w:val="28"/>
                <w:lang w:val="lv-LV" w:eastAsia="lv-LV"/>
              </w:rPr>
            </w:pPr>
            <w:r w:rsidRPr="0091445D">
              <w:rPr>
                <w:rFonts w:eastAsia="Times New Roman"/>
                <w:iCs/>
                <w:sz w:val="28"/>
                <w:szCs w:val="28"/>
                <w:lang w:val="lv-LV" w:eastAsia="lv-LV"/>
              </w:rPr>
              <w:t>Atbilstoši Valsts ieņēmumu dienesta datiem nozarēs, kuras vissmagāk skārusi krīze, darbojas 12 221 pašnodarbinātās personas. Pieņemot, ka dīkstāves pabalstu pieprasīs visas šīs pašnodarbinātās personas maksimālajā pabalsta apjomā 700 </w:t>
            </w:r>
            <w:r w:rsidRPr="00263C15" w:rsidR="00263C15">
              <w:rPr>
                <w:rFonts w:eastAsia="Times New Roman"/>
                <w:i/>
                <w:iCs/>
                <w:sz w:val="28"/>
                <w:szCs w:val="28"/>
                <w:lang w:val="lv-LV" w:eastAsia="lv-LV"/>
              </w:rPr>
              <w:t>euro</w:t>
            </w:r>
            <w:r w:rsidRPr="0091445D">
              <w:rPr>
                <w:rFonts w:eastAsia="Times New Roman"/>
                <w:iCs/>
                <w:sz w:val="28"/>
                <w:szCs w:val="28"/>
                <w:lang w:val="lv-LV" w:eastAsia="lv-LV"/>
              </w:rPr>
              <w:t xml:space="preserve">, kopumā minētās izmaksas mēnesī veidos – 12 221 personas x 700 </w:t>
            </w:r>
            <w:r w:rsidRPr="00CD6FF6">
              <w:rPr>
                <w:rFonts w:eastAsia="Times New Roman"/>
                <w:i/>
                <w:iCs/>
                <w:sz w:val="28"/>
                <w:szCs w:val="28"/>
                <w:lang w:val="lv-LV" w:eastAsia="lv-LV"/>
              </w:rPr>
              <w:t>euro</w:t>
            </w:r>
            <w:r w:rsidRPr="0091445D">
              <w:rPr>
                <w:rFonts w:eastAsia="Times New Roman"/>
                <w:iCs/>
                <w:sz w:val="28"/>
                <w:szCs w:val="28"/>
                <w:lang w:val="lv-LV" w:eastAsia="lv-LV"/>
              </w:rPr>
              <w:t xml:space="preserve"> = 8 554 700 </w:t>
            </w:r>
            <w:r w:rsidRPr="00263C15" w:rsidR="00263C15">
              <w:rPr>
                <w:rFonts w:eastAsia="Times New Roman"/>
                <w:i/>
                <w:iCs/>
                <w:sz w:val="28"/>
                <w:szCs w:val="28"/>
                <w:lang w:val="lv-LV" w:eastAsia="lv-LV"/>
              </w:rPr>
              <w:t>euro</w:t>
            </w:r>
            <w:r w:rsidRPr="0091445D">
              <w:rPr>
                <w:rFonts w:eastAsia="Times New Roman"/>
                <w:iCs/>
                <w:sz w:val="28"/>
                <w:szCs w:val="28"/>
                <w:lang w:val="lv-LV" w:eastAsia="lv-LV"/>
              </w:rPr>
              <w:t xml:space="preserve">. Ja atbalsts tiks sniegts uz maksimālo termiņu, diviem mēnešiem, kopējie izdevumi sastāda 17 109 400 </w:t>
            </w:r>
            <w:r w:rsidRPr="00263C15" w:rsidR="00263C15">
              <w:rPr>
                <w:rFonts w:eastAsia="Times New Roman"/>
                <w:i/>
                <w:iCs/>
                <w:sz w:val="28"/>
                <w:szCs w:val="28"/>
                <w:lang w:val="lv-LV" w:eastAsia="lv-LV"/>
              </w:rPr>
              <w:t>euro</w:t>
            </w:r>
            <w:r w:rsidRPr="0091445D">
              <w:rPr>
                <w:rFonts w:eastAsia="Times New Roman"/>
                <w:iCs/>
                <w:sz w:val="28"/>
                <w:szCs w:val="28"/>
                <w:lang w:val="lv-LV" w:eastAsia="lv-LV"/>
              </w:rPr>
              <w:t>, kas tiks segti kā dotācija no vispārējiem ieņēmumiem.</w:t>
            </w:r>
          </w:p>
          <w:p w:rsidRPr="0091445D" w:rsidR="0091445D" w:rsidP="0091445D" w:rsidRDefault="0091445D">
            <w:pPr>
              <w:ind w:firstLine="567"/>
              <w:contextualSpacing/>
              <w:jc w:val="both"/>
              <w:rPr>
                <w:rFonts w:eastAsia="Times New Roman"/>
                <w:iCs/>
                <w:sz w:val="28"/>
                <w:szCs w:val="28"/>
                <w:lang w:val="lv-LV" w:eastAsia="lv-LV"/>
              </w:rPr>
            </w:pPr>
            <w:r w:rsidRPr="0091445D">
              <w:rPr>
                <w:rFonts w:eastAsia="Times New Roman"/>
                <w:iCs/>
                <w:sz w:val="28"/>
                <w:szCs w:val="28"/>
                <w:lang w:val="lv-LV" w:eastAsia="lv-LV"/>
              </w:rPr>
              <w:t xml:space="preserve">Saskaņā ar Valsts ieņēmumu dienesta sniegto informāciju mikrouzņēmumu nodokļa maksātāji krīzes skartajās nozarēs ir 13 000 personas. Pieņemot, ka dīkstāves pabalstu pieprasīs visas šīs personas maksimālajā pabalsta apjomā 700 </w:t>
            </w:r>
            <w:r w:rsidRPr="00263C15" w:rsidR="00263C15">
              <w:rPr>
                <w:rFonts w:eastAsia="Times New Roman"/>
                <w:i/>
                <w:iCs/>
                <w:sz w:val="28"/>
                <w:szCs w:val="28"/>
                <w:lang w:val="lv-LV" w:eastAsia="lv-LV"/>
              </w:rPr>
              <w:t>euro</w:t>
            </w:r>
            <w:r w:rsidRPr="0091445D">
              <w:rPr>
                <w:rFonts w:eastAsia="Times New Roman"/>
                <w:iCs/>
                <w:sz w:val="28"/>
                <w:szCs w:val="28"/>
                <w:lang w:val="lv-LV" w:eastAsia="lv-LV"/>
              </w:rPr>
              <w:t xml:space="preserve">, kopumā minētās izmaksas mēnesī veidos – 13 000 personas x 700 </w:t>
            </w:r>
            <w:r w:rsidRPr="00263C15" w:rsidR="00263C15">
              <w:rPr>
                <w:rFonts w:eastAsia="Times New Roman"/>
                <w:i/>
                <w:iCs/>
                <w:sz w:val="28"/>
                <w:szCs w:val="28"/>
                <w:lang w:val="lv-LV" w:eastAsia="lv-LV"/>
              </w:rPr>
              <w:t>euro</w:t>
            </w:r>
            <w:r w:rsidRPr="0091445D">
              <w:rPr>
                <w:rFonts w:eastAsia="Times New Roman"/>
                <w:iCs/>
                <w:sz w:val="28"/>
                <w:szCs w:val="28"/>
                <w:lang w:val="lv-LV" w:eastAsia="lv-LV"/>
              </w:rPr>
              <w:t xml:space="preserve"> = 9 100 000 </w:t>
            </w:r>
            <w:r w:rsidRPr="00263C15" w:rsidR="00263C15">
              <w:rPr>
                <w:rFonts w:eastAsia="Times New Roman"/>
                <w:i/>
                <w:iCs/>
                <w:sz w:val="28"/>
                <w:szCs w:val="28"/>
                <w:lang w:val="lv-LV" w:eastAsia="lv-LV"/>
              </w:rPr>
              <w:t>euro</w:t>
            </w:r>
            <w:r w:rsidRPr="0091445D">
              <w:rPr>
                <w:rFonts w:eastAsia="Times New Roman"/>
                <w:iCs/>
                <w:sz w:val="28"/>
                <w:szCs w:val="28"/>
                <w:lang w:val="lv-LV" w:eastAsia="lv-LV"/>
              </w:rPr>
              <w:t xml:space="preserve">. Ja atbalsts tiks sniegts uz maksimālo termiņu, diviem mēnešiem, kopējie izdevumi sastāda 18 200 000 </w:t>
            </w:r>
            <w:r w:rsidRPr="00263C15" w:rsidR="00263C15">
              <w:rPr>
                <w:rFonts w:eastAsia="Times New Roman"/>
                <w:i/>
                <w:iCs/>
                <w:sz w:val="28"/>
                <w:szCs w:val="28"/>
                <w:lang w:val="lv-LV" w:eastAsia="lv-LV"/>
              </w:rPr>
              <w:t>euro</w:t>
            </w:r>
            <w:r w:rsidRPr="0091445D">
              <w:rPr>
                <w:rFonts w:eastAsia="Times New Roman"/>
                <w:iCs/>
                <w:sz w:val="28"/>
                <w:szCs w:val="28"/>
                <w:lang w:val="lv-LV" w:eastAsia="lv-LV"/>
              </w:rPr>
              <w:t>, kas tiks segti kā dotācija no vispārējiem ieņēmumiem.</w:t>
            </w:r>
          </w:p>
          <w:p w:rsidRPr="0091445D" w:rsidR="0091445D" w:rsidP="0091445D" w:rsidRDefault="0091445D">
            <w:pPr>
              <w:ind w:firstLine="567"/>
              <w:contextualSpacing/>
              <w:jc w:val="both"/>
              <w:rPr>
                <w:rFonts w:eastAsia="Times New Roman"/>
                <w:iCs/>
                <w:sz w:val="28"/>
                <w:szCs w:val="28"/>
                <w:lang w:val="lv-LV" w:eastAsia="lv-LV"/>
              </w:rPr>
            </w:pPr>
            <w:r w:rsidRPr="0091445D">
              <w:rPr>
                <w:rFonts w:eastAsia="Times New Roman"/>
                <w:iCs/>
                <w:sz w:val="28"/>
                <w:szCs w:val="28"/>
                <w:lang w:val="lv-LV" w:eastAsia="lv-LV"/>
              </w:rPr>
              <w:t>Līdz ar to kopējā MK noteikumos Nr.</w:t>
            </w:r>
            <w:r w:rsidRPr="00970443" w:rsidR="00970443">
              <w:rPr>
                <w:rFonts w:eastAsia="Times New Roman"/>
                <w:iCs/>
                <w:sz w:val="28"/>
                <w:szCs w:val="28"/>
                <w:lang w:val="lv-LV" w:eastAsia="lv-LV"/>
              </w:rPr>
              <w:t>179</w:t>
            </w:r>
            <w:r w:rsidRPr="0091445D">
              <w:rPr>
                <w:rFonts w:eastAsia="Times New Roman"/>
                <w:iCs/>
                <w:sz w:val="28"/>
                <w:szCs w:val="28"/>
                <w:lang w:val="lv-LV" w:eastAsia="lv-LV"/>
              </w:rPr>
              <w:t xml:space="preserve"> noteiktā regulējuma izpilde līdz 2020.gada 14.maijam sastāda 35 309 400 </w:t>
            </w:r>
            <w:r w:rsidRPr="00263C15" w:rsidR="00263C15">
              <w:rPr>
                <w:rFonts w:eastAsia="Times New Roman"/>
                <w:i/>
                <w:iCs/>
                <w:sz w:val="28"/>
                <w:szCs w:val="28"/>
                <w:lang w:val="lv-LV" w:eastAsia="lv-LV"/>
              </w:rPr>
              <w:t>euro</w:t>
            </w:r>
            <w:r w:rsidRPr="0091445D">
              <w:rPr>
                <w:rFonts w:eastAsia="Times New Roman"/>
                <w:iCs/>
                <w:sz w:val="28"/>
                <w:szCs w:val="28"/>
                <w:lang w:val="lv-LV" w:eastAsia="lv-LV"/>
              </w:rPr>
              <w:t>.</w:t>
            </w:r>
          </w:p>
          <w:p w:rsidRPr="002E7548" w:rsidR="0091445D" w:rsidP="008958DE" w:rsidRDefault="00AD488C">
            <w:pPr>
              <w:ind w:firstLine="567"/>
              <w:contextualSpacing/>
              <w:jc w:val="both"/>
              <w:rPr>
                <w:rFonts w:eastAsia="Times New Roman"/>
                <w:iCs/>
                <w:sz w:val="28"/>
                <w:szCs w:val="28"/>
                <w:lang w:val="lv-LV" w:eastAsia="lv-LV"/>
              </w:rPr>
            </w:pPr>
            <w:r>
              <w:rPr>
                <w:rFonts w:eastAsia="Times New Roman"/>
                <w:iCs/>
                <w:sz w:val="28"/>
                <w:szCs w:val="28"/>
                <w:lang w:val="lv-LV" w:eastAsia="lv-LV"/>
              </w:rPr>
              <w:t>V</w:t>
            </w:r>
            <w:r w:rsidRPr="0091445D" w:rsidR="0091445D">
              <w:rPr>
                <w:rFonts w:eastAsia="Times New Roman"/>
                <w:iCs/>
                <w:sz w:val="28"/>
                <w:szCs w:val="28"/>
                <w:lang w:val="lv-LV" w:eastAsia="lv-LV"/>
              </w:rPr>
              <w:t xml:space="preserve">eicot </w:t>
            </w:r>
            <w:r>
              <w:rPr>
                <w:rFonts w:eastAsia="Times New Roman"/>
                <w:iCs/>
                <w:sz w:val="28"/>
                <w:szCs w:val="28"/>
                <w:lang w:val="lv-LV" w:eastAsia="lv-LV"/>
              </w:rPr>
              <w:t xml:space="preserve">izdevumu </w:t>
            </w:r>
            <w:r w:rsidRPr="0091445D" w:rsidR="0091445D">
              <w:rPr>
                <w:rFonts w:eastAsia="Times New Roman"/>
                <w:iCs/>
                <w:sz w:val="28"/>
                <w:szCs w:val="28"/>
                <w:lang w:val="lv-LV" w:eastAsia="lv-LV"/>
              </w:rPr>
              <w:t>aprēķinus</w:t>
            </w:r>
            <w:r>
              <w:rPr>
                <w:rFonts w:eastAsia="Times New Roman"/>
                <w:iCs/>
                <w:sz w:val="28"/>
                <w:szCs w:val="28"/>
                <w:lang w:val="lv-LV" w:eastAsia="lv-LV"/>
              </w:rPr>
              <w:t xml:space="preserve"> par MK noteikumu Nr.179 fiskālo ietekmi</w:t>
            </w:r>
            <w:r w:rsidRPr="0091445D" w:rsidR="0091445D">
              <w:rPr>
                <w:rFonts w:eastAsia="Times New Roman"/>
                <w:iCs/>
                <w:sz w:val="28"/>
                <w:szCs w:val="28"/>
                <w:lang w:val="lv-LV" w:eastAsia="lv-LV"/>
              </w:rPr>
              <w:t xml:space="preserve">, </w:t>
            </w:r>
            <w:r>
              <w:rPr>
                <w:rFonts w:eastAsia="Times New Roman"/>
                <w:iCs/>
                <w:sz w:val="28"/>
                <w:szCs w:val="28"/>
                <w:lang w:val="lv-LV" w:eastAsia="lv-LV"/>
              </w:rPr>
              <w:t xml:space="preserve">tie tika balstīti uz pieņēmumu, ka dīkstāves pabalstam pieteiksies 12 221 pašnodarbinātā persona un 13 000 mikrouzņēmumu </w:t>
            </w:r>
            <w:r w:rsidR="008958DE">
              <w:rPr>
                <w:rFonts w:eastAsia="Times New Roman"/>
                <w:iCs/>
                <w:sz w:val="28"/>
                <w:szCs w:val="28"/>
                <w:lang w:val="lv-LV" w:eastAsia="lv-LV"/>
              </w:rPr>
              <w:t>nodokļu maksātāji. Šajā aprēķinā</w:t>
            </w:r>
            <w:r>
              <w:rPr>
                <w:rFonts w:eastAsia="Times New Roman"/>
                <w:iCs/>
                <w:sz w:val="28"/>
                <w:szCs w:val="28"/>
                <w:lang w:val="lv-LV" w:eastAsia="lv-LV"/>
              </w:rPr>
              <w:t xml:space="preserve"> tika iekļautas arī tās personas, kas saņem autoratlīdzības maksājumus no autortiesību un blakustiesību kolektīvā pārvaldījuma organizācijām – 4</w:t>
            </w:r>
            <w:r w:rsidR="008958DE">
              <w:rPr>
                <w:rFonts w:eastAsia="Times New Roman"/>
                <w:iCs/>
                <w:sz w:val="28"/>
                <w:szCs w:val="28"/>
                <w:lang w:val="lv-LV" w:eastAsia="lv-LV"/>
              </w:rPr>
              <w:t> </w:t>
            </w:r>
            <w:r>
              <w:rPr>
                <w:rFonts w:eastAsia="Times New Roman"/>
                <w:iCs/>
                <w:sz w:val="28"/>
                <w:szCs w:val="28"/>
                <w:lang w:val="lv-LV" w:eastAsia="lv-LV"/>
              </w:rPr>
              <w:t>343 autortiesību īpašnieki un 4</w:t>
            </w:r>
            <w:r w:rsidR="008958DE">
              <w:rPr>
                <w:rFonts w:eastAsia="Times New Roman"/>
                <w:iCs/>
                <w:sz w:val="28"/>
                <w:szCs w:val="28"/>
                <w:lang w:val="lv-LV" w:eastAsia="lv-LV"/>
              </w:rPr>
              <w:t> </w:t>
            </w:r>
            <w:r>
              <w:rPr>
                <w:rFonts w:eastAsia="Times New Roman"/>
                <w:iCs/>
                <w:sz w:val="28"/>
                <w:szCs w:val="28"/>
                <w:lang w:val="lv-LV" w:eastAsia="lv-LV"/>
              </w:rPr>
              <w:t>436 blakustiesību īpašnieki – pieņemot, ka dīkstāves laikā tiem netiks izmaksātas autoratlīdzības no kolektīvā pārvaldījuma organizācijām un citiem tie</w:t>
            </w:r>
            <w:r w:rsidR="0093550F">
              <w:rPr>
                <w:rFonts w:eastAsia="Times New Roman"/>
                <w:iCs/>
                <w:sz w:val="28"/>
                <w:szCs w:val="28"/>
                <w:lang w:val="lv-LV" w:eastAsia="lv-LV"/>
              </w:rPr>
              <w:t>sību izmantotājiem. Līdz ar to g</w:t>
            </w:r>
            <w:r>
              <w:rPr>
                <w:rFonts w:eastAsia="Times New Roman"/>
                <w:iCs/>
                <w:sz w:val="28"/>
                <w:szCs w:val="28"/>
                <w:lang w:val="lv-LV" w:eastAsia="lv-LV"/>
              </w:rPr>
              <w:t xml:space="preserve">rozījumi MK noteikumos </w:t>
            </w:r>
            <w:r w:rsidRPr="0091445D" w:rsidR="00E25DB8">
              <w:rPr>
                <w:rFonts w:eastAsia="Times New Roman"/>
                <w:iCs/>
                <w:sz w:val="28"/>
                <w:szCs w:val="28"/>
                <w:lang w:val="lv-LV" w:eastAsia="lv-LV"/>
              </w:rPr>
              <w:t>Nr.</w:t>
            </w:r>
            <w:r w:rsidRPr="00970443" w:rsidR="00970443">
              <w:rPr>
                <w:rFonts w:eastAsia="Times New Roman"/>
                <w:iCs/>
                <w:sz w:val="28"/>
                <w:szCs w:val="28"/>
                <w:lang w:val="lv-LV" w:eastAsia="lv-LV"/>
              </w:rPr>
              <w:t>179</w:t>
            </w:r>
            <w:r w:rsidRPr="0091445D" w:rsidR="00E25DB8">
              <w:rPr>
                <w:rFonts w:eastAsia="Times New Roman"/>
                <w:iCs/>
                <w:sz w:val="28"/>
                <w:szCs w:val="28"/>
                <w:lang w:val="lv-LV" w:eastAsia="lv-LV"/>
              </w:rPr>
              <w:t xml:space="preserve"> </w:t>
            </w:r>
            <w:r w:rsidRPr="00AD488C">
              <w:rPr>
                <w:rFonts w:eastAsia="Times New Roman"/>
                <w:iCs/>
                <w:sz w:val="28"/>
                <w:szCs w:val="28"/>
                <w:lang w:val="lv-LV" w:eastAsia="lv-LV"/>
              </w:rPr>
              <w:t xml:space="preserve">nepaplašina dīkstāves pabalsta saņēmēju loku, </w:t>
            </w:r>
            <w:r w:rsidR="0093550F">
              <w:rPr>
                <w:rFonts w:eastAsia="Times New Roman"/>
                <w:iCs/>
                <w:sz w:val="28"/>
                <w:szCs w:val="28"/>
                <w:lang w:val="lv-LV" w:eastAsia="lv-LV"/>
              </w:rPr>
              <w:t xml:space="preserve">un </w:t>
            </w:r>
            <w:r w:rsidRPr="0091445D" w:rsidR="0091445D">
              <w:rPr>
                <w:rFonts w:eastAsia="Times New Roman"/>
                <w:iCs/>
                <w:sz w:val="28"/>
                <w:szCs w:val="28"/>
                <w:lang w:val="lv-LV" w:eastAsia="lv-LV"/>
              </w:rPr>
              <w:t xml:space="preserve">līdz ar to regulējuma izpildei nepieciešamais finansējuma apjoms pēc </w:t>
            </w:r>
            <w:r w:rsidR="00E25DB8">
              <w:rPr>
                <w:rFonts w:eastAsia="Times New Roman"/>
                <w:iCs/>
                <w:sz w:val="28"/>
                <w:szCs w:val="28"/>
                <w:lang w:val="lv-LV" w:eastAsia="lv-LV"/>
              </w:rPr>
              <w:t>Projekta pieņemšanas</w:t>
            </w:r>
            <w:r w:rsidRPr="0091445D" w:rsidR="0091445D">
              <w:rPr>
                <w:rFonts w:eastAsia="Times New Roman"/>
                <w:iCs/>
                <w:sz w:val="28"/>
                <w:szCs w:val="28"/>
                <w:lang w:val="lv-LV" w:eastAsia="lv-LV"/>
              </w:rPr>
              <w:t xml:space="preserve"> paliek nemainīgs. </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6.1. detalizēts ieņēmumu aprēķins</w:t>
            </w:r>
          </w:p>
        </w:tc>
        <w:tc>
          <w:tcPr>
            <w:tcW w:w="7272" w:type="dxa"/>
            <w:gridSpan w:val="7"/>
            <w:vMerge/>
            <w:vAlign w:val="center"/>
            <w:hideMark/>
          </w:tcPr>
          <w:p w:rsidRPr="002E7548" w:rsidR="0091445D" w:rsidP="0091445D" w:rsidRDefault="0091445D">
            <w:pPr>
              <w:contextualSpacing/>
              <w:rPr>
                <w:rFonts w:eastAsia="Times New Roman"/>
                <w:iCs/>
                <w:sz w:val="28"/>
                <w:szCs w:val="28"/>
                <w:lang w:val="lv-LV" w:eastAsia="lv-LV"/>
              </w:rPr>
            </w:pP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6.2. detalizēts izdevumu aprēķins</w:t>
            </w:r>
          </w:p>
        </w:tc>
        <w:tc>
          <w:tcPr>
            <w:tcW w:w="7272" w:type="dxa"/>
            <w:gridSpan w:val="7"/>
            <w:vMerge/>
            <w:vAlign w:val="center"/>
            <w:hideMark/>
          </w:tcPr>
          <w:p w:rsidRPr="002E7548" w:rsidR="0091445D" w:rsidP="0091445D" w:rsidRDefault="0091445D">
            <w:pPr>
              <w:contextualSpacing/>
              <w:rPr>
                <w:rFonts w:eastAsia="Times New Roman"/>
                <w:iCs/>
                <w:sz w:val="28"/>
                <w:szCs w:val="28"/>
                <w:lang w:val="lv-LV" w:eastAsia="lv-LV"/>
              </w:rPr>
            </w:pP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7. Amata vietu skaita izmaiņas</w:t>
            </w:r>
          </w:p>
        </w:tc>
        <w:tc>
          <w:tcPr>
            <w:tcW w:w="7272" w:type="dxa"/>
            <w:gridSpan w:val="7"/>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Projekts šo jomu neskar.</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contextualSpacing/>
              <w:rPr>
                <w:rFonts w:eastAsia="Times New Roman"/>
                <w:sz w:val="28"/>
                <w:szCs w:val="28"/>
                <w:lang w:val="lv-LV" w:eastAsia="lv-LV"/>
              </w:rPr>
            </w:pPr>
            <w:r w:rsidRPr="002E7548">
              <w:rPr>
                <w:rFonts w:eastAsia="Times New Roman"/>
                <w:iCs/>
                <w:sz w:val="28"/>
                <w:szCs w:val="28"/>
                <w:lang w:val="lv-LV" w:eastAsia="lv-LV"/>
              </w:rPr>
              <w:t>8. Cita informācija</w:t>
            </w:r>
          </w:p>
        </w:tc>
        <w:tc>
          <w:tcPr>
            <w:tcW w:w="7272" w:type="dxa"/>
            <w:gridSpan w:val="7"/>
            <w:hideMark/>
          </w:tcPr>
          <w:p w:rsidRPr="002E7548" w:rsidR="0091445D" w:rsidP="0091445D" w:rsidRDefault="0091445D">
            <w:pPr>
              <w:contextualSpacing/>
              <w:rPr>
                <w:rFonts w:eastAsia="Times New Roman"/>
                <w:sz w:val="28"/>
                <w:szCs w:val="28"/>
                <w:lang w:val="lv-LV" w:eastAsia="lv-LV"/>
              </w:rPr>
            </w:pPr>
            <w:r w:rsidRPr="002E7548">
              <w:rPr>
                <w:rFonts w:eastAsia="Times New Roman"/>
                <w:sz w:val="28"/>
                <w:szCs w:val="28"/>
                <w:lang w:val="lv-LV" w:eastAsia="lv-LV"/>
              </w:rPr>
              <w:t>Nav</w:t>
            </w:r>
          </w:p>
        </w:tc>
      </w:tr>
    </w:tbl>
    <w:p w:rsidRPr="007F6941" w:rsidR="0091445D" w:rsidP="00167E1C" w:rsidRDefault="0091445D">
      <w:pPr>
        <w:contextualSpacing/>
        <w:rPr>
          <w:rFonts w:eastAsia="Times New Roman"/>
          <w:sz w:val="28"/>
          <w:szCs w:val="28"/>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298"/>
      </w:tblGrid>
      <w:tr w:rsidRPr="00887984" w:rsidR="00844176" w:rsidTr="0091445D">
        <w:trPr>
          <w:trHeight w:val="450"/>
          <w:tblCellSpacing w:w="20" w:type="dxa"/>
        </w:trPr>
        <w:tc>
          <w:tcPr>
            <w:tcW w:w="4957" w:type="pct"/>
            <w:vAlign w:val="center"/>
            <w:hideMark/>
          </w:tcPr>
          <w:p w:rsidRPr="007F6941" w:rsidR="00844176" w:rsidP="00985CCF" w:rsidRDefault="00844176">
            <w:pPr>
              <w:ind w:firstLine="300"/>
              <w:contextualSpacing/>
              <w:jc w:val="center"/>
              <w:rPr>
                <w:rFonts w:eastAsia="Times New Roman"/>
                <w:b/>
                <w:bCs/>
                <w:sz w:val="28"/>
                <w:szCs w:val="28"/>
                <w:lang w:val="lv-LV" w:eastAsia="lv-LV"/>
              </w:rPr>
            </w:pPr>
            <w:r w:rsidRPr="007F6941">
              <w:rPr>
                <w:rFonts w:eastAsia="Times New Roman"/>
                <w:b/>
                <w:bCs/>
                <w:sz w:val="28"/>
                <w:szCs w:val="28"/>
                <w:lang w:val="lv-LV" w:eastAsia="lv-LV"/>
              </w:rPr>
              <w:t>IV. Tiesību akta projekta ietekme uz spēkā esošo tiesību normu sistēmu</w:t>
            </w:r>
          </w:p>
        </w:tc>
      </w:tr>
      <w:tr w:rsidRPr="007F6941" w:rsidR="00985CCF" w:rsidTr="0091445D">
        <w:trPr>
          <w:trHeight w:val="450"/>
          <w:tblCellSpacing w:w="20" w:type="dxa"/>
        </w:trPr>
        <w:tc>
          <w:tcPr>
            <w:tcW w:w="4957" w:type="pct"/>
            <w:vAlign w:val="center"/>
            <w:hideMark/>
          </w:tcPr>
          <w:p w:rsidRPr="007F6941" w:rsidR="00985CCF" w:rsidP="00985CCF" w:rsidRDefault="00985CCF">
            <w:pPr>
              <w:ind w:firstLine="300"/>
              <w:contextualSpacing/>
              <w:jc w:val="center"/>
              <w:rPr>
                <w:rFonts w:eastAsia="Times New Roman"/>
                <w:bCs/>
                <w:sz w:val="28"/>
                <w:szCs w:val="28"/>
                <w:lang w:val="lv-LV" w:eastAsia="lv-LV"/>
              </w:rPr>
            </w:pPr>
            <w:r w:rsidRPr="007F6941">
              <w:rPr>
                <w:rFonts w:eastAsia="Times New Roman"/>
                <w:bCs/>
                <w:sz w:val="28"/>
                <w:szCs w:val="28"/>
                <w:lang w:val="lv-LV" w:eastAsia="lv-LV"/>
              </w:rPr>
              <w:t>Projekts šo jomu neskar.</w:t>
            </w:r>
          </w:p>
        </w:tc>
      </w:tr>
    </w:tbl>
    <w:p w:rsidR="00372A23" w:rsidP="00370711" w:rsidRDefault="00372A23">
      <w:pPr>
        <w:contextualSpacing/>
        <w:rPr>
          <w:rFonts w:eastAsia="Times New Roman"/>
          <w:sz w:val="28"/>
          <w:szCs w:val="28"/>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298"/>
      </w:tblGrid>
      <w:tr w:rsidRPr="00C41658" w:rsidR="00985CCF" w:rsidTr="0091445D">
        <w:trPr>
          <w:trHeight w:val="450"/>
          <w:tblCellSpacing w:w="20" w:type="dxa"/>
        </w:trPr>
        <w:tc>
          <w:tcPr>
            <w:tcW w:w="4957" w:type="pct"/>
            <w:vAlign w:val="center"/>
            <w:hideMark/>
          </w:tcPr>
          <w:p w:rsidRPr="007F6941" w:rsidR="00985CCF" w:rsidP="00985CCF" w:rsidRDefault="00985CCF">
            <w:pPr>
              <w:ind w:firstLine="300"/>
              <w:contextualSpacing/>
              <w:jc w:val="center"/>
              <w:rPr>
                <w:rFonts w:eastAsia="Times New Roman"/>
                <w:b/>
                <w:bCs/>
                <w:sz w:val="28"/>
                <w:szCs w:val="28"/>
                <w:lang w:val="lv-LV" w:eastAsia="lv-LV"/>
              </w:rPr>
            </w:pPr>
            <w:r w:rsidRPr="007F6941">
              <w:rPr>
                <w:b/>
                <w:sz w:val="28"/>
                <w:szCs w:val="28"/>
                <w:lang w:val="lv-LV"/>
              </w:rPr>
              <w:t>V. Tiesību akta projekta atbilstība Latvijas Republikas starptautiskajām saistībām</w:t>
            </w:r>
          </w:p>
        </w:tc>
      </w:tr>
      <w:tr w:rsidRPr="007F6941" w:rsidR="00985CCF" w:rsidTr="0091445D">
        <w:trPr>
          <w:trHeight w:val="450"/>
          <w:tblCellSpacing w:w="20" w:type="dxa"/>
        </w:trPr>
        <w:tc>
          <w:tcPr>
            <w:tcW w:w="4957" w:type="pct"/>
            <w:vAlign w:val="center"/>
            <w:hideMark/>
          </w:tcPr>
          <w:p w:rsidRPr="007F6941" w:rsidR="00985CCF" w:rsidP="00610387" w:rsidRDefault="00985CCF">
            <w:pPr>
              <w:ind w:firstLine="300"/>
              <w:contextualSpacing/>
              <w:jc w:val="center"/>
              <w:rPr>
                <w:rFonts w:eastAsia="Times New Roman"/>
                <w:bCs/>
                <w:sz w:val="28"/>
                <w:szCs w:val="28"/>
                <w:lang w:val="lv-LV" w:eastAsia="lv-LV"/>
              </w:rPr>
            </w:pPr>
            <w:r w:rsidRPr="007F6941">
              <w:rPr>
                <w:rFonts w:eastAsia="Times New Roman"/>
                <w:bCs/>
                <w:sz w:val="28"/>
                <w:szCs w:val="28"/>
                <w:lang w:val="lv-LV" w:eastAsia="lv-LV"/>
              </w:rPr>
              <w:t>Projekts šo jomu neskar.</w:t>
            </w:r>
          </w:p>
        </w:tc>
      </w:tr>
    </w:tbl>
    <w:p w:rsidRPr="007F6941" w:rsidR="00985CCF" w:rsidP="00370711" w:rsidRDefault="00985CCF">
      <w:pPr>
        <w:contextualSpacing/>
        <w:rPr>
          <w:rFonts w:eastAsia="Times New Roman"/>
          <w:sz w:val="28"/>
          <w:szCs w:val="28"/>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298"/>
      </w:tblGrid>
      <w:tr w:rsidRPr="00887984" w:rsidR="00985CCF" w:rsidTr="0091445D">
        <w:trPr>
          <w:trHeight w:val="450"/>
          <w:tblCellSpacing w:w="20" w:type="dxa"/>
        </w:trPr>
        <w:tc>
          <w:tcPr>
            <w:tcW w:w="4957" w:type="pct"/>
            <w:vAlign w:val="center"/>
            <w:hideMark/>
          </w:tcPr>
          <w:p w:rsidRPr="007F6941" w:rsidR="00985CCF" w:rsidP="00985CCF" w:rsidRDefault="00985CCF">
            <w:pPr>
              <w:ind w:firstLine="300"/>
              <w:contextualSpacing/>
              <w:jc w:val="center"/>
              <w:rPr>
                <w:rFonts w:eastAsia="Times New Roman"/>
                <w:b/>
                <w:bCs/>
                <w:sz w:val="28"/>
                <w:szCs w:val="28"/>
                <w:lang w:val="lv-LV" w:eastAsia="lv-LV"/>
              </w:rPr>
            </w:pPr>
            <w:r w:rsidRPr="007F6941">
              <w:rPr>
                <w:rFonts w:eastAsia="Times New Roman"/>
                <w:b/>
                <w:sz w:val="28"/>
                <w:szCs w:val="28"/>
                <w:lang w:val="lv-LV"/>
              </w:rPr>
              <w:t>VI. Sabiedrības līdzdalība un komunikācijas aktivitātes</w:t>
            </w:r>
          </w:p>
        </w:tc>
      </w:tr>
      <w:tr w:rsidRPr="007F6941" w:rsidR="00985CCF" w:rsidTr="0091445D">
        <w:trPr>
          <w:trHeight w:val="450"/>
          <w:tblCellSpacing w:w="20" w:type="dxa"/>
        </w:trPr>
        <w:tc>
          <w:tcPr>
            <w:tcW w:w="4957" w:type="pct"/>
            <w:vAlign w:val="center"/>
            <w:hideMark/>
          </w:tcPr>
          <w:p w:rsidRPr="007F6941" w:rsidR="00985CCF" w:rsidP="00610387" w:rsidRDefault="00985CCF">
            <w:pPr>
              <w:ind w:firstLine="300"/>
              <w:contextualSpacing/>
              <w:jc w:val="center"/>
              <w:rPr>
                <w:rFonts w:eastAsia="Times New Roman"/>
                <w:bCs/>
                <w:sz w:val="28"/>
                <w:szCs w:val="28"/>
                <w:lang w:val="lv-LV" w:eastAsia="lv-LV"/>
              </w:rPr>
            </w:pPr>
            <w:r w:rsidRPr="007F6941">
              <w:rPr>
                <w:rFonts w:eastAsia="Times New Roman"/>
                <w:bCs/>
                <w:sz w:val="28"/>
                <w:szCs w:val="28"/>
                <w:lang w:val="lv-LV" w:eastAsia="lv-LV"/>
              </w:rPr>
              <w:t>Projekts šo jomu neskar.</w:t>
            </w:r>
          </w:p>
        </w:tc>
      </w:tr>
    </w:tbl>
    <w:p w:rsidRPr="007F6941" w:rsidR="00844176" w:rsidP="00282251" w:rsidRDefault="00844176">
      <w:pPr>
        <w:contextualSpacing/>
        <w:rPr>
          <w:rFonts w:eastAsia="Times New Roman"/>
          <w:sz w:val="28"/>
          <w:szCs w:val="28"/>
          <w:lang w:val="lv-LV" w:eastAsia="lv-LV"/>
        </w:rPr>
      </w:pPr>
    </w:p>
    <w:tbl>
      <w:tblPr>
        <w:tblW w:w="9206"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511"/>
        <w:gridCol w:w="3260"/>
        <w:gridCol w:w="5435"/>
      </w:tblGrid>
      <w:tr w:rsidRPr="00887984" w:rsidR="00844176" w:rsidTr="000C3D46">
        <w:trPr>
          <w:trHeight w:val="375"/>
          <w:tblCellSpacing w:w="20" w:type="dxa"/>
        </w:trPr>
        <w:tc>
          <w:tcPr>
            <w:tcW w:w="9126" w:type="dxa"/>
            <w:gridSpan w:val="3"/>
            <w:hideMark/>
          </w:tcPr>
          <w:p w:rsidRPr="007F6941" w:rsidR="00844176" w:rsidP="005A1518" w:rsidRDefault="00844176">
            <w:pPr>
              <w:spacing w:before="100" w:beforeAutospacing="1" w:after="100" w:afterAutospacing="1"/>
              <w:ind w:firstLine="300"/>
              <w:jc w:val="center"/>
              <w:rPr>
                <w:rFonts w:eastAsia="Times New Roman"/>
                <w:sz w:val="28"/>
                <w:szCs w:val="28"/>
                <w:lang w:val="lv-LV" w:eastAsia="lv-LV"/>
              </w:rPr>
            </w:pPr>
            <w:r w:rsidRPr="007F6941">
              <w:rPr>
                <w:b/>
                <w:sz w:val="28"/>
                <w:szCs w:val="28"/>
                <w:lang w:val="lv-LV"/>
              </w:rPr>
              <w:t>VII. Tiesību akta projekta izpildes nodrošināšana un tās ietekme uz institūcijām</w:t>
            </w:r>
          </w:p>
        </w:tc>
      </w:tr>
      <w:tr w:rsidRPr="007F6941" w:rsidR="00844176" w:rsidTr="002C6557">
        <w:trPr>
          <w:trHeight w:val="420"/>
          <w:tblCellSpacing w:w="20" w:type="dxa"/>
        </w:trPr>
        <w:tc>
          <w:tcPr>
            <w:tcW w:w="451" w:type="dxa"/>
            <w:hideMark/>
          </w:tcPr>
          <w:p w:rsidRPr="007F6941" w:rsidR="00844176" w:rsidP="002C6557" w:rsidRDefault="00844176">
            <w:pPr>
              <w:contextualSpacing/>
              <w:jc w:val="center"/>
              <w:rPr>
                <w:rFonts w:eastAsia="Times New Roman"/>
                <w:sz w:val="28"/>
                <w:szCs w:val="28"/>
                <w:lang w:val="lv-LV" w:eastAsia="lv-LV"/>
              </w:rPr>
            </w:pPr>
            <w:r w:rsidRPr="007F6941">
              <w:rPr>
                <w:sz w:val="28"/>
                <w:szCs w:val="28"/>
                <w:lang w:val="lv-LV"/>
              </w:rPr>
              <w:t>1.</w:t>
            </w:r>
          </w:p>
        </w:tc>
        <w:tc>
          <w:tcPr>
            <w:tcW w:w="3220" w:type="dxa"/>
            <w:hideMark/>
          </w:tcPr>
          <w:p w:rsidRPr="007F6941" w:rsidR="00844176" w:rsidP="00282251" w:rsidRDefault="00844176">
            <w:pPr>
              <w:ind w:right="112"/>
              <w:contextualSpacing/>
              <w:jc w:val="both"/>
              <w:rPr>
                <w:sz w:val="28"/>
                <w:szCs w:val="28"/>
                <w:lang w:val="lv-LV"/>
              </w:rPr>
            </w:pPr>
            <w:r w:rsidRPr="007F6941">
              <w:rPr>
                <w:sz w:val="28"/>
                <w:szCs w:val="28"/>
                <w:lang w:val="lv-LV"/>
              </w:rPr>
              <w:t>Projekta izpildē iesaistītās institūcijas</w:t>
            </w:r>
          </w:p>
        </w:tc>
        <w:tc>
          <w:tcPr>
            <w:tcW w:w="5375" w:type="dxa"/>
            <w:hideMark/>
          </w:tcPr>
          <w:p w:rsidRPr="007F6941" w:rsidR="00844176" w:rsidP="002F1474" w:rsidRDefault="11C7B1BD">
            <w:pPr>
              <w:ind w:right="161"/>
              <w:jc w:val="both"/>
              <w:rPr>
                <w:sz w:val="28"/>
                <w:szCs w:val="28"/>
                <w:lang w:val="lv-LV"/>
              </w:rPr>
            </w:pPr>
            <w:r w:rsidRPr="007F6941">
              <w:rPr>
                <w:sz w:val="28"/>
                <w:szCs w:val="28"/>
                <w:lang w:val="lv-LV"/>
              </w:rPr>
              <w:t>Valsts ieņēmumu dienests</w:t>
            </w:r>
            <w:r w:rsidR="000C3D46">
              <w:rPr>
                <w:sz w:val="28"/>
                <w:szCs w:val="28"/>
                <w:lang w:val="lv-LV"/>
              </w:rPr>
              <w:t>.</w:t>
            </w:r>
          </w:p>
        </w:tc>
      </w:tr>
      <w:tr w:rsidRPr="007F6941" w:rsidR="00844176" w:rsidTr="002C6557">
        <w:trPr>
          <w:trHeight w:val="450"/>
          <w:tblCellSpacing w:w="20" w:type="dxa"/>
        </w:trPr>
        <w:tc>
          <w:tcPr>
            <w:tcW w:w="451" w:type="dxa"/>
            <w:hideMark/>
          </w:tcPr>
          <w:p w:rsidRPr="007F6941" w:rsidR="00844176" w:rsidP="002C6557" w:rsidRDefault="00844176">
            <w:pPr>
              <w:contextualSpacing/>
              <w:jc w:val="center"/>
              <w:rPr>
                <w:rFonts w:eastAsia="Times New Roman"/>
                <w:sz w:val="28"/>
                <w:szCs w:val="28"/>
                <w:lang w:val="lv-LV" w:eastAsia="lv-LV"/>
              </w:rPr>
            </w:pPr>
            <w:r w:rsidRPr="007F6941">
              <w:rPr>
                <w:sz w:val="28"/>
                <w:szCs w:val="28"/>
                <w:lang w:val="lv-LV"/>
              </w:rPr>
              <w:t>2.</w:t>
            </w:r>
          </w:p>
        </w:tc>
        <w:tc>
          <w:tcPr>
            <w:tcW w:w="3220" w:type="dxa"/>
            <w:hideMark/>
          </w:tcPr>
          <w:p w:rsidRPr="007F6941" w:rsidR="00844176" w:rsidP="00282251" w:rsidRDefault="00844176">
            <w:pPr>
              <w:ind w:right="112"/>
              <w:contextualSpacing/>
              <w:jc w:val="both"/>
              <w:rPr>
                <w:sz w:val="28"/>
                <w:szCs w:val="28"/>
                <w:lang w:val="lv-LV"/>
              </w:rPr>
            </w:pPr>
            <w:r w:rsidRPr="007F6941">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5375" w:type="dxa"/>
            <w:hideMark/>
          </w:tcPr>
          <w:p w:rsidRPr="007F6941" w:rsidR="00844176" w:rsidP="002F1474" w:rsidRDefault="00985CCF">
            <w:pPr>
              <w:ind w:right="161"/>
              <w:jc w:val="both"/>
              <w:rPr>
                <w:sz w:val="28"/>
                <w:szCs w:val="28"/>
                <w:lang w:val="lv-LV"/>
              </w:rPr>
            </w:pPr>
            <w:r w:rsidRPr="007F6941">
              <w:rPr>
                <w:sz w:val="28"/>
                <w:szCs w:val="28"/>
                <w:lang w:val="lv-LV"/>
              </w:rPr>
              <w:t>Projekts šo jomu neskar.</w:t>
            </w:r>
          </w:p>
        </w:tc>
      </w:tr>
      <w:tr w:rsidRPr="007F6941" w:rsidR="00844176" w:rsidTr="002C6557">
        <w:trPr>
          <w:trHeight w:val="390"/>
          <w:tblCellSpacing w:w="20" w:type="dxa"/>
        </w:trPr>
        <w:tc>
          <w:tcPr>
            <w:tcW w:w="451" w:type="dxa"/>
            <w:hideMark/>
          </w:tcPr>
          <w:p w:rsidRPr="007F6941" w:rsidR="00844176" w:rsidP="002C6557" w:rsidRDefault="00844176">
            <w:pPr>
              <w:contextualSpacing/>
              <w:jc w:val="center"/>
              <w:rPr>
                <w:rFonts w:eastAsia="Times New Roman"/>
                <w:sz w:val="28"/>
                <w:szCs w:val="28"/>
                <w:lang w:val="lv-LV" w:eastAsia="lv-LV"/>
              </w:rPr>
            </w:pPr>
            <w:r w:rsidRPr="007F6941">
              <w:rPr>
                <w:sz w:val="28"/>
                <w:szCs w:val="28"/>
                <w:lang w:val="lv-LV"/>
              </w:rPr>
              <w:t>3.</w:t>
            </w:r>
          </w:p>
        </w:tc>
        <w:tc>
          <w:tcPr>
            <w:tcW w:w="3220" w:type="dxa"/>
            <w:hideMark/>
          </w:tcPr>
          <w:p w:rsidRPr="007F6941" w:rsidR="00844176" w:rsidP="00282251" w:rsidRDefault="00844176">
            <w:pPr>
              <w:contextualSpacing/>
              <w:jc w:val="both"/>
              <w:rPr>
                <w:rFonts w:eastAsia="Times New Roman"/>
                <w:sz w:val="28"/>
                <w:szCs w:val="28"/>
                <w:lang w:val="lv-LV" w:eastAsia="lv-LV"/>
              </w:rPr>
            </w:pPr>
            <w:r w:rsidRPr="007F6941">
              <w:rPr>
                <w:rFonts w:eastAsia="Times New Roman"/>
                <w:sz w:val="28"/>
                <w:szCs w:val="28"/>
                <w:lang w:val="lv-LV" w:eastAsia="lv-LV"/>
              </w:rPr>
              <w:t>Cita informācija</w:t>
            </w:r>
          </w:p>
        </w:tc>
        <w:tc>
          <w:tcPr>
            <w:tcW w:w="5375" w:type="dxa"/>
            <w:hideMark/>
          </w:tcPr>
          <w:p w:rsidRPr="007F6941" w:rsidR="00844176" w:rsidP="00282251" w:rsidRDefault="00844176">
            <w:pPr>
              <w:contextualSpacing/>
              <w:jc w:val="both"/>
              <w:rPr>
                <w:rFonts w:eastAsia="Times New Roman"/>
                <w:sz w:val="28"/>
                <w:szCs w:val="28"/>
                <w:lang w:val="lv-LV" w:eastAsia="lv-LV"/>
              </w:rPr>
            </w:pPr>
            <w:r w:rsidRPr="007F6941">
              <w:rPr>
                <w:rFonts w:eastAsia="Times New Roman"/>
                <w:sz w:val="28"/>
                <w:szCs w:val="28"/>
                <w:lang w:val="lv-LV" w:eastAsia="lv-LV"/>
              </w:rPr>
              <w:t>Nav</w:t>
            </w:r>
          </w:p>
        </w:tc>
      </w:tr>
    </w:tbl>
    <w:p w:rsidR="00862580" w:rsidP="00282251" w:rsidRDefault="00862580">
      <w:pPr>
        <w:contextualSpacing/>
        <w:jc w:val="both"/>
        <w:rPr>
          <w:sz w:val="28"/>
          <w:szCs w:val="28"/>
          <w:lang w:val="lv-LV"/>
        </w:rPr>
      </w:pPr>
    </w:p>
    <w:p w:rsidR="00CD6FF6" w:rsidP="00282251" w:rsidRDefault="00CD6FF6">
      <w:pPr>
        <w:contextualSpacing/>
        <w:jc w:val="both"/>
        <w:rPr>
          <w:sz w:val="28"/>
          <w:szCs w:val="28"/>
          <w:lang w:val="lv-LV"/>
        </w:rPr>
      </w:pPr>
    </w:p>
    <w:p w:rsidRPr="007F6941" w:rsidR="007F6941" w:rsidP="007F6941" w:rsidRDefault="007F6941">
      <w:pPr>
        <w:tabs>
          <w:tab w:val="left" w:pos="7088"/>
        </w:tabs>
        <w:ind w:firstLine="284"/>
        <w:jc w:val="both"/>
        <w:rPr>
          <w:bCs/>
          <w:sz w:val="28"/>
          <w:szCs w:val="28"/>
          <w:lang w:val="lv-LV"/>
        </w:rPr>
      </w:pPr>
      <w:r w:rsidRPr="007F6941">
        <w:rPr>
          <w:bCs/>
          <w:sz w:val="28"/>
          <w:szCs w:val="28"/>
          <w:lang w:val="lv-LV"/>
        </w:rPr>
        <w:t>Kultūras ministrs</w:t>
      </w:r>
      <w:r w:rsidRPr="007F6941">
        <w:rPr>
          <w:bCs/>
          <w:sz w:val="28"/>
          <w:szCs w:val="28"/>
          <w:lang w:val="lv-LV"/>
        </w:rPr>
        <w:tab/>
        <w:t>N.Puntulis</w:t>
      </w:r>
    </w:p>
    <w:p w:rsidRPr="007F6941" w:rsidR="007F6941" w:rsidP="007F6941" w:rsidRDefault="007F6941">
      <w:pPr>
        <w:ind w:firstLine="284"/>
        <w:rPr>
          <w:bCs/>
          <w:sz w:val="28"/>
          <w:szCs w:val="28"/>
          <w:lang w:val="lv-LV"/>
        </w:rPr>
      </w:pPr>
    </w:p>
    <w:p w:rsidRPr="007F6941" w:rsidR="007F6941" w:rsidP="007F6941" w:rsidRDefault="007F6941">
      <w:pPr>
        <w:tabs>
          <w:tab w:val="left" w:pos="7088"/>
        </w:tabs>
        <w:ind w:firstLine="284"/>
        <w:contextualSpacing/>
        <w:rPr>
          <w:bCs/>
          <w:sz w:val="28"/>
          <w:szCs w:val="28"/>
          <w:lang w:val="lv-LV"/>
        </w:rPr>
      </w:pPr>
      <w:r w:rsidRPr="007F6941">
        <w:rPr>
          <w:bCs/>
          <w:sz w:val="28"/>
          <w:szCs w:val="28"/>
          <w:lang w:val="lv-LV"/>
        </w:rPr>
        <w:t>Vīza: Valsts sekretāre</w:t>
      </w:r>
      <w:r w:rsidRPr="007F6941">
        <w:rPr>
          <w:bCs/>
          <w:sz w:val="28"/>
          <w:szCs w:val="28"/>
          <w:lang w:val="lv-LV"/>
        </w:rPr>
        <w:tab/>
        <w:t>D.Vilsone</w:t>
      </w:r>
    </w:p>
    <w:p w:rsidRPr="007F6941" w:rsidR="007F6941" w:rsidP="007F6941" w:rsidRDefault="007F6941">
      <w:pPr>
        <w:tabs>
          <w:tab w:val="left" w:pos="6237"/>
        </w:tabs>
        <w:ind w:firstLine="720"/>
        <w:contextualSpacing/>
        <w:rPr>
          <w:bCs/>
          <w:sz w:val="28"/>
          <w:szCs w:val="28"/>
          <w:lang w:val="lv-LV"/>
        </w:rPr>
      </w:pPr>
    </w:p>
    <w:p w:rsidR="007F6941" w:rsidP="007F6941" w:rsidRDefault="007F6941">
      <w:pPr>
        <w:tabs>
          <w:tab w:val="left" w:pos="6237"/>
        </w:tabs>
        <w:ind w:firstLine="720"/>
        <w:contextualSpacing/>
        <w:rPr>
          <w:bCs/>
          <w:sz w:val="28"/>
          <w:szCs w:val="28"/>
          <w:lang w:val="lv-LV"/>
        </w:rPr>
      </w:pPr>
    </w:p>
    <w:p w:rsidR="002F1474" w:rsidP="007F6941" w:rsidRDefault="002F1474">
      <w:pPr>
        <w:tabs>
          <w:tab w:val="left" w:pos="6237"/>
        </w:tabs>
        <w:ind w:firstLine="720"/>
        <w:contextualSpacing/>
        <w:rPr>
          <w:bCs/>
          <w:sz w:val="28"/>
          <w:szCs w:val="28"/>
          <w:lang w:val="lv-LV"/>
        </w:rPr>
      </w:pPr>
    </w:p>
    <w:p w:rsidR="002F1474" w:rsidP="007F6941" w:rsidRDefault="002F1474">
      <w:pPr>
        <w:tabs>
          <w:tab w:val="left" w:pos="6237"/>
        </w:tabs>
        <w:ind w:firstLine="720"/>
        <w:contextualSpacing/>
        <w:rPr>
          <w:bCs/>
          <w:sz w:val="28"/>
          <w:szCs w:val="28"/>
          <w:lang w:val="lv-LV"/>
        </w:rPr>
      </w:pPr>
    </w:p>
    <w:p w:rsidR="002C6557" w:rsidP="007F6941" w:rsidRDefault="002C6557">
      <w:pPr>
        <w:tabs>
          <w:tab w:val="left" w:pos="6237"/>
        </w:tabs>
        <w:ind w:firstLine="720"/>
        <w:contextualSpacing/>
        <w:rPr>
          <w:bCs/>
          <w:sz w:val="28"/>
          <w:szCs w:val="28"/>
          <w:lang w:val="lv-LV"/>
        </w:rPr>
      </w:pPr>
    </w:p>
    <w:p w:rsidRPr="007F6941" w:rsidR="007F6941" w:rsidP="007F6941" w:rsidRDefault="007F6941">
      <w:pPr>
        <w:jc w:val="both"/>
        <w:rPr>
          <w:bCs/>
          <w:lang w:val="lv-LV" w:eastAsia="lv-LV"/>
        </w:rPr>
      </w:pPr>
      <w:r w:rsidRPr="007F6941">
        <w:rPr>
          <w:bCs/>
          <w:lang w:val="lv-LV" w:eastAsia="lv-LV"/>
        </w:rPr>
        <w:t>Zariņš 67330255</w:t>
      </w:r>
    </w:p>
    <w:p w:rsidR="00CD6FF6" w:rsidRDefault="003B5B10">
      <w:pPr>
        <w:tabs>
          <w:tab w:val="num" w:pos="540"/>
        </w:tabs>
        <w:jc w:val="both"/>
        <w:rPr>
          <w:lang w:val="lv-LV"/>
        </w:rPr>
      </w:pPr>
      <w:hyperlink w:history="1" r:id="rId8">
        <w:r w:rsidRPr="007F6941" w:rsidR="007F6941">
          <w:rPr>
            <w:bCs/>
            <w:color w:val="0000FF"/>
            <w:u w:val="single"/>
            <w:lang w:val="lv-LV" w:eastAsia="lv-LV"/>
          </w:rPr>
          <w:t>Uldis.Zarins@km.gov.lv</w:t>
        </w:r>
      </w:hyperlink>
    </w:p>
    <w:sectPr w:rsidR="00CD6FF6" w:rsidSect="002C6557">
      <w:headerReference w:type="default" r:id="rId9"/>
      <w:footerReference w:type="default" r:id="rId10"/>
      <w:footerReference w:type="first" r:id="rId11"/>
      <w:endnotePr>
        <w:numFmt w:val="decimal"/>
      </w:endnotePr>
      <w:type w:val="continuous"/>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1C" w:rsidRDefault="00427A1C" w:rsidP="006B2FEF">
      <w:r>
        <w:separator/>
      </w:r>
    </w:p>
  </w:endnote>
  <w:endnote w:type="continuationSeparator" w:id="0">
    <w:p w:rsidR="00427A1C" w:rsidRDefault="00427A1C" w:rsidP="006B2FEF">
      <w:r>
        <w:continuationSeparator/>
      </w:r>
    </w:p>
  </w:endnote>
  <w:endnote w:type="continuationNotice" w:id="1">
    <w:p w:rsidR="00427A1C" w:rsidRDefault="00427A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1C" w:rsidRPr="007F6941" w:rsidRDefault="00427A1C" w:rsidP="007F6941">
    <w:pPr>
      <w:pStyle w:val="Kjene"/>
      <w:rPr>
        <w:lang w:val="lv-LV"/>
      </w:rPr>
    </w:pPr>
    <w:r>
      <w:rPr>
        <w:lang w:val="lv-LV"/>
      </w:rPr>
      <w:t>KMAnot_06</w:t>
    </w:r>
    <w:r w:rsidRPr="00CD6FF6">
      <w:rPr>
        <w:lang w:val="lv-LV"/>
      </w:rPr>
      <w:t>0420_groz_dikstave_pasnodarb_Covid19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1C" w:rsidRPr="007F6941" w:rsidRDefault="00427A1C" w:rsidP="007F6941">
    <w:pPr>
      <w:pStyle w:val="Kjene"/>
      <w:rPr>
        <w:lang w:val="lv-LV"/>
      </w:rPr>
    </w:pPr>
    <w:r>
      <w:rPr>
        <w:lang w:val="lv-LV"/>
      </w:rPr>
      <w:t>KMAnot_06</w:t>
    </w:r>
    <w:r w:rsidRPr="00CD6FF6">
      <w:rPr>
        <w:lang w:val="lv-LV"/>
      </w:rPr>
      <w:t>0420_groz_dikstave_pasnodarb_Covid19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1C" w:rsidRDefault="00427A1C" w:rsidP="006B2FEF">
      <w:r>
        <w:separator/>
      </w:r>
    </w:p>
  </w:footnote>
  <w:footnote w:type="continuationSeparator" w:id="0">
    <w:p w:rsidR="00427A1C" w:rsidRDefault="00427A1C" w:rsidP="006B2FEF">
      <w:r>
        <w:continuationSeparator/>
      </w:r>
    </w:p>
  </w:footnote>
  <w:footnote w:type="continuationNotice" w:id="1">
    <w:p w:rsidR="00427A1C" w:rsidRDefault="00427A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627235"/>
      <w:docPartObj>
        <w:docPartGallery w:val="Page Numbers (Top of Page)"/>
        <w:docPartUnique/>
      </w:docPartObj>
    </w:sdtPr>
    <w:sdtEndPr>
      <w:rPr>
        <w:sz w:val="24"/>
        <w:szCs w:val="24"/>
      </w:rPr>
    </w:sdtEndPr>
    <w:sdtContent>
      <w:p w:rsidRPr="005A1518" w:rsidR="00427A1C" w:rsidP="005A1518" w:rsidRDefault="003B5B10">
        <w:pPr>
          <w:pStyle w:val="Galvene"/>
          <w:jc w:val="center"/>
          <w:rPr>
            <w:sz w:val="24"/>
          </w:rPr>
        </w:pPr>
        <w:r w:rsidRPr="00B014C2">
          <w:rPr>
            <w:sz w:val="24"/>
            <w:szCs w:val="24"/>
          </w:rPr>
          <w:fldChar w:fldCharType="begin"/>
        </w:r>
        <w:r w:rsidRPr="00B014C2" w:rsidR="00427A1C">
          <w:rPr>
            <w:sz w:val="24"/>
            <w:szCs w:val="24"/>
          </w:rPr>
          <w:instrText xml:space="preserve"> PAGE   \* MERGEFORMAT </w:instrText>
        </w:r>
        <w:r w:rsidRPr="00B014C2">
          <w:rPr>
            <w:sz w:val="24"/>
            <w:szCs w:val="24"/>
          </w:rPr>
          <w:fldChar w:fldCharType="separate"/>
        </w:r>
        <w:r w:rsidR="00887984">
          <w:rPr>
            <w:noProof/>
            <w:sz w:val="24"/>
            <w:szCs w:val="24"/>
          </w:rPr>
          <w:t>8</w:t>
        </w:r>
        <w:r w:rsidRPr="00B014C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A8E1472"/>
    <w:multiLevelType w:val="hybridMultilevel"/>
    <w:tmpl w:val="D4AE95C8"/>
    <w:lvl w:ilvl="0" w:tplc="6BCCED4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ED0FCD"/>
    <w:multiLevelType w:val="multilevel"/>
    <w:tmpl w:val="F6FCE7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F9A3996"/>
    <w:multiLevelType w:val="hybridMultilevel"/>
    <w:tmpl w:val="02D025B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4"/>
  </w:num>
  <w:num w:numId="3">
    <w:abstractNumId w:val="9"/>
  </w:num>
  <w:num w:numId="4">
    <w:abstractNumId w:val="1"/>
  </w:num>
  <w:num w:numId="5">
    <w:abstractNumId w:val="12"/>
  </w:num>
  <w:num w:numId="6">
    <w:abstractNumId w:val="19"/>
  </w:num>
  <w:num w:numId="7">
    <w:abstractNumId w:val="15"/>
  </w:num>
  <w:num w:numId="8">
    <w:abstractNumId w:val="11"/>
  </w:num>
  <w:num w:numId="9">
    <w:abstractNumId w:val="10"/>
  </w:num>
  <w:num w:numId="10">
    <w:abstractNumId w:val="18"/>
  </w:num>
  <w:num w:numId="11">
    <w:abstractNumId w:val="6"/>
  </w:num>
  <w:num w:numId="12">
    <w:abstractNumId w:val="0"/>
  </w:num>
  <w:num w:numId="13">
    <w:abstractNumId w:val="5"/>
  </w:num>
  <w:num w:numId="14">
    <w:abstractNumId w:val="8"/>
  </w:num>
  <w:num w:numId="15">
    <w:abstractNumId w:val="4"/>
  </w:num>
  <w:num w:numId="16">
    <w:abstractNumId w:val="7"/>
  </w:num>
  <w:num w:numId="17">
    <w:abstractNumId w:val="13"/>
  </w:num>
  <w:num w:numId="18">
    <w:abstractNumId w:val="16"/>
  </w:num>
  <w:num w:numId="19">
    <w:abstractNumId w:val="2"/>
  </w:num>
  <w:num w:numId="20">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 w:id="1"/>
  </w:footnotePr>
  <w:endnotePr>
    <w:numFmt w:val="decimal"/>
    <w:endnote w:id="-1"/>
    <w:endnote w:id="0"/>
    <w:endnote w:id="1"/>
  </w:endnotePr>
  <w:compat/>
  <w:rsids>
    <w:rsidRoot w:val="00EA6CD3"/>
    <w:rsid w:val="00000210"/>
    <w:rsid w:val="000008A9"/>
    <w:rsid w:val="0000304E"/>
    <w:rsid w:val="000058AA"/>
    <w:rsid w:val="0000653D"/>
    <w:rsid w:val="0000714E"/>
    <w:rsid w:val="00007491"/>
    <w:rsid w:val="000100B3"/>
    <w:rsid w:val="0001048C"/>
    <w:rsid w:val="00011FAD"/>
    <w:rsid w:val="00013B61"/>
    <w:rsid w:val="0001452E"/>
    <w:rsid w:val="0001479E"/>
    <w:rsid w:val="00014B9F"/>
    <w:rsid w:val="00016054"/>
    <w:rsid w:val="00016159"/>
    <w:rsid w:val="000168EA"/>
    <w:rsid w:val="00016A1C"/>
    <w:rsid w:val="00017A3B"/>
    <w:rsid w:val="0002003C"/>
    <w:rsid w:val="000205ED"/>
    <w:rsid w:val="00020A04"/>
    <w:rsid w:val="00022860"/>
    <w:rsid w:val="000231D2"/>
    <w:rsid w:val="000240CA"/>
    <w:rsid w:val="00024ACB"/>
    <w:rsid w:val="00024D9D"/>
    <w:rsid w:val="0002596F"/>
    <w:rsid w:val="000268EF"/>
    <w:rsid w:val="00026F18"/>
    <w:rsid w:val="00026FB0"/>
    <w:rsid w:val="00027993"/>
    <w:rsid w:val="00027DF9"/>
    <w:rsid w:val="0003012D"/>
    <w:rsid w:val="00030B7E"/>
    <w:rsid w:val="00032297"/>
    <w:rsid w:val="0003245D"/>
    <w:rsid w:val="00032471"/>
    <w:rsid w:val="0003265E"/>
    <w:rsid w:val="00033239"/>
    <w:rsid w:val="00033A52"/>
    <w:rsid w:val="00033F5A"/>
    <w:rsid w:val="0003428D"/>
    <w:rsid w:val="000349BB"/>
    <w:rsid w:val="00035C7B"/>
    <w:rsid w:val="00036927"/>
    <w:rsid w:val="000369D2"/>
    <w:rsid w:val="000377CB"/>
    <w:rsid w:val="000378F9"/>
    <w:rsid w:val="00037EC1"/>
    <w:rsid w:val="00040084"/>
    <w:rsid w:val="0004107E"/>
    <w:rsid w:val="00041ECC"/>
    <w:rsid w:val="000430AC"/>
    <w:rsid w:val="0004380E"/>
    <w:rsid w:val="00044648"/>
    <w:rsid w:val="00044683"/>
    <w:rsid w:val="00044743"/>
    <w:rsid w:val="00047095"/>
    <w:rsid w:val="00047962"/>
    <w:rsid w:val="00050AE9"/>
    <w:rsid w:val="00051E73"/>
    <w:rsid w:val="000527A4"/>
    <w:rsid w:val="0005519D"/>
    <w:rsid w:val="00056D68"/>
    <w:rsid w:val="000602E6"/>
    <w:rsid w:val="000606F5"/>
    <w:rsid w:val="00061210"/>
    <w:rsid w:val="00062F7E"/>
    <w:rsid w:val="0006303D"/>
    <w:rsid w:val="000678CD"/>
    <w:rsid w:val="00070F56"/>
    <w:rsid w:val="00071082"/>
    <w:rsid w:val="0007156D"/>
    <w:rsid w:val="00071BC9"/>
    <w:rsid w:val="00072B02"/>
    <w:rsid w:val="0007330D"/>
    <w:rsid w:val="00073C91"/>
    <w:rsid w:val="00074090"/>
    <w:rsid w:val="00074CEF"/>
    <w:rsid w:val="00074F94"/>
    <w:rsid w:val="000773A5"/>
    <w:rsid w:val="00077D13"/>
    <w:rsid w:val="0008002B"/>
    <w:rsid w:val="00080352"/>
    <w:rsid w:val="00081744"/>
    <w:rsid w:val="000818FB"/>
    <w:rsid w:val="00081EC5"/>
    <w:rsid w:val="00082068"/>
    <w:rsid w:val="00082551"/>
    <w:rsid w:val="00085090"/>
    <w:rsid w:val="0008515E"/>
    <w:rsid w:val="00085640"/>
    <w:rsid w:val="00087ADB"/>
    <w:rsid w:val="00090DF8"/>
    <w:rsid w:val="0009156D"/>
    <w:rsid w:val="00091668"/>
    <w:rsid w:val="00091F4F"/>
    <w:rsid w:val="0009324B"/>
    <w:rsid w:val="00094B1E"/>
    <w:rsid w:val="00095280"/>
    <w:rsid w:val="00095F95"/>
    <w:rsid w:val="00096060"/>
    <w:rsid w:val="000964C6"/>
    <w:rsid w:val="00097347"/>
    <w:rsid w:val="000A0059"/>
    <w:rsid w:val="000A14E3"/>
    <w:rsid w:val="000A1FC0"/>
    <w:rsid w:val="000A212A"/>
    <w:rsid w:val="000A22AD"/>
    <w:rsid w:val="000A37C3"/>
    <w:rsid w:val="000A38DA"/>
    <w:rsid w:val="000A3DBA"/>
    <w:rsid w:val="000A44CE"/>
    <w:rsid w:val="000A6BA6"/>
    <w:rsid w:val="000A6E49"/>
    <w:rsid w:val="000A7113"/>
    <w:rsid w:val="000B0748"/>
    <w:rsid w:val="000B1926"/>
    <w:rsid w:val="000B1B64"/>
    <w:rsid w:val="000B2C54"/>
    <w:rsid w:val="000B3449"/>
    <w:rsid w:val="000B3812"/>
    <w:rsid w:val="000B3FAB"/>
    <w:rsid w:val="000B492B"/>
    <w:rsid w:val="000B6360"/>
    <w:rsid w:val="000B6394"/>
    <w:rsid w:val="000B71B4"/>
    <w:rsid w:val="000C067D"/>
    <w:rsid w:val="000C090A"/>
    <w:rsid w:val="000C0FB3"/>
    <w:rsid w:val="000C33C1"/>
    <w:rsid w:val="000C3D46"/>
    <w:rsid w:val="000C4418"/>
    <w:rsid w:val="000C47BE"/>
    <w:rsid w:val="000C57AB"/>
    <w:rsid w:val="000C64CD"/>
    <w:rsid w:val="000C6AA7"/>
    <w:rsid w:val="000D1AEB"/>
    <w:rsid w:val="000D2474"/>
    <w:rsid w:val="000D2543"/>
    <w:rsid w:val="000D3A64"/>
    <w:rsid w:val="000D3D56"/>
    <w:rsid w:val="000D43D9"/>
    <w:rsid w:val="000D4F73"/>
    <w:rsid w:val="000D5E51"/>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EA7"/>
    <w:rsid w:val="000F32F3"/>
    <w:rsid w:val="000F4230"/>
    <w:rsid w:val="000F6CC0"/>
    <w:rsid w:val="000F743C"/>
    <w:rsid w:val="001001F5"/>
    <w:rsid w:val="00100333"/>
    <w:rsid w:val="00100952"/>
    <w:rsid w:val="00101565"/>
    <w:rsid w:val="00102922"/>
    <w:rsid w:val="00102B0D"/>
    <w:rsid w:val="00102B1D"/>
    <w:rsid w:val="0010433F"/>
    <w:rsid w:val="00105D17"/>
    <w:rsid w:val="00110128"/>
    <w:rsid w:val="00110361"/>
    <w:rsid w:val="001117B9"/>
    <w:rsid w:val="00111A1F"/>
    <w:rsid w:val="00112554"/>
    <w:rsid w:val="001127FE"/>
    <w:rsid w:val="001129EE"/>
    <w:rsid w:val="00112E66"/>
    <w:rsid w:val="00115317"/>
    <w:rsid w:val="0011606F"/>
    <w:rsid w:val="00116E4D"/>
    <w:rsid w:val="00117267"/>
    <w:rsid w:val="00117F0D"/>
    <w:rsid w:val="0012060E"/>
    <w:rsid w:val="00123B4B"/>
    <w:rsid w:val="0012410C"/>
    <w:rsid w:val="00125FC5"/>
    <w:rsid w:val="0012624C"/>
    <w:rsid w:val="00127BBE"/>
    <w:rsid w:val="0013024B"/>
    <w:rsid w:val="00131C9F"/>
    <w:rsid w:val="00131D47"/>
    <w:rsid w:val="00132401"/>
    <w:rsid w:val="00134389"/>
    <w:rsid w:val="001343CB"/>
    <w:rsid w:val="0013586C"/>
    <w:rsid w:val="00137388"/>
    <w:rsid w:val="00137F96"/>
    <w:rsid w:val="00142182"/>
    <w:rsid w:val="00142942"/>
    <w:rsid w:val="00142B5E"/>
    <w:rsid w:val="00142C3C"/>
    <w:rsid w:val="00143B7A"/>
    <w:rsid w:val="00143BB6"/>
    <w:rsid w:val="001442E5"/>
    <w:rsid w:val="00144378"/>
    <w:rsid w:val="00144936"/>
    <w:rsid w:val="00144D47"/>
    <w:rsid w:val="00145366"/>
    <w:rsid w:val="00146697"/>
    <w:rsid w:val="00146D17"/>
    <w:rsid w:val="001500EB"/>
    <w:rsid w:val="00150602"/>
    <w:rsid w:val="0015131B"/>
    <w:rsid w:val="00151BBD"/>
    <w:rsid w:val="00151CFF"/>
    <w:rsid w:val="00151D54"/>
    <w:rsid w:val="00152387"/>
    <w:rsid w:val="00152493"/>
    <w:rsid w:val="0015295F"/>
    <w:rsid w:val="0015384D"/>
    <w:rsid w:val="00155794"/>
    <w:rsid w:val="00156C28"/>
    <w:rsid w:val="001613AA"/>
    <w:rsid w:val="0016143E"/>
    <w:rsid w:val="00161BA7"/>
    <w:rsid w:val="00161CA7"/>
    <w:rsid w:val="001633A3"/>
    <w:rsid w:val="00165004"/>
    <w:rsid w:val="001650AC"/>
    <w:rsid w:val="001655DD"/>
    <w:rsid w:val="00165747"/>
    <w:rsid w:val="00165F5E"/>
    <w:rsid w:val="0016668A"/>
    <w:rsid w:val="00166A45"/>
    <w:rsid w:val="00166A8B"/>
    <w:rsid w:val="00166BBB"/>
    <w:rsid w:val="0016744E"/>
    <w:rsid w:val="00167597"/>
    <w:rsid w:val="00167707"/>
    <w:rsid w:val="00167E1C"/>
    <w:rsid w:val="00172082"/>
    <w:rsid w:val="00173C4C"/>
    <w:rsid w:val="001741E9"/>
    <w:rsid w:val="001748E5"/>
    <w:rsid w:val="00175B7D"/>
    <w:rsid w:val="001769ED"/>
    <w:rsid w:val="00176AB2"/>
    <w:rsid w:val="00177250"/>
    <w:rsid w:val="001776DE"/>
    <w:rsid w:val="00177882"/>
    <w:rsid w:val="00177C69"/>
    <w:rsid w:val="00180E2B"/>
    <w:rsid w:val="001811E1"/>
    <w:rsid w:val="001837AC"/>
    <w:rsid w:val="00183B65"/>
    <w:rsid w:val="00183C0A"/>
    <w:rsid w:val="0018486C"/>
    <w:rsid w:val="00185024"/>
    <w:rsid w:val="00186A4D"/>
    <w:rsid w:val="00187140"/>
    <w:rsid w:val="00190B3D"/>
    <w:rsid w:val="001912B4"/>
    <w:rsid w:val="00191EDE"/>
    <w:rsid w:val="00192AA0"/>
    <w:rsid w:val="00192CC2"/>
    <w:rsid w:val="00192EE4"/>
    <w:rsid w:val="001935C8"/>
    <w:rsid w:val="001946C8"/>
    <w:rsid w:val="001957C3"/>
    <w:rsid w:val="00195D43"/>
    <w:rsid w:val="001970E1"/>
    <w:rsid w:val="001975B7"/>
    <w:rsid w:val="001979C9"/>
    <w:rsid w:val="001A120C"/>
    <w:rsid w:val="001A1322"/>
    <w:rsid w:val="001A1368"/>
    <w:rsid w:val="001A1439"/>
    <w:rsid w:val="001A2748"/>
    <w:rsid w:val="001A2F28"/>
    <w:rsid w:val="001A3544"/>
    <w:rsid w:val="001A38EA"/>
    <w:rsid w:val="001A3ED2"/>
    <w:rsid w:val="001A4F7A"/>
    <w:rsid w:val="001A5277"/>
    <w:rsid w:val="001A704F"/>
    <w:rsid w:val="001A7C3A"/>
    <w:rsid w:val="001A7DF2"/>
    <w:rsid w:val="001A7E1D"/>
    <w:rsid w:val="001A7E32"/>
    <w:rsid w:val="001B2FA2"/>
    <w:rsid w:val="001B3188"/>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8A2"/>
    <w:rsid w:val="001C70CC"/>
    <w:rsid w:val="001C75BB"/>
    <w:rsid w:val="001C7E0E"/>
    <w:rsid w:val="001D0561"/>
    <w:rsid w:val="001D0800"/>
    <w:rsid w:val="001D0EA8"/>
    <w:rsid w:val="001D2C06"/>
    <w:rsid w:val="001D3167"/>
    <w:rsid w:val="001D3D61"/>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1973"/>
    <w:rsid w:val="001F2437"/>
    <w:rsid w:val="001F2BA2"/>
    <w:rsid w:val="001F6DBE"/>
    <w:rsid w:val="001F7086"/>
    <w:rsid w:val="001F7AAD"/>
    <w:rsid w:val="00200E7D"/>
    <w:rsid w:val="00201D17"/>
    <w:rsid w:val="00201E65"/>
    <w:rsid w:val="00202500"/>
    <w:rsid w:val="00202E5C"/>
    <w:rsid w:val="0020468C"/>
    <w:rsid w:val="00204C14"/>
    <w:rsid w:val="00204F3C"/>
    <w:rsid w:val="0020505E"/>
    <w:rsid w:val="0020596E"/>
    <w:rsid w:val="00205D61"/>
    <w:rsid w:val="002075FF"/>
    <w:rsid w:val="002107BF"/>
    <w:rsid w:val="00210E64"/>
    <w:rsid w:val="00211315"/>
    <w:rsid w:val="00213CC5"/>
    <w:rsid w:val="00215105"/>
    <w:rsid w:val="00215A5A"/>
    <w:rsid w:val="00215C6A"/>
    <w:rsid w:val="0021738A"/>
    <w:rsid w:val="0021757D"/>
    <w:rsid w:val="002177B0"/>
    <w:rsid w:val="00217F5B"/>
    <w:rsid w:val="002205F1"/>
    <w:rsid w:val="00220FFF"/>
    <w:rsid w:val="00223778"/>
    <w:rsid w:val="00224E84"/>
    <w:rsid w:val="002267E7"/>
    <w:rsid w:val="002267EF"/>
    <w:rsid w:val="00226B1A"/>
    <w:rsid w:val="00226F10"/>
    <w:rsid w:val="002272E3"/>
    <w:rsid w:val="00227435"/>
    <w:rsid w:val="00227BC3"/>
    <w:rsid w:val="00227F25"/>
    <w:rsid w:val="00230958"/>
    <w:rsid w:val="00231A4A"/>
    <w:rsid w:val="00232596"/>
    <w:rsid w:val="002327FA"/>
    <w:rsid w:val="002330F6"/>
    <w:rsid w:val="0023321F"/>
    <w:rsid w:val="002337A3"/>
    <w:rsid w:val="0023389D"/>
    <w:rsid w:val="0023582E"/>
    <w:rsid w:val="00236215"/>
    <w:rsid w:val="00236418"/>
    <w:rsid w:val="00236775"/>
    <w:rsid w:val="00236874"/>
    <w:rsid w:val="00237878"/>
    <w:rsid w:val="0024197D"/>
    <w:rsid w:val="00241A63"/>
    <w:rsid w:val="00241C10"/>
    <w:rsid w:val="002438ED"/>
    <w:rsid w:val="00244A9E"/>
    <w:rsid w:val="00246849"/>
    <w:rsid w:val="00247305"/>
    <w:rsid w:val="00250127"/>
    <w:rsid w:val="0025023B"/>
    <w:rsid w:val="0025068F"/>
    <w:rsid w:val="0025140A"/>
    <w:rsid w:val="00252EEF"/>
    <w:rsid w:val="00253B6C"/>
    <w:rsid w:val="00254651"/>
    <w:rsid w:val="00254901"/>
    <w:rsid w:val="00254B75"/>
    <w:rsid w:val="00255297"/>
    <w:rsid w:val="0025543B"/>
    <w:rsid w:val="00255811"/>
    <w:rsid w:val="00255887"/>
    <w:rsid w:val="00255BAC"/>
    <w:rsid w:val="00255F9C"/>
    <w:rsid w:val="0025654B"/>
    <w:rsid w:val="00256BC5"/>
    <w:rsid w:val="00257981"/>
    <w:rsid w:val="002601C7"/>
    <w:rsid w:val="00260352"/>
    <w:rsid w:val="002607F1"/>
    <w:rsid w:val="00261B97"/>
    <w:rsid w:val="00263C15"/>
    <w:rsid w:val="002651EA"/>
    <w:rsid w:val="00265CB2"/>
    <w:rsid w:val="0027369F"/>
    <w:rsid w:val="00273700"/>
    <w:rsid w:val="00273B21"/>
    <w:rsid w:val="00276258"/>
    <w:rsid w:val="00276941"/>
    <w:rsid w:val="00276A5D"/>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906E7"/>
    <w:rsid w:val="00290EE2"/>
    <w:rsid w:val="00292062"/>
    <w:rsid w:val="002926D8"/>
    <w:rsid w:val="002932D2"/>
    <w:rsid w:val="00294DDB"/>
    <w:rsid w:val="00294DF3"/>
    <w:rsid w:val="00295592"/>
    <w:rsid w:val="002957B7"/>
    <w:rsid w:val="00296441"/>
    <w:rsid w:val="00296FC3"/>
    <w:rsid w:val="002A0435"/>
    <w:rsid w:val="002A0BC1"/>
    <w:rsid w:val="002A166A"/>
    <w:rsid w:val="002A1AA4"/>
    <w:rsid w:val="002A1B7C"/>
    <w:rsid w:val="002A3287"/>
    <w:rsid w:val="002A35BE"/>
    <w:rsid w:val="002A3C5C"/>
    <w:rsid w:val="002A3EC2"/>
    <w:rsid w:val="002A6400"/>
    <w:rsid w:val="002B071C"/>
    <w:rsid w:val="002B24D2"/>
    <w:rsid w:val="002B2EBB"/>
    <w:rsid w:val="002B3EAE"/>
    <w:rsid w:val="002B421C"/>
    <w:rsid w:val="002B4900"/>
    <w:rsid w:val="002B4BDA"/>
    <w:rsid w:val="002B6364"/>
    <w:rsid w:val="002B7681"/>
    <w:rsid w:val="002B7F82"/>
    <w:rsid w:val="002C0441"/>
    <w:rsid w:val="002C0DB5"/>
    <w:rsid w:val="002C15A0"/>
    <w:rsid w:val="002C2021"/>
    <w:rsid w:val="002C22CF"/>
    <w:rsid w:val="002C3E23"/>
    <w:rsid w:val="002C3E51"/>
    <w:rsid w:val="002C504B"/>
    <w:rsid w:val="002C6557"/>
    <w:rsid w:val="002C655B"/>
    <w:rsid w:val="002C6856"/>
    <w:rsid w:val="002C743D"/>
    <w:rsid w:val="002D221B"/>
    <w:rsid w:val="002D339C"/>
    <w:rsid w:val="002D43A2"/>
    <w:rsid w:val="002D451C"/>
    <w:rsid w:val="002D4882"/>
    <w:rsid w:val="002D5321"/>
    <w:rsid w:val="002D60B8"/>
    <w:rsid w:val="002D6A10"/>
    <w:rsid w:val="002D6BDB"/>
    <w:rsid w:val="002D744A"/>
    <w:rsid w:val="002D7D0E"/>
    <w:rsid w:val="002E024D"/>
    <w:rsid w:val="002E1075"/>
    <w:rsid w:val="002E1BED"/>
    <w:rsid w:val="002E258D"/>
    <w:rsid w:val="002E3ED6"/>
    <w:rsid w:val="002E5019"/>
    <w:rsid w:val="002E5643"/>
    <w:rsid w:val="002E6179"/>
    <w:rsid w:val="002E6266"/>
    <w:rsid w:val="002E678E"/>
    <w:rsid w:val="002E6CE6"/>
    <w:rsid w:val="002E708A"/>
    <w:rsid w:val="002E7635"/>
    <w:rsid w:val="002E770D"/>
    <w:rsid w:val="002F01F8"/>
    <w:rsid w:val="002F06CE"/>
    <w:rsid w:val="002F1474"/>
    <w:rsid w:val="002F3854"/>
    <w:rsid w:val="002F42C2"/>
    <w:rsid w:val="002F5587"/>
    <w:rsid w:val="002F5FB0"/>
    <w:rsid w:val="002F6A89"/>
    <w:rsid w:val="002F741D"/>
    <w:rsid w:val="00300B84"/>
    <w:rsid w:val="00301A6D"/>
    <w:rsid w:val="00301FDB"/>
    <w:rsid w:val="0030208B"/>
    <w:rsid w:val="0030247A"/>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3421"/>
    <w:rsid w:val="00313440"/>
    <w:rsid w:val="00314298"/>
    <w:rsid w:val="0031471E"/>
    <w:rsid w:val="0031533C"/>
    <w:rsid w:val="003158E4"/>
    <w:rsid w:val="003176D3"/>
    <w:rsid w:val="00320B22"/>
    <w:rsid w:val="003228DE"/>
    <w:rsid w:val="00323C8A"/>
    <w:rsid w:val="00326096"/>
    <w:rsid w:val="00326AE5"/>
    <w:rsid w:val="00327C76"/>
    <w:rsid w:val="00330421"/>
    <w:rsid w:val="003308B9"/>
    <w:rsid w:val="0033237E"/>
    <w:rsid w:val="003334FB"/>
    <w:rsid w:val="003344E7"/>
    <w:rsid w:val="0033500C"/>
    <w:rsid w:val="0033779C"/>
    <w:rsid w:val="00337AC6"/>
    <w:rsid w:val="0034055F"/>
    <w:rsid w:val="00343A18"/>
    <w:rsid w:val="00343B76"/>
    <w:rsid w:val="0034476B"/>
    <w:rsid w:val="00344820"/>
    <w:rsid w:val="00345BF7"/>
    <w:rsid w:val="00346913"/>
    <w:rsid w:val="003469B5"/>
    <w:rsid w:val="00346CE0"/>
    <w:rsid w:val="00350065"/>
    <w:rsid w:val="003528D3"/>
    <w:rsid w:val="00354ABE"/>
    <w:rsid w:val="00354D3D"/>
    <w:rsid w:val="00356082"/>
    <w:rsid w:val="0035631A"/>
    <w:rsid w:val="00356492"/>
    <w:rsid w:val="003565D0"/>
    <w:rsid w:val="00357C6C"/>
    <w:rsid w:val="00360657"/>
    <w:rsid w:val="0036188C"/>
    <w:rsid w:val="00361EBE"/>
    <w:rsid w:val="0036244C"/>
    <w:rsid w:val="00364458"/>
    <w:rsid w:val="00366AFE"/>
    <w:rsid w:val="00367B98"/>
    <w:rsid w:val="00370711"/>
    <w:rsid w:val="00370B3F"/>
    <w:rsid w:val="00371178"/>
    <w:rsid w:val="00371757"/>
    <w:rsid w:val="003717EF"/>
    <w:rsid w:val="00372A23"/>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5772"/>
    <w:rsid w:val="0038638B"/>
    <w:rsid w:val="003869E6"/>
    <w:rsid w:val="00387734"/>
    <w:rsid w:val="003904BC"/>
    <w:rsid w:val="0039116D"/>
    <w:rsid w:val="003911D7"/>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C05"/>
    <w:rsid w:val="00397D0E"/>
    <w:rsid w:val="003A078F"/>
    <w:rsid w:val="003A0A07"/>
    <w:rsid w:val="003A1D77"/>
    <w:rsid w:val="003A24AD"/>
    <w:rsid w:val="003A2C91"/>
    <w:rsid w:val="003A3B51"/>
    <w:rsid w:val="003A40AD"/>
    <w:rsid w:val="003A66B2"/>
    <w:rsid w:val="003A6A32"/>
    <w:rsid w:val="003A6B7C"/>
    <w:rsid w:val="003A7D7E"/>
    <w:rsid w:val="003A7F5C"/>
    <w:rsid w:val="003B052D"/>
    <w:rsid w:val="003B1459"/>
    <w:rsid w:val="003B1693"/>
    <w:rsid w:val="003B32EC"/>
    <w:rsid w:val="003B3488"/>
    <w:rsid w:val="003B3DBA"/>
    <w:rsid w:val="003B42F3"/>
    <w:rsid w:val="003B4F80"/>
    <w:rsid w:val="003B5B10"/>
    <w:rsid w:val="003B5E55"/>
    <w:rsid w:val="003B5F6A"/>
    <w:rsid w:val="003B623A"/>
    <w:rsid w:val="003B63BE"/>
    <w:rsid w:val="003B6569"/>
    <w:rsid w:val="003B73A3"/>
    <w:rsid w:val="003B7B62"/>
    <w:rsid w:val="003C072B"/>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0F9"/>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217"/>
    <w:rsid w:val="003F64FB"/>
    <w:rsid w:val="003F7C94"/>
    <w:rsid w:val="00400134"/>
    <w:rsid w:val="00401397"/>
    <w:rsid w:val="004029AF"/>
    <w:rsid w:val="00402AC6"/>
    <w:rsid w:val="0040362B"/>
    <w:rsid w:val="004038BC"/>
    <w:rsid w:val="00403B97"/>
    <w:rsid w:val="00406AE2"/>
    <w:rsid w:val="0041036A"/>
    <w:rsid w:val="00410589"/>
    <w:rsid w:val="004123C5"/>
    <w:rsid w:val="0041316A"/>
    <w:rsid w:val="00415457"/>
    <w:rsid w:val="004158F6"/>
    <w:rsid w:val="00415A66"/>
    <w:rsid w:val="00416A31"/>
    <w:rsid w:val="00417136"/>
    <w:rsid w:val="00417240"/>
    <w:rsid w:val="0041770B"/>
    <w:rsid w:val="004205F6"/>
    <w:rsid w:val="00420760"/>
    <w:rsid w:val="00420CFF"/>
    <w:rsid w:val="004224C2"/>
    <w:rsid w:val="00423561"/>
    <w:rsid w:val="00423B46"/>
    <w:rsid w:val="00424376"/>
    <w:rsid w:val="00424FD1"/>
    <w:rsid w:val="00425AA9"/>
    <w:rsid w:val="00426250"/>
    <w:rsid w:val="00426A69"/>
    <w:rsid w:val="00426B77"/>
    <w:rsid w:val="00427A1C"/>
    <w:rsid w:val="00430106"/>
    <w:rsid w:val="004308C1"/>
    <w:rsid w:val="00430F61"/>
    <w:rsid w:val="00431019"/>
    <w:rsid w:val="004330BF"/>
    <w:rsid w:val="00433EC2"/>
    <w:rsid w:val="00434856"/>
    <w:rsid w:val="00434CD9"/>
    <w:rsid w:val="00434FBB"/>
    <w:rsid w:val="004352F7"/>
    <w:rsid w:val="0043554A"/>
    <w:rsid w:val="0043619D"/>
    <w:rsid w:val="004362D3"/>
    <w:rsid w:val="00437F0D"/>
    <w:rsid w:val="004410A6"/>
    <w:rsid w:val="00442315"/>
    <w:rsid w:val="00442A8B"/>
    <w:rsid w:val="00442D1E"/>
    <w:rsid w:val="00443016"/>
    <w:rsid w:val="00444344"/>
    <w:rsid w:val="00444359"/>
    <w:rsid w:val="00444BAC"/>
    <w:rsid w:val="00445945"/>
    <w:rsid w:val="00445FE6"/>
    <w:rsid w:val="004465A6"/>
    <w:rsid w:val="00450691"/>
    <w:rsid w:val="00450D9C"/>
    <w:rsid w:val="00451662"/>
    <w:rsid w:val="00452026"/>
    <w:rsid w:val="00452140"/>
    <w:rsid w:val="00452901"/>
    <w:rsid w:val="00453BB3"/>
    <w:rsid w:val="004545A3"/>
    <w:rsid w:val="00454695"/>
    <w:rsid w:val="0045472A"/>
    <w:rsid w:val="004558D8"/>
    <w:rsid w:val="00457427"/>
    <w:rsid w:val="00457C1C"/>
    <w:rsid w:val="004619FE"/>
    <w:rsid w:val="00462277"/>
    <w:rsid w:val="00462679"/>
    <w:rsid w:val="0046282A"/>
    <w:rsid w:val="00463574"/>
    <w:rsid w:val="00463750"/>
    <w:rsid w:val="00464762"/>
    <w:rsid w:val="00464CD8"/>
    <w:rsid w:val="00464DD4"/>
    <w:rsid w:val="004666F3"/>
    <w:rsid w:val="00467343"/>
    <w:rsid w:val="00467F08"/>
    <w:rsid w:val="0047031A"/>
    <w:rsid w:val="00470DB2"/>
    <w:rsid w:val="004713B0"/>
    <w:rsid w:val="00471A6D"/>
    <w:rsid w:val="0047322E"/>
    <w:rsid w:val="004741BD"/>
    <w:rsid w:val="00474BB8"/>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E47"/>
    <w:rsid w:val="00487449"/>
    <w:rsid w:val="004874D8"/>
    <w:rsid w:val="00487B73"/>
    <w:rsid w:val="00490499"/>
    <w:rsid w:val="004915C5"/>
    <w:rsid w:val="00491A2B"/>
    <w:rsid w:val="0049280F"/>
    <w:rsid w:val="00493966"/>
    <w:rsid w:val="00495EFF"/>
    <w:rsid w:val="00497581"/>
    <w:rsid w:val="00497AB8"/>
    <w:rsid w:val="004A0511"/>
    <w:rsid w:val="004A12F1"/>
    <w:rsid w:val="004A1896"/>
    <w:rsid w:val="004A2EE3"/>
    <w:rsid w:val="004A42E2"/>
    <w:rsid w:val="004A4356"/>
    <w:rsid w:val="004A59D8"/>
    <w:rsid w:val="004A5EEF"/>
    <w:rsid w:val="004A67CF"/>
    <w:rsid w:val="004A7A4B"/>
    <w:rsid w:val="004A7F78"/>
    <w:rsid w:val="004B09E7"/>
    <w:rsid w:val="004B0A42"/>
    <w:rsid w:val="004B0B1D"/>
    <w:rsid w:val="004B0D88"/>
    <w:rsid w:val="004B1004"/>
    <w:rsid w:val="004B27BC"/>
    <w:rsid w:val="004B34B1"/>
    <w:rsid w:val="004B3C41"/>
    <w:rsid w:val="004B3C9A"/>
    <w:rsid w:val="004B4780"/>
    <w:rsid w:val="004B5596"/>
    <w:rsid w:val="004B6792"/>
    <w:rsid w:val="004B7399"/>
    <w:rsid w:val="004B7F11"/>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57B6"/>
    <w:rsid w:val="004C620D"/>
    <w:rsid w:val="004C6FFD"/>
    <w:rsid w:val="004C7214"/>
    <w:rsid w:val="004D008C"/>
    <w:rsid w:val="004D0B68"/>
    <w:rsid w:val="004D0C85"/>
    <w:rsid w:val="004D0F95"/>
    <w:rsid w:val="004D232B"/>
    <w:rsid w:val="004D2CC4"/>
    <w:rsid w:val="004D3010"/>
    <w:rsid w:val="004D3ABB"/>
    <w:rsid w:val="004D47A5"/>
    <w:rsid w:val="004D4A6B"/>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13BD"/>
    <w:rsid w:val="004F347D"/>
    <w:rsid w:val="004F478F"/>
    <w:rsid w:val="004F6C20"/>
    <w:rsid w:val="00501246"/>
    <w:rsid w:val="0050230D"/>
    <w:rsid w:val="005027D7"/>
    <w:rsid w:val="00502D04"/>
    <w:rsid w:val="0050364D"/>
    <w:rsid w:val="00503D17"/>
    <w:rsid w:val="00503EE9"/>
    <w:rsid w:val="00504D6E"/>
    <w:rsid w:val="0051159D"/>
    <w:rsid w:val="005116FB"/>
    <w:rsid w:val="00512645"/>
    <w:rsid w:val="00512AB1"/>
    <w:rsid w:val="00512B6A"/>
    <w:rsid w:val="0051378F"/>
    <w:rsid w:val="00514B75"/>
    <w:rsid w:val="00515D44"/>
    <w:rsid w:val="00521626"/>
    <w:rsid w:val="00521A23"/>
    <w:rsid w:val="00522359"/>
    <w:rsid w:val="0052328B"/>
    <w:rsid w:val="005241C6"/>
    <w:rsid w:val="00526AB0"/>
    <w:rsid w:val="005304EF"/>
    <w:rsid w:val="00530FE1"/>
    <w:rsid w:val="00531AFF"/>
    <w:rsid w:val="00532869"/>
    <w:rsid w:val="00532875"/>
    <w:rsid w:val="00532C46"/>
    <w:rsid w:val="0053327B"/>
    <w:rsid w:val="00534305"/>
    <w:rsid w:val="00534BC2"/>
    <w:rsid w:val="0053604D"/>
    <w:rsid w:val="0053691B"/>
    <w:rsid w:val="00537FF8"/>
    <w:rsid w:val="00541D27"/>
    <w:rsid w:val="005422BB"/>
    <w:rsid w:val="00542913"/>
    <w:rsid w:val="0054414E"/>
    <w:rsid w:val="0054467E"/>
    <w:rsid w:val="00544796"/>
    <w:rsid w:val="005447C7"/>
    <w:rsid w:val="00544BF4"/>
    <w:rsid w:val="005464E6"/>
    <w:rsid w:val="00546938"/>
    <w:rsid w:val="00547163"/>
    <w:rsid w:val="005477AA"/>
    <w:rsid w:val="00547ACF"/>
    <w:rsid w:val="00550D7A"/>
    <w:rsid w:val="005510F7"/>
    <w:rsid w:val="00551582"/>
    <w:rsid w:val="005525C7"/>
    <w:rsid w:val="00552639"/>
    <w:rsid w:val="00554359"/>
    <w:rsid w:val="00554367"/>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6916"/>
    <w:rsid w:val="00566BF5"/>
    <w:rsid w:val="00566F71"/>
    <w:rsid w:val="00567EBC"/>
    <w:rsid w:val="00567FC5"/>
    <w:rsid w:val="00570CDD"/>
    <w:rsid w:val="00570E01"/>
    <w:rsid w:val="00571670"/>
    <w:rsid w:val="00571CCF"/>
    <w:rsid w:val="00572180"/>
    <w:rsid w:val="00572337"/>
    <w:rsid w:val="005738C8"/>
    <w:rsid w:val="00573C3A"/>
    <w:rsid w:val="00573FFE"/>
    <w:rsid w:val="0057486F"/>
    <w:rsid w:val="00575FC3"/>
    <w:rsid w:val="0057625C"/>
    <w:rsid w:val="00576432"/>
    <w:rsid w:val="00576743"/>
    <w:rsid w:val="005771D5"/>
    <w:rsid w:val="0058066B"/>
    <w:rsid w:val="0058099B"/>
    <w:rsid w:val="00580B98"/>
    <w:rsid w:val="00580C52"/>
    <w:rsid w:val="00581784"/>
    <w:rsid w:val="005823E1"/>
    <w:rsid w:val="005836A3"/>
    <w:rsid w:val="00583819"/>
    <w:rsid w:val="00583CBA"/>
    <w:rsid w:val="00584453"/>
    <w:rsid w:val="0058652E"/>
    <w:rsid w:val="00587E00"/>
    <w:rsid w:val="00591838"/>
    <w:rsid w:val="00591873"/>
    <w:rsid w:val="00592809"/>
    <w:rsid w:val="00593343"/>
    <w:rsid w:val="005937A0"/>
    <w:rsid w:val="00594A83"/>
    <w:rsid w:val="00595A38"/>
    <w:rsid w:val="00595D70"/>
    <w:rsid w:val="00596527"/>
    <w:rsid w:val="0059668D"/>
    <w:rsid w:val="005A0C78"/>
    <w:rsid w:val="005A1518"/>
    <w:rsid w:val="005A3AE2"/>
    <w:rsid w:val="005A4251"/>
    <w:rsid w:val="005A47E5"/>
    <w:rsid w:val="005A4807"/>
    <w:rsid w:val="005A51FD"/>
    <w:rsid w:val="005A5A80"/>
    <w:rsid w:val="005A666E"/>
    <w:rsid w:val="005A8476"/>
    <w:rsid w:val="005B0718"/>
    <w:rsid w:val="005B0FC7"/>
    <w:rsid w:val="005B297A"/>
    <w:rsid w:val="005B29EF"/>
    <w:rsid w:val="005B2DA5"/>
    <w:rsid w:val="005B3526"/>
    <w:rsid w:val="005B476F"/>
    <w:rsid w:val="005B4CBD"/>
    <w:rsid w:val="005B50DE"/>
    <w:rsid w:val="005B5F05"/>
    <w:rsid w:val="005B6095"/>
    <w:rsid w:val="005B6173"/>
    <w:rsid w:val="005B65B8"/>
    <w:rsid w:val="005B6A0D"/>
    <w:rsid w:val="005B6D1C"/>
    <w:rsid w:val="005B6FD2"/>
    <w:rsid w:val="005C04E5"/>
    <w:rsid w:val="005C1764"/>
    <w:rsid w:val="005C236C"/>
    <w:rsid w:val="005C34AD"/>
    <w:rsid w:val="005C3B2C"/>
    <w:rsid w:val="005C3D03"/>
    <w:rsid w:val="005C3EBF"/>
    <w:rsid w:val="005C51FA"/>
    <w:rsid w:val="005C5413"/>
    <w:rsid w:val="005C59B9"/>
    <w:rsid w:val="005C5A51"/>
    <w:rsid w:val="005C63C7"/>
    <w:rsid w:val="005C6628"/>
    <w:rsid w:val="005C6B2C"/>
    <w:rsid w:val="005C73E4"/>
    <w:rsid w:val="005C7B1F"/>
    <w:rsid w:val="005D00B8"/>
    <w:rsid w:val="005D06E8"/>
    <w:rsid w:val="005D1195"/>
    <w:rsid w:val="005D11E7"/>
    <w:rsid w:val="005D1CC7"/>
    <w:rsid w:val="005D2167"/>
    <w:rsid w:val="005D4FD1"/>
    <w:rsid w:val="005D688E"/>
    <w:rsid w:val="005D6B98"/>
    <w:rsid w:val="005D6F53"/>
    <w:rsid w:val="005D7422"/>
    <w:rsid w:val="005D794E"/>
    <w:rsid w:val="005E23E8"/>
    <w:rsid w:val="005E2E5F"/>
    <w:rsid w:val="005E2FF9"/>
    <w:rsid w:val="005E30B2"/>
    <w:rsid w:val="005E39B3"/>
    <w:rsid w:val="005E4164"/>
    <w:rsid w:val="005E4D8B"/>
    <w:rsid w:val="005E6BD4"/>
    <w:rsid w:val="005F1BFF"/>
    <w:rsid w:val="005F24C4"/>
    <w:rsid w:val="005F2E6C"/>
    <w:rsid w:val="005F2F76"/>
    <w:rsid w:val="005F3196"/>
    <w:rsid w:val="005F32D1"/>
    <w:rsid w:val="005F3ABD"/>
    <w:rsid w:val="005F3F4A"/>
    <w:rsid w:val="005F3FC6"/>
    <w:rsid w:val="005F75C4"/>
    <w:rsid w:val="006002BF"/>
    <w:rsid w:val="00600301"/>
    <w:rsid w:val="00600387"/>
    <w:rsid w:val="0060089C"/>
    <w:rsid w:val="006008D1"/>
    <w:rsid w:val="00603CC2"/>
    <w:rsid w:val="00604763"/>
    <w:rsid w:val="00605CFE"/>
    <w:rsid w:val="006064F8"/>
    <w:rsid w:val="00607D4B"/>
    <w:rsid w:val="006101CF"/>
    <w:rsid w:val="00610387"/>
    <w:rsid w:val="00611028"/>
    <w:rsid w:val="00611ADA"/>
    <w:rsid w:val="00611E18"/>
    <w:rsid w:val="00611E99"/>
    <w:rsid w:val="00611FC0"/>
    <w:rsid w:val="00612FA8"/>
    <w:rsid w:val="0061357B"/>
    <w:rsid w:val="00613A4A"/>
    <w:rsid w:val="00614157"/>
    <w:rsid w:val="00614A2A"/>
    <w:rsid w:val="00614E91"/>
    <w:rsid w:val="00614ECD"/>
    <w:rsid w:val="006150DC"/>
    <w:rsid w:val="0061606F"/>
    <w:rsid w:val="00616613"/>
    <w:rsid w:val="00616760"/>
    <w:rsid w:val="00616F7E"/>
    <w:rsid w:val="00620F63"/>
    <w:rsid w:val="00621490"/>
    <w:rsid w:val="00622400"/>
    <w:rsid w:val="006231D7"/>
    <w:rsid w:val="00624446"/>
    <w:rsid w:val="00624A71"/>
    <w:rsid w:val="00626031"/>
    <w:rsid w:val="00630C6C"/>
    <w:rsid w:val="00630ED2"/>
    <w:rsid w:val="00631935"/>
    <w:rsid w:val="006345DC"/>
    <w:rsid w:val="00635E09"/>
    <w:rsid w:val="00635EC8"/>
    <w:rsid w:val="00635F15"/>
    <w:rsid w:val="00636B91"/>
    <w:rsid w:val="006373FF"/>
    <w:rsid w:val="00637833"/>
    <w:rsid w:val="00641AC4"/>
    <w:rsid w:val="00642D43"/>
    <w:rsid w:val="0064350E"/>
    <w:rsid w:val="00646A6F"/>
    <w:rsid w:val="00647A19"/>
    <w:rsid w:val="00647D2D"/>
    <w:rsid w:val="00651B45"/>
    <w:rsid w:val="00653397"/>
    <w:rsid w:val="006535C3"/>
    <w:rsid w:val="00653BF3"/>
    <w:rsid w:val="006543C5"/>
    <w:rsid w:val="006553CD"/>
    <w:rsid w:val="006559F5"/>
    <w:rsid w:val="0065752A"/>
    <w:rsid w:val="00661782"/>
    <w:rsid w:val="00661CB6"/>
    <w:rsid w:val="00662C11"/>
    <w:rsid w:val="00664192"/>
    <w:rsid w:val="0066570F"/>
    <w:rsid w:val="006661BE"/>
    <w:rsid w:val="00671522"/>
    <w:rsid w:val="006722DF"/>
    <w:rsid w:val="006723C7"/>
    <w:rsid w:val="00672822"/>
    <w:rsid w:val="006729D2"/>
    <w:rsid w:val="00673B07"/>
    <w:rsid w:val="00673BC6"/>
    <w:rsid w:val="0067411C"/>
    <w:rsid w:val="00675448"/>
    <w:rsid w:val="006775B3"/>
    <w:rsid w:val="006776A3"/>
    <w:rsid w:val="0068149D"/>
    <w:rsid w:val="00681900"/>
    <w:rsid w:val="00682B99"/>
    <w:rsid w:val="00684808"/>
    <w:rsid w:val="0068483E"/>
    <w:rsid w:val="00684AEA"/>
    <w:rsid w:val="006851FD"/>
    <w:rsid w:val="00685D93"/>
    <w:rsid w:val="00686A7E"/>
    <w:rsid w:val="00687967"/>
    <w:rsid w:val="00690F72"/>
    <w:rsid w:val="00691BC1"/>
    <w:rsid w:val="00693A89"/>
    <w:rsid w:val="00694C0B"/>
    <w:rsid w:val="00695FE4"/>
    <w:rsid w:val="006A0F95"/>
    <w:rsid w:val="006A21B7"/>
    <w:rsid w:val="006A21ED"/>
    <w:rsid w:val="006A2C48"/>
    <w:rsid w:val="006A4AFC"/>
    <w:rsid w:val="006A516C"/>
    <w:rsid w:val="006A5D62"/>
    <w:rsid w:val="006A6B80"/>
    <w:rsid w:val="006B09AE"/>
    <w:rsid w:val="006B0D59"/>
    <w:rsid w:val="006B12BD"/>
    <w:rsid w:val="006B1301"/>
    <w:rsid w:val="006B1471"/>
    <w:rsid w:val="006B1EA4"/>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B3"/>
    <w:rsid w:val="006C1A17"/>
    <w:rsid w:val="006C1E1A"/>
    <w:rsid w:val="006C20C5"/>
    <w:rsid w:val="006C441B"/>
    <w:rsid w:val="006C5B11"/>
    <w:rsid w:val="006C5DED"/>
    <w:rsid w:val="006C5ECD"/>
    <w:rsid w:val="006C6C2F"/>
    <w:rsid w:val="006C7B68"/>
    <w:rsid w:val="006D0A91"/>
    <w:rsid w:val="006D0D41"/>
    <w:rsid w:val="006D1520"/>
    <w:rsid w:val="006D2482"/>
    <w:rsid w:val="006D2E02"/>
    <w:rsid w:val="006D2F0C"/>
    <w:rsid w:val="006D2F8F"/>
    <w:rsid w:val="006D3604"/>
    <w:rsid w:val="006D416D"/>
    <w:rsid w:val="006D536E"/>
    <w:rsid w:val="006D547C"/>
    <w:rsid w:val="006D5CAC"/>
    <w:rsid w:val="006D5EB4"/>
    <w:rsid w:val="006E2082"/>
    <w:rsid w:val="006E2F89"/>
    <w:rsid w:val="006E3BE5"/>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61B5"/>
    <w:rsid w:val="006F699E"/>
    <w:rsid w:val="006F71C2"/>
    <w:rsid w:val="0070034D"/>
    <w:rsid w:val="007007C8"/>
    <w:rsid w:val="007008B0"/>
    <w:rsid w:val="00700AC3"/>
    <w:rsid w:val="00700AD6"/>
    <w:rsid w:val="00700E68"/>
    <w:rsid w:val="00701065"/>
    <w:rsid w:val="0070175E"/>
    <w:rsid w:val="0070319F"/>
    <w:rsid w:val="00703DC5"/>
    <w:rsid w:val="00703F37"/>
    <w:rsid w:val="00703FF3"/>
    <w:rsid w:val="007040F2"/>
    <w:rsid w:val="007049DF"/>
    <w:rsid w:val="00705DFA"/>
    <w:rsid w:val="00705EBC"/>
    <w:rsid w:val="007061B6"/>
    <w:rsid w:val="007062A0"/>
    <w:rsid w:val="007120EE"/>
    <w:rsid w:val="007124A0"/>
    <w:rsid w:val="0071279F"/>
    <w:rsid w:val="007130C5"/>
    <w:rsid w:val="007133A6"/>
    <w:rsid w:val="00714246"/>
    <w:rsid w:val="00714D10"/>
    <w:rsid w:val="007153C5"/>
    <w:rsid w:val="0071609C"/>
    <w:rsid w:val="007161D3"/>
    <w:rsid w:val="0071737C"/>
    <w:rsid w:val="00720040"/>
    <w:rsid w:val="007203BD"/>
    <w:rsid w:val="007203DF"/>
    <w:rsid w:val="00720C35"/>
    <w:rsid w:val="00720E7B"/>
    <w:rsid w:val="00721845"/>
    <w:rsid w:val="0072232C"/>
    <w:rsid w:val="00724723"/>
    <w:rsid w:val="00724CA0"/>
    <w:rsid w:val="00726255"/>
    <w:rsid w:val="007262F0"/>
    <w:rsid w:val="00727BE9"/>
    <w:rsid w:val="00730880"/>
    <w:rsid w:val="007314F1"/>
    <w:rsid w:val="00731BE9"/>
    <w:rsid w:val="00731E2B"/>
    <w:rsid w:val="00732EF3"/>
    <w:rsid w:val="00733C32"/>
    <w:rsid w:val="007354D2"/>
    <w:rsid w:val="00735EB9"/>
    <w:rsid w:val="007366D2"/>
    <w:rsid w:val="0074039B"/>
    <w:rsid w:val="007420D7"/>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974"/>
    <w:rsid w:val="00760998"/>
    <w:rsid w:val="00760A24"/>
    <w:rsid w:val="00760B97"/>
    <w:rsid w:val="007613E4"/>
    <w:rsid w:val="00761551"/>
    <w:rsid w:val="00762675"/>
    <w:rsid w:val="00762DE0"/>
    <w:rsid w:val="00762FC8"/>
    <w:rsid w:val="00764532"/>
    <w:rsid w:val="00765825"/>
    <w:rsid w:val="007700D3"/>
    <w:rsid w:val="007702C7"/>
    <w:rsid w:val="00770970"/>
    <w:rsid w:val="0077131C"/>
    <w:rsid w:val="0077138B"/>
    <w:rsid w:val="007727E4"/>
    <w:rsid w:val="00772EC7"/>
    <w:rsid w:val="00773199"/>
    <w:rsid w:val="00774ABB"/>
    <w:rsid w:val="0077534E"/>
    <w:rsid w:val="00775B41"/>
    <w:rsid w:val="00775E91"/>
    <w:rsid w:val="00777133"/>
    <w:rsid w:val="0077733C"/>
    <w:rsid w:val="0078045E"/>
    <w:rsid w:val="00780B70"/>
    <w:rsid w:val="00780EDA"/>
    <w:rsid w:val="00782502"/>
    <w:rsid w:val="007827B5"/>
    <w:rsid w:val="00782847"/>
    <w:rsid w:val="00783777"/>
    <w:rsid w:val="00783D20"/>
    <w:rsid w:val="00785232"/>
    <w:rsid w:val="0078549A"/>
    <w:rsid w:val="007862D0"/>
    <w:rsid w:val="0079247D"/>
    <w:rsid w:val="0079268D"/>
    <w:rsid w:val="007930DA"/>
    <w:rsid w:val="007932BD"/>
    <w:rsid w:val="007933E5"/>
    <w:rsid w:val="00793C9F"/>
    <w:rsid w:val="0079470F"/>
    <w:rsid w:val="007948D4"/>
    <w:rsid w:val="00794EBA"/>
    <w:rsid w:val="00794F2D"/>
    <w:rsid w:val="00795306"/>
    <w:rsid w:val="007954D3"/>
    <w:rsid w:val="00796159"/>
    <w:rsid w:val="007977F2"/>
    <w:rsid w:val="00797AAD"/>
    <w:rsid w:val="007A2F02"/>
    <w:rsid w:val="007A3DA9"/>
    <w:rsid w:val="007A5127"/>
    <w:rsid w:val="007A56DB"/>
    <w:rsid w:val="007A5C51"/>
    <w:rsid w:val="007A75A3"/>
    <w:rsid w:val="007B25FF"/>
    <w:rsid w:val="007B2A03"/>
    <w:rsid w:val="007B3086"/>
    <w:rsid w:val="007B3186"/>
    <w:rsid w:val="007B33BD"/>
    <w:rsid w:val="007B3982"/>
    <w:rsid w:val="007B41D7"/>
    <w:rsid w:val="007B4C2A"/>
    <w:rsid w:val="007B70B5"/>
    <w:rsid w:val="007B72FF"/>
    <w:rsid w:val="007C0DB7"/>
    <w:rsid w:val="007C1A7D"/>
    <w:rsid w:val="007C1F02"/>
    <w:rsid w:val="007C1F6C"/>
    <w:rsid w:val="007C4094"/>
    <w:rsid w:val="007C45C5"/>
    <w:rsid w:val="007C4C80"/>
    <w:rsid w:val="007C608D"/>
    <w:rsid w:val="007C6200"/>
    <w:rsid w:val="007C6994"/>
    <w:rsid w:val="007C6A3C"/>
    <w:rsid w:val="007C6DDA"/>
    <w:rsid w:val="007C7678"/>
    <w:rsid w:val="007D20FC"/>
    <w:rsid w:val="007D29EC"/>
    <w:rsid w:val="007D3402"/>
    <w:rsid w:val="007D4B3C"/>
    <w:rsid w:val="007D50AE"/>
    <w:rsid w:val="007D50FB"/>
    <w:rsid w:val="007D516C"/>
    <w:rsid w:val="007D6827"/>
    <w:rsid w:val="007E13F9"/>
    <w:rsid w:val="007E1EA6"/>
    <w:rsid w:val="007E2FDE"/>
    <w:rsid w:val="007E481C"/>
    <w:rsid w:val="007E4C1F"/>
    <w:rsid w:val="007E50CC"/>
    <w:rsid w:val="007E54F8"/>
    <w:rsid w:val="007E6851"/>
    <w:rsid w:val="007E6943"/>
    <w:rsid w:val="007E792F"/>
    <w:rsid w:val="007F0204"/>
    <w:rsid w:val="007F0D03"/>
    <w:rsid w:val="007F0F8D"/>
    <w:rsid w:val="007F192C"/>
    <w:rsid w:val="007F2358"/>
    <w:rsid w:val="007F28CB"/>
    <w:rsid w:val="007F2E28"/>
    <w:rsid w:val="007F3679"/>
    <w:rsid w:val="007F3879"/>
    <w:rsid w:val="007F48D5"/>
    <w:rsid w:val="007F4920"/>
    <w:rsid w:val="007F5830"/>
    <w:rsid w:val="007F5890"/>
    <w:rsid w:val="007F5C3C"/>
    <w:rsid w:val="007F5C58"/>
    <w:rsid w:val="007F6449"/>
    <w:rsid w:val="007F6674"/>
    <w:rsid w:val="007F6941"/>
    <w:rsid w:val="007F6DCD"/>
    <w:rsid w:val="007F6DD8"/>
    <w:rsid w:val="0080630B"/>
    <w:rsid w:val="00806AB5"/>
    <w:rsid w:val="00807142"/>
    <w:rsid w:val="008074E3"/>
    <w:rsid w:val="00807802"/>
    <w:rsid w:val="0080799C"/>
    <w:rsid w:val="00810017"/>
    <w:rsid w:val="00810C18"/>
    <w:rsid w:val="00810CB3"/>
    <w:rsid w:val="00810CC7"/>
    <w:rsid w:val="00812BAD"/>
    <w:rsid w:val="00814421"/>
    <w:rsid w:val="00814AFC"/>
    <w:rsid w:val="00814B22"/>
    <w:rsid w:val="00815D0B"/>
    <w:rsid w:val="00817B31"/>
    <w:rsid w:val="00817CC6"/>
    <w:rsid w:val="00822862"/>
    <w:rsid w:val="00822BDF"/>
    <w:rsid w:val="0082350A"/>
    <w:rsid w:val="00823765"/>
    <w:rsid w:val="0082597B"/>
    <w:rsid w:val="00827291"/>
    <w:rsid w:val="0082732C"/>
    <w:rsid w:val="00831557"/>
    <w:rsid w:val="00831A5D"/>
    <w:rsid w:val="00831DB4"/>
    <w:rsid w:val="0083218B"/>
    <w:rsid w:val="008350BE"/>
    <w:rsid w:val="008365EC"/>
    <w:rsid w:val="0083689F"/>
    <w:rsid w:val="00837390"/>
    <w:rsid w:val="00840A8F"/>
    <w:rsid w:val="0084313C"/>
    <w:rsid w:val="00843BBE"/>
    <w:rsid w:val="00844176"/>
    <w:rsid w:val="008449C4"/>
    <w:rsid w:val="00844A32"/>
    <w:rsid w:val="00846A9D"/>
    <w:rsid w:val="00846BDC"/>
    <w:rsid w:val="008503CA"/>
    <w:rsid w:val="00850C70"/>
    <w:rsid w:val="00852BA6"/>
    <w:rsid w:val="0085308E"/>
    <w:rsid w:val="0085318D"/>
    <w:rsid w:val="00854476"/>
    <w:rsid w:val="0085599C"/>
    <w:rsid w:val="008565FB"/>
    <w:rsid w:val="008577FA"/>
    <w:rsid w:val="00860ED9"/>
    <w:rsid w:val="00861140"/>
    <w:rsid w:val="00862383"/>
    <w:rsid w:val="00862580"/>
    <w:rsid w:val="00862834"/>
    <w:rsid w:val="00870E97"/>
    <w:rsid w:val="00870EAD"/>
    <w:rsid w:val="00870FE1"/>
    <w:rsid w:val="00871516"/>
    <w:rsid w:val="00871D45"/>
    <w:rsid w:val="00871E2F"/>
    <w:rsid w:val="00874288"/>
    <w:rsid w:val="00874E17"/>
    <w:rsid w:val="00876284"/>
    <w:rsid w:val="0087633D"/>
    <w:rsid w:val="008764DD"/>
    <w:rsid w:val="008765D9"/>
    <w:rsid w:val="00877499"/>
    <w:rsid w:val="008804A5"/>
    <w:rsid w:val="00880910"/>
    <w:rsid w:val="00880FCF"/>
    <w:rsid w:val="008814E9"/>
    <w:rsid w:val="00883029"/>
    <w:rsid w:val="00883C37"/>
    <w:rsid w:val="008840C0"/>
    <w:rsid w:val="008841EB"/>
    <w:rsid w:val="00884458"/>
    <w:rsid w:val="0088688D"/>
    <w:rsid w:val="00887984"/>
    <w:rsid w:val="008910B2"/>
    <w:rsid w:val="00891622"/>
    <w:rsid w:val="00891A13"/>
    <w:rsid w:val="00891C00"/>
    <w:rsid w:val="00891F12"/>
    <w:rsid w:val="008921BE"/>
    <w:rsid w:val="0089339B"/>
    <w:rsid w:val="0089370F"/>
    <w:rsid w:val="008939FD"/>
    <w:rsid w:val="008958DE"/>
    <w:rsid w:val="00895E41"/>
    <w:rsid w:val="008964C6"/>
    <w:rsid w:val="0089734D"/>
    <w:rsid w:val="008A0A32"/>
    <w:rsid w:val="008A1056"/>
    <w:rsid w:val="008A1759"/>
    <w:rsid w:val="008A1A4D"/>
    <w:rsid w:val="008A3E74"/>
    <w:rsid w:val="008A4F1C"/>
    <w:rsid w:val="008A50CB"/>
    <w:rsid w:val="008A5336"/>
    <w:rsid w:val="008A67A7"/>
    <w:rsid w:val="008A6896"/>
    <w:rsid w:val="008A77C3"/>
    <w:rsid w:val="008A7CC5"/>
    <w:rsid w:val="008B00EB"/>
    <w:rsid w:val="008B0720"/>
    <w:rsid w:val="008B13FC"/>
    <w:rsid w:val="008B1C5A"/>
    <w:rsid w:val="008B1CC3"/>
    <w:rsid w:val="008B206C"/>
    <w:rsid w:val="008B24D9"/>
    <w:rsid w:val="008B2B60"/>
    <w:rsid w:val="008B34AA"/>
    <w:rsid w:val="008B4335"/>
    <w:rsid w:val="008B4A37"/>
    <w:rsid w:val="008B4C63"/>
    <w:rsid w:val="008B50C6"/>
    <w:rsid w:val="008B5413"/>
    <w:rsid w:val="008B56DF"/>
    <w:rsid w:val="008B5B2C"/>
    <w:rsid w:val="008B5EFB"/>
    <w:rsid w:val="008B69DC"/>
    <w:rsid w:val="008B7953"/>
    <w:rsid w:val="008C06A2"/>
    <w:rsid w:val="008C211E"/>
    <w:rsid w:val="008C21AD"/>
    <w:rsid w:val="008C239D"/>
    <w:rsid w:val="008C2C8D"/>
    <w:rsid w:val="008C3921"/>
    <w:rsid w:val="008C4728"/>
    <w:rsid w:val="008C63CB"/>
    <w:rsid w:val="008C772F"/>
    <w:rsid w:val="008C791F"/>
    <w:rsid w:val="008C7959"/>
    <w:rsid w:val="008D10D2"/>
    <w:rsid w:val="008D1F88"/>
    <w:rsid w:val="008D24C3"/>
    <w:rsid w:val="008D3653"/>
    <w:rsid w:val="008D39F7"/>
    <w:rsid w:val="008D410D"/>
    <w:rsid w:val="008D4F09"/>
    <w:rsid w:val="008D539E"/>
    <w:rsid w:val="008D58BA"/>
    <w:rsid w:val="008D64B7"/>
    <w:rsid w:val="008D6523"/>
    <w:rsid w:val="008D65D5"/>
    <w:rsid w:val="008D6EFF"/>
    <w:rsid w:val="008D75EB"/>
    <w:rsid w:val="008D7F23"/>
    <w:rsid w:val="008E066B"/>
    <w:rsid w:val="008E07F9"/>
    <w:rsid w:val="008E0F42"/>
    <w:rsid w:val="008E12FB"/>
    <w:rsid w:val="008E140F"/>
    <w:rsid w:val="008E1EC9"/>
    <w:rsid w:val="008E1F57"/>
    <w:rsid w:val="008E22BF"/>
    <w:rsid w:val="008E2678"/>
    <w:rsid w:val="008E3DDA"/>
    <w:rsid w:val="008E5D85"/>
    <w:rsid w:val="008E6B58"/>
    <w:rsid w:val="008E751B"/>
    <w:rsid w:val="008E7997"/>
    <w:rsid w:val="008F0BA6"/>
    <w:rsid w:val="008F32D1"/>
    <w:rsid w:val="008F5CF9"/>
    <w:rsid w:val="008F7621"/>
    <w:rsid w:val="00900C33"/>
    <w:rsid w:val="0090193D"/>
    <w:rsid w:val="009034C7"/>
    <w:rsid w:val="00903DC6"/>
    <w:rsid w:val="009069E6"/>
    <w:rsid w:val="00906ABE"/>
    <w:rsid w:val="009072BF"/>
    <w:rsid w:val="00907D1C"/>
    <w:rsid w:val="00907DD7"/>
    <w:rsid w:val="00910729"/>
    <w:rsid w:val="00910B20"/>
    <w:rsid w:val="00910BBC"/>
    <w:rsid w:val="0091182D"/>
    <w:rsid w:val="00911DA2"/>
    <w:rsid w:val="0091207E"/>
    <w:rsid w:val="009123CC"/>
    <w:rsid w:val="0091304C"/>
    <w:rsid w:val="0091445D"/>
    <w:rsid w:val="00915081"/>
    <w:rsid w:val="009165D6"/>
    <w:rsid w:val="00916926"/>
    <w:rsid w:val="009174D5"/>
    <w:rsid w:val="00917B01"/>
    <w:rsid w:val="00917D6F"/>
    <w:rsid w:val="00921504"/>
    <w:rsid w:val="009215F2"/>
    <w:rsid w:val="00921E12"/>
    <w:rsid w:val="00921FC0"/>
    <w:rsid w:val="00922352"/>
    <w:rsid w:val="00922667"/>
    <w:rsid w:val="009229DF"/>
    <w:rsid w:val="00925560"/>
    <w:rsid w:val="0092710C"/>
    <w:rsid w:val="00927413"/>
    <w:rsid w:val="0093112B"/>
    <w:rsid w:val="00931F06"/>
    <w:rsid w:val="0093224E"/>
    <w:rsid w:val="0093298F"/>
    <w:rsid w:val="009354F2"/>
    <w:rsid w:val="0093550F"/>
    <w:rsid w:val="00935BBE"/>
    <w:rsid w:val="00936788"/>
    <w:rsid w:val="009370A3"/>
    <w:rsid w:val="00937BB0"/>
    <w:rsid w:val="0094022B"/>
    <w:rsid w:val="00941E05"/>
    <w:rsid w:val="00942026"/>
    <w:rsid w:val="00942212"/>
    <w:rsid w:val="00942D63"/>
    <w:rsid w:val="0094437B"/>
    <w:rsid w:val="00944A48"/>
    <w:rsid w:val="009455DB"/>
    <w:rsid w:val="00945DB2"/>
    <w:rsid w:val="00947224"/>
    <w:rsid w:val="009511D6"/>
    <w:rsid w:val="009516C0"/>
    <w:rsid w:val="00951ED7"/>
    <w:rsid w:val="00952432"/>
    <w:rsid w:val="00954428"/>
    <w:rsid w:val="00954541"/>
    <w:rsid w:val="00954C0F"/>
    <w:rsid w:val="00956218"/>
    <w:rsid w:val="00956C4B"/>
    <w:rsid w:val="00957D28"/>
    <w:rsid w:val="00957E64"/>
    <w:rsid w:val="0096134B"/>
    <w:rsid w:val="00961605"/>
    <w:rsid w:val="009620C5"/>
    <w:rsid w:val="00962449"/>
    <w:rsid w:val="00962BDC"/>
    <w:rsid w:val="00963C88"/>
    <w:rsid w:val="009654DD"/>
    <w:rsid w:val="00965995"/>
    <w:rsid w:val="00966814"/>
    <w:rsid w:val="00966DC4"/>
    <w:rsid w:val="00967191"/>
    <w:rsid w:val="0097000E"/>
    <w:rsid w:val="00970443"/>
    <w:rsid w:val="00970D58"/>
    <w:rsid w:val="00972E8B"/>
    <w:rsid w:val="00973167"/>
    <w:rsid w:val="009749EF"/>
    <w:rsid w:val="009756A6"/>
    <w:rsid w:val="00976232"/>
    <w:rsid w:val="00980174"/>
    <w:rsid w:val="00981A42"/>
    <w:rsid w:val="00981CF1"/>
    <w:rsid w:val="00984B89"/>
    <w:rsid w:val="009851F4"/>
    <w:rsid w:val="00985946"/>
    <w:rsid w:val="00985A6C"/>
    <w:rsid w:val="00985CCF"/>
    <w:rsid w:val="00985EED"/>
    <w:rsid w:val="0098645D"/>
    <w:rsid w:val="00987FC0"/>
    <w:rsid w:val="0099123D"/>
    <w:rsid w:val="00991CB1"/>
    <w:rsid w:val="009921E3"/>
    <w:rsid w:val="00992449"/>
    <w:rsid w:val="0099282E"/>
    <w:rsid w:val="00993596"/>
    <w:rsid w:val="00995C6B"/>
    <w:rsid w:val="00996368"/>
    <w:rsid w:val="00996A2F"/>
    <w:rsid w:val="00996B89"/>
    <w:rsid w:val="009977A9"/>
    <w:rsid w:val="00997FBA"/>
    <w:rsid w:val="009A00EB"/>
    <w:rsid w:val="009A05D8"/>
    <w:rsid w:val="009A2E9F"/>
    <w:rsid w:val="009A3066"/>
    <w:rsid w:val="009A4D52"/>
    <w:rsid w:val="009A5DBB"/>
    <w:rsid w:val="009A6766"/>
    <w:rsid w:val="009A692C"/>
    <w:rsid w:val="009A7E10"/>
    <w:rsid w:val="009B1CEB"/>
    <w:rsid w:val="009B2576"/>
    <w:rsid w:val="009B2FC2"/>
    <w:rsid w:val="009B3508"/>
    <w:rsid w:val="009B3AE3"/>
    <w:rsid w:val="009B430C"/>
    <w:rsid w:val="009B43EB"/>
    <w:rsid w:val="009B584C"/>
    <w:rsid w:val="009B6613"/>
    <w:rsid w:val="009B6674"/>
    <w:rsid w:val="009B69DB"/>
    <w:rsid w:val="009B7000"/>
    <w:rsid w:val="009B75D4"/>
    <w:rsid w:val="009C0178"/>
    <w:rsid w:val="009C030C"/>
    <w:rsid w:val="009C061A"/>
    <w:rsid w:val="009C108E"/>
    <w:rsid w:val="009C1FE8"/>
    <w:rsid w:val="009C20EF"/>
    <w:rsid w:val="009C228A"/>
    <w:rsid w:val="009C282F"/>
    <w:rsid w:val="009C2E2D"/>
    <w:rsid w:val="009C3257"/>
    <w:rsid w:val="009C5640"/>
    <w:rsid w:val="009C66A9"/>
    <w:rsid w:val="009C7F6E"/>
    <w:rsid w:val="009CE1C5"/>
    <w:rsid w:val="009D0551"/>
    <w:rsid w:val="009D0A96"/>
    <w:rsid w:val="009D1051"/>
    <w:rsid w:val="009D2037"/>
    <w:rsid w:val="009D2447"/>
    <w:rsid w:val="009D3F87"/>
    <w:rsid w:val="009D43B2"/>
    <w:rsid w:val="009E03F3"/>
    <w:rsid w:val="009E0735"/>
    <w:rsid w:val="009E0E02"/>
    <w:rsid w:val="009E3EE9"/>
    <w:rsid w:val="009E4A8E"/>
    <w:rsid w:val="009E5AE2"/>
    <w:rsid w:val="009E5C84"/>
    <w:rsid w:val="009E7BF2"/>
    <w:rsid w:val="009F0C9B"/>
    <w:rsid w:val="009F0FC9"/>
    <w:rsid w:val="009F1159"/>
    <w:rsid w:val="009F1A7E"/>
    <w:rsid w:val="009F2D36"/>
    <w:rsid w:val="009F32A0"/>
    <w:rsid w:val="009F32F1"/>
    <w:rsid w:val="009F353A"/>
    <w:rsid w:val="009F3DCF"/>
    <w:rsid w:val="009F5138"/>
    <w:rsid w:val="009F5D3E"/>
    <w:rsid w:val="009F6CBA"/>
    <w:rsid w:val="00A02940"/>
    <w:rsid w:val="00A037AB"/>
    <w:rsid w:val="00A03E32"/>
    <w:rsid w:val="00A075B0"/>
    <w:rsid w:val="00A11259"/>
    <w:rsid w:val="00A12AFC"/>
    <w:rsid w:val="00A12B76"/>
    <w:rsid w:val="00A12CC2"/>
    <w:rsid w:val="00A13AEE"/>
    <w:rsid w:val="00A13E39"/>
    <w:rsid w:val="00A13FC8"/>
    <w:rsid w:val="00A14369"/>
    <w:rsid w:val="00A154D5"/>
    <w:rsid w:val="00A15B2D"/>
    <w:rsid w:val="00A17758"/>
    <w:rsid w:val="00A2067E"/>
    <w:rsid w:val="00A20B99"/>
    <w:rsid w:val="00A2139F"/>
    <w:rsid w:val="00A21F19"/>
    <w:rsid w:val="00A229AC"/>
    <w:rsid w:val="00A23E8B"/>
    <w:rsid w:val="00A25225"/>
    <w:rsid w:val="00A25B4B"/>
    <w:rsid w:val="00A26329"/>
    <w:rsid w:val="00A26607"/>
    <w:rsid w:val="00A26676"/>
    <w:rsid w:val="00A267B2"/>
    <w:rsid w:val="00A27A02"/>
    <w:rsid w:val="00A300B8"/>
    <w:rsid w:val="00A30DAB"/>
    <w:rsid w:val="00A31263"/>
    <w:rsid w:val="00A3172A"/>
    <w:rsid w:val="00A32A3F"/>
    <w:rsid w:val="00A337C5"/>
    <w:rsid w:val="00A33B10"/>
    <w:rsid w:val="00A340FB"/>
    <w:rsid w:val="00A34C17"/>
    <w:rsid w:val="00A34EAB"/>
    <w:rsid w:val="00A34FAD"/>
    <w:rsid w:val="00A3537A"/>
    <w:rsid w:val="00A35920"/>
    <w:rsid w:val="00A3616E"/>
    <w:rsid w:val="00A37CD5"/>
    <w:rsid w:val="00A41FB2"/>
    <w:rsid w:val="00A43105"/>
    <w:rsid w:val="00A432F5"/>
    <w:rsid w:val="00A43A02"/>
    <w:rsid w:val="00A441F4"/>
    <w:rsid w:val="00A44F41"/>
    <w:rsid w:val="00A4530B"/>
    <w:rsid w:val="00A456AD"/>
    <w:rsid w:val="00A468F1"/>
    <w:rsid w:val="00A471D7"/>
    <w:rsid w:val="00A4760E"/>
    <w:rsid w:val="00A50198"/>
    <w:rsid w:val="00A51D91"/>
    <w:rsid w:val="00A52EE9"/>
    <w:rsid w:val="00A539DD"/>
    <w:rsid w:val="00A541ED"/>
    <w:rsid w:val="00A5551D"/>
    <w:rsid w:val="00A562DC"/>
    <w:rsid w:val="00A5650D"/>
    <w:rsid w:val="00A56E9B"/>
    <w:rsid w:val="00A56F27"/>
    <w:rsid w:val="00A57518"/>
    <w:rsid w:val="00A607D5"/>
    <w:rsid w:val="00A60C80"/>
    <w:rsid w:val="00A60F3B"/>
    <w:rsid w:val="00A61823"/>
    <w:rsid w:val="00A6403F"/>
    <w:rsid w:val="00A660B7"/>
    <w:rsid w:val="00A66F1F"/>
    <w:rsid w:val="00A6778E"/>
    <w:rsid w:val="00A67C56"/>
    <w:rsid w:val="00A71824"/>
    <w:rsid w:val="00A718EE"/>
    <w:rsid w:val="00A73448"/>
    <w:rsid w:val="00A73F1C"/>
    <w:rsid w:val="00A746E9"/>
    <w:rsid w:val="00A755C5"/>
    <w:rsid w:val="00A76723"/>
    <w:rsid w:val="00A7692F"/>
    <w:rsid w:val="00A76C0A"/>
    <w:rsid w:val="00A76E4B"/>
    <w:rsid w:val="00A80C5F"/>
    <w:rsid w:val="00A80C73"/>
    <w:rsid w:val="00A82313"/>
    <w:rsid w:val="00A8562D"/>
    <w:rsid w:val="00A863D2"/>
    <w:rsid w:val="00A866CB"/>
    <w:rsid w:val="00A86F1C"/>
    <w:rsid w:val="00A9159E"/>
    <w:rsid w:val="00A9174A"/>
    <w:rsid w:val="00A9188C"/>
    <w:rsid w:val="00A92199"/>
    <w:rsid w:val="00A92353"/>
    <w:rsid w:val="00A92A07"/>
    <w:rsid w:val="00A93054"/>
    <w:rsid w:val="00A94B68"/>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31CE"/>
    <w:rsid w:val="00AB35E1"/>
    <w:rsid w:val="00AB382F"/>
    <w:rsid w:val="00AB3EB4"/>
    <w:rsid w:val="00AB4677"/>
    <w:rsid w:val="00AB6060"/>
    <w:rsid w:val="00AB6AE8"/>
    <w:rsid w:val="00AC16D2"/>
    <w:rsid w:val="00AC24BD"/>
    <w:rsid w:val="00AC3708"/>
    <w:rsid w:val="00AC4A65"/>
    <w:rsid w:val="00AC5197"/>
    <w:rsid w:val="00AC5779"/>
    <w:rsid w:val="00AC6262"/>
    <w:rsid w:val="00AD081A"/>
    <w:rsid w:val="00AD0AD3"/>
    <w:rsid w:val="00AD0B37"/>
    <w:rsid w:val="00AD2EBB"/>
    <w:rsid w:val="00AD3D79"/>
    <w:rsid w:val="00AD488C"/>
    <w:rsid w:val="00AD48AA"/>
    <w:rsid w:val="00AD49E0"/>
    <w:rsid w:val="00AD4BDC"/>
    <w:rsid w:val="00AD5B91"/>
    <w:rsid w:val="00AD5C75"/>
    <w:rsid w:val="00AD6AEF"/>
    <w:rsid w:val="00AD7659"/>
    <w:rsid w:val="00AE0055"/>
    <w:rsid w:val="00AE091D"/>
    <w:rsid w:val="00AE2FAE"/>
    <w:rsid w:val="00AE350B"/>
    <w:rsid w:val="00AE3B88"/>
    <w:rsid w:val="00AE4C8F"/>
    <w:rsid w:val="00AE5675"/>
    <w:rsid w:val="00AE57EC"/>
    <w:rsid w:val="00AE632C"/>
    <w:rsid w:val="00AE64F9"/>
    <w:rsid w:val="00AE664E"/>
    <w:rsid w:val="00AE7682"/>
    <w:rsid w:val="00AE7D1B"/>
    <w:rsid w:val="00AF0472"/>
    <w:rsid w:val="00AF080B"/>
    <w:rsid w:val="00AF1C04"/>
    <w:rsid w:val="00AF2547"/>
    <w:rsid w:val="00AF254A"/>
    <w:rsid w:val="00AF2A9E"/>
    <w:rsid w:val="00AF36C9"/>
    <w:rsid w:val="00AF5DF5"/>
    <w:rsid w:val="00AF755E"/>
    <w:rsid w:val="00B0155C"/>
    <w:rsid w:val="00B02EDD"/>
    <w:rsid w:val="00B03584"/>
    <w:rsid w:val="00B039A0"/>
    <w:rsid w:val="00B04187"/>
    <w:rsid w:val="00B04603"/>
    <w:rsid w:val="00B0569D"/>
    <w:rsid w:val="00B0675E"/>
    <w:rsid w:val="00B07749"/>
    <w:rsid w:val="00B1092B"/>
    <w:rsid w:val="00B10B94"/>
    <w:rsid w:val="00B111A5"/>
    <w:rsid w:val="00B117F2"/>
    <w:rsid w:val="00B1279F"/>
    <w:rsid w:val="00B128F7"/>
    <w:rsid w:val="00B13379"/>
    <w:rsid w:val="00B136B9"/>
    <w:rsid w:val="00B13C6F"/>
    <w:rsid w:val="00B14D75"/>
    <w:rsid w:val="00B14D78"/>
    <w:rsid w:val="00B15054"/>
    <w:rsid w:val="00B1512B"/>
    <w:rsid w:val="00B153F8"/>
    <w:rsid w:val="00B157DC"/>
    <w:rsid w:val="00B15DBA"/>
    <w:rsid w:val="00B15E05"/>
    <w:rsid w:val="00B16A95"/>
    <w:rsid w:val="00B21B0B"/>
    <w:rsid w:val="00B21B79"/>
    <w:rsid w:val="00B2297A"/>
    <w:rsid w:val="00B230F6"/>
    <w:rsid w:val="00B23F23"/>
    <w:rsid w:val="00B23FDD"/>
    <w:rsid w:val="00B244D1"/>
    <w:rsid w:val="00B2497E"/>
    <w:rsid w:val="00B24DCB"/>
    <w:rsid w:val="00B257AE"/>
    <w:rsid w:val="00B26202"/>
    <w:rsid w:val="00B2683B"/>
    <w:rsid w:val="00B278A0"/>
    <w:rsid w:val="00B300C7"/>
    <w:rsid w:val="00B30CFE"/>
    <w:rsid w:val="00B3184A"/>
    <w:rsid w:val="00B32793"/>
    <w:rsid w:val="00B32E4D"/>
    <w:rsid w:val="00B33D89"/>
    <w:rsid w:val="00B34768"/>
    <w:rsid w:val="00B34F7D"/>
    <w:rsid w:val="00B355D9"/>
    <w:rsid w:val="00B3560A"/>
    <w:rsid w:val="00B35CE9"/>
    <w:rsid w:val="00B37CCD"/>
    <w:rsid w:val="00B404B6"/>
    <w:rsid w:val="00B414FF"/>
    <w:rsid w:val="00B4164D"/>
    <w:rsid w:val="00B44DA6"/>
    <w:rsid w:val="00B450C4"/>
    <w:rsid w:val="00B457C4"/>
    <w:rsid w:val="00B462F7"/>
    <w:rsid w:val="00B4697F"/>
    <w:rsid w:val="00B46A16"/>
    <w:rsid w:val="00B47747"/>
    <w:rsid w:val="00B47E34"/>
    <w:rsid w:val="00B50D88"/>
    <w:rsid w:val="00B51099"/>
    <w:rsid w:val="00B51427"/>
    <w:rsid w:val="00B54254"/>
    <w:rsid w:val="00B54441"/>
    <w:rsid w:val="00B5564B"/>
    <w:rsid w:val="00B556C7"/>
    <w:rsid w:val="00B55A30"/>
    <w:rsid w:val="00B55CCC"/>
    <w:rsid w:val="00B56A48"/>
    <w:rsid w:val="00B56B47"/>
    <w:rsid w:val="00B60358"/>
    <w:rsid w:val="00B618A9"/>
    <w:rsid w:val="00B6199E"/>
    <w:rsid w:val="00B61EC0"/>
    <w:rsid w:val="00B621AF"/>
    <w:rsid w:val="00B62D68"/>
    <w:rsid w:val="00B6352E"/>
    <w:rsid w:val="00B652FE"/>
    <w:rsid w:val="00B65A0A"/>
    <w:rsid w:val="00B65CF6"/>
    <w:rsid w:val="00B65DAA"/>
    <w:rsid w:val="00B700CC"/>
    <w:rsid w:val="00B72365"/>
    <w:rsid w:val="00B7273A"/>
    <w:rsid w:val="00B732DF"/>
    <w:rsid w:val="00B74B38"/>
    <w:rsid w:val="00B75262"/>
    <w:rsid w:val="00B762A0"/>
    <w:rsid w:val="00B77A96"/>
    <w:rsid w:val="00B77E56"/>
    <w:rsid w:val="00B8029D"/>
    <w:rsid w:val="00B80371"/>
    <w:rsid w:val="00B803C3"/>
    <w:rsid w:val="00B8269F"/>
    <w:rsid w:val="00B82B98"/>
    <w:rsid w:val="00B837AE"/>
    <w:rsid w:val="00B83EED"/>
    <w:rsid w:val="00B85597"/>
    <w:rsid w:val="00B85A89"/>
    <w:rsid w:val="00B865D6"/>
    <w:rsid w:val="00B868AD"/>
    <w:rsid w:val="00B86DD0"/>
    <w:rsid w:val="00B914FD"/>
    <w:rsid w:val="00B91B04"/>
    <w:rsid w:val="00B92091"/>
    <w:rsid w:val="00B928FC"/>
    <w:rsid w:val="00B94801"/>
    <w:rsid w:val="00B96C7F"/>
    <w:rsid w:val="00B972BA"/>
    <w:rsid w:val="00B9742D"/>
    <w:rsid w:val="00B97A2F"/>
    <w:rsid w:val="00B97BC1"/>
    <w:rsid w:val="00BA131A"/>
    <w:rsid w:val="00BA1A33"/>
    <w:rsid w:val="00BA2274"/>
    <w:rsid w:val="00BA2A79"/>
    <w:rsid w:val="00BA31BC"/>
    <w:rsid w:val="00BA3446"/>
    <w:rsid w:val="00BA6B0B"/>
    <w:rsid w:val="00BB0042"/>
    <w:rsid w:val="00BB0BAA"/>
    <w:rsid w:val="00BB1EA2"/>
    <w:rsid w:val="00BB2D72"/>
    <w:rsid w:val="00BB480B"/>
    <w:rsid w:val="00BB4B7C"/>
    <w:rsid w:val="00BB4E62"/>
    <w:rsid w:val="00BB4FC5"/>
    <w:rsid w:val="00BB536E"/>
    <w:rsid w:val="00BB55EA"/>
    <w:rsid w:val="00BB6326"/>
    <w:rsid w:val="00BB7389"/>
    <w:rsid w:val="00BB7D03"/>
    <w:rsid w:val="00BC11FF"/>
    <w:rsid w:val="00BC31E7"/>
    <w:rsid w:val="00BC4A25"/>
    <w:rsid w:val="00BC4C1E"/>
    <w:rsid w:val="00BC4D19"/>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F13E6"/>
    <w:rsid w:val="00BF15B9"/>
    <w:rsid w:val="00BF2A1D"/>
    <w:rsid w:val="00BF2AA4"/>
    <w:rsid w:val="00BF47D1"/>
    <w:rsid w:val="00BF47EA"/>
    <w:rsid w:val="00BF4D90"/>
    <w:rsid w:val="00BF742F"/>
    <w:rsid w:val="00BF7438"/>
    <w:rsid w:val="00BF7446"/>
    <w:rsid w:val="00BF7BD9"/>
    <w:rsid w:val="00BF7D60"/>
    <w:rsid w:val="00C00C3B"/>
    <w:rsid w:val="00C0158D"/>
    <w:rsid w:val="00C017FE"/>
    <w:rsid w:val="00C03273"/>
    <w:rsid w:val="00C0447C"/>
    <w:rsid w:val="00C04CAF"/>
    <w:rsid w:val="00C050AF"/>
    <w:rsid w:val="00C054A9"/>
    <w:rsid w:val="00C05EF2"/>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12B4"/>
    <w:rsid w:val="00C2154A"/>
    <w:rsid w:val="00C21746"/>
    <w:rsid w:val="00C217E1"/>
    <w:rsid w:val="00C21B13"/>
    <w:rsid w:val="00C21BA0"/>
    <w:rsid w:val="00C21DDF"/>
    <w:rsid w:val="00C220E6"/>
    <w:rsid w:val="00C22630"/>
    <w:rsid w:val="00C22E85"/>
    <w:rsid w:val="00C23204"/>
    <w:rsid w:val="00C23427"/>
    <w:rsid w:val="00C23F73"/>
    <w:rsid w:val="00C25016"/>
    <w:rsid w:val="00C25062"/>
    <w:rsid w:val="00C2517F"/>
    <w:rsid w:val="00C25C49"/>
    <w:rsid w:val="00C26333"/>
    <w:rsid w:val="00C264E6"/>
    <w:rsid w:val="00C26AC8"/>
    <w:rsid w:val="00C26E37"/>
    <w:rsid w:val="00C271E6"/>
    <w:rsid w:val="00C304B9"/>
    <w:rsid w:val="00C31134"/>
    <w:rsid w:val="00C32C97"/>
    <w:rsid w:val="00C32DF0"/>
    <w:rsid w:val="00C33A18"/>
    <w:rsid w:val="00C353F8"/>
    <w:rsid w:val="00C35A54"/>
    <w:rsid w:val="00C40056"/>
    <w:rsid w:val="00C41658"/>
    <w:rsid w:val="00C416DB"/>
    <w:rsid w:val="00C42167"/>
    <w:rsid w:val="00C423B7"/>
    <w:rsid w:val="00C42887"/>
    <w:rsid w:val="00C42ACD"/>
    <w:rsid w:val="00C42C49"/>
    <w:rsid w:val="00C43598"/>
    <w:rsid w:val="00C43616"/>
    <w:rsid w:val="00C4364B"/>
    <w:rsid w:val="00C4375F"/>
    <w:rsid w:val="00C446A5"/>
    <w:rsid w:val="00C45150"/>
    <w:rsid w:val="00C46737"/>
    <w:rsid w:val="00C50082"/>
    <w:rsid w:val="00C51EA0"/>
    <w:rsid w:val="00C52004"/>
    <w:rsid w:val="00C5220C"/>
    <w:rsid w:val="00C526A6"/>
    <w:rsid w:val="00C541A9"/>
    <w:rsid w:val="00C54225"/>
    <w:rsid w:val="00C54228"/>
    <w:rsid w:val="00C54868"/>
    <w:rsid w:val="00C548FE"/>
    <w:rsid w:val="00C56568"/>
    <w:rsid w:val="00C56FE7"/>
    <w:rsid w:val="00C574D1"/>
    <w:rsid w:val="00C616E8"/>
    <w:rsid w:val="00C62D9D"/>
    <w:rsid w:val="00C62E27"/>
    <w:rsid w:val="00C62F8A"/>
    <w:rsid w:val="00C6333E"/>
    <w:rsid w:val="00C633A8"/>
    <w:rsid w:val="00C64CB6"/>
    <w:rsid w:val="00C64DE5"/>
    <w:rsid w:val="00C64E31"/>
    <w:rsid w:val="00C653E7"/>
    <w:rsid w:val="00C65AAE"/>
    <w:rsid w:val="00C66A4D"/>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2765"/>
    <w:rsid w:val="00C82E0E"/>
    <w:rsid w:val="00C83921"/>
    <w:rsid w:val="00C844E6"/>
    <w:rsid w:val="00C85115"/>
    <w:rsid w:val="00C86896"/>
    <w:rsid w:val="00C86AE5"/>
    <w:rsid w:val="00C87D99"/>
    <w:rsid w:val="00C91447"/>
    <w:rsid w:val="00C9202E"/>
    <w:rsid w:val="00C92DAE"/>
    <w:rsid w:val="00C933DE"/>
    <w:rsid w:val="00C95D2F"/>
    <w:rsid w:val="00CA082C"/>
    <w:rsid w:val="00CA0BCB"/>
    <w:rsid w:val="00CA34A2"/>
    <w:rsid w:val="00CA373F"/>
    <w:rsid w:val="00CA4D5D"/>
    <w:rsid w:val="00CA67D3"/>
    <w:rsid w:val="00CB0AC9"/>
    <w:rsid w:val="00CB2256"/>
    <w:rsid w:val="00CB237D"/>
    <w:rsid w:val="00CB2856"/>
    <w:rsid w:val="00CB2A80"/>
    <w:rsid w:val="00CB2F00"/>
    <w:rsid w:val="00CB4F1D"/>
    <w:rsid w:val="00CB5A26"/>
    <w:rsid w:val="00CB6452"/>
    <w:rsid w:val="00CB6AC4"/>
    <w:rsid w:val="00CC10D3"/>
    <w:rsid w:val="00CC138C"/>
    <w:rsid w:val="00CC2DAC"/>
    <w:rsid w:val="00CC4858"/>
    <w:rsid w:val="00CD1C12"/>
    <w:rsid w:val="00CD1D66"/>
    <w:rsid w:val="00CD1F7F"/>
    <w:rsid w:val="00CD2774"/>
    <w:rsid w:val="00CD3B0C"/>
    <w:rsid w:val="00CD44C9"/>
    <w:rsid w:val="00CD57A7"/>
    <w:rsid w:val="00CD5FCA"/>
    <w:rsid w:val="00CD6FF6"/>
    <w:rsid w:val="00CD7CCA"/>
    <w:rsid w:val="00CE06FA"/>
    <w:rsid w:val="00CE0AC5"/>
    <w:rsid w:val="00CE1DD6"/>
    <w:rsid w:val="00CE261F"/>
    <w:rsid w:val="00CE35E1"/>
    <w:rsid w:val="00CE383B"/>
    <w:rsid w:val="00CE5541"/>
    <w:rsid w:val="00CE5B81"/>
    <w:rsid w:val="00CE5C53"/>
    <w:rsid w:val="00CE5F64"/>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D8C"/>
    <w:rsid w:val="00D0207F"/>
    <w:rsid w:val="00D0280D"/>
    <w:rsid w:val="00D02CD4"/>
    <w:rsid w:val="00D034AF"/>
    <w:rsid w:val="00D04133"/>
    <w:rsid w:val="00D04299"/>
    <w:rsid w:val="00D0506F"/>
    <w:rsid w:val="00D052AB"/>
    <w:rsid w:val="00D05A7A"/>
    <w:rsid w:val="00D06C41"/>
    <w:rsid w:val="00D07B78"/>
    <w:rsid w:val="00D10F8A"/>
    <w:rsid w:val="00D12161"/>
    <w:rsid w:val="00D12B80"/>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2CAD"/>
    <w:rsid w:val="00D24701"/>
    <w:rsid w:val="00D25275"/>
    <w:rsid w:val="00D2717B"/>
    <w:rsid w:val="00D27B2E"/>
    <w:rsid w:val="00D27E4D"/>
    <w:rsid w:val="00D306E6"/>
    <w:rsid w:val="00D31BE1"/>
    <w:rsid w:val="00D32979"/>
    <w:rsid w:val="00D32DF0"/>
    <w:rsid w:val="00D35B96"/>
    <w:rsid w:val="00D37973"/>
    <w:rsid w:val="00D40712"/>
    <w:rsid w:val="00D40EAC"/>
    <w:rsid w:val="00D41F46"/>
    <w:rsid w:val="00D4222D"/>
    <w:rsid w:val="00D42754"/>
    <w:rsid w:val="00D429AD"/>
    <w:rsid w:val="00D42DA4"/>
    <w:rsid w:val="00D452FA"/>
    <w:rsid w:val="00D455A4"/>
    <w:rsid w:val="00D45A24"/>
    <w:rsid w:val="00D47D4A"/>
    <w:rsid w:val="00D50290"/>
    <w:rsid w:val="00D51DD0"/>
    <w:rsid w:val="00D51E40"/>
    <w:rsid w:val="00D5265D"/>
    <w:rsid w:val="00D536C5"/>
    <w:rsid w:val="00D56514"/>
    <w:rsid w:val="00D569C6"/>
    <w:rsid w:val="00D57884"/>
    <w:rsid w:val="00D60415"/>
    <w:rsid w:val="00D609FF"/>
    <w:rsid w:val="00D61954"/>
    <w:rsid w:val="00D62CD0"/>
    <w:rsid w:val="00D62E09"/>
    <w:rsid w:val="00D64101"/>
    <w:rsid w:val="00D64FFD"/>
    <w:rsid w:val="00D671F5"/>
    <w:rsid w:val="00D67224"/>
    <w:rsid w:val="00D67CE9"/>
    <w:rsid w:val="00D67FA9"/>
    <w:rsid w:val="00D70AAA"/>
    <w:rsid w:val="00D70D88"/>
    <w:rsid w:val="00D7105E"/>
    <w:rsid w:val="00D71684"/>
    <w:rsid w:val="00D71D96"/>
    <w:rsid w:val="00D72D32"/>
    <w:rsid w:val="00D74B5C"/>
    <w:rsid w:val="00D74BC0"/>
    <w:rsid w:val="00D752EB"/>
    <w:rsid w:val="00D7671C"/>
    <w:rsid w:val="00D767E6"/>
    <w:rsid w:val="00D76D7C"/>
    <w:rsid w:val="00D77A0C"/>
    <w:rsid w:val="00D77A77"/>
    <w:rsid w:val="00D8131B"/>
    <w:rsid w:val="00D81D94"/>
    <w:rsid w:val="00D8201A"/>
    <w:rsid w:val="00D8321F"/>
    <w:rsid w:val="00D8383C"/>
    <w:rsid w:val="00D8420C"/>
    <w:rsid w:val="00D84DE0"/>
    <w:rsid w:val="00D85173"/>
    <w:rsid w:val="00D90CAE"/>
    <w:rsid w:val="00D933D2"/>
    <w:rsid w:val="00D95024"/>
    <w:rsid w:val="00D969E5"/>
    <w:rsid w:val="00D96FBA"/>
    <w:rsid w:val="00D97622"/>
    <w:rsid w:val="00D979E0"/>
    <w:rsid w:val="00D97A92"/>
    <w:rsid w:val="00DA1B53"/>
    <w:rsid w:val="00DA1FCE"/>
    <w:rsid w:val="00DA239C"/>
    <w:rsid w:val="00DA2B4E"/>
    <w:rsid w:val="00DA3782"/>
    <w:rsid w:val="00DA4164"/>
    <w:rsid w:val="00DA433D"/>
    <w:rsid w:val="00DA4D08"/>
    <w:rsid w:val="00DA58AF"/>
    <w:rsid w:val="00DA5CAC"/>
    <w:rsid w:val="00DA7141"/>
    <w:rsid w:val="00DA744D"/>
    <w:rsid w:val="00DB0A0E"/>
    <w:rsid w:val="00DB1E78"/>
    <w:rsid w:val="00DB2DCA"/>
    <w:rsid w:val="00DB30C8"/>
    <w:rsid w:val="00DB3228"/>
    <w:rsid w:val="00DB341E"/>
    <w:rsid w:val="00DB3721"/>
    <w:rsid w:val="00DB3D04"/>
    <w:rsid w:val="00DB5157"/>
    <w:rsid w:val="00DB570F"/>
    <w:rsid w:val="00DB57B4"/>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DD6"/>
    <w:rsid w:val="00DD2E49"/>
    <w:rsid w:val="00DD2F35"/>
    <w:rsid w:val="00DD696D"/>
    <w:rsid w:val="00DD7872"/>
    <w:rsid w:val="00DE0896"/>
    <w:rsid w:val="00DE0AD5"/>
    <w:rsid w:val="00DE2025"/>
    <w:rsid w:val="00DE682B"/>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47F"/>
    <w:rsid w:val="00E01740"/>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20773"/>
    <w:rsid w:val="00E20B1E"/>
    <w:rsid w:val="00E2107F"/>
    <w:rsid w:val="00E22558"/>
    <w:rsid w:val="00E23059"/>
    <w:rsid w:val="00E231E0"/>
    <w:rsid w:val="00E25660"/>
    <w:rsid w:val="00E25DB8"/>
    <w:rsid w:val="00E261EE"/>
    <w:rsid w:val="00E301C1"/>
    <w:rsid w:val="00E30352"/>
    <w:rsid w:val="00E30815"/>
    <w:rsid w:val="00E31E62"/>
    <w:rsid w:val="00E32AED"/>
    <w:rsid w:val="00E33146"/>
    <w:rsid w:val="00E347C8"/>
    <w:rsid w:val="00E374D1"/>
    <w:rsid w:val="00E37A40"/>
    <w:rsid w:val="00E37F50"/>
    <w:rsid w:val="00E4065F"/>
    <w:rsid w:val="00E40942"/>
    <w:rsid w:val="00E40FF3"/>
    <w:rsid w:val="00E42B2F"/>
    <w:rsid w:val="00E43130"/>
    <w:rsid w:val="00E44091"/>
    <w:rsid w:val="00E45DEF"/>
    <w:rsid w:val="00E46F19"/>
    <w:rsid w:val="00E4771B"/>
    <w:rsid w:val="00E47FA5"/>
    <w:rsid w:val="00E50D80"/>
    <w:rsid w:val="00E50E6F"/>
    <w:rsid w:val="00E51035"/>
    <w:rsid w:val="00E53438"/>
    <w:rsid w:val="00E539B3"/>
    <w:rsid w:val="00E53D11"/>
    <w:rsid w:val="00E55497"/>
    <w:rsid w:val="00E55EC8"/>
    <w:rsid w:val="00E563AE"/>
    <w:rsid w:val="00E56469"/>
    <w:rsid w:val="00E56D02"/>
    <w:rsid w:val="00E57209"/>
    <w:rsid w:val="00E5727D"/>
    <w:rsid w:val="00E579D2"/>
    <w:rsid w:val="00E57FAB"/>
    <w:rsid w:val="00E60E42"/>
    <w:rsid w:val="00E615C6"/>
    <w:rsid w:val="00E6270A"/>
    <w:rsid w:val="00E627F3"/>
    <w:rsid w:val="00E638CA"/>
    <w:rsid w:val="00E64C3E"/>
    <w:rsid w:val="00E65E87"/>
    <w:rsid w:val="00E670D3"/>
    <w:rsid w:val="00E713A7"/>
    <w:rsid w:val="00E7168D"/>
    <w:rsid w:val="00E72404"/>
    <w:rsid w:val="00E735AB"/>
    <w:rsid w:val="00E73990"/>
    <w:rsid w:val="00E74927"/>
    <w:rsid w:val="00E74A15"/>
    <w:rsid w:val="00E7567F"/>
    <w:rsid w:val="00E77842"/>
    <w:rsid w:val="00E81F3E"/>
    <w:rsid w:val="00E82059"/>
    <w:rsid w:val="00E83F0A"/>
    <w:rsid w:val="00E84C9B"/>
    <w:rsid w:val="00E851B4"/>
    <w:rsid w:val="00E85751"/>
    <w:rsid w:val="00E85807"/>
    <w:rsid w:val="00E85EB9"/>
    <w:rsid w:val="00E86211"/>
    <w:rsid w:val="00E86ACB"/>
    <w:rsid w:val="00E86B59"/>
    <w:rsid w:val="00E900E0"/>
    <w:rsid w:val="00E90628"/>
    <w:rsid w:val="00E9122B"/>
    <w:rsid w:val="00E93AE7"/>
    <w:rsid w:val="00E93CFE"/>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450"/>
    <w:rsid w:val="00EB4C55"/>
    <w:rsid w:val="00EC02B7"/>
    <w:rsid w:val="00EC03E6"/>
    <w:rsid w:val="00EC1804"/>
    <w:rsid w:val="00EC218F"/>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E72"/>
    <w:rsid w:val="00EE0AE5"/>
    <w:rsid w:val="00EE14ED"/>
    <w:rsid w:val="00EE1B0D"/>
    <w:rsid w:val="00EE44FE"/>
    <w:rsid w:val="00EE4A54"/>
    <w:rsid w:val="00EE4C51"/>
    <w:rsid w:val="00EE61BD"/>
    <w:rsid w:val="00EE7BA0"/>
    <w:rsid w:val="00EE7F5A"/>
    <w:rsid w:val="00EF0C22"/>
    <w:rsid w:val="00EF0C85"/>
    <w:rsid w:val="00EF0D7F"/>
    <w:rsid w:val="00EF1C42"/>
    <w:rsid w:val="00EF1D75"/>
    <w:rsid w:val="00EF2696"/>
    <w:rsid w:val="00EF4093"/>
    <w:rsid w:val="00EF55B6"/>
    <w:rsid w:val="00EF7FAE"/>
    <w:rsid w:val="00F00E88"/>
    <w:rsid w:val="00F01691"/>
    <w:rsid w:val="00F019E2"/>
    <w:rsid w:val="00F019FA"/>
    <w:rsid w:val="00F01FE4"/>
    <w:rsid w:val="00F02B0B"/>
    <w:rsid w:val="00F02EB7"/>
    <w:rsid w:val="00F03FAA"/>
    <w:rsid w:val="00F05BAB"/>
    <w:rsid w:val="00F05E04"/>
    <w:rsid w:val="00F05E7B"/>
    <w:rsid w:val="00F06527"/>
    <w:rsid w:val="00F0662E"/>
    <w:rsid w:val="00F066C5"/>
    <w:rsid w:val="00F06F21"/>
    <w:rsid w:val="00F06FEA"/>
    <w:rsid w:val="00F119B9"/>
    <w:rsid w:val="00F12447"/>
    <w:rsid w:val="00F132E6"/>
    <w:rsid w:val="00F13C70"/>
    <w:rsid w:val="00F14530"/>
    <w:rsid w:val="00F14759"/>
    <w:rsid w:val="00F14BEF"/>
    <w:rsid w:val="00F1504D"/>
    <w:rsid w:val="00F15773"/>
    <w:rsid w:val="00F1588A"/>
    <w:rsid w:val="00F1604B"/>
    <w:rsid w:val="00F178E2"/>
    <w:rsid w:val="00F17D8D"/>
    <w:rsid w:val="00F205D5"/>
    <w:rsid w:val="00F23C9C"/>
    <w:rsid w:val="00F24D8C"/>
    <w:rsid w:val="00F25C34"/>
    <w:rsid w:val="00F2652E"/>
    <w:rsid w:val="00F27363"/>
    <w:rsid w:val="00F27628"/>
    <w:rsid w:val="00F27AC6"/>
    <w:rsid w:val="00F30608"/>
    <w:rsid w:val="00F30A0A"/>
    <w:rsid w:val="00F32129"/>
    <w:rsid w:val="00F32822"/>
    <w:rsid w:val="00F32ADC"/>
    <w:rsid w:val="00F336D0"/>
    <w:rsid w:val="00F34E7B"/>
    <w:rsid w:val="00F3529A"/>
    <w:rsid w:val="00F352DD"/>
    <w:rsid w:val="00F35567"/>
    <w:rsid w:val="00F40716"/>
    <w:rsid w:val="00F40762"/>
    <w:rsid w:val="00F40F20"/>
    <w:rsid w:val="00F41897"/>
    <w:rsid w:val="00F418C2"/>
    <w:rsid w:val="00F42208"/>
    <w:rsid w:val="00F449A8"/>
    <w:rsid w:val="00F44B3E"/>
    <w:rsid w:val="00F462FE"/>
    <w:rsid w:val="00F500CF"/>
    <w:rsid w:val="00F51164"/>
    <w:rsid w:val="00F519D8"/>
    <w:rsid w:val="00F53042"/>
    <w:rsid w:val="00F53217"/>
    <w:rsid w:val="00F53508"/>
    <w:rsid w:val="00F53B91"/>
    <w:rsid w:val="00F53D4C"/>
    <w:rsid w:val="00F542FA"/>
    <w:rsid w:val="00F5550F"/>
    <w:rsid w:val="00F5586F"/>
    <w:rsid w:val="00F61B23"/>
    <w:rsid w:val="00F62EE4"/>
    <w:rsid w:val="00F645D9"/>
    <w:rsid w:val="00F64D33"/>
    <w:rsid w:val="00F652EB"/>
    <w:rsid w:val="00F65914"/>
    <w:rsid w:val="00F669EB"/>
    <w:rsid w:val="00F66BF9"/>
    <w:rsid w:val="00F66C35"/>
    <w:rsid w:val="00F66CFA"/>
    <w:rsid w:val="00F70443"/>
    <w:rsid w:val="00F707EE"/>
    <w:rsid w:val="00F7097D"/>
    <w:rsid w:val="00F716EF"/>
    <w:rsid w:val="00F71731"/>
    <w:rsid w:val="00F719D3"/>
    <w:rsid w:val="00F7211E"/>
    <w:rsid w:val="00F727E4"/>
    <w:rsid w:val="00F73F90"/>
    <w:rsid w:val="00F7664A"/>
    <w:rsid w:val="00F77D50"/>
    <w:rsid w:val="00F80C67"/>
    <w:rsid w:val="00F81A0A"/>
    <w:rsid w:val="00F838F0"/>
    <w:rsid w:val="00F858D1"/>
    <w:rsid w:val="00F85A24"/>
    <w:rsid w:val="00F869A5"/>
    <w:rsid w:val="00F9016C"/>
    <w:rsid w:val="00F90710"/>
    <w:rsid w:val="00F929ED"/>
    <w:rsid w:val="00F9305D"/>
    <w:rsid w:val="00F94208"/>
    <w:rsid w:val="00F94D89"/>
    <w:rsid w:val="00F9522F"/>
    <w:rsid w:val="00F95629"/>
    <w:rsid w:val="00F96902"/>
    <w:rsid w:val="00F97C8A"/>
    <w:rsid w:val="00FA0401"/>
    <w:rsid w:val="00FA086E"/>
    <w:rsid w:val="00FA18CB"/>
    <w:rsid w:val="00FA2346"/>
    <w:rsid w:val="00FA37DC"/>
    <w:rsid w:val="00FA3AB1"/>
    <w:rsid w:val="00FA3B62"/>
    <w:rsid w:val="00FA3E84"/>
    <w:rsid w:val="00FA4EC5"/>
    <w:rsid w:val="00FA5565"/>
    <w:rsid w:val="00FA5A1B"/>
    <w:rsid w:val="00FA5EE1"/>
    <w:rsid w:val="00FA68C0"/>
    <w:rsid w:val="00FB1472"/>
    <w:rsid w:val="00FB27B7"/>
    <w:rsid w:val="00FB2E38"/>
    <w:rsid w:val="00FB3636"/>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33EB"/>
    <w:rsid w:val="00FD5F34"/>
    <w:rsid w:val="00FD5FEF"/>
    <w:rsid w:val="00FD7450"/>
    <w:rsid w:val="00FE2D33"/>
    <w:rsid w:val="00FE2EEF"/>
    <w:rsid w:val="00FE4230"/>
    <w:rsid w:val="00FE65CA"/>
    <w:rsid w:val="00FE6FC3"/>
    <w:rsid w:val="00FE76B5"/>
    <w:rsid w:val="00FE76D2"/>
    <w:rsid w:val="00FF15B4"/>
    <w:rsid w:val="00FF17FD"/>
    <w:rsid w:val="00FF1DFC"/>
    <w:rsid w:val="00FF22AC"/>
    <w:rsid w:val="00FF2598"/>
    <w:rsid w:val="00FF3664"/>
    <w:rsid w:val="00FF3E73"/>
    <w:rsid w:val="00FF42CE"/>
    <w:rsid w:val="00FF5912"/>
    <w:rsid w:val="00FF5967"/>
    <w:rsid w:val="00FF6BE9"/>
    <w:rsid w:val="019C4CAD"/>
    <w:rsid w:val="023D1634"/>
    <w:rsid w:val="024E220E"/>
    <w:rsid w:val="02ADD954"/>
    <w:rsid w:val="02D0DBA4"/>
    <w:rsid w:val="03083D6A"/>
    <w:rsid w:val="034695DA"/>
    <w:rsid w:val="035996B3"/>
    <w:rsid w:val="038BCDE9"/>
    <w:rsid w:val="03AC7E2A"/>
    <w:rsid w:val="04C00C71"/>
    <w:rsid w:val="0507A695"/>
    <w:rsid w:val="0510FDDA"/>
    <w:rsid w:val="0533DCC0"/>
    <w:rsid w:val="056CDD87"/>
    <w:rsid w:val="06181FC7"/>
    <w:rsid w:val="067BBEF3"/>
    <w:rsid w:val="06AE00D7"/>
    <w:rsid w:val="06C00D1F"/>
    <w:rsid w:val="06E9E068"/>
    <w:rsid w:val="0710204F"/>
    <w:rsid w:val="071BBBD0"/>
    <w:rsid w:val="073BB854"/>
    <w:rsid w:val="074CEFB9"/>
    <w:rsid w:val="08295763"/>
    <w:rsid w:val="08C5F2A6"/>
    <w:rsid w:val="08C83966"/>
    <w:rsid w:val="08CF7B35"/>
    <w:rsid w:val="08F4E28A"/>
    <w:rsid w:val="09020866"/>
    <w:rsid w:val="09228BBD"/>
    <w:rsid w:val="0938E099"/>
    <w:rsid w:val="0973A3A2"/>
    <w:rsid w:val="099C01DD"/>
    <w:rsid w:val="0A21B3FB"/>
    <w:rsid w:val="0A68795F"/>
    <w:rsid w:val="0A9383F9"/>
    <w:rsid w:val="0ABA4BA5"/>
    <w:rsid w:val="0AF8452B"/>
    <w:rsid w:val="0B0B0E8B"/>
    <w:rsid w:val="0BC35959"/>
    <w:rsid w:val="0C540BA9"/>
    <w:rsid w:val="0D0B2046"/>
    <w:rsid w:val="0DA65F75"/>
    <w:rsid w:val="0DA8B64E"/>
    <w:rsid w:val="0E0194FC"/>
    <w:rsid w:val="0E2BE8F4"/>
    <w:rsid w:val="0E4E13CF"/>
    <w:rsid w:val="0E89D1C9"/>
    <w:rsid w:val="0EB23607"/>
    <w:rsid w:val="0EC7B282"/>
    <w:rsid w:val="0F20DD19"/>
    <w:rsid w:val="0F56A806"/>
    <w:rsid w:val="0F68F815"/>
    <w:rsid w:val="101E735B"/>
    <w:rsid w:val="102BD170"/>
    <w:rsid w:val="108E9D60"/>
    <w:rsid w:val="10C6A9D5"/>
    <w:rsid w:val="10EF3AE0"/>
    <w:rsid w:val="116A2891"/>
    <w:rsid w:val="11C7B1BD"/>
    <w:rsid w:val="11CCA3F3"/>
    <w:rsid w:val="125255C9"/>
    <w:rsid w:val="12641FE1"/>
    <w:rsid w:val="12A0EA15"/>
    <w:rsid w:val="12D61FF0"/>
    <w:rsid w:val="135E7155"/>
    <w:rsid w:val="136CC525"/>
    <w:rsid w:val="14E78829"/>
    <w:rsid w:val="14F0AA7A"/>
    <w:rsid w:val="15454102"/>
    <w:rsid w:val="15B2B76E"/>
    <w:rsid w:val="15B904D1"/>
    <w:rsid w:val="15C479F9"/>
    <w:rsid w:val="15D1EAAD"/>
    <w:rsid w:val="1637346B"/>
    <w:rsid w:val="165BB258"/>
    <w:rsid w:val="1721A1C5"/>
    <w:rsid w:val="173BDFA6"/>
    <w:rsid w:val="17A5CD44"/>
    <w:rsid w:val="1810531E"/>
    <w:rsid w:val="1813A900"/>
    <w:rsid w:val="181B3738"/>
    <w:rsid w:val="18665160"/>
    <w:rsid w:val="18861283"/>
    <w:rsid w:val="1894E427"/>
    <w:rsid w:val="18D15713"/>
    <w:rsid w:val="1963317C"/>
    <w:rsid w:val="19798E10"/>
    <w:rsid w:val="1985E7A4"/>
    <w:rsid w:val="1A4A2668"/>
    <w:rsid w:val="1A5C10AD"/>
    <w:rsid w:val="1AA15885"/>
    <w:rsid w:val="1AD845D5"/>
    <w:rsid w:val="1B2A6BC8"/>
    <w:rsid w:val="1C1ACFBC"/>
    <w:rsid w:val="1C3D5EFF"/>
    <w:rsid w:val="1C70FA76"/>
    <w:rsid w:val="1C808708"/>
    <w:rsid w:val="1CB0CA07"/>
    <w:rsid w:val="1CDB36B2"/>
    <w:rsid w:val="1CDFC6D5"/>
    <w:rsid w:val="1CE8B58A"/>
    <w:rsid w:val="1CFADBC1"/>
    <w:rsid w:val="1D1D1D7B"/>
    <w:rsid w:val="1D5076EB"/>
    <w:rsid w:val="1E5180B9"/>
    <w:rsid w:val="1E9C1DA7"/>
    <w:rsid w:val="1F32753E"/>
    <w:rsid w:val="1F6246BD"/>
    <w:rsid w:val="1F641CC3"/>
    <w:rsid w:val="1FD357A5"/>
    <w:rsid w:val="1FF8EAF6"/>
    <w:rsid w:val="2087B3A9"/>
    <w:rsid w:val="209687B9"/>
    <w:rsid w:val="20A563CF"/>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20242A"/>
    <w:rsid w:val="2422B991"/>
    <w:rsid w:val="250BEBC7"/>
    <w:rsid w:val="2529DF07"/>
    <w:rsid w:val="25A52D58"/>
    <w:rsid w:val="25C10180"/>
    <w:rsid w:val="25FD7FE2"/>
    <w:rsid w:val="26262B41"/>
    <w:rsid w:val="264C6E2E"/>
    <w:rsid w:val="26B85F87"/>
    <w:rsid w:val="2712D0A8"/>
    <w:rsid w:val="272CDAFF"/>
    <w:rsid w:val="274029CD"/>
    <w:rsid w:val="27A5DFD8"/>
    <w:rsid w:val="27EC86F0"/>
    <w:rsid w:val="284DB2EE"/>
    <w:rsid w:val="28545A39"/>
    <w:rsid w:val="2857A096"/>
    <w:rsid w:val="287201AE"/>
    <w:rsid w:val="29464067"/>
    <w:rsid w:val="297CD531"/>
    <w:rsid w:val="298C1665"/>
    <w:rsid w:val="29BC41C5"/>
    <w:rsid w:val="29C03670"/>
    <w:rsid w:val="29E20FC1"/>
    <w:rsid w:val="29E53166"/>
    <w:rsid w:val="29F378AD"/>
    <w:rsid w:val="2A707437"/>
    <w:rsid w:val="2AEE9ECB"/>
    <w:rsid w:val="2AF47149"/>
    <w:rsid w:val="2B035358"/>
    <w:rsid w:val="2B5D1B8B"/>
    <w:rsid w:val="2B8F6717"/>
    <w:rsid w:val="2B995BA6"/>
    <w:rsid w:val="2BBB0B72"/>
    <w:rsid w:val="2CA10C47"/>
    <w:rsid w:val="2CA1AF3C"/>
    <w:rsid w:val="2D4E68BA"/>
    <w:rsid w:val="2DCF3A22"/>
    <w:rsid w:val="2DE81FD7"/>
    <w:rsid w:val="2E053F9E"/>
    <w:rsid w:val="2E3F6C70"/>
    <w:rsid w:val="2E903A2B"/>
    <w:rsid w:val="2E9DE806"/>
    <w:rsid w:val="2F120E1E"/>
    <w:rsid w:val="2F62DE31"/>
    <w:rsid w:val="2F7F26CC"/>
    <w:rsid w:val="2FF86A71"/>
    <w:rsid w:val="303BA42D"/>
    <w:rsid w:val="307AAC78"/>
    <w:rsid w:val="309E3FDA"/>
    <w:rsid w:val="30EC10D4"/>
    <w:rsid w:val="31647C1B"/>
    <w:rsid w:val="3165A344"/>
    <w:rsid w:val="31800911"/>
    <w:rsid w:val="31C65B5C"/>
    <w:rsid w:val="31CA2F55"/>
    <w:rsid w:val="31D86709"/>
    <w:rsid w:val="32193D0A"/>
    <w:rsid w:val="32DF2C41"/>
    <w:rsid w:val="3314D287"/>
    <w:rsid w:val="3324E826"/>
    <w:rsid w:val="333DD51C"/>
    <w:rsid w:val="339A02B9"/>
    <w:rsid w:val="3406D3F6"/>
    <w:rsid w:val="342D1749"/>
    <w:rsid w:val="34AD84FB"/>
    <w:rsid w:val="34DC47F4"/>
    <w:rsid w:val="3562D48A"/>
    <w:rsid w:val="358FE9B8"/>
    <w:rsid w:val="35ADD572"/>
    <w:rsid w:val="35C83D52"/>
    <w:rsid w:val="366EEFBE"/>
    <w:rsid w:val="36795C75"/>
    <w:rsid w:val="36A05C23"/>
    <w:rsid w:val="36B1397F"/>
    <w:rsid w:val="36B68CC5"/>
    <w:rsid w:val="36CBFA49"/>
    <w:rsid w:val="37A650DE"/>
    <w:rsid w:val="39B512DB"/>
    <w:rsid w:val="3A10BF3E"/>
    <w:rsid w:val="3A76FB16"/>
    <w:rsid w:val="3A9E6736"/>
    <w:rsid w:val="3BA19E98"/>
    <w:rsid w:val="3BAEC125"/>
    <w:rsid w:val="3C8C133F"/>
    <w:rsid w:val="3D9D30F3"/>
    <w:rsid w:val="3DB2867B"/>
    <w:rsid w:val="3DDD9346"/>
    <w:rsid w:val="3E293FA1"/>
    <w:rsid w:val="3EBEA00C"/>
    <w:rsid w:val="3F06D454"/>
    <w:rsid w:val="3F7AFD05"/>
    <w:rsid w:val="3F7B8F41"/>
    <w:rsid w:val="3FBFDB13"/>
    <w:rsid w:val="3FCFF28D"/>
    <w:rsid w:val="408156F1"/>
    <w:rsid w:val="4089306B"/>
    <w:rsid w:val="40D1EFA3"/>
    <w:rsid w:val="40DC68F1"/>
    <w:rsid w:val="40F342A2"/>
    <w:rsid w:val="413255CE"/>
    <w:rsid w:val="41A04888"/>
    <w:rsid w:val="41C35E5A"/>
    <w:rsid w:val="41DAD777"/>
    <w:rsid w:val="4237F2C7"/>
    <w:rsid w:val="42FE9212"/>
    <w:rsid w:val="4396D452"/>
    <w:rsid w:val="44141415"/>
    <w:rsid w:val="441CE112"/>
    <w:rsid w:val="44BC8762"/>
    <w:rsid w:val="44E98797"/>
    <w:rsid w:val="44F5119F"/>
    <w:rsid w:val="44FAA1AD"/>
    <w:rsid w:val="44FF9878"/>
    <w:rsid w:val="451041FB"/>
    <w:rsid w:val="45664CB4"/>
    <w:rsid w:val="465C387C"/>
    <w:rsid w:val="468AA901"/>
    <w:rsid w:val="46963ED5"/>
    <w:rsid w:val="46B1B3CF"/>
    <w:rsid w:val="46E01E2C"/>
    <w:rsid w:val="46FEC7A1"/>
    <w:rsid w:val="472E7232"/>
    <w:rsid w:val="4757C1CD"/>
    <w:rsid w:val="47B0A55B"/>
    <w:rsid w:val="47F9FD00"/>
    <w:rsid w:val="480A3BB8"/>
    <w:rsid w:val="481F92FB"/>
    <w:rsid w:val="483A9753"/>
    <w:rsid w:val="484ECE00"/>
    <w:rsid w:val="48703EB6"/>
    <w:rsid w:val="48A0118D"/>
    <w:rsid w:val="48AA95D1"/>
    <w:rsid w:val="48F209C4"/>
    <w:rsid w:val="48FBA5A9"/>
    <w:rsid w:val="491022F6"/>
    <w:rsid w:val="4919C658"/>
    <w:rsid w:val="49552395"/>
    <w:rsid w:val="49F9F78A"/>
    <w:rsid w:val="4A60BBA9"/>
    <w:rsid w:val="4AE21FFA"/>
    <w:rsid w:val="4C0CD47C"/>
    <w:rsid w:val="4C1224FC"/>
    <w:rsid w:val="4C15DC80"/>
    <w:rsid w:val="4C1945EE"/>
    <w:rsid w:val="4C4A1588"/>
    <w:rsid w:val="4C8B58A9"/>
    <w:rsid w:val="4C997FE2"/>
    <w:rsid w:val="4CDC46A6"/>
    <w:rsid w:val="4CE72DF8"/>
    <w:rsid w:val="4D636EC4"/>
    <w:rsid w:val="4DAD2920"/>
    <w:rsid w:val="4DF9572A"/>
    <w:rsid w:val="4DF99BCE"/>
    <w:rsid w:val="4E8E39F8"/>
    <w:rsid w:val="4F0222AD"/>
    <w:rsid w:val="4F51477B"/>
    <w:rsid w:val="4F5DFD96"/>
    <w:rsid w:val="4F6FCBF9"/>
    <w:rsid w:val="4FE3D49D"/>
    <w:rsid w:val="4FE7212B"/>
    <w:rsid w:val="50020FF0"/>
    <w:rsid w:val="50AE3F3E"/>
    <w:rsid w:val="50DD5D52"/>
    <w:rsid w:val="50EC8839"/>
    <w:rsid w:val="518066EC"/>
    <w:rsid w:val="518A1797"/>
    <w:rsid w:val="5195282B"/>
    <w:rsid w:val="51AA4731"/>
    <w:rsid w:val="51C13F3E"/>
    <w:rsid w:val="528002CB"/>
    <w:rsid w:val="53818684"/>
    <w:rsid w:val="53DD1ADE"/>
    <w:rsid w:val="540ACA2B"/>
    <w:rsid w:val="54B8409C"/>
    <w:rsid w:val="54BB05CD"/>
    <w:rsid w:val="54CEB0B1"/>
    <w:rsid w:val="554F71A9"/>
    <w:rsid w:val="55D8978F"/>
    <w:rsid w:val="55D8A0FB"/>
    <w:rsid w:val="560C0FF7"/>
    <w:rsid w:val="563E3329"/>
    <w:rsid w:val="569A48BC"/>
    <w:rsid w:val="56AD1988"/>
    <w:rsid w:val="56AD911F"/>
    <w:rsid w:val="56D496B8"/>
    <w:rsid w:val="5703E2C6"/>
    <w:rsid w:val="574FDD2C"/>
    <w:rsid w:val="576D0A8A"/>
    <w:rsid w:val="581FFA98"/>
    <w:rsid w:val="586227B9"/>
    <w:rsid w:val="59060ECC"/>
    <w:rsid w:val="591A3E2C"/>
    <w:rsid w:val="592B5199"/>
    <w:rsid w:val="594D0EB5"/>
    <w:rsid w:val="595A58E2"/>
    <w:rsid w:val="5971C48D"/>
    <w:rsid w:val="597226E9"/>
    <w:rsid w:val="5976E365"/>
    <w:rsid w:val="59ADEF8D"/>
    <w:rsid w:val="59C17DED"/>
    <w:rsid w:val="59DC1D29"/>
    <w:rsid w:val="59FCEC08"/>
    <w:rsid w:val="5A2BE212"/>
    <w:rsid w:val="5A589640"/>
    <w:rsid w:val="5A6AA542"/>
    <w:rsid w:val="5AF2ADA3"/>
    <w:rsid w:val="5B4F9652"/>
    <w:rsid w:val="5B51CCD2"/>
    <w:rsid w:val="5BC067BB"/>
    <w:rsid w:val="5BE36091"/>
    <w:rsid w:val="5C17D549"/>
    <w:rsid w:val="5C98AFD0"/>
    <w:rsid w:val="5C9A149F"/>
    <w:rsid w:val="5CAE37C6"/>
    <w:rsid w:val="5D855ABD"/>
    <w:rsid w:val="5D919762"/>
    <w:rsid w:val="5D9A99E2"/>
    <w:rsid w:val="5DA32556"/>
    <w:rsid w:val="5E1C9651"/>
    <w:rsid w:val="5E40C2F4"/>
    <w:rsid w:val="5E5FB0A5"/>
    <w:rsid w:val="5E7A929C"/>
    <w:rsid w:val="5F1F5992"/>
    <w:rsid w:val="5FB21525"/>
    <w:rsid w:val="6038F7CA"/>
    <w:rsid w:val="6078EC02"/>
    <w:rsid w:val="60EBE823"/>
    <w:rsid w:val="61FED33A"/>
    <w:rsid w:val="620CFDE8"/>
    <w:rsid w:val="622FF5B1"/>
    <w:rsid w:val="6253760C"/>
    <w:rsid w:val="627D3109"/>
    <w:rsid w:val="62939791"/>
    <w:rsid w:val="63AF2C55"/>
    <w:rsid w:val="63C81A11"/>
    <w:rsid w:val="63D68B41"/>
    <w:rsid w:val="64CDAB90"/>
    <w:rsid w:val="651ECE21"/>
    <w:rsid w:val="654F4EA1"/>
    <w:rsid w:val="6591850B"/>
    <w:rsid w:val="65E76EAB"/>
    <w:rsid w:val="6624DEA4"/>
    <w:rsid w:val="662E94A8"/>
    <w:rsid w:val="6648A9C9"/>
    <w:rsid w:val="66634729"/>
    <w:rsid w:val="66BC6BFD"/>
    <w:rsid w:val="67180E52"/>
    <w:rsid w:val="679837A8"/>
    <w:rsid w:val="679DD5E3"/>
    <w:rsid w:val="67AE0E8B"/>
    <w:rsid w:val="680B54ED"/>
    <w:rsid w:val="68595BD1"/>
    <w:rsid w:val="686E6677"/>
    <w:rsid w:val="689A2662"/>
    <w:rsid w:val="68B79993"/>
    <w:rsid w:val="68C6ED12"/>
    <w:rsid w:val="691933DD"/>
    <w:rsid w:val="6924D1F0"/>
    <w:rsid w:val="69862B12"/>
    <w:rsid w:val="6A04F244"/>
    <w:rsid w:val="6A0DD8E7"/>
    <w:rsid w:val="6AAFE11A"/>
    <w:rsid w:val="6B4EC5DE"/>
    <w:rsid w:val="6B68C685"/>
    <w:rsid w:val="6BABED28"/>
    <w:rsid w:val="6BAD0440"/>
    <w:rsid w:val="6CA990C7"/>
    <w:rsid w:val="6D25A87B"/>
    <w:rsid w:val="6D53921E"/>
    <w:rsid w:val="6DDE4259"/>
    <w:rsid w:val="6EB362C1"/>
    <w:rsid w:val="6EBC939B"/>
    <w:rsid w:val="6EE1AFDE"/>
    <w:rsid w:val="6EEA87D2"/>
    <w:rsid w:val="6EF43A7E"/>
    <w:rsid w:val="6EF67913"/>
    <w:rsid w:val="6EFAC8A1"/>
    <w:rsid w:val="6F076407"/>
    <w:rsid w:val="6F11E1FE"/>
    <w:rsid w:val="6F2EF4BD"/>
    <w:rsid w:val="6F8A459A"/>
    <w:rsid w:val="6FD8F23E"/>
    <w:rsid w:val="704DC5D1"/>
    <w:rsid w:val="705E5DBF"/>
    <w:rsid w:val="705FD010"/>
    <w:rsid w:val="70767089"/>
    <w:rsid w:val="710E6FEB"/>
    <w:rsid w:val="713C6B96"/>
    <w:rsid w:val="71BBBE05"/>
    <w:rsid w:val="71C9156C"/>
    <w:rsid w:val="726ED0BC"/>
    <w:rsid w:val="72CC7FE2"/>
    <w:rsid w:val="7390A782"/>
    <w:rsid w:val="73E9042C"/>
    <w:rsid w:val="74274C8F"/>
    <w:rsid w:val="74621703"/>
    <w:rsid w:val="7485A815"/>
    <w:rsid w:val="749F67E9"/>
    <w:rsid w:val="74F01FC1"/>
    <w:rsid w:val="75410660"/>
    <w:rsid w:val="758C32CD"/>
    <w:rsid w:val="759122B1"/>
    <w:rsid w:val="75ACA334"/>
    <w:rsid w:val="75C2405A"/>
    <w:rsid w:val="75D3AC69"/>
    <w:rsid w:val="75FE68FC"/>
    <w:rsid w:val="76382293"/>
    <w:rsid w:val="7664260C"/>
    <w:rsid w:val="771CE21D"/>
    <w:rsid w:val="7721673D"/>
    <w:rsid w:val="777D610C"/>
    <w:rsid w:val="77869474"/>
    <w:rsid w:val="77D5F7E0"/>
    <w:rsid w:val="77DA53BA"/>
    <w:rsid w:val="78AC0DAC"/>
    <w:rsid w:val="78C5CF5D"/>
    <w:rsid w:val="7A234152"/>
    <w:rsid w:val="7A34BA8D"/>
    <w:rsid w:val="7A51A2AF"/>
    <w:rsid w:val="7AFCC95B"/>
    <w:rsid w:val="7B10F2A1"/>
    <w:rsid w:val="7B229A70"/>
    <w:rsid w:val="7B2EDC28"/>
    <w:rsid w:val="7BAD6F0D"/>
    <w:rsid w:val="7C118061"/>
    <w:rsid w:val="7C634D76"/>
    <w:rsid w:val="7C8F0587"/>
    <w:rsid w:val="7CB0F0E7"/>
    <w:rsid w:val="7CD753D9"/>
    <w:rsid w:val="7CE436F3"/>
    <w:rsid w:val="7D197756"/>
    <w:rsid w:val="7D5D0FF8"/>
    <w:rsid w:val="7D716E7A"/>
    <w:rsid w:val="7DA130C8"/>
    <w:rsid w:val="7DED7B14"/>
    <w:rsid w:val="7E12EF80"/>
    <w:rsid w:val="7E26FCCB"/>
    <w:rsid w:val="7E73CA26"/>
    <w:rsid w:val="7EBB541F"/>
    <w:rsid w:val="7F26E207"/>
    <w:rsid w:val="7F32D539"/>
    <w:rsid w:val="7F845ADB"/>
    <w:rsid w:val="7FA3FF0A"/>
    <w:rsid w:val="7FBD8D60"/>
  </w:rsids>
  <m:mathPr>
    <m:mathFont m:val="Cambria Math"/>
    <m:brkBin m:val="before"/>
    <m:brkBinSub m:val="--"/>
    <m:smallFrac m:val="off"/>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unhideWhenUsed/>
    <w:rsid w:val="00EA6CD3"/>
    <w:pPr>
      <w:tabs>
        <w:tab w:val="center" w:pos="4153"/>
        <w:tab w:val="right" w:pos="8306"/>
      </w:tabs>
    </w:pPr>
  </w:style>
  <w:style w:type="character" w:customStyle="1" w:styleId="KjeneRakstz">
    <w:name w:val="Kājene Rakstz."/>
    <w:basedOn w:val="Noklusjumarindkopasfonts"/>
    <w:link w:val="Kjene"/>
    <w:uiPriority w:val="99"/>
    <w:rsid w:val="00EA6CD3"/>
    <w:rPr>
      <w:rFonts w:ascii="Times New Roman" w:eastAsia="Calibri" w:hAnsi="Times New Roman" w:cs="Times New Roman"/>
      <w:sz w:val="20"/>
      <w:szCs w:val="20"/>
      <w:lang w:val="en-AU"/>
    </w:rPr>
  </w:style>
  <w:style w:type="paragraph" w:styleId="Pamatteksts">
    <w:name w:val="Body Text"/>
    <w:basedOn w:val="Parastais"/>
    <w:link w:val="PamattekstsRakstz"/>
    <w:unhideWhenUsed/>
    <w:rsid w:val="00EA6CD3"/>
    <w:pPr>
      <w:jc w:val="both"/>
    </w:pPr>
    <w:rPr>
      <w:rFonts w:eastAsia="Times New Roman"/>
      <w:sz w:val="28"/>
      <w:lang w:val="lv-LV" w:eastAsia="lv-LV"/>
    </w:rPr>
  </w:style>
  <w:style w:type="character" w:customStyle="1" w:styleId="PamattekstsRakstz">
    <w:name w:val="Pamatteksts Rakstz."/>
    <w:basedOn w:val="Noklusjumarindkopasfonts"/>
    <w:link w:val="Pamatteksts"/>
    <w:rsid w:val="00EA6CD3"/>
    <w:rPr>
      <w:rFonts w:ascii="Times New Roman" w:eastAsia="Times New Roman" w:hAnsi="Times New Roman" w:cs="Times New Roman"/>
      <w:sz w:val="28"/>
      <w:szCs w:val="20"/>
      <w:lang w:eastAsia="lv-LV"/>
    </w:rPr>
  </w:style>
  <w:style w:type="paragraph" w:styleId="Galvene">
    <w:name w:val="header"/>
    <w:basedOn w:val="Parastais"/>
    <w:link w:val="GalveneRakstz"/>
    <w:unhideWhenUsed/>
    <w:rsid w:val="00EA6CD3"/>
    <w:pPr>
      <w:tabs>
        <w:tab w:val="center" w:pos="4153"/>
        <w:tab w:val="right" w:pos="8306"/>
      </w:tabs>
    </w:pPr>
  </w:style>
  <w:style w:type="character" w:customStyle="1" w:styleId="GalveneRakstz">
    <w:name w:val="Galvene Rakstz."/>
    <w:basedOn w:val="Noklusjumarindkopasfonts"/>
    <w:link w:val="Galvene"/>
    <w:rsid w:val="00EA6CD3"/>
    <w:rPr>
      <w:rFonts w:ascii="Times New Roman" w:eastAsia="Calibri" w:hAnsi="Times New Roman" w:cs="Times New Roman"/>
      <w:sz w:val="20"/>
      <w:szCs w:val="20"/>
      <w:lang w:val="en-AU"/>
    </w:rPr>
  </w:style>
  <w:style w:type="paragraph" w:customStyle="1" w:styleId="naisf">
    <w:name w:val="naisf"/>
    <w:basedOn w:val="Parastais"/>
    <w:rsid w:val="00EA6CD3"/>
    <w:pPr>
      <w:spacing w:before="75" w:after="75"/>
      <w:ind w:firstLine="375"/>
      <w:jc w:val="both"/>
    </w:pPr>
    <w:rPr>
      <w:rFonts w:eastAsia="Times New Roman"/>
      <w:sz w:val="24"/>
      <w:szCs w:val="24"/>
      <w:lang w:val="lv-LV" w:eastAsia="lv-LV"/>
    </w:rPr>
  </w:style>
  <w:style w:type="paragraph" w:customStyle="1" w:styleId="naiskr">
    <w:name w:val="naiskr"/>
    <w:basedOn w:val="Parastais"/>
    <w:rsid w:val="00EA6CD3"/>
    <w:pPr>
      <w:spacing w:before="75" w:after="75"/>
    </w:pPr>
    <w:rPr>
      <w:rFonts w:eastAsia="Times New Roman"/>
      <w:sz w:val="24"/>
      <w:szCs w:val="24"/>
      <w:lang w:val="lv-LV" w:eastAsia="lv-LV"/>
    </w:rPr>
  </w:style>
  <w:style w:type="paragraph" w:customStyle="1" w:styleId="tv2131">
    <w:name w:val="tv2131"/>
    <w:basedOn w:val="Parastais"/>
    <w:rsid w:val="00EA6CD3"/>
    <w:pPr>
      <w:spacing w:line="360" w:lineRule="auto"/>
      <w:ind w:firstLine="335"/>
    </w:pPr>
    <w:rPr>
      <w:rFonts w:eastAsia="Times New Roman"/>
      <w:color w:val="414142"/>
      <w:sz w:val="22"/>
      <w:szCs w:val="22"/>
      <w:lang w:val="en-US"/>
    </w:rPr>
  </w:style>
  <w:style w:type="paragraph" w:styleId="Balonteksts">
    <w:name w:val="Balloon Text"/>
    <w:basedOn w:val="Parastais"/>
    <w:link w:val="BalontekstsRakstz"/>
    <w:uiPriority w:val="99"/>
    <w:semiHidden/>
    <w:unhideWhenUsed/>
    <w:rsid w:val="008D65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65D5"/>
    <w:rPr>
      <w:rFonts w:ascii="Tahoma" w:eastAsia="Calibri" w:hAnsi="Tahoma" w:cs="Tahoma"/>
      <w:sz w:val="16"/>
      <w:szCs w:val="16"/>
      <w:lang w:val="en-AU"/>
    </w:rPr>
  </w:style>
  <w:style w:type="paragraph" w:styleId="Sarakstarindkopa">
    <w:name w:val="List Paragraph"/>
    <w:aliases w:val="2,Strip,H&amp;P List Paragraph,Saraksta rindkopa1"/>
    <w:basedOn w:val="Parastais"/>
    <w:link w:val="SarakstarindkopaRakstz"/>
    <w:uiPriority w:val="34"/>
    <w:qFormat/>
    <w:rsid w:val="00166A8B"/>
    <w:pPr>
      <w:ind w:left="720"/>
      <w:contextualSpacing/>
    </w:pPr>
  </w:style>
  <w:style w:type="character" w:styleId="Komentraatsauce">
    <w:name w:val="annotation reference"/>
    <w:basedOn w:val="Noklusjumarindkopasfonts"/>
    <w:unhideWhenUsed/>
    <w:rsid w:val="00961605"/>
    <w:rPr>
      <w:sz w:val="16"/>
      <w:szCs w:val="16"/>
    </w:rPr>
  </w:style>
  <w:style w:type="paragraph" w:styleId="Komentrateksts">
    <w:name w:val="annotation text"/>
    <w:basedOn w:val="Parastais"/>
    <w:link w:val="KomentratekstsRakstz"/>
    <w:unhideWhenUsed/>
    <w:rsid w:val="00961605"/>
  </w:style>
  <w:style w:type="character" w:customStyle="1" w:styleId="KomentratekstsRakstz">
    <w:name w:val="Komentāra teksts Rakstz."/>
    <w:basedOn w:val="Noklusjumarindkopasfonts"/>
    <w:link w:val="Komentrateksts"/>
    <w:rsid w:val="00961605"/>
    <w:rPr>
      <w:rFonts w:ascii="Times New Roman" w:eastAsia="Calibri"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961605"/>
    <w:rPr>
      <w:b/>
      <w:bCs/>
    </w:rPr>
  </w:style>
  <w:style w:type="character" w:customStyle="1" w:styleId="KomentratmaRakstz">
    <w:name w:val="Komentāra tēma Rakstz."/>
    <w:basedOn w:val="KomentratekstsRakstz"/>
    <w:link w:val="Komentratma"/>
    <w:uiPriority w:val="99"/>
    <w:semiHidden/>
    <w:rsid w:val="00961605"/>
    <w:rPr>
      <w:rFonts w:ascii="Times New Roman" w:eastAsia="Calibri" w:hAnsi="Times New Roman" w:cs="Times New Roman"/>
      <w:b/>
      <w:bCs/>
      <w:sz w:val="20"/>
      <w:szCs w:val="20"/>
      <w:lang w:val="en-AU"/>
    </w:rPr>
  </w:style>
  <w:style w:type="character" w:styleId="Hipersaite">
    <w:name w:val="Hyperlink"/>
    <w:basedOn w:val="Noklusjumarindkopasfonts"/>
    <w:uiPriority w:val="99"/>
    <w:unhideWhenUsed/>
    <w:rsid w:val="00B46A16"/>
    <w:rPr>
      <w:color w:val="0000FF" w:themeColor="hyperlink"/>
      <w:u w:val="single"/>
    </w:rPr>
  </w:style>
  <w:style w:type="paragraph" w:styleId="Vresteksts">
    <w:name w:val="footnote text"/>
    <w:basedOn w:val="Parastais"/>
    <w:link w:val="VrestekstsRakstz"/>
    <w:rsid w:val="00AD6AEF"/>
    <w:pPr>
      <w:jc w:val="both"/>
    </w:pPr>
    <w:rPr>
      <w:rFonts w:eastAsia="Times New Roman"/>
      <w:lang w:val="lv-LV"/>
    </w:rPr>
  </w:style>
  <w:style w:type="character" w:customStyle="1" w:styleId="VrestekstsRakstz">
    <w:name w:val="Vēres teksts Rakstz."/>
    <w:basedOn w:val="Noklusjumarindkopasfonts"/>
    <w:link w:val="Vresteksts"/>
    <w:rsid w:val="00AD6AEF"/>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Noklusjumarindkopasfonts"/>
    <w:rsid w:val="00753FF4"/>
  </w:style>
  <w:style w:type="character" w:customStyle="1" w:styleId="bumpedfont15">
    <w:name w:val="bumpedfont15"/>
    <w:rsid w:val="006C20C5"/>
  </w:style>
  <w:style w:type="character" w:styleId="Vietturateksts">
    <w:name w:val="Placeholder Text"/>
    <w:basedOn w:val="Noklusjumarindkopasfonts"/>
    <w:uiPriority w:val="99"/>
    <w:semiHidden/>
    <w:rsid w:val="00200E7D"/>
    <w:rPr>
      <w:color w:val="808080"/>
    </w:rPr>
  </w:style>
  <w:style w:type="character" w:customStyle="1" w:styleId="SarakstarindkopaRakstz">
    <w:name w:val="Saraksta rindkopa Rakstz."/>
    <w:aliases w:val="2 Rakstz.,Strip Rakstz.,H&amp;P List Paragraph Rakstz.,Saraksta rindkopa1 Rakstz."/>
    <w:link w:val="Sarakstarindkopa"/>
    <w:uiPriority w:val="34"/>
    <w:locked/>
    <w:rsid w:val="00D165F4"/>
    <w:rPr>
      <w:rFonts w:ascii="Times New Roman" w:eastAsia="Calibri" w:hAnsi="Times New Roman" w:cs="Times New Roman"/>
      <w:sz w:val="20"/>
      <w:szCs w:val="20"/>
      <w:lang w:val="en-AU"/>
    </w:rPr>
  </w:style>
  <w:style w:type="paragraph" w:styleId="ParastaisWeb">
    <w:name w:val="Normal (Web)"/>
    <w:basedOn w:val="Parastais"/>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Parastais"/>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Parastais"/>
    <w:rsid w:val="00F94D89"/>
    <w:pPr>
      <w:spacing w:before="100" w:beforeAutospacing="1" w:after="100" w:afterAutospacing="1"/>
    </w:pPr>
    <w:rPr>
      <w:rFonts w:eastAsia="Times New Roman"/>
      <w:sz w:val="24"/>
      <w:szCs w:val="24"/>
      <w:lang w:val="lv-LV" w:eastAsia="lv-LV"/>
    </w:rPr>
  </w:style>
  <w:style w:type="paragraph" w:styleId="Prskatjums">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Izmantotahipersaite">
    <w:name w:val="FollowedHyperlink"/>
    <w:basedOn w:val="Noklusjumarindkopasfonts"/>
    <w:uiPriority w:val="99"/>
    <w:semiHidden/>
    <w:unhideWhenUsed/>
    <w:rsid w:val="00547ACF"/>
    <w:rPr>
      <w:color w:val="800080" w:themeColor="followedHyperlink"/>
      <w:u w:val="single"/>
    </w:rPr>
  </w:style>
  <w:style w:type="character" w:customStyle="1" w:styleId="Mention1">
    <w:name w:val="Mention1"/>
    <w:basedOn w:val="Noklusjumarindkopasfonts"/>
    <w:uiPriority w:val="99"/>
    <w:semiHidden/>
    <w:unhideWhenUsed/>
    <w:rsid w:val="00547ACF"/>
    <w:rPr>
      <w:color w:val="2B579A"/>
      <w:shd w:val="clear" w:color="auto" w:fill="E6E6E6"/>
    </w:rPr>
  </w:style>
  <w:style w:type="character" w:customStyle="1" w:styleId="Mention2">
    <w:name w:val="Mention2"/>
    <w:basedOn w:val="Noklusjumarindkopasfonts"/>
    <w:uiPriority w:val="99"/>
    <w:semiHidden/>
    <w:unhideWhenUsed/>
    <w:rsid w:val="00B621AF"/>
    <w:rPr>
      <w:color w:val="2B579A"/>
      <w:shd w:val="clear" w:color="auto" w:fill="E6E6E6"/>
    </w:rPr>
  </w:style>
  <w:style w:type="character" w:styleId="Grmatasnosaukums">
    <w:name w:val="Book Title"/>
    <w:basedOn w:val="Noklusjumarindkopasfonts"/>
    <w:uiPriority w:val="33"/>
    <w:qFormat/>
    <w:rsid w:val="00D97622"/>
    <w:rPr>
      <w:b/>
      <w:bCs/>
      <w:i/>
      <w:iCs/>
      <w:spacing w:val="5"/>
    </w:rPr>
  </w:style>
  <w:style w:type="character" w:customStyle="1" w:styleId="UnresolvedMention1">
    <w:name w:val="Unresolved Mention1"/>
    <w:basedOn w:val="Noklusjumarindkopasfonts"/>
    <w:uiPriority w:val="99"/>
    <w:semiHidden/>
    <w:unhideWhenUsed/>
    <w:rsid w:val="005A0C78"/>
    <w:rPr>
      <w:color w:val="808080"/>
      <w:shd w:val="clear" w:color="auto" w:fill="E6E6E6"/>
    </w:rPr>
  </w:style>
  <w:style w:type="paragraph" w:styleId="Beiguvresteksts">
    <w:name w:val="endnote text"/>
    <w:basedOn w:val="Parastais"/>
    <w:link w:val="BeiguvrestekstsRakstz"/>
    <w:uiPriority w:val="99"/>
    <w:semiHidden/>
    <w:unhideWhenUsed/>
    <w:rsid w:val="00E81F3E"/>
  </w:style>
  <w:style w:type="character" w:customStyle="1" w:styleId="BeiguvrestekstsRakstz">
    <w:name w:val="Beigu vēres teksts Rakstz."/>
    <w:basedOn w:val="Noklusjumarindkopasfonts"/>
    <w:link w:val="Beiguvresteksts"/>
    <w:uiPriority w:val="99"/>
    <w:semiHidden/>
    <w:rsid w:val="00E81F3E"/>
    <w:rPr>
      <w:rFonts w:ascii="Times New Roman" w:eastAsia="Calibri" w:hAnsi="Times New Roman" w:cs="Times New Roman"/>
      <w:sz w:val="20"/>
      <w:szCs w:val="20"/>
      <w:lang w:val="en-AU"/>
    </w:rPr>
  </w:style>
  <w:style w:type="character" w:styleId="Beiguvresatsauce">
    <w:name w:val="endnote reference"/>
    <w:basedOn w:val="Noklusjumarindkopasfonts"/>
    <w:uiPriority w:val="99"/>
    <w:semiHidden/>
    <w:unhideWhenUsed/>
    <w:rsid w:val="00E81F3E"/>
    <w:rPr>
      <w:vertAlign w:val="superscript"/>
    </w:rPr>
  </w:style>
  <w:style w:type="character" w:customStyle="1" w:styleId="italics">
    <w:name w:val="italics"/>
    <w:basedOn w:val="Noklusjumarindkopasfonts"/>
    <w:rsid w:val="00580B98"/>
  </w:style>
  <w:style w:type="character" w:customStyle="1" w:styleId="UnresolvedMention">
    <w:name w:val="Unresolved Mention"/>
    <w:basedOn w:val="Noklusjumarindkopasfonts"/>
    <w:uiPriority w:val="99"/>
    <w:semiHidden/>
    <w:unhideWhenUsed/>
    <w:rsid w:val="000A38DA"/>
    <w:rPr>
      <w:color w:val="605E5C"/>
      <w:shd w:val="clear" w:color="auto" w:fill="E1DFDD"/>
    </w:rPr>
  </w:style>
  <w:style w:type="paragraph" w:customStyle="1" w:styleId="paragraph">
    <w:name w:val="paragraph"/>
    <w:basedOn w:val="Parastais"/>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Noklusjumarindkopasfonts"/>
    <w:rsid w:val="001E048B"/>
  </w:style>
  <w:style w:type="character" w:customStyle="1" w:styleId="eop">
    <w:name w:val="eop"/>
    <w:basedOn w:val="Noklusjumarindkopasfonts"/>
    <w:rsid w:val="001E048B"/>
  </w:style>
  <w:style w:type="paragraph" w:customStyle="1" w:styleId="Normal1">
    <w:name w:val="Normal1"/>
    <w:basedOn w:val="Parastais"/>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Noklusjumarindkopasfonts"/>
    <w:rsid w:val="007554C6"/>
  </w:style>
</w:styles>
</file>

<file path=word/webSettings.xml><?xml version="1.0" encoding="utf-8"?>
<w:webSettings xmlns:r="http://schemas.openxmlformats.org/officeDocument/2006/relationships" xmlns:w="http://schemas.openxmlformats.org/wordprocessingml/2006/main">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3196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1FC3-6A10-49F5-B770-DF1A212A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7820</Words>
  <Characters>4458</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Altum</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Dita.Tetere@em.gov.lv</dc:creator>
  <dc:description>67013298
Signe.Tuklere@em.gov</dc:description>
  <cp:lastModifiedBy>Anete Šakina</cp:lastModifiedBy>
  <cp:revision>4</cp:revision>
  <cp:lastPrinted>2017-07-27T03:32:00Z</cp:lastPrinted>
  <dcterms:created xsi:type="dcterms:W3CDTF">2020-04-06T13:01:00Z</dcterms:created>
  <dcterms:modified xsi:type="dcterms:W3CDTF">2020-04-06T14:10:00Z</dcterms:modified>
</cp:coreProperties>
</file>