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77777777" w:rsidR="00894C55" w:rsidRPr="00FD5BD8" w:rsidRDefault="00EC6E12" w:rsidP="00EC6E12">
      <w:pPr>
        <w:pStyle w:val="NoSpacing"/>
        <w:jc w:val="center"/>
        <w:rPr>
          <w:rFonts w:ascii="Times New Roman" w:hAnsi="Times New Roman" w:cs="Times New Roman"/>
          <w:b/>
          <w:sz w:val="28"/>
          <w:szCs w:val="24"/>
          <w:lang w:eastAsia="lv-LV"/>
        </w:rPr>
      </w:pPr>
      <w:r w:rsidRPr="00FD5BD8">
        <w:rPr>
          <w:rFonts w:ascii="Times New Roman" w:hAnsi="Times New Roman" w:cs="Times New Roman"/>
          <w:b/>
          <w:sz w:val="28"/>
          <w:szCs w:val="24"/>
          <w:lang w:eastAsia="lv-LV"/>
        </w:rPr>
        <w:t xml:space="preserve">Ministru kabineta rīkojuma projekta “Par finanšu līdzekļu piešķiršanu no valsts budžeta programmas “Līdzekļi neparedzētiem gadījumiem”” </w:t>
      </w:r>
      <w:r w:rsidR="00894C55" w:rsidRPr="00FD5BD8">
        <w:rPr>
          <w:rFonts w:ascii="Times New Roman" w:hAnsi="Times New Roman" w:cs="Times New Roman"/>
          <w:b/>
          <w:sz w:val="28"/>
          <w:szCs w:val="24"/>
          <w:lang w:eastAsia="lv-LV"/>
        </w:rPr>
        <w:t>sākotnējās ietekmes novērtējuma ziņojums (anotācija)</w:t>
      </w:r>
    </w:p>
    <w:p w14:paraId="5D559B11" w14:textId="77777777" w:rsidR="00EC6E12" w:rsidRPr="00FD5BD8"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28"/>
        <w:gridCol w:w="7228"/>
      </w:tblGrid>
      <w:tr w:rsidR="00FD5BD8" w:rsidRPr="00FD5BD8"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FD5BD8" w:rsidRDefault="006F193F" w:rsidP="006F193F">
            <w:pPr>
              <w:spacing w:before="100" w:beforeAutospacing="1" w:after="100" w:afterAutospacing="1" w:line="293" w:lineRule="atLeast"/>
              <w:jc w:val="center"/>
              <w:rPr>
                <w:b/>
                <w:bCs/>
              </w:rPr>
            </w:pPr>
            <w:r w:rsidRPr="00FD5BD8">
              <w:rPr>
                <w:b/>
                <w:bCs/>
              </w:rPr>
              <w:t>Tiesību akta projekta anotācijas kopsavilkums</w:t>
            </w:r>
          </w:p>
        </w:tc>
      </w:tr>
      <w:tr w:rsidR="00FD5BD8" w:rsidRPr="00FD5BD8" w14:paraId="32B6BEEF" w14:textId="77777777" w:rsidTr="001B6740">
        <w:trPr>
          <w:trHeight w:val="324"/>
        </w:trPr>
        <w:tc>
          <w:tcPr>
            <w:tcW w:w="1137" w:type="pct"/>
            <w:tcBorders>
              <w:top w:val="outset" w:sz="6" w:space="0" w:color="414142"/>
              <w:left w:val="outset" w:sz="6" w:space="0" w:color="414142"/>
              <w:bottom w:val="outset" w:sz="6" w:space="0" w:color="414142"/>
              <w:right w:val="outset" w:sz="6" w:space="0" w:color="414142"/>
            </w:tcBorders>
            <w:hideMark/>
          </w:tcPr>
          <w:p w14:paraId="0B4F0D40" w14:textId="77777777" w:rsidR="00FD5BD8" w:rsidRPr="00FD5BD8" w:rsidRDefault="00FD5BD8" w:rsidP="00FD5BD8">
            <w:pPr>
              <w:spacing w:before="100" w:beforeAutospacing="1" w:after="100" w:afterAutospacing="1" w:line="293" w:lineRule="atLeast"/>
              <w:rPr>
                <w:iCs/>
              </w:rPr>
            </w:pPr>
            <w:r w:rsidRPr="00FD5BD8">
              <w:rPr>
                <w:iCs/>
              </w:rPr>
              <w:t>Mērķis, risinājums un projekta spēkā stāšanās laiks (500 zīmes bez atstarpēm)</w:t>
            </w:r>
          </w:p>
        </w:tc>
        <w:tc>
          <w:tcPr>
            <w:tcW w:w="3863" w:type="pct"/>
            <w:tcBorders>
              <w:top w:val="outset" w:sz="6" w:space="0" w:color="414142"/>
              <w:left w:val="outset" w:sz="6" w:space="0" w:color="414142"/>
              <w:bottom w:val="outset" w:sz="6" w:space="0" w:color="414142"/>
              <w:right w:val="outset" w:sz="6" w:space="0" w:color="414142"/>
            </w:tcBorders>
          </w:tcPr>
          <w:p w14:paraId="72BC091E" w14:textId="4B735243" w:rsidR="00FD5BD8" w:rsidRPr="00FD5BD8" w:rsidRDefault="00FD5BD8" w:rsidP="00FD5BD8">
            <w:pPr>
              <w:pStyle w:val="tv213"/>
              <w:tabs>
                <w:tab w:val="left" w:pos="0"/>
              </w:tabs>
              <w:spacing w:before="0" w:beforeAutospacing="0" w:after="0" w:afterAutospacing="0"/>
              <w:ind w:left="57"/>
              <w:jc w:val="both"/>
              <w:rPr>
                <w:iCs/>
              </w:rPr>
            </w:pPr>
            <w:r w:rsidRPr="00FD5BD8">
              <w:rPr>
                <w:iCs/>
              </w:rPr>
              <w:t>Saskaņā ar Ministru kabineta 2009. gada 15. decembra instrukcijas Nr. 19 "Tiesību akta projekta sākotnējās ietekmes izvērtēšanas kārtība" 5.1 apakšpunktu anotācijas kopsavilkums nav aizpildāms.</w:t>
            </w:r>
          </w:p>
        </w:tc>
      </w:tr>
    </w:tbl>
    <w:p w14:paraId="27C79431" w14:textId="77777777" w:rsidR="00EC6E12" w:rsidRPr="00FD5BD8" w:rsidRDefault="00EC6E12" w:rsidP="006F193F">
      <w:pPr>
        <w:pStyle w:val="NoSpacing"/>
        <w:rPr>
          <w:rFonts w:ascii="Times New Roman" w:hAnsi="Times New Roman" w:cs="Times New Roman"/>
          <w:sz w:val="24"/>
          <w:szCs w:val="24"/>
          <w:lang w:eastAsia="lv-LV"/>
        </w:rPr>
      </w:pPr>
    </w:p>
    <w:tbl>
      <w:tblPr>
        <w:tblStyle w:val="TableGrid"/>
        <w:tblW w:w="9216" w:type="dxa"/>
        <w:tblInd w:w="-147" w:type="dxa"/>
        <w:tblLayout w:type="fixed"/>
        <w:tblLook w:val="04A0" w:firstRow="1" w:lastRow="0" w:firstColumn="1" w:lastColumn="0" w:noHBand="0" w:noVBand="1"/>
      </w:tblPr>
      <w:tblGrid>
        <w:gridCol w:w="568"/>
        <w:gridCol w:w="1417"/>
        <w:gridCol w:w="7231"/>
      </w:tblGrid>
      <w:tr w:rsidR="00FD5BD8" w:rsidRPr="00FD5BD8" w14:paraId="6F5C95E5" w14:textId="77777777" w:rsidTr="00CB6F03">
        <w:tc>
          <w:tcPr>
            <w:tcW w:w="9216" w:type="dxa"/>
            <w:gridSpan w:val="3"/>
          </w:tcPr>
          <w:p w14:paraId="2E8CEC93" w14:textId="77777777" w:rsidR="00EC6E12" w:rsidRPr="00FD5BD8" w:rsidRDefault="00EC6E12" w:rsidP="00EC6E12">
            <w:pPr>
              <w:pStyle w:val="NoSpacing"/>
              <w:jc w:val="center"/>
              <w:rPr>
                <w:rFonts w:ascii="Times New Roman" w:hAnsi="Times New Roman" w:cs="Times New Roman"/>
                <w:b/>
                <w:sz w:val="24"/>
                <w:szCs w:val="24"/>
                <w:lang w:eastAsia="lv-LV"/>
              </w:rPr>
            </w:pPr>
            <w:r w:rsidRPr="00FD5BD8">
              <w:rPr>
                <w:rFonts w:ascii="Times New Roman" w:hAnsi="Times New Roman" w:cs="Times New Roman"/>
                <w:b/>
                <w:iCs/>
                <w:sz w:val="24"/>
                <w:szCs w:val="24"/>
                <w:lang w:eastAsia="lv-LV"/>
              </w:rPr>
              <w:t>I. Tiesību akta projekta izstrādes nepieciešamība</w:t>
            </w:r>
          </w:p>
        </w:tc>
      </w:tr>
      <w:tr w:rsidR="00FD5BD8" w:rsidRPr="00FD5BD8" w14:paraId="31440490" w14:textId="77777777" w:rsidTr="00CB6F03">
        <w:tc>
          <w:tcPr>
            <w:tcW w:w="568" w:type="dxa"/>
          </w:tcPr>
          <w:p w14:paraId="4DEF71DE" w14:textId="77777777" w:rsidR="00130487" w:rsidRPr="00FD5BD8" w:rsidRDefault="00130487" w:rsidP="00130487">
            <w:pPr>
              <w:pStyle w:val="NoSpacing"/>
              <w:jc w:val="center"/>
              <w:rPr>
                <w:rFonts w:ascii="Times New Roman" w:hAnsi="Times New Roman" w:cs="Times New Roman"/>
                <w:sz w:val="24"/>
                <w:szCs w:val="24"/>
                <w:lang w:eastAsia="lv-LV"/>
              </w:rPr>
            </w:pPr>
            <w:r w:rsidRPr="00FD5BD8">
              <w:rPr>
                <w:rFonts w:ascii="Times New Roman" w:hAnsi="Times New Roman" w:cs="Times New Roman"/>
                <w:sz w:val="24"/>
                <w:szCs w:val="24"/>
                <w:lang w:eastAsia="lv-LV"/>
              </w:rPr>
              <w:t>1.</w:t>
            </w:r>
          </w:p>
        </w:tc>
        <w:tc>
          <w:tcPr>
            <w:tcW w:w="1417" w:type="dxa"/>
          </w:tcPr>
          <w:p w14:paraId="75F03F44" w14:textId="77777777" w:rsidR="00130487" w:rsidRPr="00FD5BD8" w:rsidRDefault="00130487" w:rsidP="00130487">
            <w:pPr>
              <w:pStyle w:val="NoSpacing"/>
              <w:jc w:val="both"/>
              <w:rPr>
                <w:rFonts w:ascii="Times New Roman" w:hAnsi="Times New Roman" w:cs="Times New Roman"/>
                <w:iCs/>
                <w:sz w:val="24"/>
                <w:szCs w:val="24"/>
                <w:lang w:eastAsia="lv-LV"/>
              </w:rPr>
            </w:pPr>
            <w:r w:rsidRPr="00FD5BD8">
              <w:rPr>
                <w:rFonts w:ascii="Times New Roman" w:hAnsi="Times New Roman" w:cs="Times New Roman"/>
                <w:iCs/>
                <w:sz w:val="24"/>
                <w:szCs w:val="24"/>
                <w:lang w:eastAsia="lv-LV"/>
              </w:rPr>
              <w:t>Pamatojums</w:t>
            </w:r>
          </w:p>
        </w:tc>
        <w:tc>
          <w:tcPr>
            <w:tcW w:w="7229" w:type="dxa"/>
          </w:tcPr>
          <w:p w14:paraId="03C4D5A0" w14:textId="0316D374" w:rsidR="006A7C70" w:rsidRPr="00FD5BD8" w:rsidRDefault="006A7C70" w:rsidP="00FD5BD8">
            <w:pPr>
              <w:pStyle w:val="NoSpacing"/>
              <w:ind w:left="33"/>
              <w:jc w:val="both"/>
              <w:rPr>
                <w:rFonts w:ascii="Times New Roman" w:eastAsia="Times New Roman" w:hAnsi="Times New Roman" w:cs="Times New Roman"/>
                <w:sz w:val="24"/>
                <w:szCs w:val="24"/>
                <w:shd w:val="clear" w:color="auto" w:fill="FFFFFF"/>
                <w:lang w:eastAsia="lv-LV"/>
              </w:rPr>
            </w:pPr>
            <w:bookmarkStart w:id="0" w:name="_Hlk35876954"/>
            <w:r w:rsidRPr="00FD5BD8">
              <w:rPr>
                <w:rFonts w:ascii="Times New Roman" w:hAnsi="Times New Roman" w:cs="Times New Roman"/>
                <w:sz w:val="24"/>
              </w:rPr>
              <w:t xml:space="preserve">2020.gada </w:t>
            </w:r>
            <w:r w:rsidR="00CB6F03" w:rsidRPr="00FD5BD8">
              <w:rPr>
                <w:rFonts w:ascii="Times New Roman" w:hAnsi="Times New Roman" w:cs="Times New Roman"/>
                <w:sz w:val="24"/>
              </w:rPr>
              <w:t>3.aprīlī</w:t>
            </w:r>
            <w:r w:rsidRPr="00FD5BD8">
              <w:rPr>
                <w:rFonts w:ascii="Times New Roman" w:hAnsi="Times New Roman" w:cs="Times New Roman"/>
                <w:sz w:val="24"/>
              </w:rPr>
              <w:t xml:space="preserve"> </w:t>
            </w:r>
            <w:r w:rsidR="00083AAF" w:rsidRPr="00FD5BD8">
              <w:rPr>
                <w:rFonts w:ascii="Times New Roman" w:hAnsi="Times New Roman" w:cs="Times New Roman"/>
                <w:sz w:val="24"/>
              </w:rPr>
              <w:t>Saeimā pieņemt</w:t>
            </w:r>
            <w:r w:rsidR="00FD5BD8">
              <w:rPr>
                <w:rFonts w:ascii="Times New Roman" w:hAnsi="Times New Roman" w:cs="Times New Roman"/>
                <w:sz w:val="24"/>
              </w:rPr>
              <w:t>ais</w:t>
            </w:r>
            <w:r w:rsidR="00083AAF" w:rsidRPr="00FD5BD8">
              <w:rPr>
                <w:rFonts w:ascii="Times New Roman" w:hAnsi="Times New Roman" w:cs="Times New Roman"/>
                <w:sz w:val="24"/>
              </w:rPr>
              <w:t xml:space="preserve"> </w:t>
            </w:r>
            <w:r w:rsidRPr="00FD5BD8">
              <w:rPr>
                <w:rFonts w:ascii="Times New Roman" w:hAnsi="Times New Roman" w:cs="Times New Roman"/>
                <w:sz w:val="24"/>
              </w:rPr>
              <w:t>likum</w:t>
            </w:r>
            <w:r w:rsidR="00FD5BD8">
              <w:rPr>
                <w:rFonts w:ascii="Times New Roman" w:hAnsi="Times New Roman" w:cs="Times New Roman"/>
                <w:sz w:val="24"/>
              </w:rPr>
              <w:t>s</w:t>
            </w:r>
            <w:r w:rsidRPr="00FD5BD8">
              <w:rPr>
                <w:rFonts w:ascii="Times New Roman" w:hAnsi="Times New Roman" w:cs="Times New Roman"/>
                <w:sz w:val="24"/>
              </w:rPr>
              <w:t xml:space="preserve"> “Grozījums </w:t>
            </w:r>
            <w:r w:rsidR="00FD5BD8">
              <w:rPr>
                <w:rFonts w:ascii="Times New Roman" w:hAnsi="Times New Roman" w:cs="Times New Roman"/>
                <w:sz w:val="24"/>
              </w:rPr>
              <w:t>l</w:t>
            </w:r>
            <w:r w:rsidRPr="00FD5BD8">
              <w:rPr>
                <w:rFonts w:ascii="Times New Roman" w:hAnsi="Times New Roman" w:cs="Times New Roman"/>
                <w:sz w:val="24"/>
              </w:rPr>
              <w:t>ikum</w:t>
            </w:r>
            <w:r w:rsidR="00DF2BB9" w:rsidRPr="00FD5BD8">
              <w:rPr>
                <w:rFonts w:ascii="Times New Roman" w:hAnsi="Times New Roman" w:cs="Times New Roman"/>
                <w:sz w:val="24"/>
              </w:rPr>
              <w:t>ā</w:t>
            </w:r>
            <w:r w:rsidR="00FD5BD8">
              <w:rPr>
                <w:rFonts w:ascii="Times New Roman" w:hAnsi="Times New Roman" w:cs="Times New Roman"/>
                <w:sz w:val="24"/>
              </w:rPr>
              <w:t xml:space="preserve"> “Par maternitātes un slimības apdrošināšanu</w:t>
            </w:r>
            <w:r w:rsidRPr="00FD5BD8">
              <w:rPr>
                <w:rFonts w:ascii="Times New Roman" w:hAnsi="Times New Roman" w:cs="Times New Roman"/>
                <w:sz w:val="24"/>
              </w:rPr>
              <w:t>”</w:t>
            </w:r>
            <w:r w:rsidR="00F70F88" w:rsidRPr="00FD5BD8">
              <w:rPr>
                <w:rFonts w:ascii="Times New Roman" w:hAnsi="Times New Roman" w:cs="Times New Roman"/>
                <w:sz w:val="24"/>
              </w:rPr>
              <w:t>.</w:t>
            </w:r>
            <w:bookmarkEnd w:id="0"/>
          </w:p>
        </w:tc>
      </w:tr>
      <w:tr w:rsidR="00FD5BD8" w:rsidRPr="00FD5BD8" w14:paraId="69E5DBB5" w14:textId="77777777" w:rsidTr="00CB6F03">
        <w:tc>
          <w:tcPr>
            <w:tcW w:w="568" w:type="dxa"/>
          </w:tcPr>
          <w:p w14:paraId="196FCCF3" w14:textId="77777777" w:rsidR="0079260F" w:rsidRPr="00FD5BD8" w:rsidRDefault="0079260F" w:rsidP="0079260F">
            <w:pPr>
              <w:pStyle w:val="NoSpacing"/>
              <w:jc w:val="center"/>
              <w:rPr>
                <w:rFonts w:ascii="Times New Roman" w:hAnsi="Times New Roman" w:cs="Times New Roman"/>
                <w:sz w:val="24"/>
                <w:szCs w:val="24"/>
                <w:lang w:eastAsia="lv-LV"/>
              </w:rPr>
            </w:pPr>
            <w:r w:rsidRPr="00FD5BD8">
              <w:rPr>
                <w:rFonts w:ascii="Times New Roman" w:hAnsi="Times New Roman" w:cs="Times New Roman"/>
                <w:sz w:val="24"/>
                <w:szCs w:val="24"/>
                <w:lang w:eastAsia="lv-LV"/>
              </w:rPr>
              <w:t>2.</w:t>
            </w:r>
          </w:p>
        </w:tc>
        <w:tc>
          <w:tcPr>
            <w:tcW w:w="1417" w:type="dxa"/>
          </w:tcPr>
          <w:p w14:paraId="71164870" w14:textId="77777777" w:rsidR="00152501" w:rsidRPr="00FD5BD8" w:rsidRDefault="0079260F" w:rsidP="0079260F">
            <w:pPr>
              <w:pStyle w:val="NoSpacing"/>
              <w:jc w:val="both"/>
              <w:rPr>
                <w:rFonts w:ascii="Times New Roman" w:hAnsi="Times New Roman" w:cs="Times New Roman"/>
                <w:iCs/>
                <w:sz w:val="24"/>
                <w:szCs w:val="24"/>
                <w:lang w:eastAsia="lv-LV"/>
              </w:rPr>
            </w:pPr>
            <w:r w:rsidRPr="00FD5BD8">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1807D1" w:rsidRPr="00FD5BD8" w:rsidRDefault="001807D1" w:rsidP="00152501">
            <w:pPr>
              <w:jc w:val="center"/>
            </w:pPr>
          </w:p>
          <w:p w14:paraId="062E8B68" w14:textId="77777777" w:rsidR="001807D1" w:rsidRPr="00FD5BD8" w:rsidRDefault="001807D1" w:rsidP="001807D1"/>
          <w:p w14:paraId="1509AA62" w14:textId="77777777" w:rsidR="001807D1" w:rsidRPr="00FD5BD8" w:rsidRDefault="001807D1" w:rsidP="001807D1"/>
          <w:p w14:paraId="01B3631B" w14:textId="77777777" w:rsidR="001807D1" w:rsidRPr="00FD5BD8" w:rsidRDefault="001807D1" w:rsidP="001807D1"/>
          <w:p w14:paraId="0F34C32C" w14:textId="77777777" w:rsidR="001807D1" w:rsidRPr="00FD5BD8" w:rsidRDefault="001807D1" w:rsidP="001807D1"/>
          <w:p w14:paraId="2FFD16A9" w14:textId="77777777" w:rsidR="001807D1" w:rsidRPr="00FD5BD8" w:rsidRDefault="001807D1" w:rsidP="001807D1"/>
          <w:p w14:paraId="123D7DFE" w14:textId="77777777" w:rsidR="001807D1" w:rsidRPr="00FD5BD8" w:rsidRDefault="001807D1" w:rsidP="001807D1"/>
          <w:p w14:paraId="7F6A5B70" w14:textId="77777777" w:rsidR="001807D1" w:rsidRPr="00FD5BD8" w:rsidRDefault="001807D1" w:rsidP="001807D1"/>
          <w:p w14:paraId="535BAEDA" w14:textId="77777777" w:rsidR="001807D1" w:rsidRPr="00FD5BD8" w:rsidRDefault="001807D1" w:rsidP="001807D1"/>
          <w:p w14:paraId="33AF9872" w14:textId="77777777" w:rsidR="001807D1" w:rsidRPr="00FD5BD8" w:rsidRDefault="001807D1" w:rsidP="001807D1"/>
          <w:p w14:paraId="077DEF2B" w14:textId="77777777" w:rsidR="001807D1" w:rsidRPr="00FD5BD8" w:rsidRDefault="001807D1" w:rsidP="001807D1"/>
          <w:p w14:paraId="7366B94E" w14:textId="77777777" w:rsidR="001807D1" w:rsidRPr="00FD5BD8" w:rsidRDefault="001807D1" w:rsidP="001807D1"/>
          <w:p w14:paraId="14F48236" w14:textId="77777777" w:rsidR="001807D1" w:rsidRPr="00FD5BD8" w:rsidRDefault="001807D1" w:rsidP="001807D1"/>
          <w:p w14:paraId="00F2F605" w14:textId="77777777" w:rsidR="001807D1" w:rsidRPr="00FD5BD8" w:rsidRDefault="001807D1" w:rsidP="001807D1"/>
          <w:p w14:paraId="07ABD973" w14:textId="77777777" w:rsidR="0079260F" w:rsidRPr="00FD5BD8" w:rsidRDefault="0079260F" w:rsidP="00CB6F03"/>
        </w:tc>
        <w:tc>
          <w:tcPr>
            <w:tcW w:w="7229" w:type="dxa"/>
          </w:tcPr>
          <w:p w14:paraId="4E55341F" w14:textId="73C52BCA" w:rsidR="00C01F9A" w:rsidRPr="00FD5BD8" w:rsidRDefault="003C4E40" w:rsidP="00885514">
            <w:pPr>
              <w:pStyle w:val="NormalWeb"/>
              <w:shd w:val="clear" w:color="auto" w:fill="FFFFFF"/>
              <w:spacing w:before="0" w:beforeAutospacing="0" w:after="0" w:afterAutospacing="0"/>
              <w:ind w:firstLine="301"/>
              <w:jc w:val="both"/>
            </w:pPr>
            <w:r w:rsidRPr="00FD5BD8">
              <w:t xml:space="preserve">2020.gada </w:t>
            </w:r>
            <w:r w:rsidR="00CB6F03" w:rsidRPr="00FD5BD8">
              <w:t>3.aprīlī</w:t>
            </w:r>
            <w:r w:rsidRPr="00FD5BD8">
              <w:t xml:space="preserve"> Saeim</w:t>
            </w:r>
            <w:r w:rsidR="009734B2" w:rsidRPr="00FD5BD8">
              <w:t>a</w:t>
            </w:r>
            <w:r w:rsidRPr="00FD5BD8">
              <w:t xml:space="preserve"> pieņ</w:t>
            </w:r>
            <w:r w:rsidR="009734B2" w:rsidRPr="00FD5BD8">
              <w:t>ēma</w:t>
            </w:r>
            <w:r w:rsidRPr="00FD5BD8">
              <w:t xml:space="preserve"> likumu “Grozījums </w:t>
            </w:r>
            <w:r w:rsidR="00CB6F03" w:rsidRPr="00FD5BD8">
              <w:t>likumā “Par maternitātes un slimības apdrošināšanu</w:t>
            </w:r>
            <w:r w:rsidRPr="00FD5BD8">
              <w:t xml:space="preserve">” (stājas spēkā 2020.gada </w:t>
            </w:r>
            <w:r w:rsidR="00CB6F03" w:rsidRPr="00FD5BD8">
              <w:t>5.aprīlī</w:t>
            </w:r>
            <w:r w:rsidRPr="00FD5BD8">
              <w:t>), ar kuru likums</w:t>
            </w:r>
            <w:r w:rsidR="009734B2" w:rsidRPr="00FD5BD8">
              <w:t xml:space="preserve"> </w:t>
            </w:r>
            <w:r w:rsidR="00CB6F03" w:rsidRPr="00FD5BD8">
              <w:t xml:space="preserve">“Par maternitātes un slimības apdrošināšanu” </w:t>
            </w:r>
            <w:r w:rsidR="009734B2" w:rsidRPr="00FD5BD8">
              <w:t>(turpmāk – likums)</w:t>
            </w:r>
            <w:r w:rsidRPr="00FD5BD8">
              <w:t xml:space="preserve"> </w:t>
            </w:r>
            <w:r w:rsidR="009734B2" w:rsidRPr="00FD5BD8">
              <w:t>ir</w:t>
            </w:r>
            <w:r w:rsidRPr="00FD5BD8">
              <w:t xml:space="preserve"> papildināts ar pārejas noteikumu </w:t>
            </w:r>
            <w:r w:rsidR="00CB6F03" w:rsidRPr="00FD5BD8">
              <w:t>43.un 44</w:t>
            </w:r>
            <w:r w:rsidRPr="00FD5BD8">
              <w:t>.punkt</w:t>
            </w:r>
            <w:r w:rsidR="00CB6F03" w:rsidRPr="00FD5BD8">
              <w:t>iem</w:t>
            </w:r>
            <w:r w:rsidR="009734B2" w:rsidRPr="00FD5BD8">
              <w:t>.</w:t>
            </w:r>
          </w:p>
          <w:p w14:paraId="71370534" w14:textId="595C9265" w:rsidR="00CB6F03" w:rsidRPr="00FD5BD8" w:rsidRDefault="00CB6F03" w:rsidP="00885514">
            <w:pPr>
              <w:pStyle w:val="NormalWeb"/>
              <w:shd w:val="clear" w:color="auto" w:fill="FFFFFF"/>
              <w:spacing w:before="0" w:beforeAutospacing="0" w:after="0" w:afterAutospacing="0"/>
              <w:ind w:firstLine="301"/>
              <w:jc w:val="both"/>
              <w:rPr>
                <w:shd w:val="clear" w:color="auto" w:fill="FFFFFF"/>
              </w:rPr>
            </w:pPr>
            <w:r w:rsidRPr="00FD5BD8">
              <w:t xml:space="preserve">Likuma pārejas noteikumu 43.punkta paredz, ka </w:t>
            </w:r>
            <w:r w:rsidR="00C62EB6">
              <w:rPr>
                <w:shd w:val="clear" w:color="auto" w:fill="FFFFFF"/>
              </w:rPr>
              <w:t>p</w:t>
            </w:r>
            <w:r w:rsidRPr="00FD5BD8">
              <w:rPr>
                <w:shd w:val="clear" w:color="auto" w:fill="FFFFFF"/>
              </w:rPr>
              <w:t>ersona, kurai piešķirtā vecāku pabalsta periods (līdz bērna viena gada vai pusotra gada vecumam) beidzas laikā, kad sakarā ar Covid-19 izsludināta ārkārtējā situācija, un kura ārkārtējās situācijas apstākļu dēļ nevar atgriezties darbā, jo darba devējs nenodarbina darbinieku vai iestājusies dīkstāve, vai kura nevar gūt ienākumus no saimnieciskās darbības, var pieprasīt piešķirtā vecāku pabalsta turpinājuma izmaksu pēc tam, kad bērns sasniedz viena gada vai pusotra gada vecumu. Šo vecāku pabalsta turpinājumu var izmaksāt par periodu no 2020. gada 12. marta līdz dienai, kad persona sāk gūt ienākumus kā darba ņēmējs vai pašnodarbinātais, bet ne ilgāk kā līdz sakarā ar Covid-19 izsludinātās ārkārtējās situācijas beigām. Par šo periodu vecāku pabalsta turpinājums tiek izmaksāts iepriekš piešķirtā vecāku pabalsta apmērā, bet ne vairāk kā 700 </w:t>
            </w:r>
            <w:proofErr w:type="spellStart"/>
            <w:r w:rsidR="00AB7D5B" w:rsidRPr="00AB7D5B">
              <w:rPr>
                <w:i/>
                <w:iCs/>
                <w:shd w:val="clear" w:color="auto" w:fill="FFFFFF"/>
              </w:rPr>
              <w:t>euro</w:t>
            </w:r>
            <w:proofErr w:type="spellEnd"/>
            <w:r w:rsidRPr="00FD5BD8">
              <w:rPr>
                <w:shd w:val="clear" w:color="auto" w:fill="FFFFFF"/>
              </w:rPr>
              <w:t> mēnesī. Vecāku pabalsta turpinājumu neizmaksā, ja persona veic saimniecisko darbību un gūst ienākumus vai tai ir piešķirts dīkstāves pabalsts.</w:t>
            </w:r>
          </w:p>
          <w:p w14:paraId="573E5B5E" w14:textId="17F4E9AA" w:rsidR="00CB6F03" w:rsidRPr="00FD5BD8" w:rsidRDefault="00CB6F03" w:rsidP="00885514">
            <w:pPr>
              <w:pStyle w:val="NormalWeb"/>
              <w:shd w:val="clear" w:color="auto" w:fill="FFFFFF"/>
              <w:spacing w:before="0" w:beforeAutospacing="0" w:after="0" w:afterAutospacing="0"/>
              <w:ind w:firstLine="301"/>
              <w:jc w:val="both"/>
            </w:pPr>
            <w:r w:rsidRPr="00FD5BD8">
              <w:t xml:space="preserve">Likuma pārejas noteikumu 44.punkts nosaka, ka </w:t>
            </w:r>
            <w:r w:rsidR="00C62EB6">
              <w:t xml:space="preserve">par </w:t>
            </w:r>
            <w:r w:rsidRPr="00FD5BD8">
              <w:rPr>
                <w:shd w:val="clear" w:color="auto" w:fill="FFFFFF"/>
              </w:rPr>
              <w:t>iepriekš minētajām personām netiek veiktas valsts sociālās apdrošināšanas obligātās iemaksas.</w:t>
            </w:r>
          </w:p>
          <w:p w14:paraId="30378B30" w14:textId="0B685355" w:rsidR="009734B2" w:rsidRPr="00C62EB6" w:rsidRDefault="00CB6F03" w:rsidP="00CB6F03">
            <w:pPr>
              <w:pStyle w:val="NormalWeb"/>
              <w:shd w:val="clear" w:color="auto" w:fill="FFFFFF"/>
              <w:spacing w:before="0" w:beforeAutospacing="0" w:after="0" w:afterAutospacing="0"/>
              <w:ind w:firstLine="301"/>
              <w:jc w:val="both"/>
            </w:pPr>
            <w:r w:rsidRPr="00FD5BD8">
              <w:t xml:space="preserve">Līdz ar to, lai valsts varētu nodrošināt minētā vecāku pabalsta turpinājuma izmaksu no 2020.gada 12.marta līdz ārkārtas situācijas izsludināšanas beigām, </w:t>
            </w:r>
            <w:r w:rsidR="009734B2" w:rsidRPr="00FD5BD8">
              <w:t>ir izstrādāt</w:t>
            </w:r>
            <w:r w:rsidR="00FA45D1" w:rsidRPr="00FD5BD8">
              <w:t>s</w:t>
            </w:r>
            <w:r w:rsidR="009734B2" w:rsidRPr="00FD5BD8">
              <w:t xml:space="preserve"> projekt</w:t>
            </w:r>
            <w:r w:rsidR="00091323" w:rsidRPr="00FD5BD8">
              <w:t>s</w:t>
            </w:r>
            <w:r w:rsidR="007306E2" w:rsidRPr="00FD5BD8">
              <w:t xml:space="preserve"> par </w:t>
            </w:r>
            <w:r w:rsidR="00C9006E">
              <w:t>līdzekļu</w:t>
            </w:r>
            <w:r w:rsidR="00C9006E" w:rsidRPr="00C62EB6">
              <w:t xml:space="preserve"> </w:t>
            </w:r>
            <w:r w:rsidR="00C9006E">
              <w:t xml:space="preserve">piešķiršanu </w:t>
            </w:r>
            <w:r w:rsidR="007306E2" w:rsidRPr="00C62EB6">
              <w:t>Labklājības ministrijai</w:t>
            </w:r>
            <w:r w:rsidR="00C9006E">
              <w:t xml:space="preserve"> vecāku pabalstu izmaksu turpināšanai</w:t>
            </w:r>
            <w:r w:rsidR="009734B2" w:rsidRPr="00C62EB6">
              <w:t>.</w:t>
            </w:r>
          </w:p>
          <w:p w14:paraId="5ED69A2F" w14:textId="74CFAC61" w:rsidR="00B40D44" w:rsidRPr="00FD5BD8" w:rsidRDefault="00CB6F03" w:rsidP="00CB6F03">
            <w:pPr>
              <w:pStyle w:val="tv213"/>
              <w:tabs>
                <w:tab w:val="left" w:pos="709"/>
                <w:tab w:val="left" w:pos="993"/>
              </w:tabs>
              <w:spacing w:before="0" w:beforeAutospacing="0" w:after="0" w:afterAutospacing="0"/>
              <w:ind w:firstLine="316"/>
              <w:jc w:val="both"/>
            </w:pPr>
            <w:r w:rsidRPr="00C62EB6">
              <w:rPr>
                <w:rFonts w:eastAsiaTheme="minorHAnsi"/>
              </w:rPr>
              <w:t xml:space="preserve"> </w:t>
            </w:r>
            <w:r w:rsidR="007E08C0" w:rsidRPr="00C62EB6">
              <w:rPr>
                <w:rFonts w:eastAsiaTheme="minorHAnsi"/>
              </w:rPr>
              <w:t>P</w:t>
            </w:r>
            <w:r w:rsidR="004B02EB" w:rsidRPr="00C62EB6">
              <w:rPr>
                <w:rFonts w:eastAsiaTheme="minorHAnsi"/>
              </w:rPr>
              <w:t xml:space="preserve">rojekts paredz </w:t>
            </w:r>
            <w:r w:rsidR="008A4962" w:rsidRPr="00C62EB6">
              <w:rPr>
                <w:rFonts w:eastAsiaTheme="minorHAnsi"/>
              </w:rPr>
              <w:t xml:space="preserve">Finanšu ministrijai no valsts budžeta programmas </w:t>
            </w:r>
            <w:smartTag w:uri="schemas-tilde-lv/tildestengine" w:element="date">
              <w:smartTagPr>
                <w:attr w:name="Year" w:val="2001"/>
                <w:attr w:name="Month" w:val="11"/>
                <w:attr w:name="Day" w:val="30"/>
              </w:smartTagPr>
              <w:r w:rsidR="008A4962" w:rsidRPr="00C62EB6">
                <w:rPr>
                  <w:rFonts w:eastAsiaTheme="minorHAnsi"/>
                </w:rPr>
                <w:t>02.00.00</w:t>
              </w:r>
            </w:smartTag>
            <w:r w:rsidR="008A4962" w:rsidRPr="00C62EB6">
              <w:rPr>
                <w:rFonts w:eastAsiaTheme="minorHAnsi"/>
              </w:rPr>
              <w:t xml:space="preserve"> “Līdzekļi neparedzētiem gadījumiem” piešķirt Labklājības ministrijai </w:t>
            </w:r>
            <w:r w:rsidR="00622822">
              <w:rPr>
                <w:rFonts w:eastAsiaTheme="minorHAnsi"/>
              </w:rPr>
              <w:t xml:space="preserve">(Valsts sociālās apdrošināšanas aģentūrai) </w:t>
            </w:r>
            <w:r w:rsidR="008A4962" w:rsidRPr="00C62EB6">
              <w:rPr>
                <w:rFonts w:eastAsiaTheme="minorHAnsi"/>
              </w:rPr>
              <w:t xml:space="preserve">finansējumu, kas nepārsniedz </w:t>
            </w:r>
            <w:r w:rsidR="00C62EB6" w:rsidRPr="00C62EB6">
              <w:rPr>
                <w:rFonts w:eastAsiaTheme="minorHAnsi" w:cstheme="minorBidi"/>
                <w:lang w:eastAsia="en-US"/>
              </w:rPr>
              <w:t xml:space="preserve">6 323 033 </w:t>
            </w:r>
            <w:proofErr w:type="spellStart"/>
            <w:r w:rsidR="00AB7D5B" w:rsidRPr="00AB7D5B">
              <w:rPr>
                <w:rFonts w:eastAsiaTheme="minorHAnsi"/>
                <w:i/>
              </w:rPr>
              <w:t>euro</w:t>
            </w:r>
            <w:proofErr w:type="spellEnd"/>
            <w:r w:rsidR="008A4962" w:rsidRPr="00C62EB6">
              <w:rPr>
                <w:rFonts w:eastAsiaTheme="minorHAnsi"/>
              </w:rPr>
              <w:t>, lai laikā,</w:t>
            </w:r>
            <w:r w:rsidR="008A4962" w:rsidRPr="00FD5BD8">
              <w:rPr>
                <w:rFonts w:eastAsiaTheme="minorHAnsi"/>
              </w:rPr>
              <w:t xml:space="preserve"> kamēr visā valstī ir izsludināta ārkārtējā situācija sakarā ar Covid-19 izplatību, </w:t>
            </w:r>
            <w:r w:rsidR="00CA21C5">
              <w:rPr>
                <w:rFonts w:eastAsiaTheme="minorHAnsi"/>
              </w:rPr>
              <w:t>nodrošinātu</w:t>
            </w:r>
            <w:r w:rsidR="00CA21C5" w:rsidRPr="00FD5BD8">
              <w:rPr>
                <w:rFonts w:eastAsiaTheme="minorHAnsi"/>
              </w:rPr>
              <w:t xml:space="preserve"> </w:t>
            </w:r>
            <w:r w:rsidRPr="00FD5BD8">
              <w:rPr>
                <w:rFonts w:eastAsiaTheme="minorHAnsi"/>
              </w:rPr>
              <w:t>vecāku pabalsta turpinājuma izmaksu.</w:t>
            </w:r>
          </w:p>
        </w:tc>
      </w:tr>
      <w:tr w:rsidR="00FD5BD8" w:rsidRPr="00FD5BD8" w14:paraId="78E6C159" w14:textId="77777777" w:rsidTr="00CB6F03">
        <w:tc>
          <w:tcPr>
            <w:tcW w:w="568" w:type="dxa"/>
          </w:tcPr>
          <w:p w14:paraId="322A9867" w14:textId="77777777" w:rsidR="00130487" w:rsidRPr="00FD5BD8" w:rsidRDefault="00130487" w:rsidP="00130487">
            <w:pPr>
              <w:pStyle w:val="NoSpacing"/>
              <w:jc w:val="center"/>
              <w:rPr>
                <w:rFonts w:ascii="Times New Roman" w:hAnsi="Times New Roman" w:cs="Times New Roman"/>
                <w:sz w:val="24"/>
                <w:szCs w:val="24"/>
                <w:lang w:eastAsia="lv-LV"/>
              </w:rPr>
            </w:pPr>
            <w:r w:rsidRPr="00FD5BD8">
              <w:rPr>
                <w:rFonts w:ascii="Times New Roman" w:hAnsi="Times New Roman" w:cs="Times New Roman"/>
                <w:sz w:val="24"/>
                <w:szCs w:val="24"/>
                <w:lang w:eastAsia="lv-LV"/>
              </w:rPr>
              <w:t>3.</w:t>
            </w:r>
          </w:p>
        </w:tc>
        <w:tc>
          <w:tcPr>
            <w:tcW w:w="1417" w:type="dxa"/>
          </w:tcPr>
          <w:p w14:paraId="2725859B" w14:textId="77777777" w:rsidR="00130487" w:rsidRPr="00FD5BD8" w:rsidRDefault="00130487" w:rsidP="00130487">
            <w:pPr>
              <w:pStyle w:val="NoSpacing"/>
              <w:jc w:val="both"/>
              <w:rPr>
                <w:rFonts w:ascii="Times New Roman" w:hAnsi="Times New Roman" w:cs="Times New Roman"/>
                <w:iCs/>
                <w:sz w:val="24"/>
                <w:szCs w:val="24"/>
                <w:lang w:eastAsia="lv-LV"/>
              </w:rPr>
            </w:pPr>
            <w:r w:rsidRPr="00FD5BD8">
              <w:rPr>
                <w:rFonts w:ascii="Times New Roman" w:hAnsi="Times New Roman" w:cs="Times New Roman"/>
                <w:iCs/>
                <w:sz w:val="24"/>
                <w:szCs w:val="24"/>
                <w:lang w:eastAsia="lv-LV"/>
              </w:rPr>
              <w:t xml:space="preserve">Projekta izstrādē iesaistītās institūcijas </w:t>
            </w:r>
            <w:r w:rsidRPr="00FD5BD8">
              <w:rPr>
                <w:rFonts w:ascii="Times New Roman" w:hAnsi="Times New Roman" w:cs="Times New Roman"/>
                <w:iCs/>
                <w:sz w:val="24"/>
                <w:szCs w:val="24"/>
                <w:lang w:eastAsia="lv-LV"/>
              </w:rPr>
              <w:lastRenderedPageBreak/>
              <w:t>un publiskas personas kapitālsabiedrības</w:t>
            </w:r>
          </w:p>
        </w:tc>
        <w:tc>
          <w:tcPr>
            <w:tcW w:w="7229" w:type="dxa"/>
          </w:tcPr>
          <w:p w14:paraId="65834B25" w14:textId="0982663E" w:rsidR="00130487" w:rsidRPr="00FD5BD8" w:rsidRDefault="001B6740" w:rsidP="006335C0">
            <w:pPr>
              <w:pStyle w:val="NoSpacing"/>
              <w:jc w:val="both"/>
              <w:rPr>
                <w:rFonts w:ascii="Times New Roman" w:hAnsi="Times New Roman" w:cs="Times New Roman"/>
                <w:sz w:val="24"/>
                <w:szCs w:val="24"/>
                <w:lang w:eastAsia="lv-LV"/>
              </w:rPr>
            </w:pPr>
            <w:r w:rsidRPr="00FD5BD8">
              <w:rPr>
                <w:rFonts w:ascii="Times New Roman" w:hAnsi="Times New Roman" w:cs="Times New Roman"/>
                <w:sz w:val="24"/>
                <w:szCs w:val="24"/>
                <w:lang w:eastAsia="lv-LV"/>
              </w:rPr>
              <w:lastRenderedPageBreak/>
              <w:t>Nav</w:t>
            </w:r>
          </w:p>
        </w:tc>
      </w:tr>
      <w:tr w:rsidR="00FD5BD8" w:rsidRPr="00FD5BD8" w14:paraId="760CA46E" w14:textId="77777777" w:rsidTr="00CB6F03">
        <w:tc>
          <w:tcPr>
            <w:tcW w:w="568" w:type="dxa"/>
          </w:tcPr>
          <w:p w14:paraId="47947DA6" w14:textId="77777777" w:rsidR="00130487" w:rsidRPr="00FD5BD8" w:rsidRDefault="00130487" w:rsidP="00130487">
            <w:pPr>
              <w:pStyle w:val="NoSpacing"/>
              <w:jc w:val="center"/>
              <w:rPr>
                <w:rFonts w:ascii="Times New Roman" w:hAnsi="Times New Roman" w:cs="Times New Roman"/>
                <w:sz w:val="24"/>
                <w:szCs w:val="24"/>
                <w:lang w:eastAsia="lv-LV"/>
              </w:rPr>
            </w:pPr>
            <w:r w:rsidRPr="00FD5BD8">
              <w:rPr>
                <w:rFonts w:ascii="Times New Roman" w:hAnsi="Times New Roman" w:cs="Times New Roman"/>
                <w:sz w:val="24"/>
                <w:szCs w:val="24"/>
                <w:lang w:eastAsia="lv-LV"/>
              </w:rPr>
              <w:t>4.</w:t>
            </w:r>
          </w:p>
        </w:tc>
        <w:tc>
          <w:tcPr>
            <w:tcW w:w="1417" w:type="dxa"/>
          </w:tcPr>
          <w:p w14:paraId="26A52F22" w14:textId="77777777" w:rsidR="00130487" w:rsidRPr="00FD5BD8" w:rsidRDefault="00130487" w:rsidP="00130487">
            <w:pPr>
              <w:pStyle w:val="NoSpacing"/>
              <w:jc w:val="both"/>
              <w:rPr>
                <w:rFonts w:ascii="Times New Roman" w:hAnsi="Times New Roman" w:cs="Times New Roman"/>
                <w:iCs/>
                <w:sz w:val="24"/>
                <w:szCs w:val="24"/>
                <w:lang w:eastAsia="lv-LV"/>
              </w:rPr>
            </w:pPr>
            <w:r w:rsidRPr="00FD5BD8">
              <w:rPr>
                <w:rFonts w:ascii="Times New Roman" w:hAnsi="Times New Roman" w:cs="Times New Roman"/>
                <w:iCs/>
                <w:sz w:val="24"/>
                <w:szCs w:val="24"/>
                <w:lang w:eastAsia="lv-LV"/>
              </w:rPr>
              <w:t>Cita informācija</w:t>
            </w:r>
          </w:p>
        </w:tc>
        <w:tc>
          <w:tcPr>
            <w:tcW w:w="7229" w:type="dxa"/>
          </w:tcPr>
          <w:p w14:paraId="2A0DFF6C" w14:textId="6A89C563" w:rsidR="00DF2BB9" w:rsidRPr="00FD5BD8" w:rsidRDefault="006335C0" w:rsidP="006335C0">
            <w:pPr>
              <w:pStyle w:val="NoSpacing"/>
              <w:jc w:val="both"/>
              <w:rPr>
                <w:rFonts w:ascii="Times New Roman" w:hAnsi="Times New Roman" w:cs="Times New Roman"/>
                <w:sz w:val="24"/>
                <w:szCs w:val="24"/>
                <w:lang w:eastAsia="lv-LV"/>
              </w:rPr>
            </w:pPr>
            <w:r w:rsidRPr="00FD5BD8">
              <w:rPr>
                <w:rFonts w:ascii="Times New Roman" w:hAnsi="Times New Roman" w:cs="Times New Roman"/>
                <w:sz w:val="24"/>
                <w:szCs w:val="24"/>
                <w:lang w:eastAsia="lv-LV"/>
              </w:rPr>
              <w:t>Nav</w:t>
            </w:r>
          </w:p>
          <w:p w14:paraId="42665988" w14:textId="77777777" w:rsidR="00130487" w:rsidRPr="00FD5BD8" w:rsidRDefault="00130487" w:rsidP="00DF2BB9"/>
        </w:tc>
      </w:tr>
    </w:tbl>
    <w:p w14:paraId="5E0CF3C4" w14:textId="0B52624D" w:rsidR="00EC6E12" w:rsidRPr="00FD5BD8" w:rsidRDefault="00EC6E12" w:rsidP="00EC6E12">
      <w:pPr>
        <w:pStyle w:val="NoSpacing"/>
        <w:jc w:val="center"/>
        <w:rPr>
          <w:rFonts w:ascii="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
        <w:gridCol w:w="3048"/>
        <w:gridCol w:w="30"/>
        <w:gridCol w:w="5370"/>
      </w:tblGrid>
      <w:tr w:rsidR="00FD5BD8" w:rsidRPr="00FD5BD8" w14:paraId="6C588299" w14:textId="77777777" w:rsidTr="00A6642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FD5BD8" w:rsidRDefault="00462D25" w:rsidP="00462D25">
            <w:pPr>
              <w:pStyle w:val="NoSpacing"/>
              <w:jc w:val="both"/>
              <w:rPr>
                <w:rFonts w:ascii="Times New Roman" w:hAnsi="Times New Roman" w:cs="Times New Roman"/>
                <w:b/>
                <w:sz w:val="24"/>
                <w:szCs w:val="24"/>
              </w:rPr>
            </w:pPr>
            <w:r w:rsidRPr="00FD5BD8">
              <w:rPr>
                <w:rFonts w:ascii="Times New Roman" w:hAnsi="Times New Roman" w:cs="Times New Roman"/>
                <w:b/>
                <w:sz w:val="24"/>
                <w:szCs w:val="24"/>
              </w:rPr>
              <w:t>II. Tiesību akta projekta ietekme uz sabiedrību, tautsaimniecības attīstību un administratīvo slogu</w:t>
            </w:r>
          </w:p>
        </w:tc>
      </w:tr>
      <w:tr w:rsidR="00FD5BD8" w:rsidRPr="00FD5BD8" w14:paraId="654DA3E1" w14:textId="77777777" w:rsidTr="00A664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971B59"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3200F13C"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Sabiedrības mērķgrupas, kuras tiesiskais regulējums ietekmē vai varētu ietekmēt</w:t>
            </w:r>
          </w:p>
        </w:tc>
        <w:tc>
          <w:tcPr>
            <w:tcW w:w="2960" w:type="pct"/>
            <w:gridSpan w:val="2"/>
            <w:tcBorders>
              <w:top w:val="outset" w:sz="6" w:space="0" w:color="auto"/>
              <w:left w:val="outset" w:sz="6" w:space="0" w:color="auto"/>
              <w:bottom w:val="outset" w:sz="6" w:space="0" w:color="auto"/>
              <w:right w:val="outset" w:sz="6" w:space="0" w:color="auto"/>
            </w:tcBorders>
            <w:hideMark/>
          </w:tcPr>
          <w:p w14:paraId="2472DB23" w14:textId="29E931EB" w:rsidR="00462D25" w:rsidRPr="00FD5BD8" w:rsidRDefault="00FD5BD8" w:rsidP="00C62EB6">
            <w:pPr>
              <w:pStyle w:val="NoSpacing"/>
              <w:jc w:val="both"/>
              <w:rPr>
                <w:rFonts w:ascii="Times New Roman" w:hAnsi="Times New Roman" w:cs="Times New Roman"/>
                <w:sz w:val="24"/>
                <w:szCs w:val="24"/>
              </w:rPr>
            </w:pPr>
            <w:r w:rsidRPr="00FD5BD8">
              <w:rPr>
                <w:rFonts w:ascii="Times New Roman" w:hAnsi="Times New Roman" w:cs="Times New Roman"/>
                <w:sz w:val="24"/>
                <w:szCs w:val="24"/>
              </w:rPr>
              <w:t>V</w:t>
            </w:r>
            <w:r w:rsidR="00CB6F03" w:rsidRPr="00FD5BD8">
              <w:rPr>
                <w:rFonts w:ascii="Times New Roman" w:hAnsi="Times New Roman" w:cs="Times New Roman"/>
                <w:sz w:val="24"/>
                <w:szCs w:val="24"/>
              </w:rPr>
              <w:t>ecāku pabalsta saņēmēji, kuriem</w:t>
            </w:r>
            <w:r w:rsidRPr="00FD5BD8">
              <w:rPr>
                <w:rFonts w:ascii="Times New Roman" w:hAnsi="Times New Roman" w:cs="Times New Roman"/>
                <w:sz w:val="24"/>
                <w:szCs w:val="24"/>
              </w:rPr>
              <w:t xml:space="preserve"> </w:t>
            </w:r>
            <w:r w:rsidRPr="00FD5BD8">
              <w:rPr>
                <w:rFonts w:ascii="Times New Roman" w:hAnsi="Times New Roman" w:cs="Times New Roman"/>
                <w:sz w:val="24"/>
                <w:szCs w:val="24"/>
                <w:shd w:val="clear" w:color="auto" w:fill="FFFFFF"/>
              </w:rPr>
              <w:t>piešķirtā vecāku pabalsta periods (līdz bērna viena gada vai pusotra gada vecumam) beidzas laikā, kad sakarā ar Covid-19 izsludināta ārkārtējā situācija, un kura ārkārtējās situācijas apstākļu dēļ nevar atgriezties darbā, jo darba devējs nenodarbina darbinieku vai iestājusies dīkstāve, vai kura nevar gūt ienākumus no saimnieciskās darbības.</w:t>
            </w:r>
          </w:p>
        </w:tc>
      </w:tr>
      <w:tr w:rsidR="00FD5BD8" w:rsidRPr="00FD5BD8" w14:paraId="423D8D0D"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6E94EA98"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61F8ACB9"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C071771"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Projektam nebūs būtiska ietekme uz tautsaimniecību, kā arī uz kopējo administratīvo slogu.</w:t>
            </w:r>
          </w:p>
          <w:p w14:paraId="571B028C" w14:textId="77777777" w:rsidR="00462D25" w:rsidRPr="00FD5BD8" w:rsidRDefault="00462D25" w:rsidP="00462D25">
            <w:pPr>
              <w:pStyle w:val="NoSpacing"/>
              <w:rPr>
                <w:rFonts w:ascii="Times New Roman" w:hAnsi="Times New Roman" w:cs="Times New Roman"/>
                <w:sz w:val="24"/>
                <w:szCs w:val="24"/>
              </w:rPr>
            </w:pPr>
          </w:p>
        </w:tc>
      </w:tr>
      <w:tr w:rsidR="00FD5BD8" w:rsidRPr="00FD5BD8" w14:paraId="1D04C4DB"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4E58FD8B"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4703A4D2"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1D6F8A2"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Projektam nebūs papildu administratīvās izmaksas.</w:t>
            </w:r>
          </w:p>
          <w:p w14:paraId="5F0D51B7" w14:textId="77777777" w:rsidR="00462D25" w:rsidRPr="00FD5BD8" w:rsidRDefault="00462D25" w:rsidP="00462D25">
            <w:pPr>
              <w:pStyle w:val="NoSpacing"/>
              <w:rPr>
                <w:rFonts w:ascii="Times New Roman" w:hAnsi="Times New Roman" w:cs="Times New Roman"/>
                <w:sz w:val="24"/>
                <w:szCs w:val="24"/>
              </w:rPr>
            </w:pPr>
          </w:p>
        </w:tc>
      </w:tr>
      <w:tr w:rsidR="00FD5BD8" w:rsidRPr="00FD5BD8" w14:paraId="07958EFE"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5B00C433"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4773ACAC"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BB41BA6"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 xml:space="preserve">Projektā noteiktās izmaiņas neuzliek papildus pienākumus fiziskām vai juridiskām personām. </w:t>
            </w:r>
          </w:p>
        </w:tc>
      </w:tr>
      <w:tr w:rsidR="00502B81" w:rsidRPr="00FD5BD8" w14:paraId="2FB8C7B0"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0F9B5807"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5.</w:t>
            </w:r>
          </w:p>
        </w:tc>
        <w:tc>
          <w:tcPr>
            <w:tcW w:w="1678" w:type="pct"/>
            <w:gridSpan w:val="2"/>
            <w:tcBorders>
              <w:top w:val="outset" w:sz="6" w:space="0" w:color="auto"/>
              <w:left w:val="outset" w:sz="6" w:space="0" w:color="auto"/>
              <w:bottom w:val="outset" w:sz="6" w:space="0" w:color="auto"/>
              <w:right w:val="outset" w:sz="6" w:space="0" w:color="auto"/>
            </w:tcBorders>
            <w:hideMark/>
          </w:tcPr>
          <w:p w14:paraId="558CCF65"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5FD4124"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Nav</w:t>
            </w:r>
          </w:p>
        </w:tc>
      </w:tr>
    </w:tbl>
    <w:p w14:paraId="0FCCFF12" w14:textId="77777777" w:rsidR="009B5D17" w:rsidRPr="00FD5BD8" w:rsidRDefault="009B5D17" w:rsidP="00EC6E12">
      <w:pPr>
        <w:pStyle w:val="NoSpacing"/>
        <w:jc w:val="center"/>
        <w:rPr>
          <w:rFonts w:ascii="Times New Roman" w:hAnsi="Times New Roman" w:cs="Times New Roman"/>
          <w:sz w:val="24"/>
          <w:szCs w:val="24"/>
          <w:lang w:eastAsia="lv-LV"/>
        </w:rPr>
      </w:pPr>
    </w:p>
    <w:p w14:paraId="1F83E3DF" w14:textId="77777777" w:rsidR="00C62EB6" w:rsidRPr="00FD5BD8" w:rsidRDefault="00E5323B" w:rsidP="00EC6E12">
      <w:pPr>
        <w:pStyle w:val="NoSpacing"/>
        <w:rPr>
          <w:rFonts w:ascii="Times New Roman" w:hAnsi="Times New Roman" w:cs="Times New Roman"/>
          <w:iCs/>
          <w:sz w:val="24"/>
          <w:szCs w:val="24"/>
          <w:lang w:eastAsia="lv-LV"/>
        </w:rPr>
      </w:pPr>
      <w:r w:rsidRPr="00FD5BD8">
        <w:rPr>
          <w:rFonts w:ascii="Times New Roman" w:hAnsi="Times New Roman" w:cs="Times New Roman"/>
          <w:iCs/>
          <w:sz w:val="24"/>
          <w:szCs w:val="24"/>
          <w:lang w:eastAsia="lv-LV"/>
        </w:rPr>
        <w:t xml:space="preserve">  </w:t>
      </w:r>
    </w:p>
    <w:tbl>
      <w:tblPr>
        <w:tblW w:w="5023"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99"/>
        <w:gridCol w:w="991"/>
        <w:gridCol w:w="990"/>
        <w:gridCol w:w="868"/>
        <w:gridCol w:w="852"/>
        <w:gridCol w:w="882"/>
        <w:gridCol w:w="867"/>
        <w:gridCol w:w="1654"/>
      </w:tblGrid>
      <w:tr w:rsidR="00C62EB6" w:rsidRPr="00885514" w14:paraId="40EB3D1B" w14:textId="77777777" w:rsidTr="000621B4">
        <w:trPr>
          <w:cantSplit/>
        </w:trPr>
        <w:tc>
          <w:tcPr>
            <w:tcW w:w="9103" w:type="dxa"/>
            <w:gridSpan w:val="8"/>
            <w:shd w:val="clear" w:color="auto" w:fill="auto"/>
            <w:vAlign w:val="center"/>
            <w:hideMark/>
          </w:tcPr>
          <w:p w14:paraId="5021EF6E" w14:textId="77777777" w:rsidR="00C62EB6" w:rsidRPr="00885514" w:rsidRDefault="00C62EB6" w:rsidP="000621B4">
            <w:pPr>
              <w:jc w:val="center"/>
              <w:rPr>
                <w:rFonts w:eastAsiaTheme="minorHAnsi" w:cstheme="minorBidi"/>
                <w:b/>
                <w:lang w:eastAsia="en-US"/>
              </w:rPr>
            </w:pPr>
            <w:r w:rsidRPr="00885514">
              <w:rPr>
                <w:rFonts w:eastAsiaTheme="minorHAnsi" w:cstheme="minorBidi"/>
                <w:b/>
                <w:lang w:eastAsia="en-US"/>
              </w:rPr>
              <w:t>III. Tiesību akta projekta ietekme uz valsts budžetu un pašvaldību budžetiem</w:t>
            </w:r>
          </w:p>
        </w:tc>
      </w:tr>
      <w:tr w:rsidR="00C62EB6" w:rsidRPr="00885514" w14:paraId="7A1F160E" w14:textId="77777777" w:rsidTr="000621B4">
        <w:trPr>
          <w:cantSplit/>
        </w:trPr>
        <w:tc>
          <w:tcPr>
            <w:tcW w:w="1999" w:type="dxa"/>
            <w:vMerge w:val="restart"/>
            <w:shd w:val="clear" w:color="auto" w:fill="FFFFFF"/>
            <w:vAlign w:val="center"/>
          </w:tcPr>
          <w:p w14:paraId="1B940F1A"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Rādītāji</w:t>
            </w:r>
          </w:p>
        </w:tc>
        <w:tc>
          <w:tcPr>
            <w:tcW w:w="1981" w:type="dxa"/>
            <w:gridSpan w:val="2"/>
            <w:vMerge w:val="restart"/>
            <w:shd w:val="clear" w:color="auto" w:fill="FFFFFF"/>
            <w:vAlign w:val="center"/>
            <w:hideMark/>
          </w:tcPr>
          <w:p w14:paraId="1A140734" w14:textId="77777777" w:rsidR="00C62EB6" w:rsidRPr="00885514" w:rsidRDefault="00C62EB6" w:rsidP="000621B4">
            <w:pPr>
              <w:jc w:val="center"/>
              <w:rPr>
                <w:rFonts w:eastAsiaTheme="minorHAnsi" w:cstheme="minorBidi"/>
                <w:sz w:val="20"/>
                <w:szCs w:val="20"/>
                <w:lang w:eastAsia="en-US"/>
              </w:rPr>
            </w:pPr>
            <w:r>
              <w:rPr>
                <w:rFonts w:eastAsiaTheme="minorHAnsi" w:cstheme="minorBidi"/>
                <w:sz w:val="20"/>
                <w:szCs w:val="20"/>
                <w:lang w:eastAsia="en-US"/>
              </w:rPr>
              <w:t>2020.</w:t>
            </w:r>
            <w:r w:rsidRPr="00885514">
              <w:rPr>
                <w:rFonts w:eastAsiaTheme="minorHAnsi" w:cstheme="minorBidi"/>
                <w:sz w:val="20"/>
                <w:szCs w:val="20"/>
                <w:lang w:eastAsia="en-US"/>
              </w:rPr>
              <w:t>gads</w:t>
            </w:r>
          </w:p>
        </w:tc>
        <w:tc>
          <w:tcPr>
            <w:tcW w:w="5123" w:type="dxa"/>
            <w:gridSpan w:val="5"/>
            <w:shd w:val="clear" w:color="auto" w:fill="FFFFFF"/>
            <w:vAlign w:val="center"/>
            <w:hideMark/>
          </w:tcPr>
          <w:p w14:paraId="0D65168F" w14:textId="5405A9A1" w:rsidR="00C62EB6" w:rsidRPr="00885514" w:rsidRDefault="00C62EB6" w:rsidP="000621B4">
            <w:pPr>
              <w:jc w:val="center"/>
              <w:rPr>
                <w:rFonts w:eastAsiaTheme="minorHAnsi" w:cstheme="minorBidi"/>
                <w:sz w:val="20"/>
                <w:szCs w:val="20"/>
                <w:lang w:eastAsia="en-US"/>
              </w:rPr>
            </w:pPr>
            <w:r w:rsidRPr="00885514">
              <w:rPr>
                <w:rFonts w:eastAsiaTheme="minorHAnsi" w:cstheme="minorBidi"/>
                <w:sz w:val="20"/>
                <w:szCs w:val="20"/>
                <w:lang w:eastAsia="en-US"/>
              </w:rPr>
              <w:t>Turpmākie trīs gadi (</w:t>
            </w:r>
            <w:proofErr w:type="spellStart"/>
            <w:r w:rsidR="00AB7D5B" w:rsidRPr="00AB7D5B">
              <w:rPr>
                <w:rFonts w:eastAsiaTheme="minorHAnsi" w:cstheme="minorBidi"/>
                <w:i/>
                <w:sz w:val="20"/>
                <w:szCs w:val="20"/>
                <w:lang w:eastAsia="en-US"/>
              </w:rPr>
              <w:t>euro</w:t>
            </w:r>
            <w:proofErr w:type="spellEnd"/>
            <w:r w:rsidRPr="00885514">
              <w:rPr>
                <w:rFonts w:eastAsiaTheme="minorHAnsi" w:cstheme="minorBidi"/>
                <w:sz w:val="20"/>
                <w:szCs w:val="20"/>
                <w:lang w:eastAsia="en-US"/>
              </w:rPr>
              <w:t>)</w:t>
            </w:r>
          </w:p>
        </w:tc>
      </w:tr>
      <w:tr w:rsidR="00C62EB6" w:rsidRPr="00885514" w14:paraId="7F888DD2" w14:textId="77777777" w:rsidTr="000621B4">
        <w:trPr>
          <w:cantSplit/>
        </w:trPr>
        <w:tc>
          <w:tcPr>
            <w:tcW w:w="1999" w:type="dxa"/>
            <w:vMerge/>
            <w:shd w:val="clear" w:color="auto" w:fill="auto"/>
            <w:vAlign w:val="center"/>
            <w:hideMark/>
          </w:tcPr>
          <w:p w14:paraId="159E1A70" w14:textId="77777777" w:rsidR="00C62EB6" w:rsidRPr="00885514" w:rsidRDefault="00C62EB6" w:rsidP="000621B4">
            <w:pPr>
              <w:jc w:val="both"/>
              <w:rPr>
                <w:rFonts w:eastAsiaTheme="minorHAnsi" w:cstheme="minorBidi"/>
                <w:sz w:val="20"/>
                <w:szCs w:val="20"/>
                <w:lang w:eastAsia="en-US"/>
              </w:rPr>
            </w:pPr>
          </w:p>
        </w:tc>
        <w:tc>
          <w:tcPr>
            <w:tcW w:w="1981" w:type="dxa"/>
            <w:gridSpan w:val="2"/>
            <w:vMerge/>
            <w:shd w:val="clear" w:color="auto" w:fill="auto"/>
            <w:vAlign w:val="center"/>
            <w:hideMark/>
          </w:tcPr>
          <w:p w14:paraId="6D68FE32" w14:textId="77777777" w:rsidR="00C62EB6" w:rsidRPr="00885514" w:rsidRDefault="00C62EB6" w:rsidP="000621B4">
            <w:pPr>
              <w:jc w:val="both"/>
              <w:rPr>
                <w:rFonts w:eastAsiaTheme="minorHAnsi" w:cstheme="minorBidi"/>
                <w:sz w:val="20"/>
                <w:szCs w:val="20"/>
                <w:lang w:eastAsia="en-US"/>
              </w:rPr>
            </w:pPr>
          </w:p>
        </w:tc>
        <w:tc>
          <w:tcPr>
            <w:tcW w:w="1720" w:type="dxa"/>
            <w:gridSpan w:val="2"/>
            <w:shd w:val="clear" w:color="auto" w:fill="FFFFFF"/>
            <w:vAlign w:val="center"/>
            <w:hideMark/>
          </w:tcPr>
          <w:p w14:paraId="6FECB740" w14:textId="77777777" w:rsidR="00C62EB6" w:rsidRPr="00885514" w:rsidRDefault="00C62EB6" w:rsidP="000621B4">
            <w:pPr>
              <w:jc w:val="center"/>
              <w:rPr>
                <w:rFonts w:eastAsiaTheme="minorHAnsi" w:cstheme="minorBidi"/>
                <w:sz w:val="20"/>
                <w:szCs w:val="20"/>
                <w:lang w:eastAsia="en-US"/>
              </w:rPr>
            </w:pPr>
            <w:r>
              <w:rPr>
                <w:rFonts w:eastAsiaTheme="minorHAnsi" w:cstheme="minorBidi"/>
                <w:sz w:val="20"/>
                <w:szCs w:val="20"/>
                <w:lang w:eastAsia="en-US"/>
              </w:rPr>
              <w:t>2021</w:t>
            </w:r>
          </w:p>
        </w:tc>
        <w:tc>
          <w:tcPr>
            <w:tcW w:w="1749" w:type="dxa"/>
            <w:gridSpan w:val="2"/>
            <w:shd w:val="clear" w:color="auto" w:fill="FFFFFF"/>
            <w:vAlign w:val="center"/>
            <w:hideMark/>
          </w:tcPr>
          <w:p w14:paraId="673F1273" w14:textId="77777777" w:rsidR="00C62EB6" w:rsidRPr="00885514" w:rsidRDefault="00C62EB6" w:rsidP="000621B4">
            <w:pPr>
              <w:jc w:val="center"/>
              <w:rPr>
                <w:rFonts w:eastAsiaTheme="minorHAnsi" w:cstheme="minorBidi"/>
                <w:sz w:val="20"/>
                <w:szCs w:val="20"/>
                <w:lang w:eastAsia="en-US"/>
              </w:rPr>
            </w:pPr>
            <w:r>
              <w:rPr>
                <w:rFonts w:eastAsiaTheme="minorHAnsi" w:cstheme="minorBidi"/>
                <w:sz w:val="20"/>
                <w:szCs w:val="20"/>
                <w:lang w:eastAsia="en-US"/>
              </w:rPr>
              <w:t>2022</w:t>
            </w:r>
          </w:p>
        </w:tc>
        <w:tc>
          <w:tcPr>
            <w:tcW w:w="1654" w:type="dxa"/>
            <w:shd w:val="clear" w:color="auto" w:fill="FFFFFF"/>
            <w:vAlign w:val="center"/>
            <w:hideMark/>
          </w:tcPr>
          <w:p w14:paraId="79B3BDE2" w14:textId="77777777" w:rsidR="00C62EB6" w:rsidRPr="00885514" w:rsidRDefault="00C62EB6" w:rsidP="000621B4">
            <w:pPr>
              <w:jc w:val="center"/>
              <w:rPr>
                <w:rFonts w:eastAsiaTheme="minorHAnsi" w:cstheme="minorBidi"/>
                <w:sz w:val="20"/>
                <w:szCs w:val="20"/>
                <w:lang w:eastAsia="en-US"/>
              </w:rPr>
            </w:pPr>
            <w:r>
              <w:rPr>
                <w:rFonts w:eastAsiaTheme="minorHAnsi" w:cstheme="minorBidi"/>
                <w:sz w:val="20"/>
                <w:szCs w:val="20"/>
                <w:lang w:eastAsia="en-US"/>
              </w:rPr>
              <w:t>2023</w:t>
            </w:r>
          </w:p>
        </w:tc>
      </w:tr>
      <w:tr w:rsidR="00C62EB6" w:rsidRPr="00885514" w14:paraId="587A6B62" w14:textId="77777777" w:rsidTr="000621B4">
        <w:trPr>
          <w:cantSplit/>
        </w:trPr>
        <w:tc>
          <w:tcPr>
            <w:tcW w:w="1999" w:type="dxa"/>
            <w:vMerge/>
            <w:shd w:val="clear" w:color="auto" w:fill="auto"/>
            <w:vAlign w:val="center"/>
            <w:hideMark/>
          </w:tcPr>
          <w:p w14:paraId="34B5A1E8" w14:textId="77777777" w:rsidR="00C62EB6" w:rsidRPr="00885514" w:rsidRDefault="00C62EB6" w:rsidP="000621B4">
            <w:pPr>
              <w:jc w:val="both"/>
              <w:rPr>
                <w:rFonts w:eastAsiaTheme="minorHAnsi" w:cstheme="minorBidi"/>
                <w:sz w:val="20"/>
                <w:szCs w:val="20"/>
                <w:lang w:eastAsia="en-US"/>
              </w:rPr>
            </w:pPr>
          </w:p>
        </w:tc>
        <w:tc>
          <w:tcPr>
            <w:tcW w:w="991" w:type="dxa"/>
            <w:shd w:val="clear" w:color="auto" w:fill="FFFFFF"/>
            <w:vAlign w:val="center"/>
            <w:hideMark/>
          </w:tcPr>
          <w:p w14:paraId="37111B6C"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saskaņā ar valsts budžetu kārtējam gadam</w:t>
            </w:r>
          </w:p>
        </w:tc>
        <w:tc>
          <w:tcPr>
            <w:tcW w:w="990" w:type="dxa"/>
            <w:shd w:val="clear" w:color="auto" w:fill="FFFFFF"/>
            <w:vAlign w:val="center"/>
            <w:hideMark/>
          </w:tcPr>
          <w:p w14:paraId="2655C56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izmaiņas kārtējā gadā, salīdzinot ar valsts budžetu kārtējam gadam</w:t>
            </w:r>
          </w:p>
        </w:tc>
        <w:tc>
          <w:tcPr>
            <w:tcW w:w="868" w:type="dxa"/>
            <w:shd w:val="clear" w:color="auto" w:fill="FFFFFF"/>
            <w:vAlign w:val="center"/>
            <w:hideMark/>
          </w:tcPr>
          <w:p w14:paraId="438362C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saskaņā ar vidēja termiņa budžeta ietvaru</w:t>
            </w:r>
          </w:p>
        </w:tc>
        <w:tc>
          <w:tcPr>
            <w:tcW w:w="852" w:type="dxa"/>
            <w:shd w:val="clear" w:color="auto" w:fill="FFFFFF"/>
            <w:vAlign w:val="center"/>
            <w:hideMark/>
          </w:tcPr>
          <w:p w14:paraId="22713C05"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 xml:space="preserve">izmaiņas, salīdzinot ar vidēja termiņa budžeta ietvaru </w:t>
            </w:r>
            <w:r>
              <w:rPr>
                <w:rFonts w:eastAsiaTheme="minorHAnsi" w:cstheme="minorBidi"/>
                <w:sz w:val="20"/>
                <w:szCs w:val="20"/>
                <w:lang w:eastAsia="en-US"/>
              </w:rPr>
              <w:t>2021.</w:t>
            </w:r>
            <w:r w:rsidRPr="00885514">
              <w:rPr>
                <w:rFonts w:eastAsiaTheme="minorHAnsi" w:cstheme="minorBidi"/>
                <w:sz w:val="20"/>
                <w:szCs w:val="20"/>
                <w:lang w:eastAsia="en-US"/>
              </w:rPr>
              <w:t xml:space="preserve"> gadam</w:t>
            </w:r>
          </w:p>
        </w:tc>
        <w:tc>
          <w:tcPr>
            <w:tcW w:w="882" w:type="dxa"/>
            <w:shd w:val="clear" w:color="auto" w:fill="FFFFFF"/>
            <w:vAlign w:val="center"/>
            <w:hideMark/>
          </w:tcPr>
          <w:p w14:paraId="6D18497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saskaņā ar vidēja termiņa budžeta ietvaru</w:t>
            </w:r>
          </w:p>
        </w:tc>
        <w:tc>
          <w:tcPr>
            <w:tcW w:w="867" w:type="dxa"/>
            <w:shd w:val="clear" w:color="auto" w:fill="FFFFFF"/>
            <w:vAlign w:val="center"/>
            <w:hideMark/>
          </w:tcPr>
          <w:p w14:paraId="57C7E054"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 xml:space="preserve">izmaiņas, salīdzinot ar vidēja termiņa budžeta ietvaru </w:t>
            </w:r>
            <w:r>
              <w:rPr>
                <w:rFonts w:eastAsiaTheme="minorHAnsi" w:cstheme="minorBidi"/>
                <w:sz w:val="20"/>
                <w:szCs w:val="20"/>
                <w:lang w:eastAsia="en-US"/>
              </w:rPr>
              <w:t>2022.</w:t>
            </w:r>
            <w:r w:rsidRPr="00885514">
              <w:rPr>
                <w:rFonts w:eastAsiaTheme="minorHAnsi" w:cstheme="minorBidi"/>
                <w:sz w:val="20"/>
                <w:szCs w:val="20"/>
                <w:lang w:eastAsia="en-US"/>
              </w:rPr>
              <w:t xml:space="preserve"> gadam</w:t>
            </w:r>
          </w:p>
        </w:tc>
        <w:tc>
          <w:tcPr>
            <w:tcW w:w="1654" w:type="dxa"/>
            <w:shd w:val="clear" w:color="auto" w:fill="FFFFFF"/>
            <w:vAlign w:val="center"/>
            <w:hideMark/>
          </w:tcPr>
          <w:p w14:paraId="29F5DF0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 xml:space="preserve">izmaiņas, salīdzinot ar vidēja termiņa budžeta ietvaru </w:t>
            </w:r>
            <w:r w:rsidRPr="00885514">
              <w:rPr>
                <w:rFonts w:eastAsiaTheme="minorHAnsi" w:cstheme="minorBidi"/>
                <w:sz w:val="20"/>
                <w:szCs w:val="20"/>
                <w:lang w:eastAsia="en-US"/>
              </w:rPr>
              <w:br/>
            </w:r>
            <w:r>
              <w:rPr>
                <w:rFonts w:eastAsiaTheme="minorHAnsi" w:cstheme="minorBidi"/>
                <w:sz w:val="20"/>
                <w:szCs w:val="20"/>
                <w:lang w:eastAsia="en-US"/>
              </w:rPr>
              <w:t>202</w:t>
            </w:r>
            <w:r w:rsidRPr="00885514">
              <w:rPr>
                <w:rFonts w:eastAsiaTheme="minorHAnsi" w:cstheme="minorBidi"/>
                <w:sz w:val="20"/>
                <w:szCs w:val="20"/>
                <w:lang w:eastAsia="en-US"/>
              </w:rPr>
              <w:t>2</w:t>
            </w:r>
            <w:r>
              <w:rPr>
                <w:rFonts w:eastAsiaTheme="minorHAnsi" w:cstheme="minorBidi"/>
                <w:sz w:val="20"/>
                <w:szCs w:val="20"/>
                <w:lang w:eastAsia="en-US"/>
              </w:rPr>
              <w:t>.</w:t>
            </w:r>
            <w:r w:rsidRPr="00885514">
              <w:rPr>
                <w:rFonts w:eastAsiaTheme="minorHAnsi" w:cstheme="minorBidi"/>
                <w:sz w:val="20"/>
                <w:szCs w:val="20"/>
                <w:lang w:eastAsia="en-US"/>
              </w:rPr>
              <w:t xml:space="preserve"> gadam</w:t>
            </w:r>
          </w:p>
        </w:tc>
      </w:tr>
      <w:tr w:rsidR="00C62EB6" w:rsidRPr="00885514" w14:paraId="2D94465E" w14:textId="77777777" w:rsidTr="000621B4">
        <w:trPr>
          <w:cantSplit/>
        </w:trPr>
        <w:tc>
          <w:tcPr>
            <w:tcW w:w="1999" w:type="dxa"/>
            <w:shd w:val="clear" w:color="auto" w:fill="FFFFFF"/>
            <w:vAlign w:val="center"/>
            <w:hideMark/>
          </w:tcPr>
          <w:p w14:paraId="6B7665E4"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1</w:t>
            </w:r>
          </w:p>
        </w:tc>
        <w:tc>
          <w:tcPr>
            <w:tcW w:w="991" w:type="dxa"/>
            <w:shd w:val="clear" w:color="auto" w:fill="FFFFFF"/>
            <w:vAlign w:val="center"/>
            <w:hideMark/>
          </w:tcPr>
          <w:p w14:paraId="382FCD1F"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2</w:t>
            </w:r>
          </w:p>
        </w:tc>
        <w:tc>
          <w:tcPr>
            <w:tcW w:w="990" w:type="dxa"/>
            <w:shd w:val="clear" w:color="auto" w:fill="FFFFFF"/>
            <w:vAlign w:val="center"/>
            <w:hideMark/>
          </w:tcPr>
          <w:p w14:paraId="1CDCEA51"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3</w:t>
            </w:r>
          </w:p>
        </w:tc>
        <w:tc>
          <w:tcPr>
            <w:tcW w:w="868" w:type="dxa"/>
            <w:shd w:val="clear" w:color="auto" w:fill="FFFFFF"/>
            <w:vAlign w:val="center"/>
            <w:hideMark/>
          </w:tcPr>
          <w:p w14:paraId="6215E6E9"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4</w:t>
            </w:r>
          </w:p>
        </w:tc>
        <w:tc>
          <w:tcPr>
            <w:tcW w:w="852" w:type="dxa"/>
            <w:shd w:val="clear" w:color="auto" w:fill="FFFFFF"/>
            <w:vAlign w:val="center"/>
            <w:hideMark/>
          </w:tcPr>
          <w:p w14:paraId="7D486F6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5</w:t>
            </w:r>
          </w:p>
        </w:tc>
        <w:tc>
          <w:tcPr>
            <w:tcW w:w="882" w:type="dxa"/>
            <w:shd w:val="clear" w:color="auto" w:fill="FFFFFF"/>
            <w:vAlign w:val="center"/>
            <w:hideMark/>
          </w:tcPr>
          <w:p w14:paraId="5EE6BECC"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6</w:t>
            </w:r>
          </w:p>
        </w:tc>
        <w:tc>
          <w:tcPr>
            <w:tcW w:w="867" w:type="dxa"/>
            <w:shd w:val="clear" w:color="auto" w:fill="FFFFFF"/>
            <w:vAlign w:val="center"/>
            <w:hideMark/>
          </w:tcPr>
          <w:p w14:paraId="5532860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7</w:t>
            </w:r>
          </w:p>
        </w:tc>
        <w:tc>
          <w:tcPr>
            <w:tcW w:w="1654" w:type="dxa"/>
            <w:shd w:val="clear" w:color="auto" w:fill="FFFFFF"/>
            <w:vAlign w:val="center"/>
            <w:hideMark/>
          </w:tcPr>
          <w:p w14:paraId="0E4CA64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8</w:t>
            </w:r>
          </w:p>
        </w:tc>
      </w:tr>
      <w:tr w:rsidR="00C62EB6" w:rsidRPr="00885514" w14:paraId="2C054580" w14:textId="77777777" w:rsidTr="000621B4">
        <w:trPr>
          <w:cantSplit/>
        </w:trPr>
        <w:tc>
          <w:tcPr>
            <w:tcW w:w="1999" w:type="dxa"/>
            <w:shd w:val="clear" w:color="auto" w:fill="FFFFFF"/>
            <w:hideMark/>
          </w:tcPr>
          <w:p w14:paraId="2C5C43B0"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1. Budžeta ieņēmumi</w:t>
            </w:r>
          </w:p>
        </w:tc>
        <w:tc>
          <w:tcPr>
            <w:tcW w:w="991" w:type="dxa"/>
            <w:shd w:val="clear" w:color="auto" w:fill="FFFFFF"/>
            <w:vAlign w:val="center"/>
            <w:hideMark/>
          </w:tcPr>
          <w:p w14:paraId="6A9D91F9" w14:textId="0434C962" w:rsidR="00C62EB6" w:rsidRPr="00885514" w:rsidRDefault="007271A6" w:rsidP="000621B4">
            <w:pPr>
              <w:jc w:val="both"/>
              <w:rPr>
                <w:rFonts w:eastAsiaTheme="minorHAnsi" w:cstheme="minorBidi"/>
                <w:sz w:val="20"/>
                <w:szCs w:val="20"/>
                <w:lang w:eastAsia="en-US"/>
              </w:rPr>
            </w:pPr>
            <w:r>
              <w:rPr>
                <w:rFonts w:eastAsiaTheme="minorHAnsi" w:cstheme="minorBidi"/>
                <w:sz w:val="20"/>
                <w:szCs w:val="20"/>
                <w:lang w:eastAsia="en-US"/>
              </w:rPr>
              <w:t>0</w:t>
            </w:r>
          </w:p>
        </w:tc>
        <w:tc>
          <w:tcPr>
            <w:tcW w:w="990" w:type="dxa"/>
            <w:shd w:val="clear" w:color="auto" w:fill="FFFFFF"/>
            <w:vAlign w:val="center"/>
            <w:hideMark/>
          </w:tcPr>
          <w:p w14:paraId="39F5F1E5"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FFFFFF"/>
            <w:vAlign w:val="center"/>
            <w:hideMark/>
          </w:tcPr>
          <w:p w14:paraId="2B4DC25F"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FFFFFF"/>
            <w:vAlign w:val="center"/>
            <w:hideMark/>
          </w:tcPr>
          <w:p w14:paraId="61268AB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FFFFFF"/>
            <w:vAlign w:val="center"/>
            <w:hideMark/>
          </w:tcPr>
          <w:p w14:paraId="1EA50812"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FFFFFF"/>
            <w:vAlign w:val="center"/>
            <w:hideMark/>
          </w:tcPr>
          <w:p w14:paraId="3C334FBD"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FFFFFF"/>
            <w:vAlign w:val="center"/>
            <w:hideMark/>
          </w:tcPr>
          <w:p w14:paraId="1786DE2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2C264F79" w14:textId="77777777" w:rsidTr="000621B4">
        <w:trPr>
          <w:cantSplit/>
        </w:trPr>
        <w:tc>
          <w:tcPr>
            <w:tcW w:w="1999" w:type="dxa"/>
            <w:shd w:val="clear" w:color="auto" w:fill="auto"/>
            <w:hideMark/>
          </w:tcPr>
          <w:p w14:paraId="6148165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1.1. valsts pamatbudžets, tai skaitā ieņēmumi no maksas pakalpojumiem un citi pašu ieņēmumi</w:t>
            </w:r>
          </w:p>
        </w:tc>
        <w:tc>
          <w:tcPr>
            <w:tcW w:w="991" w:type="dxa"/>
            <w:shd w:val="clear" w:color="auto" w:fill="auto"/>
            <w:vAlign w:val="center"/>
            <w:hideMark/>
          </w:tcPr>
          <w:p w14:paraId="258DF574" w14:textId="430707DE" w:rsidR="00C62EB6" w:rsidRPr="00885514" w:rsidRDefault="007271A6" w:rsidP="000621B4">
            <w:pPr>
              <w:jc w:val="both"/>
              <w:rPr>
                <w:rFonts w:eastAsiaTheme="minorHAnsi" w:cstheme="minorBidi"/>
                <w:sz w:val="20"/>
                <w:szCs w:val="20"/>
                <w:lang w:eastAsia="en-US"/>
              </w:rPr>
            </w:pPr>
            <w:r>
              <w:rPr>
                <w:rFonts w:eastAsiaTheme="minorHAnsi" w:cstheme="minorBidi"/>
                <w:sz w:val="20"/>
                <w:szCs w:val="20"/>
                <w:lang w:eastAsia="en-US"/>
              </w:rPr>
              <w:t>0</w:t>
            </w:r>
          </w:p>
        </w:tc>
        <w:tc>
          <w:tcPr>
            <w:tcW w:w="990" w:type="dxa"/>
            <w:shd w:val="clear" w:color="auto" w:fill="auto"/>
            <w:vAlign w:val="center"/>
            <w:hideMark/>
          </w:tcPr>
          <w:p w14:paraId="520E218E"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auto"/>
            <w:vAlign w:val="center"/>
            <w:hideMark/>
          </w:tcPr>
          <w:p w14:paraId="032A2A31"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03A158F8"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5FDEDA4A"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03694290"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782B31E6"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2E5E5DE4" w14:textId="77777777" w:rsidTr="000621B4">
        <w:trPr>
          <w:cantSplit/>
        </w:trPr>
        <w:tc>
          <w:tcPr>
            <w:tcW w:w="1999" w:type="dxa"/>
            <w:shd w:val="clear" w:color="auto" w:fill="auto"/>
            <w:hideMark/>
          </w:tcPr>
          <w:p w14:paraId="54C3A5CE"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1.2. valsts speciālais budžets</w:t>
            </w:r>
          </w:p>
        </w:tc>
        <w:tc>
          <w:tcPr>
            <w:tcW w:w="991" w:type="dxa"/>
            <w:shd w:val="clear" w:color="auto" w:fill="auto"/>
            <w:vAlign w:val="center"/>
            <w:hideMark/>
          </w:tcPr>
          <w:p w14:paraId="70BCA94C"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10B7C42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auto"/>
            <w:vAlign w:val="center"/>
            <w:hideMark/>
          </w:tcPr>
          <w:p w14:paraId="74ED6D53"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538802D6"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23E1A4FC"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228317D6"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1A3640BD"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1F23BD85" w14:textId="77777777" w:rsidTr="000621B4">
        <w:trPr>
          <w:cantSplit/>
        </w:trPr>
        <w:tc>
          <w:tcPr>
            <w:tcW w:w="1999" w:type="dxa"/>
            <w:shd w:val="clear" w:color="auto" w:fill="auto"/>
            <w:hideMark/>
          </w:tcPr>
          <w:p w14:paraId="7544B563"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1.3. pašvaldību budžets</w:t>
            </w:r>
          </w:p>
        </w:tc>
        <w:tc>
          <w:tcPr>
            <w:tcW w:w="991" w:type="dxa"/>
            <w:shd w:val="clear" w:color="auto" w:fill="auto"/>
            <w:vAlign w:val="center"/>
            <w:hideMark/>
          </w:tcPr>
          <w:p w14:paraId="67EF94B1"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6D2842B5"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auto"/>
            <w:vAlign w:val="center"/>
            <w:hideMark/>
          </w:tcPr>
          <w:p w14:paraId="3C9415FC"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181C44AF"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0F83A2C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48085E6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041B1C92"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10ED8E54" w14:textId="77777777" w:rsidTr="000621B4">
        <w:trPr>
          <w:cantSplit/>
        </w:trPr>
        <w:tc>
          <w:tcPr>
            <w:tcW w:w="1999" w:type="dxa"/>
            <w:shd w:val="clear" w:color="auto" w:fill="auto"/>
            <w:hideMark/>
          </w:tcPr>
          <w:p w14:paraId="392A5ECC"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2. Budžeta izdevumi</w:t>
            </w:r>
          </w:p>
        </w:tc>
        <w:tc>
          <w:tcPr>
            <w:tcW w:w="991" w:type="dxa"/>
            <w:shd w:val="clear" w:color="auto" w:fill="auto"/>
            <w:vAlign w:val="center"/>
            <w:hideMark/>
          </w:tcPr>
          <w:p w14:paraId="29839CE4" w14:textId="5BEFFE7F" w:rsidR="00C62EB6" w:rsidRPr="00885514" w:rsidRDefault="007271A6" w:rsidP="000621B4">
            <w:pPr>
              <w:jc w:val="both"/>
              <w:rPr>
                <w:rFonts w:eastAsiaTheme="minorHAnsi" w:cstheme="minorBidi"/>
                <w:sz w:val="20"/>
                <w:szCs w:val="20"/>
                <w:lang w:eastAsia="en-US"/>
              </w:rPr>
            </w:pPr>
            <w:r>
              <w:rPr>
                <w:rFonts w:eastAsiaTheme="minorHAnsi" w:cstheme="minorBidi"/>
                <w:sz w:val="20"/>
                <w:szCs w:val="20"/>
                <w:lang w:eastAsia="en-US"/>
              </w:rPr>
              <w:t>0</w:t>
            </w:r>
          </w:p>
        </w:tc>
        <w:tc>
          <w:tcPr>
            <w:tcW w:w="990" w:type="dxa"/>
            <w:shd w:val="clear" w:color="auto" w:fill="auto"/>
            <w:vAlign w:val="center"/>
            <w:hideMark/>
          </w:tcPr>
          <w:p w14:paraId="39269611" w14:textId="54894A74" w:rsidR="00C62EB6" w:rsidRPr="00502B81" w:rsidRDefault="00C62EB6" w:rsidP="000621B4">
            <w:pPr>
              <w:jc w:val="both"/>
              <w:rPr>
                <w:rFonts w:eastAsiaTheme="minorHAnsi" w:cstheme="minorBidi"/>
                <w:sz w:val="20"/>
                <w:szCs w:val="20"/>
                <w:highlight w:val="yellow"/>
                <w:lang w:eastAsia="en-US"/>
              </w:rPr>
            </w:pPr>
            <w:r w:rsidRPr="007A2A83">
              <w:rPr>
                <w:rFonts w:eastAsiaTheme="minorHAnsi" w:cstheme="minorBidi"/>
                <w:sz w:val="20"/>
                <w:szCs w:val="20"/>
                <w:lang w:eastAsia="en-US"/>
              </w:rPr>
              <w:t>6 323 033</w:t>
            </w:r>
          </w:p>
        </w:tc>
        <w:tc>
          <w:tcPr>
            <w:tcW w:w="868" w:type="dxa"/>
            <w:shd w:val="clear" w:color="auto" w:fill="auto"/>
            <w:vAlign w:val="center"/>
            <w:hideMark/>
          </w:tcPr>
          <w:p w14:paraId="1857EFB5"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0093AAF4"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3C120EF5"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1BD4AF50"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49565AFE"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64067A82" w14:textId="77777777" w:rsidTr="000621B4">
        <w:trPr>
          <w:cantSplit/>
        </w:trPr>
        <w:tc>
          <w:tcPr>
            <w:tcW w:w="1999" w:type="dxa"/>
            <w:shd w:val="clear" w:color="auto" w:fill="auto"/>
            <w:hideMark/>
          </w:tcPr>
          <w:p w14:paraId="0479EE02"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lastRenderedPageBreak/>
              <w:t>2.1. valsts pamatbudžets</w:t>
            </w:r>
          </w:p>
        </w:tc>
        <w:tc>
          <w:tcPr>
            <w:tcW w:w="991" w:type="dxa"/>
            <w:shd w:val="clear" w:color="auto" w:fill="auto"/>
            <w:vAlign w:val="center"/>
            <w:hideMark/>
          </w:tcPr>
          <w:p w14:paraId="54AC6CC3" w14:textId="12E1DF52" w:rsidR="00C62EB6" w:rsidRPr="00885514" w:rsidRDefault="007271A6" w:rsidP="000621B4">
            <w:pPr>
              <w:jc w:val="both"/>
              <w:rPr>
                <w:rFonts w:eastAsiaTheme="minorHAnsi" w:cstheme="minorBidi"/>
                <w:sz w:val="20"/>
                <w:szCs w:val="20"/>
                <w:lang w:eastAsia="en-US"/>
              </w:rPr>
            </w:pPr>
            <w:r>
              <w:rPr>
                <w:rFonts w:eastAsiaTheme="minorHAnsi" w:cstheme="minorBidi"/>
                <w:sz w:val="20"/>
                <w:szCs w:val="20"/>
                <w:lang w:eastAsia="en-US"/>
              </w:rPr>
              <w:t>0</w:t>
            </w:r>
          </w:p>
        </w:tc>
        <w:tc>
          <w:tcPr>
            <w:tcW w:w="990" w:type="dxa"/>
            <w:shd w:val="clear" w:color="auto" w:fill="auto"/>
            <w:vAlign w:val="center"/>
            <w:hideMark/>
          </w:tcPr>
          <w:p w14:paraId="75D54ADB" w14:textId="31FA1DD5" w:rsidR="00C62EB6" w:rsidRPr="00502B81" w:rsidRDefault="00C62EB6" w:rsidP="000621B4">
            <w:pPr>
              <w:jc w:val="both"/>
              <w:rPr>
                <w:rFonts w:eastAsiaTheme="minorHAnsi" w:cstheme="minorBidi"/>
                <w:sz w:val="20"/>
                <w:szCs w:val="20"/>
                <w:highlight w:val="yellow"/>
                <w:lang w:eastAsia="en-US"/>
              </w:rPr>
            </w:pPr>
            <w:r w:rsidRPr="007A2A83">
              <w:rPr>
                <w:rFonts w:eastAsiaTheme="minorHAnsi" w:cstheme="minorBidi"/>
                <w:sz w:val="20"/>
                <w:szCs w:val="20"/>
                <w:lang w:eastAsia="en-US"/>
              </w:rPr>
              <w:t>6 323 033</w:t>
            </w:r>
          </w:p>
        </w:tc>
        <w:tc>
          <w:tcPr>
            <w:tcW w:w="868" w:type="dxa"/>
            <w:shd w:val="clear" w:color="auto" w:fill="auto"/>
            <w:vAlign w:val="center"/>
            <w:hideMark/>
          </w:tcPr>
          <w:p w14:paraId="12A5A17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7730B124"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22089A88"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3F1D0EFA"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58D44FCE"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785EC647" w14:textId="77777777" w:rsidTr="000621B4">
        <w:trPr>
          <w:cantSplit/>
        </w:trPr>
        <w:tc>
          <w:tcPr>
            <w:tcW w:w="1999" w:type="dxa"/>
            <w:shd w:val="clear" w:color="auto" w:fill="auto"/>
            <w:hideMark/>
          </w:tcPr>
          <w:p w14:paraId="6796C3E9"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2.2. valsts speciālais budžets</w:t>
            </w:r>
          </w:p>
        </w:tc>
        <w:tc>
          <w:tcPr>
            <w:tcW w:w="991" w:type="dxa"/>
            <w:shd w:val="clear" w:color="auto" w:fill="auto"/>
            <w:vAlign w:val="center"/>
            <w:hideMark/>
          </w:tcPr>
          <w:p w14:paraId="1DE6B70F"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37098621" w14:textId="77777777" w:rsidR="00C62EB6" w:rsidRPr="00975699" w:rsidRDefault="00C62EB6" w:rsidP="000621B4">
            <w:pPr>
              <w:jc w:val="both"/>
              <w:rPr>
                <w:rFonts w:eastAsiaTheme="minorHAnsi" w:cstheme="minorBidi"/>
                <w:sz w:val="20"/>
                <w:szCs w:val="20"/>
                <w:lang w:eastAsia="en-US"/>
              </w:rPr>
            </w:pPr>
            <w:r w:rsidRPr="00975699">
              <w:rPr>
                <w:rFonts w:eastAsiaTheme="minorHAnsi" w:cstheme="minorBidi"/>
                <w:sz w:val="20"/>
                <w:szCs w:val="20"/>
                <w:lang w:eastAsia="en-US"/>
              </w:rPr>
              <w:t>0</w:t>
            </w:r>
          </w:p>
        </w:tc>
        <w:tc>
          <w:tcPr>
            <w:tcW w:w="868" w:type="dxa"/>
            <w:shd w:val="clear" w:color="auto" w:fill="auto"/>
            <w:vAlign w:val="center"/>
            <w:hideMark/>
          </w:tcPr>
          <w:p w14:paraId="036B6500"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4A0E6FA4"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26DDBAB9"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23512460"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7AED3031"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1F41E328" w14:textId="77777777" w:rsidTr="000621B4">
        <w:trPr>
          <w:cantSplit/>
        </w:trPr>
        <w:tc>
          <w:tcPr>
            <w:tcW w:w="1999" w:type="dxa"/>
            <w:shd w:val="clear" w:color="auto" w:fill="auto"/>
            <w:hideMark/>
          </w:tcPr>
          <w:p w14:paraId="66E98302"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2.3. pašvaldību budžets</w:t>
            </w:r>
          </w:p>
        </w:tc>
        <w:tc>
          <w:tcPr>
            <w:tcW w:w="991" w:type="dxa"/>
            <w:shd w:val="clear" w:color="auto" w:fill="auto"/>
            <w:vAlign w:val="center"/>
            <w:hideMark/>
          </w:tcPr>
          <w:p w14:paraId="2753CF40"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554296D3" w14:textId="77777777" w:rsidR="00C62EB6" w:rsidRPr="00975699" w:rsidRDefault="00C62EB6" w:rsidP="000621B4">
            <w:pPr>
              <w:jc w:val="both"/>
              <w:rPr>
                <w:rFonts w:eastAsiaTheme="minorHAnsi" w:cstheme="minorBidi"/>
                <w:sz w:val="20"/>
                <w:szCs w:val="20"/>
                <w:lang w:eastAsia="en-US"/>
              </w:rPr>
            </w:pPr>
            <w:r w:rsidRPr="00975699">
              <w:rPr>
                <w:rFonts w:eastAsiaTheme="minorHAnsi" w:cstheme="minorBidi"/>
                <w:sz w:val="20"/>
                <w:szCs w:val="20"/>
                <w:lang w:eastAsia="en-US"/>
              </w:rPr>
              <w:t>0</w:t>
            </w:r>
          </w:p>
        </w:tc>
        <w:tc>
          <w:tcPr>
            <w:tcW w:w="868" w:type="dxa"/>
            <w:shd w:val="clear" w:color="auto" w:fill="auto"/>
            <w:vAlign w:val="center"/>
            <w:hideMark/>
          </w:tcPr>
          <w:p w14:paraId="76A10EEA"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1BC6274A"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1BDDF42A"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2CEC9E2A"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0C7C7FDC"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3182EC2C" w14:textId="77777777" w:rsidTr="000621B4">
        <w:trPr>
          <w:cantSplit/>
        </w:trPr>
        <w:tc>
          <w:tcPr>
            <w:tcW w:w="1999" w:type="dxa"/>
            <w:shd w:val="clear" w:color="auto" w:fill="auto"/>
            <w:hideMark/>
          </w:tcPr>
          <w:p w14:paraId="3DB42CE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3. Finansiālā ietekme</w:t>
            </w:r>
          </w:p>
        </w:tc>
        <w:tc>
          <w:tcPr>
            <w:tcW w:w="991" w:type="dxa"/>
            <w:shd w:val="clear" w:color="auto" w:fill="auto"/>
            <w:vAlign w:val="center"/>
            <w:hideMark/>
          </w:tcPr>
          <w:p w14:paraId="442B7CAC"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535ABBC2" w14:textId="6357381D" w:rsidR="00C62EB6" w:rsidRPr="00975699" w:rsidRDefault="00C62EB6" w:rsidP="000621B4">
            <w:pPr>
              <w:jc w:val="both"/>
              <w:rPr>
                <w:rFonts w:eastAsiaTheme="minorHAnsi" w:cstheme="minorBidi"/>
                <w:sz w:val="20"/>
                <w:szCs w:val="20"/>
                <w:lang w:eastAsia="en-US"/>
              </w:rPr>
            </w:pPr>
            <w:r w:rsidRPr="00975699">
              <w:rPr>
                <w:rFonts w:eastAsiaTheme="minorHAnsi" w:cstheme="minorBidi"/>
                <w:sz w:val="20"/>
                <w:szCs w:val="20"/>
                <w:lang w:eastAsia="en-US"/>
              </w:rPr>
              <w:t>-</w:t>
            </w:r>
            <w:r w:rsidRPr="004953FE">
              <w:rPr>
                <w:rFonts w:eastAsiaTheme="minorHAnsi" w:cstheme="minorBidi"/>
                <w:sz w:val="20"/>
                <w:szCs w:val="20"/>
                <w:lang w:eastAsia="en-US"/>
              </w:rPr>
              <w:t>6 323 033</w:t>
            </w:r>
          </w:p>
        </w:tc>
        <w:tc>
          <w:tcPr>
            <w:tcW w:w="868" w:type="dxa"/>
            <w:shd w:val="clear" w:color="auto" w:fill="auto"/>
            <w:vAlign w:val="center"/>
            <w:hideMark/>
          </w:tcPr>
          <w:p w14:paraId="5AE1E32F"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26D55685"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6164FAFD"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79FDB178"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148E4893"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719EBF7D" w14:textId="77777777" w:rsidTr="000621B4">
        <w:trPr>
          <w:cantSplit/>
        </w:trPr>
        <w:tc>
          <w:tcPr>
            <w:tcW w:w="1999" w:type="dxa"/>
            <w:shd w:val="clear" w:color="auto" w:fill="auto"/>
            <w:hideMark/>
          </w:tcPr>
          <w:p w14:paraId="06AB1361"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3.1. valsts pamatbudžets</w:t>
            </w:r>
          </w:p>
        </w:tc>
        <w:tc>
          <w:tcPr>
            <w:tcW w:w="991" w:type="dxa"/>
            <w:shd w:val="clear" w:color="auto" w:fill="auto"/>
            <w:vAlign w:val="center"/>
            <w:hideMark/>
          </w:tcPr>
          <w:p w14:paraId="6C1316F9"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33654B24" w14:textId="2410922B" w:rsidR="00C62EB6" w:rsidRPr="00975699" w:rsidRDefault="00C62EB6" w:rsidP="000621B4">
            <w:pPr>
              <w:jc w:val="both"/>
              <w:rPr>
                <w:rFonts w:eastAsiaTheme="minorHAnsi" w:cstheme="minorBidi"/>
                <w:sz w:val="20"/>
                <w:szCs w:val="20"/>
                <w:lang w:eastAsia="en-US"/>
              </w:rPr>
            </w:pPr>
            <w:r w:rsidRPr="00975699">
              <w:rPr>
                <w:rFonts w:eastAsiaTheme="minorHAnsi" w:cstheme="minorBidi"/>
                <w:sz w:val="20"/>
                <w:szCs w:val="20"/>
                <w:lang w:eastAsia="en-US"/>
              </w:rPr>
              <w:t>-</w:t>
            </w:r>
            <w:r w:rsidRPr="004953FE">
              <w:rPr>
                <w:rFonts w:eastAsiaTheme="minorHAnsi" w:cstheme="minorBidi"/>
                <w:sz w:val="20"/>
                <w:szCs w:val="20"/>
                <w:lang w:eastAsia="en-US"/>
              </w:rPr>
              <w:t>6 323 033</w:t>
            </w:r>
          </w:p>
        </w:tc>
        <w:tc>
          <w:tcPr>
            <w:tcW w:w="868" w:type="dxa"/>
            <w:shd w:val="clear" w:color="auto" w:fill="auto"/>
            <w:vAlign w:val="center"/>
            <w:hideMark/>
          </w:tcPr>
          <w:p w14:paraId="50006125"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399BA3B4"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22E4135F"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22C7FB54"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6D019AD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0E6E6478" w14:textId="77777777" w:rsidTr="000621B4">
        <w:trPr>
          <w:cantSplit/>
        </w:trPr>
        <w:tc>
          <w:tcPr>
            <w:tcW w:w="1999" w:type="dxa"/>
            <w:shd w:val="clear" w:color="auto" w:fill="auto"/>
            <w:hideMark/>
          </w:tcPr>
          <w:p w14:paraId="72250908"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3.2. speciālais budžets</w:t>
            </w:r>
          </w:p>
        </w:tc>
        <w:tc>
          <w:tcPr>
            <w:tcW w:w="991" w:type="dxa"/>
            <w:shd w:val="clear" w:color="auto" w:fill="auto"/>
            <w:vAlign w:val="center"/>
            <w:hideMark/>
          </w:tcPr>
          <w:p w14:paraId="11D86408"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35823E94" w14:textId="77777777" w:rsidR="00C62EB6" w:rsidRPr="00975699" w:rsidRDefault="00C62EB6" w:rsidP="000621B4">
            <w:pPr>
              <w:jc w:val="both"/>
              <w:rPr>
                <w:rFonts w:eastAsiaTheme="minorHAnsi" w:cstheme="minorBidi"/>
                <w:sz w:val="20"/>
                <w:szCs w:val="20"/>
                <w:lang w:eastAsia="en-US"/>
              </w:rPr>
            </w:pPr>
            <w:r w:rsidRPr="00975699">
              <w:rPr>
                <w:rFonts w:eastAsiaTheme="minorHAnsi" w:cstheme="minorBidi"/>
                <w:sz w:val="20"/>
                <w:szCs w:val="20"/>
                <w:lang w:eastAsia="en-US"/>
              </w:rPr>
              <w:t>0</w:t>
            </w:r>
          </w:p>
        </w:tc>
        <w:tc>
          <w:tcPr>
            <w:tcW w:w="868" w:type="dxa"/>
            <w:shd w:val="clear" w:color="auto" w:fill="auto"/>
            <w:vAlign w:val="center"/>
            <w:hideMark/>
          </w:tcPr>
          <w:p w14:paraId="60A78C08"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16B3E7B3"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0ECC7ADF"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5592835E"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70C69C7D"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64BEC112" w14:textId="77777777" w:rsidTr="000621B4">
        <w:trPr>
          <w:cantSplit/>
        </w:trPr>
        <w:tc>
          <w:tcPr>
            <w:tcW w:w="1999" w:type="dxa"/>
            <w:shd w:val="clear" w:color="auto" w:fill="auto"/>
            <w:hideMark/>
          </w:tcPr>
          <w:p w14:paraId="3C11093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3.3. pašvaldību budžets</w:t>
            </w:r>
          </w:p>
        </w:tc>
        <w:tc>
          <w:tcPr>
            <w:tcW w:w="991" w:type="dxa"/>
            <w:shd w:val="clear" w:color="auto" w:fill="auto"/>
            <w:vAlign w:val="center"/>
            <w:hideMark/>
          </w:tcPr>
          <w:p w14:paraId="749B509A"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05702B0C" w14:textId="77777777" w:rsidR="00C62EB6" w:rsidRPr="00975699" w:rsidRDefault="00C62EB6" w:rsidP="000621B4">
            <w:pPr>
              <w:jc w:val="both"/>
              <w:rPr>
                <w:rFonts w:eastAsiaTheme="minorHAnsi" w:cstheme="minorBidi"/>
                <w:sz w:val="20"/>
                <w:szCs w:val="20"/>
                <w:lang w:eastAsia="en-US"/>
              </w:rPr>
            </w:pPr>
            <w:r w:rsidRPr="00975699">
              <w:rPr>
                <w:rFonts w:eastAsiaTheme="minorHAnsi" w:cstheme="minorBidi"/>
                <w:sz w:val="20"/>
                <w:szCs w:val="20"/>
                <w:lang w:eastAsia="en-US"/>
              </w:rPr>
              <w:t>0</w:t>
            </w:r>
          </w:p>
        </w:tc>
        <w:tc>
          <w:tcPr>
            <w:tcW w:w="868" w:type="dxa"/>
            <w:shd w:val="clear" w:color="auto" w:fill="auto"/>
            <w:vAlign w:val="center"/>
            <w:hideMark/>
          </w:tcPr>
          <w:p w14:paraId="3B300BA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3D3BEA86"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3EA0DCE3"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3C46D1DF"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03EE36F3"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6BBE2F89" w14:textId="77777777" w:rsidTr="000621B4">
        <w:trPr>
          <w:cantSplit/>
        </w:trPr>
        <w:tc>
          <w:tcPr>
            <w:tcW w:w="1999" w:type="dxa"/>
            <w:shd w:val="clear" w:color="auto" w:fill="auto"/>
            <w:hideMark/>
          </w:tcPr>
          <w:p w14:paraId="0501C39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4. Finanšu līdzekļi papildu izdevumu finansēšanai (kompensējošu izdevumu samazinājumu norāda ar "+" zīmi)</w:t>
            </w:r>
          </w:p>
        </w:tc>
        <w:tc>
          <w:tcPr>
            <w:tcW w:w="991" w:type="dxa"/>
            <w:shd w:val="clear" w:color="auto" w:fill="auto"/>
            <w:vAlign w:val="center"/>
            <w:hideMark/>
          </w:tcPr>
          <w:p w14:paraId="2FB9D2A6"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06D2ECC5" w14:textId="2AC44919" w:rsidR="00C62EB6" w:rsidRPr="00502B81" w:rsidRDefault="00C62EB6" w:rsidP="000621B4">
            <w:pPr>
              <w:jc w:val="both"/>
              <w:rPr>
                <w:rFonts w:eastAsiaTheme="minorHAnsi" w:cstheme="minorBidi"/>
                <w:sz w:val="20"/>
                <w:szCs w:val="20"/>
                <w:highlight w:val="yellow"/>
                <w:lang w:eastAsia="en-US"/>
              </w:rPr>
            </w:pPr>
            <w:r w:rsidRPr="007A2A83">
              <w:rPr>
                <w:rFonts w:eastAsiaTheme="minorHAnsi" w:cstheme="minorBidi"/>
                <w:sz w:val="20"/>
                <w:szCs w:val="20"/>
                <w:lang w:eastAsia="en-US"/>
              </w:rPr>
              <w:t>6 323 033</w:t>
            </w:r>
          </w:p>
        </w:tc>
        <w:tc>
          <w:tcPr>
            <w:tcW w:w="868" w:type="dxa"/>
            <w:shd w:val="clear" w:color="auto" w:fill="auto"/>
            <w:vAlign w:val="center"/>
            <w:hideMark/>
          </w:tcPr>
          <w:p w14:paraId="64D1F976"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665C1109"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7506790F"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145F18C8"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1F466C8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233C46D5" w14:textId="77777777" w:rsidTr="000621B4">
        <w:trPr>
          <w:cantSplit/>
        </w:trPr>
        <w:tc>
          <w:tcPr>
            <w:tcW w:w="1999" w:type="dxa"/>
            <w:shd w:val="clear" w:color="auto" w:fill="auto"/>
            <w:hideMark/>
          </w:tcPr>
          <w:p w14:paraId="7A329952"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5. Precizēta finansiālā ietekme</w:t>
            </w:r>
          </w:p>
        </w:tc>
        <w:tc>
          <w:tcPr>
            <w:tcW w:w="991" w:type="dxa"/>
            <w:vMerge w:val="restart"/>
            <w:shd w:val="clear" w:color="auto" w:fill="auto"/>
            <w:vAlign w:val="center"/>
            <w:hideMark/>
          </w:tcPr>
          <w:p w14:paraId="0230D70E"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x</w:t>
            </w:r>
          </w:p>
        </w:tc>
        <w:tc>
          <w:tcPr>
            <w:tcW w:w="990" w:type="dxa"/>
            <w:shd w:val="clear" w:color="auto" w:fill="auto"/>
            <w:vAlign w:val="center"/>
            <w:hideMark/>
          </w:tcPr>
          <w:p w14:paraId="26B6D5BB" w14:textId="77777777" w:rsidR="00C62EB6" w:rsidRPr="00885514" w:rsidRDefault="00C62EB6" w:rsidP="000621B4">
            <w:pPr>
              <w:jc w:val="both"/>
              <w:rPr>
                <w:rFonts w:eastAsiaTheme="minorHAnsi" w:cstheme="minorBidi"/>
                <w:sz w:val="20"/>
                <w:szCs w:val="20"/>
                <w:lang w:eastAsia="en-US"/>
              </w:rPr>
            </w:pPr>
            <w:r>
              <w:rPr>
                <w:rFonts w:eastAsiaTheme="minorHAnsi" w:cstheme="minorBidi"/>
                <w:sz w:val="20"/>
                <w:szCs w:val="20"/>
                <w:lang w:eastAsia="en-US"/>
              </w:rPr>
              <w:t>0</w:t>
            </w:r>
          </w:p>
        </w:tc>
        <w:tc>
          <w:tcPr>
            <w:tcW w:w="868" w:type="dxa"/>
            <w:vMerge w:val="restart"/>
            <w:shd w:val="clear" w:color="auto" w:fill="auto"/>
            <w:vAlign w:val="center"/>
            <w:hideMark/>
          </w:tcPr>
          <w:p w14:paraId="4F322FC4"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x</w:t>
            </w:r>
          </w:p>
        </w:tc>
        <w:tc>
          <w:tcPr>
            <w:tcW w:w="852" w:type="dxa"/>
            <w:shd w:val="clear" w:color="auto" w:fill="auto"/>
            <w:vAlign w:val="center"/>
            <w:hideMark/>
          </w:tcPr>
          <w:p w14:paraId="535F51F6"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vMerge w:val="restart"/>
            <w:shd w:val="clear" w:color="auto" w:fill="auto"/>
            <w:vAlign w:val="center"/>
            <w:hideMark/>
          </w:tcPr>
          <w:p w14:paraId="0AD82974"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x</w:t>
            </w:r>
          </w:p>
        </w:tc>
        <w:tc>
          <w:tcPr>
            <w:tcW w:w="867" w:type="dxa"/>
            <w:shd w:val="clear" w:color="auto" w:fill="auto"/>
            <w:vAlign w:val="center"/>
            <w:hideMark/>
          </w:tcPr>
          <w:p w14:paraId="21BB0DE0"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20100FD6"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49220BA1" w14:textId="77777777" w:rsidTr="000621B4">
        <w:trPr>
          <w:cantSplit/>
        </w:trPr>
        <w:tc>
          <w:tcPr>
            <w:tcW w:w="1999" w:type="dxa"/>
            <w:shd w:val="clear" w:color="auto" w:fill="auto"/>
            <w:hideMark/>
          </w:tcPr>
          <w:p w14:paraId="5A7614CC"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5.1. valsts pamatbudžets</w:t>
            </w:r>
          </w:p>
        </w:tc>
        <w:tc>
          <w:tcPr>
            <w:tcW w:w="991" w:type="dxa"/>
            <w:vMerge/>
            <w:shd w:val="clear" w:color="auto" w:fill="auto"/>
            <w:vAlign w:val="center"/>
            <w:hideMark/>
          </w:tcPr>
          <w:p w14:paraId="7F08B185" w14:textId="77777777" w:rsidR="00C62EB6" w:rsidRPr="00885514" w:rsidRDefault="00C62EB6" w:rsidP="000621B4">
            <w:pPr>
              <w:jc w:val="both"/>
              <w:rPr>
                <w:rFonts w:eastAsiaTheme="minorHAnsi" w:cstheme="minorBidi"/>
                <w:sz w:val="20"/>
                <w:szCs w:val="20"/>
                <w:lang w:eastAsia="en-US"/>
              </w:rPr>
            </w:pPr>
          </w:p>
        </w:tc>
        <w:tc>
          <w:tcPr>
            <w:tcW w:w="990" w:type="dxa"/>
            <w:shd w:val="clear" w:color="auto" w:fill="auto"/>
            <w:vAlign w:val="center"/>
            <w:hideMark/>
          </w:tcPr>
          <w:p w14:paraId="0B8F2C3D" w14:textId="77777777" w:rsidR="00C62EB6" w:rsidRPr="00885514" w:rsidRDefault="00C62EB6" w:rsidP="000621B4">
            <w:pPr>
              <w:jc w:val="both"/>
              <w:rPr>
                <w:rFonts w:eastAsiaTheme="minorHAnsi" w:cstheme="minorBidi"/>
                <w:sz w:val="20"/>
                <w:szCs w:val="20"/>
                <w:lang w:eastAsia="en-US"/>
              </w:rPr>
            </w:pPr>
            <w:r>
              <w:rPr>
                <w:rFonts w:eastAsiaTheme="minorHAnsi" w:cstheme="minorBidi"/>
                <w:sz w:val="20"/>
                <w:szCs w:val="20"/>
                <w:lang w:eastAsia="en-US"/>
              </w:rPr>
              <w:t>0</w:t>
            </w:r>
          </w:p>
        </w:tc>
        <w:tc>
          <w:tcPr>
            <w:tcW w:w="868" w:type="dxa"/>
            <w:vMerge/>
            <w:shd w:val="clear" w:color="auto" w:fill="auto"/>
            <w:vAlign w:val="center"/>
            <w:hideMark/>
          </w:tcPr>
          <w:p w14:paraId="0EA0C973" w14:textId="77777777" w:rsidR="00C62EB6" w:rsidRPr="00885514" w:rsidRDefault="00C62EB6" w:rsidP="000621B4">
            <w:pPr>
              <w:jc w:val="both"/>
              <w:rPr>
                <w:rFonts w:eastAsiaTheme="minorHAnsi" w:cstheme="minorBidi"/>
                <w:sz w:val="20"/>
                <w:szCs w:val="20"/>
                <w:lang w:eastAsia="en-US"/>
              </w:rPr>
            </w:pPr>
          </w:p>
        </w:tc>
        <w:tc>
          <w:tcPr>
            <w:tcW w:w="852" w:type="dxa"/>
            <w:shd w:val="clear" w:color="auto" w:fill="auto"/>
            <w:vAlign w:val="center"/>
            <w:hideMark/>
          </w:tcPr>
          <w:p w14:paraId="495CF77A"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vMerge/>
            <w:shd w:val="clear" w:color="auto" w:fill="auto"/>
            <w:vAlign w:val="center"/>
            <w:hideMark/>
          </w:tcPr>
          <w:p w14:paraId="0E8ECDBA" w14:textId="77777777" w:rsidR="00C62EB6" w:rsidRPr="00885514" w:rsidRDefault="00C62EB6" w:rsidP="000621B4">
            <w:pPr>
              <w:jc w:val="both"/>
              <w:rPr>
                <w:rFonts w:eastAsiaTheme="minorHAnsi" w:cstheme="minorBidi"/>
                <w:sz w:val="20"/>
                <w:szCs w:val="20"/>
                <w:lang w:eastAsia="en-US"/>
              </w:rPr>
            </w:pPr>
          </w:p>
        </w:tc>
        <w:tc>
          <w:tcPr>
            <w:tcW w:w="867" w:type="dxa"/>
            <w:shd w:val="clear" w:color="auto" w:fill="auto"/>
            <w:vAlign w:val="center"/>
            <w:hideMark/>
          </w:tcPr>
          <w:p w14:paraId="17771A36"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4F35419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00BFFE0E" w14:textId="77777777" w:rsidTr="000621B4">
        <w:trPr>
          <w:cantSplit/>
        </w:trPr>
        <w:tc>
          <w:tcPr>
            <w:tcW w:w="1999" w:type="dxa"/>
            <w:shd w:val="clear" w:color="auto" w:fill="auto"/>
            <w:hideMark/>
          </w:tcPr>
          <w:p w14:paraId="3A250E28"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5.2. speciālais budžets</w:t>
            </w:r>
          </w:p>
        </w:tc>
        <w:tc>
          <w:tcPr>
            <w:tcW w:w="991" w:type="dxa"/>
            <w:vMerge/>
            <w:shd w:val="clear" w:color="auto" w:fill="auto"/>
            <w:vAlign w:val="center"/>
            <w:hideMark/>
          </w:tcPr>
          <w:p w14:paraId="3A9CF93C" w14:textId="77777777" w:rsidR="00C62EB6" w:rsidRPr="00885514" w:rsidRDefault="00C62EB6" w:rsidP="000621B4">
            <w:pPr>
              <w:jc w:val="both"/>
              <w:rPr>
                <w:rFonts w:eastAsiaTheme="minorHAnsi" w:cstheme="minorBidi"/>
                <w:sz w:val="20"/>
                <w:szCs w:val="20"/>
                <w:lang w:eastAsia="en-US"/>
              </w:rPr>
            </w:pPr>
          </w:p>
        </w:tc>
        <w:tc>
          <w:tcPr>
            <w:tcW w:w="990" w:type="dxa"/>
            <w:shd w:val="clear" w:color="auto" w:fill="auto"/>
            <w:vAlign w:val="center"/>
            <w:hideMark/>
          </w:tcPr>
          <w:p w14:paraId="3312516F"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vMerge/>
            <w:shd w:val="clear" w:color="auto" w:fill="auto"/>
            <w:vAlign w:val="center"/>
            <w:hideMark/>
          </w:tcPr>
          <w:p w14:paraId="60CAD29C" w14:textId="77777777" w:rsidR="00C62EB6" w:rsidRPr="00885514" w:rsidRDefault="00C62EB6" w:rsidP="000621B4">
            <w:pPr>
              <w:jc w:val="both"/>
              <w:rPr>
                <w:rFonts w:eastAsiaTheme="minorHAnsi" w:cstheme="minorBidi"/>
                <w:sz w:val="20"/>
                <w:szCs w:val="20"/>
                <w:lang w:eastAsia="en-US"/>
              </w:rPr>
            </w:pPr>
          </w:p>
        </w:tc>
        <w:tc>
          <w:tcPr>
            <w:tcW w:w="852" w:type="dxa"/>
            <w:shd w:val="clear" w:color="auto" w:fill="auto"/>
            <w:vAlign w:val="center"/>
            <w:hideMark/>
          </w:tcPr>
          <w:p w14:paraId="5FFE88D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vMerge/>
            <w:shd w:val="clear" w:color="auto" w:fill="auto"/>
            <w:vAlign w:val="center"/>
            <w:hideMark/>
          </w:tcPr>
          <w:p w14:paraId="42D51FC3" w14:textId="77777777" w:rsidR="00C62EB6" w:rsidRPr="00885514" w:rsidRDefault="00C62EB6" w:rsidP="000621B4">
            <w:pPr>
              <w:jc w:val="both"/>
              <w:rPr>
                <w:rFonts w:eastAsiaTheme="minorHAnsi" w:cstheme="minorBidi"/>
                <w:sz w:val="20"/>
                <w:szCs w:val="20"/>
                <w:lang w:eastAsia="en-US"/>
              </w:rPr>
            </w:pPr>
          </w:p>
        </w:tc>
        <w:tc>
          <w:tcPr>
            <w:tcW w:w="867" w:type="dxa"/>
            <w:shd w:val="clear" w:color="auto" w:fill="auto"/>
            <w:vAlign w:val="center"/>
            <w:hideMark/>
          </w:tcPr>
          <w:p w14:paraId="05304C64"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28EF55EC"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6820DFBA" w14:textId="77777777" w:rsidTr="000621B4">
        <w:trPr>
          <w:cantSplit/>
        </w:trPr>
        <w:tc>
          <w:tcPr>
            <w:tcW w:w="1999" w:type="dxa"/>
            <w:shd w:val="clear" w:color="auto" w:fill="auto"/>
            <w:hideMark/>
          </w:tcPr>
          <w:p w14:paraId="6081FED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5.3. pašvaldību budžets</w:t>
            </w:r>
          </w:p>
        </w:tc>
        <w:tc>
          <w:tcPr>
            <w:tcW w:w="991" w:type="dxa"/>
            <w:vMerge/>
            <w:shd w:val="clear" w:color="auto" w:fill="auto"/>
            <w:vAlign w:val="center"/>
            <w:hideMark/>
          </w:tcPr>
          <w:p w14:paraId="761AF1FF" w14:textId="77777777" w:rsidR="00C62EB6" w:rsidRPr="00885514" w:rsidRDefault="00C62EB6" w:rsidP="000621B4">
            <w:pPr>
              <w:jc w:val="both"/>
              <w:rPr>
                <w:rFonts w:eastAsiaTheme="minorHAnsi" w:cstheme="minorBidi"/>
                <w:sz w:val="20"/>
                <w:szCs w:val="20"/>
                <w:lang w:eastAsia="en-US"/>
              </w:rPr>
            </w:pPr>
          </w:p>
        </w:tc>
        <w:tc>
          <w:tcPr>
            <w:tcW w:w="990" w:type="dxa"/>
            <w:shd w:val="clear" w:color="auto" w:fill="auto"/>
            <w:vAlign w:val="center"/>
            <w:hideMark/>
          </w:tcPr>
          <w:p w14:paraId="02C2B229"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vMerge/>
            <w:shd w:val="clear" w:color="auto" w:fill="auto"/>
            <w:vAlign w:val="center"/>
            <w:hideMark/>
          </w:tcPr>
          <w:p w14:paraId="02397F61" w14:textId="77777777" w:rsidR="00C62EB6" w:rsidRPr="00885514" w:rsidRDefault="00C62EB6" w:rsidP="000621B4">
            <w:pPr>
              <w:jc w:val="both"/>
              <w:rPr>
                <w:rFonts w:eastAsiaTheme="minorHAnsi" w:cstheme="minorBidi"/>
                <w:sz w:val="20"/>
                <w:szCs w:val="20"/>
                <w:lang w:eastAsia="en-US"/>
              </w:rPr>
            </w:pPr>
          </w:p>
        </w:tc>
        <w:tc>
          <w:tcPr>
            <w:tcW w:w="852" w:type="dxa"/>
            <w:shd w:val="clear" w:color="auto" w:fill="auto"/>
            <w:vAlign w:val="center"/>
            <w:hideMark/>
          </w:tcPr>
          <w:p w14:paraId="72D84D5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vMerge/>
            <w:shd w:val="clear" w:color="auto" w:fill="auto"/>
            <w:vAlign w:val="center"/>
            <w:hideMark/>
          </w:tcPr>
          <w:p w14:paraId="6F1C97D5" w14:textId="77777777" w:rsidR="00C62EB6" w:rsidRPr="00885514" w:rsidRDefault="00C62EB6" w:rsidP="000621B4">
            <w:pPr>
              <w:jc w:val="both"/>
              <w:rPr>
                <w:rFonts w:eastAsiaTheme="minorHAnsi" w:cstheme="minorBidi"/>
                <w:sz w:val="20"/>
                <w:szCs w:val="20"/>
                <w:lang w:eastAsia="en-US"/>
              </w:rPr>
            </w:pPr>
          </w:p>
        </w:tc>
        <w:tc>
          <w:tcPr>
            <w:tcW w:w="867" w:type="dxa"/>
            <w:shd w:val="clear" w:color="auto" w:fill="auto"/>
            <w:vAlign w:val="center"/>
            <w:hideMark/>
          </w:tcPr>
          <w:p w14:paraId="36F9C1C9"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268C1C28"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24183D30" w14:textId="77777777" w:rsidTr="000621B4">
        <w:trPr>
          <w:cantSplit/>
        </w:trPr>
        <w:tc>
          <w:tcPr>
            <w:tcW w:w="1999" w:type="dxa"/>
            <w:shd w:val="clear" w:color="auto" w:fill="auto"/>
            <w:hideMark/>
          </w:tcPr>
          <w:p w14:paraId="5033E16C"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6. Detalizēts ieņēmumu un izdevumu aprēķins (ja nepieciešams, detalizētu ieņēmumu un izdevumu aprēķinu var pievienot anotācijas pielikumā)</w:t>
            </w:r>
          </w:p>
        </w:tc>
        <w:tc>
          <w:tcPr>
            <w:tcW w:w="7104" w:type="dxa"/>
            <w:gridSpan w:val="7"/>
            <w:vMerge w:val="restart"/>
            <w:shd w:val="clear" w:color="auto" w:fill="auto"/>
            <w:vAlign w:val="center"/>
            <w:hideMark/>
          </w:tcPr>
          <w:p w14:paraId="662FB5E4" w14:textId="77777777" w:rsidR="00C62EB6" w:rsidRDefault="00C62EB6" w:rsidP="00C62EB6">
            <w:pPr>
              <w:tabs>
                <w:tab w:val="left" w:pos="631"/>
              </w:tabs>
              <w:jc w:val="both"/>
              <w:rPr>
                <w:sz w:val="22"/>
                <w:szCs w:val="22"/>
              </w:rPr>
            </w:pPr>
          </w:p>
          <w:p w14:paraId="4F61D7A6" w14:textId="05428F84" w:rsidR="00C62EB6" w:rsidRDefault="00C62EB6" w:rsidP="000621B4">
            <w:pPr>
              <w:tabs>
                <w:tab w:val="left" w:pos="631"/>
              </w:tabs>
              <w:ind w:firstLine="311"/>
              <w:jc w:val="both"/>
              <w:rPr>
                <w:szCs w:val="22"/>
              </w:rPr>
            </w:pPr>
            <w:r>
              <w:rPr>
                <w:sz w:val="22"/>
                <w:szCs w:val="22"/>
              </w:rPr>
              <w:t>P</w:t>
            </w:r>
            <w:r w:rsidRPr="001A5A01">
              <w:rPr>
                <w:sz w:val="22"/>
                <w:szCs w:val="22"/>
              </w:rPr>
              <w:t xml:space="preserve">rojekts paredz Finanšu ministrijai </w:t>
            </w:r>
            <w:r w:rsidRPr="009F572A">
              <w:rPr>
                <w:sz w:val="22"/>
                <w:szCs w:val="22"/>
              </w:rPr>
              <w:t>no 74.resora „Gadskārtēj</w:t>
            </w:r>
            <w:r>
              <w:rPr>
                <w:sz w:val="22"/>
                <w:szCs w:val="22"/>
              </w:rPr>
              <w:t>ā</w:t>
            </w:r>
            <w:r w:rsidRPr="009F572A">
              <w:rPr>
                <w:sz w:val="22"/>
                <w:szCs w:val="22"/>
              </w:rPr>
              <w:t xml:space="preserve"> valsts budžeta izpildes procesā pārdalāmais finansējums” programmas 02.00.00 „Līdzekļi neparedzētiem gadījumiem”</w:t>
            </w:r>
            <w:r w:rsidRPr="001A5A01">
              <w:rPr>
                <w:sz w:val="22"/>
                <w:szCs w:val="22"/>
              </w:rPr>
              <w:t xml:space="preserve"> </w:t>
            </w:r>
            <w:r>
              <w:rPr>
                <w:sz w:val="22"/>
                <w:szCs w:val="22"/>
              </w:rPr>
              <w:t>veikt līdzekļu pārdali uz</w:t>
            </w:r>
            <w:r w:rsidRPr="001A5A01">
              <w:rPr>
                <w:sz w:val="22"/>
                <w:szCs w:val="22"/>
              </w:rPr>
              <w:t xml:space="preserve"> Labklājības ministrija</w:t>
            </w:r>
            <w:r>
              <w:rPr>
                <w:sz w:val="22"/>
                <w:szCs w:val="22"/>
              </w:rPr>
              <w:t>s pamatbudžeta programmu 99.00.00 “Līdzekļu neparedzētiem gadījumiem izlietojums”</w:t>
            </w:r>
            <w:r w:rsidRPr="001A5A01">
              <w:rPr>
                <w:sz w:val="22"/>
                <w:szCs w:val="22"/>
              </w:rPr>
              <w:t xml:space="preserve"> </w:t>
            </w:r>
            <w:r w:rsidR="004002E0">
              <w:rPr>
                <w:sz w:val="22"/>
                <w:szCs w:val="22"/>
              </w:rPr>
              <w:t xml:space="preserve">nepārsniedzot </w:t>
            </w:r>
            <w:r w:rsidRPr="007A2A83">
              <w:rPr>
                <w:b/>
                <w:bCs/>
                <w:sz w:val="22"/>
                <w:szCs w:val="22"/>
              </w:rPr>
              <w:t>6 323</w:t>
            </w:r>
            <w:r w:rsidR="008B36DA">
              <w:rPr>
                <w:b/>
                <w:bCs/>
                <w:sz w:val="22"/>
                <w:szCs w:val="22"/>
              </w:rPr>
              <w:t> </w:t>
            </w:r>
            <w:r w:rsidRPr="007A2A83">
              <w:rPr>
                <w:b/>
                <w:bCs/>
                <w:sz w:val="22"/>
                <w:szCs w:val="22"/>
              </w:rPr>
              <w:t>033</w:t>
            </w:r>
            <w:r w:rsidR="008B36DA">
              <w:rPr>
                <w:b/>
                <w:bCs/>
                <w:sz w:val="22"/>
                <w:szCs w:val="22"/>
              </w:rPr>
              <w:t xml:space="preserve"> </w:t>
            </w:r>
            <w:proofErr w:type="spellStart"/>
            <w:r w:rsidR="00AB7D5B" w:rsidRPr="00AB7D5B">
              <w:rPr>
                <w:b/>
                <w:bCs/>
                <w:i/>
                <w:sz w:val="22"/>
                <w:szCs w:val="22"/>
              </w:rPr>
              <w:t>euro</w:t>
            </w:r>
            <w:proofErr w:type="spellEnd"/>
            <w:r>
              <w:rPr>
                <w:sz w:val="22"/>
                <w:szCs w:val="22"/>
              </w:rPr>
              <w:t xml:space="preserve">, lai </w:t>
            </w:r>
            <w:r>
              <w:rPr>
                <w:szCs w:val="22"/>
              </w:rPr>
              <w:t>personai, kurai piešķirt</w:t>
            </w:r>
            <w:r w:rsidR="004002E0">
              <w:rPr>
                <w:szCs w:val="22"/>
              </w:rPr>
              <w:t>ais</w:t>
            </w:r>
            <w:r>
              <w:rPr>
                <w:szCs w:val="22"/>
              </w:rPr>
              <w:t xml:space="preserve"> vecāku pabalsts (līdz bērna viena gada vai pusotra gada vecumam) beidzas laikā, kad sakarā ar COVID-19 izsludināta ārkārtējā situācija, </w:t>
            </w:r>
            <w:r w:rsidRPr="00502B81">
              <w:rPr>
                <w:szCs w:val="22"/>
              </w:rPr>
              <w:t xml:space="preserve">un kura </w:t>
            </w:r>
            <w:r w:rsidRPr="00502B81">
              <w:rPr>
                <w:szCs w:val="22"/>
              </w:rPr>
              <w:lastRenderedPageBreak/>
              <w:t xml:space="preserve">ārkārtējās situācijas apstākļu dēļ nevar atgriezties darbā, jo darba devējs nenodarbina darbinieku vai iestājusies dīkstāve, vai kura nevar gūt ienākumus no saimnieciskās darbības, </w:t>
            </w:r>
            <w:r w:rsidR="00CA21C5">
              <w:rPr>
                <w:szCs w:val="22"/>
              </w:rPr>
              <w:t>nodrošinātu</w:t>
            </w:r>
            <w:r w:rsidRPr="00502B81">
              <w:rPr>
                <w:szCs w:val="22"/>
              </w:rPr>
              <w:t xml:space="preserve"> piešķirtā vecāku pabalsta turpinājuma izmaksu pēc tam, kad bērns sasniedz viena gada vai pusotra gada vecum</w:t>
            </w:r>
            <w:r>
              <w:rPr>
                <w:szCs w:val="22"/>
              </w:rPr>
              <w:t>u (saskaņā ar Saeimā pieņemtajiem un izsludinātajiem grozījumiem likumā “Par maternitātes, un slimības apdrošināšanu” (stājas spēkā 05.04.2020.).</w:t>
            </w:r>
          </w:p>
          <w:p w14:paraId="779AE3C0" w14:textId="77777777" w:rsidR="00C62EB6" w:rsidRDefault="00C62EB6" w:rsidP="000621B4">
            <w:pPr>
              <w:tabs>
                <w:tab w:val="left" w:pos="631"/>
              </w:tabs>
              <w:ind w:firstLine="311"/>
              <w:jc w:val="both"/>
              <w:rPr>
                <w:szCs w:val="22"/>
              </w:rPr>
            </w:pPr>
            <w:r>
              <w:rPr>
                <w:szCs w:val="22"/>
              </w:rPr>
              <w:t xml:space="preserve"> </w:t>
            </w:r>
          </w:p>
          <w:p w14:paraId="0C2044E6" w14:textId="77777777" w:rsidR="00C62EB6" w:rsidRDefault="00C62EB6" w:rsidP="000621B4">
            <w:pPr>
              <w:tabs>
                <w:tab w:val="left" w:pos="631"/>
              </w:tabs>
              <w:ind w:firstLine="311"/>
              <w:jc w:val="both"/>
              <w:rPr>
                <w:szCs w:val="22"/>
              </w:rPr>
            </w:pPr>
            <w:r>
              <w:rPr>
                <w:szCs w:val="22"/>
              </w:rPr>
              <w:t xml:space="preserve">Aprēķins: </w:t>
            </w:r>
          </w:p>
          <w:p w14:paraId="4CFFE0AE" w14:textId="77777777" w:rsidR="00C62EB6" w:rsidRPr="00C62EB6" w:rsidRDefault="00C62EB6" w:rsidP="000621B4">
            <w:pPr>
              <w:pStyle w:val="ListParagraph"/>
              <w:numPr>
                <w:ilvl w:val="0"/>
                <w:numId w:val="30"/>
              </w:numPr>
              <w:tabs>
                <w:tab w:val="left" w:pos="631"/>
              </w:tabs>
              <w:jc w:val="both"/>
              <w:rPr>
                <w:sz w:val="22"/>
                <w:szCs w:val="22"/>
              </w:rPr>
            </w:pPr>
            <w:r w:rsidRPr="00C62EB6">
              <w:rPr>
                <w:sz w:val="22"/>
                <w:szCs w:val="22"/>
              </w:rPr>
              <w:t>vecāku pabalsta saņēmēju, kuriem provizoriski no 12.marta līdz sakarā ar Covid-19 izsludinātās ārkārtējās situācijas beigām (pieņēmums līdz 14.jūlijam, t.i. četri mēneši), skaits vidēji mēnesī – 3 780;</w:t>
            </w:r>
          </w:p>
          <w:p w14:paraId="0F5B44BC" w14:textId="31B58A61" w:rsidR="00C62EB6" w:rsidRPr="00C62EB6" w:rsidRDefault="00C62EB6" w:rsidP="000621B4">
            <w:pPr>
              <w:pStyle w:val="ListParagraph"/>
              <w:numPr>
                <w:ilvl w:val="0"/>
                <w:numId w:val="30"/>
              </w:numPr>
              <w:tabs>
                <w:tab w:val="left" w:pos="631"/>
              </w:tabs>
              <w:jc w:val="both"/>
              <w:rPr>
                <w:sz w:val="22"/>
                <w:szCs w:val="22"/>
              </w:rPr>
            </w:pPr>
            <w:r w:rsidRPr="00C62EB6">
              <w:rPr>
                <w:sz w:val="22"/>
                <w:szCs w:val="22"/>
              </w:rPr>
              <w:t xml:space="preserve">par šo periodu vecāku pabalsta turpinājums tiek izmaksāts iepriekš piešķirtā vecāku pabalsta apmērā, bet ne vairāk kā 700 </w:t>
            </w:r>
            <w:proofErr w:type="spellStart"/>
            <w:r w:rsidR="00AB7D5B" w:rsidRPr="00AB7D5B">
              <w:rPr>
                <w:i/>
                <w:sz w:val="22"/>
                <w:szCs w:val="22"/>
              </w:rPr>
              <w:t>euro</w:t>
            </w:r>
            <w:proofErr w:type="spellEnd"/>
            <w:r w:rsidRPr="00C62EB6">
              <w:rPr>
                <w:sz w:val="22"/>
                <w:szCs w:val="22"/>
              </w:rPr>
              <w:t xml:space="preserve"> mēnesī.</w:t>
            </w:r>
          </w:p>
          <w:p w14:paraId="3B68ABC0" w14:textId="77777777" w:rsidR="00C62EB6" w:rsidRPr="00C62EB6" w:rsidRDefault="00C62EB6" w:rsidP="000621B4">
            <w:pPr>
              <w:tabs>
                <w:tab w:val="left" w:pos="631"/>
              </w:tabs>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71"/>
              <w:gridCol w:w="1871"/>
            </w:tblGrid>
            <w:tr w:rsidR="00C62EB6" w:rsidRPr="00AB7D5B" w14:paraId="68F6D36C" w14:textId="77777777" w:rsidTr="000621B4">
              <w:trPr>
                <w:trHeight w:val="20"/>
                <w:jc w:val="center"/>
              </w:trPr>
              <w:tc>
                <w:tcPr>
                  <w:tcW w:w="1871" w:type="dxa"/>
                  <w:shd w:val="clear" w:color="auto" w:fill="auto"/>
                  <w:vAlign w:val="center"/>
                  <w:hideMark/>
                </w:tcPr>
                <w:p w14:paraId="3991BB38" w14:textId="77777777" w:rsidR="00C62EB6" w:rsidRPr="00975699" w:rsidRDefault="00C62EB6" w:rsidP="000621B4">
                  <w:pPr>
                    <w:jc w:val="center"/>
                    <w:rPr>
                      <w:sz w:val="18"/>
                      <w:szCs w:val="22"/>
                    </w:rPr>
                  </w:pPr>
                  <w:r w:rsidRPr="00975699">
                    <w:rPr>
                      <w:sz w:val="18"/>
                      <w:szCs w:val="22"/>
                    </w:rPr>
                    <w:t xml:space="preserve">Provizoriskais saņēmēju skaits, </w:t>
                  </w:r>
                  <w:proofErr w:type="spellStart"/>
                  <w:r w:rsidRPr="00975699">
                    <w:rPr>
                      <w:sz w:val="18"/>
                      <w:szCs w:val="22"/>
                    </w:rPr>
                    <w:t>vid.mēn</w:t>
                  </w:r>
                  <w:proofErr w:type="spellEnd"/>
                  <w:r w:rsidRPr="00975699">
                    <w:rPr>
                      <w:sz w:val="18"/>
                      <w:szCs w:val="22"/>
                    </w:rPr>
                    <w:t xml:space="preserve">. periodā 12.marts – 14.jūlijs </w:t>
                  </w:r>
                </w:p>
              </w:tc>
              <w:tc>
                <w:tcPr>
                  <w:tcW w:w="1871" w:type="dxa"/>
                  <w:shd w:val="clear" w:color="auto" w:fill="auto"/>
                  <w:vAlign w:val="center"/>
                  <w:hideMark/>
                </w:tcPr>
                <w:p w14:paraId="26C81E59" w14:textId="77777777" w:rsidR="00C62EB6" w:rsidRPr="00975699" w:rsidRDefault="00C62EB6" w:rsidP="000621B4">
                  <w:pPr>
                    <w:jc w:val="center"/>
                    <w:rPr>
                      <w:sz w:val="18"/>
                      <w:szCs w:val="22"/>
                    </w:rPr>
                  </w:pPr>
                  <w:r w:rsidRPr="00975699">
                    <w:rPr>
                      <w:sz w:val="18"/>
                      <w:szCs w:val="22"/>
                    </w:rPr>
                    <w:t>Pabalsta vidējais piešķirtais apmērs (EUR)</w:t>
                  </w:r>
                </w:p>
              </w:tc>
              <w:tc>
                <w:tcPr>
                  <w:tcW w:w="1871" w:type="dxa"/>
                  <w:shd w:val="clear" w:color="auto" w:fill="auto"/>
                  <w:vAlign w:val="center"/>
                  <w:hideMark/>
                </w:tcPr>
                <w:p w14:paraId="66410F5A" w14:textId="77777777" w:rsidR="00C62EB6" w:rsidRPr="00975699" w:rsidRDefault="00C62EB6" w:rsidP="000621B4">
                  <w:pPr>
                    <w:jc w:val="center"/>
                    <w:rPr>
                      <w:sz w:val="18"/>
                      <w:szCs w:val="22"/>
                    </w:rPr>
                  </w:pPr>
                  <w:r w:rsidRPr="00975699">
                    <w:rPr>
                      <w:sz w:val="18"/>
                      <w:szCs w:val="22"/>
                    </w:rPr>
                    <w:t>Izdevumu palielinājums, EUR</w:t>
                  </w:r>
                </w:p>
              </w:tc>
            </w:tr>
            <w:tr w:rsidR="00C62EB6" w:rsidRPr="00AB7D5B" w14:paraId="55740340" w14:textId="77777777" w:rsidTr="000621B4">
              <w:trPr>
                <w:trHeight w:val="20"/>
                <w:jc w:val="center"/>
              </w:trPr>
              <w:tc>
                <w:tcPr>
                  <w:tcW w:w="1871" w:type="dxa"/>
                  <w:shd w:val="clear" w:color="auto" w:fill="auto"/>
                  <w:noWrap/>
                  <w:vAlign w:val="bottom"/>
                  <w:hideMark/>
                </w:tcPr>
                <w:p w14:paraId="6019CD5E" w14:textId="77777777" w:rsidR="00C62EB6" w:rsidRPr="00975699" w:rsidRDefault="00C62EB6" w:rsidP="000621B4">
                  <w:pPr>
                    <w:jc w:val="right"/>
                    <w:rPr>
                      <w:bCs/>
                      <w:sz w:val="18"/>
                      <w:szCs w:val="22"/>
                    </w:rPr>
                  </w:pPr>
                  <w:r w:rsidRPr="00975699">
                    <w:rPr>
                      <w:bCs/>
                      <w:sz w:val="18"/>
                      <w:szCs w:val="22"/>
                    </w:rPr>
                    <w:t>3 780</w:t>
                  </w:r>
                </w:p>
              </w:tc>
              <w:tc>
                <w:tcPr>
                  <w:tcW w:w="1871" w:type="dxa"/>
                  <w:shd w:val="clear" w:color="auto" w:fill="auto"/>
                  <w:noWrap/>
                  <w:vAlign w:val="bottom"/>
                  <w:hideMark/>
                </w:tcPr>
                <w:p w14:paraId="58E88802" w14:textId="77777777" w:rsidR="00C62EB6" w:rsidRPr="00975699" w:rsidRDefault="00C62EB6" w:rsidP="000621B4">
                  <w:pPr>
                    <w:jc w:val="right"/>
                    <w:rPr>
                      <w:bCs/>
                      <w:sz w:val="18"/>
                      <w:szCs w:val="22"/>
                    </w:rPr>
                  </w:pPr>
                  <w:r w:rsidRPr="00975699">
                    <w:rPr>
                      <w:bCs/>
                      <w:sz w:val="18"/>
                      <w:szCs w:val="22"/>
                    </w:rPr>
                    <w:t>418.19</w:t>
                  </w:r>
                </w:p>
              </w:tc>
              <w:tc>
                <w:tcPr>
                  <w:tcW w:w="1871" w:type="dxa"/>
                  <w:shd w:val="clear" w:color="auto" w:fill="auto"/>
                  <w:noWrap/>
                  <w:vAlign w:val="bottom"/>
                  <w:hideMark/>
                </w:tcPr>
                <w:p w14:paraId="6BB68E0A" w14:textId="77777777" w:rsidR="00C62EB6" w:rsidRPr="00975699" w:rsidRDefault="00C62EB6" w:rsidP="000621B4">
                  <w:pPr>
                    <w:jc w:val="right"/>
                    <w:rPr>
                      <w:b/>
                      <w:bCs/>
                      <w:sz w:val="18"/>
                      <w:szCs w:val="22"/>
                    </w:rPr>
                  </w:pPr>
                  <w:r w:rsidRPr="00975699">
                    <w:rPr>
                      <w:b/>
                      <w:bCs/>
                      <w:sz w:val="18"/>
                      <w:szCs w:val="22"/>
                    </w:rPr>
                    <w:t>6 323 033</w:t>
                  </w:r>
                </w:p>
              </w:tc>
            </w:tr>
          </w:tbl>
          <w:p w14:paraId="5EADA48F" w14:textId="77777777" w:rsidR="00C62EB6" w:rsidRDefault="00C62EB6" w:rsidP="000621B4">
            <w:pPr>
              <w:tabs>
                <w:tab w:val="left" w:pos="631"/>
              </w:tabs>
              <w:jc w:val="both"/>
              <w:rPr>
                <w:sz w:val="22"/>
                <w:szCs w:val="22"/>
              </w:rPr>
            </w:pPr>
          </w:p>
          <w:p w14:paraId="468EFAE2" w14:textId="77777777" w:rsidR="00C62EB6" w:rsidRPr="000230C6" w:rsidRDefault="00C62EB6" w:rsidP="000621B4">
            <w:pPr>
              <w:tabs>
                <w:tab w:val="left" w:pos="631"/>
              </w:tabs>
              <w:jc w:val="both"/>
              <w:rPr>
                <w:sz w:val="22"/>
                <w:szCs w:val="22"/>
              </w:rPr>
            </w:pPr>
          </w:p>
          <w:p w14:paraId="763B9062" w14:textId="3D15BE26" w:rsidR="00C62EB6" w:rsidRPr="00152B4A" w:rsidRDefault="00C62EB6" w:rsidP="000621B4">
            <w:pPr>
              <w:ind w:firstLine="604"/>
              <w:jc w:val="both"/>
              <w:rPr>
                <w:sz w:val="22"/>
                <w:szCs w:val="22"/>
              </w:rPr>
            </w:pPr>
            <w:r>
              <w:rPr>
                <w:sz w:val="22"/>
                <w:szCs w:val="22"/>
              </w:rPr>
              <w:t>Vecāku pabalsta izmaksas pagarināšanas</w:t>
            </w:r>
            <w:r w:rsidRPr="00152B4A">
              <w:rPr>
                <w:sz w:val="22"/>
                <w:szCs w:val="22"/>
              </w:rPr>
              <w:t xml:space="preserve"> ilgums paredzēts </w:t>
            </w:r>
            <w:r>
              <w:rPr>
                <w:sz w:val="22"/>
                <w:szCs w:val="22"/>
              </w:rPr>
              <w:t>4</w:t>
            </w:r>
            <w:r w:rsidRPr="00152B4A">
              <w:rPr>
                <w:sz w:val="22"/>
                <w:szCs w:val="22"/>
              </w:rPr>
              <w:t xml:space="preserve"> mēneši</w:t>
            </w:r>
            <w:r>
              <w:rPr>
                <w:sz w:val="22"/>
                <w:szCs w:val="22"/>
              </w:rPr>
              <w:t>, t.i. skaitot no 12. marta</w:t>
            </w:r>
            <w:r w:rsidRPr="00152B4A">
              <w:rPr>
                <w:sz w:val="22"/>
                <w:szCs w:val="22"/>
              </w:rPr>
              <w:t>.</w:t>
            </w:r>
          </w:p>
          <w:p w14:paraId="661EE919" w14:textId="593BD888" w:rsidR="00C62EB6" w:rsidRPr="00622822" w:rsidRDefault="00C62EB6" w:rsidP="000621B4">
            <w:pPr>
              <w:ind w:firstLine="604"/>
              <w:jc w:val="both"/>
              <w:rPr>
                <w:bCs/>
                <w:sz w:val="22"/>
                <w:szCs w:val="22"/>
              </w:rPr>
            </w:pPr>
            <w:r w:rsidRPr="00152B4A">
              <w:rPr>
                <w:sz w:val="22"/>
                <w:szCs w:val="22"/>
              </w:rPr>
              <w:t xml:space="preserve">Līdz ar to, lai nodrošinātu </w:t>
            </w:r>
            <w:r>
              <w:rPr>
                <w:sz w:val="22"/>
                <w:szCs w:val="22"/>
              </w:rPr>
              <w:t>pabalsta izmaksu</w:t>
            </w:r>
            <w:r w:rsidRPr="00152B4A">
              <w:rPr>
                <w:sz w:val="22"/>
                <w:szCs w:val="22"/>
              </w:rPr>
              <w:t>, nepieciešam</w:t>
            </w:r>
            <w:r w:rsidR="00622822">
              <w:rPr>
                <w:sz w:val="22"/>
                <w:szCs w:val="22"/>
              </w:rPr>
              <w:t>ai</w:t>
            </w:r>
            <w:r w:rsidRPr="00152B4A">
              <w:rPr>
                <w:sz w:val="22"/>
                <w:szCs w:val="22"/>
              </w:rPr>
              <w:t>s finansējum</w:t>
            </w:r>
            <w:r w:rsidR="004002E0">
              <w:rPr>
                <w:sz w:val="22"/>
                <w:szCs w:val="22"/>
              </w:rPr>
              <w:t xml:space="preserve">s </w:t>
            </w:r>
            <w:r w:rsidRPr="00152B4A">
              <w:rPr>
                <w:sz w:val="22"/>
                <w:szCs w:val="22"/>
              </w:rPr>
              <w:t xml:space="preserve">no valsts budžeta līdzekļiem </w:t>
            </w:r>
            <w:r w:rsidR="004002E0">
              <w:rPr>
                <w:sz w:val="22"/>
                <w:szCs w:val="22"/>
              </w:rPr>
              <w:t xml:space="preserve">tiek prognozēts ne vairāk kā </w:t>
            </w:r>
            <w:r w:rsidRPr="007A2A83">
              <w:rPr>
                <w:b/>
                <w:sz w:val="22"/>
                <w:szCs w:val="22"/>
              </w:rPr>
              <w:t>6 323 033</w:t>
            </w:r>
            <w:r w:rsidRPr="00152B4A">
              <w:rPr>
                <w:b/>
                <w:sz w:val="22"/>
                <w:szCs w:val="22"/>
              </w:rPr>
              <w:t xml:space="preserve"> </w:t>
            </w:r>
            <w:proofErr w:type="spellStart"/>
            <w:r w:rsidR="00AB7D5B" w:rsidRPr="00AB7D5B">
              <w:rPr>
                <w:b/>
                <w:i/>
                <w:iCs/>
                <w:sz w:val="22"/>
                <w:szCs w:val="22"/>
              </w:rPr>
              <w:t>euro</w:t>
            </w:r>
            <w:proofErr w:type="spellEnd"/>
            <w:r w:rsidR="00622822">
              <w:rPr>
                <w:b/>
                <w:i/>
                <w:iCs/>
                <w:sz w:val="22"/>
                <w:szCs w:val="22"/>
              </w:rPr>
              <w:t xml:space="preserve"> </w:t>
            </w:r>
            <w:r w:rsidR="00622822" w:rsidRPr="00622822">
              <w:rPr>
                <w:bCs/>
                <w:sz w:val="22"/>
                <w:szCs w:val="22"/>
              </w:rPr>
              <w:t>(izdevumi</w:t>
            </w:r>
            <w:r w:rsidR="00622822">
              <w:rPr>
                <w:bCs/>
                <w:sz w:val="22"/>
                <w:szCs w:val="22"/>
              </w:rPr>
              <w:t xml:space="preserve"> sociāla rakstura maksājumi</w:t>
            </w:r>
            <w:r w:rsidR="00647006">
              <w:rPr>
                <w:bCs/>
                <w:sz w:val="22"/>
                <w:szCs w:val="22"/>
              </w:rPr>
              <w:t>em</w:t>
            </w:r>
            <w:r w:rsidR="00622822">
              <w:rPr>
                <w:bCs/>
                <w:sz w:val="22"/>
                <w:szCs w:val="22"/>
              </w:rPr>
              <w:t xml:space="preserve"> un kompensācij</w:t>
            </w:r>
            <w:r w:rsidR="00647006">
              <w:rPr>
                <w:bCs/>
                <w:sz w:val="22"/>
                <w:szCs w:val="22"/>
              </w:rPr>
              <w:t>ām</w:t>
            </w:r>
            <w:bookmarkStart w:id="1" w:name="_GoBack"/>
            <w:bookmarkEnd w:id="1"/>
            <w:r w:rsidR="00622822">
              <w:rPr>
                <w:bCs/>
                <w:sz w:val="22"/>
                <w:szCs w:val="22"/>
              </w:rPr>
              <w:t>).</w:t>
            </w:r>
          </w:p>
          <w:p w14:paraId="0F5A16FE" w14:textId="07E28AA1" w:rsidR="008B36DA" w:rsidRPr="00975699" w:rsidRDefault="008B36DA" w:rsidP="00975699">
            <w:pPr>
              <w:jc w:val="both"/>
              <w:rPr>
                <w:bCs/>
                <w:sz w:val="22"/>
                <w:szCs w:val="22"/>
              </w:rPr>
            </w:pPr>
            <w:r>
              <w:rPr>
                <w:b/>
                <w:i/>
                <w:iCs/>
                <w:sz w:val="22"/>
                <w:szCs w:val="22"/>
              </w:rPr>
              <w:t xml:space="preserve">      </w:t>
            </w:r>
            <w:r w:rsidRPr="00975699">
              <w:rPr>
                <w:bCs/>
                <w:sz w:val="22"/>
                <w:szCs w:val="22"/>
              </w:rPr>
              <w:t>Ņemot vērā, ka šī rīkojuma 1.punktā minētais vecāku pabalsta turpinājums neatbilst sociālās apdrošināšanas speciālā budžeta veidošanas pamatprincipiem, izdevumi likuma īstenošanai tiek nodrošināti no valsts pamatbudžeta līdzekļiem.</w:t>
            </w:r>
          </w:p>
          <w:p w14:paraId="4AE15AB1" w14:textId="1823F733" w:rsidR="00C62EB6" w:rsidRPr="008A4962" w:rsidRDefault="00C62EB6" w:rsidP="000621B4">
            <w:pPr>
              <w:ind w:firstLine="720"/>
              <w:jc w:val="both"/>
            </w:pPr>
            <w:r w:rsidRPr="008A4962">
              <w:rPr>
                <w:rFonts w:eastAsiaTheme="minorHAnsi" w:cstheme="minorBidi"/>
                <w:lang w:eastAsia="en-US"/>
              </w:rPr>
              <w:t>Ņemot vērā, ka uz pabalsta sākuma izmaksāšanas brīdi, nav iespējams precīzi prognozēt faktiskos izdevumus,</w:t>
            </w:r>
            <w:r w:rsidRPr="008A4962">
              <w:t xml:space="preserve"> kā arī</w:t>
            </w:r>
            <w:r w:rsidR="00CA21C5">
              <w:t>,</w:t>
            </w:r>
            <w:r w:rsidRPr="008A4962">
              <w:t xml:space="preserve"> lai mazinātu administratīvo slogu, </w:t>
            </w:r>
            <w:r w:rsidRPr="008A4962">
              <w:rPr>
                <w:rFonts w:eastAsiaTheme="minorHAnsi" w:cstheme="minorBidi"/>
                <w:lang w:eastAsia="en-US"/>
              </w:rPr>
              <w:t xml:space="preserve">Labklājības ministrija finansējumu pieprasīs pa daļām, sākotnēji pieprasot plānotos izdevumus 1 mēnesim, kas indikatīvi plānoti </w:t>
            </w:r>
            <w:r w:rsidRPr="007A2A83">
              <w:rPr>
                <w:rFonts w:eastAsiaTheme="minorHAnsi" w:cstheme="minorBidi"/>
                <w:lang w:eastAsia="en-US"/>
              </w:rPr>
              <w:t>1 580</w:t>
            </w:r>
            <w:r w:rsidR="008B36DA">
              <w:rPr>
                <w:rFonts w:eastAsiaTheme="minorHAnsi" w:cstheme="minorBidi"/>
                <w:lang w:eastAsia="en-US"/>
              </w:rPr>
              <w:t> </w:t>
            </w:r>
            <w:r w:rsidRPr="007A2A83">
              <w:rPr>
                <w:rFonts w:eastAsiaTheme="minorHAnsi" w:cstheme="minorBidi"/>
                <w:lang w:eastAsia="en-US"/>
              </w:rPr>
              <w:t>758</w:t>
            </w:r>
            <w:r w:rsidR="008B36DA">
              <w:rPr>
                <w:rFonts w:eastAsiaTheme="minorHAnsi" w:cstheme="minorBidi"/>
                <w:lang w:eastAsia="en-US"/>
              </w:rPr>
              <w:t xml:space="preserve"> </w:t>
            </w:r>
            <w:proofErr w:type="spellStart"/>
            <w:r w:rsidR="00AB7D5B" w:rsidRPr="00AB7D5B">
              <w:rPr>
                <w:rFonts w:eastAsiaTheme="minorHAnsi" w:cstheme="minorBidi"/>
                <w:i/>
                <w:lang w:eastAsia="en-US"/>
              </w:rPr>
              <w:t>euro</w:t>
            </w:r>
            <w:proofErr w:type="spellEnd"/>
            <w:r w:rsidRPr="008A4962">
              <w:rPr>
                <w:rFonts w:eastAsiaTheme="minorHAnsi" w:cstheme="minorBidi"/>
                <w:lang w:eastAsia="en-US"/>
              </w:rPr>
              <w:t xml:space="preserve"> apmērā (</w:t>
            </w:r>
            <w:r w:rsidRPr="007A2A83">
              <w:rPr>
                <w:rFonts w:eastAsiaTheme="minorHAnsi" w:cstheme="minorBidi"/>
                <w:lang w:eastAsia="en-US"/>
              </w:rPr>
              <w:t>6 323</w:t>
            </w:r>
            <w:r w:rsidR="008B36DA">
              <w:rPr>
                <w:rFonts w:eastAsiaTheme="minorHAnsi" w:cstheme="minorBidi"/>
                <w:lang w:eastAsia="en-US"/>
              </w:rPr>
              <w:t> </w:t>
            </w:r>
            <w:r w:rsidRPr="007A2A83">
              <w:rPr>
                <w:rFonts w:eastAsiaTheme="minorHAnsi" w:cstheme="minorBidi"/>
                <w:lang w:eastAsia="en-US"/>
              </w:rPr>
              <w:t>033</w:t>
            </w:r>
            <w:r w:rsidR="008B36DA">
              <w:rPr>
                <w:rFonts w:eastAsiaTheme="minorHAnsi" w:cstheme="minorBidi"/>
                <w:lang w:eastAsia="en-US"/>
              </w:rPr>
              <w:t xml:space="preserve"> </w:t>
            </w:r>
            <w:proofErr w:type="spellStart"/>
            <w:r w:rsidR="00AB7D5B" w:rsidRPr="00AB7D5B">
              <w:rPr>
                <w:rFonts w:eastAsiaTheme="minorHAnsi" w:cstheme="minorBidi"/>
                <w:i/>
                <w:lang w:eastAsia="en-US"/>
              </w:rPr>
              <w:t>euro</w:t>
            </w:r>
            <w:proofErr w:type="spellEnd"/>
            <w:r w:rsidRPr="008A4962">
              <w:rPr>
                <w:rFonts w:eastAsiaTheme="minorHAnsi" w:cstheme="minorBidi"/>
                <w:i/>
                <w:lang w:eastAsia="en-US"/>
              </w:rPr>
              <w:t xml:space="preserve"> </w:t>
            </w:r>
            <w:r w:rsidRPr="008A4962">
              <w:rPr>
                <w:rFonts w:eastAsiaTheme="minorHAnsi" w:cstheme="minorBidi"/>
                <w:lang w:eastAsia="en-US"/>
              </w:rPr>
              <w:t xml:space="preserve">/ </w:t>
            </w:r>
            <w:r>
              <w:rPr>
                <w:rFonts w:eastAsiaTheme="minorHAnsi" w:cstheme="minorBidi"/>
                <w:lang w:eastAsia="en-US"/>
              </w:rPr>
              <w:t>4</w:t>
            </w:r>
            <w:r w:rsidRPr="008A4962">
              <w:rPr>
                <w:rFonts w:eastAsiaTheme="minorHAnsi" w:cstheme="minorBidi"/>
                <w:lang w:eastAsia="en-US"/>
              </w:rPr>
              <w:t xml:space="preserve"> mēneši). Savukārt</w:t>
            </w:r>
            <w:r w:rsidR="00CA21C5">
              <w:rPr>
                <w:rFonts w:eastAsiaTheme="minorHAnsi" w:cstheme="minorBidi"/>
                <w:lang w:eastAsia="en-US"/>
              </w:rPr>
              <w:t>,</w:t>
            </w:r>
            <w:r w:rsidRPr="008A4962">
              <w:rPr>
                <w:rFonts w:eastAsiaTheme="minorHAnsi" w:cstheme="minorBidi"/>
                <w:lang w:eastAsia="en-US"/>
              </w:rPr>
              <w:t xml:space="preserve"> atlikušo finansējumu Labklājības ministrija pieprasīs atbilstoši nepieciešamībai. </w:t>
            </w:r>
            <w:r w:rsidR="00622822">
              <w:rPr>
                <w:rFonts w:eastAsiaTheme="minorHAnsi" w:cstheme="minorBidi"/>
                <w:lang w:eastAsia="en-US"/>
              </w:rPr>
              <w:t>Par f</w:t>
            </w:r>
            <w:r w:rsidRPr="008A4962">
              <w:rPr>
                <w:rFonts w:eastAsiaTheme="minorHAnsi" w:cstheme="minorBidi"/>
                <w:lang w:eastAsia="en-US"/>
              </w:rPr>
              <w:t xml:space="preserve">inansējumu, kas tiks piešķirts, bet netiks izlietots minētajam mērķim, Labklājības </w:t>
            </w:r>
            <w:r w:rsidRPr="00071F15">
              <w:rPr>
                <w:rFonts w:eastAsiaTheme="minorHAnsi" w:cstheme="minorBidi"/>
                <w:lang w:eastAsia="en-US"/>
              </w:rPr>
              <w:t xml:space="preserve">ministrija </w:t>
            </w:r>
            <w:r w:rsidR="00622822" w:rsidRPr="00071F15">
              <w:rPr>
                <w:rFonts w:eastAsiaTheme="minorHAnsi" w:cstheme="minorBidi"/>
                <w:lang w:eastAsia="en-US"/>
              </w:rPr>
              <w:t xml:space="preserve">iesniegs priekšlikumu līdzekļu pārdalei </w:t>
            </w:r>
            <w:r w:rsidR="00071F15" w:rsidRPr="00071F15">
              <w:rPr>
                <w:rFonts w:eastAsiaTheme="minorHAnsi" w:cstheme="minorBidi"/>
                <w:lang w:eastAsia="en-US"/>
              </w:rPr>
              <w:t>uz</w:t>
            </w:r>
            <w:r w:rsidRPr="00071F15">
              <w:rPr>
                <w:rFonts w:eastAsiaTheme="minorHAnsi" w:cstheme="minorBidi"/>
                <w:lang w:eastAsia="en-US"/>
              </w:rPr>
              <w:t xml:space="preserve"> 74.resora „Gadskārtējā valsts budžeta izpildes procesā pārdalāmais finansējums” programm</w:t>
            </w:r>
            <w:r w:rsidR="00071F15" w:rsidRPr="00071F15">
              <w:rPr>
                <w:rFonts w:eastAsiaTheme="minorHAnsi" w:cstheme="minorBidi"/>
                <w:lang w:eastAsia="en-US"/>
              </w:rPr>
              <w:t>u</w:t>
            </w:r>
            <w:r w:rsidRPr="00071F15">
              <w:rPr>
                <w:rFonts w:eastAsiaTheme="minorHAnsi" w:cstheme="minorBidi"/>
                <w:lang w:eastAsia="en-US"/>
              </w:rPr>
              <w:t xml:space="preserve"> </w:t>
            </w:r>
            <w:r w:rsidRPr="008A4962">
              <w:rPr>
                <w:rFonts w:eastAsiaTheme="minorHAnsi" w:cstheme="minorBidi"/>
                <w:lang w:eastAsia="en-US"/>
              </w:rPr>
              <w:t>02.00.00 „Līdzekļi neparedzētiem gadījumiem”.</w:t>
            </w:r>
          </w:p>
          <w:p w14:paraId="426126BF" w14:textId="77777777" w:rsidR="00C62EB6" w:rsidRPr="00BC562B" w:rsidRDefault="00C62EB6" w:rsidP="000621B4">
            <w:pPr>
              <w:ind w:firstLine="604"/>
              <w:jc w:val="both"/>
              <w:rPr>
                <w:rFonts w:eastAsiaTheme="minorHAnsi" w:cstheme="minorBidi"/>
                <w:sz w:val="22"/>
                <w:szCs w:val="22"/>
                <w:lang w:eastAsia="en-US"/>
              </w:rPr>
            </w:pPr>
          </w:p>
        </w:tc>
      </w:tr>
      <w:tr w:rsidR="00C62EB6" w:rsidRPr="00885514" w14:paraId="3527F490" w14:textId="77777777" w:rsidTr="000621B4">
        <w:trPr>
          <w:cantSplit/>
        </w:trPr>
        <w:tc>
          <w:tcPr>
            <w:tcW w:w="1999" w:type="dxa"/>
            <w:shd w:val="clear" w:color="auto" w:fill="auto"/>
            <w:hideMark/>
          </w:tcPr>
          <w:p w14:paraId="50F01F12"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6.1. detalizēts ieņēmumu aprēķins</w:t>
            </w:r>
          </w:p>
        </w:tc>
        <w:tc>
          <w:tcPr>
            <w:tcW w:w="7104" w:type="dxa"/>
            <w:gridSpan w:val="7"/>
            <w:vMerge/>
            <w:shd w:val="clear" w:color="auto" w:fill="auto"/>
            <w:vAlign w:val="center"/>
            <w:hideMark/>
          </w:tcPr>
          <w:p w14:paraId="26E4DE11" w14:textId="77777777" w:rsidR="00C62EB6" w:rsidRPr="00885514" w:rsidRDefault="00C62EB6" w:rsidP="000621B4">
            <w:pPr>
              <w:jc w:val="both"/>
              <w:rPr>
                <w:rFonts w:eastAsiaTheme="minorHAnsi" w:cstheme="minorBidi"/>
                <w:sz w:val="20"/>
                <w:szCs w:val="20"/>
                <w:lang w:eastAsia="en-US"/>
              </w:rPr>
            </w:pPr>
          </w:p>
        </w:tc>
      </w:tr>
      <w:tr w:rsidR="00C62EB6" w:rsidRPr="00885514" w14:paraId="38568837" w14:textId="77777777" w:rsidTr="000621B4">
        <w:trPr>
          <w:cantSplit/>
        </w:trPr>
        <w:tc>
          <w:tcPr>
            <w:tcW w:w="1999" w:type="dxa"/>
            <w:shd w:val="clear" w:color="auto" w:fill="auto"/>
            <w:hideMark/>
          </w:tcPr>
          <w:p w14:paraId="58DE0F9A"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lastRenderedPageBreak/>
              <w:t>6.2. detalizēts izdevumu aprēķins</w:t>
            </w:r>
          </w:p>
        </w:tc>
        <w:tc>
          <w:tcPr>
            <w:tcW w:w="7104" w:type="dxa"/>
            <w:gridSpan w:val="7"/>
            <w:vMerge/>
            <w:shd w:val="clear" w:color="auto" w:fill="auto"/>
            <w:vAlign w:val="center"/>
            <w:hideMark/>
          </w:tcPr>
          <w:p w14:paraId="5A09783C" w14:textId="77777777" w:rsidR="00C62EB6" w:rsidRPr="00885514" w:rsidRDefault="00C62EB6" w:rsidP="000621B4">
            <w:pPr>
              <w:jc w:val="both"/>
              <w:rPr>
                <w:rFonts w:eastAsiaTheme="minorHAnsi" w:cstheme="minorBidi"/>
                <w:sz w:val="20"/>
                <w:szCs w:val="20"/>
                <w:lang w:eastAsia="en-US"/>
              </w:rPr>
            </w:pPr>
          </w:p>
        </w:tc>
      </w:tr>
      <w:tr w:rsidR="00C62EB6" w:rsidRPr="00885514" w14:paraId="5834844A" w14:textId="77777777" w:rsidTr="000621B4">
        <w:trPr>
          <w:cantSplit/>
        </w:trPr>
        <w:tc>
          <w:tcPr>
            <w:tcW w:w="1999" w:type="dxa"/>
            <w:tcBorders>
              <w:bottom w:val="single" w:sz="4" w:space="0" w:color="auto"/>
            </w:tcBorders>
            <w:shd w:val="clear" w:color="auto" w:fill="auto"/>
            <w:hideMark/>
          </w:tcPr>
          <w:p w14:paraId="6AB4677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7. Amata vietu skaita izmaiņas</w:t>
            </w:r>
          </w:p>
        </w:tc>
        <w:tc>
          <w:tcPr>
            <w:tcW w:w="7104" w:type="dxa"/>
            <w:gridSpan w:val="7"/>
            <w:tcBorders>
              <w:bottom w:val="single" w:sz="4" w:space="0" w:color="auto"/>
            </w:tcBorders>
            <w:shd w:val="clear" w:color="auto" w:fill="auto"/>
            <w:hideMark/>
          </w:tcPr>
          <w:p w14:paraId="25F236FE"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Nav</w:t>
            </w:r>
          </w:p>
        </w:tc>
      </w:tr>
      <w:tr w:rsidR="00C62EB6" w:rsidRPr="00885514" w14:paraId="7D3D91F9" w14:textId="77777777" w:rsidTr="000621B4">
        <w:trPr>
          <w:cantSplit/>
        </w:trPr>
        <w:tc>
          <w:tcPr>
            <w:tcW w:w="1999" w:type="dxa"/>
            <w:tcBorders>
              <w:bottom w:val="single" w:sz="4" w:space="0" w:color="auto"/>
            </w:tcBorders>
            <w:shd w:val="clear" w:color="auto" w:fill="auto"/>
            <w:hideMark/>
          </w:tcPr>
          <w:p w14:paraId="71C3F8CD"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8. Cita informācija</w:t>
            </w:r>
          </w:p>
        </w:tc>
        <w:tc>
          <w:tcPr>
            <w:tcW w:w="7104" w:type="dxa"/>
            <w:gridSpan w:val="7"/>
            <w:tcBorders>
              <w:bottom w:val="single" w:sz="4" w:space="0" w:color="auto"/>
            </w:tcBorders>
            <w:shd w:val="clear" w:color="auto" w:fill="auto"/>
            <w:vAlign w:val="center"/>
          </w:tcPr>
          <w:p w14:paraId="062CBC39" w14:textId="77777777" w:rsidR="00C62EB6" w:rsidRPr="00885514" w:rsidRDefault="00C62EB6" w:rsidP="000621B4">
            <w:pPr>
              <w:jc w:val="both"/>
              <w:rPr>
                <w:rFonts w:eastAsiaTheme="minorHAnsi" w:cstheme="minorBidi"/>
                <w:color w:val="5B9BD5" w:themeColor="accent1"/>
                <w:sz w:val="22"/>
                <w:szCs w:val="22"/>
                <w:lang w:eastAsia="en-US"/>
              </w:rPr>
            </w:pPr>
            <w:r w:rsidRPr="00885514">
              <w:rPr>
                <w:sz w:val="22"/>
                <w:szCs w:val="22"/>
              </w:rPr>
              <w:t xml:space="preserve">Izdevumi tiks veikti </w:t>
            </w:r>
            <w:r>
              <w:rPr>
                <w:sz w:val="22"/>
                <w:szCs w:val="22"/>
              </w:rPr>
              <w:t>Labklājības</w:t>
            </w:r>
            <w:r w:rsidRPr="00885514">
              <w:rPr>
                <w:sz w:val="22"/>
                <w:szCs w:val="22"/>
              </w:rPr>
              <w:t xml:space="preserve"> ministrijas </w:t>
            </w:r>
            <w:r>
              <w:rPr>
                <w:sz w:val="22"/>
                <w:szCs w:val="22"/>
              </w:rPr>
              <w:t>pamat</w:t>
            </w:r>
            <w:r w:rsidRPr="00885514">
              <w:rPr>
                <w:sz w:val="22"/>
                <w:szCs w:val="22"/>
              </w:rPr>
              <w:t xml:space="preserve">budžeta programmas </w:t>
            </w:r>
            <w:r w:rsidRPr="007E08C0">
              <w:rPr>
                <w:sz w:val="22"/>
                <w:szCs w:val="22"/>
              </w:rPr>
              <w:t>99.00.00</w:t>
            </w:r>
            <w:r w:rsidRPr="00885514">
              <w:rPr>
                <w:sz w:val="22"/>
                <w:szCs w:val="22"/>
              </w:rPr>
              <w:t xml:space="preserve"> “Līdzekļu neparedzētiem gadījumiem izlietojums” ietvaros, līdzekļus pārdalot no </w:t>
            </w:r>
            <w:r w:rsidRPr="009F572A">
              <w:rPr>
                <w:sz w:val="22"/>
                <w:szCs w:val="22"/>
              </w:rPr>
              <w:t>74.resora „Gadskārtēj</w:t>
            </w:r>
            <w:r>
              <w:rPr>
                <w:sz w:val="22"/>
                <w:szCs w:val="22"/>
              </w:rPr>
              <w:t>ā</w:t>
            </w:r>
            <w:r w:rsidRPr="009F572A">
              <w:rPr>
                <w:sz w:val="22"/>
                <w:szCs w:val="22"/>
              </w:rPr>
              <w:t xml:space="preserve"> valsts budžeta izpildes procesā pārdalāmais finansējums” programmas 02.00.00 „Līdzekļi neparedzētiem gadījumiem”</w:t>
            </w:r>
            <w:r>
              <w:rPr>
                <w:sz w:val="22"/>
                <w:szCs w:val="22"/>
              </w:rPr>
              <w:t>.</w:t>
            </w:r>
          </w:p>
        </w:tc>
      </w:tr>
    </w:tbl>
    <w:p w14:paraId="7E7C9637" w14:textId="256B46B2" w:rsidR="00842AD1" w:rsidRPr="00FD5BD8" w:rsidRDefault="00842AD1" w:rsidP="00EC6E12">
      <w:pPr>
        <w:pStyle w:val="NoSpacing"/>
        <w:rPr>
          <w:rFonts w:ascii="Times New Roman" w:hAnsi="Times New Roman" w:cs="Times New Roman"/>
          <w:iCs/>
          <w:sz w:val="24"/>
          <w:szCs w:val="24"/>
          <w:lang w:eastAsia="lv-LV"/>
        </w:rPr>
      </w:pPr>
    </w:p>
    <w:p w14:paraId="6E49AB9A" w14:textId="1B492A02" w:rsidR="00885514" w:rsidRPr="00FD5BD8" w:rsidRDefault="00885514" w:rsidP="00EC6E12">
      <w:pPr>
        <w:pStyle w:val="NoSpacing"/>
        <w:rPr>
          <w:rFonts w:ascii="Times New Roman" w:hAnsi="Times New Roman" w:cs="Times New Roman"/>
          <w:iCs/>
          <w:sz w:val="24"/>
          <w:szCs w:val="24"/>
          <w:lang w:eastAsia="lv-LV"/>
        </w:rPr>
      </w:pPr>
    </w:p>
    <w:p w14:paraId="60DD5A54" w14:textId="77777777" w:rsidR="00885514" w:rsidRPr="00FD5BD8" w:rsidRDefault="00885514"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FD5BD8" w:rsidRPr="00FD5BD8" w14:paraId="2592C926" w14:textId="77777777" w:rsidTr="006936E5">
        <w:tc>
          <w:tcPr>
            <w:tcW w:w="9356" w:type="dxa"/>
          </w:tcPr>
          <w:p w14:paraId="3B11666A" w14:textId="77777777" w:rsidR="007F6F87" w:rsidRPr="00FD5BD8" w:rsidRDefault="007F6F87" w:rsidP="003903BF">
            <w:pPr>
              <w:pStyle w:val="NoSpacing"/>
              <w:jc w:val="center"/>
              <w:rPr>
                <w:rFonts w:ascii="Times New Roman" w:hAnsi="Times New Roman" w:cs="Times New Roman"/>
                <w:b/>
                <w:sz w:val="24"/>
                <w:szCs w:val="24"/>
                <w:lang w:eastAsia="lv-LV"/>
              </w:rPr>
            </w:pPr>
            <w:r w:rsidRPr="00FD5BD8">
              <w:rPr>
                <w:rFonts w:ascii="Times New Roman" w:hAnsi="Times New Roman" w:cs="Times New Roman"/>
                <w:b/>
                <w:iCs/>
                <w:sz w:val="24"/>
                <w:szCs w:val="24"/>
                <w:lang w:eastAsia="lv-LV"/>
              </w:rPr>
              <w:t>IV. Tiesību akta projekta ietekme uz spēkā esošo tiesību normu sistēmu</w:t>
            </w:r>
          </w:p>
        </w:tc>
      </w:tr>
      <w:tr w:rsidR="00FD5BD8" w:rsidRPr="00FD5BD8" w14:paraId="06798382" w14:textId="77777777" w:rsidTr="006936E5">
        <w:tc>
          <w:tcPr>
            <w:tcW w:w="9356" w:type="dxa"/>
          </w:tcPr>
          <w:p w14:paraId="0B3B8C14" w14:textId="77777777" w:rsidR="007F6F87" w:rsidRPr="00FD5BD8" w:rsidRDefault="007F6F87" w:rsidP="003903BF">
            <w:pPr>
              <w:pStyle w:val="NoSpacing"/>
              <w:jc w:val="center"/>
              <w:rPr>
                <w:rFonts w:ascii="Times New Roman" w:hAnsi="Times New Roman" w:cs="Times New Roman"/>
                <w:sz w:val="24"/>
                <w:szCs w:val="24"/>
                <w:lang w:eastAsia="lv-LV"/>
              </w:rPr>
            </w:pPr>
            <w:r w:rsidRPr="00FD5BD8">
              <w:rPr>
                <w:rFonts w:ascii="Times New Roman" w:hAnsi="Times New Roman" w:cs="Times New Roman"/>
                <w:sz w:val="24"/>
                <w:szCs w:val="24"/>
                <w:lang w:eastAsia="lv-LV"/>
              </w:rPr>
              <w:t>Projekts šo jomu neskar</w:t>
            </w:r>
            <w:r w:rsidR="007272A8" w:rsidRPr="00FD5BD8">
              <w:rPr>
                <w:rFonts w:ascii="Times New Roman" w:hAnsi="Times New Roman" w:cs="Times New Roman"/>
                <w:sz w:val="24"/>
                <w:szCs w:val="24"/>
                <w:lang w:eastAsia="lv-LV"/>
              </w:rPr>
              <w:t>.</w:t>
            </w:r>
          </w:p>
        </w:tc>
      </w:tr>
    </w:tbl>
    <w:p w14:paraId="7EB6B417" w14:textId="77777777" w:rsidR="007F6F87" w:rsidRPr="00FD5BD8"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FD5BD8" w:rsidRPr="00FD5BD8" w14:paraId="0DF476F9" w14:textId="77777777" w:rsidTr="006936E5">
        <w:tc>
          <w:tcPr>
            <w:tcW w:w="9356" w:type="dxa"/>
          </w:tcPr>
          <w:p w14:paraId="4227DA74" w14:textId="77777777" w:rsidR="007F6F87" w:rsidRPr="00FD5BD8" w:rsidRDefault="007F6F87" w:rsidP="003903BF">
            <w:pPr>
              <w:pStyle w:val="NoSpacing"/>
              <w:jc w:val="center"/>
              <w:rPr>
                <w:rFonts w:ascii="Times New Roman" w:hAnsi="Times New Roman" w:cs="Times New Roman"/>
                <w:b/>
                <w:sz w:val="24"/>
                <w:szCs w:val="24"/>
                <w:lang w:eastAsia="lv-LV"/>
              </w:rPr>
            </w:pPr>
            <w:r w:rsidRPr="00FD5BD8">
              <w:rPr>
                <w:rFonts w:ascii="Times New Roman" w:hAnsi="Times New Roman" w:cs="Times New Roman"/>
                <w:b/>
                <w:iCs/>
                <w:sz w:val="24"/>
                <w:szCs w:val="24"/>
                <w:lang w:eastAsia="lv-LV"/>
              </w:rPr>
              <w:lastRenderedPageBreak/>
              <w:t>V. Tiesību akta projekta atbilstība Latvijas Republikas starptautiskajām saistībām</w:t>
            </w:r>
          </w:p>
        </w:tc>
      </w:tr>
      <w:tr w:rsidR="00FD5BD8" w:rsidRPr="00FD5BD8" w14:paraId="6637D8D3" w14:textId="77777777" w:rsidTr="006936E5">
        <w:tc>
          <w:tcPr>
            <w:tcW w:w="9356" w:type="dxa"/>
          </w:tcPr>
          <w:p w14:paraId="7684F855" w14:textId="77777777" w:rsidR="007F6F87" w:rsidRPr="00FD5BD8" w:rsidRDefault="007F6F87" w:rsidP="003903BF">
            <w:pPr>
              <w:pStyle w:val="NoSpacing"/>
              <w:jc w:val="center"/>
              <w:rPr>
                <w:rFonts w:ascii="Times New Roman" w:hAnsi="Times New Roman" w:cs="Times New Roman"/>
                <w:sz w:val="24"/>
                <w:szCs w:val="24"/>
                <w:lang w:eastAsia="lv-LV"/>
              </w:rPr>
            </w:pPr>
            <w:r w:rsidRPr="00FD5BD8">
              <w:rPr>
                <w:rFonts w:ascii="Times New Roman" w:hAnsi="Times New Roman" w:cs="Times New Roman"/>
                <w:sz w:val="24"/>
                <w:szCs w:val="24"/>
                <w:lang w:eastAsia="lv-LV"/>
              </w:rPr>
              <w:t>Projekts šo jomu neskar</w:t>
            </w:r>
            <w:r w:rsidR="007272A8" w:rsidRPr="00FD5BD8">
              <w:rPr>
                <w:rFonts w:ascii="Times New Roman" w:hAnsi="Times New Roman" w:cs="Times New Roman"/>
                <w:sz w:val="24"/>
                <w:szCs w:val="24"/>
                <w:lang w:eastAsia="lv-LV"/>
              </w:rPr>
              <w:t>.</w:t>
            </w:r>
          </w:p>
        </w:tc>
      </w:tr>
    </w:tbl>
    <w:p w14:paraId="078611EA" w14:textId="77777777" w:rsidR="007F6F87" w:rsidRPr="00FD5BD8"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FD5BD8" w:rsidRPr="00FD5BD8" w14:paraId="2339E10B" w14:textId="77777777" w:rsidTr="006936E5">
        <w:tc>
          <w:tcPr>
            <w:tcW w:w="9356" w:type="dxa"/>
          </w:tcPr>
          <w:p w14:paraId="3D69E9C4" w14:textId="77777777" w:rsidR="007F6F87" w:rsidRPr="00FD5BD8" w:rsidRDefault="007F6F87" w:rsidP="003903BF">
            <w:pPr>
              <w:pStyle w:val="NoSpacing"/>
              <w:jc w:val="center"/>
              <w:rPr>
                <w:rFonts w:ascii="Times New Roman" w:hAnsi="Times New Roman" w:cs="Times New Roman"/>
                <w:b/>
                <w:sz w:val="24"/>
                <w:szCs w:val="24"/>
                <w:lang w:eastAsia="lv-LV"/>
              </w:rPr>
            </w:pPr>
            <w:r w:rsidRPr="00FD5BD8">
              <w:rPr>
                <w:rFonts w:ascii="Times New Roman" w:hAnsi="Times New Roman" w:cs="Times New Roman"/>
                <w:b/>
                <w:iCs/>
                <w:sz w:val="24"/>
                <w:szCs w:val="24"/>
                <w:lang w:eastAsia="lv-LV"/>
              </w:rPr>
              <w:t>VI. Sabiedrības līdzdalība un komunikācijas aktivitātes</w:t>
            </w:r>
          </w:p>
        </w:tc>
      </w:tr>
      <w:tr w:rsidR="00FD5BD8" w:rsidRPr="00FD5BD8" w14:paraId="53678E23" w14:textId="77777777" w:rsidTr="006936E5">
        <w:tc>
          <w:tcPr>
            <w:tcW w:w="9356" w:type="dxa"/>
          </w:tcPr>
          <w:p w14:paraId="7E7B187E" w14:textId="77777777" w:rsidR="007F6F87" w:rsidRPr="00FD5BD8" w:rsidRDefault="007F6F87" w:rsidP="003903BF">
            <w:pPr>
              <w:pStyle w:val="NoSpacing"/>
              <w:jc w:val="center"/>
              <w:rPr>
                <w:rFonts w:ascii="Times New Roman" w:hAnsi="Times New Roman" w:cs="Times New Roman"/>
                <w:sz w:val="24"/>
                <w:szCs w:val="24"/>
                <w:lang w:eastAsia="lv-LV"/>
              </w:rPr>
            </w:pPr>
            <w:r w:rsidRPr="00FD5BD8">
              <w:rPr>
                <w:rFonts w:ascii="Times New Roman" w:hAnsi="Times New Roman" w:cs="Times New Roman"/>
                <w:sz w:val="24"/>
                <w:szCs w:val="24"/>
                <w:lang w:eastAsia="lv-LV"/>
              </w:rPr>
              <w:t>Projekts šo jomu neskar</w:t>
            </w:r>
            <w:r w:rsidR="007272A8" w:rsidRPr="00FD5BD8">
              <w:rPr>
                <w:rFonts w:ascii="Times New Roman" w:hAnsi="Times New Roman" w:cs="Times New Roman"/>
                <w:sz w:val="24"/>
                <w:szCs w:val="24"/>
                <w:lang w:eastAsia="lv-LV"/>
              </w:rPr>
              <w:t>.</w:t>
            </w:r>
          </w:p>
        </w:tc>
      </w:tr>
    </w:tbl>
    <w:p w14:paraId="46C4B200" w14:textId="77777777" w:rsidR="007F6F87" w:rsidRPr="00FD5BD8" w:rsidRDefault="00E5323B" w:rsidP="00EC6E12">
      <w:pPr>
        <w:pStyle w:val="NoSpacing"/>
        <w:rPr>
          <w:rFonts w:ascii="Times New Roman" w:hAnsi="Times New Roman" w:cs="Times New Roman"/>
          <w:iCs/>
          <w:sz w:val="24"/>
          <w:szCs w:val="24"/>
          <w:lang w:eastAsia="lv-LV"/>
        </w:rPr>
      </w:pPr>
      <w:r w:rsidRPr="00FD5BD8">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FD5BD8" w:rsidRPr="00FD5BD8" w14:paraId="6DB97756" w14:textId="77777777" w:rsidTr="006936E5">
        <w:tc>
          <w:tcPr>
            <w:tcW w:w="9356" w:type="dxa"/>
            <w:gridSpan w:val="3"/>
          </w:tcPr>
          <w:p w14:paraId="02ED8950" w14:textId="77777777" w:rsidR="007F6F87" w:rsidRPr="00FD5BD8" w:rsidRDefault="007F6F87" w:rsidP="003903BF">
            <w:pPr>
              <w:pStyle w:val="NoSpacing"/>
              <w:jc w:val="center"/>
              <w:rPr>
                <w:rFonts w:ascii="Times New Roman" w:hAnsi="Times New Roman" w:cs="Times New Roman"/>
                <w:b/>
                <w:sz w:val="24"/>
                <w:szCs w:val="24"/>
                <w:lang w:eastAsia="lv-LV"/>
              </w:rPr>
            </w:pPr>
            <w:r w:rsidRPr="00FD5BD8">
              <w:rPr>
                <w:rFonts w:ascii="Times New Roman" w:hAnsi="Times New Roman" w:cs="Times New Roman"/>
                <w:b/>
                <w:iCs/>
                <w:sz w:val="24"/>
                <w:szCs w:val="24"/>
                <w:lang w:eastAsia="lv-LV"/>
              </w:rPr>
              <w:t>VII. Tiesību akta projekta izpildes nodrošināšana un tās ietekme uz institūcijām</w:t>
            </w:r>
          </w:p>
        </w:tc>
      </w:tr>
      <w:tr w:rsidR="00FD5BD8" w:rsidRPr="00FD5BD8" w14:paraId="0516416B" w14:textId="77777777" w:rsidTr="006936E5">
        <w:tc>
          <w:tcPr>
            <w:tcW w:w="568" w:type="dxa"/>
          </w:tcPr>
          <w:p w14:paraId="7F23FDB3" w14:textId="77777777" w:rsidR="0049601C" w:rsidRPr="00FD5BD8" w:rsidRDefault="0049601C" w:rsidP="0049601C">
            <w:pPr>
              <w:pStyle w:val="NoSpacing"/>
              <w:jc w:val="center"/>
              <w:rPr>
                <w:rFonts w:ascii="Times New Roman" w:hAnsi="Times New Roman" w:cs="Times New Roman"/>
                <w:sz w:val="24"/>
                <w:szCs w:val="24"/>
                <w:lang w:eastAsia="lv-LV"/>
              </w:rPr>
            </w:pPr>
            <w:r w:rsidRPr="00FD5BD8">
              <w:rPr>
                <w:rFonts w:ascii="Times New Roman" w:hAnsi="Times New Roman" w:cs="Times New Roman"/>
                <w:sz w:val="24"/>
                <w:szCs w:val="24"/>
                <w:lang w:eastAsia="lv-LV"/>
              </w:rPr>
              <w:t>1.</w:t>
            </w:r>
          </w:p>
        </w:tc>
        <w:tc>
          <w:tcPr>
            <w:tcW w:w="3260" w:type="dxa"/>
          </w:tcPr>
          <w:p w14:paraId="22C8BCAE" w14:textId="77777777" w:rsidR="0049601C" w:rsidRPr="00FD5BD8" w:rsidRDefault="0049601C" w:rsidP="0049601C">
            <w:pPr>
              <w:pStyle w:val="NoSpacing"/>
              <w:jc w:val="both"/>
              <w:rPr>
                <w:rFonts w:ascii="Times New Roman" w:hAnsi="Times New Roman" w:cs="Times New Roman"/>
                <w:iCs/>
                <w:sz w:val="24"/>
                <w:szCs w:val="24"/>
                <w:lang w:eastAsia="lv-LV"/>
              </w:rPr>
            </w:pPr>
            <w:r w:rsidRPr="00FD5BD8">
              <w:rPr>
                <w:rFonts w:ascii="Times New Roman" w:hAnsi="Times New Roman" w:cs="Times New Roman"/>
                <w:iCs/>
                <w:sz w:val="24"/>
                <w:szCs w:val="24"/>
                <w:lang w:eastAsia="lv-LV"/>
              </w:rPr>
              <w:t>Projekta izpildē iesaistītās institūcijas</w:t>
            </w:r>
          </w:p>
        </w:tc>
        <w:tc>
          <w:tcPr>
            <w:tcW w:w="5528" w:type="dxa"/>
          </w:tcPr>
          <w:p w14:paraId="09FB3468" w14:textId="0C32E784" w:rsidR="0049601C" w:rsidRPr="00FD5BD8" w:rsidRDefault="00BA3344" w:rsidP="0049601C">
            <w:pPr>
              <w:jc w:val="both"/>
            </w:pPr>
            <w:r w:rsidRPr="00FD5BD8">
              <w:t>Nav</w:t>
            </w:r>
          </w:p>
        </w:tc>
      </w:tr>
      <w:tr w:rsidR="00FD5BD8" w:rsidRPr="00FD5BD8" w14:paraId="23E71DD8" w14:textId="77777777" w:rsidTr="006936E5">
        <w:tc>
          <w:tcPr>
            <w:tcW w:w="568" w:type="dxa"/>
          </w:tcPr>
          <w:p w14:paraId="41D84BDC" w14:textId="77777777" w:rsidR="0049601C" w:rsidRPr="00FD5BD8" w:rsidRDefault="0049601C" w:rsidP="0049601C">
            <w:pPr>
              <w:pStyle w:val="NoSpacing"/>
              <w:jc w:val="center"/>
              <w:rPr>
                <w:rFonts w:ascii="Times New Roman" w:hAnsi="Times New Roman" w:cs="Times New Roman"/>
                <w:sz w:val="24"/>
                <w:szCs w:val="24"/>
                <w:lang w:eastAsia="lv-LV"/>
              </w:rPr>
            </w:pPr>
            <w:r w:rsidRPr="00FD5BD8">
              <w:rPr>
                <w:rFonts w:ascii="Times New Roman" w:hAnsi="Times New Roman" w:cs="Times New Roman"/>
                <w:sz w:val="24"/>
                <w:szCs w:val="24"/>
                <w:lang w:eastAsia="lv-LV"/>
              </w:rPr>
              <w:t>2.</w:t>
            </w:r>
          </w:p>
        </w:tc>
        <w:tc>
          <w:tcPr>
            <w:tcW w:w="3260" w:type="dxa"/>
          </w:tcPr>
          <w:p w14:paraId="21E31449" w14:textId="77777777" w:rsidR="0049601C" w:rsidRPr="00FD5BD8" w:rsidRDefault="0049601C" w:rsidP="0049601C">
            <w:pPr>
              <w:pStyle w:val="NoSpacing"/>
              <w:rPr>
                <w:rFonts w:ascii="Times New Roman" w:hAnsi="Times New Roman" w:cs="Times New Roman"/>
                <w:iCs/>
                <w:sz w:val="24"/>
                <w:szCs w:val="24"/>
                <w:lang w:eastAsia="lv-LV"/>
              </w:rPr>
            </w:pPr>
            <w:r w:rsidRPr="00FD5BD8">
              <w:rPr>
                <w:rFonts w:ascii="Times New Roman" w:hAnsi="Times New Roman" w:cs="Times New Roman"/>
                <w:iCs/>
                <w:sz w:val="24"/>
                <w:szCs w:val="24"/>
                <w:lang w:eastAsia="lv-LV"/>
              </w:rPr>
              <w:t>Projekta izpildes ietekme uz pārvaldes funkcijām un institucionālo struktūru.</w:t>
            </w:r>
            <w:r w:rsidRPr="00FD5BD8">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FD5BD8" w:rsidRDefault="00BA3344" w:rsidP="0049601C">
            <w:r w:rsidRPr="00FD5BD8">
              <w:t>Projekta izpildes rezultātā nav paredzēta esošu institūciju likvidācija vai reorganizācija.</w:t>
            </w:r>
          </w:p>
        </w:tc>
      </w:tr>
      <w:tr w:rsidR="00FD5BD8" w:rsidRPr="00FD5BD8" w14:paraId="2AC2224A" w14:textId="77777777" w:rsidTr="006936E5">
        <w:tc>
          <w:tcPr>
            <w:tcW w:w="568" w:type="dxa"/>
          </w:tcPr>
          <w:p w14:paraId="7470A0F0" w14:textId="77777777" w:rsidR="0049601C" w:rsidRPr="00FD5BD8" w:rsidRDefault="0049601C" w:rsidP="0049601C">
            <w:pPr>
              <w:pStyle w:val="NoSpacing"/>
              <w:jc w:val="center"/>
              <w:rPr>
                <w:rFonts w:ascii="Times New Roman" w:hAnsi="Times New Roman" w:cs="Times New Roman"/>
                <w:sz w:val="24"/>
                <w:szCs w:val="24"/>
                <w:lang w:eastAsia="lv-LV"/>
              </w:rPr>
            </w:pPr>
            <w:r w:rsidRPr="00FD5BD8">
              <w:rPr>
                <w:rFonts w:ascii="Times New Roman" w:hAnsi="Times New Roman" w:cs="Times New Roman"/>
                <w:sz w:val="24"/>
                <w:szCs w:val="24"/>
                <w:lang w:eastAsia="lv-LV"/>
              </w:rPr>
              <w:t>3.</w:t>
            </w:r>
          </w:p>
        </w:tc>
        <w:tc>
          <w:tcPr>
            <w:tcW w:w="3260" w:type="dxa"/>
          </w:tcPr>
          <w:p w14:paraId="1FDAFD3E" w14:textId="77777777" w:rsidR="0049601C" w:rsidRPr="00FD5BD8" w:rsidRDefault="0049601C" w:rsidP="0049601C">
            <w:pPr>
              <w:pStyle w:val="NoSpacing"/>
              <w:jc w:val="both"/>
              <w:rPr>
                <w:rFonts w:ascii="Times New Roman" w:hAnsi="Times New Roman" w:cs="Times New Roman"/>
                <w:iCs/>
                <w:sz w:val="24"/>
                <w:szCs w:val="24"/>
                <w:lang w:eastAsia="lv-LV"/>
              </w:rPr>
            </w:pPr>
            <w:r w:rsidRPr="00FD5BD8">
              <w:rPr>
                <w:rFonts w:ascii="Times New Roman" w:hAnsi="Times New Roman" w:cs="Times New Roman"/>
                <w:iCs/>
                <w:sz w:val="24"/>
                <w:szCs w:val="24"/>
                <w:lang w:eastAsia="lv-LV"/>
              </w:rPr>
              <w:t>Cita informācija</w:t>
            </w:r>
          </w:p>
        </w:tc>
        <w:tc>
          <w:tcPr>
            <w:tcW w:w="5528" w:type="dxa"/>
          </w:tcPr>
          <w:p w14:paraId="2F31F649" w14:textId="77777777" w:rsidR="0049601C" w:rsidRPr="00FD5BD8" w:rsidRDefault="0049601C" w:rsidP="0049601C">
            <w:pPr>
              <w:pStyle w:val="NoSpacing"/>
              <w:rPr>
                <w:rFonts w:ascii="Times New Roman" w:hAnsi="Times New Roman" w:cs="Times New Roman"/>
                <w:sz w:val="24"/>
                <w:szCs w:val="24"/>
                <w:lang w:eastAsia="lv-LV"/>
              </w:rPr>
            </w:pPr>
            <w:r w:rsidRPr="00FD5BD8">
              <w:rPr>
                <w:rFonts w:ascii="Times New Roman" w:hAnsi="Times New Roman" w:cs="Times New Roman"/>
                <w:sz w:val="24"/>
                <w:szCs w:val="24"/>
                <w:lang w:eastAsia="lv-LV"/>
              </w:rPr>
              <w:t>Nav</w:t>
            </w:r>
          </w:p>
        </w:tc>
      </w:tr>
    </w:tbl>
    <w:p w14:paraId="74AA4D91" w14:textId="77777777" w:rsidR="008B37B7" w:rsidRPr="00FD5BD8" w:rsidRDefault="00E5323B" w:rsidP="00EC6E12">
      <w:pPr>
        <w:pStyle w:val="NoSpacing"/>
        <w:rPr>
          <w:rFonts w:ascii="Times New Roman" w:hAnsi="Times New Roman" w:cs="Times New Roman"/>
          <w:iCs/>
          <w:sz w:val="24"/>
          <w:szCs w:val="24"/>
          <w:lang w:eastAsia="lv-LV"/>
        </w:rPr>
      </w:pPr>
      <w:r w:rsidRPr="00FD5BD8">
        <w:rPr>
          <w:rFonts w:ascii="Times New Roman" w:hAnsi="Times New Roman" w:cs="Times New Roman"/>
          <w:iCs/>
          <w:sz w:val="24"/>
          <w:szCs w:val="24"/>
          <w:lang w:eastAsia="lv-LV"/>
        </w:rPr>
        <w:t xml:space="preserve"> </w:t>
      </w:r>
    </w:p>
    <w:p w14:paraId="446EA7F7" w14:textId="77777777" w:rsidR="008B37B7" w:rsidRPr="00FD5BD8" w:rsidRDefault="008B37B7" w:rsidP="00EC6E12">
      <w:pPr>
        <w:pStyle w:val="NoSpacing"/>
        <w:rPr>
          <w:rFonts w:ascii="Times New Roman" w:hAnsi="Times New Roman" w:cs="Times New Roman"/>
          <w:iCs/>
          <w:sz w:val="24"/>
          <w:szCs w:val="24"/>
          <w:lang w:eastAsia="lv-LV"/>
        </w:rPr>
      </w:pPr>
    </w:p>
    <w:p w14:paraId="7B77DA3A" w14:textId="77777777" w:rsidR="002109C4" w:rsidRPr="00FD5BD8" w:rsidRDefault="002109C4" w:rsidP="002109C4">
      <w:pPr>
        <w:tabs>
          <w:tab w:val="left" w:pos="2552"/>
          <w:tab w:val="left" w:pos="2694"/>
        </w:tabs>
        <w:ind w:firstLine="709"/>
        <w:rPr>
          <w:sz w:val="28"/>
          <w:szCs w:val="28"/>
        </w:rPr>
      </w:pPr>
      <w:r w:rsidRPr="00FD5BD8">
        <w:rPr>
          <w:sz w:val="28"/>
          <w:szCs w:val="28"/>
        </w:rPr>
        <w:t xml:space="preserve">Labklājības ministre </w:t>
      </w:r>
      <w:r w:rsidRPr="00FD5BD8">
        <w:rPr>
          <w:sz w:val="28"/>
          <w:szCs w:val="28"/>
        </w:rPr>
        <w:tab/>
      </w:r>
      <w:r w:rsidRPr="00FD5BD8">
        <w:rPr>
          <w:sz w:val="28"/>
          <w:szCs w:val="28"/>
        </w:rPr>
        <w:tab/>
      </w:r>
      <w:r w:rsidRPr="00FD5BD8">
        <w:rPr>
          <w:sz w:val="28"/>
          <w:szCs w:val="28"/>
        </w:rPr>
        <w:tab/>
      </w:r>
      <w:r w:rsidRPr="00FD5BD8">
        <w:rPr>
          <w:sz w:val="28"/>
          <w:szCs w:val="28"/>
        </w:rPr>
        <w:tab/>
        <w:t xml:space="preserve"> </w:t>
      </w:r>
      <w:r w:rsidRPr="00FD5BD8">
        <w:rPr>
          <w:sz w:val="28"/>
          <w:szCs w:val="28"/>
        </w:rPr>
        <w:tab/>
      </w:r>
      <w:r w:rsidRPr="00FD5BD8">
        <w:rPr>
          <w:sz w:val="28"/>
          <w:szCs w:val="28"/>
        </w:rPr>
        <w:tab/>
      </w:r>
      <w:proofErr w:type="spellStart"/>
      <w:r w:rsidRPr="00FD5BD8">
        <w:rPr>
          <w:sz w:val="28"/>
          <w:szCs w:val="28"/>
        </w:rPr>
        <w:t>R.Petraviča</w:t>
      </w:r>
      <w:proofErr w:type="spellEnd"/>
    </w:p>
    <w:p w14:paraId="3FFBDACE" w14:textId="77777777" w:rsidR="002109C4" w:rsidRPr="00FD5BD8" w:rsidRDefault="002109C4" w:rsidP="002109C4">
      <w:pPr>
        <w:pStyle w:val="NormalWeb"/>
        <w:spacing w:before="0" w:beforeAutospacing="0" w:after="0"/>
        <w:rPr>
          <w:rFonts w:eastAsia="Calibri"/>
          <w:sz w:val="28"/>
          <w:szCs w:val="28"/>
          <w:lang w:eastAsia="en-US"/>
        </w:rPr>
      </w:pPr>
    </w:p>
    <w:p w14:paraId="705C2A2E" w14:textId="77777777" w:rsidR="00155578" w:rsidRPr="00FD5BD8" w:rsidRDefault="00155578" w:rsidP="00155578">
      <w:pPr>
        <w:pStyle w:val="NormalWeb"/>
        <w:spacing w:before="0" w:beforeAutospacing="0" w:after="0" w:afterAutospacing="0"/>
        <w:rPr>
          <w:sz w:val="20"/>
          <w:szCs w:val="20"/>
        </w:rPr>
      </w:pPr>
    </w:p>
    <w:p w14:paraId="7B4DD708" w14:textId="77777777" w:rsidR="00B6729B" w:rsidRPr="00FD5BD8" w:rsidRDefault="00B6729B" w:rsidP="00155578">
      <w:pPr>
        <w:pStyle w:val="NormalWeb"/>
        <w:spacing w:before="0" w:beforeAutospacing="0" w:after="0" w:afterAutospacing="0"/>
      </w:pPr>
    </w:p>
    <w:p w14:paraId="1959AAC3" w14:textId="77777777" w:rsidR="009745C0" w:rsidRPr="00FD5BD8" w:rsidRDefault="009745C0" w:rsidP="00155578">
      <w:pPr>
        <w:pStyle w:val="NormalWeb"/>
        <w:spacing w:before="0" w:beforeAutospacing="0" w:after="0" w:afterAutospacing="0"/>
      </w:pPr>
    </w:p>
    <w:p w14:paraId="55EDBA84" w14:textId="77777777" w:rsidR="009727BD" w:rsidRPr="009727BD" w:rsidRDefault="009727BD" w:rsidP="009727BD">
      <w:pPr>
        <w:rPr>
          <w:rFonts w:eastAsiaTheme="minorHAnsi"/>
          <w:lang w:eastAsia="en-US"/>
        </w:rPr>
      </w:pPr>
      <w:r w:rsidRPr="009727BD">
        <w:rPr>
          <w:rFonts w:eastAsiaTheme="minorHAnsi"/>
          <w:lang w:eastAsia="en-US"/>
        </w:rPr>
        <w:t>Inese Upīte, 60008557</w:t>
      </w:r>
    </w:p>
    <w:p w14:paraId="1C1944BA" w14:textId="77777777" w:rsidR="009727BD" w:rsidRPr="009727BD" w:rsidRDefault="00647006" w:rsidP="009727BD">
      <w:pPr>
        <w:rPr>
          <w:rFonts w:eastAsiaTheme="minorHAnsi"/>
          <w:lang w:eastAsia="en-US"/>
        </w:rPr>
      </w:pPr>
      <w:hyperlink r:id="rId8" w:history="1">
        <w:r w:rsidR="009727BD" w:rsidRPr="009727BD">
          <w:rPr>
            <w:rFonts w:eastAsiaTheme="minorHAnsi"/>
            <w:color w:val="0000FF"/>
            <w:u w:val="single"/>
            <w:lang w:eastAsia="en-US"/>
          </w:rPr>
          <w:t>Inese.Upite@lm.gov.lv</w:t>
        </w:r>
      </w:hyperlink>
    </w:p>
    <w:p w14:paraId="106E6732" w14:textId="77777777" w:rsidR="009727BD" w:rsidRPr="009727BD" w:rsidRDefault="009727BD" w:rsidP="009727BD">
      <w:pPr>
        <w:rPr>
          <w:rFonts w:eastAsiaTheme="minorHAnsi"/>
          <w:lang w:eastAsia="en-US"/>
        </w:rPr>
      </w:pPr>
    </w:p>
    <w:p w14:paraId="2483113C" w14:textId="77777777" w:rsidR="009745C0" w:rsidRPr="00FD5BD8" w:rsidRDefault="009745C0" w:rsidP="00155578">
      <w:pPr>
        <w:pStyle w:val="NormalWeb"/>
        <w:spacing w:before="0" w:beforeAutospacing="0" w:after="0" w:afterAutospacing="0"/>
      </w:pPr>
    </w:p>
    <w:p w14:paraId="4A9993BC" w14:textId="77777777" w:rsidR="009745C0" w:rsidRPr="00FD5BD8" w:rsidRDefault="009745C0" w:rsidP="00155578">
      <w:pPr>
        <w:pStyle w:val="NormalWeb"/>
        <w:spacing w:before="0" w:beforeAutospacing="0" w:after="0" w:afterAutospacing="0"/>
      </w:pPr>
    </w:p>
    <w:p w14:paraId="328B1748" w14:textId="77777777" w:rsidR="009745C0" w:rsidRPr="00FD5BD8" w:rsidRDefault="009745C0" w:rsidP="00155578">
      <w:pPr>
        <w:pStyle w:val="NormalWeb"/>
        <w:spacing w:before="0" w:beforeAutospacing="0" w:after="0" w:afterAutospacing="0"/>
      </w:pPr>
    </w:p>
    <w:p w14:paraId="66741DC8" w14:textId="77777777" w:rsidR="009745C0" w:rsidRPr="00FD5BD8" w:rsidRDefault="009745C0" w:rsidP="00155578">
      <w:pPr>
        <w:pStyle w:val="NormalWeb"/>
        <w:spacing w:before="0" w:beforeAutospacing="0" w:after="0" w:afterAutospacing="0"/>
        <w:rPr>
          <w:sz w:val="20"/>
          <w:szCs w:val="20"/>
        </w:rPr>
      </w:pPr>
    </w:p>
    <w:p w14:paraId="26F174D2" w14:textId="77777777" w:rsidR="009745C0" w:rsidRPr="00FD5BD8" w:rsidRDefault="009745C0" w:rsidP="00155578">
      <w:pPr>
        <w:pStyle w:val="NormalWeb"/>
        <w:spacing w:before="0" w:beforeAutospacing="0" w:after="0" w:afterAutospacing="0"/>
        <w:rPr>
          <w:sz w:val="20"/>
          <w:szCs w:val="20"/>
        </w:rPr>
      </w:pPr>
    </w:p>
    <w:p w14:paraId="6F702E97" w14:textId="77777777" w:rsidR="009745C0" w:rsidRPr="00FD5BD8" w:rsidRDefault="009745C0" w:rsidP="00155578">
      <w:pPr>
        <w:pStyle w:val="NormalWeb"/>
        <w:spacing w:before="0" w:beforeAutospacing="0" w:after="0" w:afterAutospacing="0"/>
        <w:rPr>
          <w:sz w:val="20"/>
          <w:szCs w:val="20"/>
        </w:rPr>
      </w:pPr>
    </w:p>
    <w:p w14:paraId="54146631" w14:textId="77777777" w:rsidR="00577113" w:rsidRPr="00FD5BD8" w:rsidRDefault="00577113" w:rsidP="00155578">
      <w:pPr>
        <w:pStyle w:val="NormalWeb"/>
        <w:spacing w:before="0" w:beforeAutospacing="0" w:after="0" w:afterAutospacing="0"/>
        <w:rPr>
          <w:sz w:val="20"/>
          <w:szCs w:val="20"/>
        </w:rPr>
      </w:pPr>
    </w:p>
    <w:p w14:paraId="1DE26A73" w14:textId="77777777" w:rsidR="00577113" w:rsidRPr="00FD5BD8" w:rsidRDefault="00577113" w:rsidP="00155578">
      <w:pPr>
        <w:pStyle w:val="NormalWeb"/>
        <w:spacing w:before="0" w:beforeAutospacing="0" w:after="0" w:afterAutospacing="0"/>
        <w:rPr>
          <w:sz w:val="20"/>
          <w:szCs w:val="20"/>
        </w:rPr>
      </w:pPr>
    </w:p>
    <w:p w14:paraId="2026465C" w14:textId="77777777" w:rsidR="00577113" w:rsidRPr="00FD5BD8" w:rsidRDefault="00577113" w:rsidP="00155578">
      <w:pPr>
        <w:pStyle w:val="NormalWeb"/>
        <w:spacing w:before="0" w:beforeAutospacing="0" w:after="0" w:afterAutospacing="0"/>
        <w:rPr>
          <w:sz w:val="20"/>
          <w:szCs w:val="20"/>
        </w:rPr>
      </w:pPr>
    </w:p>
    <w:p w14:paraId="1D0DDE6D" w14:textId="77777777" w:rsidR="00577113" w:rsidRPr="00FD5BD8" w:rsidRDefault="00577113" w:rsidP="00155578">
      <w:pPr>
        <w:pStyle w:val="NormalWeb"/>
        <w:spacing w:before="0" w:beforeAutospacing="0" w:after="0" w:afterAutospacing="0"/>
        <w:rPr>
          <w:sz w:val="20"/>
          <w:szCs w:val="20"/>
        </w:rPr>
      </w:pPr>
    </w:p>
    <w:p w14:paraId="74C66609" w14:textId="77777777" w:rsidR="00577113" w:rsidRPr="00FD5BD8" w:rsidRDefault="00577113" w:rsidP="00155578">
      <w:pPr>
        <w:pStyle w:val="NormalWeb"/>
        <w:spacing w:before="0" w:beforeAutospacing="0" w:after="0" w:afterAutospacing="0"/>
        <w:rPr>
          <w:sz w:val="20"/>
          <w:szCs w:val="20"/>
        </w:rPr>
      </w:pPr>
    </w:p>
    <w:p w14:paraId="506383F3" w14:textId="77777777" w:rsidR="00577113" w:rsidRPr="00FD5BD8" w:rsidRDefault="00577113" w:rsidP="00155578">
      <w:pPr>
        <w:pStyle w:val="NormalWeb"/>
        <w:spacing w:before="0" w:beforeAutospacing="0" w:after="0" w:afterAutospacing="0"/>
        <w:rPr>
          <w:sz w:val="20"/>
          <w:szCs w:val="20"/>
        </w:rPr>
      </w:pPr>
    </w:p>
    <w:p w14:paraId="64AEA73A" w14:textId="77777777" w:rsidR="008A4962" w:rsidRPr="00FD5BD8" w:rsidRDefault="008A4962" w:rsidP="00155578">
      <w:pPr>
        <w:pStyle w:val="NormalWeb"/>
        <w:spacing w:before="0" w:beforeAutospacing="0" w:after="0" w:afterAutospacing="0"/>
        <w:rPr>
          <w:sz w:val="20"/>
          <w:szCs w:val="20"/>
        </w:rPr>
      </w:pPr>
    </w:p>
    <w:p w14:paraId="3C413970" w14:textId="77777777" w:rsidR="008A4962" w:rsidRPr="00FD5BD8" w:rsidRDefault="008A4962" w:rsidP="00155578">
      <w:pPr>
        <w:pStyle w:val="NormalWeb"/>
        <w:spacing w:before="0" w:beforeAutospacing="0" w:after="0" w:afterAutospacing="0"/>
        <w:rPr>
          <w:sz w:val="20"/>
          <w:szCs w:val="20"/>
        </w:rPr>
      </w:pPr>
    </w:p>
    <w:p w14:paraId="56E2B73C" w14:textId="77777777" w:rsidR="008A4962" w:rsidRPr="00FD5BD8" w:rsidRDefault="008A4962" w:rsidP="00155578">
      <w:pPr>
        <w:pStyle w:val="NormalWeb"/>
        <w:spacing w:before="0" w:beforeAutospacing="0" w:after="0" w:afterAutospacing="0"/>
        <w:rPr>
          <w:sz w:val="20"/>
          <w:szCs w:val="20"/>
        </w:rPr>
      </w:pPr>
    </w:p>
    <w:p w14:paraId="5168D0E7" w14:textId="77777777" w:rsidR="008A4962" w:rsidRPr="00FD5BD8" w:rsidRDefault="008A4962" w:rsidP="00155578">
      <w:pPr>
        <w:pStyle w:val="NormalWeb"/>
        <w:spacing w:before="0" w:beforeAutospacing="0" w:after="0" w:afterAutospacing="0"/>
        <w:rPr>
          <w:sz w:val="20"/>
          <w:szCs w:val="20"/>
        </w:rPr>
      </w:pPr>
    </w:p>
    <w:p w14:paraId="07A7C437" w14:textId="77777777" w:rsidR="008A4962" w:rsidRPr="00FD5BD8" w:rsidRDefault="008A4962" w:rsidP="00155578">
      <w:pPr>
        <w:pStyle w:val="NormalWeb"/>
        <w:spacing w:before="0" w:beforeAutospacing="0" w:after="0" w:afterAutospacing="0"/>
        <w:rPr>
          <w:sz w:val="20"/>
          <w:szCs w:val="20"/>
        </w:rPr>
      </w:pPr>
    </w:p>
    <w:p w14:paraId="29C9F5B6" w14:textId="77777777" w:rsidR="008A4962" w:rsidRPr="00FD5BD8" w:rsidRDefault="008A4962" w:rsidP="00155578">
      <w:pPr>
        <w:pStyle w:val="NormalWeb"/>
        <w:spacing w:before="0" w:beforeAutospacing="0" w:after="0" w:afterAutospacing="0"/>
        <w:rPr>
          <w:sz w:val="20"/>
          <w:szCs w:val="20"/>
        </w:rPr>
      </w:pPr>
    </w:p>
    <w:p w14:paraId="1CF7608C" w14:textId="77777777" w:rsidR="008A4962" w:rsidRPr="00FD5BD8" w:rsidRDefault="008A4962" w:rsidP="00155578">
      <w:pPr>
        <w:pStyle w:val="NormalWeb"/>
        <w:spacing w:before="0" w:beforeAutospacing="0" w:after="0" w:afterAutospacing="0"/>
        <w:rPr>
          <w:sz w:val="20"/>
          <w:szCs w:val="20"/>
        </w:rPr>
      </w:pPr>
    </w:p>
    <w:p w14:paraId="7888F0C9" w14:textId="77777777" w:rsidR="008A4962" w:rsidRPr="00FD5BD8" w:rsidRDefault="008A4962" w:rsidP="00155578">
      <w:pPr>
        <w:pStyle w:val="NormalWeb"/>
        <w:spacing w:before="0" w:beforeAutospacing="0" w:after="0" w:afterAutospacing="0"/>
        <w:rPr>
          <w:sz w:val="20"/>
          <w:szCs w:val="20"/>
        </w:rPr>
      </w:pPr>
    </w:p>
    <w:p w14:paraId="2EB77C51" w14:textId="77777777" w:rsidR="008A4962" w:rsidRPr="00FD5BD8" w:rsidRDefault="008A4962" w:rsidP="00155578">
      <w:pPr>
        <w:pStyle w:val="NormalWeb"/>
        <w:spacing w:before="0" w:beforeAutospacing="0" w:after="0" w:afterAutospacing="0"/>
        <w:rPr>
          <w:sz w:val="20"/>
          <w:szCs w:val="20"/>
        </w:rPr>
      </w:pPr>
    </w:p>
    <w:p w14:paraId="4D25179D" w14:textId="77777777" w:rsidR="008A4962" w:rsidRPr="00FD5BD8" w:rsidRDefault="008A4962" w:rsidP="00155578">
      <w:pPr>
        <w:pStyle w:val="NormalWeb"/>
        <w:spacing w:before="0" w:beforeAutospacing="0" w:after="0" w:afterAutospacing="0"/>
        <w:rPr>
          <w:sz w:val="20"/>
          <w:szCs w:val="20"/>
        </w:rPr>
      </w:pPr>
    </w:p>
    <w:p w14:paraId="7B12AE4B" w14:textId="77777777" w:rsidR="008A4962" w:rsidRPr="00FD5BD8" w:rsidRDefault="008A4962" w:rsidP="00155578">
      <w:pPr>
        <w:pStyle w:val="NormalWeb"/>
        <w:spacing w:before="0" w:beforeAutospacing="0" w:after="0" w:afterAutospacing="0"/>
        <w:rPr>
          <w:sz w:val="20"/>
          <w:szCs w:val="20"/>
        </w:rPr>
      </w:pPr>
    </w:p>
    <w:p w14:paraId="495FFD01" w14:textId="77777777" w:rsidR="008A4962" w:rsidRPr="00FD5BD8" w:rsidRDefault="008A4962" w:rsidP="00155578">
      <w:pPr>
        <w:pStyle w:val="NormalWeb"/>
        <w:spacing w:before="0" w:beforeAutospacing="0" w:after="0" w:afterAutospacing="0"/>
        <w:rPr>
          <w:sz w:val="20"/>
          <w:szCs w:val="20"/>
        </w:rPr>
      </w:pPr>
    </w:p>
    <w:p w14:paraId="1BDFCB73" w14:textId="77777777" w:rsidR="008A4962" w:rsidRPr="00FD5BD8" w:rsidRDefault="008A4962" w:rsidP="00155578">
      <w:pPr>
        <w:pStyle w:val="NormalWeb"/>
        <w:spacing w:before="0" w:beforeAutospacing="0" w:after="0" w:afterAutospacing="0"/>
        <w:rPr>
          <w:sz w:val="20"/>
          <w:szCs w:val="20"/>
        </w:rPr>
      </w:pPr>
    </w:p>
    <w:p w14:paraId="7A95134A" w14:textId="77777777" w:rsidR="008A4962" w:rsidRPr="00FD5BD8" w:rsidRDefault="008A4962" w:rsidP="00155578">
      <w:pPr>
        <w:pStyle w:val="NormalWeb"/>
        <w:spacing w:before="0" w:beforeAutospacing="0" w:after="0" w:afterAutospacing="0"/>
        <w:rPr>
          <w:sz w:val="20"/>
          <w:szCs w:val="20"/>
        </w:rPr>
      </w:pPr>
    </w:p>
    <w:p w14:paraId="7F987765" w14:textId="77777777" w:rsidR="008A4962" w:rsidRPr="00FD5BD8" w:rsidRDefault="008A4962" w:rsidP="00155578">
      <w:pPr>
        <w:pStyle w:val="NormalWeb"/>
        <w:spacing w:before="0" w:beforeAutospacing="0" w:after="0" w:afterAutospacing="0"/>
        <w:rPr>
          <w:sz w:val="20"/>
          <w:szCs w:val="20"/>
        </w:rPr>
      </w:pPr>
    </w:p>
    <w:p w14:paraId="26212D40" w14:textId="77777777" w:rsidR="008A4962" w:rsidRPr="00FD5BD8" w:rsidRDefault="008A4962" w:rsidP="00155578">
      <w:pPr>
        <w:pStyle w:val="NormalWeb"/>
        <w:spacing w:before="0" w:beforeAutospacing="0" w:after="0" w:afterAutospacing="0"/>
        <w:rPr>
          <w:sz w:val="20"/>
          <w:szCs w:val="20"/>
        </w:rPr>
      </w:pPr>
    </w:p>
    <w:sectPr w:rsidR="008A4962" w:rsidRPr="00FD5BD8"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5DF4" w14:textId="77777777" w:rsidR="005947F0" w:rsidRDefault="005947F0" w:rsidP="00894C55">
      <w:r>
        <w:separator/>
      </w:r>
    </w:p>
  </w:endnote>
  <w:endnote w:type="continuationSeparator" w:id="0">
    <w:p w14:paraId="6CCD12FE" w14:textId="77777777" w:rsidR="005947F0" w:rsidRDefault="005947F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124B453E" w:rsidR="002074A4" w:rsidRPr="00770E96" w:rsidRDefault="009B0C00" w:rsidP="00770E96">
    <w:pPr>
      <w:pStyle w:val="Footer"/>
    </w:pPr>
    <w:r>
      <w:rPr>
        <w:rFonts w:ascii="Times New Roman" w:hAnsi="Times New Roman" w:cs="Times New Roman"/>
        <w:sz w:val="20"/>
        <w:szCs w:val="20"/>
      </w:rPr>
      <w:t>LManot_080420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9190" w14:textId="77777777" w:rsidR="009B0C00" w:rsidRPr="00770E96" w:rsidRDefault="009B0C00" w:rsidP="009B0C00">
    <w:pPr>
      <w:pStyle w:val="Footer"/>
    </w:pPr>
    <w:r>
      <w:rPr>
        <w:rFonts w:ascii="Times New Roman" w:hAnsi="Times New Roman" w:cs="Times New Roman"/>
        <w:sz w:val="20"/>
        <w:szCs w:val="20"/>
      </w:rPr>
      <w:t>LManot_080420</w:t>
    </w:r>
  </w:p>
  <w:p w14:paraId="786DD875" w14:textId="224947D6" w:rsidR="002074A4" w:rsidRPr="009B0C00" w:rsidRDefault="002074A4" w:rsidP="009B0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2BE3" w14:textId="77777777" w:rsidR="005947F0" w:rsidRDefault="005947F0" w:rsidP="00894C55">
      <w:r>
        <w:separator/>
      </w:r>
    </w:p>
  </w:footnote>
  <w:footnote w:type="continuationSeparator" w:id="0">
    <w:p w14:paraId="033F88B0" w14:textId="77777777" w:rsidR="005947F0" w:rsidRDefault="005947F0"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2B2E8F66"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0B6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6"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8"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9"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2"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3"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187573"/>
    <w:multiLevelType w:val="hybridMultilevel"/>
    <w:tmpl w:val="2FA2C63C"/>
    <w:lvl w:ilvl="0" w:tplc="DBC4812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5"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080E46"/>
    <w:multiLevelType w:val="hybridMultilevel"/>
    <w:tmpl w:val="81AE921A"/>
    <w:lvl w:ilvl="0" w:tplc="8D5CA8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19"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2"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3"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4"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5"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29"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20"/>
  </w:num>
  <w:num w:numId="2">
    <w:abstractNumId w:val="26"/>
  </w:num>
  <w:num w:numId="3">
    <w:abstractNumId w:val="7"/>
  </w:num>
  <w:num w:numId="4">
    <w:abstractNumId w:val="28"/>
  </w:num>
  <w:num w:numId="5">
    <w:abstractNumId w:val="15"/>
  </w:num>
  <w:num w:numId="6">
    <w:abstractNumId w:val="2"/>
  </w:num>
  <w:num w:numId="7">
    <w:abstractNumId w:val="27"/>
  </w:num>
  <w:num w:numId="8">
    <w:abstractNumId w:val="3"/>
  </w:num>
  <w:num w:numId="9">
    <w:abstractNumId w:val="29"/>
  </w:num>
  <w:num w:numId="10">
    <w:abstractNumId w:val="11"/>
  </w:num>
  <w:num w:numId="11">
    <w:abstractNumId w:val="23"/>
  </w:num>
  <w:num w:numId="12">
    <w:abstractNumId w:val="4"/>
  </w:num>
  <w:num w:numId="13">
    <w:abstractNumId w:val="8"/>
  </w:num>
  <w:num w:numId="14">
    <w:abstractNumId w:val="16"/>
  </w:num>
  <w:num w:numId="15">
    <w:abstractNumId w:val="24"/>
  </w:num>
  <w:num w:numId="16">
    <w:abstractNumId w:val="9"/>
  </w:num>
  <w:num w:numId="17">
    <w:abstractNumId w:val="6"/>
  </w:num>
  <w:num w:numId="18">
    <w:abstractNumId w:val="21"/>
  </w:num>
  <w:num w:numId="19">
    <w:abstractNumId w:val="22"/>
  </w:num>
  <w:num w:numId="20">
    <w:abstractNumId w:val="5"/>
  </w:num>
  <w:num w:numId="21">
    <w:abstractNumId w:val="12"/>
  </w:num>
  <w:num w:numId="22">
    <w:abstractNumId w:val="18"/>
  </w:num>
  <w:num w:numId="23">
    <w:abstractNumId w:val="19"/>
  </w:num>
  <w:num w:numId="24">
    <w:abstractNumId w:val="10"/>
  </w:num>
  <w:num w:numId="25">
    <w:abstractNumId w:val="0"/>
  </w:num>
  <w:num w:numId="26">
    <w:abstractNumId w:val="1"/>
  </w:num>
  <w:num w:numId="27">
    <w:abstractNumId w:val="14"/>
  </w:num>
  <w:num w:numId="28">
    <w:abstractNumId w:val="25"/>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685C"/>
    <w:rsid w:val="00050143"/>
    <w:rsid w:val="00051EE3"/>
    <w:rsid w:val="0006374D"/>
    <w:rsid w:val="00064959"/>
    <w:rsid w:val="00071359"/>
    <w:rsid w:val="00071F15"/>
    <w:rsid w:val="0007255D"/>
    <w:rsid w:val="000746B1"/>
    <w:rsid w:val="00076EDC"/>
    <w:rsid w:val="00080BB1"/>
    <w:rsid w:val="0008249D"/>
    <w:rsid w:val="00083AAF"/>
    <w:rsid w:val="00087E40"/>
    <w:rsid w:val="00091323"/>
    <w:rsid w:val="000946D7"/>
    <w:rsid w:val="00095F9A"/>
    <w:rsid w:val="000A21B9"/>
    <w:rsid w:val="000A4002"/>
    <w:rsid w:val="000A4A1E"/>
    <w:rsid w:val="000B0F4A"/>
    <w:rsid w:val="000B32B9"/>
    <w:rsid w:val="000B54FA"/>
    <w:rsid w:val="000C4480"/>
    <w:rsid w:val="000C568F"/>
    <w:rsid w:val="000C7E9B"/>
    <w:rsid w:val="000D26B7"/>
    <w:rsid w:val="000D7BBA"/>
    <w:rsid w:val="000E0D22"/>
    <w:rsid w:val="000E2D99"/>
    <w:rsid w:val="000E6028"/>
    <w:rsid w:val="000E6D72"/>
    <w:rsid w:val="001001E8"/>
    <w:rsid w:val="00113381"/>
    <w:rsid w:val="00114A05"/>
    <w:rsid w:val="00116F95"/>
    <w:rsid w:val="00127069"/>
    <w:rsid w:val="00130487"/>
    <w:rsid w:val="00133FF1"/>
    <w:rsid w:val="001360AF"/>
    <w:rsid w:val="00140644"/>
    <w:rsid w:val="00141039"/>
    <w:rsid w:val="001412C1"/>
    <w:rsid w:val="0014584E"/>
    <w:rsid w:val="0015016B"/>
    <w:rsid w:val="001507E7"/>
    <w:rsid w:val="00152501"/>
    <w:rsid w:val="001525D7"/>
    <w:rsid w:val="00152B4A"/>
    <w:rsid w:val="00154A6D"/>
    <w:rsid w:val="00155578"/>
    <w:rsid w:val="001615EC"/>
    <w:rsid w:val="00177A29"/>
    <w:rsid w:val="001807D1"/>
    <w:rsid w:val="0018516A"/>
    <w:rsid w:val="001A2778"/>
    <w:rsid w:val="001A559D"/>
    <w:rsid w:val="001A5818"/>
    <w:rsid w:val="001A5A01"/>
    <w:rsid w:val="001A7F37"/>
    <w:rsid w:val="001B6740"/>
    <w:rsid w:val="001B6C59"/>
    <w:rsid w:val="001C2F68"/>
    <w:rsid w:val="001C4FAF"/>
    <w:rsid w:val="001C5440"/>
    <w:rsid w:val="001C768D"/>
    <w:rsid w:val="001C797C"/>
    <w:rsid w:val="001D0F46"/>
    <w:rsid w:val="001D5E4E"/>
    <w:rsid w:val="001D66EB"/>
    <w:rsid w:val="001E37ED"/>
    <w:rsid w:val="001E7774"/>
    <w:rsid w:val="001E7EAF"/>
    <w:rsid w:val="002019D8"/>
    <w:rsid w:val="002030FA"/>
    <w:rsid w:val="002074A4"/>
    <w:rsid w:val="002109C4"/>
    <w:rsid w:val="002119C3"/>
    <w:rsid w:val="00220B1B"/>
    <w:rsid w:val="00223CED"/>
    <w:rsid w:val="00230841"/>
    <w:rsid w:val="0023168A"/>
    <w:rsid w:val="002355FE"/>
    <w:rsid w:val="00243426"/>
    <w:rsid w:val="002549F5"/>
    <w:rsid w:val="00256091"/>
    <w:rsid w:val="002702EA"/>
    <w:rsid w:val="0027706F"/>
    <w:rsid w:val="00282312"/>
    <w:rsid w:val="002834FB"/>
    <w:rsid w:val="00284852"/>
    <w:rsid w:val="00284C2D"/>
    <w:rsid w:val="0028659C"/>
    <w:rsid w:val="00287A59"/>
    <w:rsid w:val="00293399"/>
    <w:rsid w:val="002948BA"/>
    <w:rsid w:val="002A217A"/>
    <w:rsid w:val="002A5E5F"/>
    <w:rsid w:val="002B6C5A"/>
    <w:rsid w:val="002C6CE2"/>
    <w:rsid w:val="002D1E95"/>
    <w:rsid w:val="002E1C05"/>
    <w:rsid w:val="002E2C6E"/>
    <w:rsid w:val="002E6CE7"/>
    <w:rsid w:val="002F7B64"/>
    <w:rsid w:val="00303246"/>
    <w:rsid w:val="003102E6"/>
    <w:rsid w:val="00312097"/>
    <w:rsid w:val="00312466"/>
    <w:rsid w:val="00313AD3"/>
    <w:rsid w:val="003142B7"/>
    <w:rsid w:val="00320014"/>
    <w:rsid w:val="003205CD"/>
    <w:rsid w:val="003243B6"/>
    <w:rsid w:val="00334745"/>
    <w:rsid w:val="00335899"/>
    <w:rsid w:val="00340618"/>
    <w:rsid w:val="00340B68"/>
    <w:rsid w:val="00340F13"/>
    <w:rsid w:val="00341D70"/>
    <w:rsid w:val="00350806"/>
    <w:rsid w:val="00360972"/>
    <w:rsid w:val="00361916"/>
    <w:rsid w:val="00362642"/>
    <w:rsid w:val="00362E82"/>
    <w:rsid w:val="003671CE"/>
    <w:rsid w:val="00367478"/>
    <w:rsid w:val="00367AB5"/>
    <w:rsid w:val="00367E06"/>
    <w:rsid w:val="00372ACB"/>
    <w:rsid w:val="00380C6D"/>
    <w:rsid w:val="003874BB"/>
    <w:rsid w:val="003903BF"/>
    <w:rsid w:val="003905A5"/>
    <w:rsid w:val="003B0BF9"/>
    <w:rsid w:val="003C0235"/>
    <w:rsid w:val="003C2624"/>
    <w:rsid w:val="003C4E40"/>
    <w:rsid w:val="003C7AEA"/>
    <w:rsid w:val="003D23E3"/>
    <w:rsid w:val="003D4330"/>
    <w:rsid w:val="003D6DD6"/>
    <w:rsid w:val="003E0791"/>
    <w:rsid w:val="003E215C"/>
    <w:rsid w:val="003F1F2D"/>
    <w:rsid w:val="003F28AC"/>
    <w:rsid w:val="003F66CA"/>
    <w:rsid w:val="004002E0"/>
    <w:rsid w:val="00401F30"/>
    <w:rsid w:val="00403A2F"/>
    <w:rsid w:val="00417A7A"/>
    <w:rsid w:val="00420133"/>
    <w:rsid w:val="0043377F"/>
    <w:rsid w:val="00435568"/>
    <w:rsid w:val="004454FE"/>
    <w:rsid w:val="00451F79"/>
    <w:rsid w:val="00456E40"/>
    <w:rsid w:val="004622AB"/>
    <w:rsid w:val="00462D25"/>
    <w:rsid w:val="00463B4E"/>
    <w:rsid w:val="00467DE3"/>
    <w:rsid w:val="00471F27"/>
    <w:rsid w:val="00475F37"/>
    <w:rsid w:val="004875DD"/>
    <w:rsid w:val="00493BF2"/>
    <w:rsid w:val="00494F80"/>
    <w:rsid w:val="004953FE"/>
    <w:rsid w:val="00495760"/>
    <w:rsid w:val="0049601C"/>
    <w:rsid w:val="004B02EB"/>
    <w:rsid w:val="004B5A63"/>
    <w:rsid w:val="004C1FE7"/>
    <w:rsid w:val="004D6991"/>
    <w:rsid w:val="004D7640"/>
    <w:rsid w:val="004E1BA2"/>
    <w:rsid w:val="004E282B"/>
    <w:rsid w:val="004E29AE"/>
    <w:rsid w:val="004F0343"/>
    <w:rsid w:val="0050178F"/>
    <w:rsid w:val="00502B81"/>
    <w:rsid w:val="00502D97"/>
    <w:rsid w:val="0050461A"/>
    <w:rsid w:val="005169EA"/>
    <w:rsid w:val="00520FE1"/>
    <w:rsid w:val="005242EC"/>
    <w:rsid w:val="00526E2C"/>
    <w:rsid w:val="00527D8B"/>
    <w:rsid w:val="00533206"/>
    <w:rsid w:val="005349F0"/>
    <w:rsid w:val="00541371"/>
    <w:rsid w:val="005534E6"/>
    <w:rsid w:val="00553E16"/>
    <w:rsid w:val="00564C6B"/>
    <w:rsid w:val="0056696D"/>
    <w:rsid w:val="00566AD6"/>
    <w:rsid w:val="00577052"/>
    <w:rsid w:val="00577113"/>
    <w:rsid w:val="00580732"/>
    <w:rsid w:val="005826B6"/>
    <w:rsid w:val="005856D9"/>
    <w:rsid w:val="005947F0"/>
    <w:rsid w:val="00594B91"/>
    <w:rsid w:val="005B1660"/>
    <w:rsid w:val="005D34DD"/>
    <w:rsid w:val="005D54F2"/>
    <w:rsid w:val="005E25B2"/>
    <w:rsid w:val="005F4FE2"/>
    <w:rsid w:val="005F7BA4"/>
    <w:rsid w:val="006043EA"/>
    <w:rsid w:val="00604477"/>
    <w:rsid w:val="00605CBC"/>
    <w:rsid w:val="0061155F"/>
    <w:rsid w:val="00622822"/>
    <w:rsid w:val="006232F5"/>
    <w:rsid w:val="00626AC5"/>
    <w:rsid w:val="00627631"/>
    <w:rsid w:val="006335C0"/>
    <w:rsid w:val="00635B83"/>
    <w:rsid w:val="0064126F"/>
    <w:rsid w:val="0064127B"/>
    <w:rsid w:val="00642945"/>
    <w:rsid w:val="00644B15"/>
    <w:rsid w:val="00646244"/>
    <w:rsid w:val="0064653C"/>
    <w:rsid w:val="00647006"/>
    <w:rsid w:val="00647B3D"/>
    <w:rsid w:val="006538AC"/>
    <w:rsid w:val="00655F2C"/>
    <w:rsid w:val="0065758B"/>
    <w:rsid w:val="00663AF4"/>
    <w:rsid w:val="0066594E"/>
    <w:rsid w:val="0066749E"/>
    <w:rsid w:val="0067466F"/>
    <w:rsid w:val="00681F74"/>
    <w:rsid w:val="006842C0"/>
    <w:rsid w:val="006936E5"/>
    <w:rsid w:val="006A31D0"/>
    <w:rsid w:val="006A3331"/>
    <w:rsid w:val="006A4B9B"/>
    <w:rsid w:val="006A4BF8"/>
    <w:rsid w:val="006A5A9B"/>
    <w:rsid w:val="006A5DEF"/>
    <w:rsid w:val="006A7C70"/>
    <w:rsid w:val="006B221B"/>
    <w:rsid w:val="006B6400"/>
    <w:rsid w:val="006C12A6"/>
    <w:rsid w:val="006C219D"/>
    <w:rsid w:val="006C2DFF"/>
    <w:rsid w:val="006C7AE7"/>
    <w:rsid w:val="006D4250"/>
    <w:rsid w:val="006E0366"/>
    <w:rsid w:val="006E1081"/>
    <w:rsid w:val="006E587D"/>
    <w:rsid w:val="006E71F7"/>
    <w:rsid w:val="006F09C2"/>
    <w:rsid w:val="006F0FC6"/>
    <w:rsid w:val="006F193F"/>
    <w:rsid w:val="006F4690"/>
    <w:rsid w:val="006F56B9"/>
    <w:rsid w:val="00701AC4"/>
    <w:rsid w:val="00702CFD"/>
    <w:rsid w:val="00707161"/>
    <w:rsid w:val="00714300"/>
    <w:rsid w:val="00720585"/>
    <w:rsid w:val="007271A6"/>
    <w:rsid w:val="007272A8"/>
    <w:rsid w:val="007306E2"/>
    <w:rsid w:val="00740D0B"/>
    <w:rsid w:val="00740EEA"/>
    <w:rsid w:val="00742254"/>
    <w:rsid w:val="007441D5"/>
    <w:rsid w:val="00746399"/>
    <w:rsid w:val="0074680C"/>
    <w:rsid w:val="00750D89"/>
    <w:rsid w:val="00751927"/>
    <w:rsid w:val="007606BC"/>
    <w:rsid w:val="007606BD"/>
    <w:rsid w:val="00765B2E"/>
    <w:rsid w:val="00766BFA"/>
    <w:rsid w:val="00770E96"/>
    <w:rsid w:val="00773AF6"/>
    <w:rsid w:val="00773EC6"/>
    <w:rsid w:val="00776EE7"/>
    <w:rsid w:val="00780184"/>
    <w:rsid w:val="00781317"/>
    <w:rsid w:val="00782C47"/>
    <w:rsid w:val="0079260F"/>
    <w:rsid w:val="00795F71"/>
    <w:rsid w:val="007A0DA7"/>
    <w:rsid w:val="007A3F62"/>
    <w:rsid w:val="007A7695"/>
    <w:rsid w:val="007A7826"/>
    <w:rsid w:val="007B00E6"/>
    <w:rsid w:val="007B1C39"/>
    <w:rsid w:val="007B3917"/>
    <w:rsid w:val="007B7A0E"/>
    <w:rsid w:val="007D632A"/>
    <w:rsid w:val="007D695F"/>
    <w:rsid w:val="007D6D57"/>
    <w:rsid w:val="007E06B4"/>
    <w:rsid w:val="007E08C0"/>
    <w:rsid w:val="007E3BCE"/>
    <w:rsid w:val="007E4DF3"/>
    <w:rsid w:val="007E5F7A"/>
    <w:rsid w:val="007E6AAA"/>
    <w:rsid w:val="007E73AB"/>
    <w:rsid w:val="007F2EF9"/>
    <w:rsid w:val="007F4F84"/>
    <w:rsid w:val="007F6F87"/>
    <w:rsid w:val="0080508B"/>
    <w:rsid w:val="008055ED"/>
    <w:rsid w:val="00811D08"/>
    <w:rsid w:val="00816479"/>
    <w:rsid w:val="008168AC"/>
    <w:rsid w:val="00816C11"/>
    <w:rsid w:val="00822C45"/>
    <w:rsid w:val="00824A17"/>
    <w:rsid w:val="00830B14"/>
    <w:rsid w:val="00831629"/>
    <w:rsid w:val="00840C14"/>
    <w:rsid w:val="00840EE9"/>
    <w:rsid w:val="00842113"/>
    <w:rsid w:val="00842AD1"/>
    <w:rsid w:val="008470F2"/>
    <w:rsid w:val="00851D8B"/>
    <w:rsid w:val="00860032"/>
    <w:rsid w:val="00861998"/>
    <w:rsid w:val="00863DCA"/>
    <w:rsid w:val="00867737"/>
    <w:rsid w:val="00874A6E"/>
    <w:rsid w:val="00875A9D"/>
    <w:rsid w:val="00885514"/>
    <w:rsid w:val="00891AF0"/>
    <w:rsid w:val="00891CFD"/>
    <w:rsid w:val="00894C55"/>
    <w:rsid w:val="008954E8"/>
    <w:rsid w:val="00896510"/>
    <w:rsid w:val="00896A9B"/>
    <w:rsid w:val="00896B28"/>
    <w:rsid w:val="008A4962"/>
    <w:rsid w:val="008A66C9"/>
    <w:rsid w:val="008B36DA"/>
    <w:rsid w:val="008B37B7"/>
    <w:rsid w:val="008C1794"/>
    <w:rsid w:val="008C563B"/>
    <w:rsid w:val="008C6C08"/>
    <w:rsid w:val="008C7E5C"/>
    <w:rsid w:val="008D16B8"/>
    <w:rsid w:val="008D372B"/>
    <w:rsid w:val="008E09D7"/>
    <w:rsid w:val="008E4FC1"/>
    <w:rsid w:val="008E61BF"/>
    <w:rsid w:val="008F5220"/>
    <w:rsid w:val="0090017B"/>
    <w:rsid w:val="00903694"/>
    <w:rsid w:val="00904B72"/>
    <w:rsid w:val="00910BAE"/>
    <w:rsid w:val="009115E9"/>
    <w:rsid w:val="0091192F"/>
    <w:rsid w:val="00912458"/>
    <w:rsid w:val="0091488A"/>
    <w:rsid w:val="0091740C"/>
    <w:rsid w:val="00922C9E"/>
    <w:rsid w:val="00922E9E"/>
    <w:rsid w:val="009271C0"/>
    <w:rsid w:val="00931F74"/>
    <w:rsid w:val="009337F9"/>
    <w:rsid w:val="00934582"/>
    <w:rsid w:val="0094176A"/>
    <w:rsid w:val="00945CE6"/>
    <w:rsid w:val="009505DA"/>
    <w:rsid w:val="00950BF1"/>
    <w:rsid w:val="00950DF4"/>
    <w:rsid w:val="00952108"/>
    <w:rsid w:val="009547D2"/>
    <w:rsid w:val="009644BB"/>
    <w:rsid w:val="00966B5F"/>
    <w:rsid w:val="009727BD"/>
    <w:rsid w:val="00972E35"/>
    <w:rsid w:val="009734B2"/>
    <w:rsid w:val="009741D2"/>
    <w:rsid w:val="009745C0"/>
    <w:rsid w:val="00975699"/>
    <w:rsid w:val="009870A7"/>
    <w:rsid w:val="009907E2"/>
    <w:rsid w:val="009936B8"/>
    <w:rsid w:val="009A0037"/>
    <w:rsid w:val="009A0228"/>
    <w:rsid w:val="009A2654"/>
    <w:rsid w:val="009A38DD"/>
    <w:rsid w:val="009A6794"/>
    <w:rsid w:val="009B0C00"/>
    <w:rsid w:val="009B37C5"/>
    <w:rsid w:val="009B5D17"/>
    <w:rsid w:val="009B61EE"/>
    <w:rsid w:val="009B7770"/>
    <w:rsid w:val="009C15CF"/>
    <w:rsid w:val="009E1A8B"/>
    <w:rsid w:val="009E38B2"/>
    <w:rsid w:val="009E53FF"/>
    <w:rsid w:val="009F0F42"/>
    <w:rsid w:val="009F25E7"/>
    <w:rsid w:val="009F2D30"/>
    <w:rsid w:val="009F572A"/>
    <w:rsid w:val="00A0244D"/>
    <w:rsid w:val="00A03A77"/>
    <w:rsid w:val="00A05CE6"/>
    <w:rsid w:val="00A10FC3"/>
    <w:rsid w:val="00A22F1B"/>
    <w:rsid w:val="00A2399C"/>
    <w:rsid w:val="00A25C20"/>
    <w:rsid w:val="00A35E02"/>
    <w:rsid w:val="00A364B7"/>
    <w:rsid w:val="00A406EF"/>
    <w:rsid w:val="00A53F16"/>
    <w:rsid w:val="00A6073E"/>
    <w:rsid w:val="00A60D70"/>
    <w:rsid w:val="00A61146"/>
    <w:rsid w:val="00A772AD"/>
    <w:rsid w:val="00A80FDB"/>
    <w:rsid w:val="00A85518"/>
    <w:rsid w:val="00A92096"/>
    <w:rsid w:val="00A935DA"/>
    <w:rsid w:val="00A93640"/>
    <w:rsid w:val="00AA4209"/>
    <w:rsid w:val="00AA4648"/>
    <w:rsid w:val="00AA55ED"/>
    <w:rsid w:val="00AB35AD"/>
    <w:rsid w:val="00AB6561"/>
    <w:rsid w:val="00AB7D5B"/>
    <w:rsid w:val="00AC50CF"/>
    <w:rsid w:val="00AC5884"/>
    <w:rsid w:val="00AC58B1"/>
    <w:rsid w:val="00AD0171"/>
    <w:rsid w:val="00AE1295"/>
    <w:rsid w:val="00AE5567"/>
    <w:rsid w:val="00AE73AA"/>
    <w:rsid w:val="00AF1239"/>
    <w:rsid w:val="00AF3AB8"/>
    <w:rsid w:val="00AF7C42"/>
    <w:rsid w:val="00B07343"/>
    <w:rsid w:val="00B11A55"/>
    <w:rsid w:val="00B1213A"/>
    <w:rsid w:val="00B130ED"/>
    <w:rsid w:val="00B15FDD"/>
    <w:rsid w:val="00B16192"/>
    <w:rsid w:val="00B16480"/>
    <w:rsid w:val="00B2165C"/>
    <w:rsid w:val="00B24C87"/>
    <w:rsid w:val="00B2576B"/>
    <w:rsid w:val="00B31BDD"/>
    <w:rsid w:val="00B34AB7"/>
    <w:rsid w:val="00B40D44"/>
    <w:rsid w:val="00B47986"/>
    <w:rsid w:val="00B5648E"/>
    <w:rsid w:val="00B622AD"/>
    <w:rsid w:val="00B6729B"/>
    <w:rsid w:val="00B67377"/>
    <w:rsid w:val="00B83DE2"/>
    <w:rsid w:val="00B84835"/>
    <w:rsid w:val="00B91FC6"/>
    <w:rsid w:val="00B9226B"/>
    <w:rsid w:val="00B927DC"/>
    <w:rsid w:val="00BA104A"/>
    <w:rsid w:val="00BA20AA"/>
    <w:rsid w:val="00BA3344"/>
    <w:rsid w:val="00BA4D7E"/>
    <w:rsid w:val="00BC2075"/>
    <w:rsid w:val="00BC562B"/>
    <w:rsid w:val="00BD376B"/>
    <w:rsid w:val="00BD4425"/>
    <w:rsid w:val="00BD7F5E"/>
    <w:rsid w:val="00BE7C51"/>
    <w:rsid w:val="00BE7DC1"/>
    <w:rsid w:val="00BF2A90"/>
    <w:rsid w:val="00C01F9A"/>
    <w:rsid w:val="00C03C0C"/>
    <w:rsid w:val="00C05E15"/>
    <w:rsid w:val="00C07AF6"/>
    <w:rsid w:val="00C10270"/>
    <w:rsid w:val="00C200B1"/>
    <w:rsid w:val="00C24A45"/>
    <w:rsid w:val="00C24D49"/>
    <w:rsid w:val="00C25B49"/>
    <w:rsid w:val="00C264A6"/>
    <w:rsid w:val="00C26520"/>
    <w:rsid w:val="00C30F18"/>
    <w:rsid w:val="00C348FC"/>
    <w:rsid w:val="00C35679"/>
    <w:rsid w:val="00C36745"/>
    <w:rsid w:val="00C36EA7"/>
    <w:rsid w:val="00C4032D"/>
    <w:rsid w:val="00C40900"/>
    <w:rsid w:val="00C42475"/>
    <w:rsid w:val="00C43873"/>
    <w:rsid w:val="00C468ED"/>
    <w:rsid w:val="00C47037"/>
    <w:rsid w:val="00C53849"/>
    <w:rsid w:val="00C55F33"/>
    <w:rsid w:val="00C56F75"/>
    <w:rsid w:val="00C62EB6"/>
    <w:rsid w:val="00C66852"/>
    <w:rsid w:val="00C676A2"/>
    <w:rsid w:val="00C722A3"/>
    <w:rsid w:val="00C77477"/>
    <w:rsid w:val="00C83131"/>
    <w:rsid w:val="00C8678C"/>
    <w:rsid w:val="00C9006E"/>
    <w:rsid w:val="00C9634E"/>
    <w:rsid w:val="00CA1AEE"/>
    <w:rsid w:val="00CA21C5"/>
    <w:rsid w:val="00CA747D"/>
    <w:rsid w:val="00CB0786"/>
    <w:rsid w:val="00CB1824"/>
    <w:rsid w:val="00CB19C9"/>
    <w:rsid w:val="00CB6F03"/>
    <w:rsid w:val="00CC0982"/>
    <w:rsid w:val="00CC0D2D"/>
    <w:rsid w:val="00CC4FDB"/>
    <w:rsid w:val="00CC720B"/>
    <w:rsid w:val="00CD1DC6"/>
    <w:rsid w:val="00CD2BFB"/>
    <w:rsid w:val="00CD2F04"/>
    <w:rsid w:val="00CD44BF"/>
    <w:rsid w:val="00CE5657"/>
    <w:rsid w:val="00CF262B"/>
    <w:rsid w:val="00CF3D9F"/>
    <w:rsid w:val="00CF5F33"/>
    <w:rsid w:val="00CF6439"/>
    <w:rsid w:val="00CF7143"/>
    <w:rsid w:val="00D02DDA"/>
    <w:rsid w:val="00D03ADD"/>
    <w:rsid w:val="00D133F8"/>
    <w:rsid w:val="00D138E7"/>
    <w:rsid w:val="00D14A3E"/>
    <w:rsid w:val="00D21D7F"/>
    <w:rsid w:val="00D22281"/>
    <w:rsid w:val="00D24501"/>
    <w:rsid w:val="00D37AAD"/>
    <w:rsid w:val="00D4052F"/>
    <w:rsid w:val="00D50278"/>
    <w:rsid w:val="00D507E2"/>
    <w:rsid w:val="00D548C7"/>
    <w:rsid w:val="00D56A82"/>
    <w:rsid w:val="00D857CF"/>
    <w:rsid w:val="00D900BB"/>
    <w:rsid w:val="00D903DA"/>
    <w:rsid w:val="00DB1AB8"/>
    <w:rsid w:val="00DB50C9"/>
    <w:rsid w:val="00DB6C09"/>
    <w:rsid w:val="00DC09E9"/>
    <w:rsid w:val="00DC2DAF"/>
    <w:rsid w:val="00DC4012"/>
    <w:rsid w:val="00DC5AA3"/>
    <w:rsid w:val="00DC5EDB"/>
    <w:rsid w:val="00DC7938"/>
    <w:rsid w:val="00DD4186"/>
    <w:rsid w:val="00DD5E1F"/>
    <w:rsid w:val="00DE07F2"/>
    <w:rsid w:val="00DF027E"/>
    <w:rsid w:val="00DF2BB9"/>
    <w:rsid w:val="00DF461F"/>
    <w:rsid w:val="00DF68F8"/>
    <w:rsid w:val="00DF776E"/>
    <w:rsid w:val="00DF77D6"/>
    <w:rsid w:val="00E01657"/>
    <w:rsid w:val="00E04A9C"/>
    <w:rsid w:val="00E21304"/>
    <w:rsid w:val="00E31F13"/>
    <w:rsid w:val="00E32555"/>
    <w:rsid w:val="00E32710"/>
    <w:rsid w:val="00E3716B"/>
    <w:rsid w:val="00E4149D"/>
    <w:rsid w:val="00E465CE"/>
    <w:rsid w:val="00E5323B"/>
    <w:rsid w:val="00E53D86"/>
    <w:rsid w:val="00E560D2"/>
    <w:rsid w:val="00E71E92"/>
    <w:rsid w:val="00E751EA"/>
    <w:rsid w:val="00E8749E"/>
    <w:rsid w:val="00E874D8"/>
    <w:rsid w:val="00E90C01"/>
    <w:rsid w:val="00E90D0B"/>
    <w:rsid w:val="00E96DC6"/>
    <w:rsid w:val="00EA0908"/>
    <w:rsid w:val="00EA130F"/>
    <w:rsid w:val="00EA486E"/>
    <w:rsid w:val="00EA5229"/>
    <w:rsid w:val="00EB17D4"/>
    <w:rsid w:val="00EB32C5"/>
    <w:rsid w:val="00EB3AFC"/>
    <w:rsid w:val="00EC6E12"/>
    <w:rsid w:val="00EC766A"/>
    <w:rsid w:val="00ED25EE"/>
    <w:rsid w:val="00ED2D59"/>
    <w:rsid w:val="00ED5F8C"/>
    <w:rsid w:val="00EE0AC0"/>
    <w:rsid w:val="00EE2F62"/>
    <w:rsid w:val="00EE6183"/>
    <w:rsid w:val="00F00B5E"/>
    <w:rsid w:val="00F01E73"/>
    <w:rsid w:val="00F04C70"/>
    <w:rsid w:val="00F12351"/>
    <w:rsid w:val="00F160EC"/>
    <w:rsid w:val="00F17FDC"/>
    <w:rsid w:val="00F26232"/>
    <w:rsid w:val="00F277CC"/>
    <w:rsid w:val="00F3460D"/>
    <w:rsid w:val="00F464CE"/>
    <w:rsid w:val="00F57AC1"/>
    <w:rsid w:val="00F57B0C"/>
    <w:rsid w:val="00F679E9"/>
    <w:rsid w:val="00F67B4B"/>
    <w:rsid w:val="00F70F88"/>
    <w:rsid w:val="00F7186E"/>
    <w:rsid w:val="00F721FA"/>
    <w:rsid w:val="00F72D88"/>
    <w:rsid w:val="00F77376"/>
    <w:rsid w:val="00F77F67"/>
    <w:rsid w:val="00F8145B"/>
    <w:rsid w:val="00F82318"/>
    <w:rsid w:val="00F85BFB"/>
    <w:rsid w:val="00F85DC5"/>
    <w:rsid w:val="00F87284"/>
    <w:rsid w:val="00F92A52"/>
    <w:rsid w:val="00F95701"/>
    <w:rsid w:val="00F97FD1"/>
    <w:rsid w:val="00FA2114"/>
    <w:rsid w:val="00FA45D1"/>
    <w:rsid w:val="00FB4965"/>
    <w:rsid w:val="00FC3FDB"/>
    <w:rsid w:val="00FD3303"/>
    <w:rsid w:val="00FD48F3"/>
    <w:rsid w:val="00FD5BD8"/>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30721"/>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Upit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94A4C-836D-4798-91D0-B85CB84F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6143</Words>
  <Characters>3502</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I.Upite</dc:creator>
  <dc:description>60008557 Inese.Upite@lm.gov.lv,
LM Sociālās apdrošināšanas departaments</dc:description>
  <cp:lastModifiedBy>Inese Upite</cp:lastModifiedBy>
  <cp:revision>6</cp:revision>
  <cp:lastPrinted>2020-04-06T14:00:00Z</cp:lastPrinted>
  <dcterms:created xsi:type="dcterms:W3CDTF">2020-04-07T08:48:00Z</dcterms:created>
  <dcterms:modified xsi:type="dcterms:W3CDTF">2020-04-07T10:54:00Z</dcterms:modified>
</cp:coreProperties>
</file>