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7912" w14:textId="57FABE59" w:rsidR="008D68DB" w:rsidRPr="002D5050" w:rsidRDefault="00A34D5B">
      <w:pPr>
        <w:ind w:left="720"/>
        <w:jc w:val="center"/>
        <w:rPr>
          <w:b/>
          <w:color w:val="000000"/>
          <w:sz w:val="28"/>
          <w:szCs w:val="28"/>
        </w:rPr>
      </w:pPr>
      <w:r w:rsidRPr="002D5050">
        <w:rPr>
          <w:b/>
          <w:color w:val="000000"/>
          <w:sz w:val="28"/>
          <w:szCs w:val="28"/>
        </w:rPr>
        <w:t>Likum</w:t>
      </w:r>
      <w:r w:rsidR="007A73D4">
        <w:rPr>
          <w:b/>
          <w:color w:val="000000"/>
          <w:sz w:val="28"/>
          <w:szCs w:val="28"/>
        </w:rPr>
        <w:t>projekta</w:t>
      </w:r>
    </w:p>
    <w:p w14:paraId="3CDD29A2" w14:textId="3A78F6EE" w:rsidR="008D68DB" w:rsidRDefault="00DF37EA" w:rsidP="00A34D5B">
      <w:pPr>
        <w:jc w:val="center"/>
        <w:rPr>
          <w:b/>
          <w:color w:val="000000"/>
          <w:sz w:val="28"/>
          <w:szCs w:val="28"/>
        </w:rPr>
      </w:pPr>
      <w:r w:rsidRPr="002D5050">
        <w:rPr>
          <w:b/>
          <w:color w:val="000000"/>
          <w:sz w:val="28"/>
          <w:szCs w:val="28"/>
        </w:rPr>
        <w:t>„Grozījum</w:t>
      </w:r>
      <w:r w:rsidR="00A34D5B" w:rsidRPr="002D5050">
        <w:rPr>
          <w:b/>
          <w:color w:val="000000"/>
          <w:sz w:val="28"/>
          <w:szCs w:val="28"/>
        </w:rPr>
        <w:t>s Bezdarbnieku un darba meklētāju atbalsta likumā</w:t>
      </w:r>
      <w:r w:rsidRPr="002D5050">
        <w:rPr>
          <w:b/>
          <w:color w:val="000000"/>
          <w:sz w:val="28"/>
          <w:szCs w:val="28"/>
        </w:rPr>
        <w:t>”</w:t>
      </w:r>
    </w:p>
    <w:p w14:paraId="0B92FD87" w14:textId="77777777" w:rsidR="008D68DB" w:rsidRPr="002D5050" w:rsidRDefault="00DF37EA" w:rsidP="007B18C5">
      <w:pPr>
        <w:jc w:val="center"/>
        <w:rPr>
          <w:b/>
          <w:sz w:val="28"/>
          <w:szCs w:val="28"/>
        </w:rPr>
      </w:pPr>
      <w:r w:rsidRPr="002D5050">
        <w:rPr>
          <w:b/>
          <w:sz w:val="28"/>
          <w:szCs w:val="28"/>
        </w:rPr>
        <w:t>sākotnējās ietekmes novērtējuma ziņojums (anotācija)</w:t>
      </w:r>
    </w:p>
    <w:p w14:paraId="01E379F6" w14:textId="77777777" w:rsidR="008D68DB" w:rsidRPr="002D5050" w:rsidRDefault="008D68DB">
      <w:pPr>
        <w:jc w:val="center"/>
        <w:rPr>
          <w:b/>
          <w:sz w:val="28"/>
          <w:szCs w:val="28"/>
        </w:rPr>
      </w:pPr>
    </w:p>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70"/>
      </w:tblGrid>
      <w:tr w:rsidR="00B35206" w:rsidRPr="002D5050" w14:paraId="56102114" w14:textId="77777777" w:rsidTr="00FC074B">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2CA4D9B" w14:textId="2A9665AB" w:rsidR="00B35206" w:rsidRPr="002D5050" w:rsidRDefault="00B35206" w:rsidP="00FC074B">
            <w:pPr>
              <w:spacing w:before="100" w:beforeAutospacing="1" w:after="100" w:afterAutospacing="1" w:line="293" w:lineRule="atLeast"/>
              <w:jc w:val="center"/>
              <w:rPr>
                <w:b/>
                <w:bCs/>
              </w:rPr>
            </w:pPr>
            <w:r w:rsidRPr="002D5050">
              <w:rPr>
                <w:b/>
              </w:rPr>
              <w:t>Tiesību akta projekta anotācijas kopsavilkums</w:t>
            </w:r>
          </w:p>
        </w:tc>
      </w:tr>
      <w:tr w:rsidR="00B35206" w:rsidRPr="002D5050" w14:paraId="64AAD47F" w14:textId="77777777" w:rsidTr="00FC074B">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3D1DA27" w14:textId="6125016A" w:rsidR="00B35206" w:rsidRPr="002D5050" w:rsidRDefault="00B71BC2" w:rsidP="00FC074B">
            <w:pPr>
              <w:spacing w:before="100" w:beforeAutospacing="1" w:after="100" w:afterAutospacing="1" w:line="293" w:lineRule="atLeast"/>
              <w:jc w:val="center"/>
              <w:rPr>
                <w:b/>
                <w:bCs/>
                <w:color w:val="414142"/>
              </w:rPr>
            </w:pPr>
            <w:r w:rsidRPr="002D5050">
              <w:t>Likum</w:t>
            </w:r>
            <w:r w:rsidR="007A73D4">
              <w:t>projekts</w:t>
            </w:r>
            <w:r w:rsidR="00B35206" w:rsidRPr="002D5050">
              <w:t xml:space="preserve"> šo jomu neskar</w:t>
            </w:r>
          </w:p>
        </w:tc>
      </w:tr>
    </w:tbl>
    <w:p w14:paraId="3C92529B" w14:textId="77777777" w:rsidR="008D68DB" w:rsidRPr="002D5050" w:rsidRDefault="008D68DB" w:rsidP="00B35206">
      <w:pPr>
        <w:rPr>
          <w:b/>
          <w:sz w:val="28"/>
          <w:szCs w:val="28"/>
        </w:rPr>
      </w:pPr>
    </w:p>
    <w:tbl>
      <w:tblPr>
        <w:tblpPr w:leftFromText="180" w:rightFromText="180" w:vertAnchor="text" w:tblpY="1"/>
        <w:tblOverlap w:val="neve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
        <w:gridCol w:w="2419"/>
        <w:gridCol w:w="6410"/>
      </w:tblGrid>
      <w:tr w:rsidR="008D68DB" w:rsidRPr="002D5050" w14:paraId="166F7F85" w14:textId="77777777">
        <w:tc>
          <w:tcPr>
            <w:tcW w:w="9210" w:type="dxa"/>
            <w:gridSpan w:val="3"/>
            <w:shd w:val="clear" w:color="000000" w:fill="auto"/>
          </w:tcPr>
          <w:p w14:paraId="5477E3EB" w14:textId="77777777" w:rsidR="008D68DB" w:rsidRPr="002D5050" w:rsidRDefault="00DF37EA">
            <w:pPr>
              <w:jc w:val="center"/>
              <w:rPr>
                <w:b/>
              </w:rPr>
            </w:pPr>
            <w:r w:rsidRPr="002D5050">
              <w:rPr>
                <w:b/>
              </w:rPr>
              <w:t>I. Tiesību akta projekta izstrādes nepieciešamība</w:t>
            </w:r>
          </w:p>
        </w:tc>
      </w:tr>
      <w:tr w:rsidR="008D68DB" w:rsidRPr="002D5050" w14:paraId="020EA5FC" w14:textId="77777777">
        <w:tc>
          <w:tcPr>
            <w:tcW w:w="381" w:type="dxa"/>
            <w:shd w:val="clear" w:color="000000" w:fill="auto"/>
          </w:tcPr>
          <w:p w14:paraId="4E7BE04A" w14:textId="77777777" w:rsidR="008D68DB" w:rsidRPr="002D5050" w:rsidRDefault="00DF37EA">
            <w:pPr>
              <w:rPr>
                <w:sz w:val="22"/>
                <w:szCs w:val="22"/>
              </w:rPr>
            </w:pPr>
            <w:r w:rsidRPr="002D5050">
              <w:rPr>
                <w:sz w:val="22"/>
                <w:szCs w:val="22"/>
              </w:rPr>
              <w:t>1.</w:t>
            </w:r>
          </w:p>
        </w:tc>
        <w:tc>
          <w:tcPr>
            <w:tcW w:w="2419" w:type="dxa"/>
            <w:shd w:val="clear" w:color="000000" w:fill="auto"/>
          </w:tcPr>
          <w:p w14:paraId="015861F6" w14:textId="77777777" w:rsidR="008D68DB" w:rsidRPr="002D5050" w:rsidRDefault="00DF37EA">
            <w:r w:rsidRPr="002D5050">
              <w:t>Pamatojums</w:t>
            </w:r>
          </w:p>
        </w:tc>
        <w:tc>
          <w:tcPr>
            <w:tcW w:w="6410" w:type="dxa"/>
            <w:shd w:val="clear" w:color="000000" w:fill="auto"/>
          </w:tcPr>
          <w:p w14:paraId="36B2BD23" w14:textId="7589DBE4" w:rsidR="008D68DB" w:rsidRPr="002D5050" w:rsidRDefault="00943B47" w:rsidP="007A73D4">
            <w:pPr>
              <w:contextualSpacing/>
              <w:jc w:val="both"/>
            </w:pPr>
            <w:r w:rsidRPr="002D5050">
              <w:t>Likum</w:t>
            </w:r>
            <w:r w:rsidR="00DF37EA" w:rsidRPr="002D5050">
              <w:t xml:space="preserve">projekts </w:t>
            </w:r>
            <w:r w:rsidR="00395E00" w:rsidRPr="00395E00">
              <w:t>„Grozījums Bezdarbnieku un darba meklētāju atbalsta likumā”</w:t>
            </w:r>
            <w:r w:rsidR="007B18C5">
              <w:t xml:space="preserve"> </w:t>
            </w:r>
            <w:r w:rsidR="007A73D4">
              <w:t>(turpmāk – likumprojekts)</w:t>
            </w:r>
            <w:r w:rsidR="00395E00">
              <w:t xml:space="preserve"> </w:t>
            </w:r>
            <w:r w:rsidR="007A73D4">
              <w:t>izstrādāts</w:t>
            </w:r>
            <w:r w:rsidR="00DF37EA" w:rsidRPr="002D5050">
              <w:t xml:space="preserve"> pēc Labklājības ministrijas iniciatīvas</w:t>
            </w:r>
            <w:r w:rsidR="0040133A" w:rsidRPr="002D5050">
              <w:t xml:space="preserve">, lai mazinātu </w:t>
            </w:r>
            <w:proofErr w:type="spellStart"/>
            <w:r w:rsidR="00C9341A" w:rsidRPr="002D5050">
              <w:t>korona</w:t>
            </w:r>
            <w:r w:rsidR="0040133A" w:rsidRPr="002D5050">
              <w:t>vīrusa</w:t>
            </w:r>
            <w:proofErr w:type="spellEnd"/>
            <w:r w:rsidR="0040133A" w:rsidRPr="002D5050">
              <w:t xml:space="preserve"> </w:t>
            </w:r>
            <w:proofErr w:type="spellStart"/>
            <w:r w:rsidR="0040133A" w:rsidRPr="002D5050">
              <w:t>Covid-19</w:t>
            </w:r>
            <w:proofErr w:type="spellEnd"/>
            <w:r w:rsidR="0040133A" w:rsidRPr="002D5050">
              <w:t xml:space="preserve"> pandēmijas rezultātā izraisītās </w:t>
            </w:r>
            <w:r w:rsidR="00C9341A" w:rsidRPr="002D5050">
              <w:t>negatīv</w:t>
            </w:r>
            <w:r w:rsidR="00395E00">
              <w:t>ā</w:t>
            </w:r>
            <w:r w:rsidR="0040133A" w:rsidRPr="002D5050">
              <w:t>s sekas nodarbinātības jomā.</w:t>
            </w:r>
          </w:p>
        </w:tc>
      </w:tr>
      <w:tr w:rsidR="008D68DB" w:rsidRPr="002D5050" w14:paraId="7F0AC974" w14:textId="77777777">
        <w:tc>
          <w:tcPr>
            <w:tcW w:w="381" w:type="dxa"/>
            <w:shd w:val="clear" w:color="000000" w:fill="auto"/>
          </w:tcPr>
          <w:p w14:paraId="07027151" w14:textId="77777777" w:rsidR="008D68DB" w:rsidRPr="002D5050" w:rsidRDefault="00DF37EA">
            <w:pPr>
              <w:rPr>
                <w:sz w:val="22"/>
                <w:szCs w:val="22"/>
              </w:rPr>
            </w:pPr>
            <w:r w:rsidRPr="002D5050">
              <w:rPr>
                <w:sz w:val="22"/>
                <w:szCs w:val="22"/>
              </w:rPr>
              <w:t xml:space="preserve">2. </w:t>
            </w:r>
          </w:p>
        </w:tc>
        <w:tc>
          <w:tcPr>
            <w:tcW w:w="2419" w:type="dxa"/>
            <w:shd w:val="clear" w:color="000000" w:fill="auto"/>
          </w:tcPr>
          <w:p w14:paraId="03C1EFD2" w14:textId="77777777" w:rsidR="008D68DB" w:rsidRPr="002D5050" w:rsidRDefault="00DF37EA">
            <w:r w:rsidRPr="002D5050">
              <w:t>Pašreizējā situācija un problēmas, kuru risināšanai tiesību akta projekts izstrādāts, tiesiskā regulējuma mērķis un būtība</w:t>
            </w:r>
          </w:p>
        </w:tc>
        <w:tc>
          <w:tcPr>
            <w:tcW w:w="6410" w:type="dxa"/>
            <w:shd w:val="clear" w:color="000000" w:fill="auto"/>
          </w:tcPr>
          <w:p w14:paraId="044D6C3A" w14:textId="7A2438E3" w:rsidR="00930683" w:rsidRPr="009B2F24" w:rsidRDefault="0040133A">
            <w:pPr>
              <w:shd w:val="clear" w:color="000000" w:fill="FFFFFF"/>
              <w:jc w:val="both"/>
              <w:rPr>
                <w:spacing w:val="-4"/>
              </w:rPr>
            </w:pPr>
            <w:r w:rsidRPr="009B2F24">
              <w:rPr>
                <w:spacing w:val="-4"/>
              </w:rPr>
              <w:t>Reaģējot uz Pasaules veselības organizācijas 2020. gada 11. marta paziņojumu, ka</w:t>
            </w:r>
            <w:r w:rsidR="00C9341A" w:rsidRPr="009B2F24">
              <w:rPr>
                <w:spacing w:val="-4"/>
              </w:rPr>
              <w:t xml:space="preserve"> </w:t>
            </w:r>
            <w:proofErr w:type="spellStart"/>
            <w:r w:rsidR="00C9341A" w:rsidRPr="009B2F24">
              <w:rPr>
                <w:spacing w:val="-4"/>
              </w:rPr>
              <w:t>koronavīrus</w:t>
            </w:r>
            <w:r w:rsidR="008353D5" w:rsidRPr="009B2F24">
              <w:rPr>
                <w:spacing w:val="-4"/>
              </w:rPr>
              <w:t>a</w:t>
            </w:r>
            <w:proofErr w:type="spellEnd"/>
            <w:r w:rsidR="00C9341A" w:rsidRPr="009B2F24">
              <w:rPr>
                <w:spacing w:val="-4"/>
              </w:rPr>
              <w:t xml:space="preserve"> </w:t>
            </w:r>
            <w:proofErr w:type="spellStart"/>
            <w:r w:rsidR="00C9341A" w:rsidRPr="009B2F24">
              <w:rPr>
                <w:spacing w:val="-4"/>
              </w:rPr>
              <w:t>Covid-19</w:t>
            </w:r>
            <w:proofErr w:type="spellEnd"/>
            <w:r w:rsidR="00C9341A" w:rsidRPr="009B2F24">
              <w:rPr>
                <w:spacing w:val="-4"/>
              </w:rPr>
              <w:t xml:space="preserve"> izplatība ir sasniegusi</w:t>
            </w:r>
            <w:r w:rsidRPr="009B2F24">
              <w:rPr>
                <w:spacing w:val="-4"/>
              </w:rPr>
              <w:t xml:space="preserve"> pandēmijas apmērus</w:t>
            </w:r>
            <w:r w:rsidR="00DB5442" w:rsidRPr="009B2F24">
              <w:rPr>
                <w:spacing w:val="-4"/>
              </w:rPr>
              <w:t xml:space="preserve">, </w:t>
            </w:r>
            <w:r w:rsidR="00B35206" w:rsidRPr="009B2F24">
              <w:rPr>
                <w:spacing w:val="-4"/>
              </w:rPr>
              <w:t>2020.gada 12.martā Ministru kabinets pieņēma rīkojumu Nr.10</w:t>
            </w:r>
            <w:r w:rsidR="00395E00" w:rsidRPr="009B2F24">
              <w:rPr>
                <w:spacing w:val="-4"/>
              </w:rPr>
              <w:t>3</w:t>
            </w:r>
            <w:r w:rsidR="00B35206" w:rsidRPr="009B2F24">
              <w:rPr>
                <w:spacing w:val="-4"/>
              </w:rPr>
              <w:t xml:space="preserve"> “Par ārkārtējās situācijas izsludināšanu”, kas</w:t>
            </w:r>
            <w:r w:rsidR="001348AC" w:rsidRPr="009B2F24">
              <w:rPr>
                <w:spacing w:val="-4"/>
              </w:rPr>
              <w:t xml:space="preserve"> paredz</w:t>
            </w:r>
            <w:r w:rsidR="00B35206" w:rsidRPr="009B2F24">
              <w:rPr>
                <w:spacing w:val="-4"/>
              </w:rPr>
              <w:t xml:space="preserve"> virkni vīrusa</w:t>
            </w:r>
            <w:r w:rsidR="00C9341A" w:rsidRPr="009B2F24">
              <w:rPr>
                <w:spacing w:val="-4"/>
              </w:rPr>
              <w:t xml:space="preserve"> </w:t>
            </w:r>
            <w:proofErr w:type="spellStart"/>
            <w:r w:rsidR="00B35206" w:rsidRPr="009B2F24">
              <w:rPr>
                <w:spacing w:val="-4"/>
              </w:rPr>
              <w:t>Covid-19</w:t>
            </w:r>
            <w:proofErr w:type="spellEnd"/>
            <w:r w:rsidR="00B35206" w:rsidRPr="009B2F24">
              <w:rPr>
                <w:spacing w:val="-4"/>
              </w:rPr>
              <w:t xml:space="preserve"> </w:t>
            </w:r>
            <w:r w:rsidR="00395E00" w:rsidRPr="009B2F24">
              <w:rPr>
                <w:spacing w:val="-4"/>
              </w:rPr>
              <w:t xml:space="preserve">izplatību </w:t>
            </w:r>
            <w:r w:rsidR="00B35206" w:rsidRPr="009B2F24">
              <w:rPr>
                <w:spacing w:val="-4"/>
              </w:rPr>
              <w:t>ierobežojoš</w:t>
            </w:r>
            <w:r w:rsidR="00395E00" w:rsidRPr="009B2F24">
              <w:rPr>
                <w:spacing w:val="-4"/>
              </w:rPr>
              <w:t>u</w:t>
            </w:r>
            <w:r w:rsidR="00B35206" w:rsidRPr="009B2F24">
              <w:rPr>
                <w:spacing w:val="-4"/>
              </w:rPr>
              <w:t xml:space="preserve"> pasākumu</w:t>
            </w:r>
            <w:r w:rsidRPr="009B2F24">
              <w:rPr>
                <w:spacing w:val="-4"/>
              </w:rPr>
              <w:t xml:space="preserve"> Latvijā</w:t>
            </w:r>
            <w:r w:rsidR="00B35206" w:rsidRPr="009B2F24">
              <w:rPr>
                <w:spacing w:val="-4"/>
              </w:rPr>
              <w:t>.</w:t>
            </w:r>
            <w:r w:rsidR="00DB5442" w:rsidRPr="009B2F24">
              <w:rPr>
                <w:spacing w:val="-4"/>
              </w:rPr>
              <w:t xml:space="preserve"> M</w:t>
            </w:r>
            <w:r w:rsidR="00B35206" w:rsidRPr="009B2F24">
              <w:rPr>
                <w:spacing w:val="-4"/>
              </w:rPr>
              <w:t xml:space="preserve">inētā vīrusa izplatība </w:t>
            </w:r>
            <w:r w:rsidR="002E46D2" w:rsidRPr="009B2F24">
              <w:rPr>
                <w:spacing w:val="-4"/>
              </w:rPr>
              <w:t xml:space="preserve">negatīvi ietekmē </w:t>
            </w:r>
            <w:r w:rsidR="00DB5442" w:rsidRPr="009B2F24">
              <w:rPr>
                <w:spacing w:val="-4"/>
              </w:rPr>
              <w:t xml:space="preserve"> ekonomisko </w:t>
            </w:r>
            <w:r w:rsidR="002E46D2" w:rsidRPr="009B2F24">
              <w:rPr>
                <w:spacing w:val="-4"/>
              </w:rPr>
              <w:t>situāciju</w:t>
            </w:r>
            <w:r w:rsidR="00DB5442" w:rsidRPr="009B2F24">
              <w:rPr>
                <w:spacing w:val="-4"/>
              </w:rPr>
              <w:t xml:space="preserve"> un</w:t>
            </w:r>
            <w:r w:rsidR="002E46D2" w:rsidRPr="009B2F24">
              <w:rPr>
                <w:spacing w:val="-4"/>
              </w:rPr>
              <w:t xml:space="preserve"> darba tirgu</w:t>
            </w:r>
            <w:r w:rsidR="00A34D5B" w:rsidRPr="009B2F24">
              <w:rPr>
                <w:spacing w:val="-4"/>
              </w:rPr>
              <w:t>, radot nabadzības riskus ienākumu zaudēšanas dēļ.</w:t>
            </w:r>
          </w:p>
          <w:p w14:paraId="20D1971C" w14:textId="65F436C1" w:rsidR="00943B47" w:rsidRPr="009B2F24" w:rsidRDefault="0057738A" w:rsidP="00CB77A0">
            <w:pPr>
              <w:shd w:val="clear" w:color="000000" w:fill="FFFFFF"/>
              <w:jc w:val="both"/>
              <w:rPr>
                <w:spacing w:val="-4"/>
              </w:rPr>
            </w:pPr>
            <w:r>
              <w:rPr>
                <w:spacing w:val="-4"/>
              </w:rPr>
              <w:t xml:space="preserve">1. </w:t>
            </w:r>
            <w:r w:rsidR="00943B47" w:rsidRPr="009B2F24">
              <w:rPr>
                <w:spacing w:val="-4"/>
              </w:rPr>
              <w:t xml:space="preserve">Bezdarbnieku un darba meklētāju atbalsta likuma mērķis </w:t>
            </w:r>
            <w:r w:rsidR="00943B47" w:rsidRPr="009B2F24">
              <w:t xml:space="preserve"> </w:t>
            </w:r>
            <w:r w:rsidR="00943B47" w:rsidRPr="009B2F24">
              <w:rPr>
                <w:spacing w:val="-4"/>
              </w:rPr>
              <w:t>ir sniegt atbalstu bezdarbniekiem, darba meklētājiem un bezdarba riskam pakļautajām personām, lai veicinātu to spēju konkurēt darba tirgū.</w:t>
            </w:r>
          </w:p>
          <w:p w14:paraId="0D563040" w14:textId="0ECD14D6" w:rsidR="00CB77A0" w:rsidRPr="009B2F24" w:rsidRDefault="00CB77A0" w:rsidP="00CB77A0">
            <w:pPr>
              <w:shd w:val="clear" w:color="000000" w:fill="FFFFFF"/>
              <w:jc w:val="both"/>
              <w:rPr>
                <w:spacing w:val="-4"/>
              </w:rPr>
            </w:pPr>
            <w:r w:rsidRPr="009B2F24">
              <w:rPr>
                <w:spacing w:val="-4"/>
              </w:rPr>
              <w:t>Atbilstoši Bezdarbnieku un darba meklētāju atbalsta likuma</w:t>
            </w:r>
            <w:r w:rsidR="00895D88" w:rsidRPr="009B2F24">
              <w:rPr>
                <w:spacing w:val="-4"/>
              </w:rPr>
              <w:t xml:space="preserve"> </w:t>
            </w:r>
            <w:r w:rsidRPr="009B2F24">
              <w:rPr>
                <w:spacing w:val="-4"/>
              </w:rPr>
              <w:t>10.panta pirmās daļas 2.punktā noteiktajai prasībai bezdarbnieka statusu var iegūt persona, kas nav uzskatāma par darba ņēmēju vai pašnodarbināto saskaņā ar likumu “Par valsts sociālo apdrošināšanu”. Likuma “Par valsts sociālo apdrošināšanu” 1.panta 2.punkta i) apakšpunkts noteic, ka par darba ņēmēju ir uzskatāms arī mikrouzņē</w:t>
            </w:r>
            <w:r w:rsidR="008353D5" w:rsidRPr="009B2F24">
              <w:rPr>
                <w:spacing w:val="-4"/>
              </w:rPr>
              <w:t>m</w:t>
            </w:r>
            <w:r w:rsidRPr="009B2F24">
              <w:rPr>
                <w:spacing w:val="-4"/>
              </w:rPr>
              <w:t>uma darbinieks, savukārt mikrouzņēmuma darbinieka definīcija ir ietverta Mikrouzņēmumu nodokļa likuma 1.panta 3.punktā. Par mikrouzņēmuma darbinieku ir uzskatāma ne tikai fiziskā persona, kuru uz darba līguma pamata nodarbina mikrouzņēmums</w:t>
            </w:r>
            <w:r w:rsidR="008F6634" w:rsidRPr="009B2F24">
              <w:rPr>
                <w:spacing w:val="-4"/>
              </w:rPr>
              <w:t>, bet arī</w:t>
            </w:r>
            <w:r w:rsidR="009920A7" w:rsidRPr="009B2F24">
              <w:rPr>
                <w:spacing w:val="-4"/>
              </w:rPr>
              <w:t xml:space="preserve"> prokūrists</w:t>
            </w:r>
            <w:r w:rsidR="008F6634" w:rsidRPr="009B2F24">
              <w:rPr>
                <w:spacing w:val="-4"/>
              </w:rPr>
              <w:t xml:space="preserve"> un</w:t>
            </w:r>
            <w:r w:rsidRPr="009B2F24">
              <w:rPr>
                <w:spacing w:val="-4"/>
              </w:rPr>
              <w:t xml:space="preserve"> mikrouzņēmuma īpašnieks</w:t>
            </w:r>
            <w:r w:rsidR="00AA0EB0" w:rsidRPr="009B2F24">
              <w:rPr>
                <w:spacing w:val="-4"/>
              </w:rPr>
              <w:t>. Saskaņā ar Mikrouzņēmumu nodokļ</w:t>
            </w:r>
            <w:r w:rsidR="00A719B7" w:rsidRPr="009B2F24">
              <w:rPr>
                <w:spacing w:val="-4"/>
              </w:rPr>
              <w:t>a</w:t>
            </w:r>
            <w:r w:rsidR="00AA0EB0" w:rsidRPr="009B2F24">
              <w:rPr>
                <w:spacing w:val="-4"/>
              </w:rPr>
              <w:t xml:space="preserve"> likuma</w:t>
            </w:r>
            <w:r w:rsidRPr="009B2F24">
              <w:rPr>
                <w:spacing w:val="-4"/>
              </w:rPr>
              <w:t xml:space="preserve"> </w:t>
            </w:r>
            <w:r w:rsidR="00AA0EB0" w:rsidRPr="009B2F24">
              <w:rPr>
                <w:spacing w:val="-4"/>
              </w:rPr>
              <w:t>1.panta 2.punktu mikrouzņēmuma īpašnieks ir mikrouzņēmuma kritērijiem atbilstošas</w:t>
            </w:r>
            <w:r w:rsidR="00656835" w:rsidRPr="009B2F24">
              <w:rPr>
                <w:spacing w:val="-4"/>
              </w:rPr>
              <w:t xml:space="preserve"> sabiedrības ar ierobežotu atbildību</w:t>
            </w:r>
            <w:r w:rsidR="002D5050" w:rsidRPr="009B2F24">
              <w:rPr>
                <w:spacing w:val="-4"/>
              </w:rPr>
              <w:t xml:space="preserve"> (turpmāk – SIA)</w:t>
            </w:r>
            <w:r w:rsidR="00656835" w:rsidRPr="009B2F24">
              <w:rPr>
                <w:spacing w:val="-4"/>
              </w:rPr>
              <w:t xml:space="preserve"> dalībnieks, individuālā uzņēmuma, zemnieka vai zvejnieka saimniecības īpašnieks,  </w:t>
            </w:r>
            <w:r w:rsidRPr="009B2F24">
              <w:rPr>
                <w:spacing w:val="-4"/>
              </w:rPr>
              <w:t>individuālais komersants, kā arī fiziskā persona, kas reģistrēta Valsts ieņēmumu dienestā kā saimnieciskās darbības veicējs</w:t>
            </w:r>
            <w:r w:rsidR="00656835" w:rsidRPr="009B2F24">
              <w:rPr>
                <w:spacing w:val="-4"/>
              </w:rPr>
              <w:t>.</w:t>
            </w:r>
          </w:p>
          <w:p w14:paraId="3E85C5D1" w14:textId="260EF31C" w:rsidR="00CB77A0" w:rsidRPr="009B2F24" w:rsidRDefault="00CB77A0" w:rsidP="00CB77A0">
            <w:pPr>
              <w:shd w:val="clear" w:color="000000" w:fill="FFFFFF"/>
              <w:jc w:val="both"/>
              <w:rPr>
                <w:spacing w:val="-4"/>
              </w:rPr>
            </w:pPr>
            <w:r w:rsidRPr="009B2F24">
              <w:rPr>
                <w:spacing w:val="-4"/>
              </w:rPr>
              <w:t>Mikrouzņēmuma nodokļa maksātāja taksācijas periods ir kalendāra gads. Izraudzīto mikrouzņēmuma nodokļa maksātāja statusu var mainīt un kļūt attiecīgi par iedzīvotāju ienākuma nodokļa maksātāju vai uzņēmum</w:t>
            </w:r>
            <w:r w:rsidR="008353D5" w:rsidRPr="009B2F24">
              <w:rPr>
                <w:spacing w:val="-4"/>
              </w:rPr>
              <w:t>a</w:t>
            </w:r>
            <w:r w:rsidRPr="009B2F24">
              <w:rPr>
                <w:spacing w:val="-4"/>
              </w:rPr>
              <w:t xml:space="preserve"> ienākuma nodokļa maksātāju ne agrāk kā pirms attiecīgā taksācijas perioda beigām. Ievērojot minēto, mikrouzņēmuma nodokļa maksātāji, kas 2019.gadā nav mainījuši nodokļu maksātāja statusu 2020.gadam, šogad to vairs nevar izdarīt.</w:t>
            </w:r>
          </w:p>
          <w:p w14:paraId="2D02B01A" w14:textId="2691400E" w:rsidR="00CB77A0" w:rsidRPr="009B2F24" w:rsidRDefault="00CB77A0" w:rsidP="00CB77A0">
            <w:pPr>
              <w:shd w:val="clear" w:color="000000" w:fill="FFFFFF"/>
              <w:jc w:val="both"/>
              <w:rPr>
                <w:spacing w:val="-4"/>
              </w:rPr>
            </w:pPr>
            <w:r w:rsidRPr="009B2F24">
              <w:rPr>
                <w:spacing w:val="-4"/>
              </w:rPr>
              <w:lastRenderedPageBreak/>
              <w:t>Tādējādi situācijā, kad mikrouzņēmums saimniecisko darbību</w:t>
            </w:r>
            <w:r w:rsidR="00451A27" w:rsidRPr="009B2F24">
              <w:rPr>
                <w:spacing w:val="-4"/>
              </w:rPr>
              <w:t xml:space="preserve"> faktiski</w:t>
            </w:r>
            <w:r w:rsidRPr="009B2F24">
              <w:rPr>
                <w:spacing w:val="-4"/>
              </w:rPr>
              <w:t xml:space="preserve"> neveic un negūst ienākums, tā īpašniekam</w:t>
            </w:r>
            <w:r w:rsidR="00451A27" w:rsidRPr="009B2F24">
              <w:rPr>
                <w:spacing w:val="-4"/>
              </w:rPr>
              <w:t>, kas ir fiziskā persona,</w:t>
            </w:r>
            <w:r w:rsidRPr="009B2F24">
              <w:rPr>
                <w:spacing w:val="-4"/>
              </w:rPr>
              <w:t xml:space="preserve"> saglabājas darba ņēmēja statuss, kas liedz iegūt bezdarbnieka statusu</w:t>
            </w:r>
            <w:r w:rsidR="008353D5" w:rsidRPr="009B2F24">
              <w:rPr>
                <w:spacing w:val="-4"/>
              </w:rPr>
              <w:t>, saņemt bezdarbnieka pabalstu</w:t>
            </w:r>
            <w:r w:rsidR="00E60A07" w:rsidRPr="009B2F24">
              <w:rPr>
                <w:spacing w:val="-4"/>
              </w:rPr>
              <w:t xml:space="preserve"> (ja iepriekš ir veiktas valsts</w:t>
            </w:r>
            <w:r w:rsidR="00E60A07" w:rsidRPr="009B2F24">
              <w:t xml:space="preserve"> sociālās apdrošināšanas </w:t>
            </w:r>
            <w:r w:rsidR="00E60A07" w:rsidRPr="009B2F24">
              <w:rPr>
                <w:spacing w:val="-4"/>
              </w:rPr>
              <w:t>obligātās iemaksas apdrošināšanai pret bezdarbu)</w:t>
            </w:r>
            <w:r w:rsidRPr="009B2F24">
              <w:rPr>
                <w:spacing w:val="-4"/>
              </w:rPr>
              <w:t xml:space="preserve"> un </w:t>
            </w:r>
            <w:r w:rsidR="008353D5" w:rsidRPr="009B2F24">
              <w:rPr>
                <w:spacing w:val="-4"/>
              </w:rPr>
              <w:t>piedalīties</w:t>
            </w:r>
            <w:r w:rsidRPr="009B2F24">
              <w:rPr>
                <w:spacing w:val="-4"/>
              </w:rPr>
              <w:t xml:space="preserve"> </w:t>
            </w:r>
            <w:r w:rsidR="008353D5" w:rsidRPr="009B2F24">
              <w:rPr>
                <w:spacing w:val="-4"/>
              </w:rPr>
              <w:t>aktīv</w:t>
            </w:r>
            <w:r w:rsidR="00895D88" w:rsidRPr="009B2F24">
              <w:rPr>
                <w:spacing w:val="-4"/>
              </w:rPr>
              <w:t>ajo</w:t>
            </w:r>
            <w:r w:rsidR="008353D5" w:rsidRPr="009B2F24">
              <w:rPr>
                <w:spacing w:val="-4"/>
              </w:rPr>
              <w:t xml:space="preserve">s </w:t>
            </w:r>
            <w:r w:rsidRPr="009B2F24">
              <w:rPr>
                <w:spacing w:val="-4"/>
              </w:rPr>
              <w:t xml:space="preserve">nodarbinātības </w:t>
            </w:r>
            <w:r w:rsidR="008353D5" w:rsidRPr="009B2F24">
              <w:rPr>
                <w:spacing w:val="-4"/>
              </w:rPr>
              <w:t>pasākumos, kurus organizē Nodarbinātības valsts aģentūra</w:t>
            </w:r>
            <w:r w:rsidRPr="009B2F24">
              <w:rPr>
                <w:spacing w:val="-4"/>
              </w:rPr>
              <w:t>.</w:t>
            </w:r>
          </w:p>
          <w:p w14:paraId="694B6CC8" w14:textId="4470FAEE" w:rsidR="00A34D5B" w:rsidRPr="009B2F24" w:rsidRDefault="00CB77A0" w:rsidP="00A579A4">
            <w:pPr>
              <w:shd w:val="clear" w:color="000000" w:fill="FFFFFF"/>
              <w:jc w:val="both"/>
              <w:rPr>
                <w:spacing w:val="-4"/>
              </w:rPr>
            </w:pPr>
            <w:r w:rsidRPr="009B2F24">
              <w:rPr>
                <w:spacing w:val="-4"/>
              </w:rPr>
              <w:t xml:space="preserve">Līdzīga situācija rodas arī </w:t>
            </w:r>
            <w:r w:rsidR="00915E21">
              <w:rPr>
                <w:spacing w:val="-4"/>
              </w:rPr>
              <w:t>tādām personām, kas līdztekus algotajam darba</w:t>
            </w:r>
            <w:r w:rsidR="004C4C2F">
              <w:rPr>
                <w:spacing w:val="-4"/>
              </w:rPr>
              <w:t>m</w:t>
            </w:r>
            <w:r w:rsidR="00915E21">
              <w:rPr>
                <w:spacing w:val="-4"/>
              </w:rPr>
              <w:t xml:space="preserve"> ir reģistrētas kā pašnodarbinātie, bet </w:t>
            </w:r>
            <w:r w:rsidRPr="009B2F24">
              <w:rPr>
                <w:spacing w:val="-4"/>
              </w:rPr>
              <w:t>saimnieciskā darbība</w:t>
            </w:r>
            <w:r w:rsidR="00915E21">
              <w:rPr>
                <w:spacing w:val="-4"/>
              </w:rPr>
              <w:t xml:space="preserve"> faktiski netiek veikta.</w:t>
            </w:r>
            <w:r w:rsidRPr="009B2F24">
              <w:rPr>
                <w:spacing w:val="-4"/>
              </w:rPr>
              <w:t xml:space="preserve"> </w:t>
            </w:r>
            <w:r w:rsidR="002376BA">
              <w:rPr>
                <w:spacing w:val="-4"/>
              </w:rPr>
              <w:t xml:space="preserve">Vienlaikus kā izņēmums jāmin  personas, kas maksā patentmaksu, jo tās veic fiksētu </w:t>
            </w:r>
            <w:proofErr w:type="spellStart"/>
            <w:r w:rsidR="002376BA">
              <w:rPr>
                <w:spacing w:val="-4"/>
              </w:rPr>
              <w:t>patentmaksājumu</w:t>
            </w:r>
            <w:proofErr w:type="spellEnd"/>
            <w:r w:rsidR="002376BA">
              <w:rPr>
                <w:spacing w:val="-4"/>
              </w:rPr>
              <w:t xml:space="preserve">, kas neparedz atskaišu sniegšanu par gūtajiem ienākumiem. </w:t>
            </w:r>
          </w:p>
          <w:p w14:paraId="682751F3" w14:textId="425DF16A" w:rsidR="00F62AF3" w:rsidRPr="009B2F24" w:rsidRDefault="00DB5442" w:rsidP="00D4046B">
            <w:pPr>
              <w:shd w:val="clear" w:color="000000" w:fill="FFFFFF"/>
              <w:jc w:val="both"/>
              <w:rPr>
                <w:spacing w:val="-4"/>
              </w:rPr>
            </w:pPr>
            <w:r w:rsidRPr="009B2F24">
              <w:rPr>
                <w:spacing w:val="-4"/>
              </w:rPr>
              <w:t>L</w:t>
            </w:r>
            <w:r w:rsidR="002E46D2" w:rsidRPr="009B2F24">
              <w:rPr>
                <w:spacing w:val="-4"/>
              </w:rPr>
              <w:t xml:space="preserve">ai iespējami mazinātu </w:t>
            </w:r>
            <w:r w:rsidRPr="009B2F24">
              <w:rPr>
                <w:spacing w:val="-4"/>
              </w:rPr>
              <w:t xml:space="preserve">ekonomiskās situācijas pasliktināšanās </w:t>
            </w:r>
            <w:r w:rsidR="00D4046B" w:rsidRPr="009B2F24">
              <w:rPr>
                <w:spacing w:val="-4"/>
              </w:rPr>
              <w:t>radītās sekas un nodrošinātu iespēju personām, kas veikušas valsts sociālās apdrošināšanas iemaksas apdrošināšanai pret bezdarbu, saņemt atbalstu bezdarba gadījumā,</w:t>
            </w:r>
            <w:r w:rsidR="00DB034F">
              <w:rPr>
                <w:spacing w:val="-4"/>
              </w:rPr>
              <w:t xml:space="preserve"> nepieciešams papildināt Bezdarbnieku un darba meklētāju atbalsta likumu ar pārejas noteikumu un uz</w:t>
            </w:r>
            <w:r w:rsidR="002E46D2" w:rsidRPr="009B2F24">
              <w:rPr>
                <w:spacing w:val="-4"/>
              </w:rPr>
              <w:t xml:space="preserve"> laiku noteikt elastīgākus nosacījumus bezdarbniek</w:t>
            </w:r>
            <w:r w:rsidR="00A34D5B" w:rsidRPr="009B2F24">
              <w:rPr>
                <w:spacing w:val="-4"/>
              </w:rPr>
              <w:t>a statusa iegūšanai, paredzot</w:t>
            </w:r>
            <w:r w:rsidR="00F62AF3" w:rsidRPr="009B2F24">
              <w:rPr>
                <w:spacing w:val="-4"/>
              </w:rPr>
              <w:t xml:space="preserve"> </w:t>
            </w:r>
            <w:r w:rsidR="00A34D5B" w:rsidRPr="009B2F24">
              <w:rPr>
                <w:spacing w:val="-4"/>
              </w:rPr>
              <w:t>mikrouzņēmu</w:t>
            </w:r>
            <w:r w:rsidR="0053757C" w:rsidRPr="009B2F24">
              <w:rPr>
                <w:spacing w:val="-4"/>
              </w:rPr>
              <w:t>mu</w:t>
            </w:r>
            <w:r w:rsidR="00D4046B" w:rsidRPr="009B2F24">
              <w:rPr>
                <w:spacing w:val="-4"/>
              </w:rPr>
              <w:t xml:space="preserve"> darbiniekiem (mikrouzņēmuma kritērijiem atbilstošas SIA dalībniekiem, individuāl</w:t>
            </w:r>
            <w:r w:rsidR="004C4C2F">
              <w:rPr>
                <w:spacing w:val="-4"/>
              </w:rPr>
              <w:t>ajiem</w:t>
            </w:r>
            <w:r w:rsidR="00D4046B" w:rsidRPr="009B2F24">
              <w:rPr>
                <w:spacing w:val="-4"/>
              </w:rPr>
              <w:t xml:space="preserve"> uzņēmum</w:t>
            </w:r>
            <w:r w:rsidR="004C4C2F">
              <w:rPr>
                <w:spacing w:val="-4"/>
              </w:rPr>
              <w:t>iem</w:t>
            </w:r>
            <w:r w:rsidR="00D4046B" w:rsidRPr="009B2F24">
              <w:rPr>
                <w:spacing w:val="-4"/>
              </w:rPr>
              <w:t>, zemnieka vai zvejnieka saimniecības īpašniekiem, individuāl</w:t>
            </w:r>
            <w:r w:rsidR="004C4C2F">
              <w:rPr>
                <w:spacing w:val="-4"/>
              </w:rPr>
              <w:t>ā</w:t>
            </w:r>
            <w:r w:rsidR="00D4046B" w:rsidRPr="009B2F24">
              <w:rPr>
                <w:spacing w:val="-4"/>
              </w:rPr>
              <w:t xml:space="preserve"> komersant</w:t>
            </w:r>
            <w:r w:rsidR="004C4C2F">
              <w:rPr>
                <w:spacing w:val="-4"/>
              </w:rPr>
              <w:t>a īpašniekiem</w:t>
            </w:r>
            <w:r w:rsidR="00D4046B" w:rsidRPr="009B2F24">
              <w:rPr>
                <w:spacing w:val="-4"/>
              </w:rPr>
              <w:t>, kā arī pašnodarbinātajiem)</w:t>
            </w:r>
            <w:r w:rsidR="00C8442B" w:rsidRPr="009B2F24">
              <w:rPr>
                <w:spacing w:val="-4"/>
              </w:rPr>
              <w:t>, kuri izvēlējušies mikrouzņēmuma nodokļa nomaksu</w:t>
            </w:r>
            <w:r w:rsidR="002376BA">
              <w:rPr>
                <w:spacing w:val="-4"/>
              </w:rPr>
              <w:t>, un kuru uzņēmumam nav apgrozījuma, kā arī pašnoda</w:t>
            </w:r>
            <w:r w:rsidR="00A579A4">
              <w:rPr>
                <w:spacing w:val="-4"/>
              </w:rPr>
              <w:t>r</w:t>
            </w:r>
            <w:r w:rsidR="002376BA">
              <w:rPr>
                <w:spacing w:val="-4"/>
              </w:rPr>
              <w:t>binātajām personām (izņemot personas, kas maksā patentmaksu), kuras negūst ienākumus no saimnieciskās darbības</w:t>
            </w:r>
            <w:r w:rsidR="00DF7ACC">
              <w:rPr>
                <w:spacing w:val="-4"/>
              </w:rPr>
              <w:t>,</w:t>
            </w:r>
            <w:r w:rsidR="00D4046B" w:rsidRPr="009B2F24">
              <w:rPr>
                <w:spacing w:val="-4"/>
              </w:rPr>
              <w:t xml:space="preserve"> </w:t>
            </w:r>
            <w:r w:rsidR="00A34D5B" w:rsidRPr="009B2F24">
              <w:rPr>
                <w:spacing w:val="-4"/>
              </w:rPr>
              <w:t>līdz 2020.gada</w:t>
            </w:r>
            <w:r w:rsidR="002E46D2" w:rsidRPr="009B2F24">
              <w:rPr>
                <w:spacing w:val="-4"/>
              </w:rPr>
              <w:t xml:space="preserve"> </w:t>
            </w:r>
            <w:r w:rsidR="00A34D5B" w:rsidRPr="009B2F24">
              <w:rPr>
                <w:spacing w:val="-4"/>
              </w:rPr>
              <w:t xml:space="preserve">31.decmbrim tiesības </w:t>
            </w:r>
            <w:r w:rsidR="00345027" w:rsidRPr="009B2F24">
              <w:rPr>
                <w:spacing w:val="-4"/>
              </w:rPr>
              <w:t>uz</w:t>
            </w:r>
            <w:r w:rsidR="00A34D5B" w:rsidRPr="009B2F24">
              <w:rPr>
                <w:spacing w:val="-4"/>
              </w:rPr>
              <w:t xml:space="preserve"> bezdarbnieka statusu</w:t>
            </w:r>
            <w:r w:rsidR="001841B2" w:rsidRPr="009B2F24">
              <w:rPr>
                <w:spacing w:val="-4"/>
              </w:rPr>
              <w:t xml:space="preserve"> (iegūšanu un saglabāšanu)</w:t>
            </w:r>
            <w:r w:rsidR="00250DC7">
              <w:rPr>
                <w:spacing w:val="-4"/>
              </w:rPr>
              <w:t xml:space="preserve"> un</w:t>
            </w:r>
            <w:r w:rsidR="00345027" w:rsidRPr="009B2F24">
              <w:rPr>
                <w:spacing w:val="-4"/>
              </w:rPr>
              <w:t xml:space="preserve"> bezdarbniekiem paredzētajiem atbalsta pakalpojumiem</w:t>
            </w:r>
            <w:r w:rsidR="00C8442B" w:rsidRPr="009B2F24">
              <w:rPr>
                <w:spacing w:val="-4"/>
              </w:rPr>
              <w:t>.</w:t>
            </w:r>
            <w:r w:rsidR="00345027" w:rsidRPr="009B2F24">
              <w:rPr>
                <w:spacing w:val="-4"/>
              </w:rPr>
              <w:t xml:space="preserve"> </w:t>
            </w:r>
          </w:p>
          <w:p w14:paraId="31D4C009" w14:textId="77777777" w:rsidR="0057738A" w:rsidRDefault="007B46A5" w:rsidP="00AC535F">
            <w:pPr>
              <w:shd w:val="clear" w:color="000000" w:fill="FFFFFF"/>
              <w:jc w:val="both"/>
              <w:rPr>
                <w:spacing w:val="-4"/>
              </w:rPr>
            </w:pPr>
            <w:r w:rsidRPr="00F77837">
              <w:rPr>
                <w:spacing w:val="-4"/>
              </w:rPr>
              <w:t xml:space="preserve">Savukārt personas, kas </w:t>
            </w:r>
            <w:r w:rsidR="00017B74" w:rsidRPr="00F77837">
              <w:rPr>
                <w:spacing w:val="-4"/>
              </w:rPr>
              <w:t>būs 2020.gadā ieguvu</w:t>
            </w:r>
            <w:r w:rsidR="00DF7ACC">
              <w:rPr>
                <w:spacing w:val="-4"/>
              </w:rPr>
              <w:t>šas</w:t>
            </w:r>
            <w:r w:rsidR="00017B74" w:rsidRPr="00F77837">
              <w:rPr>
                <w:spacing w:val="-4"/>
              </w:rPr>
              <w:t xml:space="preserve"> bezdarbnieka statusu un </w:t>
            </w:r>
            <w:r w:rsidRPr="00F77837">
              <w:rPr>
                <w:spacing w:val="-4"/>
              </w:rPr>
              <w:t>izvēlēsies maksāt mikrouzņēmuma nodokli arī 2021.gadā, bezdarbnieka statusu zaudēs ar 2021.gada 1.janvāri.</w:t>
            </w:r>
          </w:p>
          <w:p w14:paraId="7A9981BB" w14:textId="77777777" w:rsidR="0057738A" w:rsidRDefault="0057738A" w:rsidP="00AC535F">
            <w:pPr>
              <w:shd w:val="clear" w:color="000000" w:fill="FFFFFF"/>
              <w:jc w:val="both"/>
              <w:rPr>
                <w:spacing w:val="-4"/>
              </w:rPr>
            </w:pPr>
          </w:p>
          <w:p w14:paraId="7749C1E8" w14:textId="6F1A1803" w:rsidR="0057738A" w:rsidRPr="0057738A" w:rsidRDefault="0057738A" w:rsidP="0057738A">
            <w:pPr>
              <w:shd w:val="clear" w:color="000000" w:fill="FFFFFF"/>
              <w:jc w:val="both"/>
              <w:rPr>
                <w:spacing w:val="-4"/>
              </w:rPr>
            </w:pPr>
            <w:r>
              <w:rPr>
                <w:spacing w:val="-4"/>
              </w:rPr>
              <w:t xml:space="preserve">2. </w:t>
            </w:r>
            <w:r w:rsidR="000D5756" w:rsidRPr="009B2F24">
              <w:rPr>
                <w:spacing w:val="-4"/>
              </w:rPr>
              <w:t xml:space="preserve"> </w:t>
            </w:r>
            <w:r>
              <w:t xml:space="preserve"> </w:t>
            </w:r>
            <w:r w:rsidRPr="0057738A">
              <w:rPr>
                <w:spacing w:val="-4"/>
              </w:rPr>
              <w:t>Bezdarbnieku un darba meklētāju atbalsta likums pašreiz pieļauj, ka bezdarbnieks, saglabājot bezdarbnieka statusu, var īslaicīgi kļūt par darba ņēmēju vai pašnodarbināto uz laiku līdz 60 dienām 12 mēnešu periodā.  Šajā gadījumā jāslēdz darba līgums saskaņā ar Darba likumā paredzētajām prasībām darba līgumu slēgšanai uz noteiktu laiku.</w:t>
            </w:r>
          </w:p>
          <w:p w14:paraId="63A0EBD2" w14:textId="024AAF48" w:rsidR="0057738A" w:rsidRPr="0057738A" w:rsidRDefault="0057738A" w:rsidP="0057738A">
            <w:pPr>
              <w:shd w:val="clear" w:color="000000" w:fill="FFFFFF"/>
              <w:jc w:val="both"/>
              <w:rPr>
                <w:spacing w:val="-4"/>
              </w:rPr>
            </w:pPr>
            <w:r w:rsidRPr="0057738A">
              <w:rPr>
                <w:spacing w:val="-4"/>
              </w:rPr>
              <w:t>Šāda atkāpe strādāt 60 dienas ir paredzēta, lai bezdarba periodā veicinātu darba piedāvājumu pieņemšanu un iedrošinātu bezdarbniekus arī īslaicīgi iesaistīties darba tirgū. Lai novērstu riskus, ka šāda iespēja tiek izmantota negodprātīgi, likums paredz, ka īstermiņa nodarbinātības iespējas bezdarbnieks var iz</w:t>
            </w:r>
            <w:r w:rsidR="007B18C5">
              <w:rPr>
                <w:spacing w:val="-4"/>
              </w:rPr>
              <w:t>mantot ne biežāk kā divreiz 12 mēnešu periodā</w:t>
            </w:r>
            <w:r w:rsidRPr="0057738A">
              <w:rPr>
                <w:spacing w:val="-4"/>
              </w:rPr>
              <w:t xml:space="preserve"> (kopā nepārsniedzot 60 dienas).</w:t>
            </w:r>
          </w:p>
          <w:p w14:paraId="33D0E115" w14:textId="3CD73643" w:rsidR="007B46A5" w:rsidRDefault="0057738A" w:rsidP="0057738A">
            <w:pPr>
              <w:shd w:val="clear" w:color="000000" w:fill="FFFFFF"/>
              <w:jc w:val="both"/>
              <w:rPr>
                <w:spacing w:val="-4"/>
              </w:rPr>
            </w:pPr>
            <w:r w:rsidRPr="0057738A">
              <w:rPr>
                <w:spacing w:val="-4"/>
              </w:rPr>
              <w:t xml:space="preserve">Ņemot vērā krīzes radītās sekas un bezdarba pieaugumu, nepieciešams veikt grozījumus Bezdarbnieku un darba meklētāju atbalsta likumā, nosakot pārejas noteikumos iespēju līdz 2020.gada 31.decembrim saglabāt bezdarbnieka statusu īslaicīgu </w:t>
            </w:r>
            <w:r w:rsidRPr="0057738A">
              <w:rPr>
                <w:spacing w:val="-4"/>
              </w:rPr>
              <w:lastRenderedPageBreak/>
              <w:t>darbu veikšanai uz laiku līdz 120 dienām. Nezaudējot bezdarbnieka statusu, bezdarbnieki varētu iesaistīties īslaicīgos darbos līdz 4 mēnešiem, piemēram, sezonālajos darbos lauksaimniecībā, tādējādi nopelnot iztikas līdzekļus patēriņam un pamatvajadzību nodrošināšanai. Vienlaikus bezdarbnieki 4 mēnešus saglabātu saikni ar darba tirgu un pēc tam bezdarbnieka statusā varētu turpināt saņemt citus atbalsta pakalpojumus N</w:t>
            </w:r>
            <w:r w:rsidR="007B18C5">
              <w:rPr>
                <w:spacing w:val="-4"/>
              </w:rPr>
              <w:t>odarbinātības valsts aģentūrā.</w:t>
            </w:r>
          </w:p>
          <w:p w14:paraId="53D15B72" w14:textId="20698E44" w:rsidR="00B87D06" w:rsidRPr="009B2F24" w:rsidRDefault="00B87D06" w:rsidP="00B87D06">
            <w:pPr>
              <w:shd w:val="clear" w:color="000000" w:fill="FFFFFF"/>
              <w:jc w:val="both"/>
              <w:rPr>
                <w:spacing w:val="-4"/>
              </w:rPr>
            </w:pPr>
            <w:r>
              <w:rPr>
                <w:spacing w:val="-4"/>
              </w:rPr>
              <w:t>Papildus saskaņā ar likuma “Par apdrošināšanu bezdarba gadījumam” 10.panta pirmās 2.punkta prasībām bezdarbnieka pabalsta izmaksa tiek apturēta, ja bezdarbnieks iegūst darba ņēmēja par pašnodarbinātā statusu uz laiku līdz diviem mēnešiem. Ievērojot, ka bezdarbnieka pabalsta mērķis ir ienākumu atvietošana bezdarba laikā, lai nodrošinātu saskaņotu pieeju</w:t>
            </w:r>
            <w:r w:rsidR="008B3FDF">
              <w:rPr>
                <w:spacing w:val="-4"/>
              </w:rPr>
              <w:t xml:space="preserve"> bezdarbnieka pabalsta izmaksas jautājumā</w:t>
            </w:r>
            <w:r>
              <w:rPr>
                <w:spacing w:val="-4"/>
              </w:rPr>
              <w:t xml:space="preserve">, papildus nepieciešams noteikt, ka pārejas periodā līdz 2020.gada 31.decembrim arī bezdarbnieka pabalsta izmaksa tiek apturēta uz laiku līdz 120 dienām. </w:t>
            </w:r>
          </w:p>
          <w:p w14:paraId="4EBE8BEC" w14:textId="6976BD58" w:rsidR="00F27125" w:rsidRPr="009B2F24" w:rsidRDefault="00F27125" w:rsidP="007A73D4">
            <w:pPr>
              <w:shd w:val="clear" w:color="000000" w:fill="FFFFFF"/>
              <w:jc w:val="both"/>
              <w:rPr>
                <w:spacing w:val="-4"/>
              </w:rPr>
            </w:pPr>
          </w:p>
        </w:tc>
      </w:tr>
      <w:tr w:rsidR="008D68DB" w:rsidRPr="002D5050" w14:paraId="6E49567A" w14:textId="77777777">
        <w:tc>
          <w:tcPr>
            <w:tcW w:w="381" w:type="dxa"/>
            <w:shd w:val="clear" w:color="000000" w:fill="auto"/>
          </w:tcPr>
          <w:p w14:paraId="5BDF567C" w14:textId="77777777" w:rsidR="008D68DB" w:rsidRPr="002D5050" w:rsidRDefault="00DF37EA">
            <w:pPr>
              <w:rPr>
                <w:sz w:val="22"/>
                <w:szCs w:val="22"/>
              </w:rPr>
            </w:pPr>
            <w:r w:rsidRPr="002D5050">
              <w:rPr>
                <w:sz w:val="22"/>
                <w:szCs w:val="22"/>
              </w:rPr>
              <w:lastRenderedPageBreak/>
              <w:t>3.</w:t>
            </w:r>
          </w:p>
        </w:tc>
        <w:tc>
          <w:tcPr>
            <w:tcW w:w="2419" w:type="dxa"/>
            <w:shd w:val="clear" w:color="000000" w:fill="auto"/>
          </w:tcPr>
          <w:p w14:paraId="2205A9E4" w14:textId="42A0E6F0" w:rsidR="008D68DB" w:rsidRPr="002D5050" w:rsidRDefault="00B27319">
            <w:r w:rsidRPr="00FB3ACE">
              <w:rPr>
                <w:iCs/>
              </w:rPr>
              <w:t>Projekta izstrādē iesaistītās institūcijas un publiskas personas kapitālsabiedrības</w:t>
            </w:r>
          </w:p>
        </w:tc>
        <w:tc>
          <w:tcPr>
            <w:tcW w:w="6410" w:type="dxa"/>
            <w:shd w:val="clear" w:color="000000" w:fill="auto"/>
          </w:tcPr>
          <w:p w14:paraId="4E53574F" w14:textId="3CA914A8" w:rsidR="008D68DB" w:rsidRPr="002D5050" w:rsidRDefault="00D573A0">
            <w:pPr>
              <w:jc w:val="both"/>
              <w:rPr>
                <w:color w:val="000000"/>
              </w:rPr>
            </w:pPr>
            <w:r w:rsidRPr="002D5050">
              <w:rPr>
                <w:color w:val="000000"/>
              </w:rPr>
              <w:t>Nodarbinātības valsts a</w:t>
            </w:r>
            <w:r w:rsidR="00DF37EA" w:rsidRPr="002D5050">
              <w:rPr>
                <w:color w:val="000000"/>
              </w:rPr>
              <w:t>ģentūra</w:t>
            </w:r>
            <w:r w:rsidRPr="002D5050">
              <w:rPr>
                <w:color w:val="000000"/>
              </w:rPr>
              <w:t>.</w:t>
            </w:r>
          </w:p>
        </w:tc>
      </w:tr>
      <w:tr w:rsidR="008D68DB" w:rsidRPr="002D5050" w14:paraId="158A5463" w14:textId="77777777">
        <w:tc>
          <w:tcPr>
            <w:tcW w:w="381" w:type="dxa"/>
            <w:shd w:val="clear" w:color="000000" w:fill="auto"/>
          </w:tcPr>
          <w:p w14:paraId="0E876BED" w14:textId="77777777" w:rsidR="008D68DB" w:rsidRPr="002D5050" w:rsidRDefault="00DF37EA">
            <w:pPr>
              <w:rPr>
                <w:sz w:val="22"/>
                <w:szCs w:val="22"/>
              </w:rPr>
            </w:pPr>
            <w:r w:rsidRPr="002D5050">
              <w:rPr>
                <w:sz w:val="22"/>
                <w:szCs w:val="22"/>
              </w:rPr>
              <w:t xml:space="preserve">4. </w:t>
            </w:r>
          </w:p>
        </w:tc>
        <w:tc>
          <w:tcPr>
            <w:tcW w:w="2419" w:type="dxa"/>
            <w:shd w:val="clear" w:color="000000" w:fill="auto"/>
          </w:tcPr>
          <w:p w14:paraId="7C442242" w14:textId="77777777" w:rsidR="008D68DB" w:rsidRPr="002D5050" w:rsidRDefault="00DF37EA">
            <w:r w:rsidRPr="002D5050">
              <w:t>Cita informācija</w:t>
            </w:r>
          </w:p>
        </w:tc>
        <w:tc>
          <w:tcPr>
            <w:tcW w:w="6410" w:type="dxa"/>
            <w:shd w:val="clear" w:color="000000" w:fill="auto"/>
          </w:tcPr>
          <w:p w14:paraId="5CE342E6" w14:textId="4EC6E3A0" w:rsidR="008D68DB" w:rsidRPr="002D5050" w:rsidRDefault="00CB77A0" w:rsidP="00E16C5F">
            <w:pPr>
              <w:pStyle w:val="ListParagraph"/>
              <w:ind w:left="0"/>
              <w:contextualSpacing/>
              <w:jc w:val="both"/>
              <w:rPr>
                <w:rFonts w:ascii="Times New Roman" w:eastAsia="Times New Roman" w:hAnsi="Times New Roman"/>
                <w:color w:val="000000"/>
                <w:sz w:val="24"/>
                <w:szCs w:val="24"/>
              </w:rPr>
            </w:pPr>
            <w:r w:rsidRPr="002D5050">
              <w:rPr>
                <w:rFonts w:ascii="Times New Roman" w:eastAsia="Times New Roman" w:hAnsi="Times New Roman"/>
                <w:color w:val="000000"/>
                <w:sz w:val="24"/>
                <w:szCs w:val="24"/>
              </w:rPr>
              <w:t>Nav</w:t>
            </w:r>
          </w:p>
        </w:tc>
      </w:tr>
    </w:tbl>
    <w:p w14:paraId="76D423D7" w14:textId="70F0DC1E" w:rsidR="008D68DB" w:rsidRPr="002D5050" w:rsidRDefault="008D68DB">
      <w:pPr>
        <w:jc w:val="cente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2410"/>
        <w:gridCol w:w="6407"/>
      </w:tblGrid>
      <w:tr w:rsidR="008D68DB" w:rsidRPr="002D5050" w14:paraId="0D19534F" w14:textId="77777777">
        <w:tc>
          <w:tcPr>
            <w:tcW w:w="9214" w:type="dxa"/>
            <w:gridSpan w:val="3"/>
            <w:shd w:val="clear" w:color="000000" w:fill="auto"/>
          </w:tcPr>
          <w:p w14:paraId="436FF30E" w14:textId="77777777" w:rsidR="008D68DB" w:rsidRPr="002D5050" w:rsidRDefault="00DF37EA">
            <w:pPr>
              <w:pStyle w:val="naisnod"/>
              <w:ind w:left="57" w:right="57"/>
              <w:rPr>
                <w:b w:val="0"/>
                <w:sz w:val="24"/>
                <w:szCs w:val="24"/>
              </w:rPr>
            </w:pPr>
            <w:r w:rsidRPr="002D5050">
              <w:rPr>
                <w:sz w:val="24"/>
                <w:szCs w:val="24"/>
              </w:rPr>
              <w:t>II.</w:t>
            </w:r>
            <w:r w:rsidRPr="002D5050">
              <w:rPr>
                <w:b w:val="0"/>
                <w:sz w:val="24"/>
                <w:szCs w:val="24"/>
              </w:rPr>
              <w:t xml:space="preserve"> </w:t>
            </w:r>
            <w:r w:rsidRPr="002D5050">
              <w:rPr>
                <w:sz w:val="24"/>
                <w:szCs w:val="24"/>
              </w:rPr>
              <w:t>Tiesību akta projekta ietekme uz sabiedrību, tautsaimniecības attīstību</w:t>
            </w:r>
          </w:p>
          <w:p w14:paraId="38CC34FB" w14:textId="77777777" w:rsidR="008D68DB" w:rsidRPr="002D5050" w:rsidRDefault="00DF37EA">
            <w:pPr>
              <w:jc w:val="center"/>
              <w:rPr>
                <w:b/>
              </w:rPr>
            </w:pPr>
            <w:r w:rsidRPr="002D5050">
              <w:rPr>
                <w:b/>
              </w:rPr>
              <w:t>un administratīvo slogu</w:t>
            </w:r>
          </w:p>
        </w:tc>
      </w:tr>
      <w:tr w:rsidR="008D68DB" w:rsidRPr="002D5050" w14:paraId="1C11A463" w14:textId="77777777">
        <w:tc>
          <w:tcPr>
            <w:tcW w:w="397" w:type="dxa"/>
            <w:shd w:val="clear" w:color="000000" w:fill="auto"/>
          </w:tcPr>
          <w:p w14:paraId="1F9DB42D" w14:textId="77777777" w:rsidR="008D68DB" w:rsidRPr="002D5050" w:rsidRDefault="00DF37EA">
            <w:pPr>
              <w:rPr>
                <w:sz w:val="22"/>
                <w:szCs w:val="22"/>
              </w:rPr>
            </w:pPr>
            <w:r w:rsidRPr="002D5050">
              <w:rPr>
                <w:sz w:val="22"/>
                <w:szCs w:val="22"/>
              </w:rPr>
              <w:t>1.</w:t>
            </w:r>
          </w:p>
        </w:tc>
        <w:tc>
          <w:tcPr>
            <w:tcW w:w="2410" w:type="dxa"/>
            <w:shd w:val="clear" w:color="000000" w:fill="auto"/>
          </w:tcPr>
          <w:p w14:paraId="0015D7DA" w14:textId="77777777" w:rsidR="008D68DB" w:rsidRPr="002D5050" w:rsidRDefault="00DF37EA">
            <w:pPr>
              <w:rPr>
                <w:sz w:val="22"/>
                <w:szCs w:val="22"/>
              </w:rPr>
            </w:pPr>
            <w:r w:rsidRPr="002D5050">
              <w:t>Sabiedrības mērķgrupas, kuras tiesiskais regulējums ietekmē vai varētu ietekmēt</w:t>
            </w:r>
          </w:p>
        </w:tc>
        <w:tc>
          <w:tcPr>
            <w:tcW w:w="6407" w:type="dxa"/>
            <w:shd w:val="clear" w:color="000000" w:fill="auto"/>
          </w:tcPr>
          <w:p w14:paraId="61066DD5" w14:textId="35D7EE5E" w:rsidR="008D68DB" w:rsidRPr="002D5050" w:rsidRDefault="00395E00">
            <w:pPr>
              <w:jc w:val="both"/>
              <w:rPr>
                <w:color w:val="000000"/>
              </w:rPr>
            </w:pPr>
            <w:r>
              <w:rPr>
                <w:color w:val="000000"/>
              </w:rPr>
              <w:t>Likum</w:t>
            </w:r>
            <w:r w:rsidR="007A73D4">
              <w:rPr>
                <w:color w:val="000000"/>
              </w:rPr>
              <w:t>projekts</w:t>
            </w:r>
            <w:r w:rsidR="00DF37EA" w:rsidRPr="002D5050">
              <w:rPr>
                <w:color w:val="000000"/>
              </w:rPr>
              <w:t xml:space="preserve"> attiecas uz </w:t>
            </w:r>
            <w:r w:rsidR="00E16C5F" w:rsidRPr="002D5050">
              <w:rPr>
                <w:color w:val="000000"/>
              </w:rPr>
              <w:t>Nodarbinātības valsts aģentūrā</w:t>
            </w:r>
            <w:r w:rsidR="00DF37EA" w:rsidRPr="002D5050">
              <w:rPr>
                <w:color w:val="000000"/>
              </w:rPr>
              <w:t xml:space="preserve"> reģistrētajiem </w:t>
            </w:r>
            <w:r w:rsidR="00E16C5F" w:rsidRPr="002D5050">
              <w:rPr>
                <w:color w:val="000000"/>
              </w:rPr>
              <w:t>bezdarbniekiem</w:t>
            </w:r>
            <w:r w:rsidR="00B71BC2" w:rsidRPr="002D5050">
              <w:rPr>
                <w:color w:val="000000"/>
              </w:rPr>
              <w:t xml:space="preserve">, fiziskām personām – mikrouzņēmumu īpašniekiem, </w:t>
            </w:r>
            <w:r w:rsidR="0057738A">
              <w:rPr>
                <w:color w:val="000000"/>
              </w:rPr>
              <w:t>pašnodarbinātajām personām (izņemot personas, kas maksā patentmaksu).</w:t>
            </w:r>
          </w:p>
          <w:p w14:paraId="4EB06197" w14:textId="0227B105" w:rsidR="008D68DB" w:rsidRPr="002D5050" w:rsidRDefault="00DB361C">
            <w:pPr>
              <w:jc w:val="both"/>
              <w:rPr>
                <w:color w:val="000000"/>
              </w:rPr>
            </w:pPr>
            <w:r w:rsidRPr="002D5050">
              <w:rPr>
                <w:color w:val="000000"/>
              </w:rPr>
              <w:t>2020</w:t>
            </w:r>
            <w:r w:rsidR="00DF37EA" w:rsidRPr="002D5050">
              <w:rPr>
                <w:color w:val="000000"/>
              </w:rPr>
              <w:t xml:space="preserve">.gada </w:t>
            </w:r>
            <w:r w:rsidR="00187107">
              <w:rPr>
                <w:color w:val="000000"/>
              </w:rPr>
              <w:t>1</w:t>
            </w:r>
            <w:r w:rsidR="00F6005F" w:rsidRPr="002D5050">
              <w:rPr>
                <w:color w:val="000000"/>
              </w:rPr>
              <w:t>.</w:t>
            </w:r>
            <w:r w:rsidR="00187107">
              <w:rPr>
                <w:color w:val="000000"/>
              </w:rPr>
              <w:t xml:space="preserve">aprīlī </w:t>
            </w:r>
            <w:r w:rsidR="00DF37EA" w:rsidRPr="002D5050">
              <w:rPr>
                <w:color w:val="000000"/>
              </w:rPr>
              <w:t>bezdarbnieka status</w:t>
            </w:r>
            <w:r w:rsidR="00224A53" w:rsidRPr="002D5050">
              <w:rPr>
                <w:color w:val="000000"/>
              </w:rPr>
              <w:t>ā</w:t>
            </w:r>
            <w:r w:rsidR="00DF37EA" w:rsidRPr="002D5050">
              <w:rPr>
                <w:color w:val="000000"/>
              </w:rPr>
              <w:t xml:space="preserve"> reģistrēt</w:t>
            </w:r>
            <w:r w:rsidR="00224A53" w:rsidRPr="002D5050">
              <w:rPr>
                <w:color w:val="000000"/>
              </w:rPr>
              <w:t>as</w:t>
            </w:r>
            <w:r w:rsidR="00DF37EA" w:rsidRPr="002D5050">
              <w:rPr>
                <w:color w:val="000000"/>
              </w:rPr>
              <w:t xml:space="preserve"> </w:t>
            </w:r>
            <w:r w:rsidR="00187107">
              <w:rPr>
                <w:color w:val="000000"/>
              </w:rPr>
              <w:t>61</w:t>
            </w:r>
            <w:r w:rsidR="00DF37EA" w:rsidRPr="002D5050">
              <w:rPr>
                <w:color w:val="000000"/>
              </w:rPr>
              <w:t xml:space="preserve"> </w:t>
            </w:r>
            <w:r w:rsidR="00187107">
              <w:rPr>
                <w:color w:val="000000"/>
              </w:rPr>
              <w:t>927</w:t>
            </w:r>
            <w:r w:rsidR="00DF37EA" w:rsidRPr="002D5050">
              <w:rPr>
                <w:color w:val="000000"/>
              </w:rPr>
              <w:t xml:space="preserve"> person</w:t>
            </w:r>
            <w:r w:rsidR="00224A53" w:rsidRPr="002D5050">
              <w:rPr>
                <w:color w:val="000000"/>
              </w:rPr>
              <w:t>as</w:t>
            </w:r>
            <w:r w:rsidR="00DF37EA" w:rsidRPr="002D5050">
              <w:rPr>
                <w:color w:val="000000"/>
              </w:rPr>
              <w:t>.</w:t>
            </w:r>
          </w:p>
          <w:p w14:paraId="5ADB2152" w14:textId="77777777" w:rsidR="008D68DB" w:rsidRDefault="00DF37EA">
            <w:pPr>
              <w:jc w:val="both"/>
              <w:rPr>
                <w:color w:val="000000"/>
              </w:rPr>
            </w:pPr>
            <w:r w:rsidRPr="002D5050">
              <w:rPr>
                <w:color w:val="000000"/>
              </w:rPr>
              <w:t>Lielākās mērķgrupas no bezdarbnieku kopskaita ir bezdarbnieki vecumā 5</w:t>
            </w:r>
            <w:r w:rsidR="00BD282E" w:rsidRPr="002D5050">
              <w:rPr>
                <w:color w:val="000000"/>
              </w:rPr>
              <w:t>0</w:t>
            </w:r>
            <w:r w:rsidRPr="002D5050">
              <w:rPr>
                <w:color w:val="000000"/>
              </w:rPr>
              <w:t xml:space="preserve"> gadi un vairāk – </w:t>
            </w:r>
            <w:r w:rsidR="00F6005F" w:rsidRPr="002D5050">
              <w:rPr>
                <w:color w:val="000000"/>
              </w:rPr>
              <w:t>40</w:t>
            </w:r>
            <w:r w:rsidRPr="002D5050">
              <w:rPr>
                <w:color w:val="000000"/>
              </w:rPr>
              <w:t>,</w:t>
            </w:r>
            <w:r w:rsidR="00F6005F" w:rsidRPr="002D5050">
              <w:rPr>
                <w:color w:val="000000"/>
              </w:rPr>
              <w:t>0</w:t>
            </w:r>
            <w:r w:rsidRPr="002D5050">
              <w:rPr>
                <w:color w:val="000000"/>
              </w:rPr>
              <w:t>%, ilgstošie bezdarbnieki – 2</w:t>
            </w:r>
            <w:r w:rsidR="00F6005F" w:rsidRPr="002D5050">
              <w:rPr>
                <w:color w:val="000000"/>
              </w:rPr>
              <w:t>1</w:t>
            </w:r>
            <w:r w:rsidRPr="002D5050">
              <w:rPr>
                <w:color w:val="000000"/>
              </w:rPr>
              <w:t>,</w:t>
            </w:r>
            <w:r w:rsidR="00F6005F" w:rsidRPr="002D5050">
              <w:rPr>
                <w:color w:val="000000"/>
              </w:rPr>
              <w:t>0</w:t>
            </w:r>
            <w:r w:rsidRPr="002D5050">
              <w:rPr>
                <w:color w:val="000000"/>
              </w:rPr>
              <w:t>%</w:t>
            </w:r>
            <w:r w:rsidR="00F6005F" w:rsidRPr="002D5050">
              <w:rPr>
                <w:color w:val="000000"/>
              </w:rPr>
              <w:t xml:space="preserve">, pirms-pensijas vecuma bezdarbnieki – 16,2%, </w:t>
            </w:r>
            <w:r w:rsidRPr="002D5050">
              <w:rPr>
                <w:color w:val="000000"/>
              </w:rPr>
              <w:t xml:space="preserve"> bezdarbnieki ar invaliditāti – 1</w:t>
            </w:r>
            <w:r w:rsidR="00BD282E" w:rsidRPr="002D5050">
              <w:rPr>
                <w:color w:val="000000"/>
              </w:rPr>
              <w:t>3</w:t>
            </w:r>
            <w:r w:rsidRPr="002D5050">
              <w:rPr>
                <w:color w:val="000000"/>
              </w:rPr>
              <w:t>,</w:t>
            </w:r>
            <w:r w:rsidR="00F6005F" w:rsidRPr="002D5050">
              <w:rPr>
                <w:color w:val="000000"/>
              </w:rPr>
              <w:t>9</w:t>
            </w:r>
            <w:r w:rsidRPr="002D5050">
              <w:rPr>
                <w:color w:val="000000"/>
              </w:rPr>
              <w:t>%.</w:t>
            </w:r>
          </w:p>
          <w:p w14:paraId="63FD86F1" w14:textId="77777777" w:rsidR="00153D54" w:rsidRPr="00153D54" w:rsidRDefault="00153D54" w:rsidP="00153D54">
            <w:pPr>
              <w:jc w:val="both"/>
              <w:rPr>
                <w:color w:val="000000"/>
              </w:rPr>
            </w:pPr>
            <w:r w:rsidRPr="00153D54">
              <w:rPr>
                <w:color w:val="000000"/>
              </w:rPr>
              <w:t>Mikrouzņēmumu darbinieku (t.sk. mikrouzņēmuma īpašnieki) skaits, kuri  vienlaicīgi ir darba ņēmēja statusā - 42 082.</w:t>
            </w:r>
          </w:p>
          <w:p w14:paraId="5F9CC3D5" w14:textId="102EC610" w:rsidR="00153D54" w:rsidRPr="002D5050" w:rsidRDefault="00153D54" w:rsidP="00153D54">
            <w:pPr>
              <w:jc w:val="both"/>
              <w:rPr>
                <w:color w:val="000000"/>
              </w:rPr>
            </w:pPr>
            <w:r w:rsidRPr="00153D54">
              <w:rPr>
                <w:color w:val="000000"/>
              </w:rPr>
              <w:t>Pašnodarbinātie, kuri vienlaikus ir darba ņēmēja statusā- 5688.</w:t>
            </w:r>
          </w:p>
        </w:tc>
      </w:tr>
      <w:tr w:rsidR="008D68DB" w:rsidRPr="002D5050" w14:paraId="5610D374" w14:textId="77777777">
        <w:tc>
          <w:tcPr>
            <w:tcW w:w="397" w:type="dxa"/>
            <w:shd w:val="clear" w:color="000000" w:fill="auto"/>
          </w:tcPr>
          <w:p w14:paraId="6BDC33EB" w14:textId="77777777" w:rsidR="008D68DB" w:rsidRPr="002D5050" w:rsidRDefault="00DF37EA">
            <w:pPr>
              <w:rPr>
                <w:sz w:val="22"/>
                <w:szCs w:val="22"/>
              </w:rPr>
            </w:pPr>
            <w:r w:rsidRPr="002D5050">
              <w:rPr>
                <w:sz w:val="22"/>
                <w:szCs w:val="22"/>
              </w:rPr>
              <w:t xml:space="preserve">2. </w:t>
            </w:r>
          </w:p>
        </w:tc>
        <w:tc>
          <w:tcPr>
            <w:tcW w:w="2410" w:type="dxa"/>
            <w:shd w:val="clear" w:color="000000" w:fill="auto"/>
          </w:tcPr>
          <w:p w14:paraId="79C0A2EC" w14:textId="77777777" w:rsidR="008D68DB" w:rsidRPr="002D5050" w:rsidRDefault="00DF37EA">
            <w:r w:rsidRPr="002D5050">
              <w:t>Tiesiskā regulējuma ietekme uz tautsaimniecību un administratīvo slogu</w:t>
            </w:r>
          </w:p>
        </w:tc>
        <w:tc>
          <w:tcPr>
            <w:tcW w:w="6407" w:type="dxa"/>
            <w:shd w:val="clear" w:color="000000" w:fill="auto"/>
          </w:tcPr>
          <w:p w14:paraId="6E372EF1" w14:textId="321B5382" w:rsidR="008D68DB" w:rsidRPr="002D5050" w:rsidRDefault="00B71BC2" w:rsidP="00B71BC2">
            <w:pPr>
              <w:widowControl w:val="0"/>
              <w:tabs>
                <w:tab w:val="left" w:pos="1276"/>
              </w:tabs>
              <w:spacing w:after="240"/>
              <w:jc w:val="both"/>
              <w:rPr>
                <w:bCs/>
              </w:rPr>
            </w:pPr>
            <w:r w:rsidRPr="002D5050">
              <w:rPr>
                <w:bCs/>
              </w:rPr>
              <w:t xml:space="preserve">Minētajām personām tiks nodrošināta iespēja iegūt bezdarbnieka statusu un saņemt bezdarbniekiem pieejamos atbalsta pasākumus. </w:t>
            </w:r>
            <w:r w:rsidR="00264FF1" w:rsidRPr="002D5050">
              <w:rPr>
                <w:bCs/>
              </w:rPr>
              <w:t>Aktīvie nodarbinātības pasākumi un preventīvie bezdarba samazināšanas pasākumi atstāj labvēlīgu ietekmi uz iedzīvotāju ekonomisko aktivitāti un konkurētspēju da</w:t>
            </w:r>
            <w:r w:rsidR="00DB361C" w:rsidRPr="002D5050">
              <w:rPr>
                <w:bCs/>
              </w:rPr>
              <w:t>rba tirgū</w:t>
            </w:r>
            <w:r w:rsidR="000860BD" w:rsidRPr="002D5050">
              <w:rPr>
                <w:bCs/>
              </w:rPr>
              <w:t xml:space="preserve">, tāpat  nodrošina arī ienākumus bezdarba periodā, </w:t>
            </w:r>
            <w:r w:rsidR="000A0168" w:rsidRPr="002D5050">
              <w:rPr>
                <w:bCs/>
              </w:rPr>
              <w:t>kur</w:t>
            </w:r>
            <w:r w:rsidR="006D5530" w:rsidRPr="002D5050">
              <w:rPr>
                <w:bCs/>
              </w:rPr>
              <w:t>i tiek</w:t>
            </w:r>
            <w:r w:rsidR="000A0168" w:rsidRPr="002D5050">
              <w:rPr>
                <w:bCs/>
              </w:rPr>
              <w:t xml:space="preserve"> izmanto</w:t>
            </w:r>
            <w:r w:rsidR="006D5530" w:rsidRPr="002D5050">
              <w:rPr>
                <w:bCs/>
              </w:rPr>
              <w:t>ti</w:t>
            </w:r>
            <w:r w:rsidR="000A0168" w:rsidRPr="002D5050">
              <w:rPr>
                <w:bCs/>
              </w:rPr>
              <w:t xml:space="preserve"> </w:t>
            </w:r>
            <w:r w:rsidR="006D5530" w:rsidRPr="002D5050">
              <w:rPr>
                <w:bCs/>
              </w:rPr>
              <w:t xml:space="preserve">patēriņam un </w:t>
            </w:r>
            <w:r w:rsidR="000860BD" w:rsidRPr="002D5050">
              <w:rPr>
                <w:bCs/>
              </w:rPr>
              <w:t>pamatvajadzību nodrošināšanai</w:t>
            </w:r>
            <w:r w:rsidR="00DB361C" w:rsidRPr="002D5050">
              <w:rPr>
                <w:bCs/>
              </w:rPr>
              <w:t xml:space="preserve">. </w:t>
            </w:r>
          </w:p>
        </w:tc>
      </w:tr>
      <w:tr w:rsidR="00B27319" w:rsidRPr="002D5050" w14:paraId="02ACC8FF" w14:textId="77777777">
        <w:tc>
          <w:tcPr>
            <w:tcW w:w="397" w:type="dxa"/>
            <w:shd w:val="clear" w:color="000000" w:fill="auto"/>
          </w:tcPr>
          <w:p w14:paraId="5E8CE560" w14:textId="77777777" w:rsidR="00B27319" w:rsidRPr="002D5050" w:rsidRDefault="00B27319" w:rsidP="00B27319">
            <w:pPr>
              <w:rPr>
                <w:sz w:val="22"/>
                <w:szCs w:val="22"/>
              </w:rPr>
            </w:pPr>
            <w:r w:rsidRPr="002D5050">
              <w:rPr>
                <w:sz w:val="22"/>
                <w:szCs w:val="22"/>
              </w:rPr>
              <w:t>3.</w:t>
            </w:r>
          </w:p>
        </w:tc>
        <w:tc>
          <w:tcPr>
            <w:tcW w:w="2410" w:type="dxa"/>
            <w:shd w:val="clear" w:color="000000" w:fill="auto"/>
          </w:tcPr>
          <w:p w14:paraId="5E4884B7" w14:textId="587230FC" w:rsidR="00B27319" w:rsidRPr="002D5050" w:rsidRDefault="00B27319" w:rsidP="00B27319">
            <w:r w:rsidRPr="002D5050">
              <w:t>Administratīvo izmaksu monetārs novērtējums</w:t>
            </w:r>
          </w:p>
        </w:tc>
        <w:tc>
          <w:tcPr>
            <w:tcW w:w="6407" w:type="dxa"/>
            <w:shd w:val="clear" w:color="000000" w:fill="auto"/>
          </w:tcPr>
          <w:p w14:paraId="1F184F74" w14:textId="0F5FFB14" w:rsidR="00B27319" w:rsidRPr="002D5050" w:rsidRDefault="00B27319" w:rsidP="00B27319">
            <w:pPr>
              <w:jc w:val="both"/>
              <w:rPr>
                <w:i/>
                <w:color w:val="000000"/>
              </w:rPr>
            </w:pPr>
            <w:r w:rsidRPr="002D5050">
              <w:rPr>
                <w:color w:val="000000"/>
              </w:rPr>
              <w:t>Likumprojekts šo jomu neskar.</w:t>
            </w:r>
          </w:p>
        </w:tc>
      </w:tr>
      <w:tr w:rsidR="00B27319" w:rsidRPr="002D5050" w14:paraId="2B7256D5" w14:textId="77777777">
        <w:tc>
          <w:tcPr>
            <w:tcW w:w="397" w:type="dxa"/>
            <w:shd w:val="clear" w:color="000000" w:fill="auto"/>
          </w:tcPr>
          <w:p w14:paraId="39A7866D" w14:textId="77777777" w:rsidR="00B27319" w:rsidRPr="002D5050" w:rsidRDefault="00B27319" w:rsidP="00B27319">
            <w:pPr>
              <w:rPr>
                <w:sz w:val="22"/>
                <w:szCs w:val="22"/>
              </w:rPr>
            </w:pPr>
            <w:r w:rsidRPr="002D5050">
              <w:rPr>
                <w:sz w:val="22"/>
                <w:szCs w:val="22"/>
              </w:rPr>
              <w:lastRenderedPageBreak/>
              <w:t xml:space="preserve">4. </w:t>
            </w:r>
          </w:p>
        </w:tc>
        <w:tc>
          <w:tcPr>
            <w:tcW w:w="2410" w:type="dxa"/>
            <w:shd w:val="clear" w:color="000000" w:fill="auto"/>
          </w:tcPr>
          <w:p w14:paraId="6ADCC862" w14:textId="7A134F40" w:rsidR="00B27319" w:rsidRPr="002D5050" w:rsidRDefault="00B27319" w:rsidP="00B27319">
            <w:r w:rsidRPr="00FB3ACE">
              <w:rPr>
                <w:iCs/>
              </w:rPr>
              <w:t>Atbilstības izmaksu monetārs novērtējums</w:t>
            </w:r>
          </w:p>
        </w:tc>
        <w:tc>
          <w:tcPr>
            <w:tcW w:w="6407" w:type="dxa"/>
            <w:shd w:val="clear" w:color="000000" w:fill="auto"/>
          </w:tcPr>
          <w:p w14:paraId="33003EB4" w14:textId="566D2A94" w:rsidR="00B27319" w:rsidRPr="002D5050" w:rsidRDefault="00B27319" w:rsidP="00B27319">
            <w:pPr>
              <w:jc w:val="both"/>
              <w:rPr>
                <w:color w:val="000000"/>
              </w:rPr>
            </w:pPr>
            <w:r w:rsidRPr="002D5050">
              <w:rPr>
                <w:color w:val="000000"/>
              </w:rPr>
              <w:t>Likumprojekts šo jomu neskar.</w:t>
            </w:r>
          </w:p>
        </w:tc>
      </w:tr>
      <w:tr w:rsidR="00B27319" w:rsidRPr="002D5050" w14:paraId="6CE289D4" w14:textId="77777777" w:rsidTr="00B27319">
        <w:tc>
          <w:tcPr>
            <w:tcW w:w="397" w:type="dxa"/>
            <w:tcBorders>
              <w:top w:val="single" w:sz="4" w:space="0" w:color="000000"/>
              <w:left w:val="single" w:sz="4" w:space="0" w:color="000000"/>
              <w:bottom w:val="single" w:sz="4" w:space="0" w:color="000000"/>
              <w:right w:val="single" w:sz="4" w:space="0" w:color="000000"/>
            </w:tcBorders>
            <w:shd w:val="clear" w:color="000000" w:fill="auto"/>
          </w:tcPr>
          <w:p w14:paraId="0F67BEE9" w14:textId="12E16BE9" w:rsidR="00B27319" w:rsidRPr="002D5050" w:rsidRDefault="00B27319" w:rsidP="009F6543">
            <w:pPr>
              <w:rPr>
                <w:sz w:val="22"/>
                <w:szCs w:val="22"/>
              </w:rPr>
            </w:pPr>
            <w:r>
              <w:rPr>
                <w:sz w:val="22"/>
                <w:szCs w:val="22"/>
              </w:rPr>
              <w:t>5</w:t>
            </w:r>
            <w:r w:rsidRPr="002D5050">
              <w:rPr>
                <w:sz w:val="22"/>
                <w:szCs w:val="22"/>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000000" w:fill="auto"/>
          </w:tcPr>
          <w:p w14:paraId="1A13B4D5" w14:textId="77777777" w:rsidR="00B27319" w:rsidRPr="002D5050" w:rsidRDefault="00B27319" w:rsidP="009F6543">
            <w:r w:rsidRPr="002D5050">
              <w:t>Cita informācija</w:t>
            </w:r>
          </w:p>
        </w:tc>
        <w:tc>
          <w:tcPr>
            <w:tcW w:w="6407" w:type="dxa"/>
            <w:tcBorders>
              <w:top w:val="single" w:sz="4" w:space="0" w:color="000000"/>
              <w:left w:val="single" w:sz="4" w:space="0" w:color="000000"/>
              <w:bottom w:val="single" w:sz="4" w:space="0" w:color="000000"/>
              <w:right w:val="single" w:sz="4" w:space="0" w:color="000000"/>
            </w:tcBorders>
            <w:shd w:val="clear" w:color="000000" w:fill="auto"/>
          </w:tcPr>
          <w:p w14:paraId="010D0E19" w14:textId="77777777" w:rsidR="00B27319" w:rsidRPr="002D5050" w:rsidRDefault="00B27319" w:rsidP="009F6543">
            <w:pPr>
              <w:jc w:val="both"/>
              <w:rPr>
                <w:color w:val="000000"/>
              </w:rPr>
            </w:pPr>
            <w:r w:rsidRPr="002D5050">
              <w:rPr>
                <w:color w:val="000000"/>
              </w:rPr>
              <w:t>Nav.</w:t>
            </w:r>
          </w:p>
        </w:tc>
      </w:tr>
    </w:tbl>
    <w:p w14:paraId="650CA43A" w14:textId="77777777" w:rsidR="00E60A07" w:rsidRPr="002D5050" w:rsidRDefault="00E60A07"/>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70"/>
      </w:tblGrid>
      <w:tr w:rsidR="000F0E16" w:rsidRPr="002D5050" w14:paraId="792306EF" w14:textId="77777777" w:rsidTr="00AF53FF">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091EC4D" w14:textId="460B5CD0" w:rsidR="000F0E16" w:rsidRPr="009B2F24" w:rsidRDefault="000F0E16" w:rsidP="001F002D">
            <w:pPr>
              <w:spacing w:before="100" w:beforeAutospacing="1" w:after="100" w:afterAutospacing="1" w:line="293" w:lineRule="atLeast"/>
              <w:jc w:val="center"/>
              <w:rPr>
                <w:b/>
                <w:bCs/>
              </w:rPr>
            </w:pPr>
            <w:r w:rsidRPr="009B2F24">
              <w:rPr>
                <w:b/>
                <w:bCs/>
              </w:rPr>
              <w:t>III. Tiesību akta projekta ietekme uz valsts budžetu un pašvaldību budžetiem</w:t>
            </w:r>
          </w:p>
        </w:tc>
      </w:tr>
      <w:tr w:rsidR="000F0E16" w:rsidRPr="002D5050" w14:paraId="29C3CF07" w14:textId="77777777" w:rsidTr="00AF53FF">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FCDEB2C" w14:textId="3F1AC3AA" w:rsidR="000F0E16" w:rsidRPr="00C045D6" w:rsidRDefault="00B71BC2" w:rsidP="00AE2AC1">
            <w:pPr>
              <w:jc w:val="both"/>
              <w:rPr>
                <w:b/>
                <w:bCs/>
              </w:rPr>
            </w:pPr>
            <w:r w:rsidRPr="00C045D6">
              <w:t>Likum</w:t>
            </w:r>
            <w:r w:rsidR="000F0E16" w:rsidRPr="00C045D6">
              <w:t>projekt</w:t>
            </w:r>
            <w:r w:rsidR="007A73D4">
              <w:t>a</w:t>
            </w:r>
            <w:r w:rsidR="003B565F" w:rsidRPr="00C045D6">
              <w:t xml:space="preserve"> īstenošanai var būt nepieciešami papildus valsts </w:t>
            </w:r>
            <w:r w:rsidR="00700436" w:rsidRPr="00C045D6">
              <w:t>sociālās apdrošināšanas speciālā</w:t>
            </w:r>
            <w:r w:rsidR="008D2910" w:rsidRPr="00C045D6">
              <w:t xml:space="preserve"> </w:t>
            </w:r>
            <w:r w:rsidR="003B565F" w:rsidRPr="00C045D6">
              <w:t>budžeta līdzekļi</w:t>
            </w:r>
            <w:r w:rsidR="0046261C" w:rsidRPr="00C045D6">
              <w:t xml:space="preserve"> (indikatīvā ietekme 1 368 400 </w:t>
            </w:r>
            <w:proofErr w:type="spellStart"/>
            <w:r w:rsidR="0046261C" w:rsidRPr="00C045D6">
              <w:t>euro</w:t>
            </w:r>
            <w:proofErr w:type="spellEnd"/>
            <w:r w:rsidR="0046261C" w:rsidRPr="00C045D6">
              <w:t xml:space="preserve"> (500</w:t>
            </w:r>
            <w:r w:rsidR="00187107">
              <w:t xml:space="preserve"> </w:t>
            </w:r>
            <w:r w:rsidR="0046261C" w:rsidRPr="00C045D6">
              <w:t xml:space="preserve">saņēmēji x 342.10 </w:t>
            </w:r>
            <w:proofErr w:type="spellStart"/>
            <w:r w:rsidR="0046261C" w:rsidRPr="00C045D6">
              <w:t>euro</w:t>
            </w:r>
            <w:proofErr w:type="spellEnd"/>
            <w:r w:rsidR="0046261C" w:rsidRPr="00C045D6">
              <w:t xml:space="preserve"> x 8 mēneši)</w:t>
            </w:r>
            <w:r w:rsidR="00D62CA4" w:rsidRPr="00C045D6">
              <w:t>, kas, nepieciešamības gadījumā</w:t>
            </w:r>
            <w:r w:rsidR="009B2F24" w:rsidRPr="00C045D6">
              <w:t>,</w:t>
            </w:r>
            <w:r w:rsidR="00E27A19">
              <w:t xml:space="preserve"> tiks </w:t>
            </w:r>
            <w:r w:rsidR="00D62CA4" w:rsidRPr="00C045D6">
              <w:t xml:space="preserve">pieprasīti </w:t>
            </w:r>
            <w:r w:rsidR="00AE2AC1" w:rsidRPr="00C045D6">
              <w:t xml:space="preserve">vai nu </w:t>
            </w:r>
            <w:r w:rsidR="00D62CA4" w:rsidRPr="00C045D6">
              <w:t xml:space="preserve">atbilstoši </w:t>
            </w:r>
            <w:r w:rsidR="00AE2AC1" w:rsidRPr="00C045D6">
              <w:t>“</w:t>
            </w:r>
            <w:r w:rsidR="00D62CA4" w:rsidRPr="00C045D6">
              <w:t>Likuma par budžetu un finanšu vadību</w:t>
            </w:r>
            <w:r w:rsidR="00AE2AC1" w:rsidRPr="00C045D6">
              <w:t>”</w:t>
            </w:r>
            <w:r w:rsidR="00D62CA4" w:rsidRPr="00C045D6">
              <w:t xml:space="preserve"> 9.panta 14.daļas 6.punktam</w:t>
            </w:r>
            <w:r w:rsidR="00A03932" w:rsidRPr="00C045D6">
              <w:t>, kas nosaka, ka finanšu ministram ir tiesības palielināt gadskārtējā valsts budžeta likumā noteikto apropriāciju normatīvajos aktos noteikto speciālā budžeta izdevumu segšanai, ja Saeimas Budžeta un finanšu (nodokļu) komisija piecu darba dienu laikā no attiecīgās informācijas saņemšanas ir izskatījusi to un nav iebildusi pret apropriācijas palielinājumu</w:t>
            </w:r>
            <w:r w:rsidR="00AE2AC1" w:rsidRPr="00C045D6">
              <w:t xml:space="preserve">, vai arī atbilstoši “Likuma par valsts apdraudējuma un tā seku novēršanas un pārvarēšanas pasākumiem sakarā ar </w:t>
            </w:r>
            <w:proofErr w:type="spellStart"/>
            <w:r w:rsidR="00AE2AC1" w:rsidRPr="00C045D6">
              <w:t>Covid-19</w:t>
            </w:r>
            <w:proofErr w:type="spellEnd"/>
            <w:r w:rsidR="00AE2AC1" w:rsidRPr="00C045D6">
              <w:t xml:space="preserve"> izplatību” 22. pantam, kas nosaka, ka finanšu ministram ir tiesības, informējot par to Saeimu, veikt apropriācijas izmaiņas, tai skaitā, apropriācijas samazināšanu vai pārdali starp ministrijām un citām  centrālajām valsts iestādēm ar </w:t>
            </w:r>
            <w:proofErr w:type="spellStart"/>
            <w:r w:rsidR="00AE2AC1" w:rsidRPr="00C045D6">
              <w:t>Covid-19</w:t>
            </w:r>
            <w:proofErr w:type="spellEnd"/>
            <w:r w:rsidR="00AE2AC1" w:rsidRPr="00C045D6">
              <w:t xml:space="preserve"> izplatību saistītā valsts apdraudējuma un tā seku novēršanas un pārvarēšanas pasākumiem, ja ir pieņemts attiecīgs Ministru kabineta lēmums, kā arī veikt apropriācijas pārdali ministrijai vai citai centrālajai valsts iestādei likumā noteiktās apropriācijas ietvaros starp programmām, apakšprogrammām un izdevumu kodiem atbilstoši ekonomiskajām kategorijām.</w:t>
            </w:r>
          </w:p>
        </w:tc>
      </w:tr>
    </w:tbl>
    <w:p w14:paraId="757D0D00" w14:textId="77777777" w:rsidR="007A73D4" w:rsidRDefault="007A73D4"/>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70"/>
      </w:tblGrid>
      <w:tr w:rsidR="00B87D06" w:rsidRPr="002D5050" w14:paraId="4E462424" w14:textId="77777777" w:rsidTr="00D37F14">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83B840F" w14:textId="1B04E6CC" w:rsidR="00B87D06" w:rsidRPr="002D5050" w:rsidRDefault="00B87D06" w:rsidP="00D37F14">
            <w:pPr>
              <w:spacing w:before="100" w:beforeAutospacing="1" w:after="100" w:afterAutospacing="1" w:line="293" w:lineRule="atLeast"/>
              <w:jc w:val="center"/>
              <w:rPr>
                <w:b/>
                <w:bCs/>
              </w:rPr>
            </w:pPr>
            <w:r>
              <w:rPr>
                <w:b/>
                <w:bCs/>
              </w:rPr>
              <w:t>IV. Tiesību akta projekta ietekme uz spēkā esošo tiesību normu sistēmu</w:t>
            </w:r>
          </w:p>
        </w:tc>
      </w:tr>
      <w:tr w:rsidR="00B87D06" w:rsidRPr="002D5050" w14:paraId="40BEC6A1" w14:textId="77777777" w:rsidTr="00D37F14">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3E55A1B" w14:textId="77777777" w:rsidR="00B87D06" w:rsidRPr="002D5050" w:rsidRDefault="00B87D06" w:rsidP="00D37F14">
            <w:pPr>
              <w:spacing w:before="100" w:beforeAutospacing="1" w:after="100" w:afterAutospacing="1" w:line="293" w:lineRule="atLeast"/>
              <w:jc w:val="center"/>
              <w:rPr>
                <w:b/>
                <w:bCs/>
                <w:color w:val="414142"/>
              </w:rPr>
            </w:pPr>
            <w:r w:rsidRPr="002D5050">
              <w:t>Likum</w:t>
            </w:r>
            <w:r>
              <w:t>projekts</w:t>
            </w:r>
            <w:r w:rsidRPr="002D5050">
              <w:t xml:space="preserve"> šo jomu neskar</w:t>
            </w:r>
          </w:p>
        </w:tc>
      </w:tr>
    </w:tbl>
    <w:p w14:paraId="07490669" w14:textId="4CB6FCBB" w:rsidR="007A73D4" w:rsidRPr="002D5050" w:rsidRDefault="007A73D4"/>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70"/>
      </w:tblGrid>
      <w:tr w:rsidR="00DB361C" w:rsidRPr="002D5050" w14:paraId="30E4F0BE" w14:textId="77777777" w:rsidTr="00FC074B">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83EEBB2" w14:textId="350FC2E9" w:rsidR="00DB361C" w:rsidRPr="002D5050" w:rsidRDefault="00DB361C" w:rsidP="00FC074B">
            <w:pPr>
              <w:spacing w:before="100" w:beforeAutospacing="1" w:after="100" w:afterAutospacing="1" w:line="293" w:lineRule="atLeast"/>
              <w:jc w:val="center"/>
              <w:rPr>
                <w:b/>
                <w:bCs/>
              </w:rPr>
            </w:pPr>
            <w:r w:rsidRPr="002D5050">
              <w:rPr>
                <w:b/>
                <w:bCs/>
              </w:rPr>
              <w:t>V. Tiesību akta projekta atbilstība Latvijas Republikas starptautiskajām saistībām</w:t>
            </w:r>
          </w:p>
        </w:tc>
      </w:tr>
      <w:tr w:rsidR="00DB361C" w:rsidRPr="002D5050" w14:paraId="147E07C3" w14:textId="77777777" w:rsidTr="00FC074B">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9F48423" w14:textId="07ED30B8" w:rsidR="00DB361C" w:rsidRPr="002D5050" w:rsidRDefault="00AC319E" w:rsidP="00FC074B">
            <w:pPr>
              <w:spacing w:before="100" w:beforeAutospacing="1" w:after="100" w:afterAutospacing="1" w:line="293" w:lineRule="atLeast"/>
              <w:jc w:val="center"/>
              <w:rPr>
                <w:b/>
                <w:bCs/>
                <w:color w:val="414142"/>
              </w:rPr>
            </w:pPr>
            <w:r w:rsidRPr="002D5050">
              <w:t>Likum</w:t>
            </w:r>
            <w:r w:rsidR="007A73D4">
              <w:t>projekts</w:t>
            </w:r>
            <w:r w:rsidR="00DB361C" w:rsidRPr="002D5050">
              <w:t xml:space="preserve"> šo jomu neskar</w:t>
            </w:r>
          </w:p>
        </w:tc>
      </w:tr>
    </w:tbl>
    <w:p w14:paraId="3CF03EEF" w14:textId="69147937" w:rsidR="001F002D" w:rsidRPr="002D5050" w:rsidRDefault="001F002D"/>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3030"/>
        <w:gridCol w:w="5675"/>
      </w:tblGrid>
      <w:tr w:rsidR="008D68DB" w:rsidRPr="002D5050" w14:paraId="5DD4BAC2" w14:textId="77777777" w:rsidTr="00DB361C">
        <w:trPr>
          <w:trHeight w:val="281"/>
        </w:trPr>
        <w:tc>
          <w:tcPr>
            <w:tcW w:w="9356" w:type="dxa"/>
            <w:gridSpan w:val="3"/>
            <w:shd w:val="clear" w:color="000000" w:fill="auto"/>
          </w:tcPr>
          <w:p w14:paraId="2FAB6880" w14:textId="77777777" w:rsidR="008D68DB" w:rsidRPr="002D5050" w:rsidRDefault="00DF37EA">
            <w:pPr>
              <w:jc w:val="center"/>
              <w:rPr>
                <w:b/>
              </w:rPr>
            </w:pPr>
            <w:r w:rsidRPr="002D5050">
              <w:rPr>
                <w:b/>
              </w:rPr>
              <w:t>VI. Sabiedrības līdzdalība un komunikācijas aktivitātes</w:t>
            </w:r>
          </w:p>
        </w:tc>
      </w:tr>
      <w:tr w:rsidR="008D68DB" w:rsidRPr="002D5050" w14:paraId="4377747E" w14:textId="77777777" w:rsidTr="00DB361C">
        <w:trPr>
          <w:trHeight w:val="1141"/>
        </w:trPr>
        <w:tc>
          <w:tcPr>
            <w:tcW w:w="651" w:type="dxa"/>
            <w:shd w:val="clear" w:color="000000" w:fill="auto"/>
          </w:tcPr>
          <w:p w14:paraId="450D9086" w14:textId="77777777" w:rsidR="008D68DB" w:rsidRPr="002D5050" w:rsidRDefault="00DF37EA">
            <w:r w:rsidRPr="002D5050">
              <w:t xml:space="preserve">1. </w:t>
            </w:r>
          </w:p>
        </w:tc>
        <w:tc>
          <w:tcPr>
            <w:tcW w:w="3030" w:type="dxa"/>
            <w:shd w:val="clear" w:color="000000" w:fill="auto"/>
          </w:tcPr>
          <w:p w14:paraId="346E3BAC" w14:textId="77777777" w:rsidR="008D68DB" w:rsidRPr="002D5050" w:rsidRDefault="00DF37EA">
            <w:pPr>
              <w:pStyle w:val="naiskr"/>
              <w:ind w:left="57" w:right="57"/>
            </w:pPr>
            <w:r w:rsidRPr="002D5050">
              <w:t>Plānotās sabiedrības līdzdalības un komunikācijas aktivitātes saistībā ar projektu</w:t>
            </w:r>
          </w:p>
        </w:tc>
        <w:tc>
          <w:tcPr>
            <w:tcW w:w="5675" w:type="dxa"/>
            <w:shd w:val="clear" w:color="000000" w:fill="auto"/>
          </w:tcPr>
          <w:p w14:paraId="03F40AE8" w14:textId="5FBB87D0" w:rsidR="008D68DB" w:rsidRPr="002D5050" w:rsidRDefault="00DB361C">
            <w:pPr>
              <w:jc w:val="both"/>
            </w:pPr>
            <w:r w:rsidRPr="002D5050">
              <w:t>I</w:t>
            </w:r>
            <w:r w:rsidR="0040133A" w:rsidRPr="002D5050">
              <w:t>e</w:t>
            </w:r>
            <w:r w:rsidRPr="002D5050">
              <w:t xml:space="preserve">vērojot ārkārtējās </w:t>
            </w:r>
            <w:r w:rsidR="0040133A" w:rsidRPr="002D5050">
              <w:t xml:space="preserve">situācijas izsludināšanu un nepieciešamo izmaiņu steidzamību, sabiedrības līdzdalības un komunikācijas aktivitātes netiek plānotas. </w:t>
            </w:r>
          </w:p>
          <w:p w14:paraId="44531C74" w14:textId="77777777" w:rsidR="008D68DB" w:rsidRPr="002D5050" w:rsidRDefault="008D68DB">
            <w:pPr>
              <w:jc w:val="both"/>
              <w:rPr>
                <w:color w:val="FF0000"/>
              </w:rPr>
            </w:pPr>
          </w:p>
        </w:tc>
      </w:tr>
      <w:tr w:rsidR="008D68DB" w:rsidRPr="002D5050" w14:paraId="1772AE3E" w14:textId="77777777" w:rsidTr="00DB361C">
        <w:trPr>
          <w:trHeight w:val="681"/>
        </w:trPr>
        <w:tc>
          <w:tcPr>
            <w:tcW w:w="651" w:type="dxa"/>
            <w:shd w:val="clear" w:color="000000" w:fill="auto"/>
          </w:tcPr>
          <w:p w14:paraId="58BCE442" w14:textId="77777777" w:rsidR="008D68DB" w:rsidRPr="002D5050" w:rsidRDefault="00DF37EA">
            <w:r w:rsidRPr="002D5050">
              <w:t xml:space="preserve">2. </w:t>
            </w:r>
          </w:p>
        </w:tc>
        <w:tc>
          <w:tcPr>
            <w:tcW w:w="3030" w:type="dxa"/>
            <w:shd w:val="clear" w:color="000000" w:fill="auto"/>
          </w:tcPr>
          <w:p w14:paraId="618D93B0" w14:textId="77777777" w:rsidR="008D68DB" w:rsidRPr="002D5050" w:rsidRDefault="00DF37EA">
            <w:pPr>
              <w:pStyle w:val="naiskr"/>
              <w:ind w:left="57" w:right="57"/>
            </w:pPr>
            <w:r w:rsidRPr="002D5050">
              <w:t xml:space="preserve">Sabiedrības līdzdalība projekta izstrādē </w:t>
            </w:r>
          </w:p>
        </w:tc>
        <w:tc>
          <w:tcPr>
            <w:tcW w:w="5675" w:type="dxa"/>
            <w:shd w:val="clear" w:color="000000" w:fill="auto"/>
          </w:tcPr>
          <w:p w14:paraId="0F67AD5E" w14:textId="5CCAE288" w:rsidR="008D68DB" w:rsidRPr="002D5050" w:rsidRDefault="0040133A">
            <w:pPr>
              <w:jc w:val="both"/>
              <w:rPr>
                <w:i/>
                <w:color w:val="FF0000"/>
              </w:rPr>
            </w:pPr>
            <w:r w:rsidRPr="002D5050">
              <w:t>Nav.</w:t>
            </w:r>
          </w:p>
        </w:tc>
      </w:tr>
      <w:tr w:rsidR="008D68DB" w:rsidRPr="002D5050" w14:paraId="409485A1" w14:textId="77777777" w:rsidTr="00805363">
        <w:trPr>
          <w:trHeight w:val="968"/>
        </w:trPr>
        <w:tc>
          <w:tcPr>
            <w:tcW w:w="651" w:type="dxa"/>
            <w:shd w:val="clear" w:color="000000" w:fill="auto"/>
          </w:tcPr>
          <w:p w14:paraId="259331C1" w14:textId="77777777" w:rsidR="008D68DB" w:rsidRPr="002D5050" w:rsidRDefault="00DF37EA">
            <w:r w:rsidRPr="002D5050">
              <w:t>3.</w:t>
            </w:r>
          </w:p>
        </w:tc>
        <w:tc>
          <w:tcPr>
            <w:tcW w:w="3030" w:type="dxa"/>
            <w:shd w:val="clear" w:color="000000" w:fill="auto"/>
          </w:tcPr>
          <w:p w14:paraId="1AE8798E" w14:textId="77777777" w:rsidR="008D68DB" w:rsidRPr="002D5050" w:rsidRDefault="00DF37EA">
            <w:pPr>
              <w:pStyle w:val="naiskr"/>
              <w:ind w:left="57" w:right="57"/>
            </w:pPr>
            <w:r w:rsidRPr="002D5050">
              <w:t xml:space="preserve">Sabiedrības līdzdalības rezultāti </w:t>
            </w:r>
          </w:p>
        </w:tc>
        <w:tc>
          <w:tcPr>
            <w:tcW w:w="5675" w:type="dxa"/>
            <w:shd w:val="clear" w:color="000000" w:fill="auto"/>
          </w:tcPr>
          <w:p w14:paraId="638BF827" w14:textId="28E1CE9C" w:rsidR="008D68DB" w:rsidRPr="002D5050" w:rsidRDefault="0040133A">
            <w:pPr>
              <w:ind w:right="57"/>
              <w:jc w:val="both"/>
            </w:pPr>
            <w:r w:rsidRPr="002D5050">
              <w:t>Nav.</w:t>
            </w:r>
          </w:p>
          <w:p w14:paraId="07326465" w14:textId="77777777" w:rsidR="008D68DB" w:rsidRPr="002D5050" w:rsidRDefault="008D68DB" w:rsidP="00805363"/>
        </w:tc>
      </w:tr>
      <w:tr w:rsidR="008D68DB" w:rsidRPr="002D5050" w14:paraId="761CC269" w14:textId="77777777" w:rsidTr="00DB361C">
        <w:trPr>
          <w:trHeight w:val="578"/>
        </w:trPr>
        <w:tc>
          <w:tcPr>
            <w:tcW w:w="651" w:type="dxa"/>
            <w:shd w:val="clear" w:color="000000" w:fill="auto"/>
          </w:tcPr>
          <w:p w14:paraId="1CD741D0" w14:textId="77777777" w:rsidR="008D68DB" w:rsidRPr="002D5050" w:rsidRDefault="00DF37EA">
            <w:r w:rsidRPr="002D5050">
              <w:t>4.</w:t>
            </w:r>
          </w:p>
        </w:tc>
        <w:tc>
          <w:tcPr>
            <w:tcW w:w="3030" w:type="dxa"/>
            <w:shd w:val="clear" w:color="000000" w:fill="auto"/>
          </w:tcPr>
          <w:p w14:paraId="0904979E" w14:textId="77777777" w:rsidR="008D68DB" w:rsidRPr="002D5050" w:rsidRDefault="00DF37EA">
            <w:pPr>
              <w:pStyle w:val="naiskr"/>
              <w:ind w:left="57" w:right="57"/>
            </w:pPr>
            <w:r w:rsidRPr="002D5050">
              <w:t>Cita informācija</w:t>
            </w:r>
          </w:p>
          <w:p w14:paraId="10392DB7" w14:textId="77777777" w:rsidR="008D68DB" w:rsidRPr="002D5050" w:rsidRDefault="008D68DB">
            <w:pPr>
              <w:pStyle w:val="naiskr"/>
              <w:ind w:left="57" w:right="57"/>
            </w:pPr>
          </w:p>
        </w:tc>
        <w:tc>
          <w:tcPr>
            <w:tcW w:w="5675" w:type="dxa"/>
            <w:shd w:val="clear" w:color="000000" w:fill="auto"/>
          </w:tcPr>
          <w:p w14:paraId="7C9B8A7C" w14:textId="77777777" w:rsidR="008D68DB" w:rsidRPr="002D5050" w:rsidRDefault="00DF37EA">
            <w:pPr>
              <w:jc w:val="both"/>
              <w:rPr>
                <w:color w:val="000000"/>
              </w:rPr>
            </w:pPr>
            <w:r w:rsidRPr="002D5050">
              <w:rPr>
                <w:color w:val="000000"/>
              </w:rPr>
              <w:t>Nav.</w:t>
            </w:r>
          </w:p>
        </w:tc>
      </w:tr>
    </w:tbl>
    <w:p w14:paraId="485B30A7" w14:textId="29399F60" w:rsidR="008D68DB" w:rsidRPr="002D5050" w:rsidRDefault="008D68DB">
      <w:pPr>
        <w:jc w:val="cente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2985"/>
        <w:gridCol w:w="5720"/>
      </w:tblGrid>
      <w:tr w:rsidR="008D68DB" w:rsidRPr="002D5050" w14:paraId="09145DF0" w14:textId="77777777" w:rsidTr="0040133A">
        <w:tc>
          <w:tcPr>
            <w:tcW w:w="9356" w:type="dxa"/>
            <w:gridSpan w:val="3"/>
            <w:shd w:val="clear" w:color="000000" w:fill="auto"/>
          </w:tcPr>
          <w:p w14:paraId="6D664FE8" w14:textId="77777777" w:rsidR="008D68DB" w:rsidRPr="002D5050" w:rsidRDefault="00DF37EA">
            <w:pPr>
              <w:jc w:val="center"/>
              <w:rPr>
                <w:b/>
              </w:rPr>
            </w:pPr>
            <w:r w:rsidRPr="002D5050">
              <w:rPr>
                <w:b/>
              </w:rPr>
              <w:t>VII. Tiesību akta projekta izpildes nodrošināšana un tās ietekme uz institūcijām</w:t>
            </w:r>
          </w:p>
        </w:tc>
      </w:tr>
      <w:tr w:rsidR="008D68DB" w:rsidRPr="002D5050" w14:paraId="45FC3E40" w14:textId="77777777" w:rsidTr="0040133A">
        <w:tc>
          <w:tcPr>
            <w:tcW w:w="651" w:type="dxa"/>
            <w:shd w:val="clear" w:color="000000" w:fill="auto"/>
          </w:tcPr>
          <w:p w14:paraId="6D646DF7" w14:textId="77777777" w:rsidR="008D68DB" w:rsidRPr="002D5050" w:rsidRDefault="00DF37EA">
            <w:r w:rsidRPr="002D5050">
              <w:t xml:space="preserve">1. </w:t>
            </w:r>
          </w:p>
        </w:tc>
        <w:tc>
          <w:tcPr>
            <w:tcW w:w="2985" w:type="dxa"/>
            <w:shd w:val="clear" w:color="000000" w:fill="auto"/>
          </w:tcPr>
          <w:p w14:paraId="40DB9C42" w14:textId="77777777" w:rsidR="008D68DB" w:rsidRPr="002D5050" w:rsidRDefault="00DF37EA">
            <w:r w:rsidRPr="002D5050">
              <w:t>Projekta izpildē iesaistītās institūcijas</w:t>
            </w:r>
          </w:p>
        </w:tc>
        <w:tc>
          <w:tcPr>
            <w:tcW w:w="5720" w:type="dxa"/>
            <w:shd w:val="clear" w:color="000000" w:fill="auto"/>
          </w:tcPr>
          <w:p w14:paraId="44066FCF" w14:textId="2B7D772F" w:rsidR="008D68DB" w:rsidRPr="002D5050" w:rsidRDefault="00017B74" w:rsidP="007A73D4">
            <w:pPr>
              <w:jc w:val="both"/>
              <w:rPr>
                <w:color w:val="000000"/>
              </w:rPr>
            </w:pPr>
            <w:r>
              <w:rPr>
                <w:color w:val="000000"/>
              </w:rPr>
              <w:t>Likum</w:t>
            </w:r>
            <w:r w:rsidR="007A73D4">
              <w:rPr>
                <w:color w:val="000000"/>
              </w:rPr>
              <w:t>projekta</w:t>
            </w:r>
            <w:r w:rsidR="0040133A" w:rsidRPr="002D5050">
              <w:rPr>
                <w:color w:val="000000"/>
              </w:rPr>
              <w:t xml:space="preserve"> izpildi nodrošinās Nodarbinātības valsts a</w:t>
            </w:r>
            <w:r w:rsidR="00DF37EA" w:rsidRPr="002D5050">
              <w:rPr>
                <w:color w:val="000000"/>
              </w:rPr>
              <w:t>ģentūra</w:t>
            </w:r>
            <w:r w:rsidR="008B3FDF">
              <w:rPr>
                <w:color w:val="000000"/>
              </w:rPr>
              <w:t xml:space="preserve"> un Valsts sociālās apdrošināšanas aģentūra</w:t>
            </w:r>
            <w:r w:rsidR="007A73D4">
              <w:rPr>
                <w:color w:val="000000"/>
              </w:rPr>
              <w:t>.</w:t>
            </w:r>
          </w:p>
        </w:tc>
      </w:tr>
      <w:tr w:rsidR="008D68DB" w:rsidRPr="002D5050" w14:paraId="027E3A04" w14:textId="77777777" w:rsidTr="0040133A">
        <w:tc>
          <w:tcPr>
            <w:tcW w:w="651" w:type="dxa"/>
            <w:shd w:val="clear" w:color="000000" w:fill="auto"/>
          </w:tcPr>
          <w:p w14:paraId="78ED0639" w14:textId="77777777" w:rsidR="008D68DB" w:rsidRPr="002D5050" w:rsidRDefault="00DF37EA">
            <w:r w:rsidRPr="002D5050">
              <w:t xml:space="preserve">2. </w:t>
            </w:r>
          </w:p>
        </w:tc>
        <w:tc>
          <w:tcPr>
            <w:tcW w:w="2985" w:type="dxa"/>
            <w:shd w:val="clear" w:color="000000" w:fill="auto"/>
          </w:tcPr>
          <w:p w14:paraId="3814A4E7" w14:textId="77777777" w:rsidR="008D68DB" w:rsidRPr="002D5050" w:rsidRDefault="00DF37EA">
            <w:r w:rsidRPr="002D5050">
              <w:t>Projekta izpildes ietekme uz pārvaldes funkcijām un institucionālo struktūru.</w:t>
            </w:r>
          </w:p>
          <w:p w14:paraId="0B0716DA" w14:textId="77777777" w:rsidR="008D68DB" w:rsidRPr="002D5050" w:rsidRDefault="00DF37EA">
            <w:r w:rsidRPr="002D5050">
              <w:t xml:space="preserve">Jaunu institūciju izveide, esošu institūciju likvidācija </w:t>
            </w:r>
            <w:r w:rsidRPr="002D5050">
              <w:lastRenderedPageBreak/>
              <w:t>vai reorganizācija, to ietekme uz institūcijas cilvēkresursiem</w:t>
            </w:r>
          </w:p>
        </w:tc>
        <w:tc>
          <w:tcPr>
            <w:tcW w:w="5720" w:type="dxa"/>
            <w:shd w:val="clear" w:color="000000" w:fill="auto"/>
          </w:tcPr>
          <w:p w14:paraId="2A045003" w14:textId="4E7D9BEC" w:rsidR="008D68DB" w:rsidRPr="002D5050" w:rsidRDefault="00017B74" w:rsidP="007A73D4">
            <w:pPr>
              <w:jc w:val="both"/>
              <w:rPr>
                <w:color w:val="000000"/>
              </w:rPr>
            </w:pPr>
            <w:r>
              <w:rPr>
                <w:color w:val="000000"/>
              </w:rPr>
              <w:lastRenderedPageBreak/>
              <w:t>Likum</w:t>
            </w:r>
            <w:r w:rsidR="007A73D4">
              <w:rPr>
                <w:color w:val="000000"/>
              </w:rPr>
              <w:t>projekts</w:t>
            </w:r>
            <w:r w:rsidR="00DF37EA" w:rsidRPr="002D5050">
              <w:rPr>
                <w:color w:val="000000"/>
              </w:rPr>
              <w:t xml:space="preserve"> neparedz </w:t>
            </w:r>
            <w:r w:rsidR="0040133A" w:rsidRPr="002D5050">
              <w:rPr>
                <w:color w:val="000000"/>
              </w:rPr>
              <w:t>Nodarbinātības valsts a</w:t>
            </w:r>
            <w:r w:rsidR="00DF37EA" w:rsidRPr="002D5050">
              <w:rPr>
                <w:color w:val="000000"/>
              </w:rPr>
              <w:t>ģentūras</w:t>
            </w:r>
            <w:r w:rsidR="008B3FDF">
              <w:rPr>
                <w:color w:val="000000"/>
              </w:rPr>
              <w:t xml:space="preserve"> un Valsts sociālās apdrošināšanas aģentūras</w:t>
            </w:r>
            <w:r w:rsidR="00DF37EA" w:rsidRPr="002D5050">
              <w:rPr>
                <w:color w:val="000000"/>
              </w:rPr>
              <w:t xml:space="preserve"> funkciju paplašināšanu vai sašaurināšanu, kā arī neietekmē pieejamos cilvēkresursus. </w:t>
            </w:r>
          </w:p>
        </w:tc>
      </w:tr>
      <w:tr w:rsidR="008D68DB" w:rsidRPr="002D5050" w14:paraId="584C5D59" w14:textId="77777777" w:rsidTr="0040133A">
        <w:tc>
          <w:tcPr>
            <w:tcW w:w="651" w:type="dxa"/>
            <w:shd w:val="clear" w:color="000000" w:fill="auto"/>
          </w:tcPr>
          <w:p w14:paraId="3F846466" w14:textId="77777777" w:rsidR="008D68DB" w:rsidRPr="002D5050" w:rsidRDefault="00DF37EA">
            <w:r w:rsidRPr="002D5050">
              <w:t xml:space="preserve">3. </w:t>
            </w:r>
          </w:p>
        </w:tc>
        <w:tc>
          <w:tcPr>
            <w:tcW w:w="2985" w:type="dxa"/>
            <w:shd w:val="clear" w:color="000000" w:fill="auto"/>
          </w:tcPr>
          <w:p w14:paraId="550C78B2" w14:textId="77777777" w:rsidR="008D68DB" w:rsidRPr="002D5050" w:rsidRDefault="00DF37EA">
            <w:r w:rsidRPr="002D5050">
              <w:t>Cita informācija</w:t>
            </w:r>
          </w:p>
        </w:tc>
        <w:tc>
          <w:tcPr>
            <w:tcW w:w="5720" w:type="dxa"/>
            <w:shd w:val="clear" w:color="000000" w:fill="auto"/>
          </w:tcPr>
          <w:p w14:paraId="5A7F14C3" w14:textId="77777777" w:rsidR="008D68DB" w:rsidRPr="002D5050" w:rsidRDefault="00DF37EA">
            <w:pPr>
              <w:jc w:val="both"/>
              <w:rPr>
                <w:color w:val="000000"/>
              </w:rPr>
            </w:pPr>
            <w:r w:rsidRPr="002D5050">
              <w:rPr>
                <w:color w:val="000000"/>
              </w:rPr>
              <w:t>Nav.</w:t>
            </w:r>
          </w:p>
        </w:tc>
      </w:tr>
    </w:tbl>
    <w:p w14:paraId="04A5F760" w14:textId="77777777" w:rsidR="008D68DB" w:rsidRPr="002D5050" w:rsidRDefault="008D68DB">
      <w:pPr>
        <w:rPr>
          <w:i/>
        </w:rPr>
      </w:pPr>
    </w:p>
    <w:p w14:paraId="7254BF0B" w14:textId="77777777" w:rsidR="008D68DB" w:rsidRPr="005538BD" w:rsidRDefault="008D68DB">
      <w:pPr>
        <w:rPr>
          <w:sz w:val="28"/>
          <w:szCs w:val="28"/>
        </w:rPr>
      </w:pPr>
    </w:p>
    <w:p w14:paraId="3831F4AB" w14:textId="77777777" w:rsidR="008D68DB" w:rsidRPr="005538BD" w:rsidRDefault="008D68DB">
      <w:pPr>
        <w:jc w:val="center"/>
        <w:rPr>
          <w:sz w:val="28"/>
          <w:szCs w:val="28"/>
        </w:rPr>
      </w:pPr>
    </w:p>
    <w:p w14:paraId="34E7514F" w14:textId="77777777" w:rsidR="005538BD" w:rsidRPr="005538BD" w:rsidRDefault="005538BD" w:rsidP="00CC004E">
      <w:pPr>
        <w:tabs>
          <w:tab w:val="left" w:pos="6521"/>
        </w:tabs>
        <w:ind w:firstLine="720"/>
        <w:rPr>
          <w:noProof/>
          <w:spacing w:val="-2"/>
          <w:sz w:val="28"/>
          <w:szCs w:val="28"/>
        </w:rPr>
      </w:pPr>
      <w:r w:rsidRPr="005538BD">
        <w:rPr>
          <w:noProof/>
          <w:spacing w:val="-2"/>
          <w:sz w:val="28"/>
          <w:szCs w:val="28"/>
        </w:rPr>
        <w:t>Labklājības ministre</w:t>
      </w:r>
      <w:r w:rsidRPr="005538BD">
        <w:rPr>
          <w:noProof/>
          <w:spacing w:val="-2"/>
          <w:sz w:val="28"/>
          <w:szCs w:val="28"/>
        </w:rPr>
        <w:tab/>
        <w:t>R. Petraviča</w:t>
      </w:r>
    </w:p>
    <w:p w14:paraId="2F4CA077" w14:textId="56A7AF5B" w:rsidR="007A73D4" w:rsidRDefault="007A73D4" w:rsidP="00F5753D">
      <w:pPr>
        <w:rPr>
          <w:rFonts w:eastAsia="Calibri"/>
          <w:bCs/>
          <w:sz w:val="22"/>
          <w:szCs w:val="22"/>
          <w:lang w:eastAsia="en-US"/>
        </w:rPr>
      </w:pPr>
    </w:p>
    <w:p w14:paraId="79FF1A16" w14:textId="4A98AAA3" w:rsidR="005538BD" w:rsidRDefault="005538BD" w:rsidP="00F5753D">
      <w:pPr>
        <w:rPr>
          <w:rFonts w:eastAsia="Calibri"/>
          <w:bCs/>
          <w:sz w:val="22"/>
          <w:szCs w:val="22"/>
          <w:lang w:eastAsia="en-US"/>
        </w:rPr>
      </w:pPr>
    </w:p>
    <w:p w14:paraId="29B4C88D" w14:textId="77777777" w:rsidR="007A73D4" w:rsidRDefault="007A73D4" w:rsidP="00F5753D">
      <w:pPr>
        <w:rPr>
          <w:rFonts w:eastAsia="Calibri"/>
          <w:bCs/>
          <w:sz w:val="22"/>
          <w:szCs w:val="22"/>
          <w:lang w:eastAsia="en-US"/>
        </w:rPr>
      </w:pPr>
      <w:bookmarkStart w:id="0" w:name="_GoBack"/>
      <w:bookmarkEnd w:id="0"/>
    </w:p>
    <w:p w14:paraId="3407047A" w14:textId="5A651D02" w:rsidR="00F5753D" w:rsidRPr="00F5753D" w:rsidRDefault="007A73D4" w:rsidP="00F5753D">
      <w:pPr>
        <w:rPr>
          <w:rFonts w:eastAsia="Calibri"/>
          <w:bCs/>
          <w:sz w:val="22"/>
          <w:szCs w:val="22"/>
          <w:lang w:eastAsia="en-US"/>
        </w:rPr>
      </w:pPr>
      <w:r>
        <w:rPr>
          <w:rFonts w:eastAsia="Calibri"/>
          <w:bCs/>
          <w:sz w:val="22"/>
          <w:szCs w:val="22"/>
          <w:lang w:eastAsia="en-US"/>
        </w:rPr>
        <w:t>Lipskis, 67021524</w:t>
      </w:r>
    </w:p>
    <w:p w14:paraId="3BA0E737" w14:textId="15B12535" w:rsidR="008D68DB" w:rsidRDefault="005538BD" w:rsidP="0057738A">
      <w:pPr>
        <w:tabs>
          <w:tab w:val="left" w:pos="2265"/>
        </w:tabs>
        <w:spacing w:after="200" w:line="276" w:lineRule="auto"/>
        <w:rPr>
          <w:rFonts w:eastAsia="Calibri"/>
          <w:sz w:val="28"/>
          <w:szCs w:val="28"/>
          <w:lang w:eastAsia="en-US"/>
        </w:rPr>
      </w:pPr>
      <w:hyperlink r:id="rId8" w:history="1">
        <w:r w:rsidRPr="00621A3B">
          <w:rPr>
            <w:rStyle w:val="Hyperlink"/>
            <w:rFonts w:eastAsia="Calibri"/>
            <w:bCs/>
            <w:sz w:val="22"/>
            <w:szCs w:val="22"/>
            <w:lang w:eastAsia="en-US"/>
          </w:rPr>
          <w:t>Imants.Lipskis@lm.gov.lv</w:t>
        </w:r>
      </w:hyperlink>
    </w:p>
    <w:p w14:paraId="69909492" w14:textId="47ED265D" w:rsidR="005538BD" w:rsidRDefault="005538BD" w:rsidP="0057738A">
      <w:pPr>
        <w:tabs>
          <w:tab w:val="left" w:pos="2265"/>
        </w:tabs>
        <w:spacing w:after="200" w:line="276" w:lineRule="auto"/>
        <w:rPr>
          <w:rFonts w:eastAsia="Calibri"/>
          <w:sz w:val="28"/>
          <w:szCs w:val="28"/>
          <w:lang w:eastAsia="en-US"/>
        </w:rPr>
      </w:pPr>
    </w:p>
    <w:p w14:paraId="6FE59BE4" w14:textId="569A7F6D" w:rsidR="005538BD" w:rsidRDefault="005538BD" w:rsidP="0057738A">
      <w:pPr>
        <w:tabs>
          <w:tab w:val="left" w:pos="2265"/>
        </w:tabs>
        <w:spacing w:after="200" w:line="276" w:lineRule="auto"/>
        <w:rPr>
          <w:rFonts w:eastAsia="Calibri"/>
          <w:sz w:val="28"/>
          <w:szCs w:val="28"/>
          <w:lang w:eastAsia="en-US"/>
        </w:rPr>
      </w:pPr>
    </w:p>
    <w:p w14:paraId="22904A5A" w14:textId="0933DC95" w:rsidR="005538BD" w:rsidRDefault="005538BD" w:rsidP="005538BD">
      <w:pPr>
        <w:rPr>
          <w:sz w:val="16"/>
          <w:szCs w:val="16"/>
        </w:rPr>
      </w:pP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1334</w:t>
      </w:r>
      <w:r w:rsidRPr="008709C1">
        <w:rPr>
          <w:sz w:val="16"/>
          <w:szCs w:val="16"/>
        </w:rPr>
        <w:fldChar w:fldCharType="end"/>
      </w:r>
    </w:p>
    <w:sectPr w:rsidR="005538B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2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C9831" w14:textId="77777777" w:rsidR="0087792B" w:rsidRDefault="0087792B">
      <w:r>
        <w:separator/>
      </w:r>
    </w:p>
  </w:endnote>
  <w:endnote w:type="continuationSeparator" w:id="0">
    <w:p w14:paraId="748CEBAB" w14:textId="77777777" w:rsidR="0087792B" w:rsidRDefault="0087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Gothic">
    <w:altName w:val="Malgun Gothic Semilight"/>
    <w:charset w:val="00"/>
    <w:family w:val="auto"/>
    <w:pitch w:val="variable"/>
    <w:sig w:usb0="00000000" w:usb1="4000207B" w:usb2="00000000" w:usb3="00000000" w:csb0="FFFFFF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6547" w14:textId="77777777" w:rsidR="00FC1225" w:rsidRDefault="00FC1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ECDC" w14:textId="77777777" w:rsidR="00FC1225" w:rsidRDefault="00FC1225" w:rsidP="00FC1225">
    <w:pPr>
      <w:pStyle w:val="NormalWeb"/>
      <w:jc w:val="both"/>
    </w:pPr>
    <w:r>
      <w:t>LManot_BDMAL_arkart_080420; Grozījums Bezdarbnieku un darba meklētāju atbalsta likumā  (TA-613)</w:t>
    </w:r>
  </w:p>
  <w:p w14:paraId="67BA047F" w14:textId="517484FE" w:rsidR="001F002D" w:rsidRDefault="001F002D">
    <w:pPr>
      <w:pStyle w:val="Footer"/>
      <w:tabs>
        <w:tab w:val="left" w:pos="263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18FE" w14:textId="7F3FBCB9" w:rsidR="001F002D" w:rsidRDefault="001F002D">
    <w:pPr>
      <w:pStyle w:val="NormalWeb"/>
      <w:jc w:val="both"/>
    </w:pPr>
    <w:r>
      <w:t>LM</w:t>
    </w:r>
    <w:r w:rsidR="00674816">
      <w:t>a</w:t>
    </w:r>
    <w:r>
      <w:t>not_</w:t>
    </w:r>
    <w:r w:rsidR="00B71BC2">
      <w:t>BDMAL_</w:t>
    </w:r>
    <w:r w:rsidR="00AC319E">
      <w:t>arkart_</w:t>
    </w:r>
    <w:r w:rsidR="002376BA">
      <w:t>0</w:t>
    </w:r>
    <w:r w:rsidR="00B30851">
      <w:t>8</w:t>
    </w:r>
    <w:r w:rsidR="001348AC">
      <w:t>0</w:t>
    </w:r>
    <w:r w:rsidR="002376BA">
      <w:t>4</w:t>
    </w:r>
    <w:r w:rsidR="00674816">
      <w:t>20</w:t>
    </w:r>
    <w:r>
      <w:t>; Grozījum</w:t>
    </w:r>
    <w:r w:rsidR="00AC319E">
      <w:t>s Bezdarbnieku un darba meklētāju atbalsta likumā</w:t>
    </w:r>
    <w:r w:rsidR="00FC1225">
      <w:t xml:space="preserve">  (TA-613)</w:t>
    </w:r>
  </w:p>
  <w:p w14:paraId="561FBD29" w14:textId="77777777" w:rsidR="001F002D" w:rsidRDefault="001F0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AEED3" w14:textId="77777777" w:rsidR="0087792B" w:rsidRDefault="0087792B">
      <w:r>
        <w:separator/>
      </w:r>
    </w:p>
  </w:footnote>
  <w:footnote w:type="continuationSeparator" w:id="0">
    <w:p w14:paraId="7DCBA6DB" w14:textId="77777777" w:rsidR="0087792B" w:rsidRDefault="0087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261D" w14:textId="77777777" w:rsidR="001F002D" w:rsidRDefault="001F002D">
    <w:pPr>
      <w:pStyle w:val="Header"/>
      <w:framePr w:wrap="none" w:vAnchor="text" w:hAnchor="margin" w:x="4470" w:y="1"/>
      <w:rPr>
        <w:rStyle w:val="PageNumber"/>
      </w:rPr>
    </w:pPr>
    <w:r>
      <w:rPr>
        <w:rStyle w:val="PageNumber"/>
      </w:rPr>
      <w:fldChar w:fldCharType="begin"/>
    </w:r>
    <w:r>
      <w:instrText>PAGE  \* MERGEFORMAT</w:instrText>
    </w:r>
    <w:r>
      <w:fldChar w:fldCharType="separate"/>
    </w:r>
    <w:r>
      <w:rPr>
        <w:rStyle w:val="PageNumber"/>
      </w:rPr>
      <w:t>1</w:t>
    </w:r>
    <w:r>
      <w:rPr>
        <w:rStyle w:val="PageNumber"/>
      </w:rPr>
      <w:fldChar w:fldCharType="end"/>
    </w:r>
  </w:p>
  <w:p w14:paraId="0213028D" w14:textId="77777777" w:rsidR="001F002D" w:rsidRDefault="001F0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B715" w14:textId="202EE5C8" w:rsidR="001F002D" w:rsidRDefault="001F002D">
    <w:pPr>
      <w:pStyle w:val="Header"/>
      <w:framePr w:wrap="none" w:vAnchor="text" w:hAnchor="margin" w:x="4470" w:y="1"/>
      <w:rPr>
        <w:rStyle w:val="PageNumber"/>
      </w:rPr>
    </w:pPr>
    <w:r>
      <w:rPr>
        <w:rStyle w:val="PageNumber"/>
      </w:rPr>
      <w:fldChar w:fldCharType="begin"/>
    </w:r>
    <w:r>
      <w:instrText>PAGE  \* MERGEFORMAT</w:instrText>
    </w:r>
    <w:r>
      <w:fldChar w:fldCharType="separate"/>
    </w:r>
    <w:r w:rsidR="00E27A19" w:rsidRPr="00E27A19">
      <w:rPr>
        <w:rStyle w:val="PageNumber"/>
        <w:noProof/>
      </w:rPr>
      <w:t>2</w:t>
    </w:r>
    <w:r>
      <w:rPr>
        <w:rStyle w:val="PageNumber"/>
      </w:rPr>
      <w:fldChar w:fldCharType="end"/>
    </w:r>
  </w:p>
  <w:p w14:paraId="679C6A5B" w14:textId="77777777" w:rsidR="001F002D" w:rsidRDefault="001F0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6C20" w14:textId="77777777" w:rsidR="00FC1225" w:rsidRDefault="00FC1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2BF34668"/>
    <w:lvl w:ilvl="0" w:tplc="F9D61C40">
      <w:start w:val="23"/>
      <w:numFmt w:val="bullet"/>
      <w:lvlText w:val="-"/>
      <w:lvlJc w:val="left"/>
      <w:pPr>
        <w:ind w:left="720" w:hanging="360"/>
        <w:jc w:val="both"/>
      </w:pPr>
      <w:rPr>
        <w:rFonts w:ascii="Times New Roman" w:eastAsia="Times New Roman" w:hAnsi="Times New Roman"/>
        <w:w w:val="100"/>
        <w:sz w:val="20"/>
        <w:szCs w:val="20"/>
        <w:shd w:val="clear" w:color="auto" w:fill="auto"/>
      </w:rPr>
    </w:lvl>
    <w:lvl w:ilvl="1" w:tplc="1674E14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41ED572">
      <w:start w:val="1"/>
      <w:numFmt w:val="bullet"/>
      <w:lvlText w:val="§"/>
      <w:lvlJc w:val="left"/>
      <w:pPr>
        <w:ind w:left="2160" w:hanging="360"/>
        <w:jc w:val="both"/>
      </w:pPr>
      <w:rPr>
        <w:rFonts w:ascii="Wingdings" w:eastAsia="Wingdings" w:hAnsi="Wingdings"/>
        <w:w w:val="100"/>
        <w:sz w:val="20"/>
        <w:szCs w:val="20"/>
        <w:shd w:val="clear" w:color="auto" w:fill="auto"/>
      </w:rPr>
    </w:lvl>
    <w:lvl w:ilvl="3" w:tplc="EFE82654">
      <w:start w:val="1"/>
      <w:numFmt w:val="bullet"/>
      <w:lvlText w:val="·"/>
      <w:lvlJc w:val="left"/>
      <w:pPr>
        <w:ind w:left="2880" w:hanging="360"/>
        <w:jc w:val="both"/>
      </w:pPr>
      <w:rPr>
        <w:rFonts w:ascii="Symbol" w:eastAsia="Symbol" w:hAnsi="Symbol"/>
        <w:w w:val="100"/>
        <w:sz w:val="20"/>
        <w:szCs w:val="20"/>
        <w:shd w:val="clear" w:color="auto" w:fill="auto"/>
      </w:rPr>
    </w:lvl>
    <w:lvl w:ilvl="4" w:tplc="EB442CC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F8A209B0">
      <w:start w:val="1"/>
      <w:numFmt w:val="bullet"/>
      <w:lvlText w:val="§"/>
      <w:lvlJc w:val="left"/>
      <w:pPr>
        <w:ind w:left="4320" w:hanging="360"/>
        <w:jc w:val="both"/>
      </w:pPr>
      <w:rPr>
        <w:rFonts w:ascii="Wingdings" w:eastAsia="Wingdings" w:hAnsi="Wingdings"/>
        <w:w w:val="100"/>
        <w:sz w:val="20"/>
        <w:szCs w:val="20"/>
        <w:shd w:val="clear" w:color="auto" w:fill="auto"/>
      </w:rPr>
    </w:lvl>
    <w:lvl w:ilvl="6" w:tplc="25AA5972">
      <w:start w:val="1"/>
      <w:numFmt w:val="bullet"/>
      <w:lvlText w:val="·"/>
      <w:lvlJc w:val="left"/>
      <w:pPr>
        <w:ind w:left="5040" w:hanging="360"/>
        <w:jc w:val="both"/>
      </w:pPr>
      <w:rPr>
        <w:rFonts w:ascii="Symbol" w:eastAsia="Symbol" w:hAnsi="Symbol"/>
        <w:w w:val="100"/>
        <w:sz w:val="20"/>
        <w:szCs w:val="20"/>
        <w:shd w:val="clear" w:color="auto" w:fill="auto"/>
      </w:rPr>
    </w:lvl>
    <w:lvl w:ilvl="7" w:tplc="F766A58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87C8948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 w15:restartNumberingAfterBreak="0">
    <w:nsid w:val="2F000001"/>
    <w:multiLevelType w:val="hybridMultilevel"/>
    <w:tmpl w:val="3588E114"/>
    <w:lvl w:ilvl="0" w:tplc="CE5415F4">
      <w:start w:val="13"/>
      <w:numFmt w:val="decimal"/>
      <w:lvlText w:val="%1."/>
      <w:lvlJc w:val="left"/>
      <w:pPr>
        <w:ind w:left="720" w:hanging="360"/>
        <w:jc w:val="both"/>
      </w:pPr>
    </w:lvl>
    <w:lvl w:ilvl="1" w:tplc="B62077FC">
      <w:start w:val="1"/>
      <w:numFmt w:val="lowerLetter"/>
      <w:lvlText w:val="%2."/>
      <w:lvlJc w:val="left"/>
      <w:pPr>
        <w:ind w:left="1440" w:hanging="360"/>
        <w:jc w:val="both"/>
      </w:pPr>
    </w:lvl>
    <w:lvl w:ilvl="2" w:tplc="753275D6">
      <w:start w:val="1"/>
      <w:numFmt w:val="lowerRoman"/>
      <w:lvlText w:val="%3."/>
      <w:lvlJc w:val="right"/>
      <w:pPr>
        <w:ind w:left="2160" w:hanging="180"/>
        <w:jc w:val="both"/>
      </w:pPr>
    </w:lvl>
    <w:lvl w:ilvl="3" w:tplc="0AF83D92">
      <w:start w:val="1"/>
      <w:numFmt w:val="decimal"/>
      <w:lvlText w:val="%4."/>
      <w:lvlJc w:val="left"/>
      <w:pPr>
        <w:ind w:left="2880" w:hanging="360"/>
        <w:jc w:val="both"/>
      </w:pPr>
    </w:lvl>
    <w:lvl w:ilvl="4" w:tplc="92D20064">
      <w:start w:val="1"/>
      <w:numFmt w:val="lowerLetter"/>
      <w:lvlText w:val="%5."/>
      <w:lvlJc w:val="left"/>
      <w:pPr>
        <w:ind w:left="3600" w:hanging="360"/>
        <w:jc w:val="both"/>
      </w:pPr>
    </w:lvl>
    <w:lvl w:ilvl="5" w:tplc="3EAE20F8">
      <w:start w:val="1"/>
      <w:numFmt w:val="lowerRoman"/>
      <w:lvlText w:val="%6."/>
      <w:lvlJc w:val="right"/>
      <w:pPr>
        <w:ind w:left="4320" w:hanging="180"/>
        <w:jc w:val="both"/>
      </w:pPr>
    </w:lvl>
    <w:lvl w:ilvl="6" w:tplc="29A4F276">
      <w:start w:val="1"/>
      <w:numFmt w:val="decimal"/>
      <w:lvlText w:val="%7."/>
      <w:lvlJc w:val="left"/>
      <w:pPr>
        <w:ind w:left="5040" w:hanging="360"/>
        <w:jc w:val="both"/>
      </w:pPr>
    </w:lvl>
    <w:lvl w:ilvl="7" w:tplc="467A47A4">
      <w:start w:val="1"/>
      <w:numFmt w:val="lowerLetter"/>
      <w:lvlText w:val="%8."/>
      <w:lvlJc w:val="left"/>
      <w:pPr>
        <w:ind w:left="5760" w:hanging="360"/>
        <w:jc w:val="both"/>
      </w:pPr>
    </w:lvl>
    <w:lvl w:ilvl="8" w:tplc="C57825F6">
      <w:start w:val="1"/>
      <w:numFmt w:val="lowerRoman"/>
      <w:lvlText w:val="%9."/>
      <w:lvlJc w:val="right"/>
      <w:pPr>
        <w:ind w:left="6480" w:hanging="180"/>
        <w:jc w:val="both"/>
      </w:pPr>
    </w:lvl>
  </w:abstractNum>
  <w:abstractNum w:abstractNumId="2" w15:restartNumberingAfterBreak="0">
    <w:nsid w:val="2F000002"/>
    <w:multiLevelType w:val="hybridMultilevel"/>
    <w:tmpl w:val="22A8C0AB"/>
    <w:lvl w:ilvl="0" w:tplc="89C6E032">
      <w:start w:val="1"/>
      <w:numFmt w:val="decimal"/>
      <w:lvlText w:val="%1."/>
      <w:lvlJc w:val="left"/>
      <w:pPr>
        <w:ind w:left="870" w:hanging="510"/>
        <w:jc w:val="both"/>
      </w:pPr>
      <w:rPr>
        <w:rFonts w:ascii="Times New Roman" w:eastAsia="Times New Roman" w:hAnsi="Times New Roman"/>
        <w:w w:val="100"/>
        <w:sz w:val="24"/>
        <w:szCs w:val="24"/>
        <w:shd w:val="clear" w:color="auto" w:fill="auto"/>
      </w:rPr>
    </w:lvl>
    <w:lvl w:ilvl="1" w:tplc="87DEB7F6">
      <w:start w:val="1"/>
      <w:numFmt w:val="lowerLetter"/>
      <w:lvlText w:val="%2."/>
      <w:lvlJc w:val="left"/>
      <w:pPr>
        <w:ind w:left="1440" w:hanging="360"/>
        <w:jc w:val="both"/>
      </w:pPr>
    </w:lvl>
    <w:lvl w:ilvl="2" w:tplc="F29E5E56">
      <w:start w:val="1"/>
      <w:numFmt w:val="lowerRoman"/>
      <w:lvlText w:val="%3."/>
      <w:lvlJc w:val="right"/>
      <w:pPr>
        <w:ind w:left="2160" w:hanging="180"/>
        <w:jc w:val="both"/>
      </w:pPr>
    </w:lvl>
    <w:lvl w:ilvl="3" w:tplc="87E4B8F2">
      <w:start w:val="1"/>
      <w:numFmt w:val="decimal"/>
      <w:lvlText w:val="%4."/>
      <w:lvlJc w:val="left"/>
      <w:pPr>
        <w:ind w:left="2880" w:hanging="360"/>
        <w:jc w:val="both"/>
      </w:pPr>
    </w:lvl>
    <w:lvl w:ilvl="4" w:tplc="A1A013A6">
      <w:start w:val="1"/>
      <w:numFmt w:val="lowerLetter"/>
      <w:lvlText w:val="%5."/>
      <w:lvlJc w:val="left"/>
      <w:pPr>
        <w:ind w:left="3600" w:hanging="360"/>
        <w:jc w:val="both"/>
      </w:pPr>
    </w:lvl>
    <w:lvl w:ilvl="5" w:tplc="43B83B60">
      <w:start w:val="1"/>
      <w:numFmt w:val="lowerRoman"/>
      <w:lvlText w:val="%6."/>
      <w:lvlJc w:val="right"/>
      <w:pPr>
        <w:ind w:left="4320" w:hanging="180"/>
        <w:jc w:val="both"/>
      </w:pPr>
    </w:lvl>
    <w:lvl w:ilvl="6" w:tplc="1E10D044">
      <w:start w:val="1"/>
      <w:numFmt w:val="decimal"/>
      <w:lvlText w:val="%7."/>
      <w:lvlJc w:val="left"/>
      <w:pPr>
        <w:ind w:left="5040" w:hanging="360"/>
        <w:jc w:val="both"/>
      </w:pPr>
    </w:lvl>
    <w:lvl w:ilvl="7" w:tplc="66ECD832">
      <w:start w:val="1"/>
      <w:numFmt w:val="lowerLetter"/>
      <w:lvlText w:val="%8."/>
      <w:lvlJc w:val="left"/>
      <w:pPr>
        <w:ind w:left="5760" w:hanging="360"/>
        <w:jc w:val="both"/>
      </w:pPr>
    </w:lvl>
    <w:lvl w:ilvl="8" w:tplc="96386F0C">
      <w:start w:val="1"/>
      <w:numFmt w:val="lowerRoman"/>
      <w:lvlText w:val="%9."/>
      <w:lvlJc w:val="right"/>
      <w:pPr>
        <w:ind w:left="6480" w:hanging="180"/>
        <w:jc w:val="both"/>
      </w:pPr>
    </w:lvl>
  </w:abstractNum>
  <w:abstractNum w:abstractNumId="3" w15:restartNumberingAfterBreak="0">
    <w:nsid w:val="2F000003"/>
    <w:multiLevelType w:val="hybridMultilevel"/>
    <w:tmpl w:val="55541ABF"/>
    <w:lvl w:ilvl="0" w:tplc="910CE618">
      <w:start w:val="1"/>
      <w:numFmt w:val="decimal"/>
      <w:lvlText w:val="%1."/>
      <w:lvlJc w:val="left"/>
      <w:pPr>
        <w:ind w:left="927" w:hanging="360"/>
        <w:jc w:val="both"/>
      </w:pPr>
    </w:lvl>
    <w:lvl w:ilvl="1" w:tplc="A5F097B4">
      <w:start w:val="1"/>
      <w:numFmt w:val="lowerLetter"/>
      <w:lvlText w:val="%2."/>
      <w:lvlJc w:val="left"/>
      <w:pPr>
        <w:ind w:left="1647" w:hanging="360"/>
        <w:jc w:val="both"/>
      </w:pPr>
    </w:lvl>
    <w:lvl w:ilvl="2" w:tplc="773213A6">
      <w:start w:val="1"/>
      <w:numFmt w:val="lowerRoman"/>
      <w:lvlText w:val="%3."/>
      <w:lvlJc w:val="right"/>
      <w:pPr>
        <w:ind w:left="2367" w:hanging="180"/>
        <w:jc w:val="both"/>
      </w:pPr>
    </w:lvl>
    <w:lvl w:ilvl="3" w:tplc="44060EBC">
      <w:start w:val="1"/>
      <w:numFmt w:val="decimal"/>
      <w:lvlText w:val="%4."/>
      <w:lvlJc w:val="left"/>
      <w:pPr>
        <w:ind w:left="3087" w:hanging="360"/>
        <w:jc w:val="both"/>
      </w:pPr>
    </w:lvl>
    <w:lvl w:ilvl="4" w:tplc="90464DE2">
      <w:start w:val="1"/>
      <w:numFmt w:val="lowerLetter"/>
      <w:lvlText w:val="%5."/>
      <w:lvlJc w:val="left"/>
      <w:pPr>
        <w:ind w:left="3807" w:hanging="360"/>
        <w:jc w:val="both"/>
      </w:pPr>
    </w:lvl>
    <w:lvl w:ilvl="5" w:tplc="2DB27BC8">
      <w:start w:val="1"/>
      <w:numFmt w:val="lowerRoman"/>
      <w:lvlText w:val="%6."/>
      <w:lvlJc w:val="right"/>
      <w:pPr>
        <w:ind w:left="4527" w:hanging="180"/>
        <w:jc w:val="both"/>
      </w:pPr>
    </w:lvl>
    <w:lvl w:ilvl="6" w:tplc="0E566626">
      <w:start w:val="1"/>
      <w:numFmt w:val="decimal"/>
      <w:lvlText w:val="%7."/>
      <w:lvlJc w:val="left"/>
      <w:pPr>
        <w:ind w:left="5247" w:hanging="360"/>
        <w:jc w:val="both"/>
      </w:pPr>
    </w:lvl>
    <w:lvl w:ilvl="7" w:tplc="30ACC764">
      <w:start w:val="1"/>
      <w:numFmt w:val="lowerLetter"/>
      <w:lvlText w:val="%8."/>
      <w:lvlJc w:val="left"/>
      <w:pPr>
        <w:ind w:left="5967" w:hanging="360"/>
        <w:jc w:val="both"/>
      </w:pPr>
    </w:lvl>
    <w:lvl w:ilvl="8" w:tplc="CAC8E760">
      <w:start w:val="1"/>
      <w:numFmt w:val="lowerRoman"/>
      <w:lvlText w:val="%9."/>
      <w:lvlJc w:val="right"/>
      <w:pPr>
        <w:ind w:left="6687" w:hanging="180"/>
        <w:jc w:val="both"/>
      </w:pPr>
    </w:lvl>
  </w:abstractNum>
  <w:abstractNum w:abstractNumId="4" w15:restartNumberingAfterBreak="0">
    <w:nsid w:val="2F000004"/>
    <w:multiLevelType w:val="hybridMultilevel"/>
    <w:tmpl w:val="4906B8BF"/>
    <w:lvl w:ilvl="0" w:tplc="E50466E4">
      <w:start w:val="1"/>
      <w:numFmt w:val="decimal"/>
      <w:lvlText w:val="%1."/>
      <w:lvlJc w:val="left"/>
      <w:pPr>
        <w:ind w:left="720" w:hanging="360"/>
        <w:jc w:val="both"/>
      </w:pPr>
      <w:rPr>
        <w:w w:val="100"/>
        <w:sz w:val="20"/>
        <w:szCs w:val="20"/>
        <w:shd w:val="clear" w:color="auto" w:fill="auto"/>
      </w:rPr>
    </w:lvl>
    <w:lvl w:ilvl="1" w:tplc="BD2E006E">
      <w:start w:val="1"/>
      <w:numFmt w:val="lowerLetter"/>
      <w:lvlText w:val="%2."/>
      <w:lvlJc w:val="left"/>
      <w:pPr>
        <w:ind w:left="1440" w:hanging="360"/>
        <w:jc w:val="both"/>
      </w:pPr>
    </w:lvl>
    <w:lvl w:ilvl="2" w:tplc="F968D180">
      <w:start w:val="1"/>
      <w:numFmt w:val="lowerRoman"/>
      <w:lvlText w:val="%3."/>
      <w:lvlJc w:val="right"/>
      <w:pPr>
        <w:ind w:left="2160" w:hanging="180"/>
        <w:jc w:val="both"/>
      </w:pPr>
    </w:lvl>
    <w:lvl w:ilvl="3" w:tplc="CA107F2A">
      <w:start w:val="1"/>
      <w:numFmt w:val="decimal"/>
      <w:lvlText w:val="%4."/>
      <w:lvlJc w:val="left"/>
      <w:pPr>
        <w:ind w:left="2880" w:hanging="360"/>
        <w:jc w:val="both"/>
      </w:pPr>
    </w:lvl>
    <w:lvl w:ilvl="4" w:tplc="0AA8440C">
      <w:start w:val="1"/>
      <w:numFmt w:val="lowerLetter"/>
      <w:lvlText w:val="%5."/>
      <w:lvlJc w:val="left"/>
      <w:pPr>
        <w:ind w:left="3600" w:hanging="360"/>
        <w:jc w:val="both"/>
      </w:pPr>
    </w:lvl>
    <w:lvl w:ilvl="5" w:tplc="DDF47BD8">
      <w:start w:val="1"/>
      <w:numFmt w:val="lowerRoman"/>
      <w:lvlText w:val="%6."/>
      <w:lvlJc w:val="right"/>
      <w:pPr>
        <w:ind w:left="4320" w:hanging="180"/>
        <w:jc w:val="both"/>
      </w:pPr>
    </w:lvl>
    <w:lvl w:ilvl="6" w:tplc="6BD2D8F6">
      <w:start w:val="1"/>
      <w:numFmt w:val="decimal"/>
      <w:lvlText w:val="%7."/>
      <w:lvlJc w:val="left"/>
      <w:pPr>
        <w:ind w:left="5040" w:hanging="360"/>
        <w:jc w:val="both"/>
      </w:pPr>
    </w:lvl>
    <w:lvl w:ilvl="7" w:tplc="050E6910">
      <w:start w:val="1"/>
      <w:numFmt w:val="lowerLetter"/>
      <w:lvlText w:val="%8."/>
      <w:lvlJc w:val="left"/>
      <w:pPr>
        <w:ind w:left="5760" w:hanging="360"/>
        <w:jc w:val="both"/>
      </w:pPr>
    </w:lvl>
    <w:lvl w:ilvl="8" w:tplc="1220D4BA">
      <w:start w:val="1"/>
      <w:numFmt w:val="lowerRoman"/>
      <w:lvlText w:val="%9."/>
      <w:lvlJc w:val="right"/>
      <w:pPr>
        <w:ind w:left="6480" w:hanging="180"/>
        <w:jc w:val="both"/>
      </w:pPr>
    </w:lvl>
  </w:abstractNum>
  <w:abstractNum w:abstractNumId="5" w15:restartNumberingAfterBreak="0">
    <w:nsid w:val="2F000005"/>
    <w:multiLevelType w:val="hybridMultilevel"/>
    <w:tmpl w:val="2D088A96"/>
    <w:lvl w:ilvl="0" w:tplc="93F0CE20">
      <w:start w:val="1"/>
      <w:numFmt w:val="decimal"/>
      <w:lvlText w:val="%1."/>
      <w:lvlJc w:val="left"/>
      <w:pPr>
        <w:ind w:left="1080" w:hanging="360"/>
        <w:jc w:val="both"/>
      </w:pPr>
    </w:lvl>
    <w:lvl w:ilvl="1" w:tplc="237A5B0C">
      <w:start w:val="1"/>
      <w:numFmt w:val="lowerLetter"/>
      <w:lvlText w:val="%2."/>
      <w:lvlJc w:val="left"/>
      <w:pPr>
        <w:ind w:left="1800" w:hanging="360"/>
        <w:jc w:val="both"/>
      </w:pPr>
    </w:lvl>
    <w:lvl w:ilvl="2" w:tplc="4C362500">
      <w:start w:val="1"/>
      <w:numFmt w:val="lowerRoman"/>
      <w:lvlText w:val="%3."/>
      <w:lvlJc w:val="right"/>
      <w:pPr>
        <w:ind w:left="2520" w:hanging="180"/>
        <w:jc w:val="both"/>
      </w:pPr>
    </w:lvl>
    <w:lvl w:ilvl="3" w:tplc="E40C2446">
      <w:start w:val="1"/>
      <w:numFmt w:val="decimal"/>
      <w:lvlText w:val="%4."/>
      <w:lvlJc w:val="left"/>
      <w:pPr>
        <w:ind w:left="3240" w:hanging="360"/>
        <w:jc w:val="both"/>
      </w:pPr>
    </w:lvl>
    <w:lvl w:ilvl="4" w:tplc="1DAEDCC8">
      <w:start w:val="1"/>
      <w:numFmt w:val="lowerLetter"/>
      <w:lvlText w:val="%5."/>
      <w:lvlJc w:val="left"/>
      <w:pPr>
        <w:ind w:left="3960" w:hanging="360"/>
        <w:jc w:val="both"/>
      </w:pPr>
    </w:lvl>
    <w:lvl w:ilvl="5" w:tplc="808E2CCC">
      <w:start w:val="1"/>
      <w:numFmt w:val="lowerRoman"/>
      <w:lvlText w:val="%6."/>
      <w:lvlJc w:val="right"/>
      <w:pPr>
        <w:ind w:left="4680" w:hanging="180"/>
        <w:jc w:val="both"/>
      </w:pPr>
    </w:lvl>
    <w:lvl w:ilvl="6" w:tplc="176612E8">
      <w:start w:val="1"/>
      <w:numFmt w:val="decimal"/>
      <w:lvlText w:val="%7."/>
      <w:lvlJc w:val="left"/>
      <w:pPr>
        <w:ind w:left="5400" w:hanging="360"/>
        <w:jc w:val="both"/>
      </w:pPr>
    </w:lvl>
    <w:lvl w:ilvl="7" w:tplc="9C667376">
      <w:start w:val="1"/>
      <w:numFmt w:val="lowerLetter"/>
      <w:lvlText w:val="%8."/>
      <w:lvlJc w:val="left"/>
      <w:pPr>
        <w:ind w:left="6120" w:hanging="360"/>
        <w:jc w:val="both"/>
      </w:pPr>
    </w:lvl>
    <w:lvl w:ilvl="8" w:tplc="1780DB00">
      <w:start w:val="1"/>
      <w:numFmt w:val="lowerRoman"/>
      <w:lvlText w:val="%9."/>
      <w:lvlJc w:val="right"/>
      <w:pPr>
        <w:ind w:left="6840" w:hanging="180"/>
        <w:jc w:val="both"/>
      </w:pPr>
    </w:lvl>
  </w:abstractNum>
  <w:abstractNum w:abstractNumId="6" w15:restartNumberingAfterBreak="0">
    <w:nsid w:val="2F000006"/>
    <w:multiLevelType w:val="hybridMultilevel"/>
    <w:tmpl w:val="36578FE0"/>
    <w:lvl w:ilvl="0" w:tplc="3F6EE078">
      <w:start w:val="2"/>
      <w:numFmt w:val="decimal"/>
      <w:lvlText w:val="%1."/>
      <w:lvlJc w:val="left"/>
      <w:pPr>
        <w:ind w:left="720" w:hanging="360"/>
        <w:jc w:val="both"/>
      </w:pPr>
      <w:rPr>
        <w:rFonts w:ascii="Times New Roman" w:eastAsia="Times New Roman" w:hAnsi="Times New Roman"/>
        <w:w w:val="100"/>
        <w:sz w:val="24"/>
        <w:szCs w:val="24"/>
        <w:shd w:val="clear" w:color="auto" w:fill="auto"/>
      </w:rPr>
    </w:lvl>
    <w:lvl w:ilvl="1" w:tplc="191CA462">
      <w:start w:val="1"/>
      <w:numFmt w:val="lowerLetter"/>
      <w:lvlText w:val="%2."/>
      <w:lvlJc w:val="left"/>
      <w:pPr>
        <w:ind w:left="1440" w:hanging="360"/>
        <w:jc w:val="both"/>
      </w:pPr>
    </w:lvl>
    <w:lvl w:ilvl="2" w:tplc="C122EBD2">
      <w:start w:val="1"/>
      <w:numFmt w:val="lowerRoman"/>
      <w:lvlText w:val="%3."/>
      <w:lvlJc w:val="right"/>
      <w:pPr>
        <w:ind w:left="2160" w:hanging="180"/>
        <w:jc w:val="both"/>
      </w:pPr>
    </w:lvl>
    <w:lvl w:ilvl="3" w:tplc="86363A4E">
      <w:start w:val="1"/>
      <w:numFmt w:val="decimal"/>
      <w:lvlText w:val="%4."/>
      <w:lvlJc w:val="left"/>
      <w:pPr>
        <w:ind w:left="2880" w:hanging="360"/>
        <w:jc w:val="both"/>
      </w:pPr>
    </w:lvl>
    <w:lvl w:ilvl="4" w:tplc="49F0CBAC">
      <w:start w:val="1"/>
      <w:numFmt w:val="lowerLetter"/>
      <w:lvlText w:val="%5."/>
      <w:lvlJc w:val="left"/>
      <w:pPr>
        <w:ind w:left="3600" w:hanging="360"/>
        <w:jc w:val="both"/>
      </w:pPr>
    </w:lvl>
    <w:lvl w:ilvl="5" w:tplc="351492D4">
      <w:start w:val="1"/>
      <w:numFmt w:val="lowerRoman"/>
      <w:lvlText w:val="%6."/>
      <w:lvlJc w:val="right"/>
      <w:pPr>
        <w:ind w:left="4320" w:hanging="180"/>
        <w:jc w:val="both"/>
      </w:pPr>
    </w:lvl>
    <w:lvl w:ilvl="6" w:tplc="49BAFBFA">
      <w:start w:val="1"/>
      <w:numFmt w:val="decimal"/>
      <w:lvlText w:val="%7."/>
      <w:lvlJc w:val="left"/>
      <w:pPr>
        <w:ind w:left="5040" w:hanging="360"/>
        <w:jc w:val="both"/>
      </w:pPr>
    </w:lvl>
    <w:lvl w:ilvl="7" w:tplc="441A08E6">
      <w:start w:val="1"/>
      <w:numFmt w:val="lowerLetter"/>
      <w:lvlText w:val="%8."/>
      <w:lvlJc w:val="left"/>
      <w:pPr>
        <w:ind w:left="5760" w:hanging="360"/>
        <w:jc w:val="both"/>
      </w:pPr>
    </w:lvl>
    <w:lvl w:ilvl="8" w:tplc="BFDAC17E">
      <w:start w:val="1"/>
      <w:numFmt w:val="lowerRoman"/>
      <w:lvlText w:val="%9."/>
      <w:lvlJc w:val="right"/>
      <w:pPr>
        <w:ind w:left="6480" w:hanging="180"/>
        <w:jc w:val="both"/>
      </w:pPr>
    </w:lvl>
  </w:abstractNum>
  <w:abstractNum w:abstractNumId="7" w15:restartNumberingAfterBreak="0">
    <w:nsid w:val="2F000007"/>
    <w:multiLevelType w:val="hybridMultilevel"/>
    <w:tmpl w:val="2204DA2C"/>
    <w:lvl w:ilvl="0" w:tplc="4CD2650E">
      <w:start w:val="6"/>
      <w:numFmt w:val="bullet"/>
      <w:lvlText w:val="-"/>
      <w:lvlJc w:val="left"/>
      <w:pPr>
        <w:ind w:left="371" w:hanging="360"/>
        <w:jc w:val="both"/>
      </w:pPr>
      <w:rPr>
        <w:rFonts w:ascii="Times New Roman" w:eastAsia="Times New Roman" w:hAnsi="Times New Roman"/>
        <w:w w:val="100"/>
        <w:sz w:val="20"/>
        <w:szCs w:val="20"/>
        <w:shd w:val="clear" w:color="auto" w:fill="auto"/>
      </w:rPr>
    </w:lvl>
    <w:lvl w:ilvl="1" w:tplc="598EFB60">
      <w:start w:val="1"/>
      <w:numFmt w:val="bullet"/>
      <w:lvlText w:val="o"/>
      <w:lvlJc w:val="left"/>
      <w:pPr>
        <w:ind w:left="1091" w:hanging="360"/>
        <w:jc w:val="both"/>
      </w:pPr>
      <w:rPr>
        <w:rFonts w:ascii="Courier New" w:eastAsia="Courier New" w:hAnsi="Courier New"/>
        <w:w w:val="100"/>
        <w:sz w:val="20"/>
        <w:szCs w:val="20"/>
        <w:shd w:val="clear" w:color="auto" w:fill="auto"/>
      </w:rPr>
    </w:lvl>
    <w:lvl w:ilvl="2" w:tplc="344EFF8A">
      <w:start w:val="1"/>
      <w:numFmt w:val="bullet"/>
      <w:lvlText w:val="§"/>
      <w:lvlJc w:val="left"/>
      <w:pPr>
        <w:ind w:left="1811" w:hanging="360"/>
        <w:jc w:val="both"/>
      </w:pPr>
      <w:rPr>
        <w:rFonts w:ascii="Wingdings" w:eastAsia="Wingdings" w:hAnsi="Wingdings"/>
        <w:w w:val="100"/>
        <w:sz w:val="20"/>
        <w:szCs w:val="20"/>
        <w:shd w:val="clear" w:color="auto" w:fill="auto"/>
      </w:rPr>
    </w:lvl>
    <w:lvl w:ilvl="3" w:tplc="1870F0CC">
      <w:start w:val="1"/>
      <w:numFmt w:val="bullet"/>
      <w:lvlText w:val="·"/>
      <w:lvlJc w:val="left"/>
      <w:pPr>
        <w:ind w:left="2531" w:hanging="360"/>
        <w:jc w:val="both"/>
      </w:pPr>
      <w:rPr>
        <w:rFonts w:ascii="Symbol" w:eastAsia="Symbol" w:hAnsi="Symbol"/>
        <w:w w:val="100"/>
        <w:sz w:val="20"/>
        <w:szCs w:val="20"/>
        <w:shd w:val="clear" w:color="auto" w:fill="auto"/>
      </w:rPr>
    </w:lvl>
    <w:lvl w:ilvl="4" w:tplc="71C4E484">
      <w:start w:val="1"/>
      <w:numFmt w:val="bullet"/>
      <w:lvlText w:val="o"/>
      <w:lvlJc w:val="left"/>
      <w:pPr>
        <w:ind w:left="3251" w:hanging="360"/>
        <w:jc w:val="both"/>
      </w:pPr>
      <w:rPr>
        <w:rFonts w:ascii="Courier New" w:eastAsia="Courier New" w:hAnsi="Courier New"/>
        <w:w w:val="100"/>
        <w:sz w:val="20"/>
        <w:szCs w:val="20"/>
        <w:shd w:val="clear" w:color="auto" w:fill="auto"/>
      </w:rPr>
    </w:lvl>
    <w:lvl w:ilvl="5" w:tplc="44307A48">
      <w:start w:val="1"/>
      <w:numFmt w:val="bullet"/>
      <w:lvlText w:val="§"/>
      <w:lvlJc w:val="left"/>
      <w:pPr>
        <w:ind w:left="3971" w:hanging="360"/>
        <w:jc w:val="both"/>
      </w:pPr>
      <w:rPr>
        <w:rFonts w:ascii="Wingdings" w:eastAsia="Wingdings" w:hAnsi="Wingdings"/>
        <w:w w:val="100"/>
        <w:sz w:val="20"/>
        <w:szCs w:val="20"/>
        <w:shd w:val="clear" w:color="auto" w:fill="auto"/>
      </w:rPr>
    </w:lvl>
    <w:lvl w:ilvl="6" w:tplc="A2286868">
      <w:start w:val="1"/>
      <w:numFmt w:val="bullet"/>
      <w:lvlText w:val="·"/>
      <w:lvlJc w:val="left"/>
      <w:pPr>
        <w:ind w:left="4691" w:hanging="360"/>
        <w:jc w:val="both"/>
      </w:pPr>
      <w:rPr>
        <w:rFonts w:ascii="Symbol" w:eastAsia="Symbol" w:hAnsi="Symbol"/>
        <w:w w:val="100"/>
        <w:sz w:val="20"/>
        <w:szCs w:val="20"/>
        <w:shd w:val="clear" w:color="auto" w:fill="auto"/>
      </w:rPr>
    </w:lvl>
    <w:lvl w:ilvl="7" w:tplc="DDD866A6">
      <w:start w:val="1"/>
      <w:numFmt w:val="bullet"/>
      <w:lvlText w:val="o"/>
      <w:lvlJc w:val="left"/>
      <w:pPr>
        <w:ind w:left="5411" w:hanging="360"/>
        <w:jc w:val="both"/>
      </w:pPr>
      <w:rPr>
        <w:rFonts w:ascii="Courier New" w:eastAsia="Courier New" w:hAnsi="Courier New"/>
        <w:w w:val="100"/>
        <w:sz w:val="20"/>
        <w:szCs w:val="20"/>
        <w:shd w:val="clear" w:color="auto" w:fill="auto"/>
      </w:rPr>
    </w:lvl>
    <w:lvl w:ilvl="8" w:tplc="4398822C">
      <w:start w:val="1"/>
      <w:numFmt w:val="bullet"/>
      <w:lvlText w:val="§"/>
      <w:lvlJc w:val="left"/>
      <w:pPr>
        <w:ind w:left="6131" w:hanging="360"/>
        <w:jc w:val="both"/>
      </w:pPr>
      <w:rPr>
        <w:rFonts w:ascii="Wingdings" w:eastAsia="Wingdings" w:hAnsi="Wingdings"/>
        <w:w w:val="100"/>
        <w:sz w:val="20"/>
        <w:szCs w:val="20"/>
        <w:shd w:val="clear" w:color="auto" w:fill="auto"/>
      </w:rPr>
    </w:lvl>
  </w:abstractNum>
  <w:abstractNum w:abstractNumId="8" w15:restartNumberingAfterBreak="0">
    <w:nsid w:val="2F000008"/>
    <w:multiLevelType w:val="hybridMultilevel"/>
    <w:tmpl w:val="52BCFD67"/>
    <w:lvl w:ilvl="0" w:tplc="F4727CA4">
      <w:start w:val="1"/>
      <w:numFmt w:val="decimal"/>
      <w:lvlText w:val="%1."/>
      <w:lvlJc w:val="left"/>
      <w:pPr>
        <w:ind w:left="720" w:hanging="360"/>
        <w:jc w:val="both"/>
      </w:pPr>
    </w:lvl>
    <w:lvl w:ilvl="1" w:tplc="0BF4F6B0">
      <w:start w:val="1"/>
      <w:numFmt w:val="lowerLetter"/>
      <w:lvlText w:val="%2."/>
      <w:lvlJc w:val="left"/>
      <w:pPr>
        <w:ind w:left="1440" w:hanging="360"/>
        <w:jc w:val="both"/>
      </w:pPr>
    </w:lvl>
    <w:lvl w:ilvl="2" w:tplc="68D2AFEE">
      <w:start w:val="1"/>
      <w:numFmt w:val="lowerRoman"/>
      <w:lvlText w:val="%3."/>
      <w:lvlJc w:val="right"/>
      <w:pPr>
        <w:ind w:left="2160" w:hanging="180"/>
        <w:jc w:val="both"/>
      </w:pPr>
    </w:lvl>
    <w:lvl w:ilvl="3" w:tplc="DE40C0A0">
      <w:start w:val="1"/>
      <w:numFmt w:val="decimal"/>
      <w:lvlText w:val="%4."/>
      <w:lvlJc w:val="left"/>
      <w:pPr>
        <w:ind w:left="2880" w:hanging="360"/>
        <w:jc w:val="both"/>
      </w:pPr>
    </w:lvl>
    <w:lvl w:ilvl="4" w:tplc="415A73BC">
      <w:start w:val="1"/>
      <w:numFmt w:val="lowerLetter"/>
      <w:lvlText w:val="%5."/>
      <w:lvlJc w:val="left"/>
      <w:pPr>
        <w:ind w:left="3600" w:hanging="360"/>
        <w:jc w:val="both"/>
      </w:pPr>
    </w:lvl>
    <w:lvl w:ilvl="5" w:tplc="7B68B95E">
      <w:start w:val="1"/>
      <w:numFmt w:val="lowerRoman"/>
      <w:lvlText w:val="%6."/>
      <w:lvlJc w:val="right"/>
      <w:pPr>
        <w:ind w:left="4320" w:hanging="180"/>
        <w:jc w:val="both"/>
      </w:pPr>
    </w:lvl>
    <w:lvl w:ilvl="6" w:tplc="DC1A7584">
      <w:start w:val="1"/>
      <w:numFmt w:val="decimal"/>
      <w:lvlText w:val="%7."/>
      <w:lvlJc w:val="left"/>
      <w:pPr>
        <w:ind w:left="5040" w:hanging="360"/>
        <w:jc w:val="both"/>
      </w:pPr>
    </w:lvl>
    <w:lvl w:ilvl="7" w:tplc="CECCDE3A">
      <w:start w:val="1"/>
      <w:numFmt w:val="lowerLetter"/>
      <w:lvlText w:val="%8."/>
      <w:lvlJc w:val="left"/>
      <w:pPr>
        <w:ind w:left="5760" w:hanging="360"/>
        <w:jc w:val="both"/>
      </w:pPr>
    </w:lvl>
    <w:lvl w:ilvl="8" w:tplc="D52A6D6A">
      <w:start w:val="1"/>
      <w:numFmt w:val="lowerRoman"/>
      <w:lvlText w:val="%9."/>
      <w:lvlJc w:val="right"/>
      <w:pPr>
        <w:ind w:left="6480" w:hanging="180"/>
        <w:jc w:val="both"/>
      </w:pPr>
    </w:lvl>
  </w:abstractNum>
  <w:abstractNum w:abstractNumId="9" w15:restartNumberingAfterBreak="0">
    <w:nsid w:val="2F000009"/>
    <w:multiLevelType w:val="hybridMultilevel"/>
    <w:tmpl w:val="227B6CF2"/>
    <w:lvl w:ilvl="0" w:tplc="9E301CDC">
      <w:start w:val="1"/>
      <w:numFmt w:val="decimal"/>
      <w:lvlText w:val="%1."/>
      <w:lvlJc w:val="left"/>
      <w:pPr>
        <w:ind w:left="720" w:hanging="360"/>
        <w:jc w:val="both"/>
      </w:pPr>
    </w:lvl>
    <w:lvl w:ilvl="1" w:tplc="7B0E64EE">
      <w:start w:val="1"/>
      <w:numFmt w:val="lowerLetter"/>
      <w:lvlText w:val="%2."/>
      <w:lvlJc w:val="left"/>
      <w:pPr>
        <w:ind w:left="1440" w:hanging="360"/>
        <w:jc w:val="both"/>
      </w:pPr>
    </w:lvl>
    <w:lvl w:ilvl="2" w:tplc="7B04B54A">
      <w:start w:val="1"/>
      <w:numFmt w:val="lowerRoman"/>
      <w:lvlText w:val="%3."/>
      <w:lvlJc w:val="right"/>
      <w:pPr>
        <w:ind w:left="2160" w:hanging="180"/>
        <w:jc w:val="both"/>
      </w:pPr>
    </w:lvl>
    <w:lvl w:ilvl="3" w:tplc="6C661496">
      <w:start w:val="1"/>
      <w:numFmt w:val="decimal"/>
      <w:lvlText w:val="%4."/>
      <w:lvlJc w:val="left"/>
      <w:pPr>
        <w:ind w:left="2880" w:hanging="360"/>
        <w:jc w:val="both"/>
      </w:pPr>
    </w:lvl>
    <w:lvl w:ilvl="4" w:tplc="2086304C">
      <w:start w:val="1"/>
      <w:numFmt w:val="lowerLetter"/>
      <w:lvlText w:val="%5."/>
      <w:lvlJc w:val="left"/>
      <w:pPr>
        <w:ind w:left="3600" w:hanging="360"/>
        <w:jc w:val="both"/>
      </w:pPr>
    </w:lvl>
    <w:lvl w:ilvl="5" w:tplc="621C5FB4">
      <w:start w:val="1"/>
      <w:numFmt w:val="lowerRoman"/>
      <w:lvlText w:val="%6."/>
      <w:lvlJc w:val="right"/>
      <w:pPr>
        <w:ind w:left="4320" w:hanging="180"/>
        <w:jc w:val="both"/>
      </w:pPr>
    </w:lvl>
    <w:lvl w:ilvl="6" w:tplc="FF203B28">
      <w:start w:val="1"/>
      <w:numFmt w:val="decimal"/>
      <w:lvlText w:val="%7."/>
      <w:lvlJc w:val="left"/>
      <w:pPr>
        <w:ind w:left="5040" w:hanging="360"/>
        <w:jc w:val="both"/>
      </w:pPr>
    </w:lvl>
    <w:lvl w:ilvl="7" w:tplc="E236C122">
      <w:start w:val="1"/>
      <w:numFmt w:val="lowerLetter"/>
      <w:lvlText w:val="%8."/>
      <w:lvlJc w:val="left"/>
      <w:pPr>
        <w:ind w:left="5760" w:hanging="360"/>
        <w:jc w:val="both"/>
      </w:pPr>
    </w:lvl>
    <w:lvl w:ilvl="8" w:tplc="AEE059F0">
      <w:start w:val="1"/>
      <w:numFmt w:val="lowerRoman"/>
      <w:lvlText w:val="%9."/>
      <w:lvlJc w:val="right"/>
      <w:pPr>
        <w:ind w:left="6480" w:hanging="180"/>
        <w:jc w:val="both"/>
      </w:pPr>
    </w:lvl>
  </w:abstractNum>
  <w:abstractNum w:abstractNumId="10" w15:restartNumberingAfterBreak="0">
    <w:nsid w:val="2F00000A"/>
    <w:multiLevelType w:val="hybridMultilevel"/>
    <w:tmpl w:val="2A9A16D7"/>
    <w:lvl w:ilvl="0" w:tplc="5BA09AA8">
      <w:start w:val="10"/>
      <w:numFmt w:val="bullet"/>
      <w:lvlText w:val="-"/>
      <w:lvlJc w:val="left"/>
      <w:pPr>
        <w:ind w:left="1080" w:hanging="360"/>
        <w:jc w:val="both"/>
      </w:pPr>
      <w:rPr>
        <w:rFonts w:ascii="Times New Roman" w:eastAsia="Times New Roman" w:hAnsi="Times New Roman"/>
        <w:w w:val="100"/>
        <w:sz w:val="20"/>
        <w:szCs w:val="20"/>
        <w:shd w:val="clear" w:color="auto" w:fill="auto"/>
      </w:rPr>
    </w:lvl>
    <w:lvl w:ilvl="1" w:tplc="CFA47BEE">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C2C80E52">
      <w:start w:val="1"/>
      <w:numFmt w:val="bullet"/>
      <w:lvlText w:val="§"/>
      <w:lvlJc w:val="left"/>
      <w:pPr>
        <w:ind w:left="2520" w:hanging="360"/>
        <w:jc w:val="both"/>
      </w:pPr>
      <w:rPr>
        <w:rFonts w:ascii="Wingdings" w:eastAsia="Wingdings" w:hAnsi="Wingdings"/>
        <w:w w:val="100"/>
        <w:sz w:val="20"/>
        <w:szCs w:val="20"/>
        <w:shd w:val="clear" w:color="auto" w:fill="auto"/>
      </w:rPr>
    </w:lvl>
    <w:lvl w:ilvl="3" w:tplc="CBCE273E">
      <w:start w:val="1"/>
      <w:numFmt w:val="bullet"/>
      <w:lvlText w:val="·"/>
      <w:lvlJc w:val="left"/>
      <w:pPr>
        <w:ind w:left="3240" w:hanging="360"/>
        <w:jc w:val="both"/>
      </w:pPr>
      <w:rPr>
        <w:rFonts w:ascii="Symbol" w:eastAsia="Symbol" w:hAnsi="Symbol"/>
        <w:w w:val="100"/>
        <w:sz w:val="20"/>
        <w:szCs w:val="20"/>
        <w:shd w:val="clear" w:color="auto" w:fill="auto"/>
      </w:rPr>
    </w:lvl>
    <w:lvl w:ilvl="4" w:tplc="C9F0805E">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3EE8AB72">
      <w:start w:val="1"/>
      <w:numFmt w:val="bullet"/>
      <w:lvlText w:val="§"/>
      <w:lvlJc w:val="left"/>
      <w:pPr>
        <w:ind w:left="4680" w:hanging="360"/>
        <w:jc w:val="both"/>
      </w:pPr>
      <w:rPr>
        <w:rFonts w:ascii="Wingdings" w:eastAsia="Wingdings" w:hAnsi="Wingdings"/>
        <w:w w:val="100"/>
        <w:sz w:val="20"/>
        <w:szCs w:val="20"/>
        <w:shd w:val="clear" w:color="auto" w:fill="auto"/>
      </w:rPr>
    </w:lvl>
    <w:lvl w:ilvl="6" w:tplc="C58E9536">
      <w:start w:val="1"/>
      <w:numFmt w:val="bullet"/>
      <w:lvlText w:val="·"/>
      <w:lvlJc w:val="left"/>
      <w:pPr>
        <w:ind w:left="5400" w:hanging="360"/>
        <w:jc w:val="both"/>
      </w:pPr>
      <w:rPr>
        <w:rFonts w:ascii="Symbol" w:eastAsia="Symbol" w:hAnsi="Symbol"/>
        <w:w w:val="100"/>
        <w:sz w:val="20"/>
        <w:szCs w:val="20"/>
        <w:shd w:val="clear" w:color="auto" w:fill="auto"/>
      </w:rPr>
    </w:lvl>
    <w:lvl w:ilvl="7" w:tplc="E6A287C2">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B3B6D3C6">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11" w15:restartNumberingAfterBreak="0">
    <w:nsid w:val="2F00000B"/>
    <w:multiLevelType w:val="hybridMultilevel"/>
    <w:tmpl w:val="1FF642AC"/>
    <w:lvl w:ilvl="0" w:tplc="1020FD46">
      <w:start w:val="1"/>
      <w:numFmt w:val="decimal"/>
      <w:lvlText w:val="%1."/>
      <w:lvlJc w:val="left"/>
      <w:pPr>
        <w:ind w:left="720" w:hanging="360"/>
        <w:jc w:val="both"/>
      </w:pPr>
    </w:lvl>
    <w:lvl w:ilvl="1" w:tplc="0E52E114">
      <w:start w:val="1"/>
      <w:numFmt w:val="lowerLetter"/>
      <w:lvlText w:val="%2."/>
      <w:lvlJc w:val="left"/>
      <w:pPr>
        <w:ind w:left="1440" w:hanging="360"/>
        <w:jc w:val="both"/>
      </w:pPr>
    </w:lvl>
    <w:lvl w:ilvl="2" w:tplc="6944E890">
      <w:start w:val="1"/>
      <w:numFmt w:val="lowerRoman"/>
      <w:lvlText w:val="%3."/>
      <w:lvlJc w:val="right"/>
      <w:pPr>
        <w:ind w:left="2160" w:hanging="180"/>
        <w:jc w:val="both"/>
      </w:pPr>
    </w:lvl>
    <w:lvl w:ilvl="3" w:tplc="83D4F74E">
      <w:start w:val="1"/>
      <w:numFmt w:val="decimal"/>
      <w:lvlText w:val="%4."/>
      <w:lvlJc w:val="left"/>
      <w:pPr>
        <w:ind w:left="2880" w:hanging="360"/>
        <w:jc w:val="both"/>
      </w:pPr>
    </w:lvl>
    <w:lvl w:ilvl="4" w:tplc="22F0DC4E">
      <w:start w:val="1"/>
      <w:numFmt w:val="lowerLetter"/>
      <w:lvlText w:val="%5."/>
      <w:lvlJc w:val="left"/>
      <w:pPr>
        <w:ind w:left="3600" w:hanging="360"/>
        <w:jc w:val="both"/>
      </w:pPr>
    </w:lvl>
    <w:lvl w:ilvl="5" w:tplc="56F8B914">
      <w:start w:val="1"/>
      <w:numFmt w:val="lowerRoman"/>
      <w:lvlText w:val="%6."/>
      <w:lvlJc w:val="right"/>
      <w:pPr>
        <w:ind w:left="4320" w:hanging="180"/>
        <w:jc w:val="both"/>
      </w:pPr>
    </w:lvl>
    <w:lvl w:ilvl="6" w:tplc="AB80F67E">
      <w:start w:val="1"/>
      <w:numFmt w:val="decimal"/>
      <w:lvlText w:val="%7."/>
      <w:lvlJc w:val="left"/>
      <w:pPr>
        <w:ind w:left="5040" w:hanging="360"/>
        <w:jc w:val="both"/>
      </w:pPr>
    </w:lvl>
    <w:lvl w:ilvl="7" w:tplc="EB444AE6">
      <w:start w:val="1"/>
      <w:numFmt w:val="lowerLetter"/>
      <w:lvlText w:val="%8."/>
      <w:lvlJc w:val="left"/>
      <w:pPr>
        <w:ind w:left="5760" w:hanging="360"/>
        <w:jc w:val="both"/>
      </w:pPr>
    </w:lvl>
    <w:lvl w:ilvl="8" w:tplc="C472E890">
      <w:start w:val="1"/>
      <w:numFmt w:val="lowerRoman"/>
      <w:lvlText w:val="%9."/>
      <w:lvlJc w:val="right"/>
      <w:pPr>
        <w:ind w:left="6480" w:hanging="180"/>
        <w:jc w:val="both"/>
      </w:pPr>
    </w:lvl>
  </w:abstractNum>
  <w:abstractNum w:abstractNumId="12" w15:restartNumberingAfterBreak="0">
    <w:nsid w:val="62FA555D"/>
    <w:multiLevelType w:val="hybridMultilevel"/>
    <w:tmpl w:val="4E04509C"/>
    <w:lvl w:ilvl="0" w:tplc="FFFFFFFF">
      <w:start w:val="1"/>
      <w:numFmt w:val="decimal"/>
      <w:lvlText w:val="%1."/>
      <w:lvlJc w:val="left"/>
      <w:pPr>
        <w:ind w:left="1211" w:hanging="360"/>
      </w:pPr>
      <w:rPr>
        <w:rFonts w:ascii="Times New Roman" w:hAnsi="Times New Roman" w:hint="default"/>
        <w:sz w:val="26"/>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num w:numId="1">
    <w:abstractNumId w:val="7"/>
  </w:num>
  <w:num w:numId="2">
    <w:abstractNumId w:val="10"/>
  </w:num>
  <w:num w:numId="3">
    <w:abstractNumId w:val="5"/>
  </w:num>
  <w:num w:numId="4">
    <w:abstractNumId w:val="4"/>
  </w:num>
  <w:num w:numId="5">
    <w:abstractNumId w:val="1"/>
  </w:num>
  <w:num w:numId="6">
    <w:abstractNumId w:val="8"/>
  </w:num>
  <w:num w:numId="7">
    <w:abstractNumId w:val="11"/>
  </w:num>
  <w:num w:numId="8">
    <w:abstractNumId w:val="2"/>
  </w:num>
  <w:num w:numId="9">
    <w:abstractNumId w:val="0"/>
  </w:num>
  <w:num w:numId="10">
    <w:abstractNumId w:val="9"/>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8DB"/>
    <w:rsid w:val="00017B74"/>
    <w:rsid w:val="000435B5"/>
    <w:rsid w:val="00046C27"/>
    <w:rsid w:val="00051E1A"/>
    <w:rsid w:val="00060FD0"/>
    <w:rsid w:val="0006656B"/>
    <w:rsid w:val="0007752B"/>
    <w:rsid w:val="0008259D"/>
    <w:rsid w:val="000860BD"/>
    <w:rsid w:val="00095335"/>
    <w:rsid w:val="000A0168"/>
    <w:rsid w:val="000A0D09"/>
    <w:rsid w:val="000C17BD"/>
    <w:rsid w:val="000C6DDD"/>
    <w:rsid w:val="000D1041"/>
    <w:rsid w:val="000D5756"/>
    <w:rsid w:val="000E62D4"/>
    <w:rsid w:val="000F0E16"/>
    <w:rsid w:val="00102C85"/>
    <w:rsid w:val="00113404"/>
    <w:rsid w:val="001348AC"/>
    <w:rsid w:val="00135FC1"/>
    <w:rsid w:val="00153D54"/>
    <w:rsid w:val="00180FAD"/>
    <w:rsid w:val="001833F1"/>
    <w:rsid w:val="001841B2"/>
    <w:rsid w:val="00187107"/>
    <w:rsid w:val="00192669"/>
    <w:rsid w:val="00195271"/>
    <w:rsid w:val="001A3EE0"/>
    <w:rsid w:val="001A744F"/>
    <w:rsid w:val="001B498B"/>
    <w:rsid w:val="001D7053"/>
    <w:rsid w:val="001E1EA6"/>
    <w:rsid w:val="001F002D"/>
    <w:rsid w:val="001F4571"/>
    <w:rsid w:val="001F6552"/>
    <w:rsid w:val="0020071E"/>
    <w:rsid w:val="00202DD9"/>
    <w:rsid w:val="00202E67"/>
    <w:rsid w:val="00215875"/>
    <w:rsid w:val="00224A53"/>
    <w:rsid w:val="002376BA"/>
    <w:rsid w:val="00241086"/>
    <w:rsid w:val="00247D1F"/>
    <w:rsid w:val="00250DC7"/>
    <w:rsid w:val="002621C3"/>
    <w:rsid w:val="00264FF1"/>
    <w:rsid w:val="00276FBA"/>
    <w:rsid w:val="00294B5A"/>
    <w:rsid w:val="002A363A"/>
    <w:rsid w:val="002B2966"/>
    <w:rsid w:val="002D5050"/>
    <w:rsid w:val="002D51D9"/>
    <w:rsid w:val="002E46D2"/>
    <w:rsid w:val="002F3154"/>
    <w:rsid w:val="0030338D"/>
    <w:rsid w:val="00310D5C"/>
    <w:rsid w:val="003114AE"/>
    <w:rsid w:val="00325ACA"/>
    <w:rsid w:val="003356DB"/>
    <w:rsid w:val="00345027"/>
    <w:rsid w:val="00351C14"/>
    <w:rsid w:val="00355E20"/>
    <w:rsid w:val="00366CD0"/>
    <w:rsid w:val="00376441"/>
    <w:rsid w:val="00395E00"/>
    <w:rsid w:val="00395E92"/>
    <w:rsid w:val="00397B10"/>
    <w:rsid w:val="003A78AD"/>
    <w:rsid w:val="003B565F"/>
    <w:rsid w:val="003C199F"/>
    <w:rsid w:val="003F224C"/>
    <w:rsid w:val="0040133A"/>
    <w:rsid w:val="00451A27"/>
    <w:rsid w:val="00451E79"/>
    <w:rsid w:val="004621E6"/>
    <w:rsid w:val="0046261C"/>
    <w:rsid w:val="004806B4"/>
    <w:rsid w:val="004875CD"/>
    <w:rsid w:val="004940C6"/>
    <w:rsid w:val="004B2560"/>
    <w:rsid w:val="004C4C2F"/>
    <w:rsid w:val="004E7A75"/>
    <w:rsid w:val="005178A5"/>
    <w:rsid w:val="0053757C"/>
    <w:rsid w:val="005538BD"/>
    <w:rsid w:val="0056677F"/>
    <w:rsid w:val="0057738A"/>
    <w:rsid w:val="005C4E5D"/>
    <w:rsid w:val="00603CEC"/>
    <w:rsid w:val="00607597"/>
    <w:rsid w:val="00615883"/>
    <w:rsid w:val="00624168"/>
    <w:rsid w:val="00642B6B"/>
    <w:rsid w:val="00656835"/>
    <w:rsid w:val="00674816"/>
    <w:rsid w:val="006820C7"/>
    <w:rsid w:val="006C1684"/>
    <w:rsid w:val="006D5530"/>
    <w:rsid w:val="006E4A83"/>
    <w:rsid w:val="00700436"/>
    <w:rsid w:val="00703B04"/>
    <w:rsid w:val="007144DB"/>
    <w:rsid w:val="007410B4"/>
    <w:rsid w:val="00742D81"/>
    <w:rsid w:val="00765514"/>
    <w:rsid w:val="0077306F"/>
    <w:rsid w:val="00781AA5"/>
    <w:rsid w:val="00790E8E"/>
    <w:rsid w:val="007A73D4"/>
    <w:rsid w:val="007B18C5"/>
    <w:rsid w:val="007B46A5"/>
    <w:rsid w:val="007C1514"/>
    <w:rsid w:val="007E07C2"/>
    <w:rsid w:val="007F349F"/>
    <w:rsid w:val="007F5018"/>
    <w:rsid w:val="00805363"/>
    <w:rsid w:val="00814C6B"/>
    <w:rsid w:val="00821857"/>
    <w:rsid w:val="008353D5"/>
    <w:rsid w:val="008430BD"/>
    <w:rsid w:val="00845ED4"/>
    <w:rsid w:val="0084749B"/>
    <w:rsid w:val="00851DCC"/>
    <w:rsid w:val="0086422F"/>
    <w:rsid w:val="0087792B"/>
    <w:rsid w:val="00881727"/>
    <w:rsid w:val="0088509C"/>
    <w:rsid w:val="00885885"/>
    <w:rsid w:val="00894104"/>
    <w:rsid w:val="00895D88"/>
    <w:rsid w:val="008A7390"/>
    <w:rsid w:val="008B3FDF"/>
    <w:rsid w:val="008C6F7B"/>
    <w:rsid w:val="008C7396"/>
    <w:rsid w:val="008D2910"/>
    <w:rsid w:val="008D2C2C"/>
    <w:rsid w:val="008D68DB"/>
    <w:rsid w:val="008E34E9"/>
    <w:rsid w:val="008E5CC0"/>
    <w:rsid w:val="008F6634"/>
    <w:rsid w:val="00915E21"/>
    <w:rsid w:val="0092211C"/>
    <w:rsid w:val="00930683"/>
    <w:rsid w:val="00933FFC"/>
    <w:rsid w:val="0093409F"/>
    <w:rsid w:val="0094052C"/>
    <w:rsid w:val="009408D6"/>
    <w:rsid w:val="00943B47"/>
    <w:rsid w:val="00945454"/>
    <w:rsid w:val="0096120B"/>
    <w:rsid w:val="00967BCA"/>
    <w:rsid w:val="00980295"/>
    <w:rsid w:val="009920A7"/>
    <w:rsid w:val="009A2DFD"/>
    <w:rsid w:val="009B2F24"/>
    <w:rsid w:val="009B3EE7"/>
    <w:rsid w:val="009E1921"/>
    <w:rsid w:val="009E1FBF"/>
    <w:rsid w:val="009F0A5D"/>
    <w:rsid w:val="00A03932"/>
    <w:rsid w:val="00A27A59"/>
    <w:rsid w:val="00A34D5B"/>
    <w:rsid w:val="00A41EEC"/>
    <w:rsid w:val="00A46206"/>
    <w:rsid w:val="00A47E93"/>
    <w:rsid w:val="00A47FE1"/>
    <w:rsid w:val="00A54020"/>
    <w:rsid w:val="00A579A4"/>
    <w:rsid w:val="00A57DAC"/>
    <w:rsid w:val="00A61AB1"/>
    <w:rsid w:val="00A719B7"/>
    <w:rsid w:val="00A73A43"/>
    <w:rsid w:val="00A76F39"/>
    <w:rsid w:val="00A8166E"/>
    <w:rsid w:val="00A8514C"/>
    <w:rsid w:val="00A9088E"/>
    <w:rsid w:val="00AA0EB0"/>
    <w:rsid w:val="00AA5BCF"/>
    <w:rsid w:val="00AB13A9"/>
    <w:rsid w:val="00AC319E"/>
    <w:rsid w:val="00AC535F"/>
    <w:rsid w:val="00AE2AC1"/>
    <w:rsid w:val="00AF406C"/>
    <w:rsid w:val="00AF53FF"/>
    <w:rsid w:val="00AF5616"/>
    <w:rsid w:val="00B27319"/>
    <w:rsid w:val="00B30851"/>
    <w:rsid w:val="00B31235"/>
    <w:rsid w:val="00B35206"/>
    <w:rsid w:val="00B452CB"/>
    <w:rsid w:val="00B71BC2"/>
    <w:rsid w:val="00B81E64"/>
    <w:rsid w:val="00B848D4"/>
    <w:rsid w:val="00B87D06"/>
    <w:rsid w:val="00BA57EA"/>
    <w:rsid w:val="00BD282E"/>
    <w:rsid w:val="00BD2D30"/>
    <w:rsid w:val="00C02423"/>
    <w:rsid w:val="00C045D6"/>
    <w:rsid w:val="00C12974"/>
    <w:rsid w:val="00C57836"/>
    <w:rsid w:val="00C74028"/>
    <w:rsid w:val="00C82668"/>
    <w:rsid w:val="00C8442B"/>
    <w:rsid w:val="00C86905"/>
    <w:rsid w:val="00C9341A"/>
    <w:rsid w:val="00CB5359"/>
    <w:rsid w:val="00CB77A0"/>
    <w:rsid w:val="00CB7F04"/>
    <w:rsid w:val="00CE5CA6"/>
    <w:rsid w:val="00CE6DF8"/>
    <w:rsid w:val="00D021A1"/>
    <w:rsid w:val="00D345C2"/>
    <w:rsid w:val="00D401E7"/>
    <w:rsid w:val="00D403F1"/>
    <w:rsid w:val="00D4046B"/>
    <w:rsid w:val="00D44128"/>
    <w:rsid w:val="00D54EE1"/>
    <w:rsid w:val="00D573A0"/>
    <w:rsid w:val="00D611A1"/>
    <w:rsid w:val="00D62CA4"/>
    <w:rsid w:val="00D82785"/>
    <w:rsid w:val="00DB034F"/>
    <w:rsid w:val="00DB361C"/>
    <w:rsid w:val="00DB5442"/>
    <w:rsid w:val="00DD25AE"/>
    <w:rsid w:val="00DD5F67"/>
    <w:rsid w:val="00DD74D7"/>
    <w:rsid w:val="00DF37EA"/>
    <w:rsid w:val="00DF7ACC"/>
    <w:rsid w:val="00E16C5F"/>
    <w:rsid w:val="00E27A19"/>
    <w:rsid w:val="00E52B94"/>
    <w:rsid w:val="00E52BB4"/>
    <w:rsid w:val="00E52D2B"/>
    <w:rsid w:val="00E53D63"/>
    <w:rsid w:val="00E60A07"/>
    <w:rsid w:val="00E909F7"/>
    <w:rsid w:val="00E93972"/>
    <w:rsid w:val="00EA4A68"/>
    <w:rsid w:val="00EC3875"/>
    <w:rsid w:val="00EE0E83"/>
    <w:rsid w:val="00EE2FE6"/>
    <w:rsid w:val="00F017F1"/>
    <w:rsid w:val="00F27125"/>
    <w:rsid w:val="00F370B5"/>
    <w:rsid w:val="00F4272D"/>
    <w:rsid w:val="00F46101"/>
    <w:rsid w:val="00F5753D"/>
    <w:rsid w:val="00F6005F"/>
    <w:rsid w:val="00F62AF3"/>
    <w:rsid w:val="00F73E75"/>
    <w:rsid w:val="00F77837"/>
    <w:rsid w:val="00F95B78"/>
    <w:rsid w:val="00FC1225"/>
    <w:rsid w:val="00FF035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A13445"/>
  <w15:docId w15:val="{40BC488C-EEB6-4A51-868E-B896ABE2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outlineLvl w:val="0"/>
    </w:pPr>
    <w:rPr>
      <w:b/>
      <w:i/>
      <w:sz w:val="28"/>
      <w:szCs w:val="28"/>
    </w:rPr>
  </w:style>
  <w:style w:type="paragraph" w:styleId="Heading2">
    <w:name w:val="heading 2"/>
    <w:basedOn w:val="Normal"/>
    <w:next w:val="Normal"/>
    <w:uiPriority w:val="9"/>
    <w:semiHidden/>
    <w:unhideWhenUsed/>
    <w:qFormat/>
    <w:pPr>
      <w:keepNext/>
      <w:outlineLvl w:val="1"/>
    </w:pPr>
    <w:rPr>
      <w:b/>
      <w:i/>
      <w:sz w:val="20"/>
      <w:szCs w:val="20"/>
    </w:rPr>
  </w:style>
  <w:style w:type="paragraph" w:styleId="Heading3">
    <w:name w:val="heading 3"/>
    <w:basedOn w:val="Normal"/>
    <w:next w:val="Normal"/>
    <w:uiPriority w:val="9"/>
    <w:semiHidden/>
    <w:unhideWhenUsed/>
    <w:qFormat/>
    <w:pPr>
      <w:keepNext/>
      <w:outlineLvl w:val="2"/>
    </w:pPr>
    <w:rPr>
      <w:rFonts w:ascii="NanumGothic" w:eastAsia="Arial" w:hAnsi="NanumGothic"/>
      <w:b/>
      <w:i/>
      <w:sz w:val="20"/>
      <w:szCs w:val="20"/>
    </w:rPr>
  </w:style>
  <w:style w:type="paragraph" w:styleId="Heading4">
    <w:name w:val="heading 4"/>
    <w:basedOn w:val="Normal"/>
    <w:next w:val="Normal"/>
    <w:uiPriority w:val="9"/>
    <w:semiHidden/>
    <w:unhideWhenUsed/>
    <w:qFormat/>
    <w:pPr>
      <w:keepNext/>
      <w:outlineLvl w:val="3"/>
    </w:pPr>
    <w:rPr>
      <w:i/>
      <w:sz w:val="20"/>
      <w:szCs w:val="20"/>
    </w:rPr>
  </w:style>
  <w:style w:type="paragraph" w:styleId="Heading5">
    <w:name w:val="heading 5"/>
    <w:basedOn w:val="Normal"/>
    <w:next w:val="Normal"/>
    <w:uiPriority w:val="9"/>
    <w:semiHidden/>
    <w:unhideWhenUsed/>
    <w:qFormat/>
    <w:pPr>
      <w:keepNext/>
      <w:outlineLvl w:val="4"/>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uiPriority w:val="11"/>
    <w:qFormat/>
    <w:pPr>
      <w:jc w:val="center"/>
    </w:pPr>
    <w:rPr>
      <w:b/>
      <w:sz w:val="20"/>
      <w:szCs w:val="20"/>
    </w:rPr>
  </w:style>
  <w:style w:type="character" w:styleId="IntenseEmphasis">
    <w:name w:val="Intense Emphasis"/>
    <w:uiPriority w:val="19"/>
    <w:qFormat/>
    <w:rPr>
      <w:b/>
      <w:i/>
      <w:color w:val="4F81BD"/>
      <w:w w:val="100"/>
      <w:sz w:val="20"/>
      <w:szCs w:val="20"/>
      <w:shd w:val="clear" w:color="auto" w:fill="auto"/>
    </w:rPr>
  </w:style>
  <w:style w:type="character" w:styleId="Strong">
    <w:name w:val="Strong"/>
    <w:uiPriority w:val="20"/>
    <w:qFormat/>
    <w:rPr>
      <w:rFonts w:ascii="NanumGothic" w:eastAsia="Times New Roman" w:hAnsi="NanumGothic"/>
      <w:b/>
      <w:w w:val="100"/>
      <w:sz w:val="20"/>
      <w:szCs w:val="20"/>
      <w:shd w:val="clear" w:color="auto" w:fill="auto"/>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table" w:styleId="TableGrid">
    <w:name w:val="Table Grid"/>
    <w:basedOn w:val="TableNormal"/>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4"/>
    <w:rPr>
      <w:rFonts w:ascii="NanumGothic" w:eastAsia="HelveticaL-Book" w:hAnsi="NanumGothic"/>
      <w:b/>
      <w:sz w:val="24"/>
      <w:szCs w:val="24"/>
    </w:rPr>
  </w:style>
  <w:style w:type="paragraph" w:customStyle="1" w:styleId="Style6">
    <w:name w:val="Style6"/>
    <w:basedOn w:val="Heading4"/>
    <w:rPr>
      <w:b/>
    </w:rPr>
  </w:style>
  <w:style w:type="paragraph" w:customStyle="1" w:styleId="Style7">
    <w:name w:val="Style7"/>
    <w:basedOn w:val="Heading4"/>
    <w:rPr>
      <w:b/>
    </w:rPr>
  </w:style>
  <w:style w:type="paragraph" w:customStyle="1" w:styleId="Style8">
    <w:name w:val="Style8"/>
    <w:basedOn w:val="Heading3"/>
    <w:rPr>
      <w:sz w:val="28"/>
      <w:szCs w:val="28"/>
    </w:rPr>
  </w:style>
  <w:style w:type="paragraph" w:customStyle="1" w:styleId="Virsraksts11">
    <w:name w:val="Virsraksts 11"/>
    <w:rPr>
      <w:b/>
      <w:i/>
      <w:sz w:val="24"/>
      <w:szCs w:val="24"/>
    </w:rPr>
  </w:style>
  <w:style w:type="paragraph" w:customStyle="1" w:styleId="Virsraksts21">
    <w:name w:val="Virsraksts 21"/>
    <w:rPr>
      <w:b/>
      <w:i/>
      <w:sz w:val="22"/>
      <w:szCs w:val="22"/>
    </w:rPr>
  </w:style>
  <w:style w:type="paragraph" w:customStyle="1" w:styleId="Virsraksts31">
    <w:name w:val="Virsraksts 31"/>
    <w:basedOn w:val="Heading4"/>
    <w:rPr>
      <w:b/>
    </w:rPr>
  </w:style>
  <w:style w:type="paragraph" w:customStyle="1" w:styleId="Style1">
    <w:name w:val="Style1"/>
    <w:basedOn w:val="Heading2"/>
    <w:pPr>
      <w:jc w:val="both"/>
    </w:pPr>
  </w:style>
  <w:style w:type="paragraph" w:customStyle="1" w:styleId="VirsrakstsU">
    <w:name w:val="Virsraksts U"/>
    <w:basedOn w:val="Heading2"/>
  </w:style>
  <w:style w:type="paragraph" w:customStyle="1" w:styleId="naiskr">
    <w:name w:val="naiskr"/>
    <w:basedOn w:val="Normal"/>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rPr>
      <w:w w:val="100"/>
      <w:sz w:val="24"/>
      <w:szCs w:val="24"/>
      <w:shd w:val="clear" w:color="auto" w:fill="auto"/>
    </w:rPr>
  </w:style>
  <w:style w:type="paragraph" w:customStyle="1" w:styleId="naisnod">
    <w:name w:val="naisnod"/>
    <w:basedOn w:val="Normal"/>
    <w:pPr>
      <w:jc w:val="center"/>
    </w:pPr>
    <w:rPr>
      <w:b/>
      <w:sz w:val="20"/>
      <w:szCs w:val="20"/>
    </w:rPr>
  </w:style>
  <w:style w:type="paragraph" w:customStyle="1" w:styleId="naisf">
    <w:name w:val="naisf"/>
    <w:basedOn w:val="Normal"/>
    <w:pPr>
      <w:ind w:firstLine="375"/>
      <w:jc w:val="both"/>
    </w:pPr>
  </w:style>
  <w:style w:type="character" w:customStyle="1" w:styleId="HeaderChar">
    <w:name w:val="Header Char"/>
    <w:link w:val="Header"/>
    <w:semiHidden/>
    <w:rPr>
      <w:w w:val="100"/>
      <w:sz w:val="24"/>
      <w:szCs w:val="24"/>
      <w:shd w:val="clear" w:color="auto" w:fill="auto"/>
    </w:rPr>
  </w:style>
  <w:style w:type="paragraph" w:styleId="BalloonText">
    <w:name w:val="Balloon Text"/>
    <w:basedOn w:val="Normal"/>
    <w:semiHidden/>
    <w:rPr>
      <w:rFonts w:ascii="Tahoma" w:eastAsia="Tahoma" w:hAnsi="Tahoma"/>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w w:val="100"/>
      <w:sz w:val="20"/>
      <w:szCs w:val="20"/>
      <w:shd w:val="clear" w:color="auto" w:fill="auto"/>
    </w:rPr>
  </w:style>
  <w:style w:type="paragraph" w:customStyle="1" w:styleId="CharChar7">
    <w:name w:val="Char Char7"/>
    <w:basedOn w:val="Normal"/>
    <w:rPr>
      <w:rFonts w:ascii="Tahoma" w:eastAsia="Tahoma" w:hAnsi="Tahoma"/>
      <w:sz w:val="20"/>
      <w:szCs w:val="20"/>
    </w:rPr>
  </w:style>
  <w:style w:type="character" w:styleId="Hyperlink">
    <w:name w:val="Hyperlink"/>
    <w:unhideWhenUsed/>
    <w:rPr>
      <w:color w:val="0000FF"/>
      <w:w w:val="100"/>
      <w:sz w:val="20"/>
      <w:szCs w:val="20"/>
      <w:u w:val="single"/>
      <w:shd w:val="clear" w:color="auto" w:fill="auto"/>
    </w:rPr>
  </w:style>
  <w:style w:type="paragraph" w:styleId="NormalWeb">
    <w:name w:val="Normal (Web)"/>
    <w:basedOn w:val="Normal"/>
    <w:rPr>
      <w:sz w:val="20"/>
      <w:szCs w:val="20"/>
    </w:rPr>
  </w:style>
  <w:style w:type="character" w:styleId="CommentReference">
    <w:name w:val="annotation reference"/>
    <w:rPr>
      <w:w w:val="100"/>
      <w:sz w:val="16"/>
      <w:szCs w:val="16"/>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w w:val="100"/>
      <w:sz w:val="20"/>
      <w:szCs w:val="20"/>
      <w:shd w:val="clear" w:color="auto" w:fill="auto"/>
    </w:rPr>
  </w:style>
  <w:style w:type="paragraph" w:customStyle="1" w:styleId="tv213">
    <w:name w:val="tv213"/>
    <w:basedOn w:val="Normal"/>
  </w:style>
  <w:style w:type="paragraph" w:styleId="FootnoteText">
    <w:name w:val="footnote text"/>
    <w:basedOn w:val="Normal"/>
    <w:link w:val="FootnoteTextChar"/>
    <w:pPr>
      <w:jc w:val="both"/>
    </w:pPr>
    <w:rPr>
      <w:sz w:val="20"/>
      <w:szCs w:val="20"/>
    </w:rPr>
  </w:style>
  <w:style w:type="character" w:customStyle="1" w:styleId="FootnoteTextChar">
    <w:name w:val="Footnote Text Char"/>
    <w:link w:val="FootnoteText"/>
    <w:rPr>
      <w:w w:val="100"/>
      <w:sz w:val="20"/>
      <w:szCs w:val="20"/>
      <w:shd w:val="clear" w:color="auto" w:fill="auto"/>
    </w:rPr>
  </w:style>
  <w:style w:type="character" w:styleId="FootnoteReference">
    <w:name w:val="footnote reference"/>
    <w:rPr>
      <w:rFonts w:ascii="Times New Roman" w:eastAsia="Times New Roman" w:hAnsi="Times New Roman"/>
      <w:w w:val="100"/>
      <w:sz w:val="20"/>
      <w:szCs w:val="20"/>
      <w:shd w:val="clear" w:color="auto" w:fill="auto"/>
      <w:vertAlign w:val="superscript"/>
    </w:rPr>
  </w:style>
  <w:style w:type="paragraph" w:styleId="PlainText">
    <w:name w:val="Plain Text"/>
    <w:basedOn w:val="Normal"/>
    <w:link w:val="PlainTextChar"/>
    <w:unhideWhenUsed/>
    <w:rPr>
      <w:rFonts w:ascii="Consolas" w:eastAsia="Consolas" w:hAnsi="Consolas"/>
      <w:sz w:val="21"/>
      <w:szCs w:val="21"/>
    </w:rPr>
  </w:style>
  <w:style w:type="character" w:customStyle="1" w:styleId="PlainTextChar">
    <w:name w:val="Plain Text Char"/>
    <w:link w:val="PlainText"/>
    <w:rPr>
      <w:rFonts w:ascii="Consolas" w:eastAsia="Consolas" w:hAnsi="Consolas"/>
      <w:w w:val="100"/>
      <w:sz w:val="21"/>
      <w:szCs w:val="21"/>
      <w:shd w:val="clear" w:color="auto" w:fill="auto"/>
    </w:rPr>
  </w:style>
  <w:style w:type="character" w:customStyle="1" w:styleId="Mention1">
    <w:name w:val="Mention1"/>
    <w:basedOn w:val="DefaultParagraphFont"/>
    <w:semiHidden/>
    <w:unhideWhenUsed/>
    <w:rPr>
      <w:color w:val="2B579A"/>
      <w:w w:val="100"/>
      <w:sz w:val="20"/>
      <w:szCs w:val="20"/>
      <w:shd w:val="clear" w:color="000000" w:fill="E6E6E6"/>
    </w:rPr>
  </w:style>
  <w:style w:type="character" w:customStyle="1" w:styleId="ListParagraphChar">
    <w:name w:val="List Paragraph Char"/>
    <w:link w:val="ListParagraph"/>
    <w:rPr>
      <w:rFonts w:ascii="Calibri" w:eastAsia="Calibri" w:hAnsi="Calibri"/>
      <w:w w:val="100"/>
      <w:sz w:val="22"/>
      <w:szCs w:val="22"/>
      <w:shd w:val="clear" w:color="auto" w:fill="auto"/>
    </w:rPr>
  </w:style>
  <w:style w:type="character" w:customStyle="1" w:styleId="st">
    <w:name w:val="st"/>
    <w:basedOn w:val="DefaultParagraphFont"/>
  </w:style>
  <w:style w:type="character" w:customStyle="1" w:styleId="UnresolvedMention1">
    <w:name w:val="Unresolved Mention1"/>
    <w:basedOn w:val="DefaultParagraphFont"/>
    <w:semiHidden/>
    <w:unhideWhenUsed/>
    <w:rPr>
      <w:color w:val="605E5C"/>
      <w:w w:val="100"/>
      <w:sz w:val="20"/>
      <w:szCs w:val="20"/>
      <w:shd w:val="clear" w:color="000000" w:fill="E1DFDD"/>
    </w:rPr>
  </w:style>
  <w:style w:type="character" w:styleId="UnresolvedMention">
    <w:name w:val="Unresolved Mention"/>
    <w:basedOn w:val="DefaultParagraphFont"/>
    <w:uiPriority w:val="99"/>
    <w:semiHidden/>
    <w:unhideWhenUsed/>
    <w:rsid w:val="00553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6120">
      <w:bodyDiv w:val="1"/>
      <w:marLeft w:val="0"/>
      <w:marRight w:val="0"/>
      <w:marTop w:val="0"/>
      <w:marBottom w:val="0"/>
      <w:divBdr>
        <w:top w:val="none" w:sz="0" w:space="0" w:color="auto"/>
        <w:left w:val="none" w:sz="0" w:space="0" w:color="auto"/>
        <w:bottom w:val="none" w:sz="0" w:space="0" w:color="auto"/>
        <w:right w:val="none" w:sz="0" w:space="0" w:color="auto"/>
      </w:divBdr>
    </w:div>
    <w:div w:id="6567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ants.Lipskis@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4A6E-8592-4B5F-857E-18CC3CAE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1354</Words>
  <Characters>9943</Characters>
  <Application>Microsoft Office Word</Application>
  <DocSecurity>0</DocSecurity>
  <Lines>276</Lines>
  <Paragraphs>96</Paragraphs>
  <MMClips>0</MMClips>
  <ScaleCrop>false</ScaleCrop>
  <HeadingPairs>
    <vt:vector size="6" baseType="variant">
      <vt:variant>
        <vt:lpstr>Title</vt:lpstr>
      </vt:variant>
      <vt:variant>
        <vt:i4>1</vt:i4>
      </vt:variant>
      <vt:variant>
        <vt:lpstr>Nosaukums</vt:lpstr>
      </vt:variant>
      <vt:variant>
        <vt:i4>1</vt:i4>
      </vt:variant>
      <vt:variant>
        <vt:lpstr>제목</vt:lpstr>
      </vt:variant>
      <vt:variant>
        <vt:i4>1</vt:i4>
      </vt:variant>
    </vt:vector>
  </HeadingPairs>
  <TitlesOfParts>
    <vt:vector size="3"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lpstr>Grozījumi Ministru kabineta 2011. gada 25. janvāra noteikumos Nr. 75 „Noteikumi par aktīvo nodarbinātības pasākumu un preventīvo bezdarba samazināšanas pasākumu organizēšanas un finansēšanas kārtību un pasākumu īstenotāju izvēles principiem”</vt:lpstr>
      <vt:lpstr>Title text</vt:lpstr>
    </vt:vector>
  </TitlesOfParts>
  <Company>LM</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lastModifiedBy>Aija Talmane</cp:lastModifiedBy>
  <cp:revision>10</cp:revision>
  <cp:lastPrinted>2020-04-02T08:28:00Z</cp:lastPrinted>
  <dcterms:created xsi:type="dcterms:W3CDTF">2020-04-07T12:49:00Z</dcterms:created>
  <dcterms:modified xsi:type="dcterms:W3CDTF">2020-04-08T13:29:00Z</dcterms:modified>
</cp:coreProperties>
</file>