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C4E" w:rsidRDefault="00035C4E" w:rsidP="00035C4E">
      <w:pPr>
        <w:pStyle w:val="Heading3"/>
        <w:rPr>
          <w:noProof/>
        </w:rPr>
      </w:pPr>
      <w:r>
        <w:rPr>
          <w:noProof/>
        </w:rPr>
        <w:t>5. pielikums</w:t>
      </w:r>
    </w:p>
    <w:p w:rsidR="00035C4E" w:rsidRDefault="00035C4E" w:rsidP="00035C4E">
      <w:pPr>
        <w:tabs>
          <w:tab w:val="left" w:pos="7230"/>
        </w:tabs>
        <w:spacing w:line="276" w:lineRule="auto"/>
        <w:jc w:val="right"/>
        <w:rPr>
          <w:rFonts w:ascii="Times New Roman" w:hAnsi="Times New Roman"/>
          <w:noProof/>
        </w:rPr>
      </w:pPr>
    </w:p>
    <w:p w:rsidR="00035C4E" w:rsidRDefault="00035C4E" w:rsidP="00035C4E">
      <w:pPr>
        <w:tabs>
          <w:tab w:val="left" w:pos="7230"/>
        </w:tabs>
        <w:spacing w:line="276" w:lineRule="auto"/>
        <w:jc w:val="center"/>
        <w:rPr>
          <w:rFonts w:ascii="Times New Roman" w:hAnsi="Times New Roman"/>
          <w:noProof/>
          <w:sz w:val="24"/>
        </w:rPr>
      </w:pPr>
      <w:r>
        <w:rPr>
          <w:rFonts w:ascii="Times New Roman" w:hAnsi="Times New Roman"/>
          <w:noProof/>
          <w:sz w:val="24"/>
        </w:rPr>
        <w:t>Nepieciešamās nomatīvo aktu izmaiņas</w:t>
      </w:r>
    </w:p>
    <w:p w:rsidR="00035C4E" w:rsidRPr="009337F7" w:rsidRDefault="00035C4E" w:rsidP="00035C4E">
      <w:pPr>
        <w:tabs>
          <w:tab w:val="left" w:pos="7230"/>
        </w:tabs>
        <w:spacing w:line="276" w:lineRule="auto"/>
        <w:jc w:val="center"/>
        <w:rPr>
          <w:rFonts w:ascii="Times New Roman" w:hAnsi="Times New Roman"/>
          <w:noProof/>
        </w:rPr>
      </w:pPr>
    </w:p>
    <w:p w:rsidR="00035C4E" w:rsidRPr="00DF640B" w:rsidRDefault="00035C4E" w:rsidP="00035C4E">
      <w:pPr>
        <w:rPr>
          <w:rFonts w:ascii="Times New Roman" w:hAnsi="Times New Roman"/>
          <w:snapToGrid w:val="0"/>
          <w:sz w:val="24"/>
          <w:szCs w:val="24"/>
        </w:rPr>
      </w:pPr>
      <w:r w:rsidRPr="003718AB">
        <w:rPr>
          <w:rFonts w:ascii="Times New Roman" w:hAnsi="Times New Roman"/>
          <w:snapToGrid w:val="0"/>
          <w:sz w:val="24"/>
          <w:szCs w:val="24"/>
        </w:rPr>
        <w:t>Ne</w:t>
      </w:r>
      <w:r>
        <w:rPr>
          <w:rFonts w:ascii="Times New Roman" w:hAnsi="Times New Roman"/>
          <w:snapToGrid w:val="0"/>
          <w:sz w:val="24"/>
          <w:szCs w:val="24"/>
        </w:rPr>
        <w:t>atkarīgi no izvēlētā modeļa ne</w:t>
      </w:r>
      <w:r w:rsidRPr="003718AB">
        <w:rPr>
          <w:rFonts w:ascii="Times New Roman" w:hAnsi="Times New Roman"/>
          <w:snapToGrid w:val="0"/>
          <w:sz w:val="24"/>
          <w:szCs w:val="24"/>
        </w:rPr>
        <w:t>pieciešami grozījumi šādos normatīvajos aktos</w:t>
      </w:r>
      <w:r w:rsidRPr="00DF640B">
        <w:rPr>
          <w:rFonts w:ascii="Times New Roman" w:hAnsi="Times New Roman"/>
          <w:snapToGrid w:val="0"/>
          <w:sz w:val="24"/>
          <w:szCs w:val="24"/>
        </w:rPr>
        <w:t>:</w:t>
      </w:r>
    </w:p>
    <w:tbl>
      <w:tblPr>
        <w:tblStyle w:val="TableGrid"/>
        <w:tblW w:w="9073" w:type="dxa"/>
        <w:tblInd w:w="-147" w:type="dxa"/>
        <w:tblLook w:val="04A0" w:firstRow="1" w:lastRow="0" w:firstColumn="1" w:lastColumn="0" w:noHBand="0" w:noVBand="1"/>
      </w:tblPr>
      <w:tblGrid>
        <w:gridCol w:w="2598"/>
        <w:gridCol w:w="3120"/>
        <w:gridCol w:w="3355"/>
      </w:tblGrid>
      <w:tr w:rsidR="00035C4E" w:rsidRPr="003718AB" w:rsidTr="00035C4E">
        <w:tc>
          <w:tcPr>
            <w:tcW w:w="2598" w:type="dxa"/>
          </w:tcPr>
          <w:p w:rsidR="00035C4E" w:rsidRPr="003718AB" w:rsidRDefault="00035C4E" w:rsidP="00BF4734">
            <w:pPr>
              <w:pStyle w:val="Heading1"/>
              <w:spacing w:before="0"/>
              <w:outlineLvl w:val="0"/>
              <w:rPr>
                <w:rFonts w:cs="Times New Roman"/>
                <w:b w:val="0"/>
                <w:snapToGrid w:val="0"/>
                <w:color w:val="000000" w:themeColor="text1"/>
                <w:sz w:val="20"/>
                <w:szCs w:val="20"/>
              </w:rPr>
            </w:pPr>
            <w:r w:rsidRPr="009E2E75">
              <w:rPr>
                <w:rFonts w:cs="Times New Roman"/>
                <w:snapToGrid w:val="0"/>
                <w:color w:val="000000" w:themeColor="text1"/>
                <w:sz w:val="20"/>
                <w:szCs w:val="20"/>
              </w:rPr>
              <w:t>Pirmais modelis</w:t>
            </w:r>
          </w:p>
        </w:tc>
        <w:tc>
          <w:tcPr>
            <w:tcW w:w="3120" w:type="dxa"/>
          </w:tcPr>
          <w:p w:rsidR="00035C4E" w:rsidRPr="003718AB" w:rsidRDefault="00035C4E" w:rsidP="00BF4734">
            <w:pPr>
              <w:pStyle w:val="Heading1"/>
              <w:spacing w:before="0"/>
              <w:outlineLvl w:val="0"/>
              <w:rPr>
                <w:rFonts w:cs="Times New Roman"/>
                <w:b w:val="0"/>
                <w:snapToGrid w:val="0"/>
                <w:color w:val="000000" w:themeColor="text1"/>
                <w:sz w:val="20"/>
                <w:szCs w:val="20"/>
              </w:rPr>
            </w:pPr>
            <w:r w:rsidRPr="003718AB">
              <w:rPr>
                <w:rFonts w:cs="Times New Roman"/>
                <w:snapToGrid w:val="0"/>
                <w:color w:val="000000" w:themeColor="text1"/>
                <w:sz w:val="20"/>
                <w:szCs w:val="20"/>
              </w:rPr>
              <w:t>Otrais modelis</w:t>
            </w:r>
          </w:p>
        </w:tc>
        <w:tc>
          <w:tcPr>
            <w:tcW w:w="3355" w:type="dxa"/>
          </w:tcPr>
          <w:p w:rsidR="00035C4E" w:rsidRPr="003718AB" w:rsidRDefault="00035C4E" w:rsidP="00BF4734">
            <w:pPr>
              <w:pStyle w:val="Heading1"/>
              <w:spacing w:before="0"/>
              <w:outlineLvl w:val="0"/>
              <w:rPr>
                <w:rFonts w:cs="Times New Roman"/>
                <w:b w:val="0"/>
                <w:snapToGrid w:val="0"/>
                <w:color w:val="000000" w:themeColor="text1"/>
                <w:sz w:val="20"/>
                <w:szCs w:val="20"/>
              </w:rPr>
            </w:pPr>
            <w:r w:rsidRPr="003718AB">
              <w:rPr>
                <w:rFonts w:cs="Times New Roman"/>
                <w:snapToGrid w:val="0"/>
                <w:color w:val="000000" w:themeColor="text1"/>
                <w:sz w:val="20"/>
                <w:szCs w:val="20"/>
              </w:rPr>
              <w:t>Trešais modelis</w:t>
            </w:r>
          </w:p>
        </w:tc>
      </w:tr>
      <w:tr w:rsidR="00035C4E" w:rsidRPr="003718AB" w:rsidTr="00035C4E">
        <w:tc>
          <w:tcPr>
            <w:tcW w:w="9073" w:type="dxa"/>
            <w:gridSpan w:val="3"/>
          </w:tcPr>
          <w:p w:rsidR="00035C4E" w:rsidRPr="003718AB" w:rsidRDefault="00035C4E" w:rsidP="00035C4E">
            <w:pPr>
              <w:pStyle w:val="ListParagraph"/>
              <w:numPr>
                <w:ilvl w:val="0"/>
                <w:numId w:val="1"/>
              </w:numPr>
              <w:jc w:val="both"/>
              <w:rPr>
                <w:rFonts w:ascii="Times New Roman" w:hAnsi="Times New Roman"/>
                <w:snapToGrid w:val="0"/>
                <w:color w:val="000000" w:themeColor="text1"/>
              </w:rPr>
            </w:pPr>
            <w:r w:rsidRPr="003718AB">
              <w:rPr>
                <w:rFonts w:ascii="Times New Roman" w:hAnsi="Times New Roman"/>
                <w:color w:val="000000" w:themeColor="text1"/>
                <w:lang w:eastAsia="ru-RU"/>
              </w:rPr>
              <w:t>Publiskas personas kapitāla daļu</w:t>
            </w:r>
            <w:r w:rsidRPr="003718AB">
              <w:rPr>
                <w:rFonts w:ascii="Times New Roman" w:hAnsi="Times New Roman"/>
                <w:snapToGrid w:val="0"/>
                <w:color w:val="000000" w:themeColor="text1"/>
              </w:rPr>
              <w:t xml:space="preserve"> un kapitālsabiedrību pārvaldības likums</w:t>
            </w:r>
          </w:p>
        </w:tc>
      </w:tr>
      <w:tr w:rsidR="00035C4E" w:rsidRPr="003718AB" w:rsidTr="00035C4E">
        <w:tc>
          <w:tcPr>
            <w:tcW w:w="9073" w:type="dxa"/>
            <w:gridSpan w:val="3"/>
          </w:tcPr>
          <w:p w:rsidR="00035C4E" w:rsidRPr="003718AB" w:rsidRDefault="00035C4E" w:rsidP="00035C4E">
            <w:pPr>
              <w:pStyle w:val="ListParagraph"/>
              <w:numPr>
                <w:ilvl w:val="0"/>
                <w:numId w:val="1"/>
              </w:numPr>
              <w:shd w:val="clear" w:color="auto" w:fill="FFFFFF"/>
              <w:jc w:val="both"/>
              <w:rPr>
                <w:rFonts w:ascii="Times New Roman" w:hAnsi="Times New Roman"/>
                <w:color w:val="000000" w:themeColor="text1"/>
                <w:lang w:eastAsia="ru-RU"/>
              </w:rPr>
            </w:pPr>
            <w:r w:rsidRPr="003718AB">
              <w:rPr>
                <w:rFonts w:ascii="Times New Roman" w:hAnsi="Times New Roman"/>
                <w:snapToGrid w:val="0"/>
                <w:color w:val="000000" w:themeColor="text1"/>
              </w:rPr>
              <w:t>Ministru kabineta 2020.gada 7.janvāra noteikumi Nr.20 “</w:t>
            </w:r>
            <w:r w:rsidRPr="003718AB">
              <w:rPr>
                <w:rFonts w:ascii="Times New Roman" w:hAnsi="Times New Roman"/>
                <w:bCs/>
                <w:color w:val="000000" w:themeColor="text1"/>
              </w:rPr>
              <w:t>Valdes un padomes locekļu nominēšanas kārtība kapitālsabiedrībās, kurās kapitāla daļas pieder valstij vai atvasinātai publiskai personai”</w:t>
            </w:r>
          </w:p>
        </w:tc>
      </w:tr>
      <w:tr w:rsidR="00035C4E" w:rsidRPr="003718AB" w:rsidTr="00035C4E">
        <w:tc>
          <w:tcPr>
            <w:tcW w:w="9073" w:type="dxa"/>
            <w:gridSpan w:val="3"/>
          </w:tcPr>
          <w:p w:rsidR="00035C4E" w:rsidRPr="003718AB" w:rsidRDefault="00035C4E" w:rsidP="00035C4E">
            <w:pPr>
              <w:pStyle w:val="ListParagraph"/>
              <w:numPr>
                <w:ilvl w:val="0"/>
                <w:numId w:val="1"/>
              </w:numPr>
              <w:shd w:val="clear" w:color="auto" w:fill="FFFFFF"/>
              <w:jc w:val="both"/>
              <w:rPr>
                <w:rFonts w:ascii="Times New Roman" w:hAnsi="Times New Roman"/>
                <w:snapToGrid w:val="0"/>
                <w:color w:val="000000" w:themeColor="text1"/>
              </w:rPr>
            </w:pPr>
            <w:r w:rsidRPr="003718AB">
              <w:rPr>
                <w:rFonts w:ascii="Times New Roman" w:hAnsi="Times New Roman"/>
                <w:bCs/>
                <w:color w:val="000000" w:themeColor="text1"/>
              </w:rPr>
              <w:t xml:space="preserve">Ministru kabineta </w:t>
            </w:r>
            <w:r w:rsidRPr="003718AB">
              <w:rPr>
                <w:rFonts w:ascii="Times New Roman" w:hAnsi="Times New Roman"/>
                <w:color w:val="000000" w:themeColor="text1"/>
              </w:rPr>
              <w:t xml:space="preserve">2016. gada 9. februāra </w:t>
            </w:r>
            <w:r w:rsidRPr="003718AB">
              <w:rPr>
                <w:rFonts w:ascii="Times New Roman" w:hAnsi="Times New Roman"/>
                <w:bCs/>
                <w:color w:val="000000" w:themeColor="text1"/>
              </w:rPr>
              <w:t>noteikumi Nr. 95 “Kārtība, kādā tiek vērtēti darbības rezultāti un finanšu rādītāji kapitālsabiedrībai, kurā valstij ir izšķirošā ietekme”</w:t>
            </w:r>
          </w:p>
        </w:tc>
      </w:tr>
      <w:tr w:rsidR="00035C4E" w:rsidRPr="003718AB" w:rsidTr="00035C4E">
        <w:tc>
          <w:tcPr>
            <w:tcW w:w="9073" w:type="dxa"/>
            <w:gridSpan w:val="3"/>
          </w:tcPr>
          <w:p w:rsidR="00035C4E" w:rsidRPr="003718AB" w:rsidRDefault="00035C4E" w:rsidP="00035C4E">
            <w:pPr>
              <w:pStyle w:val="ListParagraph"/>
              <w:numPr>
                <w:ilvl w:val="0"/>
                <w:numId w:val="1"/>
              </w:numPr>
              <w:shd w:val="clear" w:color="auto" w:fill="FFFFFF"/>
              <w:jc w:val="both"/>
              <w:rPr>
                <w:rFonts w:ascii="Times New Roman" w:hAnsi="Times New Roman"/>
                <w:bCs/>
                <w:color w:val="000000" w:themeColor="text1"/>
              </w:rPr>
            </w:pPr>
            <w:r w:rsidRPr="003718AB">
              <w:rPr>
                <w:rFonts w:ascii="Times New Roman" w:hAnsi="Times New Roman"/>
                <w:bCs/>
                <w:color w:val="000000" w:themeColor="text1"/>
              </w:rPr>
              <w:t xml:space="preserve">Ministru kabineta </w:t>
            </w:r>
            <w:r w:rsidRPr="003718AB">
              <w:rPr>
                <w:rFonts w:ascii="Times New Roman" w:hAnsi="Times New Roman"/>
                <w:color w:val="000000" w:themeColor="text1"/>
              </w:rPr>
              <w:t xml:space="preserve">2016. gada 9. februāra </w:t>
            </w:r>
            <w:r w:rsidRPr="003718AB">
              <w:rPr>
                <w:rFonts w:ascii="Times New Roman" w:hAnsi="Times New Roman"/>
                <w:bCs/>
                <w:color w:val="000000" w:themeColor="text1"/>
              </w:rPr>
              <w:t>noteikumi Nr. 95 “Kārtība, kādā tiek vērtēti darbības rezultāti un finanšu rādītāji kapitālsabiedrībai, kurā valstij ir izšķirošā ietekme”</w:t>
            </w:r>
          </w:p>
        </w:tc>
      </w:tr>
      <w:tr w:rsidR="00035C4E" w:rsidRPr="003718AB" w:rsidTr="00035C4E">
        <w:tc>
          <w:tcPr>
            <w:tcW w:w="9073" w:type="dxa"/>
            <w:gridSpan w:val="3"/>
          </w:tcPr>
          <w:p w:rsidR="00035C4E" w:rsidRPr="003718AB" w:rsidRDefault="00035C4E" w:rsidP="00035C4E">
            <w:pPr>
              <w:pStyle w:val="ListParagraph"/>
              <w:numPr>
                <w:ilvl w:val="0"/>
                <w:numId w:val="1"/>
              </w:numPr>
              <w:shd w:val="clear" w:color="auto" w:fill="FFFFFF"/>
              <w:jc w:val="both"/>
              <w:rPr>
                <w:rFonts w:ascii="Times New Roman" w:hAnsi="Times New Roman"/>
                <w:bCs/>
                <w:color w:val="000000" w:themeColor="text1"/>
              </w:rPr>
            </w:pPr>
            <w:r w:rsidRPr="003718AB">
              <w:rPr>
                <w:rFonts w:ascii="Times New Roman" w:hAnsi="Times New Roman"/>
                <w:bCs/>
                <w:color w:val="000000" w:themeColor="text1"/>
              </w:rPr>
              <w:t>Ministru kabineta 2015.gada 22.decembra noteikumi Nr. 806 “Kārtība, kādā valsts kapitālsabiedrības un publiski privātās kapitālsabiedrības, kurās valsts ir dalībnieks (akcionārs), prognozē un nosaka dividendēs izmaksājamo peļņas daļu un veic maksājumus valsts budžetā par valsts kapitāla izmantošanu”</w:t>
            </w:r>
          </w:p>
        </w:tc>
      </w:tr>
      <w:tr w:rsidR="00035C4E" w:rsidRPr="003718AB" w:rsidTr="00035C4E">
        <w:tc>
          <w:tcPr>
            <w:tcW w:w="9073" w:type="dxa"/>
            <w:gridSpan w:val="3"/>
          </w:tcPr>
          <w:p w:rsidR="00035C4E" w:rsidRPr="003718AB" w:rsidRDefault="00035C4E" w:rsidP="00035C4E">
            <w:pPr>
              <w:pStyle w:val="ListParagraph"/>
              <w:numPr>
                <w:ilvl w:val="0"/>
                <w:numId w:val="1"/>
              </w:numPr>
              <w:shd w:val="clear" w:color="auto" w:fill="FFFFFF"/>
              <w:jc w:val="both"/>
              <w:rPr>
                <w:rFonts w:ascii="Times New Roman" w:hAnsi="Times New Roman"/>
                <w:bCs/>
                <w:color w:val="000000" w:themeColor="text1"/>
              </w:rPr>
            </w:pPr>
            <w:r w:rsidRPr="003718AB">
              <w:rPr>
                <w:rFonts w:ascii="Times New Roman" w:hAnsi="Times New Roman"/>
                <w:bCs/>
                <w:color w:val="000000" w:themeColor="text1"/>
              </w:rPr>
              <w:t>Ministru kabineta 2015.gada 8.septembra noteikumi Nr. 518“Valsts kapitāla daļu un valsts kapitālsabiedrību pārvaldības koordinācijas institūcijas padomes nolikums”</w:t>
            </w:r>
          </w:p>
        </w:tc>
      </w:tr>
      <w:tr w:rsidR="00035C4E" w:rsidRPr="003718AB" w:rsidTr="00035C4E">
        <w:tc>
          <w:tcPr>
            <w:tcW w:w="9073" w:type="dxa"/>
            <w:gridSpan w:val="3"/>
          </w:tcPr>
          <w:p w:rsidR="00035C4E" w:rsidRPr="003718AB" w:rsidRDefault="00035C4E" w:rsidP="00035C4E">
            <w:pPr>
              <w:pStyle w:val="ListParagraph"/>
              <w:numPr>
                <w:ilvl w:val="0"/>
                <w:numId w:val="1"/>
              </w:numPr>
              <w:jc w:val="both"/>
              <w:rPr>
                <w:rFonts w:ascii="Times New Roman" w:hAnsi="Times New Roman"/>
                <w:color w:val="000000" w:themeColor="text1"/>
                <w:lang w:eastAsia="ru-RU"/>
              </w:rPr>
            </w:pPr>
            <w:r w:rsidRPr="003718AB">
              <w:rPr>
                <w:rFonts w:ascii="Times New Roman" w:hAnsi="Times New Roman"/>
                <w:snapToGrid w:val="0"/>
                <w:color w:val="000000" w:themeColor="text1"/>
              </w:rPr>
              <w:t>Attīstības finanšu institūcijas likums 3.p.2.d.</w:t>
            </w:r>
          </w:p>
        </w:tc>
      </w:tr>
      <w:tr w:rsidR="00035C4E" w:rsidRPr="003718AB" w:rsidTr="00035C4E">
        <w:tc>
          <w:tcPr>
            <w:tcW w:w="9073" w:type="dxa"/>
            <w:gridSpan w:val="3"/>
          </w:tcPr>
          <w:p w:rsidR="00035C4E" w:rsidRPr="003718AB" w:rsidRDefault="00035C4E" w:rsidP="00035C4E">
            <w:pPr>
              <w:pStyle w:val="ListParagraph"/>
              <w:numPr>
                <w:ilvl w:val="0"/>
                <w:numId w:val="1"/>
              </w:numPr>
              <w:shd w:val="clear" w:color="auto" w:fill="FFFFFF"/>
              <w:tabs>
                <w:tab w:val="left" w:pos="1900"/>
              </w:tabs>
              <w:jc w:val="both"/>
              <w:rPr>
                <w:rFonts w:ascii="Times New Roman" w:hAnsi="Times New Roman"/>
                <w:snapToGrid w:val="0"/>
                <w:color w:val="000000" w:themeColor="text1"/>
              </w:rPr>
            </w:pPr>
            <w:r w:rsidRPr="003718AB">
              <w:rPr>
                <w:rFonts w:ascii="Times New Roman" w:hAnsi="Times New Roman"/>
                <w:color w:val="000000" w:themeColor="text1"/>
              </w:rPr>
              <w:t xml:space="preserve">Ministru kabineta 2015.gada 1.decembra noteikumi Nr.688 “Noteikumi par akciju sabiedrības “Attīstības finanšu institūcija </w:t>
            </w:r>
            <w:proofErr w:type="spellStart"/>
            <w:r w:rsidRPr="003718AB">
              <w:rPr>
                <w:rFonts w:ascii="Times New Roman" w:hAnsi="Times New Roman"/>
                <w:color w:val="000000" w:themeColor="text1"/>
              </w:rPr>
              <w:t>Altum</w:t>
            </w:r>
            <w:proofErr w:type="spellEnd"/>
            <w:r w:rsidRPr="003718AB">
              <w:rPr>
                <w:rFonts w:ascii="Times New Roman" w:hAnsi="Times New Roman"/>
                <w:color w:val="000000" w:themeColor="text1"/>
              </w:rPr>
              <w:t>” konsultatīvo padomi”.</w:t>
            </w:r>
          </w:p>
        </w:tc>
      </w:tr>
    </w:tbl>
    <w:p w:rsidR="00035C4E" w:rsidRDefault="00035C4E" w:rsidP="00035C4E">
      <w:pPr>
        <w:rPr>
          <w:rFonts w:ascii="Times New Roman" w:hAnsi="Times New Roman"/>
          <w:b/>
          <w:i/>
          <w:snapToGrid w:val="0"/>
        </w:rPr>
      </w:pPr>
    </w:p>
    <w:p w:rsidR="00035C4E" w:rsidRPr="005608FD" w:rsidRDefault="00035C4E" w:rsidP="00035C4E">
      <w:pPr>
        <w:rPr>
          <w:rFonts w:ascii="Times New Roman" w:hAnsi="Times New Roman"/>
          <w:b/>
          <w:i/>
          <w:snapToGrid w:val="0"/>
          <w:u w:val="single"/>
        </w:rPr>
      </w:pPr>
      <w:r w:rsidRPr="005608FD">
        <w:rPr>
          <w:rFonts w:ascii="Times New Roman" w:hAnsi="Times New Roman"/>
          <w:b/>
          <w:i/>
          <w:snapToGrid w:val="0"/>
        </w:rPr>
        <w:t>Likumi, kuri jāgroza saistībā ar AS “Publisko aktīvu pārvaldītāju “</w:t>
      </w:r>
      <w:proofErr w:type="spellStart"/>
      <w:r w:rsidRPr="005608FD">
        <w:rPr>
          <w:rFonts w:ascii="Times New Roman" w:hAnsi="Times New Roman"/>
          <w:b/>
          <w:i/>
          <w:snapToGrid w:val="0"/>
        </w:rPr>
        <w:t>Possessor</w:t>
      </w:r>
      <w:proofErr w:type="spellEnd"/>
      <w:r w:rsidRPr="005608FD">
        <w:rPr>
          <w:rFonts w:ascii="Times New Roman" w:hAnsi="Times New Roman"/>
          <w:b/>
          <w:i/>
          <w:snapToGrid w:val="0"/>
        </w:rPr>
        <w:t xml:space="preserve">” </w:t>
      </w:r>
    </w:p>
    <w:tbl>
      <w:tblPr>
        <w:tblStyle w:val="TableGrid"/>
        <w:tblW w:w="9073" w:type="dxa"/>
        <w:tblInd w:w="-147" w:type="dxa"/>
        <w:tblLook w:val="04A0" w:firstRow="1" w:lastRow="0" w:firstColumn="1" w:lastColumn="0" w:noHBand="0" w:noVBand="1"/>
      </w:tblPr>
      <w:tblGrid>
        <w:gridCol w:w="2450"/>
        <w:gridCol w:w="3924"/>
        <w:gridCol w:w="2699"/>
      </w:tblGrid>
      <w:tr w:rsidR="00035C4E" w:rsidRPr="003718AB" w:rsidTr="00035C4E">
        <w:tc>
          <w:tcPr>
            <w:tcW w:w="2450" w:type="dxa"/>
          </w:tcPr>
          <w:p w:rsidR="00035C4E" w:rsidRPr="003718AB" w:rsidRDefault="00035C4E" w:rsidP="00BF4734">
            <w:pPr>
              <w:pStyle w:val="Heading1"/>
              <w:spacing w:before="0"/>
              <w:outlineLvl w:val="0"/>
              <w:rPr>
                <w:rFonts w:cs="Times New Roman"/>
                <w:b w:val="0"/>
                <w:snapToGrid w:val="0"/>
                <w:color w:val="000000" w:themeColor="text1"/>
                <w:sz w:val="20"/>
                <w:szCs w:val="20"/>
              </w:rPr>
            </w:pPr>
            <w:r w:rsidRPr="009E2E75">
              <w:rPr>
                <w:rFonts w:cs="Times New Roman"/>
                <w:snapToGrid w:val="0"/>
                <w:color w:val="000000" w:themeColor="text1"/>
                <w:sz w:val="20"/>
                <w:szCs w:val="20"/>
              </w:rPr>
              <w:t>Pirmais modelis</w:t>
            </w:r>
          </w:p>
        </w:tc>
        <w:tc>
          <w:tcPr>
            <w:tcW w:w="3924" w:type="dxa"/>
          </w:tcPr>
          <w:p w:rsidR="00035C4E" w:rsidRPr="003718AB" w:rsidRDefault="00035C4E" w:rsidP="00BF4734">
            <w:pPr>
              <w:pStyle w:val="Heading1"/>
              <w:spacing w:before="0"/>
              <w:outlineLvl w:val="0"/>
              <w:rPr>
                <w:rFonts w:cs="Times New Roman"/>
                <w:b w:val="0"/>
                <w:snapToGrid w:val="0"/>
                <w:color w:val="000000" w:themeColor="text1"/>
                <w:sz w:val="20"/>
                <w:szCs w:val="20"/>
              </w:rPr>
            </w:pPr>
            <w:r w:rsidRPr="003718AB">
              <w:rPr>
                <w:rFonts w:cs="Times New Roman"/>
                <w:snapToGrid w:val="0"/>
                <w:color w:val="000000" w:themeColor="text1"/>
                <w:sz w:val="20"/>
                <w:szCs w:val="20"/>
              </w:rPr>
              <w:t>Otrais modelis</w:t>
            </w:r>
          </w:p>
        </w:tc>
        <w:tc>
          <w:tcPr>
            <w:tcW w:w="2699" w:type="dxa"/>
          </w:tcPr>
          <w:p w:rsidR="00035C4E" w:rsidRPr="003718AB" w:rsidRDefault="00035C4E" w:rsidP="00BF4734">
            <w:pPr>
              <w:pStyle w:val="Heading1"/>
              <w:spacing w:before="0"/>
              <w:outlineLvl w:val="0"/>
              <w:rPr>
                <w:rFonts w:cs="Times New Roman"/>
                <w:b w:val="0"/>
                <w:snapToGrid w:val="0"/>
                <w:color w:val="000000" w:themeColor="text1"/>
                <w:sz w:val="20"/>
                <w:szCs w:val="20"/>
              </w:rPr>
            </w:pPr>
            <w:r w:rsidRPr="003718AB">
              <w:rPr>
                <w:rFonts w:cs="Times New Roman"/>
                <w:snapToGrid w:val="0"/>
                <w:color w:val="000000" w:themeColor="text1"/>
                <w:sz w:val="20"/>
                <w:szCs w:val="20"/>
              </w:rPr>
              <w:t>Trešais modelis</w:t>
            </w:r>
          </w:p>
        </w:tc>
      </w:tr>
      <w:tr w:rsidR="00035C4E" w:rsidRPr="003718AB" w:rsidTr="00035C4E">
        <w:tc>
          <w:tcPr>
            <w:tcW w:w="2450" w:type="dxa"/>
          </w:tcPr>
          <w:p w:rsidR="00035C4E" w:rsidRPr="009E2E75" w:rsidRDefault="00035C4E" w:rsidP="00BF4734">
            <w:pPr>
              <w:pStyle w:val="Heading1"/>
              <w:spacing w:before="0"/>
              <w:outlineLvl w:val="0"/>
              <w:rPr>
                <w:rFonts w:cs="Times New Roman"/>
                <w:snapToGrid w:val="0"/>
                <w:color w:val="000000" w:themeColor="text1"/>
                <w:sz w:val="20"/>
                <w:szCs w:val="20"/>
              </w:rPr>
            </w:pPr>
          </w:p>
        </w:tc>
        <w:tc>
          <w:tcPr>
            <w:tcW w:w="3924" w:type="dxa"/>
          </w:tcPr>
          <w:p w:rsidR="00035C4E" w:rsidRPr="003718AB" w:rsidRDefault="00035C4E" w:rsidP="00BF4734">
            <w:pPr>
              <w:pStyle w:val="Heading1"/>
              <w:keepNext w:val="0"/>
              <w:keepLines w:val="0"/>
              <w:spacing w:before="0"/>
              <w:outlineLvl w:val="0"/>
              <w:rPr>
                <w:rFonts w:cs="Times New Roman"/>
                <w:b w:val="0"/>
                <w:snapToGrid w:val="0"/>
                <w:color w:val="000000" w:themeColor="text1"/>
                <w:sz w:val="20"/>
                <w:szCs w:val="20"/>
              </w:rPr>
            </w:pPr>
            <w:r w:rsidRPr="003718AB">
              <w:rPr>
                <w:rFonts w:cs="Times New Roman"/>
                <w:snapToGrid w:val="0"/>
                <w:color w:val="000000" w:themeColor="text1"/>
                <w:sz w:val="20"/>
                <w:szCs w:val="20"/>
              </w:rPr>
              <w:t>Zemesgrāmatu likums</w:t>
            </w:r>
          </w:p>
        </w:tc>
        <w:tc>
          <w:tcPr>
            <w:tcW w:w="2699" w:type="dxa"/>
          </w:tcPr>
          <w:p w:rsidR="00035C4E" w:rsidRPr="003718AB" w:rsidRDefault="00035C4E" w:rsidP="00BF4734">
            <w:pPr>
              <w:pStyle w:val="Heading1"/>
              <w:keepNext w:val="0"/>
              <w:keepLines w:val="0"/>
              <w:spacing w:before="0"/>
              <w:outlineLvl w:val="0"/>
              <w:rPr>
                <w:rFonts w:cs="Times New Roman"/>
                <w:snapToGrid w:val="0"/>
                <w:color w:val="000000" w:themeColor="text1"/>
                <w:sz w:val="20"/>
                <w:szCs w:val="20"/>
              </w:rPr>
            </w:pPr>
          </w:p>
        </w:tc>
      </w:tr>
      <w:tr w:rsidR="00035C4E" w:rsidRPr="003718AB" w:rsidTr="00035C4E">
        <w:tc>
          <w:tcPr>
            <w:tcW w:w="2450" w:type="dxa"/>
          </w:tcPr>
          <w:p w:rsidR="00035C4E" w:rsidRPr="009E2E75" w:rsidRDefault="00035C4E" w:rsidP="00BF4734">
            <w:pPr>
              <w:pStyle w:val="Heading1"/>
              <w:spacing w:before="0"/>
              <w:outlineLvl w:val="0"/>
              <w:rPr>
                <w:rFonts w:cs="Times New Roman"/>
                <w:snapToGrid w:val="0"/>
                <w:color w:val="000000" w:themeColor="text1"/>
                <w:sz w:val="20"/>
                <w:szCs w:val="20"/>
              </w:rPr>
            </w:pPr>
          </w:p>
        </w:tc>
        <w:tc>
          <w:tcPr>
            <w:tcW w:w="3924" w:type="dxa"/>
          </w:tcPr>
          <w:p w:rsidR="00035C4E" w:rsidRPr="003718AB" w:rsidRDefault="00035C4E" w:rsidP="00BF4734">
            <w:pPr>
              <w:pStyle w:val="Heading1"/>
              <w:keepNext w:val="0"/>
              <w:keepLines w:val="0"/>
              <w:spacing w:before="0"/>
              <w:outlineLvl w:val="0"/>
              <w:rPr>
                <w:rFonts w:cs="Times New Roman"/>
                <w:b w:val="0"/>
                <w:snapToGrid w:val="0"/>
                <w:color w:val="000000" w:themeColor="text1"/>
                <w:sz w:val="20"/>
                <w:szCs w:val="20"/>
              </w:rPr>
            </w:pPr>
            <w:r w:rsidRPr="003718AB">
              <w:rPr>
                <w:rFonts w:cs="Times New Roman"/>
                <w:snapToGrid w:val="0"/>
                <w:color w:val="000000" w:themeColor="text1"/>
                <w:sz w:val="20"/>
                <w:szCs w:val="20"/>
              </w:rPr>
              <w:t>Nekustamā īpašuma valsts kadastra likums</w:t>
            </w:r>
          </w:p>
        </w:tc>
        <w:tc>
          <w:tcPr>
            <w:tcW w:w="2699" w:type="dxa"/>
          </w:tcPr>
          <w:p w:rsidR="00035C4E" w:rsidRPr="003718AB" w:rsidRDefault="00035C4E" w:rsidP="00BF4734">
            <w:pPr>
              <w:pStyle w:val="Heading1"/>
              <w:keepNext w:val="0"/>
              <w:keepLines w:val="0"/>
              <w:spacing w:before="0"/>
              <w:outlineLvl w:val="0"/>
              <w:rPr>
                <w:rFonts w:cs="Times New Roman"/>
                <w:snapToGrid w:val="0"/>
                <w:color w:val="000000" w:themeColor="text1"/>
                <w:sz w:val="20"/>
                <w:szCs w:val="20"/>
              </w:rPr>
            </w:pPr>
          </w:p>
        </w:tc>
      </w:tr>
      <w:tr w:rsidR="00035C4E" w:rsidRPr="003718AB" w:rsidTr="00035C4E">
        <w:tc>
          <w:tcPr>
            <w:tcW w:w="2450" w:type="dxa"/>
          </w:tcPr>
          <w:p w:rsidR="00035C4E" w:rsidRPr="009E2E75" w:rsidRDefault="00035C4E" w:rsidP="00BF4734">
            <w:pPr>
              <w:pStyle w:val="Heading1"/>
              <w:spacing w:before="0"/>
              <w:outlineLvl w:val="0"/>
              <w:rPr>
                <w:rFonts w:cs="Times New Roman"/>
                <w:snapToGrid w:val="0"/>
                <w:color w:val="000000" w:themeColor="text1"/>
                <w:sz w:val="20"/>
                <w:szCs w:val="20"/>
              </w:rPr>
            </w:pPr>
          </w:p>
        </w:tc>
        <w:tc>
          <w:tcPr>
            <w:tcW w:w="3924" w:type="dxa"/>
          </w:tcPr>
          <w:p w:rsidR="00035C4E" w:rsidRPr="003718AB" w:rsidRDefault="00035C4E" w:rsidP="00BF4734">
            <w:pPr>
              <w:pStyle w:val="Heading1"/>
              <w:keepNext w:val="0"/>
              <w:keepLines w:val="0"/>
              <w:spacing w:before="0"/>
              <w:outlineLvl w:val="0"/>
              <w:rPr>
                <w:rFonts w:cs="Times New Roman"/>
                <w:b w:val="0"/>
                <w:snapToGrid w:val="0"/>
                <w:color w:val="000000" w:themeColor="text1"/>
                <w:sz w:val="20"/>
                <w:szCs w:val="20"/>
              </w:rPr>
            </w:pPr>
            <w:r w:rsidRPr="003718AB">
              <w:rPr>
                <w:rFonts w:cs="Times New Roman"/>
                <w:snapToGrid w:val="0"/>
                <w:color w:val="000000" w:themeColor="text1"/>
                <w:sz w:val="20"/>
                <w:szCs w:val="20"/>
              </w:rPr>
              <w:t>Publiskas personas mantas atsavināšanas likums</w:t>
            </w:r>
          </w:p>
        </w:tc>
        <w:tc>
          <w:tcPr>
            <w:tcW w:w="2699" w:type="dxa"/>
          </w:tcPr>
          <w:p w:rsidR="00035C4E" w:rsidRPr="003718AB" w:rsidRDefault="00035C4E" w:rsidP="00BF4734">
            <w:pPr>
              <w:pStyle w:val="Heading1"/>
              <w:keepNext w:val="0"/>
              <w:keepLines w:val="0"/>
              <w:spacing w:before="0"/>
              <w:outlineLvl w:val="0"/>
              <w:rPr>
                <w:rFonts w:cs="Times New Roman"/>
                <w:snapToGrid w:val="0"/>
                <w:color w:val="000000" w:themeColor="text1"/>
                <w:sz w:val="20"/>
                <w:szCs w:val="20"/>
              </w:rPr>
            </w:pPr>
          </w:p>
        </w:tc>
      </w:tr>
      <w:tr w:rsidR="00035C4E" w:rsidRPr="003718AB" w:rsidTr="00035C4E">
        <w:tc>
          <w:tcPr>
            <w:tcW w:w="2450" w:type="dxa"/>
          </w:tcPr>
          <w:p w:rsidR="00035C4E" w:rsidRPr="003718AB" w:rsidRDefault="00035C4E" w:rsidP="00BF4734">
            <w:pPr>
              <w:pStyle w:val="Heading1"/>
              <w:spacing w:before="0"/>
              <w:outlineLvl w:val="0"/>
              <w:rPr>
                <w:rFonts w:cs="Times New Roman"/>
                <w:snapToGrid w:val="0"/>
                <w:color w:val="000000" w:themeColor="text1"/>
                <w:sz w:val="20"/>
                <w:szCs w:val="20"/>
              </w:rPr>
            </w:pPr>
          </w:p>
        </w:tc>
        <w:tc>
          <w:tcPr>
            <w:tcW w:w="3924" w:type="dxa"/>
          </w:tcPr>
          <w:p w:rsidR="00035C4E" w:rsidRPr="003718AB" w:rsidRDefault="00035C4E" w:rsidP="00BF4734">
            <w:pPr>
              <w:jc w:val="center"/>
              <w:rPr>
                <w:rFonts w:ascii="Times New Roman" w:hAnsi="Times New Roman"/>
                <w:color w:val="000000" w:themeColor="text1"/>
                <w:lang w:eastAsia="ru-RU"/>
              </w:rPr>
            </w:pPr>
            <w:r w:rsidRPr="003718AB">
              <w:rPr>
                <w:rFonts w:ascii="Times New Roman" w:hAnsi="Times New Roman"/>
                <w:color w:val="000000" w:themeColor="text1"/>
              </w:rPr>
              <w:t>Likums “Par valsts un pašvaldību dzīvojamo māju privatizāciju”</w:t>
            </w:r>
          </w:p>
        </w:tc>
        <w:tc>
          <w:tcPr>
            <w:tcW w:w="2699" w:type="dxa"/>
          </w:tcPr>
          <w:p w:rsidR="00035C4E" w:rsidRPr="003718AB" w:rsidRDefault="00035C4E" w:rsidP="00BF4734">
            <w:pPr>
              <w:jc w:val="center"/>
              <w:rPr>
                <w:rFonts w:ascii="Times New Roman" w:hAnsi="Times New Roman"/>
                <w:color w:val="000000" w:themeColor="text1"/>
              </w:rPr>
            </w:pPr>
          </w:p>
        </w:tc>
      </w:tr>
      <w:tr w:rsidR="00035C4E" w:rsidRPr="003718AB" w:rsidTr="00035C4E">
        <w:tc>
          <w:tcPr>
            <w:tcW w:w="2450" w:type="dxa"/>
          </w:tcPr>
          <w:p w:rsidR="00035C4E" w:rsidRPr="003718AB" w:rsidRDefault="00035C4E" w:rsidP="00BF4734">
            <w:pPr>
              <w:pStyle w:val="Heading1"/>
              <w:spacing w:before="0"/>
              <w:outlineLvl w:val="0"/>
              <w:rPr>
                <w:rFonts w:cs="Times New Roman"/>
                <w:snapToGrid w:val="0"/>
                <w:color w:val="000000" w:themeColor="text1"/>
                <w:sz w:val="20"/>
                <w:szCs w:val="20"/>
              </w:rPr>
            </w:pPr>
          </w:p>
        </w:tc>
        <w:tc>
          <w:tcPr>
            <w:tcW w:w="3924" w:type="dxa"/>
          </w:tcPr>
          <w:p w:rsidR="00035C4E" w:rsidRPr="003718AB" w:rsidRDefault="00035C4E" w:rsidP="00BF4734">
            <w:pPr>
              <w:jc w:val="center"/>
              <w:rPr>
                <w:rFonts w:ascii="Times New Roman" w:hAnsi="Times New Roman"/>
                <w:color w:val="000000" w:themeColor="text1"/>
                <w:lang w:eastAsia="ru-RU"/>
              </w:rPr>
            </w:pPr>
            <w:r w:rsidRPr="003718AB">
              <w:rPr>
                <w:rFonts w:ascii="Times New Roman" w:hAnsi="Times New Roman"/>
                <w:color w:val="000000" w:themeColor="text1"/>
              </w:rPr>
              <w:t>Likums “Par valsts un pašvaldību īpašuma objektu privatizāciju”</w:t>
            </w:r>
          </w:p>
        </w:tc>
        <w:tc>
          <w:tcPr>
            <w:tcW w:w="2699" w:type="dxa"/>
          </w:tcPr>
          <w:p w:rsidR="00035C4E" w:rsidRPr="003718AB" w:rsidRDefault="00035C4E" w:rsidP="00BF4734">
            <w:pPr>
              <w:jc w:val="center"/>
              <w:rPr>
                <w:rFonts w:ascii="Times New Roman" w:hAnsi="Times New Roman"/>
                <w:color w:val="000000" w:themeColor="text1"/>
              </w:rPr>
            </w:pPr>
          </w:p>
        </w:tc>
      </w:tr>
      <w:tr w:rsidR="00035C4E" w:rsidRPr="003718AB" w:rsidTr="00035C4E">
        <w:tc>
          <w:tcPr>
            <w:tcW w:w="2450" w:type="dxa"/>
          </w:tcPr>
          <w:p w:rsidR="00035C4E" w:rsidRPr="003718AB" w:rsidRDefault="00035C4E" w:rsidP="00BF4734">
            <w:pPr>
              <w:pStyle w:val="Heading1"/>
              <w:spacing w:before="0"/>
              <w:outlineLvl w:val="0"/>
              <w:rPr>
                <w:rFonts w:cs="Times New Roman"/>
                <w:snapToGrid w:val="0"/>
                <w:color w:val="000000" w:themeColor="text1"/>
                <w:sz w:val="20"/>
                <w:szCs w:val="20"/>
              </w:rPr>
            </w:pPr>
          </w:p>
        </w:tc>
        <w:tc>
          <w:tcPr>
            <w:tcW w:w="3924" w:type="dxa"/>
          </w:tcPr>
          <w:p w:rsidR="00035C4E" w:rsidRPr="003718AB" w:rsidRDefault="00035C4E" w:rsidP="00BF4734">
            <w:pPr>
              <w:jc w:val="center"/>
              <w:rPr>
                <w:rFonts w:ascii="Times New Roman" w:hAnsi="Times New Roman"/>
                <w:color w:val="000000" w:themeColor="text1"/>
              </w:rPr>
            </w:pPr>
            <w:r w:rsidRPr="003718AB">
              <w:rPr>
                <w:rFonts w:ascii="Times New Roman" w:hAnsi="Times New Roman"/>
                <w:color w:val="000000" w:themeColor="text1"/>
              </w:rPr>
              <w:t>Likums “Par privatizējamo valsts un pašvaldību īpašuma objektu novērtēšanas kārtību”</w:t>
            </w:r>
          </w:p>
        </w:tc>
        <w:tc>
          <w:tcPr>
            <w:tcW w:w="2699" w:type="dxa"/>
          </w:tcPr>
          <w:p w:rsidR="00035C4E" w:rsidRPr="003718AB" w:rsidRDefault="00035C4E" w:rsidP="00BF4734">
            <w:pPr>
              <w:jc w:val="center"/>
              <w:rPr>
                <w:rFonts w:ascii="Times New Roman" w:hAnsi="Times New Roman"/>
                <w:color w:val="000000" w:themeColor="text1"/>
              </w:rPr>
            </w:pPr>
          </w:p>
        </w:tc>
      </w:tr>
      <w:tr w:rsidR="00035C4E" w:rsidRPr="003718AB" w:rsidTr="00035C4E">
        <w:tc>
          <w:tcPr>
            <w:tcW w:w="2450" w:type="dxa"/>
          </w:tcPr>
          <w:p w:rsidR="00035C4E" w:rsidRPr="009E2E75" w:rsidRDefault="00035C4E" w:rsidP="00BF4734">
            <w:pPr>
              <w:ind w:left="284"/>
              <w:jc w:val="both"/>
              <w:rPr>
                <w:rFonts w:ascii="Times New Roman" w:hAnsi="Times New Roman"/>
                <w:snapToGrid w:val="0"/>
                <w:color w:val="000000" w:themeColor="text1"/>
              </w:rPr>
            </w:pPr>
          </w:p>
        </w:tc>
        <w:tc>
          <w:tcPr>
            <w:tcW w:w="3924" w:type="dxa"/>
          </w:tcPr>
          <w:p w:rsidR="00035C4E" w:rsidRPr="003718AB" w:rsidRDefault="00035C4E" w:rsidP="00BF4734">
            <w:pPr>
              <w:jc w:val="center"/>
              <w:rPr>
                <w:rFonts w:ascii="Times New Roman" w:hAnsi="Times New Roman"/>
                <w:color w:val="000000" w:themeColor="text1"/>
                <w:lang w:eastAsia="ru-RU"/>
              </w:rPr>
            </w:pPr>
            <w:r w:rsidRPr="003718AB">
              <w:rPr>
                <w:rFonts w:ascii="Times New Roman" w:hAnsi="Times New Roman"/>
                <w:color w:val="000000" w:themeColor="text1"/>
              </w:rPr>
              <w:t>Valsts un pašvaldību īpašuma privatizācijas un privatizācijas sertifikātu izmantošanas pabeigšanas likums</w:t>
            </w:r>
          </w:p>
        </w:tc>
        <w:tc>
          <w:tcPr>
            <w:tcW w:w="2699" w:type="dxa"/>
          </w:tcPr>
          <w:p w:rsidR="00035C4E" w:rsidRPr="003718AB" w:rsidRDefault="00035C4E" w:rsidP="00BF4734">
            <w:pPr>
              <w:jc w:val="center"/>
              <w:rPr>
                <w:rFonts w:ascii="Times New Roman" w:hAnsi="Times New Roman"/>
                <w:color w:val="000000" w:themeColor="text1"/>
              </w:rPr>
            </w:pPr>
          </w:p>
        </w:tc>
      </w:tr>
      <w:tr w:rsidR="00035C4E" w:rsidRPr="003718AB" w:rsidTr="00035C4E">
        <w:trPr>
          <w:trHeight w:val="429"/>
        </w:trPr>
        <w:tc>
          <w:tcPr>
            <w:tcW w:w="2450" w:type="dxa"/>
          </w:tcPr>
          <w:p w:rsidR="00035C4E" w:rsidRPr="00C7226D" w:rsidRDefault="00035C4E" w:rsidP="00BF4734">
            <w:pPr>
              <w:ind w:left="284"/>
              <w:jc w:val="both"/>
              <w:rPr>
                <w:rFonts w:ascii="Times New Roman" w:hAnsi="Times New Roman"/>
                <w:snapToGrid w:val="0"/>
                <w:color w:val="000000" w:themeColor="text1"/>
              </w:rPr>
            </w:pPr>
          </w:p>
        </w:tc>
        <w:tc>
          <w:tcPr>
            <w:tcW w:w="3924" w:type="dxa"/>
          </w:tcPr>
          <w:p w:rsidR="00035C4E" w:rsidRPr="009E2E75" w:rsidRDefault="00035C4E" w:rsidP="00BF4734">
            <w:pPr>
              <w:jc w:val="center"/>
              <w:rPr>
                <w:rFonts w:ascii="Times New Roman" w:hAnsi="Times New Roman"/>
                <w:color w:val="000000" w:themeColor="text1"/>
              </w:rPr>
            </w:pPr>
            <w:r w:rsidRPr="009E2E75">
              <w:rPr>
                <w:rFonts w:ascii="Times New Roman" w:hAnsi="Times New Roman"/>
                <w:color w:val="000000" w:themeColor="text1"/>
              </w:rPr>
              <w:t>Likums “Par valsts un pašvaldību zemes īpašuma tiesībām un to nostiprināšanu zemesgrāmatās”</w:t>
            </w:r>
          </w:p>
        </w:tc>
        <w:tc>
          <w:tcPr>
            <w:tcW w:w="2699" w:type="dxa"/>
          </w:tcPr>
          <w:p w:rsidR="00035C4E" w:rsidRPr="009E2E75" w:rsidRDefault="00035C4E" w:rsidP="00BF4734">
            <w:pPr>
              <w:jc w:val="center"/>
              <w:rPr>
                <w:rFonts w:ascii="Times New Roman" w:hAnsi="Times New Roman"/>
                <w:color w:val="000000" w:themeColor="text1"/>
              </w:rPr>
            </w:pPr>
          </w:p>
        </w:tc>
      </w:tr>
      <w:tr w:rsidR="00035C4E" w:rsidRPr="003718AB" w:rsidTr="00035C4E">
        <w:tc>
          <w:tcPr>
            <w:tcW w:w="2450" w:type="dxa"/>
          </w:tcPr>
          <w:p w:rsidR="00035C4E" w:rsidRPr="00C7226D" w:rsidRDefault="00035C4E" w:rsidP="00BF4734">
            <w:pPr>
              <w:ind w:left="284"/>
              <w:jc w:val="both"/>
              <w:rPr>
                <w:rFonts w:ascii="Times New Roman" w:hAnsi="Times New Roman"/>
                <w:snapToGrid w:val="0"/>
                <w:color w:val="000000" w:themeColor="text1"/>
              </w:rPr>
            </w:pPr>
          </w:p>
        </w:tc>
        <w:tc>
          <w:tcPr>
            <w:tcW w:w="3924" w:type="dxa"/>
          </w:tcPr>
          <w:p w:rsidR="00035C4E" w:rsidRPr="009E2E75" w:rsidRDefault="00035C4E" w:rsidP="00BF4734">
            <w:pPr>
              <w:jc w:val="center"/>
              <w:rPr>
                <w:rFonts w:ascii="Times New Roman" w:hAnsi="Times New Roman"/>
                <w:color w:val="000000" w:themeColor="text1"/>
                <w:lang w:eastAsia="ru-RU"/>
              </w:rPr>
            </w:pPr>
            <w:r w:rsidRPr="009E2E75">
              <w:rPr>
                <w:rFonts w:ascii="Times New Roman" w:hAnsi="Times New Roman"/>
                <w:color w:val="000000" w:themeColor="text1"/>
              </w:rPr>
              <w:t>Likums “Par zemes reformu Latvijas Republikas pilsētās”</w:t>
            </w:r>
          </w:p>
        </w:tc>
        <w:tc>
          <w:tcPr>
            <w:tcW w:w="2699" w:type="dxa"/>
          </w:tcPr>
          <w:p w:rsidR="00035C4E" w:rsidRPr="009E2E75" w:rsidRDefault="00035C4E" w:rsidP="00BF4734">
            <w:pPr>
              <w:jc w:val="center"/>
              <w:rPr>
                <w:rFonts w:ascii="Times New Roman" w:hAnsi="Times New Roman"/>
                <w:color w:val="000000" w:themeColor="text1"/>
              </w:rPr>
            </w:pPr>
          </w:p>
        </w:tc>
      </w:tr>
      <w:tr w:rsidR="00035C4E" w:rsidRPr="003718AB" w:rsidTr="00035C4E">
        <w:tc>
          <w:tcPr>
            <w:tcW w:w="2450" w:type="dxa"/>
          </w:tcPr>
          <w:p w:rsidR="00035C4E" w:rsidRPr="00C7226D" w:rsidRDefault="00035C4E" w:rsidP="00BF4734">
            <w:pPr>
              <w:ind w:left="284"/>
              <w:jc w:val="both"/>
              <w:rPr>
                <w:rFonts w:ascii="Times New Roman" w:hAnsi="Times New Roman"/>
                <w:snapToGrid w:val="0"/>
                <w:color w:val="000000" w:themeColor="text1"/>
              </w:rPr>
            </w:pPr>
          </w:p>
        </w:tc>
        <w:tc>
          <w:tcPr>
            <w:tcW w:w="3924" w:type="dxa"/>
          </w:tcPr>
          <w:p w:rsidR="00035C4E" w:rsidRPr="009E2E75" w:rsidRDefault="00035C4E" w:rsidP="00BF4734">
            <w:pPr>
              <w:jc w:val="center"/>
              <w:rPr>
                <w:rFonts w:ascii="Times New Roman" w:hAnsi="Times New Roman"/>
                <w:color w:val="000000" w:themeColor="text1"/>
              </w:rPr>
            </w:pPr>
            <w:r w:rsidRPr="009E2E75">
              <w:rPr>
                <w:rFonts w:ascii="Times New Roman" w:hAnsi="Times New Roman"/>
                <w:color w:val="000000" w:themeColor="text1"/>
              </w:rPr>
              <w:t>Likums “Par zemes privatizāciju lauku apvidos”</w:t>
            </w:r>
          </w:p>
        </w:tc>
        <w:tc>
          <w:tcPr>
            <w:tcW w:w="2699" w:type="dxa"/>
          </w:tcPr>
          <w:p w:rsidR="00035C4E" w:rsidRPr="009E2E75" w:rsidRDefault="00035C4E" w:rsidP="00BF4734">
            <w:pPr>
              <w:jc w:val="center"/>
              <w:rPr>
                <w:rFonts w:ascii="Times New Roman" w:hAnsi="Times New Roman"/>
                <w:color w:val="000000" w:themeColor="text1"/>
              </w:rPr>
            </w:pPr>
          </w:p>
        </w:tc>
      </w:tr>
    </w:tbl>
    <w:p w:rsidR="00035C4E" w:rsidRPr="009337F7" w:rsidRDefault="00035C4E" w:rsidP="00035C4E">
      <w:pPr>
        <w:shd w:val="clear" w:color="auto" w:fill="FFFFFF"/>
        <w:tabs>
          <w:tab w:val="left" w:pos="1900"/>
        </w:tabs>
        <w:jc w:val="both"/>
        <w:rPr>
          <w:rFonts w:ascii="Times New Roman" w:hAnsi="Times New Roman"/>
          <w:b/>
          <w:i/>
          <w:color w:val="000000" w:themeColor="text1"/>
          <w:sz w:val="16"/>
          <w:szCs w:val="16"/>
        </w:rPr>
      </w:pPr>
    </w:p>
    <w:p w:rsidR="00035C4E" w:rsidRPr="009337F7" w:rsidRDefault="00035C4E" w:rsidP="00035C4E">
      <w:pPr>
        <w:shd w:val="clear" w:color="auto" w:fill="FFFFFF"/>
        <w:tabs>
          <w:tab w:val="left" w:pos="1900"/>
        </w:tabs>
        <w:jc w:val="both"/>
        <w:rPr>
          <w:rFonts w:ascii="Times New Roman" w:hAnsi="Times New Roman"/>
          <w:i/>
          <w:color w:val="000000" w:themeColor="text1"/>
        </w:rPr>
      </w:pPr>
      <w:r w:rsidRPr="009337F7">
        <w:rPr>
          <w:rFonts w:ascii="Times New Roman" w:hAnsi="Times New Roman"/>
          <w:i/>
          <w:color w:val="000000" w:themeColor="text1"/>
        </w:rPr>
        <w:t xml:space="preserve">Institūciju nolikumi, kuri jāgroza, ja īsteno konceptuālā ziņojumā norādīto A grupas valsts kapitālsabiedrību nodošanu centralizētā aktīvu pārvaldītāja turējumā </w:t>
      </w:r>
    </w:p>
    <w:tbl>
      <w:tblPr>
        <w:tblStyle w:val="TableGrid"/>
        <w:tblW w:w="9073" w:type="dxa"/>
        <w:tblInd w:w="-147" w:type="dxa"/>
        <w:tblLook w:val="04A0" w:firstRow="1" w:lastRow="0" w:firstColumn="1" w:lastColumn="0" w:noHBand="0" w:noVBand="1"/>
      </w:tblPr>
      <w:tblGrid>
        <w:gridCol w:w="2620"/>
        <w:gridCol w:w="3471"/>
        <w:gridCol w:w="2982"/>
      </w:tblGrid>
      <w:tr w:rsidR="00035C4E" w:rsidRPr="003718AB" w:rsidTr="00035C4E">
        <w:tc>
          <w:tcPr>
            <w:tcW w:w="2620" w:type="dxa"/>
          </w:tcPr>
          <w:p w:rsidR="00035C4E" w:rsidRPr="009E2E75" w:rsidRDefault="00035C4E" w:rsidP="00BF4734">
            <w:pPr>
              <w:pStyle w:val="Heading1"/>
              <w:spacing w:before="0"/>
              <w:outlineLvl w:val="0"/>
              <w:rPr>
                <w:rFonts w:cs="Times New Roman"/>
                <w:snapToGrid w:val="0"/>
                <w:color w:val="000000" w:themeColor="text1"/>
                <w:sz w:val="20"/>
                <w:szCs w:val="20"/>
              </w:rPr>
            </w:pPr>
            <w:r w:rsidRPr="009E2E75">
              <w:rPr>
                <w:rFonts w:cs="Times New Roman"/>
                <w:snapToGrid w:val="0"/>
                <w:color w:val="000000" w:themeColor="text1"/>
                <w:sz w:val="20"/>
                <w:szCs w:val="20"/>
              </w:rPr>
              <w:t>Pirmais modelis</w:t>
            </w:r>
          </w:p>
        </w:tc>
        <w:tc>
          <w:tcPr>
            <w:tcW w:w="3471" w:type="dxa"/>
          </w:tcPr>
          <w:p w:rsidR="00035C4E" w:rsidRPr="009E2E75" w:rsidRDefault="00035C4E" w:rsidP="00BF4734">
            <w:pPr>
              <w:pStyle w:val="Heading1"/>
              <w:spacing w:before="0"/>
              <w:outlineLvl w:val="0"/>
              <w:rPr>
                <w:rFonts w:cs="Times New Roman"/>
                <w:snapToGrid w:val="0"/>
                <w:color w:val="000000" w:themeColor="text1"/>
                <w:sz w:val="20"/>
                <w:szCs w:val="20"/>
              </w:rPr>
            </w:pPr>
            <w:r w:rsidRPr="009E2E75">
              <w:rPr>
                <w:rFonts w:cs="Times New Roman"/>
                <w:snapToGrid w:val="0"/>
                <w:color w:val="000000" w:themeColor="text1"/>
                <w:sz w:val="20"/>
                <w:szCs w:val="20"/>
              </w:rPr>
              <w:t>Otrais modelis</w:t>
            </w:r>
          </w:p>
        </w:tc>
        <w:tc>
          <w:tcPr>
            <w:tcW w:w="2982" w:type="dxa"/>
          </w:tcPr>
          <w:p w:rsidR="00035C4E" w:rsidRPr="009E2E75" w:rsidRDefault="00035C4E" w:rsidP="00BF4734">
            <w:pPr>
              <w:pStyle w:val="Heading1"/>
              <w:spacing w:before="0"/>
              <w:outlineLvl w:val="0"/>
              <w:rPr>
                <w:rFonts w:cs="Times New Roman"/>
                <w:snapToGrid w:val="0"/>
                <w:color w:val="000000" w:themeColor="text1"/>
                <w:sz w:val="20"/>
                <w:szCs w:val="20"/>
              </w:rPr>
            </w:pPr>
            <w:r w:rsidRPr="009E2E75">
              <w:rPr>
                <w:rFonts w:cs="Times New Roman"/>
                <w:snapToGrid w:val="0"/>
                <w:color w:val="000000" w:themeColor="text1"/>
                <w:sz w:val="20"/>
                <w:szCs w:val="20"/>
              </w:rPr>
              <w:t>Trešais modelis</w:t>
            </w:r>
          </w:p>
        </w:tc>
      </w:tr>
      <w:tr w:rsidR="00035C4E" w:rsidRPr="003718AB" w:rsidTr="00035C4E">
        <w:tc>
          <w:tcPr>
            <w:tcW w:w="2620" w:type="dxa"/>
          </w:tcPr>
          <w:p w:rsidR="00035C4E" w:rsidRPr="009E2E75" w:rsidRDefault="00035C4E" w:rsidP="00BF4734">
            <w:pPr>
              <w:shd w:val="clear" w:color="auto" w:fill="FFFFFF"/>
              <w:tabs>
                <w:tab w:val="left" w:pos="1900"/>
              </w:tabs>
              <w:ind w:left="-6"/>
              <w:jc w:val="both"/>
              <w:rPr>
                <w:rFonts w:ascii="Times New Roman" w:hAnsi="Times New Roman"/>
                <w:bCs/>
                <w:color w:val="000000" w:themeColor="text1"/>
              </w:rPr>
            </w:pPr>
            <w:r w:rsidRPr="009E2E75">
              <w:rPr>
                <w:rFonts w:ascii="Times New Roman" w:hAnsi="Times New Roman"/>
                <w:color w:val="000000" w:themeColor="text1"/>
              </w:rPr>
              <w:t>Ministru kabineta 2011.gada 19.oktobra noteikumi Nr.815 “</w:t>
            </w:r>
            <w:proofErr w:type="spellStart"/>
            <w:r w:rsidRPr="009E2E75">
              <w:rPr>
                <w:rFonts w:ascii="Times New Roman" w:hAnsi="Times New Roman"/>
                <w:color w:val="000000" w:themeColor="text1"/>
              </w:rPr>
              <w:t>Pārresoru</w:t>
            </w:r>
            <w:proofErr w:type="spellEnd"/>
            <w:r w:rsidRPr="009E2E75">
              <w:rPr>
                <w:rFonts w:ascii="Times New Roman" w:hAnsi="Times New Roman"/>
                <w:color w:val="000000" w:themeColor="text1"/>
              </w:rPr>
              <w:t xml:space="preserve"> koordinācijas centra nolikums”</w:t>
            </w:r>
          </w:p>
        </w:tc>
        <w:tc>
          <w:tcPr>
            <w:tcW w:w="3471" w:type="dxa"/>
          </w:tcPr>
          <w:p w:rsidR="00035C4E" w:rsidRPr="009E2E75" w:rsidRDefault="00035C4E" w:rsidP="00BF4734">
            <w:pPr>
              <w:jc w:val="both"/>
              <w:rPr>
                <w:rFonts w:ascii="Times New Roman" w:hAnsi="Times New Roman"/>
                <w:color w:val="000000" w:themeColor="text1"/>
                <w:lang w:eastAsia="ru-RU"/>
              </w:rPr>
            </w:pPr>
          </w:p>
        </w:tc>
        <w:tc>
          <w:tcPr>
            <w:tcW w:w="2982" w:type="dxa"/>
          </w:tcPr>
          <w:p w:rsidR="00035C4E" w:rsidRPr="009E2E75" w:rsidRDefault="00035C4E" w:rsidP="00BF4734">
            <w:pPr>
              <w:shd w:val="clear" w:color="auto" w:fill="FFFFFF"/>
              <w:tabs>
                <w:tab w:val="left" w:pos="1900"/>
              </w:tabs>
              <w:jc w:val="both"/>
              <w:rPr>
                <w:rFonts w:ascii="Times New Roman" w:hAnsi="Times New Roman"/>
                <w:color w:val="000000" w:themeColor="text1"/>
                <w:lang w:eastAsia="ru-RU"/>
              </w:rPr>
            </w:pPr>
            <w:r w:rsidRPr="009E2E75">
              <w:rPr>
                <w:rFonts w:ascii="Times New Roman" w:hAnsi="Times New Roman"/>
                <w:color w:val="000000" w:themeColor="text1"/>
              </w:rPr>
              <w:t>Ministru kabineta 2011.gada 19.oktobra noteikumi Nr.815 “</w:t>
            </w:r>
            <w:proofErr w:type="spellStart"/>
            <w:r w:rsidRPr="009E2E75">
              <w:rPr>
                <w:rFonts w:ascii="Times New Roman" w:hAnsi="Times New Roman"/>
                <w:color w:val="000000" w:themeColor="text1"/>
              </w:rPr>
              <w:t>Pārresoru</w:t>
            </w:r>
            <w:proofErr w:type="spellEnd"/>
            <w:r w:rsidRPr="009E2E75">
              <w:rPr>
                <w:rFonts w:ascii="Times New Roman" w:hAnsi="Times New Roman"/>
                <w:color w:val="000000" w:themeColor="text1"/>
              </w:rPr>
              <w:t xml:space="preserve"> koordinācijas centra nolikums”.</w:t>
            </w:r>
          </w:p>
        </w:tc>
      </w:tr>
      <w:tr w:rsidR="00035C4E" w:rsidRPr="003718AB" w:rsidTr="00035C4E">
        <w:tc>
          <w:tcPr>
            <w:tcW w:w="9073" w:type="dxa"/>
            <w:gridSpan w:val="3"/>
          </w:tcPr>
          <w:p w:rsidR="00035C4E" w:rsidRPr="009E2E75" w:rsidRDefault="00035C4E" w:rsidP="00BF4734">
            <w:pPr>
              <w:shd w:val="clear" w:color="auto" w:fill="FFFFFF"/>
              <w:tabs>
                <w:tab w:val="left" w:pos="1900"/>
              </w:tabs>
              <w:jc w:val="center"/>
              <w:rPr>
                <w:rFonts w:ascii="Times New Roman" w:hAnsi="Times New Roman"/>
                <w:color w:val="000000" w:themeColor="text1"/>
              </w:rPr>
            </w:pPr>
            <w:r w:rsidRPr="009E2E75">
              <w:rPr>
                <w:rFonts w:ascii="Times New Roman" w:hAnsi="Times New Roman"/>
                <w:color w:val="000000" w:themeColor="text1"/>
              </w:rPr>
              <w:t>Ministru kabineta 2019.gada 30.aprīļa noteikumi Nr.187 “Zemkopības ministrijas nolikums”</w:t>
            </w:r>
          </w:p>
        </w:tc>
      </w:tr>
      <w:tr w:rsidR="00035C4E" w:rsidRPr="003718AB" w:rsidTr="00035C4E">
        <w:tc>
          <w:tcPr>
            <w:tcW w:w="9073" w:type="dxa"/>
            <w:gridSpan w:val="3"/>
          </w:tcPr>
          <w:p w:rsidR="00035C4E" w:rsidRPr="009E2E75" w:rsidRDefault="00035C4E" w:rsidP="00BF4734">
            <w:pPr>
              <w:shd w:val="clear" w:color="auto" w:fill="FFFFFF"/>
              <w:tabs>
                <w:tab w:val="left" w:pos="1900"/>
              </w:tabs>
              <w:jc w:val="center"/>
              <w:rPr>
                <w:rFonts w:ascii="Times New Roman" w:hAnsi="Times New Roman"/>
                <w:color w:val="000000" w:themeColor="text1"/>
              </w:rPr>
            </w:pPr>
            <w:r w:rsidRPr="009E2E75">
              <w:rPr>
                <w:rFonts w:ascii="Times New Roman" w:hAnsi="Times New Roman"/>
                <w:color w:val="000000" w:themeColor="text1"/>
              </w:rPr>
              <w:t>Ministru kabineta 2010.gada 23.marta noteikumi Nr.271 “Ekonomikas ministrijas nolikums”</w:t>
            </w:r>
          </w:p>
        </w:tc>
      </w:tr>
      <w:tr w:rsidR="00035C4E" w:rsidRPr="003718AB" w:rsidTr="00035C4E">
        <w:tc>
          <w:tcPr>
            <w:tcW w:w="9073" w:type="dxa"/>
            <w:gridSpan w:val="3"/>
          </w:tcPr>
          <w:p w:rsidR="00035C4E" w:rsidRPr="009E2E75" w:rsidRDefault="00035C4E" w:rsidP="00BF4734">
            <w:pPr>
              <w:shd w:val="clear" w:color="auto" w:fill="FFFFFF"/>
              <w:tabs>
                <w:tab w:val="left" w:pos="1900"/>
              </w:tabs>
              <w:jc w:val="center"/>
              <w:rPr>
                <w:rFonts w:ascii="Times New Roman" w:hAnsi="Times New Roman"/>
                <w:color w:val="000000" w:themeColor="text1"/>
              </w:rPr>
            </w:pPr>
            <w:r w:rsidRPr="009E2E75">
              <w:rPr>
                <w:rFonts w:ascii="Times New Roman" w:hAnsi="Times New Roman"/>
                <w:color w:val="000000" w:themeColor="text1"/>
              </w:rPr>
              <w:t>Ministru kabineta 2003.gada 29.aprīļa noteikumi Nr.242 “Satiksmes ministrijas nolikums”</w:t>
            </w:r>
          </w:p>
        </w:tc>
      </w:tr>
      <w:tr w:rsidR="00035C4E" w:rsidRPr="003718AB" w:rsidTr="00035C4E">
        <w:tc>
          <w:tcPr>
            <w:tcW w:w="9073" w:type="dxa"/>
            <w:gridSpan w:val="3"/>
          </w:tcPr>
          <w:p w:rsidR="00035C4E" w:rsidRPr="009E2E75" w:rsidRDefault="00035C4E" w:rsidP="00BF4734">
            <w:pPr>
              <w:shd w:val="clear" w:color="auto" w:fill="FFFFFF"/>
              <w:tabs>
                <w:tab w:val="left" w:pos="1900"/>
              </w:tabs>
              <w:jc w:val="center"/>
              <w:rPr>
                <w:rFonts w:ascii="Times New Roman" w:hAnsi="Times New Roman"/>
                <w:color w:val="000000" w:themeColor="text1"/>
              </w:rPr>
            </w:pPr>
            <w:r w:rsidRPr="009E2E75">
              <w:rPr>
                <w:rFonts w:ascii="Times New Roman" w:hAnsi="Times New Roman"/>
                <w:color w:val="000000" w:themeColor="text1"/>
              </w:rPr>
              <w:t>Ministru kabineta 2003.gada 29.aprīļa noteikumi Nr.239 “Finanšu ministrijas nolikums”.</w:t>
            </w:r>
          </w:p>
        </w:tc>
      </w:tr>
    </w:tbl>
    <w:p w:rsidR="00183227" w:rsidRDefault="00183227">
      <w:bookmarkStart w:id="0" w:name="_GoBack"/>
      <w:bookmarkEnd w:id="0"/>
    </w:p>
    <w:sectPr w:rsidR="00183227" w:rsidSect="00035C4E">
      <w:pgSz w:w="11906" w:h="16838"/>
      <w:pgMar w:top="1440"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94D2F"/>
    <w:multiLevelType w:val="hybridMultilevel"/>
    <w:tmpl w:val="10E44B36"/>
    <w:lvl w:ilvl="0" w:tplc="5B60E276">
      <w:start w:val="1"/>
      <w:numFmt w:val="decimal"/>
      <w:lvlText w:val="%1."/>
      <w:lvlJc w:val="left"/>
      <w:pPr>
        <w:ind w:left="35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4E"/>
    <w:rsid w:val="00035C4E"/>
    <w:rsid w:val="001832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1FFBE7-755A-48FE-A031-CF0E9AC4B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C4E"/>
    <w:pPr>
      <w:spacing w:after="0" w:line="240" w:lineRule="auto"/>
    </w:pPr>
    <w:rPr>
      <w:rFonts w:ascii="Cambria" w:eastAsia="Times New Roman" w:hAnsi="Cambria" w:cs="Times New Roman"/>
      <w:sz w:val="20"/>
      <w:szCs w:val="20"/>
      <w:lang w:eastAsia="lv-LV"/>
    </w:rPr>
  </w:style>
  <w:style w:type="paragraph" w:styleId="Heading1">
    <w:name w:val="heading 1"/>
    <w:basedOn w:val="Normal"/>
    <w:next w:val="Normal"/>
    <w:link w:val="Heading1Char"/>
    <w:uiPriority w:val="9"/>
    <w:qFormat/>
    <w:rsid w:val="00035C4E"/>
    <w:pPr>
      <w:keepNext/>
      <w:keepLines/>
      <w:spacing w:before="240"/>
      <w:jc w:val="center"/>
      <w:outlineLvl w:val="0"/>
    </w:pPr>
    <w:rPr>
      <w:rFonts w:ascii="Times New Roman" w:eastAsiaTheme="majorEastAsia" w:hAnsi="Times New Roman" w:cstheme="majorBidi"/>
      <w:b/>
      <w:sz w:val="24"/>
      <w:szCs w:val="32"/>
    </w:rPr>
  </w:style>
  <w:style w:type="paragraph" w:styleId="Heading3">
    <w:name w:val="heading 3"/>
    <w:basedOn w:val="Normal"/>
    <w:next w:val="Normal"/>
    <w:link w:val="Heading3Char"/>
    <w:uiPriority w:val="9"/>
    <w:unhideWhenUsed/>
    <w:qFormat/>
    <w:rsid w:val="00035C4E"/>
    <w:pPr>
      <w:keepNext/>
      <w:keepLines/>
      <w:spacing w:before="40"/>
      <w:jc w:val="right"/>
      <w:outlineLvl w:val="2"/>
    </w:pPr>
    <w:rPr>
      <w:rFonts w:ascii="Times New Roman" w:eastAsiaTheme="majorEastAsia" w:hAnsi="Times New Roman"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5C4E"/>
    <w:rPr>
      <w:rFonts w:ascii="Times New Roman" w:eastAsiaTheme="majorEastAsia" w:hAnsi="Times New Roman" w:cstheme="majorBidi"/>
      <w:b/>
      <w:sz w:val="24"/>
      <w:szCs w:val="32"/>
      <w:lang w:eastAsia="lv-LV"/>
    </w:rPr>
  </w:style>
  <w:style w:type="character" w:customStyle="1" w:styleId="Heading3Char">
    <w:name w:val="Heading 3 Char"/>
    <w:basedOn w:val="DefaultParagraphFont"/>
    <w:link w:val="Heading3"/>
    <w:uiPriority w:val="9"/>
    <w:rsid w:val="00035C4E"/>
    <w:rPr>
      <w:rFonts w:ascii="Times New Roman" w:eastAsiaTheme="majorEastAsia" w:hAnsi="Times New Roman" w:cstheme="majorBidi"/>
      <w:sz w:val="20"/>
      <w:szCs w:val="24"/>
      <w:lang w:eastAsia="lv-LV"/>
    </w:rPr>
  </w:style>
  <w:style w:type="paragraph" w:styleId="ListParagraph">
    <w:name w:val="List Paragraph"/>
    <w:basedOn w:val="Normal"/>
    <w:uiPriority w:val="34"/>
    <w:qFormat/>
    <w:rsid w:val="00035C4E"/>
    <w:pPr>
      <w:ind w:left="720"/>
      <w:contextualSpacing/>
    </w:pPr>
  </w:style>
  <w:style w:type="table" w:styleId="TableGrid">
    <w:name w:val="Table Grid"/>
    <w:basedOn w:val="TableNormal"/>
    <w:uiPriority w:val="59"/>
    <w:rsid w:val="00035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1925</Words>
  <Characters>1098</Characters>
  <Application>Microsoft Office Word</Application>
  <DocSecurity>0</DocSecurity>
  <Lines>9</Lines>
  <Paragraphs>6</Paragraphs>
  <ScaleCrop>false</ScaleCrop>
  <Company/>
  <LinksUpToDate>false</LinksUpToDate>
  <CharactersWithSpaces>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Pukite</dc:creator>
  <cp:keywords/>
  <dc:description/>
  <cp:lastModifiedBy>Ilze Pukite</cp:lastModifiedBy>
  <cp:revision>1</cp:revision>
  <dcterms:created xsi:type="dcterms:W3CDTF">2020-04-23T06:59:00Z</dcterms:created>
  <dcterms:modified xsi:type="dcterms:W3CDTF">2020-04-23T07:02:00Z</dcterms:modified>
</cp:coreProperties>
</file>