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96725" w:rsidR="00BD5588" w:rsidP="00624256" w:rsidRDefault="00996725" w14:paraId="4B4B3B52" w14:textId="3056BBF2">
      <w:pPr>
        <w:shd w:val="clear" w:color="auto" w:fill="FFFFFF"/>
        <w:spacing w:before="130" w:line="260" w:lineRule="exact"/>
        <w:jc w:val="center"/>
        <w:rPr>
          <w:b/>
          <w:bCs/>
        </w:rPr>
      </w:pPr>
      <w:r w:rsidRPr="00996725">
        <w:rPr>
          <w:b/>
          <w:bCs/>
        </w:rPr>
        <w:t xml:space="preserve">Ministru kabineta noteikumu projekta </w:t>
      </w:r>
      <w:r w:rsidR="006E1621">
        <w:rPr>
          <w:b/>
          <w:bCs/>
        </w:rPr>
        <w:t>“</w:t>
      </w:r>
      <w:r w:rsidRPr="00624256" w:rsidR="00624256">
        <w:rPr>
          <w:b/>
          <w:bCs/>
        </w:rPr>
        <w:t xml:space="preserve">Par Ministru kabineta 2016. gada 22. marta noteikumu Nr. 173 </w:t>
      </w:r>
      <w:bookmarkStart w:name="_Hlk22044837" w:id="0"/>
      <w:bookmarkStart w:name="_Hlk21347409" w:id="1"/>
      <w:r w:rsidR="006E1621">
        <w:rPr>
          <w:b/>
          <w:bCs/>
        </w:rPr>
        <w:t>“</w:t>
      </w:r>
      <w:r w:rsidRPr="00624256" w:rsidR="00624256">
        <w:rPr>
          <w:b/>
          <w:bCs/>
        </w:rPr>
        <w:t xml:space="preserve">Darbības programmas </w:t>
      </w:r>
      <w:r w:rsidR="006E1621">
        <w:rPr>
          <w:b/>
          <w:bCs/>
        </w:rPr>
        <w:t>“</w:t>
      </w:r>
      <w:r w:rsidRPr="00624256" w:rsidR="00624256">
        <w:rPr>
          <w:b/>
          <w:bCs/>
        </w:rPr>
        <w:t>Izaugsme un nodarbinātība</w:t>
      </w:r>
      <w:r w:rsidR="006E1621">
        <w:rPr>
          <w:b/>
          <w:bCs/>
        </w:rPr>
        <w:t>”</w:t>
      </w:r>
      <w:r w:rsidRPr="00624256" w:rsidR="00624256">
        <w:rPr>
          <w:b/>
          <w:bCs/>
        </w:rPr>
        <w:t xml:space="preserve"> 6.1.4. specifiskā atbalsta mērķa </w:t>
      </w:r>
      <w:r w:rsidR="006E1621">
        <w:rPr>
          <w:b/>
          <w:bCs/>
        </w:rPr>
        <w:t>“</w:t>
      </w:r>
      <w:r w:rsidRPr="00624256" w:rsidR="00624256">
        <w:rPr>
          <w:b/>
          <w:bCs/>
        </w:rPr>
        <w:t>Pilsētu infrastruktūras sasaiste ar TEN-T tīklu</w:t>
      </w:r>
      <w:r w:rsidR="006E1621">
        <w:rPr>
          <w:b/>
          <w:bCs/>
        </w:rPr>
        <w:t>”</w:t>
      </w:r>
      <w:r w:rsidRPr="00624256" w:rsidR="00624256">
        <w:rPr>
          <w:b/>
          <w:bCs/>
        </w:rPr>
        <w:t xml:space="preserve"> </w:t>
      </w:r>
      <w:r w:rsidRPr="00817658" w:rsidR="00624256">
        <w:rPr>
          <w:b/>
          <w:bCs/>
        </w:rPr>
        <w:t>6.1.4.1.</w:t>
      </w:r>
      <w:r w:rsidRPr="00624256" w:rsidR="00624256">
        <w:rPr>
          <w:b/>
          <w:bCs/>
        </w:rPr>
        <w:t xml:space="preserve"> pasākuma </w:t>
      </w:r>
      <w:r w:rsidR="006E1621">
        <w:rPr>
          <w:b/>
          <w:bCs/>
        </w:rPr>
        <w:t>“</w:t>
      </w:r>
      <w:r w:rsidRPr="00624256" w:rsidR="00624256">
        <w:rPr>
          <w:b/>
          <w:bCs/>
        </w:rPr>
        <w:t>Rīgas ostas un Rīgas pilsētas integrēšana TEN-T tīklā</w:t>
      </w:r>
      <w:r w:rsidR="006E1621">
        <w:rPr>
          <w:b/>
          <w:bCs/>
        </w:rPr>
        <w:t>”</w:t>
      </w:r>
      <w:r w:rsidRPr="00624256" w:rsidR="00624256">
        <w:rPr>
          <w:b/>
          <w:bCs/>
        </w:rPr>
        <w:t xml:space="preserve"> īstenošanas noteikumi</w:t>
      </w:r>
      <w:bookmarkEnd w:id="0"/>
      <w:bookmarkEnd w:id="1"/>
      <w:r w:rsidR="006E1621">
        <w:rPr>
          <w:b/>
          <w:bCs/>
        </w:rPr>
        <w:t>”</w:t>
      </w:r>
      <w:r w:rsidRPr="00624256" w:rsidR="00624256">
        <w:rPr>
          <w:b/>
          <w:bCs/>
        </w:rPr>
        <w:t xml:space="preserve"> atzīšanu par spēku zaudējušiem</w:t>
      </w:r>
      <w:r w:rsidR="006E1621">
        <w:rPr>
          <w:b/>
          <w:bCs/>
        </w:rPr>
        <w:t>”</w:t>
      </w:r>
      <w:r w:rsidRPr="00996725">
        <w:rPr>
          <w:b/>
          <w:bCs/>
        </w:rPr>
        <w:t xml:space="preserve"> sākotnējās ietekmes novērtējuma ziņojums (anotācija)</w:t>
      </w:r>
    </w:p>
    <w:p w:rsidRPr="00996725" w:rsidR="00BD5588" w:rsidP="00BD5588" w:rsidRDefault="00BD5588" w14:paraId="202F8811" w14:textId="77777777">
      <w:pPr>
        <w:pStyle w:val="Title"/>
        <w:spacing w:before="130" w:line="260" w:lineRule="exact"/>
        <w:ind w:firstLine="539"/>
        <w:jc w:val="both"/>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38"/>
        <w:gridCol w:w="5924"/>
      </w:tblGrid>
      <w:tr w:rsidRPr="00996725" w:rsidR="00BD5588" w:rsidTr="00E378CC" w14:paraId="08C637B4" w14:textId="77777777">
        <w:trPr>
          <w:cantSplit/>
        </w:trPr>
        <w:tc>
          <w:tcPr>
            <w:tcW w:w="8362" w:type="dxa"/>
            <w:gridSpan w:val="2"/>
            <w:shd w:val="clear" w:color="auto" w:fill="FFFFFF"/>
            <w:vAlign w:val="center"/>
            <w:hideMark/>
          </w:tcPr>
          <w:p w:rsidRPr="00996725" w:rsidR="00BD5588" w:rsidP="009E0502" w:rsidRDefault="00BD5588" w14:paraId="5A83AE65" w14:textId="77777777">
            <w:pPr>
              <w:jc w:val="center"/>
              <w:rPr>
                <w:b/>
                <w:iCs/>
                <w:lang w:eastAsia="en-US"/>
              </w:rPr>
            </w:pPr>
            <w:r w:rsidRPr="00996725">
              <w:rPr>
                <w:b/>
                <w:iCs/>
                <w:lang w:eastAsia="en-US"/>
              </w:rPr>
              <w:t>Tiesību akta projekta anotācijas kopsavilkums</w:t>
            </w:r>
          </w:p>
        </w:tc>
      </w:tr>
      <w:tr w:rsidRPr="00996725" w:rsidR="00BD5588" w:rsidTr="00E378CC" w14:paraId="4330163F" w14:textId="77777777">
        <w:trPr>
          <w:cantSplit/>
        </w:trPr>
        <w:tc>
          <w:tcPr>
            <w:tcW w:w="2438" w:type="dxa"/>
            <w:shd w:val="clear" w:color="auto" w:fill="FFFFFF"/>
            <w:hideMark/>
          </w:tcPr>
          <w:p w:rsidRPr="00996725" w:rsidR="00BD5588" w:rsidP="009E0502" w:rsidRDefault="00BD5588" w14:paraId="3753B428" w14:textId="77777777">
            <w:pPr>
              <w:rPr>
                <w:iCs/>
                <w:lang w:eastAsia="en-US"/>
              </w:rPr>
            </w:pPr>
            <w:r w:rsidRPr="00996725">
              <w:rPr>
                <w:iCs/>
                <w:lang w:eastAsia="en-US"/>
              </w:rPr>
              <w:t>Mērķis, risinājums un projekta spēkā stāšanās laiks (500 zīmes bez atstarpēm)</w:t>
            </w:r>
          </w:p>
        </w:tc>
        <w:tc>
          <w:tcPr>
            <w:tcW w:w="5924" w:type="dxa"/>
            <w:shd w:val="clear" w:color="auto" w:fill="FFFFFF"/>
            <w:hideMark/>
          </w:tcPr>
          <w:p w:rsidR="006911DA" w:rsidP="00BA2236" w:rsidRDefault="00A33FCE" w14:paraId="180F0F95" w14:textId="384A717D">
            <w:pPr>
              <w:jc w:val="both"/>
              <w:rPr>
                <w:lang w:eastAsia="en-US"/>
              </w:rPr>
            </w:pPr>
            <w:r>
              <w:rPr>
                <w:lang w:eastAsia="en-US"/>
              </w:rPr>
              <w:t>N</w:t>
            </w:r>
            <w:r w:rsidR="006911DA">
              <w:rPr>
                <w:lang w:eastAsia="en-US"/>
              </w:rPr>
              <w:t>oteikumu projekt</w:t>
            </w:r>
            <w:r w:rsidR="0002072E">
              <w:rPr>
                <w:lang w:eastAsia="en-US"/>
              </w:rPr>
              <w:t xml:space="preserve">s </w:t>
            </w:r>
            <w:r w:rsidRPr="00334474" w:rsidR="0002072E">
              <w:rPr>
                <w:lang w:eastAsia="en-US"/>
              </w:rPr>
              <w:t>izstrādāts, lai nodrošinātu</w:t>
            </w:r>
            <w:r w:rsidRPr="00334474" w:rsidR="0002072E">
              <w:t xml:space="preserve"> </w:t>
            </w:r>
            <w:r w:rsidRPr="00334474" w:rsidR="0002072E">
              <w:rPr>
                <w:lang w:eastAsia="en-US"/>
              </w:rPr>
              <w:t>Ministru kabineta 2019.gada 11.oktobra sēdes protokollēmuma (prot. Nr. 47</w:t>
            </w:r>
            <w:r w:rsidR="006E1621">
              <w:rPr>
                <w:lang w:eastAsia="en-US"/>
              </w:rPr>
              <w:t>,</w:t>
            </w:r>
            <w:r w:rsidRPr="00334474" w:rsidR="0002072E">
              <w:rPr>
                <w:lang w:eastAsia="en-US"/>
              </w:rPr>
              <w:t xml:space="preserve"> </w:t>
            </w:r>
            <w:r w:rsidRPr="001A2077" w:rsidR="0002072E">
              <w:rPr>
                <w:lang w:eastAsia="en-US"/>
              </w:rPr>
              <w:t>3.§)</w:t>
            </w:r>
            <w:r w:rsidRPr="00334474" w:rsidR="0002072E">
              <w:rPr>
                <w:rStyle w:val="FootnoteReference"/>
                <w:lang w:eastAsia="en-US"/>
              </w:rPr>
              <w:footnoteReference w:id="1"/>
            </w:r>
            <w:r w:rsidRPr="00334474" w:rsidR="0002072E">
              <w:rPr>
                <w:lang w:eastAsia="en-US"/>
              </w:rPr>
              <w:t xml:space="preserve"> 7.punkta izpildi, paredzot 6.1.4.1. pasākuma</w:t>
            </w:r>
            <w:r w:rsidR="0002072E">
              <w:rPr>
                <w:lang w:eastAsia="en-US"/>
              </w:rPr>
              <w:t xml:space="preserve">m </w:t>
            </w:r>
            <w:r w:rsidRPr="00334474" w:rsidR="0002072E">
              <w:rPr>
                <w:lang w:eastAsia="en-US"/>
              </w:rPr>
              <w:t>plānoto</w:t>
            </w:r>
            <w:r w:rsidRPr="001A2077" w:rsidR="0002072E">
              <w:rPr>
                <w:lang w:eastAsia="en-US"/>
              </w:rPr>
              <w:t xml:space="preserve"> Kohēzijas fonda finansējumu novirzīt Rīgas un Pierīgas pasažieru pārvadājumu nodrošināšanai nepieciešamo elektrovilcienu iegādes projekta īstenošanai</w:t>
            </w:r>
            <w:r w:rsidR="0002072E">
              <w:rPr>
                <w:lang w:eastAsia="en-US"/>
              </w:rPr>
              <w:t>.</w:t>
            </w:r>
            <w:r w:rsidR="00C52571">
              <w:rPr>
                <w:lang w:eastAsia="en-US"/>
              </w:rPr>
              <w:t xml:space="preserve"> </w:t>
            </w:r>
          </w:p>
          <w:p w:rsidRPr="00996725" w:rsidR="00BD5588" w:rsidP="00BA2236" w:rsidRDefault="00AB133E" w14:paraId="21332C1D" w14:textId="0CD481D0">
            <w:pPr>
              <w:jc w:val="both"/>
              <w:rPr>
                <w:i/>
                <w:iCs/>
                <w:lang w:eastAsia="en-US"/>
              </w:rPr>
            </w:pPr>
            <w:r w:rsidRPr="00AB133E">
              <w:rPr>
                <w:lang w:eastAsia="en-US"/>
              </w:rPr>
              <w:t>Noteikumu projekts stājas spēkā Oficiālo publikāciju un tiesiskās informācijas likuma noteiktajā kārtībā.</w:t>
            </w:r>
          </w:p>
        </w:tc>
      </w:tr>
    </w:tbl>
    <w:p w:rsidR="00BD5588" w:rsidP="00BD5588" w:rsidRDefault="00BD5588" w14:paraId="26D25431" w14:textId="695B1B85">
      <w:pPr>
        <w:pStyle w:val="Title"/>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54"/>
        <w:gridCol w:w="1983"/>
        <w:gridCol w:w="5925"/>
      </w:tblGrid>
      <w:tr w:rsidRPr="00996725" w:rsidR="00E378CC" w:rsidTr="00E378CC" w14:paraId="3BEC39FF" w14:textId="77777777">
        <w:tc>
          <w:tcPr>
            <w:tcW w:w="5000" w:type="pct"/>
            <w:gridSpan w:val="3"/>
            <w:shd w:val="clear" w:color="auto" w:fill="FFFFFF"/>
          </w:tcPr>
          <w:p w:rsidRPr="00996725" w:rsidR="00E378CC" w:rsidP="002D18E2" w:rsidRDefault="00E378CC" w14:paraId="2128F92F" w14:textId="58AC8CBB">
            <w:pPr>
              <w:jc w:val="center"/>
              <w:rPr>
                <w:b/>
                <w:iCs/>
                <w:lang w:eastAsia="en-US"/>
              </w:rPr>
            </w:pPr>
            <w:r w:rsidRPr="00996725">
              <w:rPr>
                <w:b/>
                <w:bCs/>
              </w:rPr>
              <w:t>I. Tiesību akta projekta izstrādes nepieciešamība</w:t>
            </w:r>
          </w:p>
        </w:tc>
      </w:tr>
      <w:tr w:rsidRPr="00996725" w:rsidR="00E378CC" w:rsidTr="00E378CC" w14:paraId="3EEA56DE" w14:textId="77777777">
        <w:tc>
          <w:tcPr>
            <w:tcW w:w="271" w:type="pct"/>
            <w:shd w:val="clear" w:color="auto" w:fill="FFFFFF"/>
          </w:tcPr>
          <w:p w:rsidRPr="00996725" w:rsidR="00E378CC" w:rsidP="00E378CC" w:rsidRDefault="00E378CC" w14:paraId="4A69947E" w14:textId="58BD140B">
            <w:pPr>
              <w:jc w:val="center"/>
              <w:rPr>
                <w:iCs/>
                <w:lang w:eastAsia="en-US"/>
              </w:rPr>
            </w:pPr>
            <w:r w:rsidRPr="00366023">
              <w:t>1.</w:t>
            </w:r>
          </w:p>
        </w:tc>
        <w:tc>
          <w:tcPr>
            <w:tcW w:w="1186" w:type="pct"/>
            <w:shd w:val="clear" w:color="auto" w:fill="FFFFFF"/>
          </w:tcPr>
          <w:p w:rsidRPr="00996725" w:rsidR="00E378CC" w:rsidP="00E378CC" w:rsidRDefault="00E378CC" w14:paraId="7079AEC5" w14:textId="68B6D13F">
            <w:pPr>
              <w:rPr>
                <w:iCs/>
                <w:lang w:eastAsia="en-US"/>
              </w:rPr>
            </w:pPr>
            <w:r w:rsidRPr="00366023">
              <w:t>Pamatojums</w:t>
            </w:r>
          </w:p>
        </w:tc>
        <w:tc>
          <w:tcPr>
            <w:tcW w:w="3542" w:type="pct"/>
            <w:shd w:val="clear" w:color="auto" w:fill="FFFFFF"/>
          </w:tcPr>
          <w:p w:rsidR="00E378CC" w:rsidP="00817658" w:rsidRDefault="00E378CC" w14:paraId="48864344" w14:textId="4212DECF">
            <w:pPr>
              <w:jc w:val="both"/>
            </w:pPr>
            <w:r w:rsidRPr="00955F14">
              <w:t>Eiropas Savienības struktūrfondu un Kohēzijas fonda 2014.—2020.gada plānošanas perioda vadības likum</w:t>
            </w:r>
            <w:r>
              <w:t xml:space="preserve">a 20.panta </w:t>
            </w:r>
            <w:r w:rsidR="003D10D2">
              <w:t xml:space="preserve">6. un </w:t>
            </w:r>
            <w:r>
              <w:t>13.punkts</w:t>
            </w:r>
            <w:r w:rsidR="004C03A8">
              <w:t>.</w:t>
            </w:r>
          </w:p>
          <w:p w:rsidRPr="00996725" w:rsidR="00E378CC" w:rsidP="00CF03AE" w:rsidRDefault="00E378CC" w14:paraId="0732B22F" w14:textId="7194B5D1">
            <w:pPr>
              <w:jc w:val="both"/>
              <w:rPr>
                <w:i/>
                <w:iCs/>
                <w:lang w:eastAsia="en-US"/>
              </w:rPr>
            </w:pPr>
            <w:r w:rsidRPr="00366023">
              <w:t xml:space="preserve">Ministru kabineta 2019.gada </w:t>
            </w:r>
            <w:r w:rsidR="00817658">
              <w:t>11</w:t>
            </w:r>
            <w:r w:rsidRPr="00366023">
              <w:t>.</w:t>
            </w:r>
            <w:r w:rsidR="00817658">
              <w:t>oktobra</w:t>
            </w:r>
            <w:r>
              <w:t xml:space="preserve"> ārkārtas</w:t>
            </w:r>
            <w:r w:rsidRPr="00366023">
              <w:t xml:space="preserve"> sēdes protokollēmuma (prot. Nr. </w:t>
            </w:r>
            <w:r w:rsidR="00817658">
              <w:t>47</w:t>
            </w:r>
            <w:r w:rsidR="003D10D2">
              <w:t>,</w:t>
            </w:r>
            <w:r w:rsidRPr="00366023">
              <w:t xml:space="preserve"> </w:t>
            </w:r>
            <w:r w:rsidR="00817658">
              <w:t>3</w:t>
            </w:r>
            <w:r w:rsidRPr="00366023">
              <w:t xml:space="preserve">.§) </w:t>
            </w:r>
            <w:r w:rsidR="00817658">
              <w:t>7</w:t>
            </w:r>
            <w:r w:rsidRPr="00366023">
              <w:t>.</w:t>
            </w:r>
            <w:r w:rsidR="003D10D2">
              <w:t>punkts</w:t>
            </w:r>
            <w:r w:rsidR="00CF03AE">
              <w:t xml:space="preserve"> un 9.2.</w:t>
            </w:r>
            <w:r w:rsidR="003D10D2">
              <w:t>apakš</w:t>
            </w:r>
            <w:r w:rsidRPr="00366023">
              <w:t>punkts</w:t>
            </w:r>
            <w:r>
              <w:t>.</w:t>
            </w:r>
          </w:p>
        </w:tc>
      </w:tr>
      <w:tr w:rsidRPr="00996725" w:rsidR="00E378CC" w:rsidTr="00E378CC" w14:paraId="1A92257F" w14:textId="77777777">
        <w:tc>
          <w:tcPr>
            <w:tcW w:w="271" w:type="pct"/>
            <w:shd w:val="clear" w:color="auto" w:fill="FFFFFF"/>
          </w:tcPr>
          <w:p w:rsidRPr="00996725" w:rsidR="00E378CC" w:rsidP="00E378CC" w:rsidRDefault="00E378CC" w14:paraId="7637B6FA" w14:textId="6A7C5313">
            <w:pPr>
              <w:jc w:val="center"/>
              <w:rPr>
                <w:iCs/>
                <w:lang w:eastAsia="en-US"/>
              </w:rPr>
            </w:pPr>
            <w:r w:rsidRPr="00366023">
              <w:t>2.</w:t>
            </w:r>
          </w:p>
        </w:tc>
        <w:tc>
          <w:tcPr>
            <w:tcW w:w="1186" w:type="pct"/>
            <w:shd w:val="clear" w:color="auto" w:fill="FFFFFF"/>
          </w:tcPr>
          <w:p w:rsidRPr="00996725" w:rsidR="00E378CC" w:rsidP="00E378CC" w:rsidRDefault="00E378CC" w14:paraId="07051A1B" w14:textId="3E8BE176">
            <w:pPr>
              <w:rPr>
                <w:iCs/>
                <w:lang w:eastAsia="en-US"/>
              </w:rPr>
            </w:pPr>
            <w:r w:rsidRPr="00366023">
              <w:t>Pašreizējā situācija un problēmas, kuru risināšanai tiesību akta projekts izstrādāts, tiesiskā regulējuma mērķis un būtība</w:t>
            </w:r>
          </w:p>
        </w:tc>
        <w:tc>
          <w:tcPr>
            <w:tcW w:w="3542" w:type="pct"/>
            <w:shd w:val="clear" w:color="auto" w:fill="FFFFFF"/>
          </w:tcPr>
          <w:p w:rsidR="006709B3" w:rsidP="00A35B70" w:rsidRDefault="003D10D2" w14:paraId="540CEBD4" w14:textId="2F7BFC94">
            <w:pPr>
              <w:spacing w:after="130"/>
              <w:jc w:val="both"/>
            </w:pPr>
            <w:bookmarkStart w:name="_Hlk21353732" w:id="2"/>
            <w:r>
              <w:t xml:space="preserve">Ministru kabineta (turpmāk – MK) 2019.gada 13.septembra ārkārtas sēdē tika izskatīts Finanšu </w:t>
            </w:r>
            <w:r w:rsidRPr="00A94B18">
              <w:t xml:space="preserve">ministrijas </w:t>
            </w:r>
            <w:r w:rsidR="005F2104">
              <w:t xml:space="preserve">(turpmāk – FM) </w:t>
            </w:r>
            <w:r w:rsidRPr="00A94B18">
              <w:t>informatīva</w:t>
            </w:r>
            <w:r>
              <w:t>is</w:t>
            </w:r>
            <w:r w:rsidRPr="00A94B18">
              <w:t xml:space="preserve"> ziņojum</w:t>
            </w:r>
            <w:r>
              <w:t>s</w:t>
            </w:r>
            <w:r w:rsidRPr="00A94B18">
              <w:t xml:space="preserve"> </w:t>
            </w:r>
            <w:r w:rsidR="006E1621">
              <w:t>“</w:t>
            </w:r>
            <w:r w:rsidRPr="00A94B18">
              <w:t>Par fiskālās telpas pasākumiem un izdevumiem prioritārajiem pasākumiem valsts budžetam 2020.gadam un ietvaram 2020.–2022.gadam</w:t>
            </w:r>
            <w:r w:rsidR="006E1621">
              <w:t>”</w:t>
            </w:r>
            <w:r w:rsidR="00F80B15">
              <w:t xml:space="preserve"> (TA-1641)</w:t>
            </w:r>
            <w:r>
              <w:t xml:space="preserve">, kas paredz fiskālo telpu palielinošus pasākumus un priekšlikumus nozaru ministriju pieteiktajiem prioritārajiem pasākumiem. Atbilstoši MK </w:t>
            </w:r>
            <w:r w:rsidRPr="00366023">
              <w:t>2019.gada 13.septembra</w:t>
            </w:r>
            <w:r>
              <w:t xml:space="preserve"> ārkārtas</w:t>
            </w:r>
            <w:r w:rsidRPr="00366023">
              <w:t xml:space="preserve"> sēdes protokollēmuma (prot. Nr.41</w:t>
            </w:r>
            <w:r>
              <w:t>,</w:t>
            </w:r>
            <w:r w:rsidRPr="00366023">
              <w:t xml:space="preserve"> 1.§) 3.1.</w:t>
            </w:r>
            <w:r>
              <w:t>apakš</w:t>
            </w:r>
            <w:r w:rsidRPr="00366023">
              <w:t>punkt</w:t>
            </w:r>
            <w:r w:rsidR="00F80B15">
              <w:t>ā noteiktajam</w:t>
            </w:r>
            <w:r>
              <w:t xml:space="preserve"> Rīgas un Pierīgas pasažieru pārvadājumu nodrošināšanai nepieciešamo elektrovilcienu iegādes projekta (turpmāk – elektrovilcienu vagonu iegādes projekts) īstenošanai tiek novirzīts Eiropas Savienības struktūrfondu un Kohēzijas fonda (turpmāk kopā saukti – ES fondi) finansējums 113 609 656 </w:t>
            </w:r>
            <w:r w:rsidRPr="00C054F2">
              <w:rPr>
                <w:i/>
                <w:iCs/>
              </w:rPr>
              <w:t>euro</w:t>
            </w:r>
            <w:r>
              <w:t>, samazinot 2022.gadā ietekmi uz vispārējās valdības budžeta bilanci.</w:t>
            </w:r>
          </w:p>
          <w:p w:rsidR="00DF0F8A" w:rsidP="00DF0F8A" w:rsidRDefault="00DF0F8A" w14:paraId="45564A8C" w14:textId="7D46C950">
            <w:pPr>
              <w:spacing w:after="130"/>
              <w:jc w:val="both"/>
            </w:pPr>
            <w:r>
              <w:t xml:space="preserve">Atbilstoši MK </w:t>
            </w:r>
            <w:r w:rsidRPr="00366023">
              <w:t>2019.gada 13.septembra</w:t>
            </w:r>
            <w:r>
              <w:t xml:space="preserve"> ārkārtas</w:t>
            </w:r>
            <w:r w:rsidRPr="00366023">
              <w:t xml:space="preserve"> </w:t>
            </w:r>
            <w:r w:rsidRPr="00D90D97">
              <w:t>sēdes protokollēmuma (prot. Nr. 41</w:t>
            </w:r>
            <w:r>
              <w:t>,</w:t>
            </w:r>
            <w:r w:rsidRPr="00D90D97">
              <w:t xml:space="preserve"> 1.§) 3.1.4.</w:t>
            </w:r>
            <w:r>
              <w:t>apakš</w:t>
            </w:r>
            <w:r w:rsidRPr="00D90D97">
              <w:t>punkt</w:t>
            </w:r>
            <w:r>
              <w:t>am Satiksmes ministrijai (turpmāk – SM)</w:t>
            </w:r>
            <w:r w:rsidRPr="00D90D97">
              <w:t xml:space="preserve"> </w:t>
            </w:r>
            <w:r>
              <w:t>jānovirza</w:t>
            </w:r>
            <w:r w:rsidRPr="00D90D97">
              <w:t xml:space="preserve"> 6.1.3.1.</w:t>
            </w:r>
            <w:r w:rsidR="00863953">
              <w:t xml:space="preserve"> </w:t>
            </w:r>
            <w:r w:rsidRPr="00D90D97">
              <w:t>pasākuma „Rīgas pilsētas integrētas transporta sistēmas attīstība” (turpmāk – 6.1.3.1.</w:t>
            </w:r>
            <w:r w:rsidR="00863953">
              <w:t xml:space="preserve"> </w:t>
            </w:r>
            <w:r w:rsidRPr="00D90D97">
              <w:t>pasākums) ietvaros atlikuš</w:t>
            </w:r>
            <w:r>
              <w:t>ais</w:t>
            </w:r>
            <w:r w:rsidRPr="00D90D97">
              <w:t xml:space="preserve"> </w:t>
            </w:r>
            <w:r w:rsidRPr="00D90D97">
              <w:lastRenderedPageBreak/>
              <w:t>Kohēzijas fonda finansējum</w:t>
            </w:r>
            <w:r>
              <w:t>s</w:t>
            </w:r>
            <w:r w:rsidRPr="00D90D97">
              <w:t xml:space="preserve"> 22</w:t>
            </w:r>
            <w:r>
              <w:t> </w:t>
            </w:r>
            <w:r w:rsidRPr="00D90D97">
              <w:t>964</w:t>
            </w:r>
            <w:r>
              <w:t> </w:t>
            </w:r>
            <w:r w:rsidRPr="00D90D97">
              <w:t xml:space="preserve">134 </w:t>
            </w:r>
            <w:r w:rsidRPr="00DF0F8A">
              <w:rPr>
                <w:i/>
                <w:iCs/>
              </w:rPr>
              <w:t>euro</w:t>
            </w:r>
            <w:r w:rsidRPr="00D90D97">
              <w:t xml:space="preserve"> apmērā </w:t>
            </w:r>
            <w:r>
              <w:t>elektrovilcienu vagonu iegādes projekta īstenošanai</w:t>
            </w:r>
            <w:r w:rsidRPr="00D90D97">
              <w:t>.</w:t>
            </w:r>
            <w:r>
              <w:t xml:space="preserve"> </w:t>
            </w:r>
            <w:r w:rsidRPr="00A35B70">
              <w:t>6.1.3.1.</w:t>
            </w:r>
            <w:r w:rsidR="00863953">
              <w:t xml:space="preserve"> </w:t>
            </w:r>
            <w:r w:rsidRPr="00A35B70">
              <w:t>pasākumā atlikušais Kohēzijas fonda finansējums ir paredzēts Rīgas pilsētas pašvaldības (turpmāk – RPP) plānotā projekta “Austrumu maģistrāles posms Ieriķu iela-Vietalvas iela” īstenošanai.</w:t>
            </w:r>
          </w:p>
          <w:p w:rsidR="001E7D9E" w:rsidP="00DB1F30" w:rsidRDefault="001E7D9E" w14:paraId="4FCD5CBC" w14:textId="4DF938E8">
            <w:pPr>
              <w:pStyle w:val="Header"/>
              <w:jc w:val="both"/>
            </w:pPr>
            <w:r>
              <w:t xml:space="preserve">SM </w:t>
            </w:r>
            <w:r w:rsidRPr="001E7D9E">
              <w:t>2019.gada 20.septembr</w:t>
            </w:r>
            <w:r>
              <w:t>ī saņ</w:t>
            </w:r>
            <w:r w:rsidR="00F80B15">
              <w:t>ē</w:t>
            </w:r>
            <w:r>
              <w:t xml:space="preserve">ma </w:t>
            </w:r>
            <w:r w:rsidRPr="001E7D9E">
              <w:t>RPP vēstul</w:t>
            </w:r>
            <w:r w:rsidR="00F80B15">
              <w:t>i</w:t>
            </w:r>
            <w:r w:rsidRPr="001E7D9E">
              <w:t xml:space="preserve"> Nr. RD-19-1997-nd, ar kuru RPP sniedz</w:t>
            </w:r>
            <w:r>
              <w:t>a</w:t>
            </w:r>
            <w:r w:rsidRPr="001E7D9E">
              <w:t xml:space="preserve"> skaidrojumu par </w:t>
            </w:r>
            <w:r>
              <w:t>MK</w:t>
            </w:r>
            <w:r w:rsidRPr="001E7D9E">
              <w:t xml:space="preserve"> 2019.gada 13.septembra ārkārtas sēdē izskatīto </w:t>
            </w:r>
            <w:r>
              <w:t>FM</w:t>
            </w:r>
            <w:r w:rsidR="005F2104">
              <w:t xml:space="preserve"> </w:t>
            </w:r>
            <w:r w:rsidRPr="001E7D9E">
              <w:t xml:space="preserve">informatīvo ziņojumu </w:t>
            </w:r>
            <w:r w:rsidR="006E1621">
              <w:t>“</w:t>
            </w:r>
            <w:r w:rsidRPr="001E7D9E">
              <w:t>Par fiskālās telpas pasākumiem un izdevumiem prioritārajiem pasākumiem valsts budžetam 2020.gadam un ietvaram 2020.–2022.gadam</w:t>
            </w:r>
            <w:r w:rsidR="006E1621">
              <w:t>”</w:t>
            </w:r>
            <w:r w:rsidRPr="001E7D9E">
              <w:t xml:space="preserve"> un tajā iekļauto jautājumu ietekmi uz RPP attīstības projektiem, kā arī lūdz</w:t>
            </w:r>
            <w:r>
              <w:t>a</w:t>
            </w:r>
            <w:r w:rsidRPr="001E7D9E">
              <w:t xml:space="preserve"> veikt izmaiņas minēt</w:t>
            </w:r>
            <w:r w:rsidR="00F80B15">
              <w:t>ajā</w:t>
            </w:r>
            <w:r w:rsidRPr="001E7D9E">
              <w:t xml:space="preserve"> </w:t>
            </w:r>
            <w:r>
              <w:t>MK</w:t>
            </w:r>
            <w:r w:rsidRPr="001E7D9E">
              <w:t xml:space="preserve"> ārkārtas sēdes protokollēmumā</w:t>
            </w:r>
            <w:r>
              <w:t xml:space="preserve">. RPP ierosinājums izmaiņām MK </w:t>
            </w:r>
            <w:r w:rsidRPr="001E7D9E">
              <w:t>ārkārtas sēdes protokollēmumā</w:t>
            </w:r>
            <w:r>
              <w:t xml:space="preserve"> paredz </w:t>
            </w:r>
            <w:r w:rsidRPr="005F2104" w:rsidR="005F2104">
              <w:t xml:space="preserve">elektrovilcienu vagonu iegādes </w:t>
            </w:r>
            <w:r>
              <w:t>projekta</w:t>
            </w:r>
            <w:r w:rsidRPr="001E5BBF">
              <w:t xml:space="preserve"> īstenošanai novirzīt 6.1.4.</w:t>
            </w:r>
            <w:r w:rsidR="00863953">
              <w:t xml:space="preserve"> </w:t>
            </w:r>
            <w:r w:rsidRPr="001E5BBF">
              <w:t xml:space="preserve">specifiskā atbalsta mērķa </w:t>
            </w:r>
            <w:r w:rsidR="006E1621">
              <w:t>“</w:t>
            </w:r>
            <w:r w:rsidRPr="001E5BBF">
              <w:t>Pilsētu infrastruktūras sasaiste ar TEN-T tīklu” 6.1.4.1.</w:t>
            </w:r>
            <w:r w:rsidR="00863953">
              <w:t xml:space="preserve"> </w:t>
            </w:r>
            <w:r w:rsidRPr="001E5BBF">
              <w:t>pasākuma „Rīgas ostas un Rīgas pilsētas integrēšana TEN-T tīklā”</w:t>
            </w:r>
            <w:r w:rsidR="00215CC8">
              <w:t xml:space="preserve"> (turpmāk – 6.1.4.1. pasākums)</w:t>
            </w:r>
            <w:r w:rsidRPr="001E5BBF">
              <w:t xml:space="preserve"> ietvaros apstiprinātā projekta Nr.</w:t>
            </w:r>
            <w:r>
              <w:t> </w:t>
            </w:r>
            <w:r w:rsidRPr="001E5BBF">
              <w:t>6.1.4.1/18/I/001 “Jāņa Čakstes gatves izbūve no Valdeķu ielas līdz Ziepniekkalna ielai” Kohēzijas fonda finansējum</w:t>
            </w:r>
            <w:r>
              <w:t>u</w:t>
            </w:r>
            <w:r w:rsidRPr="001E5BBF">
              <w:t xml:space="preserve"> 24</w:t>
            </w:r>
            <w:r w:rsidR="006244E4">
              <w:t> </w:t>
            </w:r>
            <w:r w:rsidRPr="001E5BBF">
              <w:t>000</w:t>
            </w:r>
            <w:r w:rsidR="006244E4">
              <w:t> </w:t>
            </w:r>
            <w:r w:rsidRPr="001E5BBF">
              <w:t xml:space="preserve">000 </w:t>
            </w:r>
            <w:r w:rsidRPr="001E5BBF">
              <w:rPr>
                <w:i/>
                <w:iCs/>
              </w:rPr>
              <w:t>euro</w:t>
            </w:r>
            <w:r w:rsidRPr="001E5BBF">
              <w:t xml:space="preserve"> apmērā, tādejādi saglabājot RPP iespēju 6.1.3.1.</w:t>
            </w:r>
            <w:r w:rsidR="00863953">
              <w:t xml:space="preserve"> </w:t>
            </w:r>
            <w:r w:rsidRPr="001E5BBF">
              <w:t xml:space="preserve">pasākuma ietvaros īstenot </w:t>
            </w:r>
            <w:r>
              <w:t>Austrumu maģistrāles projektu</w:t>
            </w:r>
            <w:r w:rsidRPr="001E5BBF">
              <w:t>.</w:t>
            </w:r>
          </w:p>
          <w:p w:rsidR="00994298" w:rsidP="001E7D9E" w:rsidRDefault="008408C6" w14:paraId="5CECFB20" w14:textId="29B160C2">
            <w:pPr>
              <w:spacing w:before="130" w:after="130"/>
              <w:jc w:val="both"/>
            </w:pPr>
            <w:r>
              <w:t xml:space="preserve">SM </w:t>
            </w:r>
            <w:r w:rsidR="001E7D9E">
              <w:t xml:space="preserve">konceptuāli </w:t>
            </w:r>
            <w:r w:rsidR="0021240D">
              <w:t>atbalstīja RPP priekšlikumu</w:t>
            </w:r>
            <w:r w:rsidR="001E7D9E">
              <w:t xml:space="preserve">, par to </w:t>
            </w:r>
            <w:r w:rsidRPr="00D52AC0" w:rsidR="00D52AC0">
              <w:t>2019.gada 24.septembrī informēj</w:t>
            </w:r>
            <w:r w:rsidR="001E7D9E">
              <w:t xml:space="preserve">ot </w:t>
            </w:r>
            <w:r w:rsidR="003B54B9">
              <w:t>FM</w:t>
            </w:r>
            <w:r w:rsidRPr="00D52AC0" w:rsidR="00D52AC0">
              <w:t xml:space="preserve"> </w:t>
            </w:r>
            <w:r w:rsidR="00DF0F8A">
              <w:t>un</w:t>
            </w:r>
            <w:r w:rsidRPr="00D52AC0" w:rsidR="00D52AC0">
              <w:t xml:space="preserve"> </w:t>
            </w:r>
            <w:r w:rsidR="001E7D9E">
              <w:t>aicin</w:t>
            </w:r>
            <w:r w:rsidR="00DB1F30">
              <w:t>o</w:t>
            </w:r>
            <w:r w:rsidR="001E7D9E">
              <w:t>t</w:t>
            </w:r>
            <w:r w:rsidRPr="00D52AC0" w:rsidR="001E7D9E">
              <w:t xml:space="preserve"> </w:t>
            </w:r>
            <w:r w:rsidRPr="00D52AC0" w:rsidR="00D52AC0">
              <w:t xml:space="preserve">FM nostiprināt izmaiņas </w:t>
            </w:r>
            <w:r w:rsidR="00D52AC0">
              <w:t xml:space="preserve">MK </w:t>
            </w:r>
            <w:r w:rsidRPr="00366023" w:rsidR="00D52AC0">
              <w:t>2019.gada 13.septembra</w:t>
            </w:r>
            <w:r w:rsidR="00D52AC0">
              <w:t xml:space="preserve"> ārkārtas</w:t>
            </w:r>
            <w:r w:rsidRPr="00366023" w:rsidR="00D52AC0">
              <w:t xml:space="preserve"> sēdes protokollēmum</w:t>
            </w:r>
            <w:r w:rsidR="00D52AC0">
              <w:t>ā</w:t>
            </w:r>
            <w:r w:rsidRPr="00366023" w:rsidR="00D52AC0">
              <w:t xml:space="preserve"> (prot. Nr. 41</w:t>
            </w:r>
            <w:r w:rsidR="00C80FC6">
              <w:t>,</w:t>
            </w:r>
            <w:r w:rsidRPr="00366023" w:rsidR="00D52AC0">
              <w:t xml:space="preserve"> 1.§)</w:t>
            </w:r>
            <w:r w:rsidR="00DB1F30">
              <w:t>.</w:t>
            </w:r>
          </w:p>
          <w:p w:rsidR="0021240D" w:rsidP="00DB1F30" w:rsidRDefault="001E7D9E" w14:paraId="402D9348" w14:textId="14D9BE3B">
            <w:pPr>
              <w:jc w:val="both"/>
            </w:pPr>
            <w:r>
              <w:t>I</w:t>
            </w:r>
            <w:r w:rsidRPr="0021240D" w:rsidR="0021240D">
              <w:t>evērojot RPP lūgumu par objekta “J.Čakstes gatves izbūve no Valdeķu ielas līdz Ziepniekkalna ielai” iekļaušanu ES fondu 2021.-2027.gada plānošanas periodā, SM iekļāv</w:t>
            </w:r>
            <w:r w:rsidR="0021240D">
              <w:t>a</w:t>
            </w:r>
            <w:r w:rsidRPr="0021240D" w:rsidR="0021240D">
              <w:t xml:space="preserve"> objektu “J.Čakstes gatves izbūve no Valdeķu ielas līdz Ziepniekkalna ielai” 2021.-2027.gada indikatīvi plānoto publisko investīciju projektu sarakstā.</w:t>
            </w:r>
          </w:p>
          <w:p w:rsidR="00D11487" w:rsidP="00D52AC0" w:rsidRDefault="00E378CC" w14:paraId="5BE4D4AB" w14:textId="2DB9E548">
            <w:pPr>
              <w:spacing w:before="130"/>
              <w:jc w:val="both"/>
            </w:pPr>
            <w:r>
              <w:t>MK 2019.gada 1</w:t>
            </w:r>
            <w:r w:rsidR="00817658">
              <w:t>1</w:t>
            </w:r>
            <w:r>
              <w:t>.</w:t>
            </w:r>
            <w:r w:rsidR="00817658">
              <w:t>oktobra</w:t>
            </w:r>
            <w:r>
              <w:t xml:space="preserve"> ārkārtas sēdē tika izskatīts </w:t>
            </w:r>
            <w:r w:rsidR="001E7D9E">
              <w:t xml:space="preserve">FM </w:t>
            </w:r>
            <w:r w:rsidRPr="00A94B18">
              <w:t>informatīva</w:t>
            </w:r>
            <w:r>
              <w:t>is</w:t>
            </w:r>
            <w:r w:rsidRPr="00A94B18">
              <w:t xml:space="preserve"> ziņojum</w:t>
            </w:r>
            <w:r>
              <w:t>s</w:t>
            </w:r>
            <w:r w:rsidRPr="00A94B18">
              <w:t xml:space="preserve"> </w:t>
            </w:r>
            <w:r w:rsidR="006E1621">
              <w:t>“</w:t>
            </w:r>
            <w:r w:rsidRPr="00817658" w:rsidR="00817658">
              <w:t xml:space="preserve">Par Eiropas Savienības struktūrfondu un Kohēzijas fonda 2014.–2020.gada plānošanas perioda darbības programmas </w:t>
            </w:r>
            <w:r w:rsidR="006E1621">
              <w:t>“</w:t>
            </w:r>
            <w:r w:rsidRPr="00817658" w:rsidR="00817658">
              <w:t>Izaugsme un nodarbinātība</w:t>
            </w:r>
            <w:r w:rsidR="006E1621">
              <w:t>”</w:t>
            </w:r>
            <w:r w:rsidRPr="00817658" w:rsidR="00817658">
              <w:t xml:space="preserve"> snieguma ietvarā noteikto mērķu sasniegšanas progresu un snieguma rezerves finansējuma tālāku izmantošanu</w:t>
            </w:r>
            <w:r w:rsidR="006E1621">
              <w:t>”</w:t>
            </w:r>
            <w:r w:rsidR="004B7A91">
              <w:t xml:space="preserve"> (turpmāk – informatīvais ziņojums)</w:t>
            </w:r>
            <w:r w:rsidR="006C03D8">
              <w:t>.</w:t>
            </w:r>
            <w:r>
              <w:t xml:space="preserve"> </w:t>
            </w:r>
            <w:r w:rsidR="006C03D8">
              <w:t>Informatīvais ziņojums</w:t>
            </w:r>
            <w:r>
              <w:t xml:space="preserve"> </w:t>
            </w:r>
            <w:r w:rsidR="003C5885">
              <w:t>nosaka</w:t>
            </w:r>
            <w:r w:rsidR="004B7A91">
              <w:t xml:space="preserve"> turpmāko rīcību par</w:t>
            </w:r>
            <w:r>
              <w:t xml:space="preserve"> </w:t>
            </w:r>
            <w:r w:rsidR="00D247CC">
              <w:t>ES fond</w:t>
            </w:r>
            <w:r w:rsidR="006709B3">
              <w:t>u</w:t>
            </w:r>
            <w:r w:rsidR="00817658">
              <w:t xml:space="preserve"> </w:t>
            </w:r>
            <w:r w:rsidR="004B7A91">
              <w:t xml:space="preserve">finansējuma izmantošanu, </w:t>
            </w:r>
            <w:r w:rsidR="006E1621">
              <w:t>tostarp</w:t>
            </w:r>
            <w:r w:rsidR="004B7A91">
              <w:t xml:space="preserve"> attiecībā uz ES fondu </w:t>
            </w:r>
            <w:r w:rsidR="00817658">
              <w:t>snieguma rezerves finansējum</w:t>
            </w:r>
            <w:r w:rsidR="004B7A91">
              <w:t>u</w:t>
            </w:r>
            <w:r w:rsidR="00817658">
              <w:t xml:space="preserve"> un finansējuma atlikum</w:t>
            </w:r>
            <w:r w:rsidR="004B7A91">
              <w:t>iem</w:t>
            </w:r>
            <w:r>
              <w:t>. Atbilstoši</w:t>
            </w:r>
            <w:r w:rsidR="004B7A91">
              <w:t xml:space="preserve"> informatīvā ziņojuma 40.punkta 4.apakšpunktam un</w:t>
            </w:r>
            <w:r>
              <w:t xml:space="preserve"> MK pieņemtajam lēmumam (MK </w:t>
            </w:r>
            <w:r w:rsidRPr="00366023">
              <w:t>2019.gada 1</w:t>
            </w:r>
            <w:r w:rsidR="00D247CC">
              <w:t>1</w:t>
            </w:r>
            <w:r w:rsidRPr="00366023">
              <w:t>.</w:t>
            </w:r>
            <w:r w:rsidR="00D247CC">
              <w:t>oktobra</w:t>
            </w:r>
            <w:r>
              <w:t xml:space="preserve"> ārkārtas</w:t>
            </w:r>
            <w:r w:rsidRPr="00366023">
              <w:t xml:space="preserve"> sēdes protokollēmuma (prot. </w:t>
            </w:r>
            <w:r w:rsidRPr="00366023">
              <w:lastRenderedPageBreak/>
              <w:t>Nr. 4</w:t>
            </w:r>
            <w:r w:rsidR="00D247CC">
              <w:t>7</w:t>
            </w:r>
            <w:r w:rsidR="00C80FC6">
              <w:t>,</w:t>
            </w:r>
            <w:r w:rsidRPr="00366023">
              <w:t xml:space="preserve"> </w:t>
            </w:r>
            <w:r w:rsidR="00D247CC">
              <w:t>3</w:t>
            </w:r>
            <w:r w:rsidRPr="00366023">
              <w:t xml:space="preserve">.§) </w:t>
            </w:r>
            <w:r w:rsidR="00187D50">
              <w:t>7</w:t>
            </w:r>
            <w:r w:rsidR="00D52AC0">
              <w:t xml:space="preserve">. un </w:t>
            </w:r>
            <w:r w:rsidR="00187D50">
              <w:t>8</w:t>
            </w:r>
            <w:r w:rsidR="00994298">
              <w:t>.</w:t>
            </w:r>
            <w:r w:rsidRPr="00366023">
              <w:t>punkt</w:t>
            </w:r>
            <w:r>
              <w:t>s)</w:t>
            </w:r>
            <w:r w:rsidR="00D11487">
              <w:t>:</w:t>
            </w:r>
          </w:p>
          <w:p w:rsidR="00D11487" w:rsidP="00D11487" w:rsidRDefault="00917198" w14:paraId="5E942AAE" w14:textId="4B770B40">
            <w:pPr>
              <w:pStyle w:val="ListParagraph"/>
              <w:numPr>
                <w:ilvl w:val="0"/>
                <w:numId w:val="5"/>
              </w:numPr>
              <w:spacing w:before="130"/>
              <w:jc w:val="both"/>
            </w:pPr>
            <w:r>
              <w:t>MK 2019.gada 13.septembra ārkārtas sēdes protokollēmuma</w:t>
            </w:r>
            <w:r w:rsidR="003C5885">
              <w:t xml:space="preserve"> </w:t>
            </w:r>
            <w:r w:rsidRPr="00366023" w:rsidR="003C5885">
              <w:t>(prot. Nr. 41</w:t>
            </w:r>
            <w:r w:rsidR="00C80FC6">
              <w:t>,</w:t>
            </w:r>
            <w:r w:rsidRPr="00366023" w:rsidR="003C5885">
              <w:t xml:space="preserve"> 1.§)</w:t>
            </w:r>
            <w:r w:rsidR="003C5885">
              <w:t xml:space="preserve"> 3.1.4.</w:t>
            </w:r>
            <w:r w:rsidR="007C12A1">
              <w:t> </w:t>
            </w:r>
            <w:r w:rsidR="003C5885">
              <w:t>apakšpunkts</w:t>
            </w:r>
            <w:r w:rsidR="00D52AC0">
              <w:t xml:space="preserve"> tiek atzīts par aktualitāti zaudējušu,</w:t>
            </w:r>
          </w:p>
          <w:p w:rsidR="00E378CC" w:rsidP="00D11487" w:rsidRDefault="007C12A1" w14:paraId="17553261" w14:textId="014676A7">
            <w:pPr>
              <w:pStyle w:val="ListParagraph"/>
              <w:numPr>
                <w:ilvl w:val="0"/>
                <w:numId w:val="5"/>
              </w:numPr>
              <w:spacing w:before="130"/>
              <w:jc w:val="both"/>
            </w:pPr>
            <w:r>
              <w:t xml:space="preserve">6.1.4.1. pasākuma </w:t>
            </w:r>
            <w:r w:rsidR="003C5885">
              <w:t>ES fondu finansējum</w:t>
            </w:r>
            <w:r w:rsidR="00D52AC0">
              <w:t>s</w:t>
            </w:r>
            <w:r w:rsidR="006C03D8">
              <w:t xml:space="preserve"> </w:t>
            </w:r>
            <w:r w:rsidRPr="006C03D8" w:rsidR="006C03D8">
              <w:t>24</w:t>
            </w:r>
            <w:r w:rsidR="006C03D8">
              <w:t> </w:t>
            </w:r>
            <w:r w:rsidRPr="006C03D8" w:rsidR="006C03D8">
              <w:t>000</w:t>
            </w:r>
            <w:r w:rsidR="006C03D8">
              <w:t> </w:t>
            </w:r>
            <w:r w:rsidRPr="006C03D8" w:rsidR="006C03D8">
              <w:t>000</w:t>
            </w:r>
            <w:r w:rsidR="006C03D8">
              <w:t xml:space="preserve"> </w:t>
            </w:r>
            <w:r w:rsidRPr="006C03D8" w:rsidR="006C03D8">
              <w:rPr>
                <w:i/>
                <w:iCs/>
              </w:rPr>
              <w:t>euro</w:t>
            </w:r>
            <w:r w:rsidR="006C03D8">
              <w:t xml:space="preserve"> apmērā</w:t>
            </w:r>
            <w:r w:rsidR="00D52AC0">
              <w:t xml:space="preserve"> tiek novirzīts</w:t>
            </w:r>
            <w:r w:rsidR="00E378CC">
              <w:t xml:space="preserve"> elektrovilcienu vagonu iegādes projekt</w:t>
            </w:r>
            <w:r w:rsidR="00D52AC0">
              <w:t>a īstenošanai</w:t>
            </w:r>
            <w:r w:rsidR="00E378CC">
              <w:t>.</w:t>
            </w:r>
          </w:p>
          <w:p w:rsidR="0021240D" w:rsidP="0021240D" w:rsidRDefault="0021240D" w14:paraId="67A877A0" w14:textId="46F640B6">
            <w:pPr>
              <w:spacing w:before="130"/>
              <w:jc w:val="both"/>
            </w:pPr>
            <w:r>
              <w:t xml:space="preserve">Lai </w:t>
            </w:r>
            <w:r w:rsidRPr="0021240D">
              <w:t>nodrošinātu</w:t>
            </w:r>
            <w:r>
              <w:t xml:space="preserve"> MK </w:t>
            </w:r>
            <w:r w:rsidRPr="00366023">
              <w:t>2019.gada 1</w:t>
            </w:r>
            <w:r>
              <w:t>1</w:t>
            </w:r>
            <w:r w:rsidRPr="00366023">
              <w:t>.</w:t>
            </w:r>
            <w:r>
              <w:t>oktobra ārkārtas</w:t>
            </w:r>
            <w:r w:rsidRPr="00366023">
              <w:t xml:space="preserve"> sēdes protokollēmuma (prot. Nr. 4</w:t>
            </w:r>
            <w:r>
              <w:t>7,</w:t>
            </w:r>
            <w:r w:rsidRPr="00366023">
              <w:t xml:space="preserve"> </w:t>
            </w:r>
            <w:r>
              <w:t>3</w:t>
            </w:r>
            <w:r w:rsidRPr="00366023">
              <w:t xml:space="preserve">.§) </w:t>
            </w:r>
            <w:r>
              <w:t>7.</w:t>
            </w:r>
            <w:r w:rsidRPr="00366023">
              <w:t>punkt</w:t>
            </w:r>
            <w:r>
              <w:t xml:space="preserve">ā minētā uzdevuma izpildi, SM ir uzdots elektrovilcienu vagonu iegādes projekta īstenošanai novirzīt ES fondu finansējumu 113 609 656 </w:t>
            </w:r>
            <w:r w:rsidRPr="00955F14">
              <w:rPr>
                <w:i/>
                <w:iCs/>
              </w:rPr>
              <w:t>e</w:t>
            </w:r>
            <w:r>
              <w:rPr>
                <w:i/>
                <w:iCs/>
              </w:rPr>
              <w:t>u</w:t>
            </w:r>
            <w:r w:rsidRPr="00955F14">
              <w:rPr>
                <w:i/>
                <w:iCs/>
              </w:rPr>
              <w:t>ro</w:t>
            </w:r>
            <w:r>
              <w:rPr>
                <w:i/>
                <w:iCs/>
              </w:rPr>
              <w:t xml:space="preserve"> </w:t>
            </w:r>
            <w:r>
              <w:t xml:space="preserve">apmērā no </w:t>
            </w:r>
            <w:r w:rsidRPr="009256F2">
              <w:t>SM</w:t>
            </w:r>
            <w:r>
              <w:t xml:space="preserve"> pārziņā esošajiem specifiskā atbalsta mērķiem, tai skaitā </w:t>
            </w:r>
            <w:r w:rsidRPr="00D847F3">
              <w:t>6.1.</w:t>
            </w:r>
            <w:r>
              <w:t>4</w:t>
            </w:r>
            <w:r w:rsidRPr="00D847F3">
              <w:t>.</w:t>
            </w:r>
            <w:r>
              <w:t>1</w:t>
            </w:r>
            <w:r w:rsidRPr="00D847F3">
              <w:t>. pasākum</w:t>
            </w:r>
            <w:r>
              <w:t>a finansējumu</w:t>
            </w:r>
            <w:r w:rsidRPr="00D847F3">
              <w:t xml:space="preserve"> </w:t>
            </w:r>
            <w:r>
              <w:t xml:space="preserve">24 000 000 </w:t>
            </w:r>
            <w:r w:rsidRPr="00955F14">
              <w:rPr>
                <w:i/>
                <w:iCs/>
              </w:rPr>
              <w:t>e</w:t>
            </w:r>
            <w:r>
              <w:rPr>
                <w:i/>
                <w:iCs/>
              </w:rPr>
              <w:t>u</w:t>
            </w:r>
            <w:r w:rsidRPr="00955F14">
              <w:rPr>
                <w:i/>
                <w:iCs/>
              </w:rPr>
              <w:t>ro</w:t>
            </w:r>
            <w:r>
              <w:t xml:space="preserve"> apmērā.</w:t>
            </w:r>
          </w:p>
          <w:p w:rsidR="00C80FC6" w:rsidP="00882922" w:rsidRDefault="00C80FC6" w14:paraId="1A0994BA" w14:textId="7E127E44">
            <w:pPr>
              <w:spacing w:before="130"/>
              <w:jc w:val="both"/>
            </w:pPr>
            <w:r>
              <w:t xml:space="preserve">6.1.4.1. pasākuma īstenošanas nosacījumus regulē </w:t>
            </w:r>
            <w:r w:rsidR="006E1621">
              <w:t>MK</w:t>
            </w:r>
            <w:r w:rsidR="00195C61">
              <w:t xml:space="preserve"> </w:t>
            </w:r>
            <w:r w:rsidRPr="008B629D">
              <w:t>201</w:t>
            </w:r>
            <w:r>
              <w:t>6</w:t>
            </w:r>
            <w:r w:rsidRPr="008B629D">
              <w:t xml:space="preserve">.gada </w:t>
            </w:r>
            <w:r>
              <w:t>22</w:t>
            </w:r>
            <w:r w:rsidRPr="008B629D">
              <w:t>.</w:t>
            </w:r>
            <w:r>
              <w:t>marta</w:t>
            </w:r>
            <w:r w:rsidRPr="008B629D">
              <w:t xml:space="preserve"> noteikum</w:t>
            </w:r>
            <w:r>
              <w:t>i</w:t>
            </w:r>
            <w:r w:rsidRPr="008B629D">
              <w:t xml:space="preserve"> Nr. 1</w:t>
            </w:r>
            <w:r>
              <w:t>73</w:t>
            </w:r>
            <w:r w:rsidRPr="008B629D">
              <w:t xml:space="preserve"> </w:t>
            </w:r>
            <w:r>
              <w:t>“</w:t>
            </w:r>
            <w:r w:rsidRPr="00C80FC6">
              <w:t>Darbības programmas "Izaugsme un nodarbinātība" 6.1.4. specifiskā atbalsta mērķa "Pilsētu infrastruktūras sasaiste ar TEN-T tīklu" 6.1.4.1. pasākuma "Rīgas ostas un Rīgas pilsētas integrēšana TEN-T tīklā" īstenošanas noteikumi”</w:t>
            </w:r>
            <w:r w:rsidRPr="008B629D">
              <w:t xml:space="preserve"> (turpmāk – MK noteikumi Nr. 1</w:t>
            </w:r>
            <w:r>
              <w:t>73</w:t>
            </w:r>
            <w:r w:rsidRPr="008B629D">
              <w:t>)</w:t>
            </w:r>
            <w:r>
              <w:t>.</w:t>
            </w:r>
          </w:p>
          <w:p w:rsidR="00C80FC6" w:rsidP="00882922" w:rsidRDefault="00C80FC6" w14:paraId="1D88EE7E" w14:textId="701D675F">
            <w:pPr>
              <w:spacing w:before="130"/>
              <w:jc w:val="both"/>
            </w:pPr>
            <w:r>
              <w:t>Novirzot elektrovilcienu vagonu iegādes projekta īstenošanai visu 6.1.4.1. pasākumam plānoto Kohēzijas fonda finansējumu, 6.1.4.1.</w:t>
            </w:r>
            <w:r w:rsidR="0021240D">
              <w:t> </w:t>
            </w:r>
            <w:r>
              <w:t xml:space="preserve">pasākuma ietvaros vairs nav pieejams ES fondu finansējums, kā rezultātā 6.1.4.1. pasākums nav īstenojams un </w:t>
            </w:r>
            <w:r w:rsidRPr="002B364B">
              <w:t>MK noteikum</w:t>
            </w:r>
            <w:r>
              <w:t>i</w:t>
            </w:r>
            <w:r w:rsidRPr="002B364B">
              <w:t xml:space="preserve"> Nr. </w:t>
            </w:r>
            <w:r>
              <w:t>173 ir atzīstami par spēku zaudējušiem.</w:t>
            </w:r>
          </w:p>
          <w:bookmarkEnd w:id="2"/>
          <w:p w:rsidR="00E378CC" w:rsidP="00882922" w:rsidRDefault="006C03D8" w14:paraId="04533133" w14:textId="0795CC47">
            <w:pPr>
              <w:spacing w:before="130"/>
              <w:jc w:val="both"/>
            </w:pPr>
            <w:r>
              <w:t>Saskaņā ar MK</w:t>
            </w:r>
            <w:r w:rsidRPr="002E1A3A">
              <w:t xml:space="preserve"> 2019.gada 1</w:t>
            </w:r>
            <w:r>
              <w:t>1</w:t>
            </w:r>
            <w:r w:rsidRPr="002E1A3A">
              <w:t>.</w:t>
            </w:r>
            <w:r>
              <w:t>oktobra</w:t>
            </w:r>
            <w:r w:rsidRPr="002E1A3A">
              <w:t xml:space="preserve"> </w:t>
            </w:r>
            <w:r>
              <w:t xml:space="preserve">ārkārtas </w:t>
            </w:r>
            <w:r w:rsidRPr="002E1A3A">
              <w:t>sēd</w:t>
            </w:r>
            <w:r>
              <w:t>ē izskatītā</w:t>
            </w:r>
            <w:r w:rsidRPr="002E1A3A">
              <w:t xml:space="preserve"> </w:t>
            </w:r>
            <w:r w:rsidR="001E7D9E">
              <w:t xml:space="preserve">FM </w:t>
            </w:r>
            <w:r w:rsidRPr="002E1A3A">
              <w:t>informatīv</w:t>
            </w:r>
            <w:r>
              <w:t>ā</w:t>
            </w:r>
            <w:r w:rsidRPr="002E1A3A">
              <w:t xml:space="preserve"> ziņojum</w:t>
            </w:r>
            <w:r>
              <w:t>a 33.punktu SM kā ES fondu</w:t>
            </w:r>
            <w:r w:rsidRPr="005139EA">
              <w:t xml:space="preserve"> 2014.–2020.gada plānošanas perioda atbildīg</w:t>
            </w:r>
            <w:r>
              <w:t>ajai</w:t>
            </w:r>
            <w:r w:rsidRPr="005139EA">
              <w:t xml:space="preserve"> iestāde</w:t>
            </w:r>
            <w:r>
              <w:t>i (turpmāk – atbildīgā iestāde), veicot 6.1.</w:t>
            </w:r>
            <w:r w:rsidR="006D0C0A">
              <w:t>4</w:t>
            </w:r>
            <w:r>
              <w:t>.</w:t>
            </w:r>
            <w:r w:rsidR="006D0C0A">
              <w:t>1</w:t>
            </w:r>
            <w:r>
              <w:t xml:space="preserve">. pasākumam piesaistītā finansējuma pārdali, ir jāsniedz </w:t>
            </w:r>
            <w:r w:rsidRPr="005139EA">
              <w:t>izvērtējum</w:t>
            </w:r>
            <w:r>
              <w:t>s</w:t>
            </w:r>
            <w:r w:rsidRPr="005139EA">
              <w:t>, lai nodrošinātu, ka pārdalāmais finansējums tiek atbrīvots atbilstoši un juridiski pamatoti</w:t>
            </w:r>
            <w:r>
              <w:t>.</w:t>
            </w:r>
          </w:p>
          <w:p w:rsidR="00E378CC" w:rsidP="00882922" w:rsidRDefault="00E378CC" w14:paraId="5704FD44" w14:textId="13EFAF09">
            <w:pPr>
              <w:spacing w:before="130"/>
              <w:jc w:val="both"/>
            </w:pPr>
            <w:r>
              <w:t xml:space="preserve">Atbilstoši </w:t>
            </w:r>
            <w:r w:rsidRPr="005B3E7B">
              <w:t>Eiropas Savienības struktūrfondu un Kohēzijas fonda 2014.</w:t>
            </w:r>
            <w:r>
              <w:t>-</w:t>
            </w:r>
            <w:r w:rsidRPr="005B3E7B">
              <w:t>2020.gada plānošanas perioda vadības likuma</w:t>
            </w:r>
            <w:r>
              <w:t xml:space="preserve"> (turpmāk – Fondu vadības likums) 11.panta </w:t>
            </w:r>
            <w:r w:rsidR="00863953">
              <w:t xml:space="preserve">pirmajai </w:t>
            </w:r>
            <w:r>
              <w:t xml:space="preserve">daļai SM </w:t>
            </w:r>
            <w:r w:rsidR="00863953">
              <w:t>pilda atbildīgās iestādes funkcijas</w:t>
            </w:r>
            <w:r>
              <w:t xml:space="preserve">. Saskaņā ar </w:t>
            </w:r>
            <w:r w:rsidRPr="005B3E7B">
              <w:t>MK noteikum</w:t>
            </w:r>
            <w:r>
              <w:t>u</w:t>
            </w:r>
            <w:r w:rsidRPr="005B3E7B">
              <w:t xml:space="preserve"> Nr.</w:t>
            </w:r>
            <w:r>
              <w:t> </w:t>
            </w:r>
            <w:r w:rsidRPr="005B3E7B">
              <w:t>1</w:t>
            </w:r>
            <w:r w:rsidR="008C6E44">
              <w:t>73</w:t>
            </w:r>
            <w:r>
              <w:t xml:space="preserve"> 6.punktu SM pilda atbildīgās iestādes funkcijas 6.1.</w:t>
            </w:r>
            <w:r w:rsidR="008C6E44">
              <w:t>4</w:t>
            </w:r>
            <w:r>
              <w:t>.</w:t>
            </w:r>
            <w:r w:rsidR="008C6E44">
              <w:t>1</w:t>
            </w:r>
            <w:r>
              <w:t xml:space="preserve">. pasākumā. Fondu vadības likuma 11.panta </w:t>
            </w:r>
            <w:r w:rsidR="00863953">
              <w:t xml:space="preserve">trešās </w:t>
            </w:r>
            <w:r>
              <w:t xml:space="preserve">daļas 3.punkts paredz, ka atbildīgās iestādes pienākums ir izstrādāt </w:t>
            </w:r>
            <w:r w:rsidRPr="00021050">
              <w:t>specifiskā atbalsta mērķ</w:t>
            </w:r>
            <w:r>
              <w:t>a</w:t>
            </w:r>
            <w:r w:rsidRPr="00021050">
              <w:t xml:space="preserve"> īstenošanas nosacījumus</w:t>
            </w:r>
            <w:r>
              <w:t>.</w:t>
            </w:r>
            <w:r w:rsidR="006D36C9">
              <w:t xml:space="preserve"> Noteikumu projekta izstrāde, lai MK noteikumus Nr. 1</w:t>
            </w:r>
            <w:r w:rsidR="006A76F4">
              <w:t>73</w:t>
            </w:r>
            <w:r w:rsidR="006D36C9">
              <w:t xml:space="preserve"> atzītu par spēkā neesošiem, ir SM kā atbildīgās iestādes kompetenc</w:t>
            </w:r>
            <w:r w:rsidR="00D70EA6">
              <w:t>ē</w:t>
            </w:r>
            <w:r w:rsidR="006D36C9">
              <w:t>.</w:t>
            </w:r>
          </w:p>
          <w:p w:rsidR="006C03D8" w:rsidP="00882922" w:rsidRDefault="006C03D8" w14:paraId="769EA541" w14:textId="1EC21519">
            <w:pPr>
              <w:spacing w:before="130"/>
              <w:jc w:val="both"/>
            </w:pPr>
            <w:r>
              <w:t>Savukārt MK</w:t>
            </w:r>
            <w:r w:rsidRPr="00366023">
              <w:t xml:space="preserve"> 2019.gada </w:t>
            </w:r>
            <w:r>
              <w:t xml:space="preserve">11.oktobra ārkārtas sēdes </w:t>
            </w:r>
            <w:r>
              <w:lastRenderedPageBreak/>
              <w:t>protokollēmuma (prot. Nr. 47, 3</w:t>
            </w:r>
            <w:r w:rsidRPr="00366023">
              <w:t>.§</w:t>
            </w:r>
            <w:r>
              <w:t>) 9.2.</w:t>
            </w:r>
            <w:r w:rsidR="00863953">
              <w:t xml:space="preserve"> </w:t>
            </w:r>
            <w:r>
              <w:t xml:space="preserve">apakšpunkts paredz, ka SM kā atbildīgajai iestādei </w:t>
            </w:r>
            <w:r w:rsidRPr="007826A4">
              <w:t xml:space="preserve">iespējami īsā laikā </w:t>
            </w:r>
            <w:r>
              <w:t>ir jā</w:t>
            </w:r>
            <w:r w:rsidRPr="007826A4">
              <w:t xml:space="preserve">sagatavo un noteiktā kārtībā </w:t>
            </w:r>
            <w:r>
              <w:t>jā</w:t>
            </w:r>
            <w:r w:rsidRPr="007826A4">
              <w:t>iesnie</w:t>
            </w:r>
            <w:r>
              <w:t>dz</w:t>
            </w:r>
            <w:r w:rsidRPr="007826A4">
              <w:t xml:space="preserve"> apstiprināšanai </w:t>
            </w:r>
            <w:r w:rsidR="00D70EA6">
              <w:t>MK</w:t>
            </w:r>
            <w:r w:rsidRPr="007826A4">
              <w:t xml:space="preserve"> attiecīg</w:t>
            </w:r>
            <w:r>
              <w:t>i</w:t>
            </w:r>
            <w:r w:rsidRPr="007826A4">
              <w:t xml:space="preserve"> grozījum</w:t>
            </w:r>
            <w:r>
              <w:t>i</w:t>
            </w:r>
            <w:r w:rsidRPr="007826A4">
              <w:t xml:space="preserve"> normatīvajos aktos atbilstoši </w:t>
            </w:r>
            <w:r>
              <w:t>6.1.4.1.pasākuma</w:t>
            </w:r>
            <w:r w:rsidRPr="007826A4">
              <w:t xml:space="preserve"> finanšu pārda</w:t>
            </w:r>
            <w:r>
              <w:t>les</w:t>
            </w:r>
            <w:r w:rsidRPr="007826A4">
              <w:t xml:space="preserve"> </w:t>
            </w:r>
            <w:r w:rsidRPr="00F7264B">
              <w:t>risinājumam</w:t>
            </w:r>
            <w:r w:rsidRPr="007826A4">
              <w:t>.</w:t>
            </w:r>
          </w:p>
          <w:p w:rsidR="00E378CC" w:rsidP="00882922" w:rsidRDefault="00E378CC" w14:paraId="7574FBB5" w14:textId="051160F5">
            <w:pPr>
              <w:spacing w:before="130"/>
              <w:jc w:val="both"/>
            </w:pPr>
            <w:r w:rsidRPr="00B6349A">
              <w:t>Atbilstoši</w:t>
            </w:r>
            <w:r>
              <w:t xml:space="preserve"> </w:t>
            </w:r>
            <w:r w:rsidRPr="005B3E7B">
              <w:t>MK noteikum</w:t>
            </w:r>
            <w:r>
              <w:t>u</w:t>
            </w:r>
            <w:r w:rsidRPr="005B3E7B">
              <w:t xml:space="preserve"> Nr.</w:t>
            </w:r>
            <w:r>
              <w:t> </w:t>
            </w:r>
            <w:r w:rsidRPr="005B3E7B">
              <w:t>1</w:t>
            </w:r>
            <w:r w:rsidR="006A76F4">
              <w:t>73</w:t>
            </w:r>
            <w:r>
              <w:t xml:space="preserve"> 5. punktam </w:t>
            </w:r>
            <w:r w:rsidRPr="009E3649">
              <w:t>6.1.</w:t>
            </w:r>
            <w:r w:rsidR="006A76F4">
              <w:t>4</w:t>
            </w:r>
            <w:r w:rsidRPr="009E3649">
              <w:t>.</w:t>
            </w:r>
            <w:r w:rsidR="006A76F4">
              <w:t>1</w:t>
            </w:r>
            <w:r w:rsidRPr="009E3649">
              <w:t>.</w:t>
            </w:r>
            <w:r>
              <w:t> p</w:t>
            </w:r>
            <w:r w:rsidRPr="00A00047">
              <w:t>asākumu īsteno ierobežotas projektu iesniegumu atlases veidā</w:t>
            </w:r>
            <w:r>
              <w:t xml:space="preserve">. Saskaņā ar </w:t>
            </w:r>
            <w:r w:rsidRPr="005B3E7B">
              <w:t>MK noteikum</w:t>
            </w:r>
            <w:r>
              <w:t>u</w:t>
            </w:r>
            <w:r w:rsidRPr="005B3E7B">
              <w:t xml:space="preserve"> Nr.</w:t>
            </w:r>
            <w:r>
              <w:t> </w:t>
            </w:r>
            <w:r w:rsidRPr="005B3E7B">
              <w:t>1</w:t>
            </w:r>
            <w:r w:rsidR="006A76F4">
              <w:t>73</w:t>
            </w:r>
            <w:r>
              <w:t xml:space="preserve"> 1</w:t>
            </w:r>
            <w:r w:rsidR="006A76F4">
              <w:t>0</w:t>
            </w:r>
            <w:r>
              <w:t>. punktu 6.1.</w:t>
            </w:r>
            <w:r w:rsidR="006A76F4">
              <w:t>4</w:t>
            </w:r>
            <w:r>
              <w:t>.</w:t>
            </w:r>
            <w:r w:rsidR="006A76F4">
              <w:t>1</w:t>
            </w:r>
            <w:r>
              <w:t xml:space="preserve">. pasākumā projekta iesniedzējs ir </w:t>
            </w:r>
            <w:r w:rsidR="001E7D9E">
              <w:t>RPP</w:t>
            </w:r>
            <w:r>
              <w:t xml:space="preserve">. </w:t>
            </w:r>
            <w:r w:rsidR="00DA63FF">
              <w:t>6.1.</w:t>
            </w:r>
            <w:r w:rsidR="006A76F4">
              <w:t>4</w:t>
            </w:r>
            <w:r w:rsidR="00DA63FF">
              <w:t>.</w:t>
            </w:r>
            <w:r w:rsidR="006A76F4">
              <w:t>1</w:t>
            </w:r>
            <w:r w:rsidR="00DA63FF">
              <w:t>. pasākum</w:t>
            </w:r>
            <w:r w:rsidR="006A76F4">
              <w:t>ā</w:t>
            </w:r>
            <w:r w:rsidR="00DA63FF">
              <w:t xml:space="preserve"> </w:t>
            </w:r>
            <w:r w:rsidR="006A76F4">
              <w:t>tiek īstenots viens projekts</w:t>
            </w:r>
            <w:r w:rsidR="00DA63FF">
              <w:t xml:space="preserve"> </w:t>
            </w:r>
            <w:r w:rsidRPr="009256F2" w:rsidR="00DA63FF">
              <w:t>“</w:t>
            </w:r>
            <w:r w:rsidRPr="00803111" w:rsidR="00803111">
              <w:t>Jāņa Čakstes gatves izbūve no Valdeķu ielas līdz Ziepniekkalna ielai</w:t>
            </w:r>
            <w:r w:rsidRPr="009256F2" w:rsidR="00DA63FF">
              <w:t>”</w:t>
            </w:r>
            <w:r w:rsidR="00DA63FF">
              <w:t xml:space="preserve"> par visu 6.1.</w:t>
            </w:r>
            <w:r w:rsidR="00803111">
              <w:t>4</w:t>
            </w:r>
            <w:r w:rsidR="00DA63FF">
              <w:t>.</w:t>
            </w:r>
            <w:r w:rsidR="00803111">
              <w:t>1</w:t>
            </w:r>
            <w:r w:rsidR="00DA63FF">
              <w:t>. pasākumā pieejamo ES fondu finansējumu</w:t>
            </w:r>
            <w:r>
              <w:t>.</w:t>
            </w:r>
          </w:p>
          <w:p w:rsidR="00FF176F" w:rsidP="00882922" w:rsidRDefault="00E378CC" w14:paraId="10F4230A" w14:textId="77777777">
            <w:pPr>
              <w:spacing w:before="130"/>
              <w:jc w:val="both"/>
            </w:pPr>
            <w:r w:rsidRPr="00FD6CC0">
              <w:t>Ar</w:t>
            </w:r>
            <w:r>
              <w:t xml:space="preserve"> MK </w:t>
            </w:r>
            <w:r w:rsidRPr="00E946C7">
              <w:t>2015.gada 4.februār</w:t>
            </w:r>
            <w:r>
              <w:t>a</w:t>
            </w:r>
            <w:r w:rsidRPr="00E946C7">
              <w:t xml:space="preserve"> rīkojum</w:t>
            </w:r>
            <w:r>
              <w:t>u</w:t>
            </w:r>
            <w:r w:rsidRPr="00E946C7">
              <w:t xml:space="preserve"> Nr.62</w:t>
            </w:r>
            <w:r w:rsidR="00D70EA6">
              <w:t xml:space="preserve"> “</w:t>
            </w:r>
            <w:r w:rsidRPr="00D70EA6" w:rsidR="00D70EA6">
              <w:t>Par Eiropas Savienības struktūrfondu un</w:t>
            </w:r>
            <w:r w:rsidR="00D70EA6">
              <w:t xml:space="preserve"> </w:t>
            </w:r>
            <w:r w:rsidRPr="00D70EA6" w:rsidR="00D70EA6">
              <w:t>Kohēzijas fonda 2014.-2020. gada plānošanas perioda darbības</w:t>
            </w:r>
            <w:r w:rsidR="00286AD3">
              <w:t xml:space="preserve"> </w:t>
            </w:r>
            <w:r w:rsidRPr="00D70EA6" w:rsidR="00D70EA6">
              <w:t xml:space="preserve">programmu </w:t>
            </w:r>
            <w:r w:rsidR="00D70EA6">
              <w:t>“</w:t>
            </w:r>
            <w:r w:rsidRPr="00D70EA6" w:rsidR="00D70EA6">
              <w:t>Izaugsme un nodarbinātība</w:t>
            </w:r>
            <w:r w:rsidR="00D70EA6">
              <w:t>””</w:t>
            </w:r>
            <w:r>
              <w:t xml:space="preserve"> ir apstiprināta </w:t>
            </w:r>
            <w:r w:rsidRPr="0021240D" w:rsidR="0021240D">
              <w:t>2014.–2020. gada plānošanas perioda darbības programma "Izaugsme un nodarbinātība" (turpmāk – darbības programma)</w:t>
            </w:r>
            <w:r>
              <w:t>, kas nosaka</w:t>
            </w:r>
            <w:r w:rsidR="00FF176F">
              <w:t>, tai skaitā, 6.1.4.</w:t>
            </w:r>
            <w:r>
              <w:t xml:space="preserve"> </w:t>
            </w:r>
            <w:r w:rsidRPr="00937B2D">
              <w:t>specifiskā atbalsta mērķa</w:t>
            </w:r>
            <w:r w:rsidR="00FF176F">
              <w:t xml:space="preserve"> “</w:t>
            </w:r>
            <w:r w:rsidRPr="00334474" w:rsidR="00FF176F">
              <w:t>Pilsētu infrastruktūras sasaiste ar TEN-T tīklu"</w:t>
            </w:r>
            <w:r w:rsidR="00FF176F">
              <w:t xml:space="preserve"> (turpmāk – 6.1.4.SAM)</w:t>
            </w:r>
            <w:r w:rsidRPr="00937B2D">
              <w:t xml:space="preserve"> </w:t>
            </w:r>
            <w:r w:rsidR="005B34D1">
              <w:t xml:space="preserve">iznākuma un rezultāta </w:t>
            </w:r>
            <w:r>
              <w:t>rādītājus</w:t>
            </w:r>
            <w:r w:rsidR="00FF176F">
              <w:t>, kurus tika plānots sasniegt 6.1.4.SAM ietvaros, īstenojot divus pasākumus:</w:t>
            </w:r>
          </w:p>
          <w:p w:rsidRPr="00FF176F" w:rsidR="00FF176F" w:rsidP="00FF176F" w:rsidRDefault="00FF176F" w14:paraId="7796697C" w14:textId="50ED7A40">
            <w:pPr>
              <w:pStyle w:val="ListParagraph"/>
              <w:numPr>
                <w:ilvl w:val="0"/>
                <w:numId w:val="14"/>
              </w:numPr>
            </w:pPr>
            <w:r w:rsidRPr="00FF176F">
              <w:t>6.1.4.1. pasākumu "Rīgas ostas un Rīgas pilsētas</w:t>
            </w:r>
            <w:r>
              <w:t xml:space="preserve"> </w:t>
            </w:r>
            <w:r w:rsidRPr="00FF176F">
              <w:t>integrēšana TEN-T tīklā"</w:t>
            </w:r>
            <w:r>
              <w:t>,</w:t>
            </w:r>
          </w:p>
          <w:p w:rsidR="00FF176F" w:rsidP="00FF176F" w:rsidRDefault="00FF176F" w14:paraId="30E6A783" w14:textId="097B09DF">
            <w:pPr>
              <w:pStyle w:val="ListParagraph"/>
              <w:numPr>
                <w:ilvl w:val="0"/>
                <w:numId w:val="14"/>
              </w:numPr>
              <w:spacing w:before="130"/>
              <w:jc w:val="both"/>
            </w:pPr>
            <w:r w:rsidRPr="00FF176F">
              <w:t>6.1.4.2. pasākumu "Nacionālas nozīmes attīstības centru integrēšana TEN-T tīklā"</w:t>
            </w:r>
            <w:r w:rsidR="00E378CC">
              <w:t xml:space="preserve">. </w:t>
            </w:r>
          </w:p>
          <w:p w:rsidR="00803111" w:rsidP="00882922" w:rsidRDefault="00E378CC" w14:paraId="0D802B34" w14:textId="06C14C6E">
            <w:pPr>
              <w:spacing w:before="130"/>
              <w:jc w:val="both"/>
            </w:pPr>
            <w:r>
              <w:t>Atbilstoši MK</w:t>
            </w:r>
            <w:r w:rsidRPr="00FB18D3">
              <w:t xml:space="preserve"> noteikumu Nr. 1</w:t>
            </w:r>
            <w:r w:rsidR="00803111">
              <w:t>73</w:t>
            </w:r>
            <w:r w:rsidRPr="00FB18D3">
              <w:t xml:space="preserve"> </w:t>
            </w:r>
            <w:r>
              <w:t>4.punktam 6.1.</w:t>
            </w:r>
            <w:r w:rsidR="00803111">
              <w:t>4</w:t>
            </w:r>
            <w:r>
              <w:t>.</w:t>
            </w:r>
            <w:r w:rsidR="00803111">
              <w:t>1</w:t>
            </w:r>
            <w:r>
              <w:t>. p</w:t>
            </w:r>
            <w:r w:rsidRPr="004D063C">
              <w:t xml:space="preserve">asākuma ietvaros </w:t>
            </w:r>
            <w:r>
              <w:t>ir jāsasniedz</w:t>
            </w:r>
            <w:r w:rsidR="00803111">
              <w:t>:</w:t>
            </w:r>
          </w:p>
          <w:p w:rsidR="00803111" w:rsidP="00803111" w:rsidRDefault="00E378CC" w14:paraId="63403EEB" w14:textId="77777777">
            <w:pPr>
              <w:pStyle w:val="ListParagraph"/>
              <w:numPr>
                <w:ilvl w:val="0"/>
                <w:numId w:val="4"/>
              </w:numPr>
              <w:spacing w:before="130"/>
              <w:jc w:val="both"/>
            </w:pPr>
            <w:r w:rsidRPr="004D063C">
              <w:t>iznākuma rādītājs</w:t>
            </w:r>
            <w:r>
              <w:t xml:space="preserve"> (iznākuma rādītāja ID </w:t>
            </w:r>
            <w:r w:rsidRPr="00803111" w:rsidR="00803111">
              <w:t>i.6.1.4.a</w:t>
            </w:r>
            <w:r>
              <w:t>)</w:t>
            </w:r>
            <w:r w:rsidRPr="004D063C">
              <w:t xml:space="preserve"> – līdz 2023.gada 31.decembrim </w:t>
            </w:r>
            <w:r w:rsidRPr="00803111" w:rsidR="00803111">
              <w:t>izbūvēto, rekonstruēto vai modernizēto alternatīvo kravas ceļu, ielu un pārvadu kopējais garums sasaistei ar TEN-T tīklu</w:t>
            </w:r>
            <w:r w:rsidR="00803111">
              <w:t xml:space="preserve"> 4 km</w:t>
            </w:r>
            <w:r w:rsidRPr="004D063C">
              <w:t>.</w:t>
            </w:r>
          </w:p>
          <w:p w:rsidR="00803111" w:rsidP="00803111" w:rsidRDefault="00803111" w14:paraId="3D86AA6D" w14:textId="4D99B146">
            <w:pPr>
              <w:pStyle w:val="ListParagraph"/>
              <w:numPr>
                <w:ilvl w:val="0"/>
                <w:numId w:val="4"/>
              </w:numPr>
              <w:spacing w:before="130"/>
              <w:jc w:val="both"/>
            </w:pPr>
            <w:r>
              <w:t xml:space="preserve">rezultāta rādītājs (rezultāta rādītāja ID </w:t>
            </w:r>
            <w:r w:rsidRPr="00803111">
              <w:t>r.6.1.4.a</w:t>
            </w:r>
            <w:r>
              <w:t xml:space="preserve">) </w:t>
            </w:r>
            <w:r w:rsidRPr="004D063C">
              <w:t>– līdz 2023.gada 31.decembrim</w:t>
            </w:r>
            <w:r>
              <w:t xml:space="preserve"> </w:t>
            </w:r>
            <w:r w:rsidRPr="00803111">
              <w:t>viena pilsēta, kurā izveidoti alternatīvi maršruti TEN-T tīkla tranzīta un kravu transportam</w:t>
            </w:r>
            <w:r>
              <w:t xml:space="preserve">. </w:t>
            </w:r>
          </w:p>
          <w:p w:rsidR="00F7264B" w:rsidP="00803111" w:rsidRDefault="00FF176F" w14:paraId="14BECC81" w14:textId="6106A0DE">
            <w:pPr>
              <w:spacing w:before="130"/>
              <w:jc w:val="both"/>
            </w:pPr>
            <w:r>
              <w:t xml:space="preserve">Ņemot vērā 6.1.4.1.pasākuma ietekmi uz </w:t>
            </w:r>
            <w:r w:rsidRPr="001A2077">
              <w:t>darbības programm</w:t>
            </w:r>
            <w:r>
              <w:t xml:space="preserve">ā noteiktajiem iznākuma un rezultāta rādītājiem, ir nepieciešams veikt  grozījumus </w:t>
            </w:r>
            <w:r w:rsidR="00D70EA6">
              <w:t>MK</w:t>
            </w:r>
            <w:r w:rsidRPr="00CC26A3" w:rsidR="00CC26A3">
              <w:t xml:space="preserve"> 2016. gada 22. marta noteikum</w:t>
            </w:r>
            <w:r w:rsidR="00CC26A3">
              <w:t>os</w:t>
            </w:r>
            <w:r w:rsidRPr="00CC26A3" w:rsidR="00CC26A3">
              <w:t xml:space="preserve"> Nr. </w:t>
            </w:r>
            <w:r w:rsidR="00CC26A3">
              <w:t>587</w:t>
            </w:r>
            <w:r w:rsidRPr="00CC26A3" w:rsidR="00CC26A3">
              <w:t xml:space="preserve"> "Darbības programmas "Izaugsme un nodarbinātība" 6.1.4. specifiskā atbalsta mērķa "Pilsētu infrastruktūras sasaiste ar TEN-T tīklu" 6.1.4.2. pasākuma "Nacionālas nozīmes attīstības centru integrēšana TEN-T tīklā" īstenošanas noteikumi" </w:t>
            </w:r>
            <w:r w:rsidR="00531B31">
              <w:t>(turpmāk – 6.1.4.2. pasākums)</w:t>
            </w:r>
            <w:r w:rsidR="0006020E">
              <w:t xml:space="preserve">, </w:t>
            </w:r>
            <w:r w:rsidR="005F2104">
              <w:t xml:space="preserve">kas paredz </w:t>
            </w:r>
            <w:r w:rsidR="0006020E">
              <w:t>6.1.4.1. pasākuma iznākuma un rezultāta rādītāj</w:t>
            </w:r>
            <w:r w:rsidR="009917B7">
              <w:t>us</w:t>
            </w:r>
            <w:r w:rsidR="0006020E">
              <w:t xml:space="preserve"> </w:t>
            </w:r>
            <w:r w:rsidR="005F2104">
              <w:t xml:space="preserve">iekļaut </w:t>
            </w:r>
            <w:r w:rsidR="0006020E">
              <w:t>6.1.4.2.</w:t>
            </w:r>
            <w:r w:rsidR="00531B31">
              <w:t xml:space="preserve"> </w:t>
            </w:r>
            <w:r w:rsidR="0006020E">
              <w:t>pasākumā</w:t>
            </w:r>
            <w:r w:rsidR="00C72631">
              <w:t xml:space="preserve"> sasniedzamaj</w:t>
            </w:r>
            <w:r w:rsidR="005F2104">
              <w:t xml:space="preserve">os </w:t>
            </w:r>
            <w:r w:rsidR="00C72631">
              <w:t xml:space="preserve"> rādītāj</w:t>
            </w:r>
            <w:r w:rsidR="005F2104">
              <w:t>os</w:t>
            </w:r>
            <w:r>
              <w:t xml:space="preserve">, tādējādi nodrošinot 6.1.4.SAM noteikto </w:t>
            </w:r>
            <w:r>
              <w:lastRenderedPageBreak/>
              <w:t>uzraudzības rādītāju sasniegšanu</w:t>
            </w:r>
            <w:r w:rsidR="0006020E">
              <w:t>.</w:t>
            </w:r>
          </w:p>
          <w:p w:rsidRPr="001A2077" w:rsidR="00FF176F" w:rsidP="00FF176F" w:rsidRDefault="00FF176F" w14:paraId="7D806BC7" w14:textId="77777777">
            <w:pPr>
              <w:spacing w:before="130"/>
              <w:jc w:val="both"/>
            </w:pPr>
            <w:r w:rsidRPr="001A2077">
              <w:t>Atbilstoši Kohēzijas politikas fondu vadības informācijas sistēmas datiem darbības programm</w:t>
            </w:r>
            <w:r>
              <w:t>ā</w:t>
            </w:r>
            <w:r w:rsidRPr="001A2077">
              <w:t xml:space="preserve"> 6.1.4. </w:t>
            </w:r>
            <w:r>
              <w:t>SAM</w:t>
            </w:r>
            <w:r w:rsidRPr="001A2077">
              <w:t>:</w:t>
            </w:r>
          </w:p>
          <w:p w:rsidR="00FF176F" w:rsidP="00FF176F" w:rsidRDefault="00FF176F" w14:paraId="20E6E2B5" w14:textId="0104D6E8">
            <w:pPr>
              <w:pStyle w:val="ListParagraph"/>
              <w:numPr>
                <w:ilvl w:val="0"/>
                <w:numId w:val="15"/>
              </w:numPr>
              <w:spacing w:before="130"/>
              <w:jc w:val="both"/>
            </w:pPr>
            <w:r w:rsidRPr="001A2077">
              <w:t xml:space="preserve"> noteiktā iznākuma r</w:t>
            </w:r>
            <w:r w:rsidR="004A1572">
              <w:t>ā</w:t>
            </w:r>
            <w:r w:rsidRPr="001A2077">
              <w:t xml:space="preserve">dītāja </w:t>
            </w:r>
            <w:r w:rsidR="00FD6CC0">
              <w:t>–</w:t>
            </w:r>
            <w:r w:rsidRPr="001A2077">
              <w:t xml:space="preserve"> līdz 2023.gada 31.decembrim izbūvēto, rekonstruēto vai modernizēto alternatīvo kravas ceļu, ielu un pārvadu kopējais garums sasaistei ar TEN-T tīklu 9,96 km </w:t>
            </w:r>
            <w:r w:rsidR="00FD6CC0">
              <w:t>–</w:t>
            </w:r>
            <w:r w:rsidRPr="001A2077">
              <w:t xml:space="preserve"> izpilde līdz 2019.gada 20.decembrim ir 3</w:t>
            </w:r>
            <w:r>
              <w:t>,</w:t>
            </w:r>
            <w:r w:rsidRPr="001A2077">
              <w:t xml:space="preserve">51 km, jeb 35% no </w:t>
            </w:r>
            <w:r w:rsidRPr="00FF176F">
              <w:t>6.1.4.SAM</w:t>
            </w:r>
            <w:r w:rsidRPr="00334474">
              <w:t xml:space="preserve"> noteiktā iznākuma rādītāja, kas tika nodrošināta</w:t>
            </w:r>
            <w:r w:rsidR="00FD6CC0">
              <w:t>,</w:t>
            </w:r>
            <w:r w:rsidRPr="00334474">
              <w:t xml:space="preserve"> ņemot vērā līdz 20.12.2019. </w:t>
            </w:r>
            <w:r w:rsidRPr="001A2077">
              <w:t>6.1.4.2.pasākuma ietvaros pabeigto projektu Rēzeknē un nodoto ekspluatācijā ceļa posmu Ventspilī.</w:t>
            </w:r>
          </w:p>
          <w:p w:rsidR="007C6188" w:rsidP="00FF176F" w:rsidRDefault="00FF176F" w14:paraId="6233BEC4" w14:textId="4DBE0343">
            <w:pPr>
              <w:pStyle w:val="ListParagraph"/>
              <w:numPr>
                <w:ilvl w:val="0"/>
                <w:numId w:val="15"/>
              </w:numPr>
              <w:spacing w:before="130"/>
              <w:jc w:val="both"/>
            </w:pPr>
            <w:r w:rsidRPr="00640E10">
              <w:t xml:space="preserve">noteiktā rezultāta rādītāja </w:t>
            </w:r>
            <w:r w:rsidR="00FD6CC0">
              <w:t xml:space="preserve">– </w:t>
            </w:r>
            <w:r>
              <w:t xml:space="preserve">līdz </w:t>
            </w:r>
            <w:r w:rsidRPr="00333868">
              <w:t xml:space="preserve">2023.gada 31.decembrim </w:t>
            </w:r>
            <w:r>
              <w:t xml:space="preserve">četras </w:t>
            </w:r>
            <w:r w:rsidRPr="00333868">
              <w:t>pilsēta</w:t>
            </w:r>
            <w:r>
              <w:t>s</w:t>
            </w:r>
            <w:r w:rsidRPr="00333868">
              <w:t>, kurā</w:t>
            </w:r>
            <w:r>
              <w:t>s</w:t>
            </w:r>
            <w:r w:rsidRPr="00333868">
              <w:t xml:space="preserve"> izveidoti alternatīvi maršruti TEN-T tīkla tranzīta un kravu transportam</w:t>
            </w:r>
            <w:r w:rsidR="00FD6CC0">
              <w:t xml:space="preserve"> –</w:t>
            </w:r>
            <w:r>
              <w:t xml:space="preserve"> izpilde līdz </w:t>
            </w:r>
            <w:r w:rsidRPr="00E918FD">
              <w:t>2019.gada 20.decembrim ir</w:t>
            </w:r>
            <w:r>
              <w:t xml:space="preserve"> 2 pilsētas, jeb 50% </w:t>
            </w:r>
            <w:r w:rsidRPr="00E918FD">
              <w:t xml:space="preserve">no 6.1.4.SAM noteiktā </w:t>
            </w:r>
            <w:r>
              <w:t xml:space="preserve">uzraudzības </w:t>
            </w:r>
            <w:r w:rsidRPr="00E918FD">
              <w:t xml:space="preserve"> rādītāja</w:t>
            </w:r>
            <w:r>
              <w:t xml:space="preserve">, kas tika nodrošināta, </w:t>
            </w:r>
            <w:r w:rsidRPr="00E918FD">
              <w:t>ņemot vērā līdz 20.12.2019. 6.1.4.2.pasākuma ietvaros pabeigto projektu Rēzeknē</w:t>
            </w:r>
            <w:r>
              <w:t xml:space="preserve"> un ievērojot, ka rezultāta rādītāja sākotnējā vērtība 2012.gadā bija viena pilsēta.</w:t>
            </w:r>
          </w:p>
          <w:p w:rsidR="00125C49" w:rsidP="00CE00B1" w:rsidRDefault="00C465F6" w14:paraId="66D2D2B1" w14:textId="0E9FF361">
            <w:pPr>
              <w:spacing w:before="130"/>
              <w:jc w:val="both"/>
            </w:pPr>
            <w:r w:rsidRPr="00C465F6">
              <w:t xml:space="preserve">Ievērojot minēto un apstākli, ka 6.1.4.2.pasākuma ietvaros īstenošanā ir projekti vēl </w:t>
            </w:r>
            <w:r>
              <w:t>sešos</w:t>
            </w:r>
            <w:r w:rsidRPr="00C465F6">
              <w:t xml:space="preserve"> nacionālās nozīmes attīstības centros, kuru ietvaros indikatīvais projektu īstenošanas rezultātā sasniedzamais r</w:t>
            </w:r>
            <w:r w:rsidR="004A1572">
              <w:t>ā</w:t>
            </w:r>
            <w:r w:rsidRPr="00C465F6">
              <w:t>dītājs – izbūvēti,  pārbūvēti vai modernizēti alternatīvie kravas ceļi, ielas un pārvadi sasaistei ar TEN-T</w:t>
            </w:r>
            <w:r>
              <w:t xml:space="preserve"> – </w:t>
            </w:r>
            <w:r w:rsidRPr="00C465F6">
              <w:t>pārsniedz atlikušo nepieciešamo  sasniedzamo vērtību 6</w:t>
            </w:r>
            <w:r>
              <w:t>,</w:t>
            </w:r>
            <w:r w:rsidRPr="00C465F6">
              <w:t>45 km, ir secināms</w:t>
            </w:r>
            <w:r>
              <w:t>,</w:t>
            </w:r>
            <w:r w:rsidRPr="00C465F6">
              <w:t xml:space="preserve"> ka darbības programmas 6.1.4.SAM uzraudzības rādītāju vērtības līdz 2023.gada 31.decembrim plānots sasnieg</w:t>
            </w:r>
            <w:r>
              <w:t>t</w:t>
            </w:r>
            <w:r w:rsidRPr="00C465F6">
              <w:t xml:space="preserve"> pilnā apmērā, īstenojot 6.1.4.2.pasākumu ar tam pieejamo Kohēzijas fonda </w:t>
            </w:r>
            <w:r w:rsidRPr="00FD6CC0">
              <w:t>finansējumu</w:t>
            </w:r>
            <w:r w:rsidRPr="00C465F6">
              <w:t>.</w:t>
            </w:r>
          </w:p>
          <w:p w:rsidR="00851FFB" w:rsidP="00851FFB" w:rsidRDefault="00D250D3" w14:paraId="26CC9B4A" w14:textId="565652DE">
            <w:pPr>
              <w:spacing w:before="130"/>
              <w:jc w:val="both"/>
            </w:pPr>
            <w:r w:rsidRPr="00851FFB">
              <w:t>Saskaņā</w:t>
            </w:r>
            <w:r>
              <w:t xml:space="preserve"> ar </w:t>
            </w:r>
            <w:r w:rsidRPr="00E21421" w:rsidR="00E21421">
              <w:t xml:space="preserve">Eiropas Savienības struktūrfondu un Kohēzijas fonda 2014.-2020.gada plānošanas perioda </w:t>
            </w:r>
            <w:r>
              <w:t xml:space="preserve">vadības likuma 11.panta </w:t>
            </w:r>
            <w:r w:rsidR="00863953">
              <w:t>trešās</w:t>
            </w:r>
            <w:r w:rsidR="00D70EA6">
              <w:t xml:space="preserve"> </w:t>
            </w:r>
            <w:r>
              <w:t xml:space="preserve">daļas 2.punktu SM kā atbildīgajai iestādei ir pienākums </w:t>
            </w:r>
            <w:r w:rsidRPr="00937B2D">
              <w:t>nodrošināt specifiskā atbalsta mērķa rezultātu sasniegšanu</w:t>
            </w:r>
            <w:r>
              <w:t xml:space="preserve"> atbilstoši darbības programmai.</w:t>
            </w:r>
            <w:r w:rsidR="0086520E">
              <w:t xml:space="preserve"> Salīdzinot plānoto un faktisko projekta ieviešanas progresu 6.1.4.1.</w:t>
            </w:r>
            <w:r w:rsidR="00863953">
              <w:t xml:space="preserve"> </w:t>
            </w:r>
            <w:r w:rsidR="0086520E">
              <w:t xml:space="preserve">pasākumā, </w:t>
            </w:r>
            <w:r w:rsidRPr="0086520E" w:rsidR="0086520E">
              <w:t>6.1.4.1. pasākumā īstenotajā projektā ir identificējams iepirkuma procedūru norises aizkavēšanās risks</w:t>
            </w:r>
            <w:r w:rsidR="006244E4">
              <w:t xml:space="preserve"> –</w:t>
            </w:r>
            <w:r w:rsidRPr="0086520E" w:rsidR="0086520E">
              <w:t xml:space="preserve"> līdz </w:t>
            </w:r>
            <w:r w:rsidR="0086520E">
              <w:t xml:space="preserve">2019.gada oktobrim </w:t>
            </w:r>
            <w:r w:rsidRPr="0086520E" w:rsidR="0086520E">
              <w:t>projektā n</w:t>
            </w:r>
            <w:r w:rsidR="004E3983">
              <w:t>av</w:t>
            </w:r>
            <w:r w:rsidRPr="0086520E" w:rsidR="0086520E">
              <w:t xml:space="preserve"> izsludināts iepirkums par būvdarbu veikšanu. Tā kā projekta ieviešanas aizkavēšanās rada augstu risku, ka projekts netiks pabeigts līdz 2023.gada beigām, finansējuma saņēmējs neīstenos</w:t>
            </w:r>
            <w:r w:rsidRPr="0086520E" w:rsidR="006D0C0A">
              <w:t xml:space="preserve"> projektu</w:t>
            </w:r>
            <w:r w:rsidR="006D0C0A">
              <w:t xml:space="preserve"> 6.</w:t>
            </w:r>
            <w:r w:rsidRPr="0086520E" w:rsidR="006D0C0A">
              <w:t>1.4.1.pasākuma ietvaros</w:t>
            </w:r>
            <w:r w:rsidRPr="0086520E" w:rsidR="0086520E">
              <w:t>.</w:t>
            </w:r>
          </w:p>
          <w:p w:rsidRPr="0086520E" w:rsidR="00E378CC" w:rsidP="0086520E" w:rsidRDefault="0086520E" w14:paraId="63CD6906" w14:textId="61410263">
            <w:pPr>
              <w:spacing w:before="130"/>
              <w:jc w:val="both"/>
            </w:pPr>
            <w:r w:rsidRPr="0086520E">
              <w:t xml:space="preserve">Ņemot vērā </w:t>
            </w:r>
            <w:r w:rsidR="001E7D9E">
              <w:t>RPP</w:t>
            </w:r>
            <w:r w:rsidRPr="0086520E">
              <w:t xml:space="preserve"> priekšlikumu</w:t>
            </w:r>
            <w:r>
              <w:t xml:space="preserve"> </w:t>
            </w:r>
            <w:r w:rsidRPr="0086520E">
              <w:t xml:space="preserve">par 6.1.4.1. pasākumā īstenotā projekta ieviešanas atlikšanu līdz nākamajam ES </w:t>
            </w:r>
            <w:r w:rsidRPr="0086520E">
              <w:lastRenderedPageBreak/>
              <w:t>fond</w:t>
            </w:r>
            <w:r>
              <w:t>u</w:t>
            </w:r>
            <w:r w:rsidRPr="0086520E">
              <w:t xml:space="preserve"> plānošanas periodam, 6.1.4.1. pasākums netiks ieviests.</w:t>
            </w:r>
          </w:p>
          <w:p w:rsidR="0086520E" w:rsidP="0086520E" w:rsidRDefault="0086520E" w14:paraId="08826EA2" w14:textId="277D02E8">
            <w:pPr>
              <w:spacing w:before="130"/>
              <w:jc w:val="both"/>
            </w:pPr>
            <w:r>
              <w:t>6.1.</w:t>
            </w:r>
            <w:r w:rsidR="00246698">
              <w:t>4</w:t>
            </w:r>
            <w:r>
              <w:t>.</w:t>
            </w:r>
            <w:r w:rsidR="00246698">
              <w:t>1</w:t>
            </w:r>
            <w:r>
              <w:t xml:space="preserve">. pasākuma atbalstāmās darbības, kas paredz </w:t>
            </w:r>
            <w:r w:rsidRPr="00E70DC7" w:rsidR="00E70DC7">
              <w:t>jaunu maģistrālo ielu un esošo maršrutu attīstīb</w:t>
            </w:r>
            <w:r w:rsidR="00E70DC7">
              <w:t>u</w:t>
            </w:r>
            <w:r w:rsidRPr="00E70DC7" w:rsidR="00E70DC7">
              <w:t>, nodrošin</w:t>
            </w:r>
            <w:r w:rsidR="00E70DC7">
              <w:t>ot</w:t>
            </w:r>
            <w:r w:rsidRPr="00E70DC7" w:rsidR="00E70DC7">
              <w:t xml:space="preserve"> atsevišķu pilsētu daļu efektīvu savstarpējo sasaisti un sasaisti ar </w:t>
            </w:r>
            <w:r w:rsidR="00E70DC7">
              <w:t>Eiropas Transporta tīklu (</w:t>
            </w:r>
            <w:r w:rsidRPr="00E70DC7" w:rsidR="00E70DC7">
              <w:t>TEN-T</w:t>
            </w:r>
            <w:r w:rsidR="00E70DC7">
              <w:t>)</w:t>
            </w:r>
            <w:r>
              <w:t>, ir vērtējamas nākamā ES fondu plānošanas perioda ietvaros, ievērojot nākamā ES fondu plānošanas periodā paredzētās prioritātes un aktivitātes.</w:t>
            </w:r>
          </w:p>
          <w:p w:rsidRPr="00996725" w:rsidR="00E378CC" w:rsidP="0086520E" w:rsidRDefault="0086520E" w14:paraId="69C736E7" w14:textId="007ED143">
            <w:pPr>
              <w:spacing w:before="120"/>
              <w:jc w:val="both"/>
              <w:rPr>
                <w:i/>
                <w:iCs/>
                <w:lang w:eastAsia="en-US"/>
              </w:rPr>
            </w:pPr>
            <w:r>
              <w:t>Ņemot vērā minēto un izpildot uzdevumu par visa 6.1.</w:t>
            </w:r>
            <w:r w:rsidR="00E70DC7">
              <w:t>4</w:t>
            </w:r>
            <w:r>
              <w:t>.</w:t>
            </w:r>
            <w:r w:rsidR="00E70DC7">
              <w:t>1</w:t>
            </w:r>
            <w:r>
              <w:t>. pasākumam pieejamā ES fondu finansējuma pārdali elektrovilcienu vagonu iegādes projekta īstenošanai, MK noteikumus Nr. 1</w:t>
            </w:r>
            <w:r w:rsidR="00E70DC7">
              <w:t>73</w:t>
            </w:r>
            <w:r>
              <w:t xml:space="preserve"> ir nepieciešams atzīt par spēku zaudējušiem.</w:t>
            </w:r>
          </w:p>
        </w:tc>
      </w:tr>
      <w:tr w:rsidRPr="00996725" w:rsidR="00E378CC" w:rsidTr="00E378CC" w14:paraId="1C99DDDA" w14:textId="77777777">
        <w:tc>
          <w:tcPr>
            <w:tcW w:w="271" w:type="pct"/>
            <w:shd w:val="clear" w:color="auto" w:fill="FFFFFF"/>
          </w:tcPr>
          <w:p w:rsidRPr="00996725" w:rsidR="00E378CC" w:rsidP="00E378CC" w:rsidRDefault="00E378CC" w14:paraId="331E077C" w14:textId="1AB2844B">
            <w:pPr>
              <w:jc w:val="center"/>
              <w:rPr>
                <w:iCs/>
                <w:lang w:eastAsia="en-US"/>
              </w:rPr>
            </w:pPr>
            <w:r w:rsidRPr="00366023">
              <w:lastRenderedPageBreak/>
              <w:t>3.</w:t>
            </w:r>
          </w:p>
        </w:tc>
        <w:tc>
          <w:tcPr>
            <w:tcW w:w="1186" w:type="pct"/>
            <w:shd w:val="clear" w:color="auto" w:fill="FFFFFF"/>
          </w:tcPr>
          <w:p w:rsidRPr="00996725" w:rsidR="00E378CC" w:rsidP="00E378CC" w:rsidRDefault="00E378CC" w14:paraId="3787030C" w14:textId="4D89EB51">
            <w:pPr>
              <w:rPr>
                <w:iCs/>
                <w:lang w:eastAsia="en-US"/>
              </w:rPr>
            </w:pPr>
            <w:r w:rsidRPr="00366023">
              <w:t>Projekta izstrādē iesaistītās institūcijas un publiskas personas kapitālsabiedrības</w:t>
            </w:r>
          </w:p>
        </w:tc>
        <w:tc>
          <w:tcPr>
            <w:tcW w:w="3542" w:type="pct"/>
            <w:shd w:val="clear" w:color="auto" w:fill="FFFFFF"/>
          </w:tcPr>
          <w:p w:rsidRPr="00996725" w:rsidR="00E378CC" w:rsidP="00E378CC" w:rsidRDefault="00E378CC" w14:paraId="518CAB71" w14:textId="51391882">
            <w:pPr>
              <w:rPr>
                <w:i/>
                <w:iCs/>
                <w:lang w:eastAsia="en-US"/>
              </w:rPr>
            </w:pPr>
            <w:r w:rsidRPr="00366023">
              <w:t>Satiksmes ministrija</w:t>
            </w:r>
            <w:r w:rsidR="00D70EA6">
              <w:t>.</w:t>
            </w:r>
          </w:p>
        </w:tc>
      </w:tr>
      <w:tr w:rsidRPr="00996725" w:rsidR="00E378CC" w:rsidTr="00E378CC" w14:paraId="79940D9E" w14:textId="77777777">
        <w:tc>
          <w:tcPr>
            <w:tcW w:w="271" w:type="pct"/>
            <w:shd w:val="clear" w:color="auto" w:fill="FFFFFF"/>
          </w:tcPr>
          <w:p w:rsidRPr="00996725" w:rsidR="00E378CC" w:rsidP="00E378CC" w:rsidRDefault="00E378CC" w14:paraId="25C3759D" w14:textId="30311D82">
            <w:pPr>
              <w:jc w:val="center"/>
              <w:rPr>
                <w:iCs/>
                <w:lang w:eastAsia="en-US"/>
              </w:rPr>
            </w:pPr>
            <w:r w:rsidRPr="00366023">
              <w:t>4.</w:t>
            </w:r>
          </w:p>
        </w:tc>
        <w:tc>
          <w:tcPr>
            <w:tcW w:w="1186" w:type="pct"/>
            <w:shd w:val="clear" w:color="auto" w:fill="FFFFFF"/>
          </w:tcPr>
          <w:p w:rsidRPr="00996725" w:rsidR="00E378CC" w:rsidP="00E378CC" w:rsidRDefault="00E378CC" w14:paraId="3952E7E2" w14:textId="6745CD0E">
            <w:pPr>
              <w:rPr>
                <w:iCs/>
                <w:lang w:eastAsia="en-US"/>
              </w:rPr>
            </w:pPr>
            <w:r w:rsidRPr="00366023">
              <w:t>Cita informācija</w:t>
            </w:r>
          </w:p>
        </w:tc>
        <w:tc>
          <w:tcPr>
            <w:tcW w:w="3542" w:type="pct"/>
            <w:shd w:val="clear" w:color="auto" w:fill="FFFFFF"/>
          </w:tcPr>
          <w:p w:rsidRPr="00366023" w:rsidR="00E378CC" w:rsidP="00837F13" w:rsidRDefault="004A2D63" w14:paraId="7BD88134" w14:textId="2629296E">
            <w:pPr>
              <w:jc w:val="both"/>
            </w:pPr>
            <w:r>
              <w:t>Turpmākā rīcība attiecībā</w:t>
            </w:r>
            <w:r w:rsidRPr="00366023" w:rsidR="00E378CC">
              <w:t xml:space="preserve"> uz </w:t>
            </w:r>
            <w:r w:rsidR="00E70DC7">
              <w:t>6.1.4.1.pasākumā īstenoto projektu</w:t>
            </w:r>
            <w:r w:rsidRPr="00366023" w:rsidR="00E378CC">
              <w:t>:</w:t>
            </w:r>
          </w:p>
          <w:p w:rsidR="00E70DC7" w:rsidP="00E378CC" w:rsidRDefault="00061457" w14:paraId="45651629" w14:textId="26C143C4">
            <w:pPr>
              <w:pStyle w:val="Title"/>
              <w:numPr>
                <w:ilvl w:val="0"/>
                <w:numId w:val="2"/>
              </w:numPr>
              <w:spacing w:before="130" w:line="260" w:lineRule="exact"/>
              <w:jc w:val="both"/>
              <w:rPr>
                <w:sz w:val="24"/>
                <w:szCs w:val="24"/>
              </w:rPr>
            </w:pPr>
            <w:r>
              <w:rPr>
                <w:sz w:val="24"/>
                <w:szCs w:val="24"/>
              </w:rPr>
              <w:t xml:space="preserve">2018.gada 15.jūnijā </w:t>
            </w:r>
            <w:r w:rsidR="00981FDE">
              <w:rPr>
                <w:sz w:val="24"/>
                <w:szCs w:val="24"/>
              </w:rPr>
              <w:t xml:space="preserve">ar </w:t>
            </w:r>
            <w:r w:rsidR="006D0BFA">
              <w:rPr>
                <w:sz w:val="24"/>
                <w:szCs w:val="24"/>
              </w:rPr>
              <w:t xml:space="preserve">Centrālās finanšu un līgumu aģentūras (turpmāk – </w:t>
            </w:r>
            <w:r>
              <w:rPr>
                <w:sz w:val="24"/>
                <w:szCs w:val="24"/>
              </w:rPr>
              <w:t>CFLA</w:t>
            </w:r>
            <w:r w:rsidR="006D0BFA">
              <w:rPr>
                <w:sz w:val="24"/>
                <w:szCs w:val="24"/>
              </w:rPr>
              <w:t>)</w:t>
            </w:r>
            <w:r>
              <w:rPr>
                <w:sz w:val="24"/>
                <w:szCs w:val="24"/>
              </w:rPr>
              <w:t xml:space="preserve"> atzinumu </w:t>
            </w:r>
            <w:r w:rsidR="00981FDE">
              <w:rPr>
                <w:sz w:val="24"/>
                <w:szCs w:val="24"/>
              </w:rPr>
              <w:t>tika apstiprināts</w:t>
            </w:r>
            <w:r>
              <w:rPr>
                <w:sz w:val="24"/>
                <w:szCs w:val="24"/>
              </w:rPr>
              <w:t xml:space="preserve"> projekta iesniegum</w:t>
            </w:r>
            <w:r w:rsidR="00981FDE">
              <w:rPr>
                <w:sz w:val="24"/>
                <w:szCs w:val="24"/>
              </w:rPr>
              <w:t xml:space="preserve">s </w:t>
            </w:r>
            <w:r>
              <w:rPr>
                <w:sz w:val="24"/>
                <w:szCs w:val="24"/>
              </w:rPr>
              <w:t xml:space="preserve">Nr.6.1.4.1/18/I/001 </w:t>
            </w:r>
            <w:r w:rsidR="00981FDE">
              <w:rPr>
                <w:sz w:val="24"/>
                <w:szCs w:val="24"/>
              </w:rPr>
              <w:t>“Jāņa Čakstes gatves izbūve no Valdeķu ielas līdz Ziepniekkalna ielai”.</w:t>
            </w:r>
          </w:p>
          <w:p w:rsidR="00981FDE" w:rsidP="00981FDE" w:rsidRDefault="00981FDE" w14:paraId="1DEB0D99" w14:textId="3592DD91">
            <w:pPr>
              <w:pStyle w:val="Title"/>
              <w:numPr>
                <w:ilvl w:val="0"/>
                <w:numId w:val="2"/>
              </w:numPr>
              <w:spacing w:line="260" w:lineRule="exact"/>
              <w:jc w:val="both"/>
              <w:rPr>
                <w:sz w:val="24"/>
                <w:szCs w:val="24"/>
              </w:rPr>
            </w:pPr>
            <w:r>
              <w:rPr>
                <w:sz w:val="24"/>
                <w:szCs w:val="24"/>
              </w:rPr>
              <w:t>2018.gada 12.jūlijā CFLA parakstīja vienošanos ar RPP par projekta Nr.6.1.4.1/18/I/001 “Jāņa Čakstes gatves izbūve no Valdeķu ielas līdz Ziepniekkalna ielai” īstenošanu.</w:t>
            </w:r>
          </w:p>
          <w:p w:rsidR="00981FDE" w:rsidP="00981FDE" w:rsidRDefault="004A2D63" w14:paraId="5E4ACA1B" w14:textId="6DA6BCBB">
            <w:pPr>
              <w:pStyle w:val="Title"/>
              <w:numPr>
                <w:ilvl w:val="0"/>
                <w:numId w:val="2"/>
              </w:numPr>
              <w:spacing w:line="260" w:lineRule="exact"/>
              <w:jc w:val="both"/>
              <w:rPr>
                <w:sz w:val="24"/>
                <w:szCs w:val="24"/>
              </w:rPr>
            </w:pPr>
            <w:r>
              <w:rPr>
                <w:sz w:val="24"/>
                <w:szCs w:val="24"/>
              </w:rPr>
              <w:t xml:space="preserve">2019.gada </w:t>
            </w:r>
            <w:r w:rsidRPr="004A2D63">
              <w:rPr>
                <w:sz w:val="24"/>
                <w:szCs w:val="24"/>
              </w:rPr>
              <w:t xml:space="preserve">20.septembra vēstulē </w:t>
            </w:r>
            <w:r>
              <w:rPr>
                <w:sz w:val="24"/>
                <w:szCs w:val="24"/>
              </w:rPr>
              <w:t xml:space="preserve">RPP </w:t>
            </w:r>
            <w:r w:rsidRPr="004A2D63">
              <w:rPr>
                <w:sz w:val="24"/>
                <w:szCs w:val="24"/>
              </w:rPr>
              <w:t>pauda gatavību atteikties no projekta Nr. 6.1.4.1/18/I/001 īstenošanas</w:t>
            </w:r>
            <w:r>
              <w:rPr>
                <w:sz w:val="24"/>
                <w:szCs w:val="24"/>
              </w:rPr>
              <w:t>.</w:t>
            </w:r>
          </w:p>
          <w:p w:rsidRPr="00B856B2" w:rsidR="004A2D63" w:rsidP="00981FDE" w:rsidRDefault="00B856B2" w14:paraId="5D21AC3E" w14:textId="16058AB3">
            <w:pPr>
              <w:pStyle w:val="Title"/>
              <w:numPr>
                <w:ilvl w:val="0"/>
                <w:numId w:val="2"/>
              </w:numPr>
              <w:spacing w:line="260" w:lineRule="exact"/>
              <w:jc w:val="both"/>
              <w:rPr>
                <w:sz w:val="24"/>
                <w:szCs w:val="24"/>
              </w:rPr>
            </w:pPr>
            <w:r w:rsidRPr="00B856B2">
              <w:rPr>
                <w:sz w:val="24"/>
                <w:szCs w:val="24"/>
              </w:rPr>
              <w:t xml:space="preserve">2019.gada 11.novembra vēstulē RPP lūdza CFLA lauzt vienošanos par ES fondu projekta īstenošanu Nr.6.1.4.1/18/I/001 un informēja, ka piedāvā veikt </w:t>
            </w:r>
            <w:r w:rsidRPr="00B856B2" w:rsidR="004A2D63">
              <w:rPr>
                <w:sz w:val="24"/>
                <w:szCs w:val="24"/>
              </w:rPr>
              <w:t>projektā Nr. 6.1.4.1/18/I/001 saņemtā Kohēzijas fonda finansējuma atmaksu</w:t>
            </w:r>
            <w:r>
              <w:rPr>
                <w:sz w:val="24"/>
                <w:szCs w:val="24"/>
              </w:rPr>
              <w:t xml:space="preserve"> līdz 30.12.2019</w:t>
            </w:r>
            <w:r w:rsidRPr="00B856B2" w:rsidR="00A32D9B">
              <w:rPr>
                <w:sz w:val="24"/>
                <w:szCs w:val="24"/>
              </w:rPr>
              <w:t>.</w:t>
            </w:r>
          </w:p>
          <w:p w:rsidR="00E378CC" w:rsidP="00930FD4" w:rsidRDefault="006D0BFA" w14:paraId="3544671F" w14:textId="77777777">
            <w:pPr>
              <w:pStyle w:val="Title"/>
              <w:numPr>
                <w:ilvl w:val="0"/>
                <w:numId w:val="2"/>
              </w:numPr>
              <w:spacing w:line="260" w:lineRule="exact"/>
              <w:jc w:val="both"/>
              <w:rPr>
                <w:sz w:val="24"/>
                <w:szCs w:val="24"/>
              </w:rPr>
            </w:pPr>
            <w:r>
              <w:rPr>
                <w:sz w:val="24"/>
                <w:szCs w:val="24"/>
              </w:rPr>
              <w:t xml:space="preserve">2019.gada 14.novembrī CFLA saskaņoja </w:t>
            </w:r>
            <w:r w:rsidRPr="00B856B2" w:rsidR="00930FD4">
              <w:rPr>
                <w:sz w:val="24"/>
                <w:szCs w:val="24"/>
              </w:rPr>
              <w:t>projektā Nr. 6.1.4.1/18/I/001 saņemtā Kohēzijas fonda finansējuma atmaks</w:t>
            </w:r>
            <w:r w:rsidR="00930FD4">
              <w:rPr>
                <w:sz w:val="24"/>
                <w:szCs w:val="24"/>
              </w:rPr>
              <w:t xml:space="preserve">as datumu un informēja, </w:t>
            </w:r>
            <w:r w:rsidR="00A32D9B">
              <w:rPr>
                <w:sz w:val="24"/>
                <w:szCs w:val="24"/>
              </w:rPr>
              <w:t xml:space="preserve">ka pēc Kohēzijas fonda finansējuma atmaksas CFLA izbeigs vienošanos </w:t>
            </w:r>
            <w:r w:rsidRPr="00B856B2" w:rsidR="00B856B2">
              <w:rPr>
                <w:sz w:val="24"/>
                <w:szCs w:val="24"/>
              </w:rPr>
              <w:t>par projekta Nr.6.1.4.1/18/I/001</w:t>
            </w:r>
            <w:r w:rsidRPr="00B856B2" w:rsidR="00930FD4">
              <w:rPr>
                <w:sz w:val="24"/>
                <w:szCs w:val="24"/>
              </w:rPr>
              <w:t xml:space="preserve"> īstenošanu</w:t>
            </w:r>
            <w:r w:rsidR="00A32D9B">
              <w:rPr>
                <w:sz w:val="24"/>
                <w:szCs w:val="24"/>
              </w:rPr>
              <w:t>.</w:t>
            </w:r>
          </w:p>
          <w:p w:rsidR="00630BBD" w:rsidP="00930FD4" w:rsidRDefault="00630BBD" w14:paraId="1FCC4DE4" w14:textId="7581DA31">
            <w:pPr>
              <w:pStyle w:val="Title"/>
              <w:numPr>
                <w:ilvl w:val="0"/>
                <w:numId w:val="2"/>
              </w:numPr>
              <w:spacing w:line="260" w:lineRule="exact"/>
              <w:jc w:val="both"/>
              <w:rPr>
                <w:sz w:val="24"/>
                <w:szCs w:val="24"/>
              </w:rPr>
            </w:pPr>
            <w:r>
              <w:rPr>
                <w:sz w:val="24"/>
                <w:szCs w:val="24"/>
              </w:rPr>
              <w:t>2019.gada 9.decembrī</w:t>
            </w:r>
            <w:r w:rsidRPr="00A72BD0" w:rsidR="004A462C">
              <w:rPr>
                <w:color w:val="00B050"/>
                <w:sz w:val="24"/>
                <w:szCs w:val="24"/>
              </w:rPr>
              <w:t xml:space="preserve"> </w:t>
            </w:r>
            <w:r w:rsidRPr="00E33215" w:rsidR="004A462C">
              <w:rPr>
                <w:sz w:val="24"/>
                <w:szCs w:val="24"/>
              </w:rPr>
              <w:t>RPP atmaksāja CFLA līdz šim projektā  “Jāņa Čakstes gatves izbūve no Valdeķu ielas līdz Ziepniekkalna ielai” saņemto Kohēzijas fonda finansējumu</w:t>
            </w:r>
            <w:r w:rsidRPr="00E33215">
              <w:rPr>
                <w:sz w:val="24"/>
                <w:szCs w:val="24"/>
              </w:rPr>
              <w:t>.</w:t>
            </w:r>
          </w:p>
          <w:p w:rsidRPr="00A32D9B" w:rsidR="00630BBD" w:rsidP="00930FD4" w:rsidRDefault="004A462C" w14:paraId="3C96A065" w14:textId="3F1A24C7">
            <w:pPr>
              <w:pStyle w:val="Title"/>
              <w:numPr>
                <w:ilvl w:val="0"/>
                <w:numId w:val="2"/>
              </w:numPr>
              <w:spacing w:line="260" w:lineRule="exact"/>
              <w:jc w:val="both"/>
              <w:rPr>
                <w:sz w:val="24"/>
                <w:szCs w:val="24"/>
              </w:rPr>
            </w:pPr>
            <w:r>
              <w:rPr>
                <w:sz w:val="24"/>
                <w:szCs w:val="24"/>
              </w:rPr>
              <w:t xml:space="preserve">2020.gada </w:t>
            </w:r>
            <w:r w:rsidR="007A0D41">
              <w:rPr>
                <w:sz w:val="24"/>
                <w:szCs w:val="24"/>
              </w:rPr>
              <w:t>16.janvārī RPP</w:t>
            </w:r>
            <w:r w:rsidR="00630BBD">
              <w:rPr>
                <w:sz w:val="24"/>
                <w:szCs w:val="24"/>
              </w:rPr>
              <w:t xml:space="preserve"> </w:t>
            </w:r>
            <w:r w:rsidR="00B217CF">
              <w:rPr>
                <w:sz w:val="24"/>
                <w:szCs w:val="24"/>
              </w:rPr>
              <w:t>parakstī</w:t>
            </w:r>
            <w:r w:rsidR="007A0D41">
              <w:rPr>
                <w:sz w:val="24"/>
                <w:szCs w:val="24"/>
              </w:rPr>
              <w:t>ja</w:t>
            </w:r>
            <w:r w:rsidR="00B217CF">
              <w:rPr>
                <w:sz w:val="24"/>
                <w:szCs w:val="24"/>
              </w:rPr>
              <w:t xml:space="preserve"> vienošanos</w:t>
            </w:r>
            <w:r w:rsidR="00EC37AE">
              <w:rPr>
                <w:sz w:val="24"/>
                <w:szCs w:val="24"/>
              </w:rPr>
              <w:t xml:space="preserve"> ar CFLA</w:t>
            </w:r>
            <w:r w:rsidR="002B2061">
              <w:rPr>
                <w:sz w:val="24"/>
                <w:szCs w:val="24"/>
              </w:rPr>
              <w:t>, izbeidzot 2018.gada 12.jūlijā noslēgto vienošanos</w:t>
            </w:r>
            <w:r w:rsidR="00B217CF">
              <w:rPr>
                <w:sz w:val="24"/>
                <w:szCs w:val="24"/>
              </w:rPr>
              <w:t xml:space="preserve"> par </w:t>
            </w:r>
            <w:r w:rsidR="008A74E7">
              <w:rPr>
                <w:sz w:val="24"/>
                <w:szCs w:val="24"/>
              </w:rPr>
              <w:t xml:space="preserve">ES fondu projekta </w:t>
            </w:r>
            <w:r w:rsidRPr="00B856B2" w:rsidR="008A74E7">
              <w:rPr>
                <w:sz w:val="24"/>
                <w:szCs w:val="24"/>
              </w:rPr>
              <w:t>Nr.</w:t>
            </w:r>
            <w:r w:rsidR="008A74E7">
              <w:rPr>
                <w:sz w:val="24"/>
                <w:szCs w:val="24"/>
              </w:rPr>
              <w:t> </w:t>
            </w:r>
            <w:r w:rsidRPr="00B856B2" w:rsidR="008A74E7">
              <w:rPr>
                <w:sz w:val="24"/>
                <w:szCs w:val="24"/>
              </w:rPr>
              <w:t>6.1.4.1/18/I/001</w:t>
            </w:r>
            <w:r w:rsidR="008A74E7">
              <w:rPr>
                <w:sz w:val="24"/>
                <w:szCs w:val="24"/>
              </w:rPr>
              <w:t xml:space="preserve"> </w:t>
            </w:r>
            <w:r w:rsidR="002B2061">
              <w:rPr>
                <w:sz w:val="24"/>
                <w:szCs w:val="24"/>
              </w:rPr>
              <w:t>īstenošanu</w:t>
            </w:r>
            <w:r w:rsidR="008A74E7">
              <w:rPr>
                <w:sz w:val="24"/>
                <w:szCs w:val="24"/>
              </w:rPr>
              <w:t>.</w:t>
            </w:r>
          </w:p>
        </w:tc>
      </w:tr>
    </w:tbl>
    <w:p w:rsidR="00895A59" w:rsidP="00366023" w:rsidRDefault="00895A59" w14:paraId="301EFF0B" w14:textId="1E0DEEB6">
      <w:pPr>
        <w:pStyle w:val="Title"/>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54"/>
        <w:gridCol w:w="1983"/>
        <w:gridCol w:w="5925"/>
      </w:tblGrid>
      <w:tr w:rsidRPr="00996725" w:rsidR="00E378CC" w:rsidTr="00E378CC" w14:paraId="345F0A75" w14:textId="77777777">
        <w:tc>
          <w:tcPr>
            <w:tcW w:w="5000" w:type="pct"/>
            <w:gridSpan w:val="3"/>
            <w:shd w:val="clear" w:color="auto" w:fill="FFFFFF"/>
          </w:tcPr>
          <w:p w:rsidRPr="00996725" w:rsidR="00E378CC" w:rsidP="00E378CC" w:rsidRDefault="00E378CC" w14:paraId="63DD1AEE" w14:textId="1BE20CE2">
            <w:pPr>
              <w:jc w:val="center"/>
              <w:rPr>
                <w:i/>
                <w:iCs/>
                <w:lang w:eastAsia="en-US"/>
              </w:rPr>
            </w:pPr>
            <w:r w:rsidRPr="005511D3">
              <w:rPr>
                <w:b/>
              </w:rPr>
              <w:t>II. Tiesību akta projekta ietekme uz sabiedrību, tautsaimniecības attīstību un administratīvo slogu</w:t>
            </w:r>
          </w:p>
        </w:tc>
      </w:tr>
      <w:tr w:rsidRPr="00996725" w:rsidR="00E378CC" w:rsidTr="00E378CC" w14:paraId="750DEE11" w14:textId="77777777">
        <w:tc>
          <w:tcPr>
            <w:tcW w:w="271" w:type="pct"/>
            <w:shd w:val="clear" w:color="auto" w:fill="FFFFFF"/>
          </w:tcPr>
          <w:p w:rsidRPr="00996725" w:rsidR="00E378CC" w:rsidP="00E378CC" w:rsidRDefault="00E378CC" w14:paraId="4EB4D909" w14:textId="5781E706">
            <w:pPr>
              <w:jc w:val="center"/>
              <w:rPr>
                <w:iCs/>
                <w:lang w:eastAsia="en-US"/>
              </w:rPr>
            </w:pPr>
            <w:r w:rsidRPr="008B5F77">
              <w:t>1.</w:t>
            </w:r>
          </w:p>
        </w:tc>
        <w:tc>
          <w:tcPr>
            <w:tcW w:w="1186" w:type="pct"/>
            <w:shd w:val="clear" w:color="auto" w:fill="FFFFFF"/>
          </w:tcPr>
          <w:p w:rsidRPr="00996725" w:rsidR="00E378CC" w:rsidP="00E378CC" w:rsidRDefault="00E378CC" w14:paraId="0AF71A78" w14:textId="2D88AA6C">
            <w:pPr>
              <w:rPr>
                <w:iCs/>
                <w:lang w:eastAsia="en-US"/>
              </w:rPr>
            </w:pPr>
            <w:r w:rsidRPr="008B5F77">
              <w:t>Sabiedrības mērķgrupas, kuras tiesiskais regulējums ietekmē vai varētu ietekmēt</w:t>
            </w:r>
          </w:p>
        </w:tc>
        <w:tc>
          <w:tcPr>
            <w:tcW w:w="3543" w:type="pct"/>
            <w:shd w:val="clear" w:color="auto" w:fill="FFFFFF"/>
          </w:tcPr>
          <w:p w:rsidRPr="00996725" w:rsidR="00E378CC" w:rsidP="00882922" w:rsidRDefault="00D70EA6" w14:paraId="44BF2C29" w14:textId="05094B0B">
            <w:pPr>
              <w:jc w:val="both"/>
              <w:rPr>
                <w:i/>
                <w:iCs/>
                <w:lang w:eastAsia="en-US"/>
              </w:rPr>
            </w:pPr>
            <w:r>
              <w:t>Noteikumu p</w:t>
            </w:r>
            <w:r w:rsidRPr="008B5F77" w:rsidR="00E378CC">
              <w:t xml:space="preserve">rojekta tiesiskais regulējums attiecas uz </w:t>
            </w:r>
            <w:r w:rsidR="00E378CC">
              <w:t xml:space="preserve">Rīgas pilsētas pašvaldību, kas </w:t>
            </w:r>
            <w:r w:rsidRPr="003E26E5" w:rsidR="00E378CC">
              <w:t>6.1.</w:t>
            </w:r>
            <w:r w:rsidR="00A32D9B">
              <w:t>4.1</w:t>
            </w:r>
            <w:r w:rsidRPr="003E26E5" w:rsidR="00E378CC">
              <w:t>.</w:t>
            </w:r>
            <w:r w:rsidR="00E378CC">
              <w:t> </w:t>
            </w:r>
            <w:r w:rsidRPr="003E26E5" w:rsidR="00E378CC">
              <w:t>pasākuma projektu iesniegumu atlas</w:t>
            </w:r>
            <w:r w:rsidR="00E378CC">
              <w:t xml:space="preserve">ē </w:t>
            </w:r>
            <w:r w:rsidR="00A32D9B">
              <w:t>īsteno projektu “Jāņa Čakstes gatves izbūve no Valdeķu ielas līdz Ziepniekkalna ielai”</w:t>
            </w:r>
            <w:r w:rsidRPr="008B5F77" w:rsidR="00E378CC">
              <w:t>.</w:t>
            </w:r>
            <w:r w:rsidR="00E378CC">
              <w:t xml:space="preserve"> </w:t>
            </w:r>
          </w:p>
        </w:tc>
      </w:tr>
      <w:tr w:rsidRPr="00996725" w:rsidR="00E378CC" w:rsidTr="00E378CC" w14:paraId="37F3DA2A" w14:textId="77777777">
        <w:tc>
          <w:tcPr>
            <w:tcW w:w="271" w:type="pct"/>
            <w:shd w:val="clear" w:color="auto" w:fill="FFFFFF"/>
          </w:tcPr>
          <w:p w:rsidRPr="00996725" w:rsidR="00E378CC" w:rsidP="00E378CC" w:rsidRDefault="00E378CC" w14:paraId="3437E2B7" w14:textId="3BED35AD">
            <w:pPr>
              <w:jc w:val="center"/>
              <w:rPr>
                <w:iCs/>
                <w:lang w:eastAsia="en-US"/>
              </w:rPr>
            </w:pPr>
            <w:r w:rsidRPr="008B5F77">
              <w:t>2.</w:t>
            </w:r>
          </w:p>
        </w:tc>
        <w:tc>
          <w:tcPr>
            <w:tcW w:w="1186" w:type="pct"/>
            <w:shd w:val="clear" w:color="auto" w:fill="FFFFFF"/>
          </w:tcPr>
          <w:p w:rsidRPr="00996725" w:rsidR="00E378CC" w:rsidP="00E378CC" w:rsidRDefault="00E378CC" w14:paraId="5F016111" w14:textId="1630F927">
            <w:pPr>
              <w:rPr>
                <w:iCs/>
                <w:lang w:eastAsia="en-US"/>
              </w:rPr>
            </w:pPr>
            <w:r w:rsidRPr="008B5F77">
              <w:t>Tiesiskā regulējuma ietekme uz tautsaimniecību un administratīvo slogu</w:t>
            </w:r>
          </w:p>
        </w:tc>
        <w:tc>
          <w:tcPr>
            <w:tcW w:w="3543" w:type="pct"/>
            <w:shd w:val="clear" w:color="auto" w:fill="FFFFFF"/>
          </w:tcPr>
          <w:p w:rsidRPr="00996725" w:rsidR="00E378CC" w:rsidP="00882922" w:rsidRDefault="00B856B2" w14:paraId="52F5BA2B" w14:textId="4F29D552">
            <w:pPr>
              <w:jc w:val="both"/>
              <w:rPr>
                <w:i/>
                <w:iCs/>
                <w:lang w:eastAsia="en-US"/>
              </w:rPr>
            </w:pPr>
            <w:r w:rsidRPr="00B856B2">
              <w:t>Sabiedrības grupām un institūcijām projekta tiesiskais regulējums nemaina tiesības un pienākumus, kā arī veicamās darbības, līdz ar to netiek radīts papildu administratīvais slogs.</w:t>
            </w:r>
          </w:p>
        </w:tc>
      </w:tr>
      <w:tr w:rsidRPr="00996725" w:rsidR="00E378CC" w:rsidTr="00E378CC" w14:paraId="5ADD735C" w14:textId="77777777">
        <w:tc>
          <w:tcPr>
            <w:tcW w:w="271" w:type="pct"/>
            <w:shd w:val="clear" w:color="auto" w:fill="FFFFFF"/>
          </w:tcPr>
          <w:p w:rsidRPr="00996725" w:rsidR="00E378CC" w:rsidP="00E378CC" w:rsidRDefault="00E378CC" w14:paraId="42A191CC" w14:textId="0FF44747">
            <w:pPr>
              <w:jc w:val="center"/>
              <w:rPr>
                <w:iCs/>
                <w:lang w:eastAsia="en-US"/>
              </w:rPr>
            </w:pPr>
            <w:r w:rsidRPr="008B5F77">
              <w:t>3.</w:t>
            </w:r>
          </w:p>
        </w:tc>
        <w:tc>
          <w:tcPr>
            <w:tcW w:w="1186" w:type="pct"/>
            <w:shd w:val="clear" w:color="auto" w:fill="FFFFFF"/>
          </w:tcPr>
          <w:p w:rsidRPr="00996725" w:rsidR="00E378CC" w:rsidP="00E378CC" w:rsidRDefault="00E378CC" w14:paraId="4B632370" w14:textId="295F1AC7">
            <w:pPr>
              <w:rPr>
                <w:iCs/>
                <w:lang w:eastAsia="en-US"/>
              </w:rPr>
            </w:pPr>
            <w:r w:rsidRPr="008B5F77">
              <w:t>Administratīvo izmaksu monetārs novērtējums</w:t>
            </w:r>
          </w:p>
        </w:tc>
        <w:tc>
          <w:tcPr>
            <w:tcW w:w="3543" w:type="pct"/>
            <w:shd w:val="clear" w:color="auto" w:fill="FFFFFF"/>
          </w:tcPr>
          <w:p w:rsidRPr="00996725" w:rsidR="00E378CC" w:rsidP="00E378CC" w:rsidRDefault="00E378CC" w14:paraId="355361D8" w14:textId="40930FAC">
            <w:pPr>
              <w:rPr>
                <w:i/>
                <w:iCs/>
                <w:lang w:eastAsia="en-US"/>
              </w:rPr>
            </w:pPr>
            <w:r w:rsidRPr="008B5F77">
              <w:t>Projekts šo jomu neskar</w:t>
            </w:r>
            <w:r>
              <w:t>.</w:t>
            </w:r>
          </w:p>
        </w:tc>
      </w:tr>
      <w:tr w:rsidRPr="00996725" w:rsidR="00E378CC" w:rsidTr="00E378CC" w14:paraId="5ADA5533" w14:textId="77777777">
        <w:tc>
          <w:tcPr>
            <w:tcW w:w="271" w:type="pct"/>
            <w:shd w:val="clear" w:color="auto" w:fill="FFFFFF"/>
          </w:tcPr>
          <w:p w:rsidRPr="00996725" w:rsidR="00E378CC" w:rsidP="00E378CC" w:rsidRDefault="00E378CC" w14:paraId="7660DD78" w14:textId="64CD08FB">
            <w:pPr>
              <w:jc w:val="center"/>
              <w:rPr>
                <w:iCs/>
                <w:lang w:eastAsia="en-US"/>
              </w:rPr>
            </w:pPr>
            <w:r w:rsidRPr="008B5F77">
              <w:t>4.</w:t>
            </w:r>
          </w:p>
        </w:tc>
        <w:tc>
          <w:tcPr>
            <w:tcW w:w="1186" w:type="pct"/>
            <w:shd w:val="clear" w:color="auto" w:fill="FFFFFF"/>
          </w:tcPr>
          <w:p w:rsidRPr="00996725" w:rsidR="00E378CC" w:rsidP="00E378CC" w:rsidRDefault="00E378CC" w14:paraId="7D1D3176" w14:textId="28DE7AAC">
            <w:pPr>
              <w:rPr>
                <w:iCs/>
                <w:lang w:eastAsia="en-US"/>
              </w:rPr>
            </w:pPr>
            <w:r w:rsidRPr="008B5F77">
              <w:t>Atbilstības izmaksu monetārs novērtējums</w:t>
            </w:r>
          </w:p>
        </w:tc>
        <w:tc>
          <w:tcPr>
            <w:tcW w:w="3543" w:type="pct"/>
            <w:shd w:val="clear" w:color="auto" w:fill="FFFFFF"/>
          </w:tcPr>
          <w:p w:rsidRPr="00996725" w:rsidR="00E378CC" w:rsidP="00E378CC" w:rsidRDefault="00E378CC" w14:paraId="63FF7938" w14:textId="7A14EB21">
            <w:pPr>
              <w:rPr>
                <w:i/>
                <w:iCs/>
                <w:lang w:eastAsia="en-US"/>
              </w:rPr>
            </w:pPr>
            <w:r w:rsidRPr="008B5F77">
              <w:t>Projekts šo jomu neskar</w:t>
            </w:r>
            <w:r>
              <w:t>.</w:t>
            </w:r>
          </w:p>
        </w:tc>
      </w:tr>
      <w:tr w:rsidRPr="00996725" w:rsidR="00E378CC" w:rsidTr="00E378CC" w14:paraId="66872CC1" w14:textId="77777777">
        <w:tc>
          <w:tcPr>
            <w:tcW w:w="271" w:type="pct"/>
            <w:shd w:val="clear" w:color="auto" w:fill="FFFFFF"/>
          </w:tcPr>
          <w:p w:rsidRPr="00996725" w:rsidR="00E378CC" w:rsidP="00E378CC" w:rsidRDefault="00E378CC" w14:paraId="3DADF2BE" w14:textId="0F8D383E">
            <w:pPr>
              <w:jc w:val="center"/>
              <w:rPr>
                <w:iCs/>
                <w:lang w:eastAsia="en-US"/>
              </w:rPr>
            </w:pPr>
            <w:r w:rsidRPr="008B5F77">
              <w:t>5.</w:t>
            </w:r>
          </w:p>
        </w:tc>
        <w:tc>
          <w:tcPr>
            <w:tcW w:w="1186" w:type="pct"/>
            <w:shd w:val="clear" w:color="auto" w:fill="FFFFFF"/>
          </w:tcPr>
          <w:p w:rsidRPr="00996725" w:rsidR="00E378CC" w:rsidP="00E378CC" w:rsidRDefault="00E378CC" w14:paraId="554642C8" w14:textId="37B361B0">
            <w:pPr>
              <w:rPr>
                <w:iCs/>
                <w:lang w:eastAsia="en-US"/>
              </w:rPr>
            </w:pPr>
            <w:r w:rsidRPr="008B5F77">
              <w:t>Cita informācija</w:t>
            </w:r>
          </w:p>
        </w:tc>
        <w:tc>
          <w:tcPr>
            <w:tcW w:w="3543" w:type="pct"/>
            <w:shd w:val="clear" w:color="auto" w:fill="FFFFFF"/>
          </w:tcPr>
          <w:p w:rsidRPr="00996725" w:rsidR="00E378CC" w:rsidP="00E378CC" w:rsidRDefault="00E378CC" w14:paraId="037CD1BF" w14:textId="77B77B7E">
            <w:pPr>
              <w:rPr>
                <w:i/>
                <w:iCs/>
                <w:lang w:eastAsia="en-US"/>
              </w:rPr>
            </w:pPr>
            <w:r w:rsidRPr="008B5F77">
              <w:t>Nav</w:t>
            </w:r>
            <w:r>
              <w:t>.</w:t>
            </w:r>
          </w:p>
        </w:tc>
      </w:tr>
    </w:tbl>
    <w:p w:rsidR="00A633B9" w:rsidP="00366023" w:rsidRDefault="00A633B9" w14:paraId="3F51E840" w14:textId="77777777">
      <w:pPr>
        <w:pStyle w:val="Title"/>
        <w:spacing w:before="130" w:line="260" w:lineRule="exact"/>
        <w:jc w:val="both"/>
        <w:rPr>
          <w:sz w:val="24"/>
          <w:szCs w:val="24"/>
        </w:rPr>
      </w:pPr>
    </w:p>
    <w:tbl>
      <w:tblPr>
        <w:tblW w:w="8372" w:type="dxa"/>
        <w:tblInd w:w="22"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372"/>
      </w:tblGrid>
      <w:tr w:rsidRPr="00BC2633" w:rsidR="00895A59" w:rsidTr="008B5F77" w14:paraId="065AD6D1" w14:textId="77777777">
        <w:trPr>
          <w:trHeight w:val="360"/>
        </w:trPr>
        <w:tc>
          <w:tcPr>
            <w:tcW w:w="8372" w:type="dxa"/>
            <w:tcBorders>
              <w:top w:val="single" w:color="auto" w:sz="4" w:space="0"/>
              <w:left w:val="outset" w:color="414142" w:sz="6" w:space="0"/>
              <w:bottom w:val="outset" w:color="414142" w:sz="6" w:space="0"/>
              <w:right w:val="outset" w:color="414142" w:sz="6" w:space="0"/>
            </w:tcBorders>
            <w:vAlign w:val="center"/>
            <w:hideMark/>
          </w:tcPr>
          <w:p w:rsidRPr="00BC2633" w:rsidR="00895A59" w:rsidP="00895A59" w:rsidRDefault="00895A59" w14:paraId="3FA3B4C6" w14:textId="77777777">
            <w:pPr>
              <w:ind w:firstLine="300"/>
              <w:jc w:val="center"/>
              <w:rPr>
                <w:b/>
                <w:bCs/>
              </w:rPr>
            </w:pPr>
            <w:r w:rsidRPr="00BC2633">
              <w:rPr>
                <w:b/>
                <w:bCs/>
              </w:rPr>
              <w:t>III. Tiesību akta projekta ietekme uz valsts budžetu un pašvaldību budžetiem</w:t>
            </w:r>
          </w:p>
        </w:tc>
      </w:tr>
      <w:tr w:rsidRPr="00BC2633" w:rsidR="00895A59" w:rsidTr="008B5F77" w14:paraId="3930E336" w14:textId="77777777">
        <w:trPr>
          <w:trHeight w:val="360"/>
        </w:trPr>
        <w:tc>
          <w:tcPr>
            <w:tcW w:w="8372" w:type="dxa"/>
            <w:tcBorders>
              <w:top w:val="single" w:color="auto" w:sz="4" w:space="0"/>
              <w:left w:val="outset" w:color="414142" w:sz="6" w:space="0"/>
              <w:bottom w:val="outset" w:color="414142" w:sz="6" w:space="0"/>
              <w:right w:val="outset" w:color="414142" w:sz="6" w:space="0"/>
            </w:tcBorders>
            <w:vAlign w:val="center"/>
          </w:tcPr>
          <w:p w:rsidRPr="00BC2633" w:rsidR="00895A59" w:rsidP="00895A59" w:rsidRDefault="00895A59" w14:paraId="65EFBCF5" w14:textId="77777777">
            <w:pPr>
              <w:ind w:firstLine="300"/>
              <w:jc w:val="center"/>
              <w:rPr>
                <w:b/>
                <w:bCs/>
              </w:rPr>
            </w:pPr>
            <w:r w:rsidRPr="00F218F6">
              <w:t>Projekts šo jomu neskar</w:t>
            </w:r>
            <w:r>
              <w:t>.</w:t>
            </w:r>
          </w:p>
        </w:tc>
      </w:tr>
    </w:tbl>
    <w:p w:rsidR="00895A59" w:rsidP="00895A59" w:rsidRDefault="00895A59" w14:paraId="23897126"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7"/>
        <w:gridCol w:w="1983"/>
        <w:gridCol w:w="5926"/>
      </w:tblGrid>
      <w:tr w:rsidRPr="00BC2633" w:rsidR="00895A59" w:rsidTr="009543EA" w14:paraId="5F08ED0D"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895A59" w:rsidP="009543EA" w:rsidRDefault="00895A59" w14:paraId="6AC6932C" w14:textId="77777777">
            <w:pPr>
              <w:ind w:firstLine="300"/>
              <w:jc w:val="center"/>
              <w:rPr>
                <w:b/>
                <w:bCs/>
              </w:rPr>
            </w:pPr>
            <w:r w:rsidRPr="00BC2633">
              <w:rPr>
                <w:b/>
                <w:bCs/>
              </w:rPr>
              <w:t>IV. Tiesību akta projekta ietekme uz spēkā esošo tiesību normu sistēmu</w:t>
            </w:r>
          </w:p>
        </w:tc>
      </w:tr>
      <w:tr w:rsidRPr="00BC2633" w:rsidR="00DB6F65" w:rsidTr="00054143" w14:paraId="2E8E1FE5" w14:textId="77777777">
        <w:trPr>
          <w:trHeight w:val="450"/>
        </w:trPr>
        <w:tc>
          <w:tcPr>
            <w:tcW w:w="273" w:type="pct"/>
            <w:tcBorders>
              <w:top w:val="outset" w:color="414142" w:sz="6" w:space="0"/>
              <w:left w:val="outset" w:color="414142" w:sz="6" w:space="0"/>
              <w:bottom w:val="outset" w:color="414142" w:sz="6" w:space="0"/>
              <w:right w:val="outset" w:color="414142" w:sz="6" w:space="0"/>
            </w:tcBorders>
            <w:vAlign w:val="center"/>
          </w:tcPr>
          <w:p w:rsidRPr="00DB6F65" w:rsidR="00DB6F65" w:rsidP="00DB6F65" w:rsidRDefault="00DB6F65" w14:paraId="0954E7B1" w14:textId="78EFC7BE">
            <w:r w:rsidRPr="00DB6F65">
              <w:t>1.</w:t>
            </w:r>
          </w:p>
        </w:tc>
        <w:tc>
          <w:tcPr>
            <w:tcW w:w="1185" w:type="pct"/>
            <w:tcBorders>
              <w:top w:val="outset" w:color="414142" w:sz="6" w:space="0"/>
              <w:left w:val="outset" w:color="414142" w:sz="6" w:space="0"/>
              <w:bottom w:val="outset" w:color="414142" w:sz="6" w:space="0"/>
              <w:right w:val="outset" w:color="414142" w:sz="6" w:space="0"/>
            </w:tcBorders>
            <w:vAlign w:val="center"/>
          </w:tcPr>
          <w:p w:rsidRPr="00DB6F65" w:rsidR="00DB6F65" w:rsidP="00DB6F65" w:rsidRDefault="00142446" w14:paraId="19493543" w14:textId="5734B1B5">
            <w:r w:rsidRPr="00142446">
              <w:t>Saistītie tiesību aktu projekti</w:t>
            </w:r>
          </w:p>
        </w:tc>
        <w:tc>
          <w:tcPr>
            <w:tcW w:w="3542" w:type="pct"/>
            <w:tcBorders>
              <w:top w:val="outset" w:color="414142" w:sz="6" w:space="0"/>
              <w:left w:val="outset" w:color="414142" w:sz="6" w:space="0"/>
              <w:bottom w:val="outset" w:color="414142" w:sz="6" w:space="0"/>
              <w:right w:val="outset" w:color="414142" w:sz="6" w:space="0"/>
            </w:tcBorders>
            <w:vAlign w:val="center"/>
          </w:tcPr>
          <w:p w:rsidRPr="00613930" w:rsidR="00613930" w:rsidP="00613930" w:rsidRDefault="00613930" w14:paraId="04237C2D" w14:textId="77777777">
            <w:pPr>
              <w:spacing w:after="120"/>
              <w:jc w:val="both"/>
            </w:pPr>
            <w:r w:rsidRPr="00613930">
              <w:rPr>
                <w:bCs/>
              </w:rPr>
              <w:t xml:space="preserve">Ar noteikumu projektā ierosinātajiem grozījumiem </w:t>
            </w:r>
            <w:r w:rsidRPr="00613930">
              <w:t>MK noteikumos Nr. 173 ir saistīti grozījumi:</w:t>
            </w:r>
          </w:p>
          <w:p w:rsidR="00613930" w:rsidP="00613930" w:rsidRDefault="00A33FCE" w14:paraId="419D6ACF" w14:textId="74724F66">
            <w:pPr>
              <w:pStyle w:val="ListParagraph"/>
              <w:numPr>
                <w:ilvl w:val="0"/>
                <w:numId w:val="17"/>
              </w:numPr>
              <w:spacing w:after="120"/>
              <w:jc w:val="both"/>
            </w:pPr>
            <w:r>
              <w:t>MK</w:t>
            </w:r>
            <w:r w:rsidRPr="00613930" w:rsidR="00613930">
              <w:t xml:space="preserve"> 2016. gada 30. augusta noteikumos Nr. 587 Darbības programmas "Izaugsme un nodarbinātība" 6.1.4. specifiskā atbalsta mērķa "Pilsētu infrastruktūras sasaiste ar TEN-T tīklu" 6.1.4.2. pasākuma "Nacionālas nozīmes attīstības centru integrēšana TEN-T tīklā" īstenošanas noteikumi" (turpmāk – grozījumi 6.1.4.2.pasākumā), kas ir </w:t>
            </w:r>
            <w:r w:rsidR="00AB2265">
              <w:t>izsludināti</w:t>
            </w:r>
            <w:r w:rsidRPr="00613930" w:rsidR="00613930">
              <w:t xml:space="preserve"> Valsts sekretāru sanāksmē 2020.gada 16.janvārī (prot.Nr.3, 12.§).</w:t>
            </w:r>
            <w:r w:rsidR="00364B39">
              <w:t xml:space="preserve"> Grozījumi 6.1.4.2.pasākumā nepieciešami, </w:t>
            </w:r>
            <w:r w:rsidR="009273C0">
              <w:t>lai atbilstoši darbības programmai 6.1.4.SAM ietvaros nodrošinātu iznākuma un rezultāta rādītāju sasniegšanu.</w:t>
            </w:r>
            <w:r w:rsidR="00364B39">
              <w:t xml:space="preserve"> </w:t>
            </w:r>
            <w:r w:rsidR="009273C0">
              <w:t>Atzīstot</w:t>
            </w:r>
            <w:r w:rsidRPr="00364B39" w:rsidR="00364B39">
              <w:t xml:space="preserve"> MK noteikum</w:t>
            </w:r>
            <w:r w:rsidR="009273C0">
              <w:t>us</w:t>
            </w:r>
            <w:r w:rsidRPr="00364B39" w:rsidR="00364B39">
              <w:t xml:space="preserve"> Nr.173 par spēku zaudējušiem, netiks sasniegts 6.1.4.1. pasākuma iznākuma rādītājs </w:t>
            </w:r>
            <w:r w:rsidR="00574118">
              <w:t>(</w:t>
            </w:r>
            <w:r w:rsidRPr="00364B39" w:rsidR="00364B39">
              <w:t>4 km</w:t>
            </w:r>
            <w:r w:rsidR="00574118">
              <w:t>)</w:t>
            </w:r>
            <w:r w:rsidRPr="00364B39" w:rsidR="00364B39">
              <w:t xml:space="preserve"> un rezultāta rādītājs </w:t>
            </w:r>
            <w:r w:rsidR="00574118">
              <w:t>(</w:t>
            </w:r>
            <w:r w:rsidRPr="00364B39" w:rsidR="00364B39">
              <w:t>viena pilsēta</w:t>
            </w:r>
            <w:r w:rsidR="00574118">
              <w:t>)</w:t>
            </w:r>
            <w:r w:rsidRPr="00364B39" w:rsidR="00364B39">
              <w:t>.</w:t>
            </w:r>
            <w:r w:rsidR="00364B39">
              <w:t xml:space="preserve"> Grozījumi 6.1.4.2.pasākumā paredz, ka </w:t>
            </w:r>
            <w:r w:rsidRPr="00364B39" w:rsidR="00364B39">
              <w:t>6.1.4.1.pasākuma ietvaros plānot</w:t>
            </w:r>
            <w:r w:rsidR="009273C0">
              <w:t>ais</w:t>
            </w:r>
            <w:r w:rsidRPr="00364B39" w:rsidR="00364B39">
              <w:t xml:space="preserve"> iznākuma rādītājs </w:t>
            </w:r>
            <w:r w:rsidR="009273C0">
              <w:t>(</w:t>
            </w:r>
            <w:r w:rsidRPr="00364B39" w:rsidR="00364B39">
              <w:t>4 km</w:t>
            </w:r>
            <w:r w:rsidR="009273C0">
              <w:t>)</w:t>
            </w:r>
            <w:r w:rsidRPr="00364B39" w:rsidR="00364B39">
              <w:t xml:space="preserve"> un rezultāta rādītājs </w:t>
            </w:r>
            <w:r w:rsidR="009273C0">
              <w:t>(</w:t>
            </w:r>
            <w:r w:rsidRPr="00364B39" w:rsidR="00364B39">
              <w:t>viena pilsēta</w:t>
            </w:r>
            <w:r w:rsidR="009273C0">
              <w:t>)</w:t>
            </w:r>
            <w:r w:rsidRPr="00364B39" w:rsidR="00364B39">
              <w:t xml:space="preserve"> </w:t>
            </w:r>
            <w:r w:rsidR="00364B39">
              <w:t xml:space="preserve">tiek </w:t>
            </w:r>
            <w:r w:rsidR="009273C0">
              <w:t>pievienoti pie</w:t>
            </w:r>
            <w:r w:rsidRPr="00364B39" w:rsidR="00364B39">
              <w:t xml:space="preserve"> 6.1.4.2.pasākuma ietvaros sasniedzamaj</w:t>
            </w:r>
            <w:r w:rsidR="009273C0">
              <w:t>iem</w:t>
            </w:r>
            <w:r w:rsidRPr="00364B39" w:rsidR="00364B39">
              <w:t xml:space="preserve"> rādītāj</w:t>
            </w:r>
            <w:r w:rsidR="009273C0">
              <w:t>iem</w:t>
            </w:r>
            <w:r w:rsidR="00364B39">
              <w:t>.</w:t>
            </w:r>
          </w:p>
          <w:p w:rsidRPr="00DB6F65" w:rsidR="00DF6FE0" w:rsidP="00613930" w:rsidRDefault="00C778B3" w14:paraId="747B057A" w14:textId="774258CA">
            <w:pPr>
              <w:pStyle w:val="ListParagraph"/>
              <w:numPr>
                <w:ilvl w:val="0"/>
                <w:numId w:val="17"/>
              </w:numPr>
              <w:spacing w:after="120"/>
              <w:jc w:val="both"/>
            </w:pPr>
            <w:r w:rsidRPr="00C778B3">
              <w:rPr>
                <w:bCs/>
              </w:rPr>
              <w:lastRenderedPageBreak/>
              <w:t xml:space="preserve">Grozījumi </w:t>
            </w:r>
            <w:r w:rsidR="00A33FCE">
              <w:rPr>
                <w:bCs/>
              </w:rPr>
              <w:t>MK</w:t>
            </w:r>
            <w:bookmarkStart w:name="_GoBack" w:id="3"/>
            <w:bookmarkEnd w:id="3"/>
            <w:r w:rsidRPr="00C778B3">
              <w:rPr>
                <w:bCs/>
              </w:rPr>
              <w:t xml:space="preserve"> 2016.</w:t>
            </w:r>
            <w:r w:rsidR="003632E3">
              <w:rPr>
                <w:bCs/>
              </w:rPr>
              <w:t> </w:t>
            </w:r>
            <w:r w:rsidRPr="00C778B3">
              <w:rPr>
                <w:bCs/>
              </w:rPr>
              <w:t>gada 3.</w:t>
            </w:r>
            <w:r w:rsidR="003632E3">
              <w:rPr>
                <w:bCs/>
              </w:rPr>
              <w:t> </w:t>
            </w:r>
            <w:r w:rsidRPr="00C778B3">
              <w:rPr>
                <w:bCs/>
              </w:rPr>
              <w:t>maija noteikumos Nr. 281 "Darbības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rsidR="003632E3">
              <w:rPr>
                <w:bCs/>
              </w:rPr>
              <w:t xml:space="preserve"> (</w:t>
            </w:r>
            <w:r w:rsidRPr="00613930" w:rsidR="003632E3">
              <w:t xml:space="preserve">turpmāk – grozījumi </w:t>
            </w:r>
            <w:r w:rsidR="003632E3">
              <w:t>4.5.1.1</w:t>
            </w:r>
            <w:r w:rsidRPr="00613930" w:rsidR="003632E3">
              <w:t>.pasākumā</w:t>
            </w:r>
            <w:r w:rsidR="003632E3">
              <w:t>)</w:t>
            </w:r>
            <w:r w:rsidRPr="00C778B3" w:rsidR="00613930">
              <w:rPr>
                <w:bCs/>
              </w:rPr>
              <w:t>.</w:t>
            </w:r>
            <w:r w:rsidR="00D46C0B">
              <w:rPr>
                <w:bCs/>
              </w:rPr>
              <w:t xml:space="preserve"> Grozījum</w:t>
            </w:r>
            <w:r w:rsidR="00AB2265">
              <w:rPr>
                <w:bCs/>
              </w:rPr>
              <w:t>i</w:t>
            </w:r>
            <w:r w:rsidR="00D46C0B">
              <w:rPr>
                <w:bCs/>
              </w:rPr>
              <w:t xml:space="preserve"> 4.5.1.1.pasākumā </w:t>
            </w:r>
            <w:r w:rsidR="00AB2265">
              <w:rPr>
                <w:bCs/>
              </w:rPr>
              <w:t>ir</w:t>
            </w:r>
            <w:r w:rsidRPr="00D46C0B" w:rsidR="00D46C0B">
              <w:rPr>
                <w:bCs/>
              </w:rPr>
              <w:t xml:space="preserve"> izsludināt</w:t>
            </w:r>
            <w:r w:rsidR="00AB2265">
              <w:rPr>
                <w:bCs/>
              </w:rPr>
              <w:t>i</w:t>
            </w:r>
            <w:r w:rsidRPr="00D46C0B" w:rsidR="00D46C0B">
              <w:rPr>
                <w:bCs/>
              </w:rPr>
              <w:t xml:space="preserve"> Valsts sekretāru sanāksmē 2020.gada </w:t>
            </w:r>
            <w:r w:rsidR="00AB2265">
              <w:rPr>
                <w:bCs/>
              </w:rPr>
              <w:t>5.</w:t>
            </w:r>
            <w:r w:rsidRPr="00D46C0B" w:rsidR="00D46C0B">
              <w:rPr>
                <w:bCs/>
              </w:rPr>
              <w:t>martā</w:t>
            </w:r>
            <w:r w:rsidRPr="00613930" w:rsidR="00613930">
              <w:t>.</w:t>
            </w:r>
            <w:r w:rsidR="003632E3">
              <w:t xml:space="preserve"> </w:t>
            </w:r>
            <w:r w:rsidR="00164AB3">
              <w:t xml:space="preserve">Grozījumi 4.5.1.1.pasākumā nepieciešami, lai nodrošinātu </w:t>
            </w:r>
            <w:r w:rsidRPr="006303DB" w:rsidR="00164AB3">
              <w:t>darbības programmā noteikt</w:t>
            </w:r>
            <w:r w:rsidR="00164AB3">
              <w:t>o</w:t>
            </w:r>
            <w:r w:rsidRPr="006303DB" w:rsidR="00164AB3">
              <w:t xml:space="preserve"> 4.5.1. specifiskā atbalsta mērķa "Attīstīt videi draudzīgu sabiedriskā transporta infrastruktūru" </w:t>
            </w:r>
            <w:r w:rsidR="00164AB3">
              <w:t>iznākuma un rezultāta rādītāju sasniegšanu.</w:t>
            </w:r>
            <w:r w:rsidR="00C82192">
              <w:t xml:space="preserve"> Grozījumi 4.5.1.1.pasākumā paredz </w:t>
            </w:r>
            <w:r w:rsidRPr="00243D28" w:rsidR="00C82192">
              <w:rPr>
                <w:lang w:eastAsia="en-US"/>
              </w:rPr>
              <w:t>nosacījum</w:t>
            </w:r>
            <w:r w:rsidR="00C82192">
              <w:rPr>
                <w:lang w:eastAsia="en-US"/>
              </w:rPr>
              <w:t>us 4.5.1.1.pasākuma</w:t>
            </w:r>
            <w:r w:rsidRPr="00243D28" w:rsidR="00C82192">
              <w:rPr>
                <w:lang w:eastAsia="en-US"/>
              </w:rPr>
              <w:t xml:space="preserve"> otrās un trešās </w:t>
            </w:r>
            <w:r w:rsidR="00C82192">
              <w:rPr>
                <w:lang w:eastAsia="en-US"/>
              </w:rPr>
              <w:t xml:space="preserve">atlases </w:t>
            </w:r>
            <w:r w:rsidRPr="00243D28" w:rsidR="00C82192">
              <w:rPr>
                <w:lang w:eastAsia="en-US"/>
              </w:rPr>
              <w:t>kārtas projektu īstenošanai</w:t>
            </w:r>
            <w:r w:rsidR="00C82192">
              <w:rPr>
                <w:lang w:eastAsia="en-US"/>
              </w:rPr>
              <w:t xml:space="preserve">. </w:t>
            </w:r>
            <w:r w:rsidR="00ED25F7">
              <w:rPr>
                <w:lang w:eastAsia="en-US"/>
              </w:rPr>
              <w:t xml:space="preserve">4.5.1.1.pasākuma trešās atlases kārtas ietvaros paredzēts īstenot </w:t>
            </w:r>
            <w:r w:rsidRPr="00164AB3" w:rsidR="00ED25F7">
              <w:t>elektrovilcienu vagonu iegādes projekt</w:t>
            </w:r>
            <w:r w:rsidR="00ED25F7">
              <w:t>u.</w:t>
            </w:r>
            <w:r w:rsidR="00ED25F7">
              <w:rPr>
                <w:lang w:eastAsia="en-US"/>
              </w:rPr>
              <w:t xml:space="preserve"> </w:t>
            </w:r>
            <w:r w:rsidR="00DC1A0E">
              <w:rPr>
                <w:lang w:eastAsia="en-US"/>
              </w:rPr>
              <w:t xml:space="preserve">Lai nodrošinātu </w:t>
            </w:r>
            <w:r w:rsidRPr="00164AB3" w:rsidR="00DC1A0E">
              <w:t>elektrovilcienu vagonu iegādes projekt</w:t>
            </w:r>
            <w:r w:rsidR="00DC1A0E">
              <w:t xml:space="preserve">am nepieciešamo finansējumu, </w:t>
            </w:r>
            <w:r w:rsidR="00DC1A0E">
              <w:rPr>
                <w:lang w:eastAsia="en-US"/>
              </w:rPr>
              <w:t xml:space="preserve"> </w:t>
            </w:r>
            <w:r w:rsidRPr="00164AB3" w:rsidR="00DC1A0E">
              <w:t>KF finansējums no 6.1.4.1. pasākuma</w:t>
            </w:r>
            <w:r w:rsidR="00DC1A0E">
              <w:t xml:space="preserve"> </w:t>
            </w:r>
            <w:r w:rsidRPr="00164AB3" w:rsidR="00DC1A0E">
              <w:t>tiek novirzīts</w:t>
            </w:r>
            <w:r w:rsidR="00DC1A0E">
              <w:t xml:space="preserve"> </w:t>
            </w:r>
            <w:r w:rsidRPr="00164AB3" w:rsidR="00DC1A0E">
              <w:t>elektrovilcienu vagonu iegādes projekta īstenošanai</w:t>
            </w:r>
            <w:r w:rsidR="00DC1A0E">
              <w:rPr>
                <w:lang w:eastAsia="en-US"/>
              </w:rPr>
              <w:t xml:space="preserve"> atbilstoši</w:t>
            </w:r>
            <w:r w:rsidR="00B01DC9">
              <w:t xml:space="preserve"> </w:t>
            </w:r>
            <w:r w:rsidRPr="00164AB3" w:rsidR="00B01DC9">
              <w:t>MK 2019.gada 11.oktobra ārkārtas sēdes protokollēmuma (prot. Nr.47, 3.§) 7.punkt</w:t>
            </w:r>
            <w:r w:rsidR="00DC1A0E">
              <w:t>ā noteiktajam</w:t>
            </w:r>
            <w:r w:rsidRPr="00164AB3" w:rsidR="00164AB3">
              <w:t>.</w:t>
            </w:r>
          </w:p>
        </w:tc>
      </w:tr>
      <w:tr w:rsidRPr="00BC2633" w:rsidR="00DB6F65" w:rsidTr="00054143" w14:paraId="5733117E" w14:textId="77777777">
        <w:trPr>
          <w:trHeight w:val="450"/>
        </w:trPr>
        <w:tc>
          <w:tcPr>
            <w:tcW w:w="273" w:type="pct"/>
            <w:tcBorders>
              <w:top w:val="outset" w:color="414142" w:sz="6" w:space="0"/>
              <w:left w:val="outset" w:color="414142" w:sz="6" w:space="0"/>
              <w:bottom w:val="outset" w:color="414142" w:sz="6" w:space="0"/>
              <w:right w:val="outset" w:color="414142" w:sz="6" w:space="0"/>
            </w:tcBorders>
            <w:vAlign w:val="center"/>
          </w:tcPr>
          <w:p w:rsidRPr="00DB6F65" w:rsidR="00DB6F65" w:rsidP="00DB6F65" w:rsidRDefault="00142446" w14:paraId="2209E62A" w14:textId="476E1758">
            <w:r>
              <w:lastRenderedPageBreak/>
              <w:t>2.</w:t>
            </w:r>
          </w:p>
        </w:tc>
        <w:tc>
          <w:tcPr>
            <w:tcW w:w="1185" w:type="pct"/>
            <w:tcBorders>
              <w:top w:val="outset" w:color="414142" w:sz="6" w:space="0"/>
              <w:left w:val="outset" w:color="414142" w:sz="6" w:space="0"/>
              <w:bottom w:val="outset" w:color="414142" w:sz="6" w:space="0"/>
              <w:right w:val="outset" w:color="414142" w:sz="6" w:space="0"/>
            </w:tcBorders>
            <w:vAlign w:val="center"/>
          </w:tcPr>
          <w:p w:rsidRPr="00DB6F65" w:rsidR="00DB6F65" w:rsidP="00DB6F65" w:rsidRDefault="00142446" w14:paraId="70CFA622" w14:textId="480818F6">
            <w:r w:rsidRPr="00142446">
              <w:t>Atbildīgā institūcija</w:t>
            </w:r>
          </w:p>
        </w:tc>
        <w:tc>
          <w:tcPr>
            <w:tcW w:w="3542" w:type="pct"/>
            <w:tcBorders>
              <w:top w:val="outset" w:color="414142" w:sz="6" w:space="0"/>
              <w:left w:val="outset" w:color="414142" w:sz="6" w:space="0"/>
              <w:bottom w:val="outset" w:color="414142" w:sz="6" w:space="0"/>
              <w:right w:val="outset" w:color="414142" w:sz="6" w:space="0"/>
            </w:tcBorders>
            <w:vAlign w:val="center"/>
          </w:tcPr>
          <w:p w:rsidRPr="00DB6F65" w:rsidR="00DB6F65" w:rsidP="00DB6F65" w:rsidRDefault="00054143" w14:paraId="69254E20" w14:textId="6FCF7662">
            <w:r>
              <w:t>Satiksmes ministrija</w:t>
            </w:r>
            <w:r w:rsidR="00A51648">
              <w:t>.</w:t>
            </w:r>
          </w:p>
        </w:tc>
      </w:tr>
      <w:tr w:rsidRPr="00BC2633" w:rsidR="00DB6F65" w:rsidTr="00054143" w14:paraId="297F8874" w14:textId="77777777">
        <w:trPr>
          <w:trHeight w:val="450"/>
        </w:trPr>
        <w:tc>
          <w:tcPr>
            <w:tcW w:w="273" w:type="pct"/>
            <w:tcBorders>
              <w:top w:val="outset" w:color="414142" w:sz="6" w:space="0"/>
              <w:left w:val="outset" w:color="414142" w:sz="6" w:space="0"/>
              <w:bottom w:val="outset" w:color="414142" w:sz="6" w:space="0"/>
              <w:right w:val="outset" w:color="414142" w:sz="6" w:space="0"/>
            </w:tcBorders>
            <w:vAlign w:val="center"/>
          </w:tcPr>
          <w:p w:rsidRPr="00DB6F65" w:rsidR="00DB6F65" w:rsidP="00DB6F65" w:rsidRDefault="00142446" w14:paraId="4337D256" w14:textId="57E3598A">
            <w:r>
              <w:t>3.</w:t>
            </w:r>
          </w:p>
        </w:tc>
        <w:tc>
          <w:tcPr>
            <w:tcW w:w="1185" w:type="pct"/>
            <w:tcBorders>
              <w:top w:val="outset" w:color="414142" w:sz="6" w:space="0"/>
              <w:left w:val="outset" w:color="414142" w:sz="6" w:space="0"/>
              <w:bottom w:val="outset" w:color="414142" w:sz="6" w:space="0"/>
              <w:right w:val="outset" w:color="414142" w:sz="6" w:space="0"/>
            </w:tcBorders>
            <w:vAlign w:val="center"/>
          </w:tcPr>
          <w:p w:rsidRPr="00DB6F65" w:rsidR="00DB6F65" w:rsidP="00DB6F65" w:rsidRDefault="00142446" w14:paraId="4F8CFCBE" w14:textId="3F666D4E">
            <w:r w:rsidRPr="00142446">
              <w:t>Cita informācija</w:t>
            </w:r>
          </w:p>
        </w:tc>
        <w:tc>
          <w:tcPr>
            <w:tcW w:w="3542" w:type="pct"/>
            <w:tcBorders>
              <w:top w:val="outset" w:color="414142" w:sz="6" w:space="0"/>
              <w:left w:val="outset" w:color="414142" w:sz="6" w:space="0"/>
              <w:bottom w:val="outset" w:color="414142" w:sz="6" w:space="0"/>
              <w:right w:val="outset" w:color="414142" w:sz="6" w:space="0"/>
            </w:tcBorders>
            <w:vAlign w:val="center"/>
          </w:tcPr>
          <w:p w:rsidRPr="00DB6F65" w:rsidR="00DB6F65" w:rsidP="00DB6F65" w:rsidRDefault="0030234B" w14:paraId="6EC8D425" w14:textId="04FD80FF">
            <w:r>
              <w:t>Nav</w:t>
            </w:r>
            <w:r w:rsidR="00A51648">
              <w:t>.</w:t>
            </w:r>
          </w:p>
        </w:tc>
      </w:tr>
    </w:tbl>
    <w:p w:rsidRPr="00BC2633" w:rsidR="00895A59" w:rsidP="00895A59" w:rsidRDefault="00895A59" w14:paraId="1D6A505C"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366"/>
      </w:tblGrid>
      <w:tr w:rsidRPr="00BC2633" w:rsidR="00895A59" w:rsidTr="009543EA" w14:paraId="2CAD0C74"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895A59" w:rsidP="009543EA" w:rsidRDefault="00895A59" w14:paraId="1299ADCB" w14:textId="77777777">
            <w:pPr>
              <w:ind w:firstLine="300"/>
              <w:jc w:val="center"/>
              <w:rPr>
                <w:b/>
                <w:bCs/>
              </w:rPr>
            </w:pPr>
            <w:r w:rsidRPr="00BC2633">
              <w:rPr>
                <w:b/>
                <w:bCs/>
              </w:rPr>
              <w:t>V. Tiesību akta projekta atbilstība Latvijas Republikas starptautiskajām saistībām</w:t>
            </w:r>
          </w:p>
        </w:tc>
      </w:tr>
      <w:tr w:rsidRPr="00BC2633" w:rsidR="00895A59" w:rsidTr="009543EA" w14:paraId="3AB0351C"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BC2633" w:rsidR="00895A59" w:rsidP="009543EA" w:rsidRDefault="00895A59" w14:paraId="05C39177" w14:textId="77777777">
            <w:pPr>
              <w:ind w:firstLine="300"/>
              <w:jc w:val="center"/>
              <w:rPr>
                <w:b/>
                <w:bCs/>
              </w:rPr>
            </w:pPr>
            <w:r w:rsidRPr="00F218F6">
              <w:t>Projekts šo jomu neskar</w:t>
            </w:r>
            <w:r>
              <w:t>.</w:t>
            </w:r>
          </w:p>
        </w:tc>
      </w:tr>
    </w:tbl>
    <w:p w:rsidRPr="00BC2633" w:rsidR="00CE766F" w:rsidP="00895A59" w:rsidRDefault="00CE766F" w14:paraId="760DBF4E"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6"/>
        <w:gridCol w:w="2977"/>
        <w:gridCol w:w="4933"/>
      </w:tblGrid>
      <w:tr w:rsidRPr="00BC2633" w:rsidR="0036288B" w:rsidTr="00F46FF5" w14:paraId="78F0224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EC2FCA" w:rsidR="0036288B" w:rsidP="00F46FF5" w:rsidRDefault="0036288B" w14:paraId="0AB26598" w14:textId="77777777">
            <w:pPr>
              <w:ind w:firstLine="300"/>
              <w:jc w:val="center"/>
              <w:rPr>
                <w:b/>
                <w:bCs/>
              </w:rPr>
            </w:pPr>
            <w:r w:rsidRPr="00EC2FCA">
              <w:rPr>
                <w:b/>
                <w:bCs/>
              </w:rPr>
              <w:t>VI. Sabiedrības līdzdalība un komunikācijas aktivitātes</w:t>
            </w:r>
          </w:p>
        </w:tc>
      </w:tr>
      <w:tr w:rsidRPr="00BC2633" w:rsidR="0036288B" w:rsidTr="00F46FF5" w14:paraId="69886398"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tcPr>
          <w:p w:rsidRPr="00BC2633" w:rsidR="0036288B" w:rsidP="00F46FF5" w:rsidRDefault="0036288B" w14:paraId="2F5EF922" w14:textId="77777777">
            <w:pPr>
              <w:ind w:firstLine="300"/>
              <w:jc w:val="center"/>
              <w:rPr>
                <w:b/>
                <w:bCs/>
              </w:rPr>
            </w:pPr>
          </w:p>
        </w:tc>
      </w:tr>
      <w:tr w:rsidRPr="00BC2633" w:rsidR="0036288B" w:rsidTr="00F46FF5" w14:paraId="02ACE2FE"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36288B" w:rsidDel="00C8606C" w:rsidP="00F46FF5" w:rsidRDefault="0036288B" w14:paraId="30619AAE" w14:textId="77777777">
            <w:r>
              <w:t>1.</w:t>
            </w:r>
          </w:p>
        </w:tc>
        <w:tc>
          <w:tcPr>
            <w:tcW w:w="1779" w:type="pct"/>
            <w:tcBorders>
              <w:top w:val="outset" w:color="414142" w:sz="6" w:space="0"/>
              <w:left w:val="outset" w:color="414142" w:sz="6" w:space="0"/>
              <w:bottom w:val="outset" w:color="414142" w:sz="6" w:space="0"/>
              <w:right w:val="outset" w:color="414142" w:sz="6" w:space="0"/>
            </w:tcBorders>
          </w:tcPr>
          <w:p w:rsidRPr="00F218F6" w:rsidR="0036288B" w:rsidDel="00C8606C" w:rsidP="00F46FF5" w:rsidRDefault="0036288B" w14:paraId="2B77E499" w14:textId="77777777">
            <w:r w:rsidRPr="003E50E8">
              <w:t>Plānotās sabiedrības līdzdalības un komunikācijas aktivitātes saistībā ar projektu</w:t>
            </w:r>
          </w:p>
        </w:tc>
        <w:tc>
          <w:tcPr>
            <w:tcW w:w="2948" w:type="pct"/>
            <w:tcBorders>
              <w:top w:val="outset" w:color="414142" w:sz="6" w:space="0"/>
              <w:left w:val="outset" w:color="414142" w:sz="6" w:space="0"/>
              <w:bottom w:val="outset" w:color="414142" w:sz="6" w:space="0"/>
              <w:right w:val="outset" w:color="414142" w:sz="6" w:space="0"/>
            </w:tcBorders>
          </w:tcPr>
          <w:p w:rsidRPr="00F218F6" w:rsidR="0036288B" w:rsidDel="00C8606C" w:rsidP="00F46FF5" w:rsidRDefault="00EC2FCA" w14:paraId="31897DD3" w14:textId="28E15598">
            <w:pPr>
              <w:jc w:val="both"/>
            </w:pPr>
            <w:r w:rsidRPr="00EC2FCA">
              <w:t xml:space="preserve">Atbilstoši </w:t>
            </w:r>
            <w:r w:rsidR="00151282">
              <w:t>MK</w:t>
            </w:r>
            <w:r w:rsidRPr="00EC2FCA">
              <w:t xml:space="preserve"> 2009.gada 25.augusta noteikumu Nr.970 „Sabiedrības līdzdalības kārtība attīstības plānošanas procesā” 7.4.</w:t>
            </w:r>
            <w:r w:rsidRPr="00EC2FCA">
              <w:rPr>
                <w:vertAlign w:val="superscript"/>
              </w:rPr>
              <w:t>1</w:t>
            </w:r>
            <w:r w:rsidRPr="00EC2FCA">
              <w:t xml:space="preserve"> apakšpunktam sabiedrībai </w:t>
            </w:r>
            <w:r>
              <w:t>ir</w:t>
            </w:r>
            <w:r w:rsidRPr="00EC2FCA">
              <w:t xml:space="preserve"> dota iespēja rakstiski sniegt viedokli par noteikumu projektu tā izstrādes stadijā.</w:t>
            </w:r>
          </w:p>
        </w:tc>
      </w:tr>
      <w:tr w:rsidRPr="00BC2633" w:rsidR="0036288B" w:rsidTr="00F46FF5" w14:paraId="24F5643E"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36288B" w:rsidDel="00C8606C" w:rsidP="00F46FF5" w:rsidRDefault="0036288B" w14:paraId="3D8CEDDC" w14:textId="77777777">
            <w:r>
              <w:t>2.</w:t>
            </w:r>
          </w:p>
        </w:tc>
        <w:tc>
          <w:tcPr>
            <w:tcW w:w="1779" w:type="pct"/>
            <w:tcBorders>
              <w:top w:val="outset" w:color="414142" w:sz="6" w:space="0"/>
              <w:left w:val="outset" w:color="414142" w:sz="6" w:space="0"/>
              <w:bottom w:val="outset" w:color="414142" w:sz="6" w:space="0"/>
              <w:right w:val="outset" w:color="414142" w:sz="6" w:space="0"/>
            </w:tcBorders>
          </w:tcPr>
          <w:p w:rsidRPr="00F218F6" w:rsidR="0036288B" w:rsidDel="00C8606C" w:rsidP="00F46FF5" w:rsidRDefault="0036288B" w14:paraId="628DE49E" w14:textId="77777777">
            <w:r w:rsidRPr="003E50E8">
              <w:t>Sabiedrības līdzdalība projekta izstrādē</w:t>
            </w:r>
          </w:p>
        </w:tc>
        <w:tc>
          <w:tcPr>
            <w:tcW w:w="2948" w:type="pct"/>
            <w:tcBorders>
              <w:top w:val="outset" w:color="414142" w:sz="6" w:space="0"/>
              <w:left w:val="outset" w:color="414142" w:sz="6" w:space="0"/>
              <w:bottom w:val="outset" w:color="414142" w:sz="6" w:space="0"/>
              <w:right w:val="outset" w:color="414142" w:sz="6" w:space="0"/>
            </w:tcBorders>
          </w:tcPr>
          <w:p w:rsidRPr="00D7704F" w:rsidR="0036288B" w:rsidDel="00C8606C" w:rsidP="00F46FF5" w:rsidRDefault="00A35291" w14:paraId="78886E1E" w14:textId="6198A172">
            <w:pPr>
              <w:jc w:val="both"/>
            </w:pPr>
            <w:r>
              <w:t>N</w:t>
            </w:r>
            <w:r w:rsidR="008A74E7">
              <w:t xml:space="preserve">oteikumu </w:t>
            </w:r>
            <w:r w:rsidRPr="003346A4" w:rsidR="003346A4">
              <w:t xml:space="preserve">projekts </w:t>
            </w:r>
            <w:r w:rsidRPr="003346A4">
              <w:t>2019.</w:t>
            </w:r>
            <w:r>
              <w:t> </w:t>
            </w:r>
            <w:r w:rsidRPr="003346A4">
              <w:t xml:space="preserve">gada </w:t>
            </w:r>
            <w:r>
              <w:t>11</w:t>
            </w:r>
            <w:r w:rsidRPr="003346A4">
              <w:t>.</w:t>
            </w:r>
            <w:r>
              <w:t> decembrī</w:t>
            </w:r>
            <w:r w:rsidRPr="003346A4">
              <w:t xml:space="preserve"> </w:t>
            </w:r>
            <w:r w:rsidRPr="003346A4" w:rsidR="003346A4">
              <w:t xml:space="preserve">tika publicēts Satiksmes ministrijas tīmekļa vietnē </w:t>
            </w:r>
            <w:hyperlink w:history="1" r:id="rId8">
              <w:r w:rsidRPr="00516BA8">
                <w:rPr>
                  <w:rStyle w:val="Hyperlink"/>
                </w:rPr>
                <w:t>http://www.sam.gov.lv/satmin/content/?cat=553</w:t>
              </w:r>
            </w:hyperlink>
            <w:r w:rsidRPr="003346A4" w:rsidR="003346A4">
              <w:t xml:space="preserve"> </w:t>
            </w:r>
            <w:r w:rsidR="00673BBD">
              <w:t xml:space="preserve">un Ministru kabineta tīmekļa vietnē </w:t>
            </w:r>
            <w:hyperlink w:history="1" r:id="rId9">
              <w:r w:rsidRPr="0040068D" w:rsidR="00673BBD">
                <w:rPr>
                  <w:rStyle w:val="Hyperlink"/>
                </w:rPr>
                <w:t>https://www.mk.gov.lv/content/ministru-kabineta-diskusiju-dokumenti</w:t>
              </w:r>
            </w:hyperlink>
            <w:r w:rsidR="00673BBD">
              <w:t>.</w:t>
            </w:r>
          </w:p>
        </w:tc>
      </w:tr>
      <w:tr w:rsidRPr="00BC2633" w:rsidR="0036288B" w:rsidTr="00F46FF5" w14:paraId="6257750C"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36288B" w:rsidDel="00C8606C" w:rsidP="00F46FF5" w:rsidRDefault="0036288B" w14:paraId="7513755D" w14:textId="77777777">
            <w:r>
              <w:t>3.</w:t>
            </w:r>
          </w:p>
        </w:tc>
        <w:tc>
          <w:tcPr>
            <w:tcW w:w="1779" w:type="pct"/>
            <w:tcBorders>
              <w:top w:val="outset" w:color="414142" w:sz="6" w:space="0"/>
              <w:left w:val="outset" w:color="414142" w:sz="6" w:space="0"/>
              <w:bottom w:val="outset" w:color="414142" w:sz="6" w:space="0"/>
              <w:right w:val="outset" w:color="414142" w:sz="6" w:space="0"/>
            </w:tcBorders>
          </w:tcPr>
          <w:p w:rsidRPr="00F218F6" w:rsidR="0036288B" w:rsidDel="00C8606C" w:rsidP="00F46FF5" w:rsidRDefault="0036288B" w14:paraId="068A5EA2" w14:textId="77777777">
            <w:r w:rsidRPr="003E50E8">
              <w:t xml:space="preserve">Sabiedrības līdzdalības </w:t>
            </w:r>
            <w:r w:rsidRPr="003E50E8">
              <w:lastRenderedPageBreak/>
              <w:t>rezultāti</w:t>
            </w:r>
          </w:p>
        </w:tc>
        <w:tc>
          <w:tcPr>
            <w:tcW w:w="2948" w:type="pct"/>
            <w:tcBorders>
              <w:top w:val="outset" w:color="414142" w:sz="6" w:space="0"/>
              <w:left w:val="outset" w:color="414142" w:sz="6" w:space="0"/>
              <w:bottom w:val="outset" w:color="414142" w:sz="6" w:space="0"/>
              <w:right w:val="outset" w:color="414142" w:sz="6" w:space="0"/>
            </w:tcBorders>
          </w:tcPr>
          <w:p w:rsidRPr="00D7704F" w:rsidR="0036288B" w:rsidDel="00C8606C" w:rsidP="00F46FF5" w:rsidRDefault="005A4E5B" w14:paraId="055D2B6C" w14:textId="0FA6B2EB">
            <w:pPr>
              <w:jc w:val="both"/>
            </w:pPr>
            <w:r w:rsidRPr="005A4E5B">
              <w:lastRenderedPageBreak/>
              <w:t>Iebildumi vai priekšlikumi netika saņemti.</w:t>
            </w:r>
          </w:p>
        </w:tc>
      </w:tr>
      <w:tr w:rsidRPr="00BC2633" w:rsidR="0036288B" w:rsidTr="0057336A" w14:paraId="608740EC" w14:textId="77777777">
        <w:trPr>
          <w:trHeight w:val="242"/>
        </w:trPr>
        <w:tc>
          <w:tcPr>
            <w:tcW w:w="273" w:type="pct"/>
            <w:tcBorders>
              <w:top w:val="outset" w:color="414142" w:sz="6" w:space="0"/>
              <w:left w:val="outset" w:color="414142" w:sz="6" w:space="0"/>
              <w:bottom w:val="outset" w:color="414142" w:sz="6" w:space="0"/>
              <w:right w:val="outset" w:color="414142" w:sz="6" w:space="0"/>
            </w:tcBorders>
          </w:tcPr>
          <w:p w:rsidRPr="00F218F6" w:rsidR="0036288B" w:rsidDel="00C8606C" w:rsidP="00F46FF5" w:rsidRDefault="0036288B" w14:paraId="50322AA5" w14:textId="77777777">
            <w:r>
              <w:t>4.</w:t>
            </w:r>
          </w:p>
        </w:tc>
        <w:tc>
          <w:tcPr>
            <w:tcW w:w="1779" w:type="pct"/>
            <w:tcBorders>
              <w:top w:val="outset" w:color="414142" w:sz="6" w:space="0"/>
              <w:left w:val="outset" w:color="414142" w:sz="6" w:space="0"/>
              <w:bottom w:val="outset" w:color="414142" w:sz="6" w:space="0"/>
              <w:right w:val="outset" w:color="414142" w:sz="6" w:space="0"/>
            </w:tcBorders>
          </w:tcPr>
          <w:p w:rsidRPr="00F218F6" w:rsidR="0036288B" w:rsidDel="00C8606C" w:rsidP="00F46FF5" w:rsidRDefault="0036288B" w14:paraId="2F9ADB40" w14:textId="77777777">
            <w:r w:rsidRPr="003E50E8">
              <w:rPr>
                <w:iCs/>
              </w:rPr>
              <w:t xml:space="preserve">Cita </w:t>
            </w:r>
            <w:r w:rsidRPr="003E50E8">
              <w:t>informācija</w:t>
            </w:r>
          </w:p>
        </w:tc>
        <w:tc>
          <w:tcPr>
            <w:tcW w:w="2948" w:type="pct"/>
            <w:tcBorders>
              <w:top w:val="outset" w:color="414142" w:sz="6" w:space="0"/>
              <w:left w:val="outset" w:color="414142" w:sz="6" w:space="0"/>
              <w:bottom w:val="outset" w:color="414142" w:sz="6" w:space="0"/>
              <w:right w:val="outset" w:color="414142" w:sz="6" w:space="0"/>
            </w:tcBorders>
          </w:tcPr>
          <w:p w:rsidRPr="00F218F6" w:rsidR="0036288B" w:rsidDel="00C8606C" w:rsidP="00F46FF5" w:rsidRDefault="00EC2FCA" w14:paraId="62DA01E3" w14:textId="3DA567C8">
            <w:pPr>
              <w:jc w:val="both"/>
            </w:pPr>
            <w:r>
              <w:t>Nav.</w:t>
            </w:r>
          </w:p>
        </w:tc>
      </w:tr>
    </w:tbl>
    <w:p w:rsidRPr="00BC2633" w:rsidR="0036288B" w:rsidP="00895A59" w:rsidRDefault="0036288B" w14:paraId="010A7EE2"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8"/>
        <w:gridCol w:w="2980"/>
        <w:gridCol w:w="4968"/>
      </w:tblGrid>
      <w:tr w:rsidRPr="00BC2633" w:rsidR="00895A59" w:rsidTr="009543EA" w14:paraId="583314DF"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895A59" w:rsidP="009543EA" w:rsidRDefault="00895A59" w14:paraId="09FA08DF" w14:textId="77777777">
            <w:pPr>
              <w:ind w:firstLine="300"/>
              <w:jc w:val="center"/>
              <w:rPr>
                <w:b/>
                <w:bCs/>
              </w:rPr>
            </w:pPr>
            <w:r w:rsidRPr="00BC2633">
              <w:rPr>
                <w:b/>
                <w:bCs/>
              </w:rPr>
              <w:t>VII. Tiesību akta projekta izpildes nodrošināšana un tās ietekme uz institūcijām</w:t>
            </w:r>
          </w:p>
        </w:tc>
      </w:tr>
      <w:tr w:rsidRPr="00BC2633" w:rsidR="00895A59" w:rsidTr="009543EA" w14:paraId="685A6C98"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895A59" w:rsidP="00DD2FF8" w:rsidRDefault="00895A59" w14:paraId="3AB4A241" w14:textId="77777777">
            <w:r w:rsidRPr="00BC2633">
              <w:t>1.</w:t>
            </w:r>
          </w:p>
        </w:tc>
        <w:tc>
          <w:tcPr>
            <w:tcW w:w="1781" w:type="pct"/>
            <w:tcBorders>
              <w:top w:val="outset" w:color="414142" w:sz="6" w:space="0"/>
              <w:left w:val="outset" w:color="414142" w:sz="6" w:space="0"/>
              <w:bottom w:val="outset" w:color="414142" w:sz="6" w:space="0"/>
              <w:right w:val="outset" w:color="414142" w:sz="6" w:space="0"/>
            </w:tcBorders>
            <w:hideMark/>
          </w:tcPr>
          <w:p w:rsidRPr="00BC2633" w:rsidR="00895A59" w:rsidP="00DD2FF8" w:rsidRDefault="00895A59" w14:paraId="3EC15907" w14:textId="77777777">
            <w:r w:rsidRPr="00BC2633">
              <w:t>Projekta izpildē iesaistītās institūcijas</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DD2FF8" w:rsidRDefault="00895A59" w14:paraId="1A812AFA" w14:textId="5B3FBF06">
            <w:pPr>
              <w:jc w:val="both"/>
            </w:pPr>
            <w:r>
              <w:t>Satiksmes ministrija, Centrālā finanšu un līgumu aģentūra</w:t>
            </w:r>
            <w:r w:rsidR="00CE766F">
              <w:t>.</w:t>
            </w:r>
          </w:p>
        </w:tc>
      </w:tr>
      <w:tr w:rsidRPr="00BC2633" w:rsidR="00895A59" w:rsidTr="009543EA" w14:paraId="58217CE1"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895A59" w:rsidP="00DD2FF8" w:rsidRDefault="00895A59" w14:paraId="7004F0C3" w14:textId="77777777">
            <w:r w:rsidRPr="00BC2633">
              <w:t>2.</w:t>
            </w:r>
          </w:p>
        </w:tc>
        <w:tc>
          <w:tcPr>
            <w:tcW w:w="1781" w:type="pct"/>
            <w:tcBorders>
              <w:top w:val="outset" w:color="414142" w:sz="6" w:space="0"/>
              <w:left w:val="outset" w:color="414142" w:sz="6" w:space="0"/>
              <w:bottom w:val="outset" w:color="414142" w:sz="6" w:space="0"/>
              <w:right w:val="outset" w:color="414142" w:sz="6" w:space="0"/>
            </w:tcBorders>
            <w:hideMark/>
          </w:tcPr>
          <w:p w:rsidRPr="00BC2633" w:rsidR="00895A59" w:rsidP="00DD2FF8" w:rsidRDefault="00895A59" w14:paraId="0895581D" w14:textId="77777777">
            <w:r w:rsidRPr="00BC2633">
              <w:t xml:space="preserve">Projekta izpildes ietekme uz pārvaldes funkcijām un institucionālo struktūru. </w:t>
            </w:r>
          </w:p>
          <w:p w:rsidRPr="00BC2633" w:rsidR="00895A59" w:rsidP="00DD2FF8" w:rsidRDefault="00895A59" w14:paraId="6461F9F8" w14:textId="77777777">
            <w:r w:rsidRPr="00BC2633">
              <w:t>Jaunu institūciju izveide, esošu institūciju likvidācija vai reorganizācija, to ietekme uz institūcijas cilvēkresursiem</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DD2FF8" w:rsidRDefault="00895A59" w14:paraId="1DBF8A18" w14:textId="77777777">
            <w:pPr>
              <w:jc w:val="both"/>
            </w:pPr>
            <w:r w:rsidRPr="00F218F6">
              <w:t>Projekts šo jomu neskar</w:t>
            </w:r>
            <w:r>
              <w:t>.</w:t>
            </w:r>
          </w:p>
        </w:tc>
      </w:tr>
      <w:tr w:rsidRPr="00BC2633" w:rsidR="00895A59" w:rsidTr="009543EA" w14:paraId="295A47D8"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895A59" w:rsidP="00DD2FF8" w:rsidRDefault="00895A59" w14:paraId="17C0AC7E" w14:textId="77777777">
            <w:r w:rsidRPr="00BC2633">
              <w:t>3.</w:t>
            </w:r>
          </w:p>
        </w:tc>
        <w:tc>
          <w:tcPr>
            <w:tcW w:w="1781" w:type="pct"/>
            <w:tcBorders>
              <w:top w:val="outset" w:color="414142" w:sz="6" w:space="0"/>
              <w:left w:val="outset" w:color="414142" w:sz="6" w:space="0"/>
              <w:bottom w:val="outset" w:color="414142" w:sz="6" w:space="0"/>
              <w:right w:val="outset" w:color="414142" w:sz="6" w:space="0"/>
            </w:tcBorders>
            <w:hideMark/>
          </w:tcPr>
          <w:p w:rsidRPr="00BC2633" w:rsidR="00895A59" w:rsidP="00DD2FF8" w:rsidRDefault="00895A59" w14:paraId="55A60EB3" w14:textId="77777777">
            <w:r w:rsidRPr="00BC2633">
              <w:t>Cita informācija</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DD2FF8" w:rsidRDefault="00895A59" w14:paraId="5E8EDA51" w14:textId="77777777">
            <w:pPr>
              <w:jc w:val="both"/>
            </w:pPr>
            <w:r>
              <w:t>Nav.</w:t>
            </w:r>
          </w:p>
        </w:tc>
      </w:tr>
    </w:tbl>
    <w:p w:rsidR="0036288B" w:rsidP="0036288B" w:rsidRDefault="0036288B" w14:paraId="1850F304" w14:textId="77777777">
      <w:pPr>
        <w:jc w:val="both"/>
      </w:pPr>
    </w:p>
    <w:p w:rsidR="0036288B" w:rsidP="0036288B" w:rsidRDefault="0036288B" w14:paraId="7487AD54" w14:textId="77777777">
      <w:pPr>
        <w:jc w:val="both"/>
      </w:pPr>
    </w:p>
    <w:p w:rsidRPr="00C50295" w:rsidR="0036288B" w:rsidP="0036288B" w:rsidRDefault="0036288B" w14:paraId="1411574B" w14:textId="77777777">
      <w:pPr>
        <w:jc w:val="both"/>
      </w:pPr>
      <w:r w:rsidRPr="00C50295">
        <w:t>Iesniedzējs:</w:t>
      </w:r>
    </w:p>
    <w:p w:rsidRPr="00C50295" w:rsidR="0036288B" w:rsidP="0036288B" w:rsidRDefault="0036288B" w14:paraId="784EA1BF" w14:textId="77777777">
      <w:pPr>
        <w:tabs>
          <w:tab w:val="left" w:pos="6379"/>
        </w:tabs>
        <w:jc w:val="both"/>
      </w:pPr>
      <w:r>
        <w:t>satiksmes</w:t>
      </w:r>
      <w:r w:rsidRPr="00C50295">
        <w:t xml:space="preserve"> ministrs</w:t>
      </w:r>
      <w:r>
        <w:tab/>
        <w:t>T. Linkaits</w:t>
      </w:r>
    </w:p>
    <w:p w:rsidR="0036288B" w:rsidP="0036288B" w:rsidRDefault="0036288B" w14:paraId="7BA023DB" w14:textId="77777777">
      <w:pPr>
        <w:pStyle w:val="naisf"/>
        <w:spacing w:before="0" w:beforeAutospacing="0" w:after="0" w:afterAutospacing="0"/>
      </w:pPr>
    </w:p>
    <w:p w:rsidR="0036288B" w:rsidP="0036288B" w:rsidRDefault="0036288B" w14:paraId="498C71FC" w14:textId="77777777">
      <w:pPr>
        <w:jc w:val="both"/>
      </w:pPr>
      <w:r>
        <w:t>Vīza:</w:t>
      </w:r>
    </w:p>
    <w:p w:rsidR="006244E4" w:rsidP="0036288B" w:rsidRDefault="0036288B" w14:paraId="0E9EA5C2" w14:textId="454FF16D">
      <w:pPr>
        <w:tabs>
          <w:tab w:val="left" w:pos="6379"/>
        </w:tabs>
        <w:jc w:val="both"/>
      </w:pPr>
      <w:r>
        <w:t>valsts sekretār</w:t>
      </w:r>
      <w:r w:rsidR="00FA44BC">
        <w:t>e</w:t>
      </w:r>
      <w:r w:rsidR="003346A4">
        <w:tab/>
      </w:r>
      <w:r w:rsidR="005D54C5">
        <w:t>I</w:t>
      </w:r>
      <w:r w:rsidR="00B93AB2">
        <w:t xml:space="preserve">. </w:t>
      </w:r>
      <w:r w:rsidR="005D54C5">
        <w:t>Stepanova</w:t>
      </w:r>
    </w:p>
    <w:sectPr w:rsidR="006244E4" w:rsidSect="00A9445E">
      <w:headerReference w:type="default"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B5EE" w14:textId="77777777" w:rsidR="00EA418B" w:rsidRDefault="00EA418B" w:rsidP="00846F01">
      <w:r>
        <w:separator/>
      </w:r>
    </w:p>
  </w:endnote>
  <w:endnote w:type="continuationSeparator" w:id="0">
    <w:p w14:paraId="576536CA" w14:textId="77777777" w:rsidR="00EA418B" w:rsidRDefault="00EA418B"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F500" w14:textId="461E9AF9" w:rsidR="00846F01" w:rsidRPr="00846F01" w:rsidRDefault="00846F01">
    <w:pPr>
      <w:pStyle w:val="Footer"/>
      <w:rPr>
        <w:sz w:val="20"/>
        <w:szCs w:val="20"/>
      </w:rPr>
    </w:pPr>
    <w:r w:rsidRPr="00846F01">
      <w:rPr>
        <w:sz w:val="20"/>
        <w:szCs w:val="20"/>
      </w:rPr>
      <w:t>SMAnot_</w:t>
    </w:r>
    <w:r w:rsidR="004D1074">
      <w:rPr>
        <w:sz w:val="20"/>
        <w:szCs w:val="20"/>
      </w:rPr>
      <w:t>220316</w:t>
    </w:r>
    <w:r w:rsidRPr="00846F01">
      <w:rPr>
        <w:sz w:val="20"/>
        <w:szCs w:val="20"/>
      </w:rPr>
      <w:t>_spek_zaud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B86E" w14:textId="77777777" w:rsidR="00EA418B" w:rsidRDefault="00EA418B" w:rsidP="00846F01">
      <w:r>
        <w:separator/>
      </w:r>
    </w:p>
  </w:footnote>
  <w:footnote w:type="continuationSeparator" w:id="0">
    <w:p w14:paraId="15235943" w14:textId="77777777" w:rsidR="00EA418B" w:rsidRDefault="00EA418B" w:rsidP="00846F01">
      <w:r>
        <w:continuationSeparator/>
      </w:r>
    </w:p>
  </w:footnote>
  <w:footnote w:id="1">
    <w:p w14:paraId="56B2EEA2" w14:textId="77777777" w:rsidR="0002072E" w:rsidRDefault="0002072E" w:rsidP="0002072E">
      <w:pPr>
        <w:pStyle w:val="FootnoteText"/>
      </w:pPr>
      <w:r>
        <w:rPr>
          <w:rStyle w:val="FootnoteReference"/>
        </w:rPr>
        <w:footnoteRef/>
      </w:r>
      <w:r>
        <w:t xml:space="preserve"> </w:t>
      </w:r>
      <w:r w:rsidRPr="00FD0C97">
        <w:t>http://tap.mk.gov.lv/mk/mksedes/saraksts/protokols/?protokols=2019-10-11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5E" w:rsidP="00A9445E" w:rsidRDefault="00A9445E" w14:paraId="0DC87B1A" w14:textId="1395D1F3">
    <w:pPr>
      <w:pStyle w:val="Header"/>
      <w:tabs>
        <w:tab w:val="left" w:pos="5459"/>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rsidR="00A9445E" w:rsidRDefault="00A9445E" w14:paraId="0C150E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8BA"/>
    <w:multiLevelType w:val="hybridMultilevel"/>
    <w:tmpl w:val="1F38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1CA15C6"/>
    <w:multiLevelType w:val="hybridMultilevel"/>
    <w:tmpl w:val="25163BD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DDA633C"/>
    <w:multiLevelType w:val="hybridMultilevel"/>
    <w:tmpl w:val="5F14F35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2891737"/>
    <w:multiLevelType w:val="hybridMultilevel"/>
    <w:tmpl w:val="8364F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F93143"/>
    <w:multiLevelType w:val="hybridMultilevel"/>
    <w:tmpl w:val="2C565A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D55489B"/>
    <w:multiLevelType w:val="hybridMultilevel"/>
    <w:tmpl w:val="6BAC06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4F85602E"/>
    <w:multiLevelType w:val="hybridMultilevel"/>
    <w:tmpl w:val="30DA8244"/>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50E51491"/>
    <w:multiLevelType w:val="hybridMultilevel"/>
    <w:tmpl w:val="FA22ABA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4767094"/>
    <w:multiLevelType w:val="hybridMultilevel"/>
    <w:tmpl w:val="38A2FC0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5E757A6C"/>
    <w:multiLevelType w:val="hybridMultilevel"/>
    <w:tmpl w:val="520621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49F7DD0"/>
    <w:multiLevelType w:val="hybridMultilevel"/>
    <w:tmpl w:val="07386E8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6ED5378"/>
    <w:multiLevelType w:val="hybridMultilevel"/>
    <w:tmpl w:val="F2B0EC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68D63409"/>
    <w:multiLevelType w:val="hybridMultilevel"/>
    <w:tmpl w:val="0F34A3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9634AF2"/>
    <w:multiLevelType w:val="hybridMultilevel"/>
    <w:tmpl w:val="F4A05E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9"/>
  </w:num>
  <w:num w:numId="4">
    <w:abstractNumId w:val="0"/>
  </w:num>
  <w:num w:numId="5">
    <w:abstractNumId w:val="5"/>
  </w:num>
  <w:num w:numId="6">
    <w:abstractNumId w:val="6"/>
  </w:num>
  <w:num w:numId="7">
    <w:abstractNumId w:val="2"/>
  </w:num>
  <w:num w:numId="8">
    <w:abstractNumId w:val="10"/>
  </w:num>
  <w:num w:numId="9">
    <w:abstractNumId w:val="3"/>
  </w:num>
  <w:num w:numId="10">
    <w:abstractNumId w:val="8"/>
  </w:num>
  <w:num w:numId="11">
    <w:abstractNumId w:val="14"/>
  </w:num>
  <w:num w:numId="12">
    <w:abstractNumId w:val="12"/>
  </w:num>
  <w:num w:numId="13">
    <w:abstractNumId w:val="4"/>
  </w:num>
  <w:num w:numId="14">
    <w:abstractNumId w:val="11"/>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588"/>
    <w:rsid w:val="00006797"/>
    <w:rsid w:val="0002072E"/>
    <w:rsid w:val="00021050"/>
    <w:rsid w:val="0002284A"/>
    <w:rsid w:val="0003526A"/>
    <w:rsid w:val="00043FFE"/>
    <w:rsid w:val="000452C5"/>
    <w:rsid w:val="00052604"/>
    <w:rsid w:val="00054143"/>
    <w:rsid w:val="0006020E"/>
    <w:rsid w:val="00061457"/>
    <w:rsid w:val="00067AC1"/>
    <w:rsid w:val="00070B9C"/>
    <w:rsid w:val="0007339A"/>
    <w:rsid w:val="000B2583"/>
    <w:rsid w:val="000C1787"/>
    <w:rsid w:val="000C671A"/>
    <w:rsid w:val="00125C49"/>
    <w:rsid w:val="00142446"/>
    <w:rsid w:val="00151282"/>
    <w:rsid w:val="00164AB3"/>
    <w:rsid w:val="00183C9F"/>
    <w:rsid w:val="00187D50"/>
    <w:rsid w:val="00195BB2"/>
    <w:rsid w:val="00195C61"/>
    <w:rsid w:val="001A0E2B"/>
    <w:rsid w:val="001B3B54"/>
    <w:rsid w:val="001C09E6"/>
    <w:rsid w:val="001C19CE"/>
    <w:rsid w:val="001E0F4D"/>
    <w:rsid w:val="001E74FE"/>
    <w:rsid w:val="001E7C5D"/>
    <w:rsid w:val="001E7D9E"/>
    <w:rsid w:val="001F146D"/>
    <w:rsid w:val="00200D35"/>
    <w:rsid w:val="00202842"/>
    <w:rsid w:val="0021240D"/>
    <w:rsid w:val="00215CC8"/>
    <w:rsid w:val="00235D35"/>
    <w:rsid w:val="00246698"/>
    <w:rsid w:val="00256B20"/>
    <w:rsid w:val="002650FF"/>
    <w:rsid w:val="0026718A"/>
    <w:rsid w:val="00286AD3"/>
    <w:rsid w:val="00287A2A"/>
    <w:rsid w:val="00291FB1"/>
    <w:rsid w:val="002A2466"/>
    <w:rsid w:val="002A4D4A"/>
    <w:rsid w:val="002B2061"/>
    <w:rsid w:val="002D1B63"/>
    <w:rsid w:val="002D4A64"/>
    <w:rsid w:val="002D52BE"/>
    <w:rsid w:val="002E1A3A"/>
    <w:rsid w:val="002F799A"/>
    <w:rsid w:val="0030234B"/>
    <w:rsid w:val="003346A4"/>
    <w:rsid w:val="00335540"/>
    <w:rsid w:val="0034375B"/>
    <w:rsid w:val="00344727"/>
    <w:rsid w:val="003615D5"/>
    <w:rsid w:val="0036288B"/>
    <w:rsid w:val="003632E3"/>
    <w:rsid w:val="00364B39"/>
    <w:rsid w:val="00366023"/>
    <w:rsid w:val="00375599"/>
    <w:rsid w:val="0039771A"/>
    <w:rsid w:val="003B367F"/>
    <w:rsid w:val="003B54B9"/>
    <w:rsid w:val="003C0488"/>
    <w:rsid w:val="003C5885"/>
    <w:rsid w:val="003D10D2"/>
    <w:rsid w:val="003D7EB5"/>
    <w:rsid w:val="003E26E5"/>
    <w:rsid w:val="003F6468"/>
    <w:rsid w:val="0040027D"/>
    <w:rsid w:val="004165B6"/>
    <w:rsid w:val="00427C6D"/>
    <w:rsid w:val="00472E8B"/>
    <w:rsid w:val="004A1572"/>
    <w:rsid w:val="004A2D63"/>
    <w:rsid w:val="004A462C"/>
    <w:rsid w:val="004B7A91"/>
    <w:rsid w:val="004C03A8"/>
    <w:rsid w:val="004C2D10"/>
    <w:rsid w:val="004D063C"/>
    <w:rsid w:val="004D1074"/>
    <w:rsid w:val="004E01FF"/>
    <w:rsid w:val="004E3983"/>
    <w:rsid w:val="004E5D0C"/>
    <w:rsid w:val="004F1B96"/>
    <w:rsid w:val="004F23CB"/>
    <w:rsid w:val="00501AE5"/>
    <w:rsid w:val="005105B5"/>
    <w:rsid w:val="005139EA"/>
    <w:rsid w:val="00531B31"/>
    <w:rsid w:val="00534F49"/>
    <w:rsid w:val="00553F77"/>
    <w:rsid w:val="0057336A"/>
    <w:rsid w:val="00574118"/>
    <w:rsid w:val="005A4E5B"/>
    <w:rsid w:val="005B34D1"/>
    <w:rsid w:val="005B3E7B"/>
    <w:rsid w:val="005D54C5"/>
    <w:rsid w:val="005E2AF8"/>
    <w:rsid w:val="005F2104"/>
    <w:rsid w:val="0060522D"/>
    <w:rsid w:val="00613930"/>
    <w:rsid w:val="00613E7A"/>
    <w:rsid w:val="00624256"/>
    <w:rsid w:val="006244E4"/>
    <w:rsid w:val="00627720"/>
    <w:rsid w:val="006303DB"/>
    <w:rsid w:val="00630BBD"/>
    <w:rsid w:val="00632A9B"/>
    <w:rsid w:val="0063505C"/>
    <w:rsid w:val="00642AB0"/>
    <w:rsid w:val="00645702"/>
    <w:rsid w:val="00656DD6"/>
    <w:rsid w:val="00666FC2"/>
    <w:rsid w:val="006709B3"/>
    <w:rsid w:val="00673BBD"/>
    <w:rsid w:val="0068065A"/>
    <w:rsid w:val="00687CD2"/>
    <w:rsid w:val="006911DA"/>
    <w:rsid w:val="006A76F4"/>
    <w:rsid w:val="006C03D8"/>
    <w:rsid w:val="006D0BFA"/>
    <w:rsid w:val="006D0C0A"/>
    <w:rsid w:val="006D36C9"/>
    <w:rsid w:val="006E1621"/>
    <w:rsid w:val="00714CDB"/>
    <w:rsid w:val="0072014E"/>
    <w:rsid w:val="00764318"/>
    <w:rsid w:val="00786872"/>
    <w:rsid w:val="00791065"/>
    <w:rsid w:val="007A0D41"/>
    <w:rsid w:val="007B362F"/>
    <w:rsid w:val="007C12A1"/>
    <w:rsid w:val="007C6188"/>
    <w:rsid w:val="007E7603"/>
    <w:rsid w:val="00803111"/>
    <w:rsid w:val="00807806"/>
    <w:rsid w:val="00817658"/>
    <w:rsid w:val="00837F13"/>
    <w:rsid w:val="008408C6"/>
    <w:rsid w:val="00846F01"/>
    <w:rsid w:val="00851FFB"/>
    <w:rsid w:val="00852B80"/>
    <w:rsid w:val="0085458C"/>
    <w:rsid w:val="00863953"/>
    <w:rsid w:val="0086520E"/>
    <w:rsid w:val="00876D1E"/>
    <w:rsid w:val="00882922"/>
    <w:rsid w:val="0088705D"/>
    <w:rsid w:val="00895A59"/>
    <w:rsid w:val="008A74E7"/>
    <w:rsid w:val="008B5F77"/>
    <w:rsid w:val="008B629D"/>
    <w:rsid w:val="008C53E1"/>
    <w:rsid w:val="008C6E44"/>
    <w:rsid w:val="008E258A"/>
    <w:rsid w:val="00917198"/>
    <w:rsid w:val="009256F2"/>
    <w:rsid w:val="00927201"/>
    <w:rsid w:val="009273C0"/>
    <w:rsid w:val="00930FD4"/>
    <w:rsid w:val="00931B89"/>
    <w:rsid w:val="00937B2D"/>
    <w:rsid w:val="00954DCE"/>
    <w:rsid w:val="00955F14"/>
    <w:rsid w:val="009612B3"/>
    <w:rsid w:val="00963E6C"/>
    <w:rsid w:val="00967BEC"/>
    <w:rsid w:val="009748ED"/>
    <w:rsid w:val="00974DDC"/>
    <w:rsid w:val="00981FDE"/>
    <w:rsid w:val="00987A1F"/>
    <w:rsid w:val="009917B7"/>
    <w:rsid w:val="00994298"/>
    <w:rsid w:val="00996725"/>
    <w:rsid w:val="009A51FB"/>
    <w:rsid w:val="009B0E35"/>
    <w:rsid w:val="009B3E7B"/>
    <w:rsid w:val="009C3A55"/>
    <w:rsid w:val="009D2428"/>
    <w:rsid w:val="009D520F"/>
    <w:rsid w:val="009E3649"/>
    <w:rsid w:val="009E4A8D"/>
    <w:rsid w:val="00A00047"/>
    <w:rsid w:val="00A20654"/>
    <w:rsid w:val="00A27D95"/>
    <w:rsid w:val="00A32D9B"/>
    <w:rsid w:val="00A33FCE"/>
    <w:rsid w:val="00A35291"/>
    <w:rsid w:val="00A35B70"/>
    <w:rsid w:val="00A47901"/>
    <w:rsid w:val="00A51648"/>
    <w:rsid w:val="00A633B9"/>
    <w:rsid w:val="00A72BD0"/>
    <w:rsid w:val="00A9445E"/>
    <w:rsid w:val="00A94B18"/>
    <w:rsid w:val="00AA34A5"/>
    <w:rsid w:val="00AB133E"/>
    <w:rsid w:val="00AB2265"/>
    <w:rsid w:val="00AC4469"/>
    <w:rsid w:val="00B01DC9"/>
    <w:rsid w:val="00B217CF"/>
    <w:rsid w:val="00B25DE2"/>
    <w:rsid w:val="00B306C8"/>
    <w:rsid w:val="00B62111"/>
    <w:rsid w:val="00B62D61"/>
    <w:rsid w:val="00B6324E"/>
    <w:rsid w:val="00B6349A"/>
    <w:rsid w:val="00B856B2"/>
    <w:rsid w:val="00B93AB2"/>
    <w:rsid w:val="00B94112"/>
    <w:rsid w:val="00BA2236"/>
    <w:rsid w:val="00BA44E1"/>
    <w:rsid w:val="00BB3F34"/>
    <w:rsid w:val="00BD5588"/>
    <w:rsid w:val="00BF1EAB"/>
    <w:rsid w:val="00BF3017"/>
    <w:rsid w:val="00C0021B"/>
    <w:rsid w:val="00C25F10"/>
    <w:rsid w:val="00C465F6"/>
    <w:rsid w:val="00C50108"/>
    <w:rsid w:val="00C52571"/>
    <w:rsid w:val="00C61606"/>
    <w:rsid w:val="00C62C8B"/>
    <w:rsid w:val="00C63735"/>
    <w:rsid w:val="00C72631"/>
    <w:rsid w:val="00C778B3"/>
    <w:rsid w:val="00C80D87"/>
    <w:rsid w:val="00C80FC6"/>
    <w:rsid w:val="00C82192"/>
    <w:rsid w:val="00CA2F68"/>
    <w:rsid w:val="00CB1914"/>
    <w:rsid w:val="00CC26A3"/>
    <w:rsid w:val="00CD5295"/>
    <w:rsid w:val="00CD78EA"/>
    <w:rsid w:val="00CE00B1"/>
    <w:rsid w:val="00CE46CB"/>
    <w:rsid w:val="00CE51FA"/>
    <w:rsid w:val="00CE766F"/>
    <w:rsid w:val="00CF03AE"/>
    <w:rsid w:val="00D01CF7"/>
    <w:rsid w:val="00D11487"/>
    <w:rsid w:val="00D21D22"/>
    <w:rsid w:val="00D247CC"/>
    <w:rsid w:val="00D250D3"/>
    <w:rsid w:val="00D25B5B"/>
    <w:rsid w:val="00D46302"/>
    <w:rsid w:val="00D46C0B"/>
    <w:rsid w:val="00D52AC0"/>
    <w:rsid w:val="00D70EA6"/>
    <w:rsid w:val="00D7471B"/>
    <w:rsid w:val="00D7704F"/>
    <w:rsid w:val="00D7745F"/>
    <w:rsid w:val="00D847F3"/>
    <w:rsid w:val="00D9361D"/>
    <w:rsid w:val="00DA63FF"/>
    <w:rsid w:val="00DB1F30"/>
    <w:rsid w:val="00DB2312"/>
    <w:rsid w:val="00DB6F65"/>
    <w:rsid w:val="00DC1A0E"/>
    <w:rsid w:val="00DC4D1A"/>
    <w:rsid w:val="00DD2FF8"/>
    <w:rsid w:val="00DF0F8A"/>
    <w:rsid w:val="00DF4901"/>
    <w:rsid w:val="00DF559D"/>
    <w:rsid w:val="00DF6FE0"/>
    <w:rsid w:val="00E01929"/>
    <w:rsid w:val="00E07279"/>
    <w:rsid w:val="00E12D2A"/>
    <w:rsid w:val="00E21421"/>
    <w:rsid w:val="00E33215"/>
    <w:rsid w:val="00E33A1D"/>
    <w:rsid w:val="00E378CC"/>
    <w:rsid w:val="00E44472"/>
    <w:rsid w:val="00E70DC7"/>
    <w:rsid w:val="00E85D45"/>
    <w:rsid w:val="00E946C7"/>
    <w:rsid w:val="00EA418B"/>
    <w:rsid w:val="00EA4564"/>
    <w:rsid w:val="00EB5FB3"/>
    <w:rsid w:val="00EC2FCA"/>
    <w:rsid w:val="00EC37AE"/>
    <w:rsid w:val="00EC385B"/>
    <w:rsid w:val="00EC62FB"/>
    <w:rsid w:val="00ED25F7"/>
    <w:rsid w:val="00ED5DFB"/>
    <w:rsid w:val="00EF2397"/>
    <w:rsid w:val="00EF6367"/>
    <w:rsid w:val="00F1625D"/>
    <w:rsid w:val="00F22C77"/>
    <w:rsid w:val="00F22E57"/>
    <w:rsid w:val="00F24124"/>
    <w:rsid w:val="00F3654E"/>
    <w:rsid w:val="00F516A2"/>
    <w:rsid w:val="00F559B5"/>
    <w:rsid w:val="00F61988"/>
    <w:rsid w:val="00F7264B"/>
    <w:rsid w:val="00F80B15"/>
    <w:rsid w:val="00F83FB2"/>
    <w:rsid w:val="00F915D4"/>
    <w:rsid w:val="00FA1CDE"/>
    <w:rsid w:val="00FA44BC"/>
    <w:rsid w:val="00FA4F54"/>
    <w:rsid w:val="00FB18D3"/>
    <w:rsid w:val="00FD6CC0"/>
    <w:rsid w:val="00FE5FB1"/>
    <w:rsid w:val="00FE6F88"/>
    <w:rsid w:val="00FF1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C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F01"/>
    <w:pPr>
      <w:tabs>
        <w:tab w:val="center" w:pos="4153"/>
        <w:tab w:val="right" w:pos="8306"/>
      </w:tabs>
    </w:pPr>
  </w:style>
  <w:style w:type="character" w:customStyle="1" w:styleId="HeaderChar">
    <w:name w:val="Header Char"/>
    <w:basedOn w:val="DefaultParagraphFont"/>
    <w:link w:val="Header"/>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E33A1D"/>
    <w:rPr>
      <w:color w:val="605E5C"/>
      <w:shd w:val="clear" w:color="auto" w:fill="E1DFDD"/>
    </w:rPr>
  </w:style>
  <w:style w:type="paragraph" w:styleId="Revision">
    <w:name w:val="Revision"/>
    <w:hidden/>
    <w:uiPriority w:val="99"/>
    <w:semiHidden/>
    <w:rsid w:val="00DB1F30"/>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A4E5B"/>
    <w:rPr>
      <w:color w:val="800080" w:themeColor="followedHyperlink"/>
      <w:u w:val="single"/>
    </w:rPr>
  </w:style>
  <w:style w:type="paragraph" w:styleId="FootnoteText">
    <w:name w:val="footnote text"/>
    <w:basedOn w:val="Normal"/>
    <w:link w:val="FootnoteTextChar"/>
    <w:uiPriority w:val="99"/>
    <w:semiHidden/>
    <w:unhideWhenUsed/>
    <w:rsid w:val="0002072E"/>
    <w:rPr>
      <w:sz w:val="20"/>
      <w:szCs w:val="20"/>
    </w:rPr>
  </w:style>
  <w:style w:type="character" w:customStyle="1" w:styleId="FootnoteTextChar">
    <w:name w:val="Footnote Text Char"/>
    <w:basedOn w:val="DefaultParagraphFont"/>
    <w:link w:val="FootnoteText"/>
    <w:uiPriority w:val="99"/>
    <w:semiHidden/>
    <w:rsid w:val="0002072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20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03FF-9940-41C1-B403-9F7F7B77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9</Pages>
  <Words>12303</Words>
  <Characters>7014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projekta "Par Ministru kabineta 2016. gada 22. marta noteikumu Nr. 173 "Darbības programmas "Izaugsme un nodarbinātība" 6.1.4. specifiskā atbalsta mērķa "Pilsētu infrastruktūras sasaiste ar TEN-T tīklu" 6.1.4.1. pasākuma "Rīgas</vt:lpstr>
    </vt:vector>
  </TitlesOfParts>
  <Company>Satiksmes ministrija</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2016. gada 22. marta noteikumu Nr. 173 "Darbības programmas "Izaugsme un nodarbinātība" 6.1.4. specifiskā atbalsta mērķa "Pilsētu infrastruktūras sasaiste ar TEN-T tīklu" 6.1.4.1. pasākuma "Rīgas ostas un Rīgas pilsētas integrēšana TEN-T tīklā" īstenošanas noteikumi" atzīšanu par spēku zaudējušiem" sākotnējās ietekmes novērtējuma ziņojums (anotācija)</dc:title>
  <dc:creator>Kaspars.Slihta@sam.gov.lv</dc:creator>
  <dc:description>67028395; kaspars.slihta@sam.gov.lv</dc:description>
  <cp:lastModifiedBy>Ineta Vula</cp:lastModifiedBy>
  <cp:revision>78</cp:revision>
  <cp:lastPrinted>2020-01-09T13:50:00Z</cp:lastPrinted>
  <dcterms:created xsi:type="dcterms:W3CDTF">2019-11-26T09:16:00Z</dcterms:created>
  <dcterms:modified xsi:type="dcterms:W3CDTF">2020-03-10T12:46:00Z</dcterms:modified>
</cp:coreProperties>
</file>