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A7952" w14:textId="77777777" w:rsidR="0057456B" w:rsidRPr="0057456B" w:rsidRDefault="0057456B" w:rsidP="0057456B">
      <w:pPr>
        <w:spacing w:after="0" w:line="240" w:lineRule="auto"/>
        <w:jc w:val="center"/>
        <w:outlineLvl w:val="0"/>
        <w:rPr>
          <w:rFonts w:ascii="Times New Roman" w:eastAsia="Times New Roman" w:hAnsi="Times New Roman" w:cs="Times New Roman"/>
          <w:b/>
          <w:sz w:val="24"/>
          <w:szCs w:val="24"/>
        </w:rPr>
      </w:pPr>
      <w:r w:rsidRPr="0057456B">
        <w:rPr>
          <w:rFonts w:ascii="Times New Roman" w:eastAsia="Times New Roman" w:hAnsi="Times New Roman" w:cs="Times New Roman"/>
          <w:b/>
          <w:sz w:val="24"/>
          <w:szCs w:val="24"/>
        </w:rPr>
        <w:t>Ministru kabineta noteikumu projekta</w:t>
      </w:r>
    </w:p>
    <w:p w14:paraId="64CD0A9D" w14:textId="77777777" w:rsidR="0057456B" w:rsidRPr="0057456B" w:rsidRDefault="0057456B" w:rsidP="0057456B">
      <w:pPr>
        <w:spacing w:after="0" w:line="240" w:lineRule="auto"/>
        <w:jc w:val="center"/>
        <w:rPr>
          <w:rFonts w:ascii="Times New Roman" w:eastAsia="Times New Roman" w:hAnsi="Times New Roman" w:cs="Times New Roman"/>
          <w:b/>
          <w:bCs/>
          <w:sz w:val="24"/>
          <w:szCs w:val="24"/>
          <w:lang w:eastAsia="lv-LV"/>
        </w:rPr>
      </w:pPr>
      <w:r w:rsidRPr="0057456B">
        <w:rPr>
          <w:rFonts w:ascii="Times New Roman" w:eastAsia="Times New Roman" w:hAnsi="Times New Roman" w:cs="Times New Roman"/>
          <w:b/>
          <w:sz w:val="24"/>
          <w:szCs w:val="24"/>
          <w:lang w:eastAsia="lv-LV"/>
        </w:rPr>
        <w:t>“Grozījumi Ministru kabineta 2005. gada 1. februāra noteikumos Nr.79 „Dzelzceļa zemes nodalījuma joslas ekspluatācijas noteikumi””</w:t>
      </w:r>
    </w:p>
    <w:p w14:paraId="291D2259" w14:textId="77777777" w:rsidR="0057456B" w:rsidRPr="0057456B" w:rsidRDefault="0057456B" w:rsidP="0057456B">
      <w:pPr>
        <w:spacing w:after="0" w:line="240" w:lineRule="auto"/>
        <w:jc w:val="center"/>
        <w:rPr>
          <w:rFonts w:ascii="Times New Roman" w:eastAsia="Times New Roman" w:hAnsi="Times New Roman" w:cs="Times New Roman"/>
          <w:b/>
          <w:bCs/>
          <w:sz w:val="24"/>
          <w:szCs w:val="24"/>
          <w:lang w:eastAsia="lv-LV"/>
        </w:rPr>
      </w:pPr>
      <w:r w:rsidRPr="0057456B">
        <w:rPr>
          <w:rFonts w:ascii="Times New Roman" w:eastAsia="Times New Roman" w:hAnsi="Times New Roman" w:cs="Times New Roman"/>
          <w:b/>
          <w:bCs/>
          <w:sz w:val="24"/>
          <w:szCs w:val="24"/>
          <w:lang w:eastAsia="lv-LV"/>
        </w:rPr>
        <w:t>sākotnējās ietekmes novērtējuma ziņojums (anotācija)</w:t>
      </w:r>
    </w:p>
    <w:p w14:paraId="5DBB66BA" w14:textId="77777777" w:rsidR="0057456B" w:rsidRPr="0057456B" w:rsidRDefault="0057456B" w:rsidP="0057456B">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5"/>
        <w:gridCol w:w="5902"/>
      </w:tblGrid>
      <w:tr w:rsidR="0057456B" w:rsidRPr="0057456B" w14:paraId="15D0DF24" w14:textId="77777777" w:rsidTr="001A7DAB">
        <w:trPr>
          <w:trHeight w:val="419"/>
        </w:trPr>
        <w:tc>
          <w:tcPr>
            <w:tcW w:w="5000" w:type="pct"/>
            <w:gridSpan w:val="2"/>
            <w:vAlign w:val="center"/>
          </w:tcPr>
          <w:p w14:paraId="7960E8D3" w14:textId="77777777" w:rsidR="0057456B" w:rsidRPr="0057456B" w:rsidRDefault="0057456B" w:rsidP="0057456B">
            <w:pPr>
              <w:spacing w:after="0" w:line="240" w:lineRule="auto"/>
              <w:ind w:left="57" w:right="57"/>
              <w:jc w:val="center"/>
              <w:rPr>
                <w:rFonts w:ascii="Times New Roman" w:eastAsia="Times New Roman" w:hAnsi="Times New Roman" w:cs="Times New Roman"/>
                <w:b/>
                <w:sz w:val="24"/>
                <w:szCs w:val="24"/>
                <w:lang w:eastAsia="lv-LV"/>
              </w:rPr>
            </w:pPr>
            <w:r w:rsidRPr="0057456B">
              <w:rPr>
                <w:rFonts w:ascii="Times New Roman" w:eastAsia="Times New Roman" w:hAnsi="Times New Roman" w:cs="Times New Roman"/>
                <w:b/>
                <w:sz w:val="24"/>
                <w:szCs w:val="24"/>
                <w:lang w:eastAsia="lv-LV"/>
              </w:rPr>
              <w:t xml:space="preserve">Tiesību akta projekta anotācijas </w:t>
            </w:r>
            <w:r w:rsidRPr="0057456B">
              <w:rPr>
                <w:rFonts w:ascii="Times New Roman" w:eastAsia="Times New Roman" w:hAnsi="Times New Roman" w:cs="Times New Roman"/>
                <w:b/>
                <w:bCs/>
                <w:iCs/>
                <w:sz w:val="24"/>
                <w:szCs w:val="24"/>
                <w:lang w:eastAsia="lv-LV"/>
              </w:rPr>
              <w:t>kopsavilkums</w:t>
            </w:r>
          </w:p>
        </w:tc>
      </w:tr>
      <w:tr w:rsidR="0057456B" w:rsidRPr="0057456B" w14:paraId="2E6990FE" w14:textId="77777777" w:rsidTr="001A7DAB">
        <w:trPr>
          <w:trHeight w:val="415"/>
        </w:trPr>
        <w:tc>
          <w:tcPr>
            <w:tcW w:w="1742" w:type="pct"/>
          </w:tcPr>
          <w:p w14:paraId="090D1E8E"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iCs/>
                <w:sz w:val="24"/>
                <w:szCs w:val="24"/>
                <w:lang w:eastAsia="lv-LV"/>
              </w:rPr>
              <w:t>Mērķis, risinājums un projekta spēkā stāšanās laiks (500 zīmes bez atstarpēm)</w:t>
            </w:r>
          </w:p>
        </w:tc>
        <w:tc>
          <w:tcPr>
            <w:tcW w:w="3258" w:type="pct"/>
          </w:tcPr>
          <w:p w14:paraId="5759E315" w14:textId="137F4A42" w:rsidR="0057456B" w:rsidRPr="0057456B" w:rsidRDefault="0057456B" w:rsidP="0057456B">
            <w:pPr>
              <w:spacing w:after="0" w:line="240" w:lineRule="auto"/>
              <w:ind w:firstLine="673"/>
              <w:jc w:val="both"/>
              <w:rPr>
                <w:rFonts w:ascii="Times New Roman" w:eastAsia="Times New Roman" w:hAnsi="Times New Roman" w:cs="Times New Roman"/>
                <w:color w:val="000000"/>
                <w:sz w:val="24"/>
                <w:szCs w:val="24"/>
                <w:lang w:eastAsia="lv-LV"/>
              </w:rPr>
            </w:pPr>
            <w:r w:rsidRPr="0057456B">
              <w:rPr>
                <w:rFonts w:ascii="Times New Roman" w:eastAsia="Times New Roman" w:hAnsi="Times New Roman" w:cs="Times New Roman"/>
                <w:sz w:val="24"/>
                <w:szCs w:val="24"/>
                <w:lang w:eastAsia="lv-LV"/>
              </w:rPr>
              <w:t>Ministru kabineta noteikumu projekts “Grozījumi Ministru kabineta 2005. gada 1. februāra noteikumos Nr.79 „Dzelzceļa zemes nodalījuma joslas ekspluatācijas noteikumi”” (turpmāk – noteikumu projekts) izstrādāts, lai precizētu noteikumu 7.punkta ievaddaļu atbilstoši aktuālajam Eiropas Savienības tiesību regulējumam, kā arī papildinātu dzelzceļa nodalījuma joslā pieļaujamo darbību uzskaitījumu.</w:t>
            </w:r>
          </w:p>
        </w:tc>
      </w:tr>
    </w:tbl>
    <w:p w14:paraId="22EC3D7D" w14:textId="77777777" w:rsidR="0057456B" w:rsidRPr="0057456B" w:rsidRDefault="0057456B" w:rsidP="0057456B">
      <w:pPr>
        <w:tabs>
          <w:tab w:val="left" w:pos="1125"/>
        </w:tabs>
        <w:spacing w:after="0" w:line="240" w:lineRule="auto"/>
        <w:rPr>
          <w:rFonts w:ascii="Times New Roman" w:eastAsia="Times New Roman" w:hAnsi="Times New Roman" w:cs="Times New Roman"/>
          <w:sz w:val="24"/>
          <w:lang w:eastAsia="lv-LV"/>
        </w:rPr>
      </w:pPr>
    </w:p>
    <w:tbl>
      <w:tblPr>
        <w:tblpPr w:leftFromText="180" w:rightFromText="180" w:vertAnchor="text" w:horzAnchor="margin" w:tblpXSpec="center" w:tblpY="14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9"/>
        <w:gridCol w:w="2725"/>
        <w:gridCol w:w="5905"/>
      </w:tblGrid>
      <w:tr w:rsidR="0057456B" w:rsidRPr="0057456B" w14:paraId="773933B8" w14:textId="77777777" w:rsidTr="001A7DAB">
        <w:trPr>
          <w:trHeight w:val="419"/>
        </w:trPr>
        <w:tc>
          <w:tcPr>
            <w:tcW w:w="5000" w:type="pct"/>
            <w:gridSpan w:val="3"/>
            <w:vAlign w:val="center"/>
          </w:tcPr>
          <w:p w14:paraId="5BFF9663" w14:textId="77777777" w:rsidR="0057456B" w:rsidRPr="0057456B" w:rsidRDefault="0057456B" w:rsidP="0057456B">
            <w:pPr>
              <w:spacing w:after="0" w:line="240" w:lineRule="auto"/>
              <w:ind w:left="57" w:right="57"/>
              <w:jc w:val="center"/>
              <w:rPr>
                <w:rFonts w:ascii="Times New Roman" w:eastAsia="Times New Roman" w:hAnsi="Times New Roman" w:cs="Times New Roman"/>
                <w:b/>
                <w:sz w:val="24"/>
                <w:szCs w:val="24"/>
                <w:lang w:eastAsia="lv-LV"/>
              </w:rPr>
            </w:pPr>
            <w:r w:rsidRPr="0057456B">
              <w:rPr>
                <w:rFonts w:ascii="Times New Roman" w:eastAsia="Times New Roman" w:hAnsi="Times New Roman" w:cs="Times New Roman"/>
                <w:b/>
                <w:sz w:val="24"/>
                <w:szCs w:val="24"/>
                <w:lang w:eastAsia="lv-LV"/>
              </w:rPr>
              <w:t>I. Tiesību akta projekta izstrādes nepieciešamība</w:t>
            </w:r>
          </w:p>
        </w:tc>
      </w:tr>
      <w:tr w:rsidR="0057456B" w:rsidRPr="0057456B" w14:paraId="621975EB" w14:textId="77777777" w:rsidTr="001A7DAB">
        <w:trPr>
          <w:trHeight w:val="415"/>
        </w:trPr>
        <w:tc>
          <w:tcPr>
            <w:tcW w:w="237" w:type="pct"/>
          </w:tcPr>
          <w:p w14:paraId="68821F4A" w14:textId="77777777" w:rsidR="0057456B" w:rsidRPr="0057456B" w:rsidRDefault="0057456B" w:rsidP="0057456B">
            <w:pPr>
              <w:spacing w:after="0" w:line="240" w:lineRule="auto"/>
              <w:ind w:left="57" w:right="57"/>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1.</w:t>
            </w:r>
          </w:p>
        </w:tc>
        <w:tc>
          <w:tcPr>
            <w:tcW w:w="1504" w:type="pct"/>
          </w:tcPr>
          <w:p w14:paraId="62F7470D"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Pamatojums</w:t>
            </w:r>
          </w:p>
        </w:tc>
        <w:tc>
          <w:tcPr>
            <w:tcW w:w="3257" w:type="pct"/>
          </w:tcPr>
          <w:p w14:paraId="436DB083" w14:textId="1F0B6F87" w:rsidR="0057456B" w:rsidRPr="0057456B" w:rsidRDefault="005F2333" w:rsidP="0057456B">
            <w:pPr>
              <w:spacing w:after="0" w:line="240" w:lineRule="auto"/>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Satiksmes ministrijas iniciatīva</w:t>
            </w:r>
          </w:p>
        </w:tc>
      </w:tr>
      <w:tr w:rsidR="0057456B" w:rsidRPr="0057456B" w14:paraId="76BEEBF1" w14:textId="77777777" w:rsidTr="001A7DAB">
        <w:trPr>
          <w:trHeight w:val="472"/>
        </w:trPr>
        <w:tc>
          <w:tcPr>
            <w:tcW w:w="237" w:type="pct"/>
          </w:tcPr>
          <w:p w14:paraId="05CD9A88" w14:textId="77777777" w:rsidR="0057456B" w:rsidRPr="0057456B" w:rsidRDefault="0057456B" w:rsidP="0057456B">
            <w:pPr>
              <w:spacing w:after="0" w:line="240" w:lineRule="auto"/>
              <w:ind w:left="57" w:right="57"/>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2.</w:t>
            </w:r>
          </w:p>
        </w:tc>
        <w:tc>
          <w:tcPr>
            <w:tcW w:w="1504" w:type="pct"/>
          </w:tcPr>
          <w:p w14:paraId="3BAE04EF" w14:textId="77777777" w:rsidR="0057456B" w:rsidRPr="0057456B" w:rsidRDefault="0057456B" w:rsidP="0057456B">
            <w:pPr>
              <w:tabs>
                <w:tab w:val="left" w:pos="170"/>
              </w:tabs>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57" w:type="pct"/>
          </w:tcPr>
          <w:p w14:paraId="1E002123" w14:textId="14C25155" w:rsidR="0057456B" w:rsidRPr="0057456B" w:rsidRDefault="0057456B" w:rsidP="0057456B">
            <w:pPr>
              <w:spacing w:after="0" w:line="240" w:lineRule="auto"/>
              <w:ind w:firstLine="673"/>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Kopš 2015.gada 21.maija visās ES dalībvalstīs ar tiešo piemērojamību spēkā ir  Eiropas Komisijas 2013.gada 30.aprīļa īstenošanas regula (ES) Nr. 402/2013 par kopīgo drošības metodi riska noteikšanai un novērtēšanai un par regulas  (EK) Nr.352/2009 atcelšanu (turpmāk – Regula). Šo Regulu piemēro dzelzceļa sistēmas izmaiņu priekšlikuma iesniedzējam, tostarp infrastruktūras pārvaldītājam, attiecībā uz izmaiņām, kas saistītas ar tehniskiem, ekspluatācijas vai organizatoriskiem aspektiem. Noteikumu projektā tiek iekļauta atsauce uz Regulu saistībā ar tās piemērošanu dzelzceļa nodalījuma joslas plānotajai izmantošanai. Tā kā Regula tiek piemērota izmaiņām dzelzceļa sistēmā, izmaiņu virzītājam (jeb priekšlikuma iesniedzējam) ir jāizvērtē</w:t>
            </w:r>
            <w:r w:rsidR="005F2333">
              <w:rPr>
                <w:rFonts w:ascii="Times New Roman" w:eastAsia="Times New Roman" w:hAnsi="Times New Roman" w:cs="Times New Roman"/>
                <w:sz w:val="24"/>
                <w:szCs w:val="24"/>
                <w:lang w:eastAsia="lv-LV"/>
              </w:rPr>
              <w:t>,</w:t>
            </w:r>
            <w:r w:rsidRPr="0057456B">
              <w:rPr>
                <w:rFonts w:ascii="Times New Roman" w:eastAsia="Times New Roman" w:hAnsi="Times New Roman" w:cs="Times New Roman"/>
                <w:sz w:val="24"/>
                <w:szCs w:val="24"/>
                <w:lang w:eastAsia="lv-LV"/>
              </w:rPr>
              <w:t xml:space="preserve"> vai izmaiņas ietekmēs drošību. Sekojot Regulā ietvertajiem kritērijiem, tiek noteikts, vai izmaiņas ir nebūtiskas</w:t>
            </w:r>
            <w:r w:rsidR="005F2333">
              <w:rPr>
                <w:rFonts w:ascii="Times New Roman" w:eastAsia="Times New Roman" w:hAnsi="Times New Roman" w:cs="Times New Roman"/>
                <w:sz w:val="24"/>
                <w:szCs w:val="24"/>
                <w:lang w:eastAsia="lv-LV"/>
              </w:rPr>
              <w:t>,</w:t>
            </w:r>
            <w:r w:rsidRPr="0057456B">
              <w:rPr>
                <w:rFonts w:ascii="Times New Roman" w:eastAsia="Times New Roman" w:hAnsi="Times New Roman" w:cs="Times New Roman"/>
                <w:sz w:val="24"/>
                <w:szCs w:val="24"/>
                <w:lang w:eastAsia="lv-LV"/>
              </w:rPr>
              <w:t xml:space="preserve">  vai arī izmaiņas ir būtiskas un tām ir nepie</w:t>
            </w:r>
            <w:r w:rsidR="000B7911">
              <w:rPr>
                <w:rFonts w:ascii="Times New Roman" w:eastAsia="Times New Roman" w:hAnsi="Times New Roman" w:cs="Times New Roman"/>
                <w:sz w:val="24"/>
                <w:szCs w:val="24"/>
                <w:lang w:eastAsia="lv-LV"/>
              </w:rPr>
              <w:t>cie</w:t>
            </w:r>
            <w:r w:rsidRPr="0057456B">
              <w:rPr>
                <w:rFonts w:ascii="Times New Roman" w:eastAsia="Times New Roman" w:hAnsi="Times New Roman" w:cs="Times New Roman"/>
                <w:sz w:val="24"/>
                <w:szCs w:val="24"/>
                <w:lang w:eastAsia="lv-LV"/>
              </w:rPr>
              <w:t>šams veikt risku vadības pasākumus. Risku vadības piemērošanu</w:t>
            </w:r>
            <w:r w:rsidR="005F2333">
              <w:rPr>
                <w:rFonts w:ascii="Times New Roman" w:eastAsia="Times New Roman" w:hAnsi="Times New Roman" w:cs="Times New Roman"/>
                <w:sz w:val="24"/>
                <w:szCs w:val="24"/>
                <w:lang w:eastAsia="lv-LV"/>
              </w:rPr>
              <w:t>,</w:t>
            </w:r>
            <w:r w:rsidRPr="0057456B">
              <w:rPr>
                <w:rFonts w:ascii="Times New Roman" w:eastAsia="Times New Roman" w:hAnsi="Times New Roman" w:cs="Times New Roman"/>
                <w:sz w:val="24"/>
                <w:szCs w:val="24"/>
                <w:lang w:eastAsia="lv-LV"/>
              </w:rPr>
              <w:t xml:space="preserve"> savukārt</w:t>
            </w:r>
            <w:r w:rsidR="005F2333">
              <w:rPr>
                <w:rFonts w:ascii="Times New Roman" w:eastAsia="Times New Roman" w:hAnsi="Times New Roman" w:cs="Times New Roman"/>
                <w:sz w:val="24"/>
                <w:szCs w:val="24"/>
                <w:lang w:eastAsia="lv-LV"/>
              </w:rPr>
              <w:t>,</w:t>
            </w:r>
            <w:r w:rsidRPr="0057456B">
              <w:rPr>
                <w:rFonts w:ascii="Times New Roman" w:eastAsia="Times New Roman" w:hAnsi="Times New Roman" w:cs="Times New Roman"/>
                <w:sz w:val="24"/>
                <w:szCs w:val="24"/>
                <w:lang w:eastAsia="lv-LV"/>
              </w:rPr>
              <w:t xml:space="preserve"> jānovērtē neatkarīgai novērtēšanas iestādei, kura atbilst Regulas prasībām.</w:t>
            </w:r>
          </w:p>
          <w:p w14:paraId="06040D2A" w14:textId="77777777" w:rsidR="0057456B" w:rsidRPr="0057456B" w:rsidRDefault="0057456B" w:rsidP="0057456B">
            <w:pPr>
              <w:spacing w:after="0" w:line="240" w:lineRule="auto"/>
              <w:ind w:firstLine="673"/>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Regulas mērķis ir harmonizēt risku noteikšanas un novērtēšanas procesus, kā arī šo procesu rezultātā sagatavotos pierādījumus un dokumentāciju. Vienota procesa ieviešana būtiski samazina veicamās darbības, lai vienā ES dalībvalstī veiktu novērtējumu atzītu citā ES dalībvalstī savstarpējās atzīšanas procedūras ietvarā.</w:t>
            </w:r>
          </w:p>
          <w:p w14:paraId="6479C8BE" w14:textId="7DB6E1B2" w:rsidR="0057456B" w:rsidRPr="0057456B" w:rsidRDefault="0057456B" w:rsidP="0057456B">
            <w:pPr>
              <w:spacing w:after="0" w:line="240" w:lineRule="auto"/>
              <w:ind w:firstLine="673"/>
              <w:jc w:val="both"/>
              <w:rPr>
                <w:rFonts w:ascii="Times New Roman" w:eastAsia="Times New Roman" w:hAnsi="Times New Roman" w:cs="Times New Roman"/>
                <w:color w:val="000000"/>
                <w:sz w:val="24"/>
                <w:szCs w:val="24"/>
                <w:lang w:eastAsia="lv-LV"/>
              </w:rPr>
            </w:pPr>
            <w:r w:rsidRPr="0057456B">
              <w:rPr>
                <w:rFonts w:ascii="Times New Roman" w:eastAsia="Times New Roman" w:hAnsi="Times New Roman" w:cs="Times New Roman"/>
                <w:color w:val="000000"/>
                <w:sz w:val="24"/>
                <w:szCs w:val="24"/>
                <w:lang w:eastAsia="lv-LV"/>
              </w:rPr>
              <w:t xml:space="preserve">Attiecībā uz dzelzceļa nodalījuma joslas izmantošanas mērķiem ar noteikumu projektu tiek papildināts 7.2.apakšpunkts, paredzot, ka dzelzceļa nodalījuma joslā ir atļauta transporta apkalpojošās infrastruktūras </w:t>
            </w:r>
            <w:r w:rsidR="005F2333">
              <w:rPr>
                <w:rFonts w:ascii="Times New Roman" w:eastAsia="Times New Roman" w:hAnsi="Times New Roman" w:cs="Times New Roman"/>
                <w:color w:val="000000"/>
                <w:sz w:val="24"/>
                <w:szCs w:val="24"/>
                <w:lang w:eastAsia="lv-LV"/>
              </w:rPr>
              <w:t>būvniecība</w:t>
            </w:r>
            <w:r w:rsidRPr="0057456B">
              <w:rPr>
                <w:rFonts w:ascii="Times New Roman" w:eastAsia="Times New Roman" w:hAnsi="Times New Roman" w:cs="Times New Roman"/>
                <w:color w:val="000000"/>
                <w:sz w:val="24"/>
                <w:szCs w:val="24"/>
                <w:lang w:eastAsia="lv-LV"/>
              </w:rPr>
              <w:t>. Šīs izmaiņas ir nep</w:t>
            </w:r>
            <w:r w:rsidR="000B7911">
              <w:rPr>
                <w:rFonts w:ascii="Times New Roman" w:eastAsia="Times New Roman" w:hAnsi="Times New Roman" w:cs="Times New Roman"/>
                <w:color w:val="000000"/>
                <w:sz w:val="24"/>
                <w:szCs w:val="24"/>
                <w:lang w:eastAsia="lv-LV"/>
              </w:rPr>
              <w:t>ie</w:t>
            </w:r>
            <w:r w:rsidRPr="0057456B">
              <w:rPr>
                <w:rFonts w:ascii="Times New Roman" w:eastAsia="Times New Roman" w:hAnsi="Times New Roman" w:cs="Times New Roman"/>
                <w:color w:val="000000"/>
                <w:sz w:val="24"/>
                <w:szCs w:val="24"/>
                <w:lang w:eastAsia="lv-LV"/>
              </w:rPr>
              <w:t xml:space="preserve">ciešamas, lai telpu, kas dzelzceļa līnijas Rail </w:t>
            </w:r>
            <w:proofErr w:type="spellStart"/>
            <w:r w:rsidRPr="0057456B">
              <w:rPr>
                <w:rFonts w:ascii="Times New Roman" w:eastAsia="Times New Roman" w:hAnsi="Times New Roman" w:cs="Times New Roman"/>
                <w:color w:val="000000"/>
                <w:sz w:val="24"/>
                <w:szCs w:val="24"/>
                <w:lang w:eastAsia="lv-LV"/>
              </w:rPr>
              <w:t>Baltica</w:t>
            </w:r>
            <w:proofErr w:type="spellEnd"/>
            <w:r w:rsidRPr="0057456B">
              <w:rPr>
                <w:rFonts w:ascii="Times New Roman" w:eastAsia="Times New Roman" w:hAnsi="Times New Roman" w:cs="Times New Roman"/>
                <w:color w:val="000000"/>
                <w:sz w:val="24"/>
                <w:szCs w:val="24"/>
                <w:lang w:eastAsia="lv-LV"/>
              </w:rPr>
              <w:t xml:space="preserve"> izbūves rezultātā  veidosies vietās, kur dzelzceļš </w:t>
            </w:r>
            <w:r w:rsidRPr="0057456B">
              <w:rPr>
                <w:rFonts w:ascii="Times New Roman" w:eastAsia="Times New Roman" w:hAnsi="Times New Roman" w:cs="Times New Roman"/>
                <w:color w:val="000000"/>
                <w:sz w:val="24"/>
                <w:szCs w:val="24"/>
                <w:lang w:eastAsia="lv-LV"/>
              </w:rPr>
              <w:lastRenderedPageBreak/>
              <w:t>atradīsies uz estakādes, pārvada, vai tml. varētu pilnvērtīgi izmantot nepi</w:t>
            </w:r>
            <w:r w:rsidR="000B7911">
              <w:rPr>
                <w:rFonts w:ascii="Times New Roman" w:eastAsia="Times New Roman" w:hAnsi="Times New Roman" w:cs="Times New Roman"/>
                <w:color w:val="000000"/>
                <w:sz w:val="24"/>
                <w:szCs w:val="24"/>
                <w:lang w:eastAsia="lv-LV"/>
              </w:rPr>
              <w:t>e</w:t>
            </w:r>
            <w:r w:rsidRPr="0057456B">
              <w:rPr>
                <w:rFonts w:ascii="Times New Roman" w:eastAsia="Times New Roman" w:hAnsi="Times New Roman" w:cs="Times New Roman"/>
                <w:color w:val="000000"/>
                <w:sz w:val="24"/>
                <w:szCs w:val="24"/>
                <w:lang w:eastAsia="lv-LV"/>
              </w:rPr>
              <w:t>ciešamajām transporta funkcijām.</w:t>
            </w:r>
          </w:p>
          <w:p w14:paraId="2F16FB9D" w14:textId="75AD85FB" w:rsidR="0057456B" w:rsidRPr="0057456B" w:rsidRDefault="0057456B" w:rsidP="00AA628F">
            <w:pPr>
              <w:spacing w:after="0" w:line="240" w:lineRule="auto"/>
              <w:ind w:firstLine="673"/>
              <w:jc w:val="both"/>
              <w:rPr>
                <w:rFonts w:ascii="Times New Roman" w:eastAsia="Times New Roman" w:hAnsi="Times New Roman" w:cs="Times New Roman"/>
                <w:color w:val="000000"/>
                <w:sz w:val="24"/>
                <w:szCs w:val="24"/>
                <w:lang w:eastAsia="lv-LV"/>
              </w:rPr>
            </w:pPr>
            <w:r w:rsidRPr="0057456B">
              <w:rPr>
                <w:rFonts w:ascii="Times New Roman" w:eastAsia="Times New Roman" w:hAnsi="Times New Roman" w:cs="Times New Roman"/>
                <w:color w:val="000000"/>
                <w:sz w:val="24"/>
                <w:szCs w:val="24"/>
                <w:lang w:eastAsia="lv-LV"/>
              </w:rPr>
              <w:t>Atbilstoši Ministru kabineta 2016.gada 24.augusta rīkojumam Nr.468</w:t>
            </w:r>
            <w:r w:rsidR="005F2333">
              <w:rPr>
                <w:rFonts w:ascii="Times New Roman" w:eastAsia="Times New Roman" w:hAnsi="Times New Roman" w:cs="Times New Roman"/>
                <w:color w:val="000000"/>
                <w:sz w:val="24"/>
                <w:szCs w:val="24"/>
                <w:lang w:eastAsia="lv-LV"/>
              </w:rPr>
              <w:t xml:space="preserve"> “</w:t>
            </w:r>
            <w:r w:rsidR="005F2333" w:rsidRPr="00AA628F">
              <w:rPr>
                <w:rFonts w:ascii="Times New Roman" w:eastAsia="Times New Roman" w:hAnsi="Times New Roman" w:cs="Times New Roman"/>
                <w:color w:val="000000"/>
                <w:sz w:val="24"/>
                <w:szCs w:val="24"/>
                <w:lang w:eastAsia="lv-LV"/>
              </w:rPr>
              <w:t xml:space="preserve">Par nacionālo interešu objekta statusa noteikšanu Eiropas standarta platuma publiskās lietošanas dzelzceļa infrastruktūrai Rail </w:t>
            </w:r>
            <w:proofErr w:type="spellStart"/>
            <w:r w:rsidR="005F2333" w:rsidRPr="00AA628F">
              <w:rPr>
                <w:rFonts w:ascii="Times New Roman" w:eastAsia="Times New Roman" w:hAnsi="Times New Roman" w:cs="Times New Roman"/>
                <w:color w:val="000000"/>
                <w:sz w:val="24"/>
                <w:szCs w:val="24"/>
                <w:lang w:eastAsia="lv-LV"/>
              </w:rPr>
              <w:t>Baltica</w:t>
            </w:r>
            <w:proofErr w:type="spellEnd"/>
            <w:r w:rsidR="005F2333">
              <w:rPr>
                <w:rFonts w:ascii="Times New Roman" w:eastAsia="Times New Roman" w:hAnsi="Times New Roman" w:cs="Times New Roman"/>
                <w:color w:val="000000"/>
                <w:sz w:val="24"/>
                <w:szCs w:val="24"/>
                <w:lang w:eastAsia="lv-LV"/>
              </w:rPr>
              <w:t>”</w:t>
            </w:r>
            <w:r w:rsidRPr="0057456B">
              <w:rPr>
                <w:rFonts w:ascii="Times New Roman" w:eastAsia="Times New Roman" w:hAnsi="Times New Roman" w:cs="Times New Roman"/>
                <w:color w:val="000000"/>
                <w:sz w:val="24"/>
                <w:szCs w:val="24"/>
                <w:lang w:eastAsia="lv-LV"/>
              </w:rPr>
              <w:t xml:space="preserve">, Eiropas standarta platuma publiskās lietošanas dzelzceļa infrastruktūrai Rail </w:t>
            </w:r>
            <w:proofErr w:type="spellStart"/>
            <w:r w:rsidRPr="0057456B">
              <w:rPr>
                <w:rFonts w:ascii="Times New Roman" w:eastAsia="Times New Roman" w:hAnsi="Times New Roman" w:cs="Times New Roman"/>
                <w:color w:val="000000"/>
                <w:sz w:val="24"/>
                <w:szCs w:val="24"/>
                <w:lang w:eastAsia="lv-LV"/>
              </w:rPr>
              <w:t>Baltica</w:t>
            </w:r>
            <w:proofErr w:type="spellEnd"/>
            <w:r w:rsidRPr="0057456B">
              <w:rPr>
                <w:rFonts w:ascii="Times New Roman" w:eastAsia="Times New Roman" w:hAnsi="Times New Roman" w:cs="Times New Roman"/>
                <w:color w:val="000000"/>
                <w:sz w:val="24"/>
                <w:szCs w:val="24"/>
                <w:lang w:eastAsia="lv-LV"/>
              </w:rPr>
              <w:t xml:space="preserve"> ar citām saistītajām būvēm ir  noteikts nacionālo interešu objekta statuss. Līdz ar to teritorijas plānojumos Rail </w:t>
            </w:r>
            <w:proofErr w:type="spellStart"/>
            <w:r w:rsidRPr="0057456B">
              <w:rPr>
                <w:rFonts w:ascii="Times New Roman" w:eastAsia="Times New Roman" w:hAnsi="Times New Roman" w:cs="Times New Roman"/>
                <w:color w:val="000000"/>
                <w:sz w:val="24"/>
                <w:szCs w:val="24"/>
                <w:lang w:eastAsia="lv-LV"/>
              </w:rPr>
              <w:t>Baltica</w:t>
            </w:r>
            <w:proofErr w:type="spellEnd"/>
            <w:r w:rsidRPr="0057456B">
              <w:rPr>
                <w:rFonts w:ascii="Times New Roman" w:eastAsia="Times New Roman" w:hAnsi="Times New Roman" w:cs="Times New Roman"/>
                <w:color w:val="000000"/>
                <w:sz w:val="24"/>
                <w:szCs w:val="24"/>
                <w:lang w:eastAsia="lv-LV"/>
              </w:rPr>
              <w:t xml:space="preserve"> būvniecībai nepieciešamā teritorija tiek noteikta kā “Nacionālas nozīmes infrastruktūras attīstības teritorija” (TIN71). Pēc Rail </w:t>
            </w:r>
            <w:proofErr w:type="spellStart"/>
            <w:r w:rsidRPr="0057456B">
              <w:rPr>
                <w:rFonts w:ascii="Times New Roman" w:eastAsia="Times New Roman" w:hAnsi="Times New Roman" w:cs="Times New Roman"/>
                <w:color w:val="000000"/>
                <w:sz w:val="24"/>
                <w:szCs w:val="24"/>
                <w:lang w:eastAsia="lv-LV"/>
              </w:rPr>
              <w:t>Baltica</w:t>
            </w:r>
            <w:proofErr w:type="spellEnd"/>
            <w:r w:rsidRPr="0057456B">
              <w:rPr>
                <w:rFonts w:ascii="Times New Roman" w:eastAsia="Times New Roman" w:hAnsi="Times New Roman" w:cs="Times New Roman"/>
                <w:color w:val="000000"/>
                <w:sz w:val="24"/>
                <w:szCs w:val="24"/>
                <w:lang w:eastAsia="lv-LV"/>
              </w:rPr>
              <w:t xml:space="preserve"> projekta pabeigšanas šai teritorijai tiks noteikta Transporta infrastruktūras teritorijas (TR) funkcionālā zona, kuru var izmantot arī transporta apkalpojošai infrastruktūrai. Ministru kabineta 2013.gada 30.aprīļa noteikumu Nr.240 “Vispārīgie teritorijas plānošanas, izmantošanas un apbūves noteikumi” 3.pielikumā (Teritorijas izmantošanas veidu klasifikators)  noteikts, ka transporta apkalpojošā infrastruktūra (14003) ietver ēkas sauszemes, gaisa un ūdens satiksmes pakalpojumu nodrošināšanai, tai skaitā dzelzceļa pasažieru stacijas, autoostas, lidostas, ostas, garāžas, atsevišķi iekārtotas atklātās autostāvvietas, </w:t>
            </w:r>
            <w:proofErr w:type="spellStart"/>
            <w:r w:rsidRPr="0057456B">
              <w:rPr>
                <w:rFonts w:ascii="Times New Roman" w:eastAsia="Times New Roman" w:hAnsi="Times New Roman" w:cs="Times New Roman"/>
                <w:color w:val="000000"/>
                <w:sz w:val="24"/>
                <w:szCs w:val="24"/>
                <w:lang w:eastAsia="lv-LV"/>
              </w:rPr>
              <w:t>stāvparkus</w:t>
            </w:r>
            <w:proofErr w:type="spellEnd"/>
            <w:r w:rsidRPr="0057456B">
              <w:rPr>
                <w:rFonts w:ascii="Times New Roman" w:eastAsia="Times New Roman" w:hAnsi="Times New Roman" w:cs="Times New Roman"/>
                <w:color w:val="000000"/>
                <w:sz w:val="24"/>
                <w:szCs w:val="24"/>
                <w:lang w:eastAsia="lv-LV"/>
              </w:rPr>
              <w:t>, daudzstāvu autostāvvietas.</w:t>
            </w:r>
          </w:p>
          <w:p w14:paraId="1FBF80AB" w14:textId="3F8D32A3" w:rsidR="0057456B" w:rsidRPr="0057456B" w:rsidRDefault="0057456B" w:rsidP="0057456B">
            <w:pPr>
              <w:spacing w:after="0" w:line="240" w:lineRule="auto"/>
              <w:ind w:firstLine="673"/>
              <w:jc w:val="both"/>
              <w:rPr>
                <w:rFonts w:ascii="Times New Roman" w:eastAsia="Times New Roman" w:hAnsi="Times New Roman" w:cs="Times New Roman"/>
                <w:color w:val="000000"/>
                <w:sz w:val="24"/>
                <w:szCs w:val="24"/>
                <w:lang w:eastAsia="lv-LV"/>
              </w:rPr>
            </w:pPr>
            <w:r w:rsidRPr="0057456B">
              <w:rPr>
                <w:rFonts w:ascii="Times New Roman" w:eastAsia="Times New Roman" w:hAnsi="Times New Roman" w:cs="Times New Roman"/>
                <w:color w:val="000000"/>
                <w:sz w:val="24"/>
                <w:szCs w:val="24"/>
                <w:lang w:eastAsia="lv-LV"/>
              </w:rPr>
              <w:t xml:space="preserve">Rail </w:t>
            </w:r>
            <w:proofErr w:type="spellStart"/>
            <w:r w:rsidRPr="0057456B">
              <w:rPr>
                <w:rFonts w:ascii="Times New Roman" w:eastAsia="Times New Roman" w:hAnsi="Times New Roman" w:cs="Times New Roman"/>
                <w:color w:val="000000"/>
                <w:sz w:val="24"/>
                <w:szCs w:val="24"/>
                <w:lang w:eastAsia="lv-LV"/>
              </w:rPr>
              <w:t>Baltica</w:t>
            </w:r>
            <w:proofErr w:type="spellEnd"/>
            <w:r w:rsidRPr="0057456B">
              <w:rPr>
                <w:rFonts w:ascii="Times New Roman" w:eastAsia="Times New Roman" w:hAnsi="Times New Roman" w:cs="Times New Roman"/>
                <w:color w:val="000000"/>
                <w:sz w:val="24"/>
                <w:szCs w:val="24"/>
                <w:lang w:eastAsia="lv-LV"/>
              </w:rPr>
              <w:t xml:space="preserve"> dzelzceļa būvniecības risinājumi vairākās vietās (piemēram, starptautisk</w:t>
            </w:r>
            <w:r w:rsidR="005F2333">
              <w:rPr>
                <w:rFonts w:ascii="Times New Roman" w:eastAsia="Times New Roman" w:hAnsi="Times New Roman" w:cs="Times New Roman"/>
                <w:color w:val="000000"/>
                <w:sz w:val="24"/>
                <w:szCs w:val="24"/>
                <w:lang w:eastAsia="lv-LV"/>
              </w:rPr>
              <w:t>aj</w:t>
            </w:r>
            <w:r w:rsidRPr="0057456B">
              <w:rPr>
                <w:rFonts w:ascii="Times New Roman" w:eastAsia="Times New Roman" w:hAnsi="Times New Roman" w:cs="Times New Roman"/>
                <w:color w:val="000000"/>
                <w:sz w:val="24"/>
                <w:szCs w:val="24"/>
                <w:lang w:eastAsia="lv-LV"/>
              </w:rPr>
              <w:t>ā lidost</w:t>
            </w:r>
            <w:r w:rsidR="005F2333">
              <w:rPr>
                <w:rFonts w:ascii="Times New Roman" w:eastAsia="Times New Roman" w:hAnsi="Times New Roman" w:cs="Times New Roman"/>
                <w:color w:val="000000"/>
                <w:sz w:val="24"/>
                <w:szCs w:val="24"/>
                <w:lang w:eastAsia="lv-LV"/>
              </w:rPr>
              <w:t>ā</w:t>
            </w:r>
            <w:r w:rsidRPr="0057456B">
              <w:rPr>
                <w:rFonts w:ascii="Times New Roman" w:eastAsia="Times New Roman" w:hAnsi="Times New Roman" w:cs="Times New Roman"/>
                <w:color w:val="000000"/>
                <w:sz w:val="24"/>
                <w:szCs w:val="24"/>
                <w:lang w:eastAsia="lv-LV"/>
              </w:rPr>
              <w:t xml:space="preserve"> “Rīga”, Rīgas Centrāla</w:t>
            </w:r>
            <w:r w:rsidR="005F2333">
              <w:rPr>
                <w:rFonts w:ascii="Times New Roman" w:eastAsia="Times New Roman" w:hAnsi="Times New Roman" w:cs="Times New Roman"/>
                <w:color w:val="000000"/>
                <w:sz w:val="24"/>
                <w:szCs w:val="24"/>
                <w:lang w:eastAsia="lv-LV"/>
              </w:rPr>
              <w:t>jā</w:t>
            </w:r>
            <w:r w:rsidRPr="0057456B">
              <w:rPr>
                <w:rFonts w:ascii="Times New Roman" w:eastAsia="Times New Roman" w:hAnsi="Times New Roman" w:cs="Times New Roman"/>
                <w:color w:val="000000"/>
                <w:sz w:val="24"/>
                <w:szCs w:val="24"/>
                <w:lang w:eastAsia="lv-LV"/>
              </w:rPr>
              <w:t xml:space="preserve"> dzelzceļa  mezgl</w:t>
            </w:r>
            <w:r w:rsidR="005F2333">
              <w:rPr>
                <w:rFonts w:ascii="Times New Roman" w:eastAsia="Times New Roman" w:hAnsi="Times New Roman" w:cs="Times New Roman"/>
                <w:color w:val="000000"/>
                <w:sz w:val="24"/>
                <w:szCs w:val="24"/>
                <w:lang w:eastAsia="lv-LV"/>
              </w:rPr>
              <w:t>ā</w:t>
            </w:r>
            <w:r w:rsidRPr="0057456B">
              <w:rPr>
                <w:rFonts w:ascii="Times New Roman" w:eastAsia="Times New Roman" w:hAnsi="Times New Roman" w:cs="Times New Roman"/>
                <w:color w:val="000000"/>
                <w:sz w:val="24"/>
                <w:szCs w:val="24"/>
                <w:lang w:eastAsia="lv-LV"/>
              </w:rPr>
              <w:t>, Rīgas starptautisk</w:t>
            </w:r>
            <w:r w:rsidR="005F2333">
              <w:rPr>
                <w:rFonts w:ascii="Times New Roman" w:eastAsia="Times New Roman" w:hAnsi="Times New Roman" w:cs="Times New Roman"/>
                <w:color w:val="000000"/>
                <w:sz w:val="24"/>
                <w:szCs w:val="24"/>
                <w:lang w:eastAsia="lv-LV"/>
              </w:rPr>
              <w:t>aj</w:t>
            </w:r>
            <w:r w:rsidRPr="0057456B">
              <w:rPr>
                <w:rFonts w:ascii="Times New Roman" w:eastAsia="Times New Roman" w:hAnsi="Times New Roman" w:cs="Times New Roman"/>
                <w:color w:val="000000"/>
                <w:sz w:val="24"/>
                <w:szCs w:val="24"/>
                <w:lang w:eastAsia="lv-LV"/>
              </w:rPr>
              <w:t>ā autoost</w:t>
            </w:r>
            <w:r w:rsidR="005F2333">
              <w:rPr>
                <w:rFonts w:ascii="Times New Roman" w:eastAsia="Times New Roman" w:hAnsi="Times New Roman" w:cs="Times New Roman"/>
                <w:color w:val="000000"/>
                <w:sz w:val="24"/>
                <w:szCs w:val="24"/>
                <w:lang w:eastAsia="lv-LV"/>
              </w:rPr>
              <w:t>ā</w:t>
            </w:r>
            <w:r w:rsidRPr="0057456B">
              <w:rPr>
                <w:rFonts w:ascii="Times New Roman" w:eastAsia="Times New Roman" w:hAnsi="Times New Roman" w:cs="Times New Roman"/>
                <w:color w:val="000000"/>
                <w:sz w:val="24"/>
                <w:szCs w:val="24"/>
                <w:lang w:eastAsia="lv-LV"/>
              </w:rPr>
              <w:t xml:space="preserve">) paredz dzelzceļa infrastruktūras novietošanu uz paaugstinātām konstrukcijām (estakādēm), zem kurām veidosies brīva telpa. Jaunradītā brīvā telpa atradīsies dzelzceļa nodalījuma joslā, uz kuru attiecas Dzelzceļa likums, īpaši 15. un 16.pants, kā arī vairāki citi normatīvie </w:t>
            </w:r>
            <w:bookmarkStart w:id="0" w:name="_GoBack"/>
            <w:bookmarkEnd w:id="0"/>
            <w:r w:rsidRPr="0057456B">
              <w:rPr>
                <w:rFonts w:ascii="Times New Roman" w:eastAsia="Times New Roman" w:hAnsi="Times New Roman" w:cs="Times New Roman"/>
                <w:color w:val="000000"/>
                <w:sz w:val="24"/>
                <w:szCs w:val="24"/>
                <w:lang w:eastAsia="lv-LV"/>
              </w:rPr>
              <w:t xml:space="preserve">akti, tostarp Ministru kabineta 2005.gada 1.februāra noteikumi Nr.79 “Dzelzceļa zemes nodalījuma joslas ekspluatācijas noteikumi”. Lai nākotnē brīvo telpu zem estakādēm varētu izmantot transporta kustības, transporta pakalpojumu, transporta apkalpošanas, kā arī citu transporta, īpaši sabiedriskā transporta, vajadzību nodrošināšanai, noteikumu projektā skaidri noteiks, ka dzelzceļa nodalījuma joslu var </w:t>
            </w:r>
            <w:r w:rsidRPr="00AA628F">
              <w:rPr>
                <w:rFonts w:ascii="Times New Roman" w:eastAsia="Times New Roman" w:hAnsi="Times New Roman" w:cs="Times New Roman"/>
                <w:color w:val="000000"/>
                <w:sz w:val="24"/>
                <w:szCs w:val="24"/>
                <w:lang w:eastAsia="lv-LV"/>
              </w:rPr>
              <w:t>izmantot transport</w:t>
            </w:r>
            <w:r w:rsidR="00AA628F" w:rsidRPr="00AA628F">
              <w:rPr>
                <w:rFonts w:ascii="Times New Roman" w:eastAsia="Times New Roman" w:hAnsi="Times New Roman" w:cs="Times New Roman"/>
                <w:color w:val="000000"/>
                <w:sz w:val="24"/>
                <w:szCs w:val="24"/>
                <w:lang w:eastAsia="lv-LV"/>
              </w:rPr>
              <w:t>a</w:t>
            </w:r>
            <w:r w:rsidRPr="00AA628F">
              <w:rPr>
                <w:rFonts w:ascii="Times New Roman" w:eastAsia="Times New Roman" w:hAnsi="Times New Roman" w:cs="Times New Roman"/>
                <w:color w:val="000000"/>
                <w:sz w:val="24"/>
                <w:szCs w:val="24"/>
                <w:lang w:eastAsia="lv-LV"/>
              </w:rPr>
              <w:t xml:space="preserve"> apkalpojoša</w:t>
            </w:r>
            <w:r w:rsidR="005F2333" w:rsidRPr="00AA628F">
              <w:rPr>
                <w:rFonts w:ascii="Times New Roman" w:eastAsia="Times New Roman" w:hAnsi="Times New Roman" w:cs="Times New Roman"/>
                <w:color w:val="000000"/>
                <w:sz w:val="24"/>
                <w:szCs w:val="24"/>
                <w:lang w:eastAsia="lv-LV"/>
              </w:rPr>
              <w:t>jai</w:t>
            </w:r>
            <w:r w:rsidRPr="00AA628F">
              <w:rPr>
                <w:rFonts w:ascii="Times New Roman" w:eastAsia="Times New Roman" w:hAnsi="Times New Roman" w:cs="Times New Roman"/>
                <w:color w:val="000000"/>
                <w:sz w:val="24"/>
                <w:szCs w:val="24"/>
                <w:lang w:eastAsia="lv-LV"/>
              </w:rPr>
              <w:t xml:space="preserve"> infrastruktūrai.</w:t>
            </w:r>
          </w:p>
          <w:p w14:paraId="10B7D04E" w14:textId="59EEB566" w:rsidR="0057456B" w:rsidRPr="0057456B" w:rsidRDefault="0057456B" w:rsidP="0057456B">
            <w:pPr>
              <w:spacing w:after="0" w:line="240" w:lineRule="auto"/>
              <w:ind w:firstLine="673"/>
              <w:jc w:val="both"/>
              <w:rPr>
                <w:rFonts w:ascii="Times New Roman" w:eastAsia="Times New Roman" w:hAnsi="Times New Roman" w:cs="Times New Roman"/>
                <w:color w:val="000000"/>
                <w:sz w:val="24"/>
                <w:szCs w:val="24"/>
                <w:lang w:eastAsia="lv-LV"/>
              </w:rPr>
            </w:pPr>
            <w:r w:rsidRPr="0057456B">
              <w:rPr>
                <w:rFonts w:ascii="Times New Roman" w:eastAsia="Times New Roman" w:hAnsi="Times New Roman" w:cs="Times New Roman"/>
                <w:color w:val="000000"/>
                <w:sz w:val="24"/>
                <w:szCs w:val="24"/>
                <w:lang w:eastAsia="lv-LV"/>
              </w:rPr>
              <w:t xml:space="preserve">Noteikumu projekts ir saistīts ar būvprojekta izstrādes procesu, kā arī </w:t>
            </w:r>
            <w:proofErr w:type="spellStart"/>
            <w:r w:rsidRPr="0057456B">
              <w:rPr>
                <w:rFonts w:ascii="Times New Roman" w:eastAsia="Times New Roman" w:hAnsi="Times New Roman" w:cs="Times New Roman"/>
                <w:color w:val="000000"/>
                <w:sz w:val="24"/>
                <w:szCs w:val="24"/>
                <w:lang w:eastAsia="lv-LV"/>
              </w:rPr>
              <w:t>lokālplān</w:t>
            </w:r>
            <w:r w:rsidR="00D33BCE">
              <w:rPr>
                <w:rFonts w:ascii="Times New Roman" w:eastAsia="Times New Roman" w:hAnsi="Times New Roman" w:cs="Times New Roman"/>
                <w:color w:val="000000"/>
                <w:sz w:val="24"/>
                <w:szCs w:val="24"/>
                <w:lang w:eastAsia="lv-LV"/>
              </w:rPr>
              <w:t>u</w:t>
            </w:r>
            <w:proofErr w:type="spellEnd"/>
            <w:r w:rsidRPr="0057456B">
              <w:rPr>
                <w:rFonts w:ascii="Times New Roman" w:eastAsia="Times New Roman" w:hAnsi="Times New Roman" w:cs="Times New Roman"/>
                <w:color w:val="000000"/>
                <w:sz w:val="24"/>
                <w:szCs w:val="24"/>
                <w:lang w:eastAsia="lv-LV"/>
              </w:rPr>
              <w:t xml:space="preserve"> izstrādi. Gan būvprojektā, gan </w:t>
            </w:r>
            <w:proofErr w:type="spellStart"/>
            <w:r w:rsidRPr="0057456B">
              <w:rPr>
                <w:rFonts w:ascii="Times New Roman" w:eastAsia="Times New Roman" w:hAnsi="Times New Roman" w:cs="Times New Roman"/>
                <w:color w:val="000000"/>
                <w:sz w:val="24"/>
                <w:szCs w:val="24"/>
                <w:lang w:eastAsia="lv-LV"/>
              </w:rPr>
              <w:t>lokāplānā</w:t>
            </w:r>
            <w:proofErr w:type="spellEnd"/>
            <w:r w:rsidRPr="0057456B">
              <w:rPr>
                <w:rFonts w:ascii="Times New Roman" w:eastAsia="Times New Roman" w:hAnsi="Times New Roman" w:cs="Times New Roman"/>
                <w:color w:val="000000"/>
                <w:sz w:val="24"/>
                <w:szCs w:val="24"/>
                <w:lang w:eastAsia="lv-LV"/>
              </w:rPr>
              <w:t xml:space="preserve"> ir jāparedz risinājumi, kas ir saistīti ar dzelzceļa infrastruktūras nākotnes funkcionalitāti. Tā kā nodalījuma josla ir daļa no dzelzceļa infrastruktūras, tās izmantošana un integrēšana apkārtējā vidē ir reglamentēta speciālajos dzelzceļa normatīvajos aktos. Tā kā būvprojekts un </w:t>
            </w:r>
            <w:proofErr w:type="spellStart"/>
            <w:r w:rsidRPr="0057456B">
              <w:rPr>
                <w:rFonts w:ascii="Times New Roman" w:eastAsia="Times New Roman" w:hAnsi="Times New Roman" w:cs="Times New Roman"/>
                <w:color w:val="000000"/>
                <w:sz w:val="24"/>
                <w:szCs w:val="24"/>
                <w:lang w:eastAsia="lv-LV"/>
              </w:rPr>
              <w:t>lokāplān</w:t>
            </w:r>
            <w:r w:rsidR="005F2333">
              <w:rPr>
                <w:rFonts w:ascii="Times New Roman" w:eastAsia="Times New Roman" w:hAnsi="Times New Roman" w:cs="Times New Roman"/>
                <w:color w:val="000000"/>
                <w:sz w:val="24"/>
                <w:szCs w:val="24"/>
                <w:lang w:eastAsia="lv-LV"/>
              </w:rPr>
              <w:t>ojums</w:t>
            </w:r>
            <w:proofErr w:type="spellEnd"/>
            <w:r w:rsidRPr="0057456B">
              <w:rPr>
                <w:rFonts w:ascii="Times New Roman" w:eastAsia="Times New Roman" w:hAnsi="Times New Roman" w:cs="Times New Roman"/>
                <w:color w:val="000000"/>
                <w:sz w:val="24"/>
                <w:szCs w:val="24"/>
                <w:lang w:eastAsia="lv-LV"/>
              </w:rPr>
              <w:t xml:space="preserve"> paredz risinājumus, kas ir nepieciešami </w:t>
            </w:r>
            <w:r w:rsidRPr="0057456B">
              <w:rPr>
                <w:rFonts w:ascii="Times New Roman" w:eastAsia="Times New Roman" w:hAnsi="Times New Roman" w:cs="Times New Roman"/>
                <w:sz w:val="24"/>
                <w:szCs w:val="24"/>
                <w:lang w:eastAsia="lv-LV"/>
              </w:rPr>
              <w:t xml:space="preserve"> </w:t>
            </w:r>
            <w:r w:rsidRPr="0057456B">
              <w:rPr>
                <w:rFonts w:ascii="Times New Roman" w:eastAsia="Times New Roman" w:hAnsi="Times New Roman" w:cs="Times New Roman"/>
                <w:color w:val="000000"/>
                <w:sz w:val="24"/>
                <w:szCs w:val="24"/>
                <w:lang w:eastAsia="lv-LV"/>
              </w:rPr>
              <w:t xml:space="preserve">transporta apkalpojošās infrastruktūras funkcionalitātei, kura ir plānota dzelzceļa nodalījuma joslā, ir jānosaka atbilstoša dzelzceļa nodalījuma joslas izmantošanas iespēja. Kā iepriekš minēts, ierosinātām darbībām nodalījuma joslā veic risku </w:t>
            </w:r>
            <w:proofErr w:type="spellStart"/>
            <w:r w:rsidR="000B7911" w:rsidRPr="0057456B">
              <w:rPr>
                <w:rFonts w:ascii="Times New Roman" w:eastAsia="Times New Roman" w:hAnsi="Times New Roman" w:cs="Times New Roman"/>
                <w:color w:val="000000"/>
                <w:sz w:val="24"/>
                <w:szCs w:val="24"/>
                <w:lang w:eastAsia="lv-LV"/>
              </w:rPr>
              <w:lastRenderedPageBreak/>
              <w:t>i</w:t>
            </w:r>
            <w:r w:rsidR="000B7911">
              <w:rPr>
                <w:rFonts w:ascii="Times New Roman" w:eastAsia="Times New Roman" w:hAnsi="Times New Roman" w:cs="Times New Roman"/>
                <w:color w:val="000000"/>
                <w:sz w:val="24"/>
                <w:szCs w:val="24"/>
                <w:lang w:eastAsia="lv-LV"/>
              </w:rPr>
              <w:t>z</w:t>
            </w:r>
            <w:r w:rsidR="000B7911" w:rsidRPr="0057456B">
              <w:rPr>
                <w:rFonts w:ascii="Times New Roman" w:eastAsia="Times New Roman" w:hAnsi="Times New Roman" w:cs="Times New Roman"/>
                <w:color w:val="000000"/>
                <w:sz w:val="24"/>
                <w:szCs w:val="24"/>
                <w:lang w:eastAsia="lv-LV"/>
              </w:rPr>
              <w:t>v</w:t>
            </w:r>
            <w:r w:rsidR="000B7911">
              <w:rPr>
                <w:rFonts w:ascii="Times New Roman" w:eastAsia="Times New Roman" w:hAnsi="Times New Roman" w:cs="Times New Roman"/>
                <w:color w:val="000000"/>
                <w:sz w:val="24"/>
                <w:szCs w:val="24"/>
                <w:lang w:eastAsia="lv-LV"/>
              </w:rPr>
              <w:t>ē</w:t>
            </w:r>
            <w:r w:rsidR="000B7911" w:rsidRPr="0057456B">
              <w:rPr>
                <w:rFonts w:ascii="Times New Roman" w:eastAsia="Times New Roman" w:hAnsi="Times New Roman" w:cs="Times New Roman"/>
                <w:color w:val="000000"/>
                <w:sz w:val="24"/>
                <w:szCs w:val="24"/>
                <w:lang w:eastAsia="lv-LV"/>
              </w:rPr>
              <w:t>rtējumu</w:t>
            </w:r>
            <w:proofErr w:type="spellEnd"/>
            <w:r w:rsidRPr="0057456B">
              <w:rPr>
                <w:rFonts w:ascii="Times New Roman" w:eastAsia="Times New Roman" w:hAnsi="Times New Roman" w:cs="Times New Roman"/>
                <w:color w:val="000000"/>
                <w:sz w:val="24"/>
                <w:szCs w:val="24"/>
                <w:lang w:eastAsia="lv-LV"/>
              </w:rPr>
              <w:t xml:space="preserve"> saskaņā ar Regulu, un tās ir pieļaujamas, ja neietekmē dzelzceļa ekspluatācijas un vilcienu kustības drošību. </w:t>
            </w:r>
            <w:r w:rsidRPr="0057456B">
              <w:rPr>
                <w:rFonts w:ascii="Times New Roman" w:eastAsia="Times New Roman" w:hAnsi="Times New Roman" w:cs="Times New Roman"/>
                <w:iCs/>
                <w:color w:val="000000"/>
                <w:sz w:val="24"/>
                <w:szCs w:val="24"/>
                <w:lang w:eastAsia="lv-LV"/>
              </w:rPr>
              <w:t xml:space="preserve"> </w:t>
            </w:r>
          </w:p>
        </w:tc>
      </w:tr>
      <w:tr w:rsidR="0057456B" w:rsidRPr="0057456B" w14:paraId="7EA01FA7" w14:textId="77777777" w:rsidTr="001A7DAB">
        <w:trPr>
          <w:trHeight w:val="476"/>
        </w:trPr>
        <w:tc>
          <w:tcPr>
            <w:tcW w:w="237" w:type="pct"/>
          </w:tcPr>
          <w:p w14:paraId="156E71D1" w14:textId="77777777" w:rsidR="0057456B" w:rsidRPr="0057456B" w:rsidRDefault="0057456B" w:rsidP="0057456B">
            <w:pPr>
              <w:spacing w:after="0" w:line="240" w:lineRule="auto"/>
              <w:ind w:left="57" w:right="57"/>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lastRenderedPageBreak/>
              <w:t>3.</w:t>
            </w:r>
          </w:p>
        </w:tc>
        <w:tc>
          <w:tcPr>
            <w:tcW w:w="1504" w:type="pct"/>
          </w:tcPr>
          <w:p w14:paraId="49111CBE"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Projekta izstrādē iesaistītās institūcijas</w:t>
            </w:r>
            <w:r w:rsidRPr="0057456B">
              <w:rPr>
                <w:rFonts w:ascii="Times New Roman" w:eastAsia="Times New Roman" w:hAnsi="Times New Roman" w:cs="Times New Roman"/>
                <w:iCs/>
                <w:color w:val="414142"/>
                <w:sz w:val="24"/>
                <w:szCs w:val="24"/>
                <w:lang w:eastAsia="lv-LV"/>
              </w:rPr>
              <w:t xml:space="preserve"> </w:t>
            </w:r>
            <w:r w:rsidRPr="0057456B">
              <w:rPr>
                <w:rFonts w:ascii="Times New Roman" w:eastAsia="Times New Roman" w:hAnsi="Times New Roman" w:cs="Times New Roman"/>
                <w:iCs/>
                <w:sz w:val="24"/>
                <w:szCs w:val="24"/>
                <w:lang w:eastAsia="lv-LV"/>
              </w:rPr>
              <w:t>un publiskas personas kapitālsabiedrības</w:t>
            </w:r>
          </w:p>
        </w:tc>
        <w:tc>
          <w:tcPr>
            <w:tcW w:w="3257" w:type="pct"/>
          </w:tcPr>
          <w:p w14:paraId="3088793E" w14:textId="257B0FCD"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 xml:space="preserve">Noteikumu projektu ir izstrādājusi Satiksmes ministrija, konsultējoties ar Valsts dzelzceļa tehnisko inspekciju, SIA “Eiropas dzelzceļa līnijas” un </w:t>
            </w:r>
            <w:r w:rsidR="005F2333">
              <w:rPr>
                <w:rFonts w:ascii="Times New Roman" w:eastAsia="Times New Roman" w:hAnsi="Times New Roman" w:cs="Times New Roman"/>
                <w:sz w:val="24"/>
                <w:szCs w:val="24"/>
                <w:lang w:eastAsia="lv-LV"/>
              </w:rPr>
              <w:t>V</w:t>
            </w:r>
            <w:r w:rsidRPr="0057456B">
              <w:rPr>
                <w:rFonts w:ascii="Times New Roman" w:eastAsia="Times New Roman" w:hAnsi="Times New Roman" w:cs="Times New Roman"/>
                <w:sz w:val="24"/>
                <w:szCs w:val="24"/>
                <w:lang w:eastAsia="lv-LV"/>
              </w:rPr>
              <w:t>AS “Latvijas dzelzceļš”.</w:t>
            </w:r>
          </w:p>
        </w:tc>
      </w:tr>
      <w:tr w:rsidR="0057456B" w:rsidRPr="0057456B" w14:paraId="06B0ED68" w14:textId="77777777" w:rsidTr="001A7DAB">
        <w:tc>
          <w:tcPr>
            <w:tcW w:w="237" w:type="pct"/>
          </w:tcPr>
          <w:p w14:paraId="5FEB4B98" w14:textId="77777777" w:rsidR="0057456B" w:rsidRPr="0057456B" w:rsidRDefault="0057456B" w:rsidP="0057456B">
            <w:pPr>
              <w:spacing w:after="0" w:line="240" w:lineRule="auto"/>
              <w:ind w:left="57" w:right="57"/>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4.</w:t>
            </w:r>
          </w:p>
        </w:tc>
        <w:tc>
          <w:tcPr>
            <w:tcW w:w="1504" w:type="pct"/>
          </w:tcPr>
          <w:p w14:paraId="60BFDEDB"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Cita informācija</w:t>
            </w:r>
          </w:p>
        </w:tc>
        <w:tc>
          <w:tcPr>
            <w:tcW w:w="3257" w:type="pct"/>
          </w:tcPr>
          <w:p w14:paraId="3BD57331" w14:textId="77777777" w:rsidR="0057456B" w:rsidRPr="0057456B" w:rsidRDefault="0057456B" w:rsidP="0057456B">
            <w:pPr>
              <w:spacing w:after="0" w:line="240" w:lineRule="auto"/>
              <w:ind w:right="13"/>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Nav.</w:t>
            </w:r>
          </w:p>
        </w:tc>
      </w:tr>
    </w:tbl>
    <w:p w14:paraId="4C9050A6" w14:textId="77777777" w:rsidR="0057456B" w:rsidRPr="0057456B" w:rsidRDefault="0057456B" w:rsidP="0057456B">
      <w:pPr>
        <w:spacing w:after="0" w:line="240" w:lineRule="auto"/>
        <w:ind w:firstLine="720"/>
        <w:rPr>
          <w:rFonts w:ascii="Times New Roman" w:eastAsia="Times New Roman" w:hAnsi="Times New Roman" w:cs="Times New Roman"/>
          <w:sz w:val="24"/>
          <w:szCs w:val="24"/>
          <w:lang w:eastAsia="lv-LV"/>
        </w:rPr>
      </w:pPr>
    </w:p>
    <w:tbl>
      <w:tblPr>
        <w:tblpPr w:leftFromText="180" w:rightFromText="180" w:vertAnchor="text" w:horzAnchor="margin" w:tblpXSpec="center" w:tblpY="1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766"/>
        <w:gridCol w:w="5880"/>
      </w:tblGrid>
      <w:tr w:rsidR="0057456B" w:rsidRPr="0057456B" w14:paraId="2F1B173E" w14:textId="77777777" w:rsidTr="001A7DAB">
        <w:trPr>
          <w:trHeight w:val="556"/>
        </w:trPr>
        <w:tc>
          <w:tcPr>
            <w:tcW w:w="9077" w:type="dxa"/>
            <w:gridSpan w:val="3"/>
            <w:vAlign w:val="center"/>
          </w:tcPr>
          <w:p w14:paraId="5772CE0A" w14:textId="77777777" w:rsidR="0057456B" w:rsidRPr="0057456B" w:rsidRDefault="0057456B" w:rsidP="0057456B">
            <w:pPr>
              <w:spacing w:after="0" w:line="240" w:lineRule="auto"/>
              <w:ind w:left="57" w:right="57"/>
              <w:jc w:val="center"/>
              <w:rPr>
                <w:rFonts w:ascii="Times New Roman" w:eastAsia="Times New Roman" w:hAnsi="Times New Roman" w:cs="Times New Roman"/>
                <w:b/>
                <w:sz w:val="24"/>
                <w:szCs w:val="24"/>
                <w:lang w:eastAsia="lv-LV"/>
              </w:rPr>
            </w:pPr>
            <w:r w:rsidRPr="0057456B">
              <w:rPr>
                <w:rFonts w:ascii="Times New Roman" w:eastAsia="Times New Roman" w:hAnsi="Times New Roman" w:cs="Times New Roman"/>
                <w:b/>
                <w:sz w:val="24"/>
                <w:szCs w:val="24"/>
                <w:lang w:eastAsia="lv-LV"/>
              </w:rPr>
              <w:t>II. Tiesību akta projekta ietekme uz sabiedrību, tautsaimniecības attīstību</w:t>
            </w:r>
          </w:p>
          <w:p w14:paraId="6A573863" w14:textId="77777777" w:rsidR="0057456B" w:rsidRPr="0057456B" w:rsidRDefault="0057456B" w:rsidP="0057456B">
            <w:pPr>
              <w:spacing w:after="0" w:line="240" w:lineRule="auto"/>
              <w:ind w:left="57" w:right="57"/>
              <w:jc w:val="center"/>
              <w:rPr>
                <w:rFonts w:ascii="Times New Roman" w:eastAsia="Times New Roman" w:hAnsi="Times New Roman" w:cs="Times New Roman"/>
                <w:b/>
                <w:sz w:val="24"/>
                <w:szCs w:val="24"/>
                <w:lang w:eastAsia="lv-LV"/>
              </w:rPr>
            </w:pPr>
            <w:r w:rsidRPr="0057456B">
              <w:rPr>
                <w:rFonts w:ascii="Times New Roman" w:eastAsia="Times New Roman" w:hAnsi="Times New Roman" w:cs="Times New Roman"/>
                <w:b/>
                <w:sz w:val="24"/>
                <w:szCs w:val="24"/>
                <w:lang w:eastAsia="lv-LV"/>
              </w:rPr>
              <w:t>un administratīvo slogu</w:t>
            </w:r>
          </w:p>
        </w:tc>
      </w:tr>
      <w:tr w:rsidR="0057456B" w:rsidRPr="0057456B" w14:paraId="316B4D72" w14:textId="77777777" w:rsidTr="001A7DAB">
        <w:trPr>
          <w:trHeight w:val="467"/>
        </w:trPr>
        <w:tc>
          <w:tcPr>
            <w:tcW w:w="431" w:type="dxa"/>
          </w:tcPr>
          <w:p w14:paraId="3D5760DE"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1.</w:t>
            </w:r>
          </w:p>
        </w:tc>
        <w:tc>
          <w:tcPr>
            <w:tcW w:w="2766" w:type="dxa"/>
          </w:tcPr>
          <w:p w14:paraId="5C2BF917"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 xml:space="preserve">Sabiedrības </w:t>
            </w:r>
            <w:proofErr w:type="spellStart"/>
            <w:r w:rsidRPr="0057456B">
              <w:rPr>
                <w:rFonts w:ascii="Times New Roman" w:eastAsia="Times New Roman" w:hAnsi="Times New Roman" w:cs="Times New Roman"/>
                <w:sz w:val="24"/>
                <w:szCs w:val="24"/>
                <w:lang w:eastAsia="lv-LV"/>
              </w:rPr>
              <w:t>mērķgrupas</w:t>
            </w:r>
            <w:proofErr w:type="spellEnd"/>
            <w:r w:rsidRPr="0057456B">
              <w:rPr>
                <w:rFonts w:ascii="Times New Roman" w:eastAsia="Times New Roman" w:hAnsi="Times New Roman" w:cs="Times New Roman"/>
                <w:sz w:val="24"/>
                <w:szCs w:val="24"/>
                <w:lang w:eastAsia="lv-LV"/>
              </w:rPr>
              <w:t>, kuras tiesiskais regulējums ietekmē vai varētu ietekmēt</w:t>
            </w:r>
          </w:p>
        </w:tc>
        <w:tc>
          <w:tcPr>
            <w:tcW w:w="5880" w:type="dxa"/>
          </w:tcPr>
          <w:p w14:paraId="1DFFDC65" w14:textId="77777777" w:rsidR="0057456B" w:rsidRPr="0057456B" w:rsidRDefault="0057456B" w:rsidP="0057456B">
            <w:pPr>
              <w:shd w:val="clear" w:color="auto" w:fill="FFFFFF"/>
              <w:spacing w:after="0" w:line="240" w:lineRule="auto"/>
              <w:ind w:right="57"/>
              <w:jc w:val="both"/>
              <w:rPr>
                <w:rFonts w:ascii="Times New Roman" w:eastAsia="Times New Roman" w:hAnsi="Times New Roman" w:cs="Times New Roman"/>
                <w:sz w:val="24"/>
                <w:szCs w:val="24"/>
                <w:lang w:eastAsia="lv-LV"/>
              </w:rPr>
            </w:pPr>
            <w:bookmarkStart w:id="1" w:name="p21"/>
            <w:bookmarkEnd w:id="1"/>
            <w:r w:rsidRPr="0057456B">
              <w:rPr>
                <w:rFonts w:ascii="Times New Roman" w:eastAsia="Times New Roman" w:hAnsi="Times New Roman" w:cs="Times New Roman"/>
                <w:sz w:val="24"/>
                <w:szCs w:val="24"/>
                <w:lang w:eastAsia="lv-LV"/>
              </w:rPr>
              <w:t>Dzelzceļa infrastruktūras pārvaldītāji, kā arī juridiskās un fiziskās personas, kuru darbība vai tās sekas attiecināmas uz nodalījuma joslu vai tajā esošajiem objektiem.</w:t>
            </w:r>
          </w:p>
          <w:p w14:paraId="7BB6DDE3" w14:textId="5D11074C" w:rsidR="0057456B" w:rsidRPr="0057456B" w:rsidRDefault="0057456B" w:rsidP="0057456B">
            <w:pPr>
              <w:shd w:val="clear" w:color="auto" w:fill="FFFFFF"/>
              <w:spacing w:after="0" w:line="240" w:lineRule="auto"/>
              <w:ind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Sabiedriskā transporta pasažieri, kuru izmantotā transporta nodrošināšanai nepieciešamā transporta infrastruktūra atradīsies dzelzceļa nodalījuma joslā</w:t>
            </w:r>
            <w:r w:rsidR="00AA628F">
              <w:rPr>
                <w:rFonts w:ascii="Times New Roman" w:eastAsia="Times New Roman" w:hAnsi="Times New Roman" w:cs="Times New Roman"/>
                <w:sz w:val="24"/>
                <w:szCs w:val="24"/>
                <w:lang w:eastAsia="lv-LV"/>
              </w:rPr>
              <w:t>,</w:t>
            </w:r>
            <w:r w:rsidRPr="0057456B">
              <w:rPr>
                <w:rFonts w:ascii="Times New Roman" w:eastAsia="Times New Roman" w:hAnsi="Times New Roman" w:cs="Times New Roman"/>
                <w:sz w:val="24"/>
                <w:szCs w:val="24"/>
                <w:lang w:eastAsia="lv-LV"/>
              </w:rPr>
              <w:t xml:space="preserve"> t.i. gan potenciālie Rail </w:t>
            </w:r>
            <w:proofErr w:type="spellStart"/>
            <w:r w:rsidRPr="0057456B">
              <w:rPr>
                <w:rFonts w:ascii="Times New Roman" w:eastAsia="Times New Roman" w:hAnsi="Times New Roman" w:cs="Times New Roman"/>
                <w:sz w:val="24"/>
                <w:szCs w:val="24"/>
                <w:lang w:eastAsia="lv-LV"/>
              </w:rPr>
              <w:t>Baltica</w:t>
            </w:r>
            <w:proofErr w:type="spellEnd"/>
            <w:r w:rsidRPr="0057456B">
              <w:rPr>
                <w:rFonts w:ascii="Times New Roman" w:eastAsia="Times New Roman" w:hAnsi="Times New Roman" w:cs="Times New Roman"/>
                <w:sz w:val="24"/>
                <w:szCs w:val="24"/>
                <w:lang w:eastAsia="lv-LV"/>
              </w:rPr>
              <w:t xml:space="preserve"> lietotāji, gan citu transporta veidu, īpaši starppilsētu autobusu un Rīgas sabiedriskā transporta pasažieri.</w:t>
            </w:r>
          </w:p>
        </w:tc>
      </w:tr>
      <w:tr w:rsidR="0057456B" w:rsidRPr="0057456B" w14:paraId="2431BDF1" w14:textId="77777777" w:rsidTr="001A7DAB">
        <w:trPr>
          <w:trHeight w:val="274"/>
        </w:trPr>
        <w:tc>
          <w:tcPr>
            <w:tcW w:w="431" w:type="dxa"/>
          </w:tcPr>
          <w:p w14:paraId="7C86CB2D"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2.</w:t>
            </w:r>
          </w:p>
        </w:tc>
        <w:tc>
          <w:tcPr>
            <w:tcW w:w="2766" w:type="dxa"/>
          </w:tcPr>
          <w:p w14:paraId="5A2D8976"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Tiesiskā regulējuma ietekme uz tautsaimniecību un administratīvo slogu</w:t>
            </w:r>
          </w:p>
        </w:tc>
        <w:tc>
          <w:tcPr>
            <w:tcW w:w="5880" w:type="dxa"/>
          </w:tcPr>
          <w:p w14:paraId="1FFF677C" w14:textId="6B190336" w:rsidR="0057456B" w:rsidRPr="0057456B" w:rsidRDefault="0057456B" w:rsidP="0057456B">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 xml:space="preserve">Rail </w:t>
            </w:r>
            <w:proofErr w:type="spellStart"/>
            <w:r w:rsidRPr="0057456B">
              <w:rPr>
                <w:rFonts w:ascii="Times New Roman" w:eastAsia="Times New Roman" w:hAnsi="Times New Roman" w:cs="Times New Roman"/>
                <w:sz w:val="24"/>
                <w:szCs w:val="24"/>
                <w:lang w:eastAsia="lv-LV"/>
              </w:rPr>
              <w:t>Baltica</w:t>
            </w:r>
            <w:proofErr w:type="spellEnd"/>
            <w:r w:rsidRPr="0057456B">
              <w:rPr>
                <w:rFonts w:ascii="Times New Roman" w:eastAsia="Times New Roman" w:hAnsi="Times New Roman" w:cs="Times New Roman"/>
                <w:sz w:val="24"/>
                <w:szCs w:val="24"/>
                <w:lang w:eastAsia="lv-LV"/>
              </w:rPr>
              <w:t xml:space="preserve"> dzelzceļa līnija tiek veidota kā transporta sistēmas mugurkauls un ap jauno dzelzceļa līniju projekta ietvaros tiek veidoti vairāki multimodāli transporta mezgli, kuru dzelzceļa nodalījuma joslā iecerēta  transport</w:t>
            </w:r>
            <w:r w:rsidR="00FB2835">
              <w:rPr>
                <w:rFonts w:ascii="Times New Roman" w:eastAsia="Times New Roman" w:hAnsi="Times New Roman" w:cs="Times New Roman"/>
                <w:sz w:val="24"/>
                <w:szCs w:val="24"/>
                <w:lang w:eastAsia="lv-LV"/>
              </w:rPr>
              <w:t>u</w:t>
            </w:r>
            <w:r w:rsidRPr="0057456B">
              <w:rPr>
                <w:rFonts w:ascii="Times New Roman" w:eastAsia="Times New Roman" w:hAnsi="Times New Roman" w:cs="Times New Roman"/>
                <w:sz w:val="24"/>
                <w:szCs w:val="24"/>
                <w:lang w:eastAsia="lv-LV"/>
              </w:rPr>
              <w:t xml:space="preserve"> apkalpojošā infrastruktūra. Izstrādātais noteikumu projekts dos papildu iespējas, veidojot vairāku transporta veidu mijiedarbību plānotajos transporta mezglos, lai maksimāli izmantotu Rail </w:t>
            </w:r>
            <w:proofErr w:type="spellStart"/>
            <w:r w:rsidRPr="0057456B">
              <w:rPr>
                <w:rFonts w:ascii="Times New Roman" w:eastAsia="Times New Roman" w:hAnsi="Times New Roman" w:cs="Times New Roman"/>
                <w:sz w:val="24"/>
                <w:szCs w:val="24"/>
                <w:lang w:eastAsia="lv-LV"/>
              </w:rPr>
              <w:t>Baltica</w:t>
            </w:r>
            <w:proofErr w:type="spellEnd"/>
            <w:r w:rsidRPr="0057456B">
              <w:rPr>
                <w:rFonts w:ascii="Times New Roman" w:eastAsia="Times New Roman" w:hAnsi="Times New Roman" w:cs="Times New Roman"/>
                <w:sz w:val="24"/>
                <w:szCs w:val="24"/>
                <w:lang w:eastAsia="lv-LV"/>
              </w:rPr>
              <w:t xml:space="preserve"> projekta sniegtās iespējas gan </w:t>
            </w:r>
            <w:r w:rsidR="000B7911" w:rsidRPr="0057456B">
              <w:rPr>
                <w:rFonts w:ascii="Times New Roman" w:eastAsia="Times New Roman" w:hAnsi="Times New Roman" w:cs="Times New Roman"/>
                <w:sz w:val="24"/>
                <w:szCs w:val="24"/>
                <w:lang w:eastAsia="lv-LV"/>
              </w:rPr>
              <w:t>dzelzceļa</w:t>
            </w:r>
            <w:r w:rsidRPr="0057456B">
              <w:rPr>
                <w:rFonts w:ascii="Times New Roman" w:eastAsia="Times New Roman" w:hAnsi="Times New Roman" w:cs="Times New Roman"/>
                <w:sz w:val="24"/>
                <w:szCs w:val="24"/>
                <w:lang w:eastAsia="lv-LV"/>
              </w:rPr>
              <w:t xml:space="preserve"> attīstībai, gan citu transporta veidu efektīvākai izmantošanai. Tiesiskais regulējums ir tieši paredzēts, lai uzlabotu sabiedriskā transporta organizēšanu un apkalpošanu svarīgākajos satiksmes mezglos, kurus šķērso Rail </w:t>
            </w:r>
            <w:proofErr w:type="spellStart"/>
            <w:r w:rsidRPr="0057456B">
              <w:rPr>
                <w:rFonts w:ascii="Times New Roman" w:eastAsia="Times New Roman" w:hAnsi="Times New Roman" w:cs="Times New Roman"/>
                <w:sz w:val="24"/>
                <w:szCs w:val="24"/>
                <w:lang w:eastAsia="lv-LV"/>
              </w:rPr>
              <w:t>Baltica</w:t>
            </w:r>
            <w:proofErr w:type="spellEnd"/>
            <w:r w:rsidRPr="0057456B">
              <w:rPr>
                <w:rFonts w:ascii="Times New Roman" w:eastAsia="Times New Roman" w:hAnsi="Times New Roman" w:cs="Times New Roman"/>
                <w:sz w:val="24"/>
                <w:szCs w:val="24"/>
                <w:lang w:eastAsia="lv-LV"/>
              </w:rPr>
              <w:t xml:space="preserve"> līnija, veicinot dažādu transporta veidu savstarpējo sinerģiju. Līdz ar to tiks paaugstināta sabiedriskā transporta sistēmas efektivitāte, kas nodrošinās tās labāku ekonomisko atdevi. Papildus tiks mazināta privātā transporta izmantošana, samazinot tā ietekmi uz publiskās infrastruktūras nolietojumu.</w:t>
            </w:r>
          </w:p>
        </w:tc>
      </w:tr>
      <w:tr w:rsidR="0057456B" w:rsidRPr="0057456B" w14:paraId="0937B964" w14:textId="77777777" w:rsidTr="001A7DAB">
        <w:trPr>
          <w:trHeight w:val="523"/>
        </w:trPr>
        <w:tc>
          <w:tcPr>
            <w:tcW w:w="431" w:type="dxa"/>
          </w:tcPr>
          <w:p w14:paraId="23507B61"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3.</w:t>
            </w:r>
          </w:p>
        </w:tc>
        <w:tc>
          <w:tcPr>
            <w:tcW w:w="2766" w:type="dxa"/>
          </w:tcPr>
          <w:p w14:paraId="6199EDE3"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Administratīvo izmaksu monetārs novērtējums</w:t>
            </w:r>
          </w:p>
        </w:tc>
        <w:tc>
          <w:tcPr>
            <w:tcW w:w="5880" w:type="dxa"/>
          </w:tcPr>
          <w:p w14:paraId="6947F966" w14:textId="77777777" w:rsidR="0057456B" w:rsidRPr="0057456B" w:rsidRDefault="0057456B" w:rsidP="0057456B">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bCs/>
                <w:iCs/>
                <w:sz w:val="24"/>
                <w:szCs w:val="24"/>
                <w:lang w:eastAsia="lv-LV"/>
              </w:rPr>
              <w:t>Projekts šo jomu neskar</w:t>
            </w:r>
            <w:r w:rsidRPr="0057456B">
              <w:rPr>
                <w:rFonts w:ascii="Times New Roman" w:eastAsia="Times New Roman" w:hAnsi="Times New Roman" w:cs="Times New Roman"/>
                <w:sz w:val="24"/>
                <w:szCs w:val="24"/>
                <w:lang w:eastAsia="lv-LV"/>
              </w:rPr>
              <w:t>.</w:t>
            </w:r>
          </w:p>
        </w:tc>
      </w:tr>
      <w:tr w:rsidR="0057456B" w:rsidRPr="0057456B" w14:paraId="7ECC81AB" w14:textId="77777777" w:rsidTr="001A7DAB">
        <w:trPr>
          <w:trHeight w:val="523"/>
        </w:trPr>
        <w:tc>
          <w:tcPr>
            <w:tcW w:w="431" w:type="dxa"/>
          </w:tcPr>
          <w:p w14:paraId="39CFE40E"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4.</w:t>
            </w:r>
          </w:p>
        </w:tc>
        <w:tc>
          <w:tcPr>
            <w:tcW w:w="2766" w:type="dxa"/>
          </w:tcPr>
          <w:p w14:paraId="776CC5CC"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iCs/>
                <w:sz w:val="24"/>
                <w:szCs w:val="24"/>
                <w:lang w:eastAsia="lv-LV"/>
              </w:rPr>
              <w:t>Atbilstības izmaksu monetārs novērtējums</w:t>
            </w:r>
          </w:p>
        </w:tc>
        <w:tc>
          <w:tcPr>
            <w:tcW w:w="5880" w:type="dxa"/>
          </w:tcPr>
          <w:p w14:paraId="22ED25B6" w14:textId="77777777" w:rsidR="0057456B" w:rsidRPr="0057456B" w:rsidRDefault="0057456B" w:rsidP="0057456B">
            <w:pPr>
              <w:shd w:val="clear" w:color="auto" w:fill="FFFFFF"/>
              <w:spacing w:after="0" w:line="240" w:lineRule="auto"/>
              <w:ind w:left="57" w:right="57"/>
              <w:jc w:val="both"/>
              <w:rPr>
                <w:rFonts w:ascii="Times New Roman" w:eastAsia="Times New Roman" w:hAnsi="Times New Roman" w:cs="Times New Roman"/>
                <w:bCs/>
                <w:iCs/>
                <w:sz w:val="24"/>
                <w:szCs w:val="24"/>
                <w:lang w:eastAsia="lv-LV"/>
              </w:rPr>
            </w:pPr>
            <w:r w:rsidRPr="0057456B">
              <w:rPr>
                <w:rFonts w:ascii="Times New Roman" w:eastAsia="Times New Roman" w:hAnsi="Times New Roman" w:cs="Times New Roman"/>
                <w:bCs/>
                <w:iCs/>
                <w:sz w:val="24"/>
                <w:szCs w:val="24"/>
                <w:lang w:eastAsia="lv-LV"/>
              </w:rPr>
              <w:t>Projekts šo jomu neskar.</w:t>
            </w:r>
          </w:p>
        </w:tc>
      </w:tr>
      <w:tr w:rsidR="0057456B" w:rsidRPr="0057456B" w14:paraId="192A6E60" w14:textId="77777777" w:rsidTr="001A7DAB">
        <w:trPr>
          <w:trHeight w:val="285"/>
        </w:trPr>
        <w:tc>
          <w:tcPr>
            <w:tcW w:w="431" w:type="dxa"/>
          </w:tcPr>
          <w:p w14:paraId="06977310"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5.</w:t>
            </w:r>
          </w:p>
        </w:tc>
        <w:tc>
          <w:tcPr>
            <w:tcW w:w="2766" w:type="dxa"/>
          </w:tcPr>
          <w:p w14:paraId="7B25DCB0" w14:textId="77777777" w:rsidR="0057456B" w:rsidRPr="0057456B" w:rsidRDefault="0057456B" w:rsidP="0057456B">
            <w:pPr>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Cita informācija</w:t>
            </w:r>
          </w:p>
        </w:tc>
        <w:tc>
          <w:tcPr>
            <w:tcW w:w="5880" w:type="dxa"/>
          </w:tcPr>
          <w:p w14:paraId="76904EC2" w14:textId="77777777" w:rsidR="0057456B" w:rsidRPr="0057456B" w:rsidRDefault="0057456B" w:rsidP="0057456B">
            <w:pPr>
              <w:shd w:val="clear" w:color="auto" w:fill="FFFFFF"/>
              <w:spacing w:after="0" w:line="240" w:lineRule="auto"/>
              <w:ind w:left="57" w:right="57"/>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Nav.</w:t>
            </w:r>
          </w:p>
        </w:tc>
      </w:tr>
    </w:tbl>
    <w:p w14:paraId="0BD92322"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p w14:paraId="2425830E"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57456B" w:rsidRPr="0057456B" w14:paraId="73DE06FF" w14:textId="77777777" w:rsidTr="001A7DAB">
        <w:trPr>
          <w:trHeight w:val="361"/>
          <w:jc w:val="center"/>
        </w:trPr>
        <w:tc>
          <w:tcPr>
            <w:tcW w:w="9117" w:type="dxa"/>
            <w:vAlign w:val="center"/>
          </w:tcPr>
          <w:p w14:paraId="4E21704D" w14:textId="77777777" w:rsidR="0057456B" w:rsidRPr="0057456B" w:rsidRDefault="0057456B" w:rsidP="0057456B">
            <w:pPr>
              <w:spacing w:after="0" w:line="240" w:lineRule="auto"/>
              <w:jc w:val="center"/>
              <w:rPr>
                <w:rFonts w:ascii="Times New Roman" w:eastAsia="Times New Roman" w:hAnsi="Times New Roman" w:cs="Times New Roman"/>
                <w:b/>
                <w:i/>
                <w:sz w:val="24"/>
                <w:szCs w:val="24"/>
                <w:lang w:eastAsia="lv-LV"/>
              </w:rPr>
            </w:pPr>
            <w:r w:rsidRPr="0057456B">
              <w:rPr>
                <w:rFonts w:ascii="Times New Roman" w:eastAsia="Times New Roman" w:hAnsi="Times New Roman" w:cs="Times New Roman"/>
                <w:sz w:val="24"/>
                <w:szCs w:val="24"/>
                <w:lang w:eastAsia="lv-LV"/>
              </w:rPr>
              <w:br w:type="page"/>
            </w:r>
            <w:r w:rsidRPr="0057456B">
              <w:rPr>
                <w:rFonts w:ascii="Times New Roman" w:eastAsia="Times New Roman" w:hAnsi="Times New Roman" w:cs="Times New Roman"/>
                <w:b/>
                <w:sz w:val="24"/>
                <w:szCs w:val="24"/>
                <w:lang w:eastAsia="lv-LV"/>
              </w:rPr>
              <w:t>III. Tiesību akta projekta ietekme uz valsts budžetu un pašvaldību budžetiem</w:t>
            </w:r>
          </w:p>
        </w:tc>
      </w:tr>
      <w:tr w:rsidR="0057456B" w:rsidRPr="0057456B" w14:paraId="72F9EFF4" w14:textId="77777777" w:rsidTr="001A7DAB">
        <w:trPr>
          <w:trHeight w:val="361"/>
          <w:jc w:val="center"/>
        </w:trPr>
        <w:tc>
          <w:tcPr>
            <w:tcW w:w="9117" w:type="dxa"/>
            <w:vAlign w:val="center"/>
          </w:tcPr>
          <w:p w14:paraId="27BF5A5A" w14:textId="77777777" w:rsidR="0057456B" w:rsidRPr="0057456B" w:rsidRDefault="0057456B" w:rsidP="0057456B">
            <w:pPr>
              <w:spacing w:after="0" w:line="240" w:lineRule="auto"/>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bCs/>
                <w:iCs/>
                <w:sz w:val="24"/>
                <w:szCs w:val="24"/>
                <w:lang w:eastAsia="lv-LV"/>
              </w:rPr>
              <w:t>Projekts šo jomu neskar</w:t>
            </w:r>
            <w:r w:rsidRPr="0057456B">
              <w:rPr>
                <w:rFonts w:ascii="Times New Roman" w:eastAsia="Times New Roman" w:hAnsi="Times New Roman" w:cs="Times New Roman"/>
                <w:sz w:val="24"/>
                <w:szCs w:val="24"/>
                <w:lang w:eastAsia="lv-LV"/>
              </w:rPr>
              <w:t>.</w:t>
            </w:r>
          </w:p>
        </w:tc>
      </w:tr>
    </w:tbl>
    <w:p w14:paraId="79776BDB"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p w14:paraId="7571B973"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7"/>
      </w:tblGrid>
      <w:tr w:rsidR="0057456B" w:rsidRPr="0057456B" w14:paraId="2400283E" w14:textId="77777777" w:rsidTr="001A7DAB">
        <w:trPr>
          <w:trHeight w:val="361"/>
          <w:jc w:val="center"/>
        </w:trPr>
        <w:tc>
          <w:tcPr>
            <w:tcW w:w="9117" w:type="dxa"/>
            <w:vAlign w:val="center"/>
          </w:tcPr>
          <w:p w14:paraId="26E46B96" w14:textId="77777777" w:rsidR="0057456B" w:rsidRPr="0057456B" w:rsidRDefault="0057456B" w:rsidP="0057456B">
            <w:pPr>
              <w:spacing w:after="0" w:line="240" w:lineRule="auto"/>
              <w:jc w:val="center"/>
              <w:rPr>
                <w:rFonts w:ascii="Times New Roman" w:eastAsia="Times New Roman" w:hAnsi="Times New Roman" w:cs="Times New Roman"/>
                <w:b/>
                <w:i/>
                <w:sz w:val="24"/>
                <w:szCs w:val="24"/>
                <w:lang w:eastAsia="lv-LV"/>
              </w:rPr>
            </w:pPr>
            <w:r w:rsidRPr="0057456B">
              <w:rPr>
                <w:rFonts w:ascii="Times New Roman" w:eastAsia="Times New Roman" w:hAnsi="Times New Roman" w:cs="Times New Roman"/>
                <w:b/>
                <w:bCs/>
                <w:sz w:val="24"/>
                <w:szCs w:val="24"/>
                <w:lang w:eastAsia="lv-LV"/>
              </w:rPr>
              <w:t>IV. Tiesību akta projekta ietekme uz spēkā esošo tiesību normu sistēmu</w:t>
            </w:r>
          </w:p>
        </w:tc>
      </w:tr>
      <w:tr w:rsidR="0057456B" w:rsidRPr="0057456B" w14:paraId="749863CB" w14:textId="77777777" w:rsidTr="001A7DAB">
        <w:trPr>
          <w:trHeight w:val="361"/>
          <w:jc w:val="center"/>
        </w:trPr>
        <w:tc>
          <w:tcPr>
            <w:tcW w:w="9117" w:type="dxa"/>
            <w:vAlign w:val="center"/>
          </w:tcPr>
          <w:p w14:paraId="3514A8B1" w14:textId="77777777" w:rsidR="0057456B" w:rsidRPr="0057456B" w:rsidRDefault="0057456B" w:rsidP="0057456B">
            <w:pPr>
              <w:spacing w:after="0" w:line="240" w:lineRule="auto"/>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bCs/>
                <w:iCs/>
                <w:sz w:val="24"/>
                <w:szCs w:val="24"/>
                <w:lang w:eastAsia="lv-LV"/>
              </w:rPr>
              <w:lastRenderedPageBreak/>
              <w:t>Projekts šo jomu neskar</w:t>
            </w:r>
            <w:r w:rsidRPr="0057456B">
              <w:rPr>
                <w:rFonts w:ascii="Times New Roman" w:eastAsia="Times New Roman" w:hAnsi="Times New Roman" w:cs="Times New Roman"/>
                <w:sz w:val="24"/>
                <w:szCs w:val="24"/>
                <w:lang w:eastAsia="lv-LV"/>
              </w:rPr>
              <w:t>.</w:t>
            </w:r>
          </w:p>
        </w:tc>
      </w:tr>
    </w:tbl>
    <w:p w14:paraId="15394641"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tbl>
      <w:tblPr>
        <w:tblW w:w="5007"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8"/>
      </w:tblGrid>
      <w:tr w:rsidR="0057456B" w:rsidRPr="0057456B" w14:paraId="74E5388A" w14:textId="77777777" w:rsidTr="001A7DAB">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148E77B" w14:textId="77777777" w:rsidR="0057456B" w:rsidRPr="0057456B" w:rsidRDefault="0057456B" w:rsidP="0057456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7456B">
              <w:rPr>
                <w:rFonts w:ascii="Times New Roman" w:eastAsia="Times New Roman" w:hAnsi="Times New Roman" w:cs="Times New Roman"/>
                <w:sz w:val="24"/>
                <w:szCs w:val="24"/>
                <w:lang w:eastAsia="lv-LV"/>
              </w:rPr>
              <w:t> </w:t>
            </w:r>
            <w:r w:rsidRPr="0057456B">
              <w:rPr>
                <w:rFonts w:ascii="Times New Roman" w:eastAsia="Times New Roman" w:hAnsi="Times New Roman" w:cs="Times New Roman"/>
                <w:b/>
                <w:bCs/>
                <w:sz w:val="24"/>
                <w:szCs w:val="24"/>
                <w:lang w:eastAsia="lv-LV"/>
              </w:rPr>
              <w:t>V. Tiesību akta projekta atbilstība Latvijas Republikas starptautiskajām saistībām</w:t>
            </w:r>
          </w:p>
        </w:tc>
      </w:tr>
      <w:tr w:rsidR="0057456B" w:rsidRPr="0057456B" w14:paraId="403BA5D6" w14:textId="77777777" w:rsidTr="001A7DAB">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18B704B0" w14:textId="77777777" w:rsidR="0057456B" w:rsidRPr="0057456B" w:rsidRDefault="0057456B" w:rsidP="0057456B">
            <w:pPr>
              <w:spacing w:after="0" w:line="240" w:lineRule="auto"/>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Projekts šo jomu neskar.</w:t>
            </w:r>
          </w:p>
        </w:tc>
      </w:tr>
    </w:tbl>
    <w:p w14:paraId="4B55CAAC" w14:textId="77777777" w:rsidR="0057456B" w:rsidRPr="0057456B" w:rsidRDefault="0057456B" w:rsidP="0057456B">
      <w:pPr>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
        <w:gridCol w:w="3654"/>
        <w:gridCol w:w="4961"/>
      </w:tblGrid>
      <w:tr w:rsidR="0057456B" w:rsidRPr="0057456B" w14:paraId="6886E2FE" w14:textId="77777777" w:rsidTr="00E615C1">
        <w:trPr>
          <w:trHeight w:val="327"/>
          <w:jc w:val="center"/>
        </w:trPr>
        <w:tc>
          <w:tcPr>
            <w:tcW w:w="9067" w:type="dxa"/>
            <w:gridSpan w:val="3"/>
            <w:vAlign w:val="center"/>
          </w:tcPr>
          <w:p w14:paraId="354D10B6" w14:textId="77777777" w:rsidR="0057456B" w:rsidRPr="0057456B" w:rsidRDefault="0057456B" w:rsidP="0057456B">
            <w:pPr>
              <w:spacing w:after="0" w:line="240" w:lineRule="auto"/>
              <w:ind w:left="57" w:right="57"/>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b/>
                <w:sz w:val="24"/>
                <w:szCs w:val="24"/>
                <w:lang w:eastAsia="lv-LV"/>
              </w:rPr>
              <w:t>VI. Sabiedrības līdzdalība un komunikācijas aktivitātes</w:t>
            </w:r>
          </w:p>
        </w:tc>
      </w:tr>
      <w:tr w:rsidR="00E615C1" w:rsidRPr="00E615C1" w:rsidDel="00C8606C" w14:paraId="5A718497" w14:textId="77777777" w:rsidTr="00E615C1">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420"/>
        </w:trPr>
        <w:tc>
          <w:tcPr>
            <w:tcW w:w="452" w:type="dxa"/>
            <w:tcBorders>
              <w:top w:val="outset" w:sz="6" w:space="0" w:color="414142"/>
              <w:left w:val="outset" w:sz="6" w:space="0" w:color="414142"/>
              <w:bottom w:val="outset" w:sz="6" w:space="0" w:color="414142"/>
              <w:right w:val="outset" w:sz="6" w:space="0" w:color="414142"/>
            </w:tcBorders>
          </w:tcPr>
          <w:p w14:paraId="38378211" w14:textId="77777777" w:rsidR="00E615C1" w:rsidRPr="00E615C1" w:rsidDel="00C8606C" w:rsidRDefault="00E615C1" w:rsidP="00E615C1">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1.</w:t>
            </w:r>
          </w:p>
        </w:tc>
        <w:tc>
          <w:tcPr>
            <w:tcW w:w="3654" w:type="dxa"/>
            <w:tcBorders>
              <w:top w:val="outset" w:sz="6" w:space="0" w:color="414142"/>
              <w:left w:val="outset" w:sz="6" w:space="0" w:color="414142"/>
              <w:bottom w:val="outset" w:sz="6" w:space="0" w:color="414142"/>
              <w:right w:val="outset" w:sz="6" w:space="0" w:color="414142"/>
            </w:tcBorders>
          </w:tcPr>
          <w:p w14:paraId="4485A0FD" w14:textId="77777777" w:rsidR="00E615C1" w:rsidRPr="00E615C1" w:rsidDel="00C8606C" w:rsidRDefault="00E615C1" w:rsidP="00E615C1">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Plānotās sabiedrības līdzdalības un komunikācijas aktivitātes saistībā ar projektu</w:t>
            </w:r>
          </w:p>
        </w:tc>
        <w:tc>
          <w:tcPr>
            <w:tcW w:w="4961" w:type="dxa"/>
            <w:tcBorders>
              <w:top w:val="outset" w:sz="6" w:space="0" w:color="414142"/>
              <w:left w:val="outset" w:sz="6" w:space="0" w:color="414142"/>
              <w:bottom w:val="outset" w:sz="6" w:space="0" w:color="414142"/>
              <w:right w:val="outset" w:sz="6" w:space="0" w:color="414142"/>
            </w:tcBorders>
          </w:tcPr>
          <w:p w14:paraId="557DE971" w14:textId="399D28D3" w:rsidR="00E615C1" w:rsidRPr="00E615C1" w:rsidDel="00C8606C" w:rsidRDefault="00E615C1" w:rsidP="00E615C1">
            <w:pPr>
              <w:spacing w:after="0" w:line="240" w:lineRule="auto"/>
              <w:jc w:val="both"/>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 xml:space="preserve">Paziņojums par sabiedrības līdzdalības iespējām noteikumu projekta izstrādes posmā tika ievietots </w:t>
            </w:r>
            <w:r w:rsidR="00FB2835">
              <w:rPr>
                <w:rFonts w:ascii="Times New Roman" w:eastAsia="Times New Roman" w:hAnsi="Times New Roman" w:cs="Times New Roman"/>
                <w:sz w:val="24"/>
                <w:szCs w:val="24"/>
                <w:lang w:eastAsia="lv-LV"/>
              </w:rPr>
              <w:t>Satiksmes ministrijas</w:t>
            </w:r>
            <w:r w:rsidR="00FB2835" w:rsidRPr="00E615C1">
              <w:rPr>
                <w:rFonts w:ascii="Times New Roman" w:eastAsia="Times New Roman" w:hAnsi="Times New Roman" w:cs="Times New Roman"/>
                <w:sz w:val="24"/>
                <w:szCs w:val="24"/>
                <w:lang w:eastAsia="lv-LV"/>
              </w:rPr>
              <w:t xml:space="preserve"> </w:t>
            </w:r>
            <w:r w:rsidRPr="00E615C1">
              <w:rPr>
                <w:rFonts w:ascii="Times New Roman" w:eastAsia="Times New Roman" w:hAnsi="Times New Roman" w:cs="Times New Roman"/>
                <w:sz w:val="24"/>
                <w:szCs w:val="24"/>
                <w:lang w:eastAsia="lv-LV"/>
              </w:rPr>
              <w:t xml:space="preserve">tīmekļa vietnē </w:t>
            </w:r>
            <w:hyperlink r:id="rId6" w:history="1">
              <w:r w:rsidRPr="00E615C1">
                <w:rPr>
                  <w:rFonts w:ascii="Times New Roman" w:eastAsia="Times New Roman" w:hAnsi="Times New Roman" w:cs="Times New Roman"/>
                  <w:sz w:val="24"/>
                  <w:szCs w:val="24"/>
                  <w:lang w:eastAsia="lv-LV"/>
                </w:rPr>
                <w:t>www.sam.gov.lv</w:t>
              </w:r>
            </w:hyperlink>
            <w:r w:rsidRPr="00E615C1">
              <w:rPr>
                <w:rFonts w:ascii="Times New Roman" w:eastAsia="Times New Roman" w:hAnsi="Times New Roman" w:cs="Times New Roman"/>
                <w:sz w:val="24"/>
                <w:szCs w:val="24"/>
                <w:lang w:eastAsia="lv-LV"/>
              </w:rPr>
              <w:t xml:space="preserve"> un M</w:t>
            </w:r>
            <w:r>
              <w:rPr>
                <w:rFonts w:ascii="Times New Roman" w:eastAsia="Times New Roman" w:hAnsi="Times New Roman" w:cs="Times New Roman"/>
                <w:sz w:val="24"/>
                <w:szCs w:val="24"/>
                <w:lang w:eastAsia="lv-LV"/>
              </w:rPr>
              <w:t>inistru kabineta</w:t>
            </w:r>
            <w:r w:rsidRPr="00E615C1">
              <w:rPr>
                <w:rFonts w:ascii="Times New Roman" w:eastAsia="Times New Roman" w:hAnsi="Times New Roman" w:cs="Times New Roman"/>
                <w:sz w:val="24"/>
                <w:szCs w:val="24"/>
                <w:lang w:eastAsia="lv-LV"/>
              </w:rPr>
              <w:t xml:space="preserve"> tīmekļa vietnē </w:t>
            </w:r>
            <w:hyperlink r:id="rId7" w:history="1">
              <w:r w:rsidRPr="00E615C1">
                <w:rPr>
                  <w:rFonts w:ascii="Times New Roman" w:eastAsia="Times New Roman" w:hAnsi="Times New Roman" w:cs="Times New Roman"/>
                  <w:sz w:val="24"/>
                  <w:szCs w:val="24"/>
                  <w:lang w:eastAsia="lv-LV"/>
                </w:rPr>
                <w:t>www.mk.gov.lv</w:t>
              </w:r>
            </w:hyperlink>
            <w:r w:rsidRPr="00E615C1">
              <w:rPr>
                <w:rFonts w:ascii="Times New Roman" w:eastAsia="Times New Roman" w:hAnsi="Times New Roman" w:cs="Times New Roman"/>
                <w:sz w:val="24"/>
                <w:szCs w:val="24"/>
                <w:lang w:eastAsia="lv-LV"/>
              </w:rPr>
              <w:t xml:space="preserve"> 2020. gada 20. martā.</w:t>
            </w:r>
          </w:p>
        </w:tc>
      </w:tr>
      <w:tr w:rsidR="00E615C1" w:rsidRPr="00E615C1" w:rsidDel="00C8606C" w14:paraId="0104AAA6" w14:textId="77777777" w:rsidTr="00E615C1">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420"/>
        </w:trPr>
        <w:tc>
          <w:tcPr>
            <w:tcW w:w="452" w:type="dxa"/>
            <w:tcBorders>
              <w:top w:val="outset" w:sz="6" w:space="0" w:color="414142"/>
              <w:left w:val="outset" w:sz="6" w:space="0" w:color="414142"/>
              <w:bottom w:val="outset" w:sz="6" w:space="0" w:color="414142"/>
              <w:right w:val="outset" w:sz="6" w:space="0" w:color="414142"/>
            </w:tcBorders>
          </w:tcPr>
          <w:p w14:paraId="4FF88E50" w14:textId="77777777" w:rsidR="00E615C1" w:rsidRPr="00E615C1" w:rsidDel="00C8606C" w:rsidRDefault="00E615C1" w:rsidP="00E615C1">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2.</w:t>
            </w:r>
          </w:p>
        </w:tc>
        <w:tc>
          <w:tcPr>
            <w:tcW w:w="3654" w:type="dxa"/>
            <w:tcBorders>
              <w:top w:val="outset" w:sz="6" w:space="0" w:color="414142"/>
              <w:left w:val="outset" w:sz="6" w:space="0" w:color="414142"/>
              <w:bottom w:val="outset" w:sz="6" w:space="0" w:color="414142"/>
              <w:right w:val="outset" w:sz="6" w:space="0" w:color="414142"/>
            </w:tcBorders>
          </w:tcPr>
          <w:p w14:paraId="0D787DC4" w14:textId="77777777" w:rsidR="00E615C1" w:rsidRPr="00E615C1" w:rsidDel="00C8606C" w:rsidRDefault="00E615C1" w:rsidP="00E615C1">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Sabiedrības līdzdalība projekta izstrādē</w:t>
            </w:r>
          </w:p>
        </w:tc>
        <w:tc>
          <w:tcPr>
            <w:tcW w:w="4961" w:type="dxa"/>
            <w:tcBorders>
              <w:top w:val="outset" w:sz="6" w:space="0" w:color="414142"/>
              <w:left w:val="outset" w:sz="6" w:space="0" w:color="414142"/>
              <w:bottom w:val="outset" w:sz="6" w:space="0" w:color="414142"/>
              <w:right w:val="outset" w:sz="6" w:space="0" w:color="414142"/>
            </w:tcBorders>
          </w:tcPr>
          <w:p w14:paraId="627D6E7D" w14:textId="7A639D68" w:rsidR="00E615C1" w:rsidRPr="00E615C1" w:rsidDel="00C8606C" w:rsidRDefault="00E615C1" w:rsidP="00E615C1">
            <w:pPr>
              <w:spacing w:after="0" w:line="240" w:lineRule="auto"/>
              <w:jc w:val="both"/>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Atbilstoši MK 2009.gada 25.augusta noteikumiem Nr.970 „Sabiedrības līdzdalības kārtība attīstības plānošanas procesā” 7.4.</w:t>
            </w:r>
            <w:r>
              <w:rPr>
                <w:rFonts w:ascii="Times New Roman" w:eastAsia="Times New Roman" w:hAnsi="Times New Roman" w:cs="Times New Roman"/>
                <w:sz w:val="24"/>
                <w:szCs w:val="24"/>
                <w:vertAlign w:val="superscript"/>
                <w:lang w:eastAsia="lv-LV"/>
              </w:rPr>
              <w:t>1</w:t>
            </w:r>
            <w:r w:rsidRPr="00E615C1">
              <w:rPr>
                <w:rFonts w:ascii="Times New Roman" w:eastAsia="Times New Roman" w:hAnsi="Times New Roman" w:cs="Times New Roman"/>
                <w:sz w:val="24"/>
                <w:szCs w:val="24"/>
                <w:lang w:eastAsia="lv-LV"/>
              </w:rPr>
              <w:t> apakšpunktam sabiedrībai tika sniegta iespēja rakstiski sniegt viedokli par noteikumu projektu tā izstrādes posmā.</w:t>
            </w:r>
          </w:p>
        </w:tc>
      </w:tr>
      <w:tr w:rsidR="00E615C1" w:rsidRPr="00E615C1" w:rsidDel="00C8606C" w14:paraId="2C0A79B5" w14:textId="77777777" w:rsidTr="00E615C1">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420"/>
        </w:trPr>
        <w:tc>
          <w:tcPr>
            <w:tcW w:w="452" w:type="dxa"/>
            <w:tcBorders>
              <w:top w:val="outset" w:sz="6" w:space="0" w:color="414142"/>
              <w:left w:val="outset" w:sz="6" w:space="0" w:color="414142"/>
              <w:bottom w:val="outset" w:sz="6" w:space="0" w:color="414142"/>
              <w:right w:val="outset" w:sz="6" w:space="0" w:color="414142"/>
            </w:tcBorders>
          </w:tcPr>
          <w:p w14:paraId="2B1351BC" w14:textId="77777777" w:rsidR="00E615C1" w:rsidRPr="00E615C1" w:rsidDel="00C8606C" w:rsidRDefault="00E615C1" w:rsidP="00E615C1">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3.</w:t>
            </w:r>
          </w:p>
        </w:tc>
        <w:tc>
          <w:tcPr>
            <w:tcW w:w="3654" w:type="dxa"/>
            <w:tcBorders>
              <w:top w:val="outset" w:sz="6" w:space="0" w:color="414142"/>
              <w:left w:val="outset" w:sz="6" w:space="0" w:color="414142"/>
              <w:bottom w:val="outset" w:sz="6" w:space="0" w:color="414142"/>
              <w:right w:val="outset" w:sz="6" w:space="0" w:color="414142"/>
            </w:tcBorders>
          </w:tcPr>
          <w:p w14:paraId="1F337251" w14:textId="77777777" w:rsidR="00E615C1" w:rsidRPr="00E615C1" w:rsidDel="00C8606C" w:rsidRDefault="00E615C1" w:rsidP="00E615C1">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Sabiedrības līdzdalības rezultāti</w:t>
            </w:r>
          </w:p>
        </w:tc>
        <w:tc>
          <w:tcPr>
            <w:tcW w:w="4961" w:type="dxa"/>
            <w:tcBorders>
              <w:top w:val="outset" w:sz="6" w:space="0" w:color="414142"/>
              <w:left w:val="outset" w:sz="6" w:space="0" w:color="414142"/>
              <w:bottom w:val="outset" w:sz="6" w:space="0" w:color="414142"/>
              <w:right w:val="outset" w:sz="6" w:space="0" w:color="414142"/>
            </w:tcBorders>
          </w:tcPr>
          <w:p w14:paraId="13B54450" w14:textId="77777777" w:rsidR="00E615C1" w:rsidRPr="00E615C1" w:rsidDel="00C8606C" w:rsidRDefault="00E615C1" w:rsidP="00E615C1">
            <w:pPr>
              <w:spacing w:after="0" w:line="240" w:lineRule="auto"/>
              <w:jc w:val="both"/>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Iebildumi vai priekšlikumi netika sniegti.</w:t>
            </w:r>
          </w:p>
        </w:tc>
      </w:tr>
      <w:tr w:rsidR="00E615C1" w:rsidRPr="00E615C1" w:rsidDel="00C8606C" w14:paraId="5A019337" w14:textId="77777777" w:rsidTr="00E615C1">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420"/>
        </w:trPr>
        <w:tc>
          <w:tcPr>
            <w:tcW w:w="452" w:type="dxa"/>
            <w:tcBorders>
              <w:top w:val="outset" w:sz="6" w:space="0" w:color="414142"/>
              <w:left w:val="outset" w:sz="6" w:space="0" w:color="414142"/>
              <w:bottom w:val="outset" w:sz="6" w:space="0" w:color="414142"/>
              <w:right w:val="outset" w:sz="6" w:space="0" w:color="414142"/>
            </w:tcBorders>
          </w:tcPr>
          <w:p w14:paraId="28EBDF46" w14:textId="77777777" w:rsidR="00E615C1" w:rsidRPr="00E615C1" w:rsidDel="00C8606C" w:rsidRDefault="00E615C1" w:rsidP="00E615C1">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4.</w:t>
            </w:r>
          </w:p>
        </w:tc>
        <w:tc>
          <w:tcPr>
            <w:tcW w:w="3654" w:type="dxa"/>
            <w:tcBorders>
              <w:top w:val="outset" w:sz="6" w:space="0" w:color="414142"/>
              <w:left w:val="outset" w:sz="6" w:space="0" w:color="414142"/>
              <w:bottom w:val="outset" w:sz="6" w:space="0" w:color="414142"/>
              <w:right w:val="outset" w:sz="6" w:space="0" w:color="414142"/>
            </w:tcBorders>
          </w:tcPr>
          <w:p w14:paraId="7BE13956" w14:textId="77777777" w:rsidR="00E615C1" w:rsidRPr="00E615C1" w:rsidDel="00C8606C" w:rsidRDefault="00E615C1" w:rsidP="00E615C1">
            <w:pPr>
              <w:spacing w:after="0" w:line="240" w:lineRule="auto"/>
              <w:rPr>
                <w:rFonts w:ascii="Times New Roman" w:eastAsia="Times New Roman" w:hAnsi="Times New Roman" w:cs="Times New Roman"/>
                <w:sz w:val="24"/>
                <w:szCs w:val="24"/>
                <w:lang w:eastAsia="lv-LV"/>
              </w:rPr>
            </w:pPr>
            <w:r w:rsidRPr="00E615C1">
              <w:rPr>
                <w:rFonts w:ascii="Times New Roman" w:eastAsia="Times New Roman" w:hAnsi="Times New Roman" w:cs="Times New Roman"/>
                <w:iCs/>
                <w:sz w:val="24"/>
                <w:szCs w:val="24"/>
                <w:lang w:eastAsia="lv-LV"/>
              </w:rPr>
              <w:t xml:space="preserve">Cita </w:t>
            </w:r>
            <w:r w:rsidRPr="00E615C1">
              <w:rPr>
                <w:rFonts w:ascii="Times New Roman" w:eastAsia="Times New Roman" w:hAnsi="Times New Roman" w:cs="Times New Roman"/>
                <w:sz w:val="24"/>
                <w:szCs w:val="24"/>
                <w:lang w:eastAsia="lv-LV"/>
              </w:rPr>
              <w:t>informācija</w:t>
            </w:r>
          </w:p>
        </w:tc>
        <w:tc>
          <w:tcPr>
            <w:tcW w:w="4961" w:type="dxa"/>
            <w:tcBorders>
              <w:top w:val="outset" w:sz="6" w:space="0" w:color="414142"/>
              <w:left w:val="outset" w:sz="6" w:space="0" w:color="414142"/>
              <w:bottom w:val="outset" w:sz="6" w:space="0" w:color="414142"/>
              <w:right w:val="outset" w:sz="6" w:space="0" w:color="414142"/>
            </w:tcBorders>
          </w:tcPr>
          <w:p w14:paraId="0A618395" w14:textId="77777777" w:rsidR="00E615C1" w:rsidRPr="00E615C1" w:rsidDel="00C8606C" w:rsidRDefault="00E615C1" w:rsidP="00E615C1">
            <w:pPr>
              <w:spacing w:after="0" w:line="240" w:lineRule="auto"/>
              <w:jc w:val="both"/>
              <w:rPr>
                <w:rFonts w:ascii="Times New Roman" w:eastAsia="Times New Roman" w:hAnsi="Times New Roman" w:cs="Times New Roman"/>
                <w:sz w:val="24"/>
                <w:szCs w:val="24"/>
                <w:lang w:eastAsia="lv-LV"/>
              </w:rPr>
            </w:pPr>
            <w:r w:rsidRPr="00E615C1">
              <w:rPr>
                <w:rFonts w:ascii="Times New Roman" w:eastAsia="Times New Roman" w:hAnsi="Times New Roman" w:cs="Times New Roman"/>
                <w:sz w:val="24"/>
                <w:szCs w:val="24"/>
                <w:lang w:eastAsia="lv-LV"/>
              </w:rPr>
              <w:t>Nav.</w:t>
            </w:r>
          </w:p>
        </w:tc>
      </w:tr>
    </w:tbl>
    <w:p w14:paraId="54A4204E" w14:textId="629E1E17" w:rsidR="0057456B" w:rsidRDefault="0057456B" w:rsidP="0057456B">
      <w:pPr>
        <w:spacing w:after="0" w:line="240" w:lineRule="auto"/>
        <w:rPr>
          <w:rFonts w:ascii="Times New Roman" w:eastAsia="Times New Roman" w:hAnsi="Times New Roman" w:cs="Times New Roman"/>
          <w:sz w:val="24"/>
          <w:szCs w:val="24"/>
          <w:lang w:eastAsia="lv-LV"/>
        </w:rPr>
      </w:pPr>
    </w:p>
    <w:p w14:paraId="66F55239" w14:textId="6C605296" w:rsidR="00E615C1" w:rsidRDefault="00E615C1" w:rsidP="0057456B">
      <w:pPr>
        <w:spacing w:after="0" w:line="240" w:lineRule="auto"/>
        <w:rPr>
          <w:rFonts w:ascii="Times New Roman" w:eastAsia="Times New Roman" w:hAnsi="Times New Roman" w:cs="Times New Roman"/>
          <w:sz w:val="24"/>
          <w:szCs w:val="24"/>
          <w:lang w:eastAsia="lv-LV"/>
        </w:rPr>
      </w:pPr>
    </w:p>
    <w:p w14:paraId="464D2453" w14:textId="77777777" w:rsidR="00E615C1" w:rsidRPr="0057456B" w:rsidRDefault="00E615C1" w:rsidP="0057456B">
      <w:pPr>
        <w:spacing w:after="0" w:line="240" w:lineRule="auto"/>
        <w:rPr>
          <w:rFonts w:ascii="Times New Roman" w:eastAsia="Times New Roman" w:hAnsi="Times New Roman" w:cs="Times New Roman"/>
          <w:sz w:val="24"/>
          <w:szCs w:val="24"/>
          <w:lang w:eastAsia="lv-LV"/>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656"/>
        <w:gridCol w:w="4990"/>
      </w:tblGrid>
      <w:tr w:rsidR="0057456B" w:rsidRPr="0057456B" w14:paraId="1AEAD002" w14:textId="77777777" w:rsidTr="001A7DAB">
        <w:trPr>
          <w:trHeight w:val="381"/>
          <w:jc w:val="center"/>
        </w:trPr>
        <w:tc>
          <w:tcPr>
            <w:tcW w:w="9132" w:type="dxa"/>
            <w:gridSpan w:val="3"/>
            <w:vAlign w:val="center"/>
          </w:tcPr>
          <w:p w14:paraId="37783DE2" w14:textId="77777777" w:rsidR="0057456B" w:rsidRPr="0057456B" w:rsidRDefault="0057456B" w:rsidP="0057456B">
            <w:pPr>
              <w:spacing w:after="0" w:line="240" w:lineRule="auto"/>
              <w:ind w:left="57" w:right="57"/>
              <w:jc w:val="center"/>
              <w:rPr>
                <w:rFonts w:ascii="Times New Roman" w:eastAsia="Times New Roman" w:hAnsi="Times New Roman" w:cs="Times New Roman"/>
                <w:sz w:val="24"/>
                <w:szCs w:val="24"/>
                <w:lang w:eastAsia="lv-LV"/>
              </w:rPr>
            </w:pPr>
            <w:r w:rsidRPr="0057456B">
              <w:rPr>
                <w:rFonts w:ascii="Times New Roman" w:eastAsia="Times New Roman" w:hAnsi="Times New Roman" w:cs="Times New Roman"/>
                <w:b/>
                <w:sz w:val="24"/>
                <w:szCs w:val="24"/>
                <w:lang w:eastAsia="lv-LV"/>
              </w:rPr>
              <w:t>VII. Tiesību akta projekta izpildes nodrošināšana un tās ietekme uz institūcijām</w:t>
            </w:r>
          </w:p>
        </w:tc>
      </w:tr>
      <w:tr w:rsidR="0057456B" w:rsidRPr="0057456B" w14:paraId="6F38C90E" w14:textId="77777777" w:rsidTr="001A7DAB">
        <w:trPr>
          <w:trHeight w:val="427"/>
          <w:jc w:val="center"/>
        </w:trPr>
        <w:tc>
          <w:tcPr>
            <w:tcW w:w="486" w:type="dxa"/>
          </w:tcPr>
          <w:p w14:paraId="3D3AAC73"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1.</w:t>
            </w:r>
          </w:p>
        </w:tc>
        <w:tc>
          <w:tcPr>
            <w:tcW w:w="3656" w:type="dxa"/>
          </w:tcPr>
          <w:p w14:paraId="0EF69BCF"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Projekta izpildē iesaistītās institūcijas</w:t>
            </w:r>
          </w:p>
        </w:tc>
        <w:tc>
          <w:tcPr>
            <w:tcW w:w="4990" w:type="dxa"/>
          </w:tcPr>
          <w:p w14:paraId="25C41A7C" w14:textId="581AAE7C"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 xml:space="preserve">Satiksmes ministrija, Valsts dzelzceļa tehniskā inspekcija, SIA “Eiropas dzelzceļa līnijas”, </w:t>
            </w:r>
            <w:r w:rsidR="00FB2835">
              <w:rPr>
                <w:rFonts w:ascii="Times New Roman" w:eastAsia="Times New Roman" w:hAnsi="Times New Roman" w:cs="Times New Roman"/>
                <w:sz w:val="24"/>
                <w:szCs w:val="24"/>
                <w:lang w:eastAsia="lv-LV"/>
              </w:rPr>
              <w:t>V</w:t>
            </w:r>
            <w:r w:rsidRPr="0057456B">
              <w:rPr>
                <w:rFonts w:ascii="Times New Roman" w:eastAsia="Times New Roman" w:hAnsi="Times New Roman" w:cs="Times New Roman"/>
                <w:sz w:val="24"/>
                <w:szCs w:val="24"/>
                <w:lang w:eastAsia="lv-LV"/>
              </w:rPr>
              <w:t>AS “Latvijas dzelzceļš”.</w:t>
            </w:r>
          </w:p>
        </w:tc>
      </w:tr>
      <w:tr w:rsidR="0057456B" w:rsidRPr="0057456B" w14:paraId="16B428CD" w14:textId="77777777" w:rsidTr="001A7DAB">
        <w:trPr>
          <w:trHeight w:val="463"/>
          <w:jc w:val="center"/>
        </w:trPr>
        <w:tc>
          <w:tcPr>
            <w:tcW w:w="486" w:type="dxa"/>
          </w:tcPr>
          <w:p w14:paraId="70861F42"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2.</w:t>
            </w:r>
          </w:p>
        </w:tc>
        <w:tc>
          <w:tcPr>
            <w:tcW w:w="3656" w:type="dxa"/>
          </w:tcPr>
          <w:p w14:paraId="646A2CDF"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Projekta izpildes ietekme uz pār</w:t>
            </w:r>
            <w:r w:rsidRPr="0057456B">
              <w:rPr>
                <w:rFonts w:ascii="Times New Roman" w:eastAsia="Times New Roman" w:hAnsi="Times New Roman" w:cs="Times New Roman"/>
                <w:sz w:val="24"/>
                <w:szCs w:val="24"/>
                <w:lang w:eastAsia="lv-LV"/>
              </w:rPr>
              <w:softHyphen/>
              <w:t>valdes funkcijām un institucionālo struktūru.</w:t>
            </w:r>
          </w:p>
          <w:p w14:paraId="584857A1"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Jaunu institūciju izveide, esošu institūciju likvidācija vai reorga</w:t>
            </w:r>
            <w:r w:rsidRPr="0057456B">
              <w:rPr>
                <w:rFonts w:ascii="Times New Roman" w:eastAsia="Times New Roman" w:hAnsi="Times New Roman" w:cs="Times New Roman"/>
                <w:sz w:val="24"/>
                <w:szCs w:val="24"/>
                <w:lang w:eastAsia="lv-LV"/>
              </w:rPr>
              <w:softHyphen/>
              <w:t>nizācija, to ietekme uz institūcijas cilvēkresursiem</w:t>
            </w:r>
          </w:p>
        </w:tc>
        <w:tc>
          <w:tcPr>
            <w:tcW w:w="4990" w:type="dxa"/>
          </w:tcPr>
          <w:p w14:paraId="6A56958D" w14:textId="77777777" w:rsidR="0057456B" w:rsidRPr="0057456B" w:rsidRDefault="0057456B" w:rsidP="0057456B">
            <w:pPr>
              <w:shd w:val="clear" w:color="auto" w:fill="FFFFFF"/>
              <w:spacing w:after="0" w:line="240" w:lineRule="auto"/>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Projekta izpildes rezultātā nav paredzēta jaunu institūciju izveide vai esošo institūciju likvidācija vai reorganizācija.</w:t>
            </w:r>
          </w:p>
        </w:tc>
      </w:tr>
      <w:tr w:rsidR="0057456B" w:rsidRPr="0057456B" w14:paraId="1178AC7E" w14:textId="77777777" w:rsidTr="001A7DAB">
        <w:trPr>
          <w:trHeight w:val="237"/>
          <w:jc w:val="center"/>
        </w:trPr>
        <w:tc>
          <w:tcPr>
            <w:tcW w:w="486" w:type="dxa"/>
            <w:tcBorders>
              <w:top w:val="single" w:sz="4" w:space="0" w:color="auto"/>
              <w:left w:val="single" w:sz="4" w:space="0" w:color="auto"/>
              <w:bottom w:val="single" w:sz="4" w:space="0" w:color="auto"/>
              <w:right w:val="single" w:sz="4" w:space="0" w:color="auto"/>
            </w:tcBorders>
          </w:tcPr>
          <w:p w14:paraId="188E0D80" w14:textId="77777777" w:rsidR="0057456B" w:rsidRPr="0057456B" w:rsidRDefault="0057456B" w:rsidP="0057456B">
            <w:pPr>
              <w:spacing w:after="0" w:line="240" w:lineRule="auto"/>
              <w:ind w:left="57" w:righ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3.</w:t>
            </w:r>
          </w:p>
        </w:tc>
        <w:tc>
          <w:tcPr>
            <w:tcW w:w="3656" w:type="dxa"/>
            <w:tcBorders>
              <w:top w:val="single" w:sz="4" w:space="0" w:color="auto"/>
              <w:left w:val="single" w:sz="4" w:space="0" w:color="auto"/>
              <w:bottom w:val="single" w:sz="4" w:space="0" w:color="auto"/>
              <w:right w:val="single" w:sz="4" w:space="0" w:color="auto"/>
            </w:tcBorders>
          </w:tcPr>
          <w:p w14:paraId="1CA8B6DA" w14:textId="77777777" w:rsidR="0057456B" w:rsidRPr="0057456B" w:rsidRDefault="0057456B" w:rsidP="0057456B">
            <w:pPr>
              <w:spacing w:after="0" w:line="240" w:lineRule="auto"/>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 xml:space="preserve"> Cita informācija</w:t>
            </w:r>
          </w:p>
        </w:tc>
        <w:tc>
          <w:tcPr>
            <w:tcW w:w="4990" w:type="dxa"/>
            <w:tcBorders>
              <w:top w:val="single" w:sz="4" w:space="0" w:color="auto"/>
              <w:left w:val="single" w:sz="4" w:space="0" w:color="auto"/>
              <w:bottom w:val="single" w:sz="4" w:space="0" w:color="auto"/>
              <w:right w:val="single" w:sz="4" w:space="0" w:color="auto"/>
            </w:tcBorders>
          </w:tcPr>
          <w:p w14:paraId="0F7B8A63" w14:textId="77777777" w:rsidR="0057456B" w:rsidRPr="0057456B" w:rsidRDefault="0057456B" w:rsidP="0057456B">
            <w:pPr>
              <w:spacing w:after="0" w:line="240" w:lineRule="auto"/>
              <w:ind w:left="57"/>
              <w:jc w:val="both"/>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Nav.</w:t>
            </w:r>
          </w:p>
        </w:tc>
      </w:tr>
    </w:tbl>
    <w:p w14:paraId="5D7E1DE9" w14:textId="77777777" w:rsidR="0057456B" w:rsidRPr="0057456B" w:rsidRDefault="0057456B" w:rsidP="0057456B">
      <w:pPr>
        <w:spacing w:after="0" w:line="240" w:lineRule="auto"/>
        <w:jc w:val="center"/>
        <w:rPr>
          <w:rFonts w:ascii="Times New Roman" w:eastAsia="Times New Roman" w:hAnsi="Times New Roman" w:cs="Times New Roman"/>
          <w:b/>
          <w:bCs/>
          <w:sz w:val="20"/>
          <w:szCs w:val="20"/>
          <w:lang w:eastAsia="lv-LV"/>
        </w:rPr>
      </w:pPr>
    </w:p>
    <w:p w14:paraId="4A4E6011" w14:textId="77777777" w:rsidR="0057456B" w:rsidRPr="0057456B" w:rsidRDefault="0057456B" w:rsidP="0057456B">
      <w:pPr>
        <w:spacing w:after="0" w:line="240" w:lineRule="auto"/>
        <w:ind w:firstLine="720"/>
        <w:rPr>
          <w:rFonts w:ascii="Times New Roman" w:eastAsia="Times New Roman" w:hAnsi="Times New Roman" w:cs="Times New Roman"/>
          <w:sz w:val="24"/>
          <w:szCs w:val="24"/>
          <w:lang w:eastAsia="lv-LV"/>
        </w:rPr>
      </w:pPr>
    </w:p>
    <w:p w14:paraId="3BC83FA5" w14:textId="77777777" w:rsidR="0057456B" w:rsidRPr="0057456B" w:rsidRDefault="0057456B" w:rsidP="0057456B">
      <w:pPr>
        <w:spacing w:after="0" w:line="240" w:lineRule="auto"/>
        <w:ind w:firstLine="720"/>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Satiksmes ministrs</w:t>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t xml:space="preserve">T. </w:t>
      </w:r>
      <w:proofErr w:type="spellStart"/>
      <w:r w:rsidRPr="0057456B">
        <w:rPr>
          <w:rFonts w:ascii="Times New Roman" w:eastAsia="Times New Roman" w:hAnsi="Times New Roman" w:cs="Times New Roman"/>
          <w:sz w:val="24"/>
          <w:szCs w:val="24"/>
          <w:lang w:eastAsia="lv-LV"/>
        </w:rPr>
        <w:t>Linkaits</w:t>
      </w:r>
      <w:proofErr w:type="spellEnd"/>
    </w:p>
    <w:p w14:paraId="0C3E841F" w14:textId="77777777" w:rsidR="0057456B" w:rsidRPr="0057456B" w:rsidRDefault="0057456B" w:rsidP="0057456B">
      <w:pPr>
        <w:spacing w:after="0" w:line="240" w:lineRule="auto"/>
        <w:rPr>
          <w:rFonts w:ascii="Times New Roman" w:eastAsia="Times New Roman" w:hAnsi="Times New Roman" w:cs="Times New Roman"/>
          <w:sz w:val="28"/>
          <w:szCs w:val="28"/>
          <w:lang w:eastAsia="lv-LV"/>
        </w:rPr>
      </w:pPr>
    </w:p>
    <w:p w14:paraId="555F514F" w14:textId="77777777" w:rsidR="0057456B" w:rsidRPr="0057456B" w:rsidRDefault="0057456B" w:rsidP="0057456B">
      <w:pPr>
        <w:spacing w:after="0" w:line="240" w:lineRule="auto"/>
        <w:ind w:firstLine="720"/>
        <w:rPr>
          <w:rFonts w:ascii="Times New Roman" w:eastAsia="Times New Roman" w:hAnsi="Times New Roman" w:cs="Times New Roman"/>
          <w:sz w:val="24"/>
          <w:szCs w:val="24"/>
          <w:lang w:eastAsia="lv-LV"/>
        </w:rPr>
      </w:pPr>
    </w:p>
    <w:p w14:paraId="44BF1871" w14:textId="77777777" w:rsidR="0057456B" w:rsidRPr="0057456B" w:rsidRDefault="0057456B" w:rsidP="0057456B">
      <w:pPr>
        <w:spacing w:after="0" w:line="240" w:lineRule="auto"/>
        <w:ind w:firstLine="720"/>
        <w:rPr>
          <w:rFonts w:ascii="Times New Roman" w:eastAsia="Times New Roman" w:hAnsi="Times New Roman" w:cs="Times New Roman"/>
          <w:sz w:val="24"/>
          <w:szCs w:val="24"/>
          <w:lang w:eastAsia="lv-LV"/>
        </w:rPr>
      </w:pPr>
      <w:r w:rsidRPr="0057456B">
        <w:rPr>
          <w:rFonts w:ascii="Times New Roman" w:eastAsia="Times New Roman" w:hAnsi="Times New Roman" w:cs="Times New Roman"/>
          <w:sz w:val="24"/>
          <w:szCs w:val="24"/>
          <w:lang w:eastAsia="lv-LV"/>
        </w:rPr>
        <w:t>Vīza: valsts sekretāre</w:t>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r>
      <w:r w:rsidRPr="0057456B">
        <w:rPr>
          <w:rFonts w:ascii="Times New Roman" w:eastAsia="Times New Roman" w:hAnsi="Times New Roman" w:cs="Times New Roman"/>
          <w:sz w:val="24"/>
          <w:szCs w:val="24"/>
          <w:lang w:eastAsia="lv-LV"/>
        </w:rPr>
        <w:tab/>
        <w:t xml:space="preserve">            I. Stepanova</w:t>
      </w:r>
    </w:p>
    <w:p w14:paraId="72199199" w14:textId="77777777" w:rsidR="0057456B" w:rsidRPr="0057456B" w:rsidRDefault="0057456B" w:rsidP="0057456B">
      <w:pPr>
        <w:spacing w:after="0" w:line="240" w:lineRule="auto"/>
        <w:jc w:val="both"/>
        <w:rPr>
          <w:rFonts w:ascii="Times New Roman" w:eastAsia="Times New Roman" w:hAnsi="Times New Roman" w:cs="Times New Roman"/>
          <w:sz w:val="20"/>
          <w:szCs w:val="24"/>
          <w:lang w:val="de-DE" w:eastAsia="lv-LV"/>
        </w:rPr>
      </w:pPr>
    </w:p>
    <w:p w14:paraId="48C79D24" w14:textId="77777777" w:rsidR="0057456B" w:rsidRPr="0057456B" w:rsidRDefault="0057456B" w:rsidP="0057456B">
      <w:pPr>
        <w:spacing w:after="0" w:line="240" w:lineRule="auto"/>
        <w:jc w:val="both"/>
        <w:rPr>
          <w:rFonts w:ascii="Times New Roman" w:eastAsia="Times New Roman" w:hAnsi="Times New Roman" w:cs="Times New Roman"/>
          <w:sz w:val="20"/>
          <w:szCs w:val="24"/>
          <w:lang w:val="de-DE" w:eastAsia="lv-LV"/>
        </w:rPr>
      </w:pPr>
    </w:p>
    <w:p w14:paraId="2CE44A04" w14:textId="77777777" w:rsidR="0057456B" w:rsidRPr="0057456B" w:rsidRDefault="0057456B" w:rsidP="0057456B">
      <w:pPr>
        <w:spacing w:after="0" w:line="240" w:lineRule="auto"/>
        <w:jc w:val="both"/>
        <w:rPr>
          <w:rFonts w:ascii="Times New Roman" w:eastAsia="Times New Roman" w:hAnsi="Times New Roman" w:cs="Times New Roman"/>
          <w:sz w:val="20"/>
          <w:szCs w:val="24"/>
          <w:lang w:val="de-DE" w:eastAsia="lv-LV"/>
        </w:rPr>
      </w:pPr>
      <w:r w:rsidRPr="0057456B">
        <w:rPr>
          <w:rFonts w:ascii="Times New Roman" w:eastAsia="Times New Roman" w:hAnsi="Times New Roman" w:cs="Times New Roman"/>
          <w:sz w:val="20"/>
          <w:szCs w:val="24"/>
          <w:lang w:val="de-DE" w:eastAsia="lv-LV"/>
        </w:rPr>
        <w:t>Eņģelis, 67028229</w:t>
      </w:r>
    </w:p>
    <w:p w14:paraId="6D321852" w14:textId="5D340A61" w:rsidR="009A5C5E" w:rsidRDefault="0057456B" w:rsidP="00AA628F">
      <w:pPr>
        <w:spacing w:after="0" w:line="240" w:lineRule="auto"/>
        <w:jc w:val="both"/>
      </w:pPr>
      <w:r w:rsidRPr="0057456B">
        <w:rPr>
          <w:rFonts w:ascii="Times New Roman" w:eastAsia="Times New Roman" w:hAnsi="Times New Roman" w:cs="Times New Roman"/>
          <w:color w:val="0000FF"/>
          <w:sz w:val="20"/>
          <w:szCs w:val="24"/>
          <w:u w:val="single"/>
          <w:lang w:val="de-DE" w:eastAsia="lv-LV"/>
        </w:rPr>
        <w:t>Karlis.Engelis@sam.gov.lv</w:t>
      </w:r>
    </w:p>
    <w:sectPr w:rsidR="009A5C5E" w:rsidSect="008A4360">
      <w:headerReference w:type="even" r:id="rId8"/>
      <w:headerReference w:type="default" r:id="rId9"/>
      <w:footerReference w:type="default" r:id="rId10"/>
      <w:footerReference w:type="first" r:id="rId11"/>
      <w:pgSz w:w="11906" w:h="16838" w:code="9"/>
      <w:pgMar w:top="1418" w:right="1134" w:bottom="1134" w:left="1701" w:header="709" w:footer="10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D43DB" w14:textId="77777777" w:rsidR="001D5F0C" w:rsidRDefault="001D5F0C" w:rsidP="0057456B">
      <w:pPr>
        <w:spacing w:after="0" w:line="240" w:lineRule="auto"/>
      </w:pPr>
      <w:r>
        <w:separator/>
      </w:r>
    </w:p>
  </w:endnote>
  <w:endnote w:type="continuationSeparator" w:id="0">
    <w:p w14:paraId="541282E1" w14:textId="77777777" w:rsidR="001D5F0C" w:rsidRDefault="001D5F0C" w:rsidP="0057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850A5" w14:textId="77777777" w:rsidR="00B657F4" w:rsidRPr="00E615C1" w:rsidRDefault="0057456B" w:rsidP="00685C10">
    <w:pPr>
      <w:pStyle w:val="Footer"/>
      <w:jc w:val="both"/>
      <w:rPr>
        <w:rFonts w:ascii="Times New Roman" w:hAnsi="Times New Roman" w:cs="Times New Roman"/>
      </w:rPr>
    </w:pPr>
    <w:r w:rsidRPr="00E615C1">
      <w:rPr>
        <w:rFonts w:ascii="Times New Roman" w:hAnsi="Times New Roman" w:cs="Times New Roman"/>
        <w:sz w:val="18"/>
      </w:rPr>
      <w:t>SManot_090320_MKN79groz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84CE" w14:textId="77777777" w:rsidR="00B657F4" w:rsidRPr="00E615C1" w:rsidRDefault="0057456B" w:rsidP="008118CB">
    <w:pPr>
      <w:pStyle w:val="Footer"/>
      <w:rPr>
        <w:rFonts w:ascii="Times New Roman" w:hAnsi="Times New Roman" w:cs="Times New Roman"/>
      </w:rPr>
    </w:pPr>
    <w:r w:rsidRPr="00E615C1">
      <w:rPr>
        <w:rFonts w:ascii="Times New Roman" w:hAnsi="Times New Roman" w:cs="Times New Roman"/>
        <w:sz w:val="18"/>
      </w:rPr>
      <w:t>SManot_090320_MKN97groz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42C61" w14:textId="77777777" w:rsidR="001D5F0C" w:rsidRDefault="001D5F0C" w:rsidP="0057456B">
      <w:pPr>
        <w:spacing w:after="0" w:line="240" w:lineRule="auto"/>
      </w:pPr>
      <w:r>
        <w:separator/>
      </w:r>
    </w:p>
  </w:footnote>
  <w:footnote w:type="continuationSeparator" w:id="0">
    <w:p w14:paraId="637CC8F6" w14:textId="77777777" w:rsidR="001D5F0C" w:rsidRDefault="001D5F0C" w:rsidP="00574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DE32" w14:textId="77777777" w:rsidR="00B657F4" w:rsidRDefault="0057456B" w:rsidP="009230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32292" w14:textId="77777777" w:rsidR="00B657F4" w:rsidRDefault="00D33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732D" w14:textId="77777777" w:rsidR="00B657F4" w:rsidRDefault="0057456B" w:rsidP="009230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07F4677" w14:textId="77777777" w:rsidR="00B657F4" w:rsidRDefault="00D33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6B"/>
    <w:rsid w:val="000B7911"/>
    <w:rsid w:val="001D5F0C"/>
    <w:rsid w:val="0057456B"/>
    <w:rsid w:val="005F2333"/>
    <w:rsid w:val="009A5C5E"/>
    <w:rsid w:val="00AA628F"/>
    <w:rsid w:val="00C71F2A"/>
    <w:rsid w:val="00D33BCE"/>
    <w:rsid w:val="00E615C1"/>
    <w:rsid w:val="00EA191B"/>
    <w:rsid w:val="00FB28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E929"/>
  <w15:chartTrackingRefBased/>
  <w15:docId w15:val="{2D6FDEAA-06CC-445F-A6A1-783C47A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233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6B"/>
  </w:style>
  <w:style w:type="paragraph" w:styleId="Footer">
    <w:name w:val="footer"/>
    <w:basedOn w:val="Normal"/>
    <w:link w:val="FooterChar"/>
    <w:uiPriority w:val="99"/>
    <w:unhideWhenUsed/>
    <w:rsid w:val="00574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56B"/>
  </w:style>
  <w:style w:type="character" w:styleId="PageNumber">
    <w:name w:val="page number"/>
    <w:basedOn w:val="DefaultParagraphFont"/>
    <w:rsid w:val="0057456B"/>
  </w:style>
  <w:style w:type="paragraph" w:styleId="BalloonText">
    <w:name w:val="Balloon Text"/>
    <w:basedOn w:val="Normal"/>
    <w:link w:val="BalloonTextChar"/>
    <w:uiPriority w:val="99"/>
    <w:semiHidden/>
    <w:unhideWhenUsed/>
    <w:rsid w:val="005F2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333"/>
    <w:rPr>
      <w:rFonts w:ascii="Segoe UI" w:hAnsi="Segoe UI" w:cs="Segoe UI"/>
      <w:sz w:val="18"/>
      <w:szCs w:val="18"/>
    </w:rPr>
  </w:style>
  <w:style w:type="character" w:customStyle="1" w:styleId="Heading3Char">
    <w:name w:val="Heading 3 Char"/>
    <w:basedOn w:val="DefaultParagraphFont"/>
    <w:link w:val="Heading3"/>
    <w:uiPriority w:val="9"/>
    <w:rsid w:val="005F2333"/>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FB2835"/>
    <w:rPr>
      <w:sz w:val="16"/>
      <w:szCs w:val="16"/>
    </w:rPr>
  </w:style>
  <w:style w:type="paragraph" w:styleId="CommentText">
    <w:name w:val="annotation text"/>
    <w:basedOn w:val="Normal"/>
    <w:link w:val="CommentTextChar"/>
    <w:uiPriority w:val="99"/>
    <w:semiHidden/>
    <w:unhideWhenUsed/>
    <w:rsid w:val="00FB2835"/>
    <w:pPr>
      <w:spacing w:line="240" w:lineRule="auto"/>
    </w:pPr>
    <w:rPr>
      <w:sz w:val="20"/>
      <w:szCs w:val="20"/>
    </w:rPr>
  </w:style>
  <w:style w:type="character" w:customStyle="1" w:styleId="CommentTextChar">
    <w:name w:val="Comment Text Char"/>
    <w:basedOn w:val="DefaultParagraphFont"/>
    <w:link w:val="CommentText"/>
    <w:uiPriority w:val="99"/>
    <w:semiHidden/>
    <w:rsid w:val="00FB2835"/>
    <w:rPr>
      <w:sz w:val="20"/>
      <w:szCs w:val="20"/>
    </w:rPr>
  </w:style>
  <w:style w:type="paragraph" w:styleId="CommentSubject">
    <w:name w:val="annotation subject"/>
    <w:basedOn w:val="CommentText"/>
    <w:next w:val="CommentText"/>
    <w:link w:val="CommentSubjectChar"/>
    <w:uiPriority w:val="99"/>
    <w:semiHidden/>
    <w:unhideWhenUsed/>
    <w:rsid w:val="00FB2835"/>
    <w:rPr>
      <w:b/>
      <w:bCs/>
    </w:rPr>
  </w:style>
  <w:style w:type="character" w:customStyle="1" w:styleId="CommentSubjectChar">
    <w:name w:val="Comment Subject Char"/>
    <w:basedOn w:val="CommentTextChar"/>
    <w:link w:val="CommentSubject"/>
    <w:uiPriority w:val="99"/>
    <w:semiHidden/>
    <w:rsid w:val="00FB2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8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k.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6256</Words>
  <Characters>3566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Ministru kabineta 2005. gada 1. februāra noteikumos Nr.79 „Dzelzceļa zemes nodalījuma joslas ekspluatācijas noteikumi”</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 februāra noteikumos Nr.79 „Dzelzceļa zemes nodalījuma joslas ekspluatācijas noteikumi”</dc:title>
  <dc:subject/>
  <dc:creator>Kārlis Enģelis</dc:creator>
  <cp:keywords/>
  <dc:description>Karlis.Engelis@sam.gov.lv, 67028229</dc:description>
  <cp:lastModifiedBy>Kārlis Eņģelis</cp:lastModifiedBy>
  <cp:revision>7</cp:revision>
  <dcterms:created xsi:type="dcterms:W3CDTF">2020-03-10T13:22:00Z</dcterms:created>
  <dcterms:modified xsi:type="dcterms:W3CDTF">2020-04-07T08:33:00Z</dcterms:modified>
</cp:coreProperties>
</file>