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E36A8" w14:textId="77777777" w:rsidR="008E7C20" w:rsidRDefault="008E7C20" w:rsidP="004D5597">
      <w:pPr>
        <w:spacing w:after="0"/>
        <w:jc w:val="center"/>
        <w:rPr>
          <w:rFonts w:eastAsia="Times New Roman"/>
          <w:b/>
          <w:bCs/>
          <w:lang w:eastAsia="lv-LV"/>
        </w:rPr>
      </w:pPr>
    </w:p>
    <w:p w14:paraId="41D55E76" w14:textId="282E5421" w:rsidR="004D5597" w:rsidRDefault="004D5597" w:rsidP="004D5597">
      <w:pPr>
        <w:spacing w:after="0"/>
        <w:jc w:val="center"/>
        <w:rPr>
          <w:rFonts w:eastAsia="Times New Roman"/>
          <w:b/>
          <w:bCs/>
          <w:lang w:eastAsia="lv-LV"/>
        </w:rPr>
      </w:pPr>
      <w:bookmarkStart w:id="0" w:name="_GoBack"/>
      <w:bookmarkEnd w:id="0"/>
      <w:r w:rsidRPr="004D5597">
        <w:rPr>
          <w:rFonts w:eastAsia="Times New Roman"/>
          <w:b/>
          <w:bCs/>
          <w:lang w:eastAsia="lv-LV"/>
        </w:rPr>
        <w:t>Likumprojekta</w:t>
      </w:r>
      <w:r>
        <w:rPr>
          <w:rFonts w:eastAsia="Times New Roman"/>
          <w:b/>
          <w:bCs/>
          <w:lang w:eastAsia="lv-LV"/>
        </w:rPr>
        <w:t xml:space="preserve"> </w:t>
      </w:r>
      <w:r w:rsidRPr="004D5597">
        <w:rPr>
          <w:rFonts w:eastAsia="Times New Roman"/>
          <w:b/>
          <w:bCs/>
          <w:lang w:eastAsia="lv-LV"/>
        </w:rPr>
        <w:t>„Grozījum</w:t>
      </w:r>
      <w:r w:rsidR="00CA173F">
        <w:rPr>
          <w:rFonts w:eastAsia="Times New Roman"/>
          <w:b/>
          <w:bCs/>
          <w:lang w:eastAsia="lv-LV"/>
        </w:rPr>
        <w:t>i</w:t>
      </w:r>
      <w:r w:rsidRPr="004D5597">
        <w:rPr>
          <w:rFonts w:eastAsia="Times New Roman"/>
          <w:b/>
          <w:bCs/>
          <w:lang w:eastAsia="lv-LV"/>
        </w:rPr>
        <w:t xml:space="preserve"> likumā „Par aviāciju””</w:t>
      </w:r>
    </w:p>
    <w:p w14:paraId="3195A857" w14:textId="77777777" w:rsidR="008C0EDC" w:rsidRDefault="004D5597" w:rsidP="004D5597">
      <w:pPr>
        <w:spacing w:after="0"/>
        <w:jc w:val="center"/>
        <w:rPr>
          <w:rFonts w:eastAsia="Times New Roman"/>
          <w:b/>
          <w:bCs/>
          <w:lang w:eastAsia="lv-LV"/>
        </w:rPr>
      </w:pPr>
      <w:r>
        <w:rPr>
          <w:rFonts w:eastAsia="Times New Roman"/>
          <w:b/>
          <w:bCs/>
          <w:lang w:eastAsia="lv-LV"/>
        </w:rPr>
        <w:t xml:space="preserve"> </w:t>
      </w:r>
      <w:r w:rsidR="00BA0797" w:rsidRPr="00BA0797">
        <w:rPr>
          <w:rFonts w:eastAsia="Times New Roman"/>
          <w:b/>
          <w:bCs/>
          <w:lang w:eastAsia="lv-LV"/>
        </w:rPr>
        <w:t>sākotnējās ietekmes novērtējuma ziņojums (anotācija)</w:t>
      </w:r>
    </w:p>
    <w:p w14:paraId="5567D26B" w14:textId="77777777" w:rsidR="004D5597" w:rsidRDefault="004D5597" w:rsidP="004D5597">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C0EDC" w:rsidRPr="008C0EDC" w14:paraId="216F6BE7" w14:textId="77777777" w:rsidTr="008C0E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003149"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Tiesību akta projekta anotācijas kopsavilkums</w:t>
            </w:r>
          </w:p>
        </w:tc>
      </w:tr>
      <w:tr w:rsidR="008C0EDC" w:rsidRPr="008C0EDC" w14:paraId="076CF2CB" w14:textId="77777777" w:rsidTr="000E397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8B411A" w14:textId="77777777" w:rsidR="008C0EDC" w:rsidRPr="008C0EDC" w:rsidRDefault="008C0EDC" w:rsidP="008C0EDC">
            <w:pPr>
              <w:spacing w:after="0"/>
              <w:rPr>
                <w:rFonts w:eastAsia="Times New Roman"/>
                <w:lang w:eastAsia="lv-LV"/>
              </w:rPr>
            </w:pPr>
            <w:r w:rsidRPr="008C0EDC">
              <w:rPr>
                <w:rFonts w:eastAsia="Times New Roman"/>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5B4D6786" w14:textId="292954C7" w:rsidR="00D21798" w:rsidRDefault="00FF4DD6" w:rsidP="002A53D1">
            <w:pPr>
              <w:spacing w:after="0"/>
              <w:jc w:val="both"/>
            </w:pPr>
            <w:r w:rsidRPr="00D37E51">
              <w:rPr>
                <w:rFonts w:eastAsia="Times New Roman"/>
                <w:bCs/>
                <w:lang w:eastAsia="lv-LV"/>
              </w:rPr>
              <w:t>Likumprojekt</w:t>
            </w:r>
            <w:r w:rsidR="00AA4426">
              <w:rPr>
                <w:rFonts w:eastAsia="Times New Roman"/>
                <w:bCs/>
                <w:lang w:eastAsia="lv-LV"/>
              </w:rPr>
              <w:t>s</w:t>
            </w:r>
            <w:r w:rsidRPr="00D37E51">
              <w:rPr>
                <w:rFonts w:eastAsia="Times New Roman"/>
                <w:bCs/>
                <w:lang w:eastAsia="lv-LV"/>
              </w:rPr>
              <w:t xml:space="preserve"> „Grozījum</w:t>
            </w:r>
            <w:r w:rsidR="00CA173F">
              <w:rPr>
                <w:rFonts w:eastAsia="Times New Roman"/>
                <w:bCs/>
                <w:lang w:eastAsia="lv-LV"/>
              </w:rPr>
              <w:t>i</w:t>
            </w:r>
            <w:r w:rsidRPr="00D37E51">
              <w:rPr>
                <w:rFonts w:eastAsia="Times New Roman"/>
                <w:bCs/>
                <w:lang w:eastAsia="lv-LV"/>
              </w:rPr>
              <w:t xml:space="preserve"> likumā „Par aviāciju””</w:t>
            </w:r>
            <w:r>
              <w:rPr>
                <w:rFonts w:eastAsia="Times New Roman"/>
                <w:b/>
                <w:bCs/>
                <w:lang w:eastAsia="lv-LV"/>
              </w:rPr>
              <w:t xml:space="preserve"> </w:t>
            </w:r>
            <w:r w:rsidR="00AA4426">
              <w:rPr>
                <w:rFonts w:eastAsia="Times New Roman"/>
                <w:bCs/>
                <w:lang w:eastAsia="lv-LV"/>
              </w:rPr>
              <w:t xml:space="preserve">(turpmāk – </w:t>
            </w:r>
            <w:r w:rsidR="00E12F4A">
              <w:rPr>
                <w:rFonts w:eastAsia="Times New Roman"/>
                <w:bCs/>
                <w:lang w:eastAsia="lv-LV"/>
              </w:rPr>
              <w:t>p</w:t>
            </w:r>
            <w:r w:rsidR="00E83853">
              <w:rPr>
                <w:rFonts w:eastAsia="Times New Roman"/>
                <w:lang w:eastAsia="lv-LV"/>
              </w:rPr>
              <w:t>rojekts</w:t>
            </w:r>
            <w:r w:rsidR="00D21798">
              <w:rPr>
                <w:rFonts w:eastAsia="Times New Roman"/>
                <w:lang w:eastAsia="lv-LV"/>
              </w:rPr>
              <w:t xml:space="preserve">) </w:t>
            </w:r>
            <w:r w:rsidR="002A53D1" w:rsidRPr="002A53D1">
              <w:rPr>
                <w:color w:val="2A2A2A"/>
              </w:rPr>
              <w:t>paredz tiesību normas, kas nepieciešamas Eiropas Savienības līmeņa tiesību aktu par bezpilota gaisa kuģiem piemērošanai, kā arī tiesību normas par administratīvo atbildību par pārkāpumiem, kas izdarīti ar bezpilota gaisa kuģi.</w:t>
            </w:r>
            <w:r w:rsidR="002A53D1" w:rsidRPr="002A53D1">
              <w:t xml:space="preserve"> </w:t>
            </w:r>
            <w:r w:rsidR="00CE2513">
              <w:t xml:space="preserve">Papildus ir iekļauta </w:t>
            </w:r>
            <w:r w:rsidR="00794045">
              <w:t xml:space="preserve">tiesību </w:t>
            </w:r>
            <w:r w:rsidR="00CE2513">
              <w:t>norma, kas regulē c</w:t>
            </w:r>
            <w:r w:rsidR="00CE2513" w:rsidRPr="00CE2513">
              <w:t>ivilās aviācijas gaisa kuģu lidojumu drošuma uzraudzīb</w:t>
            </w:r>
            <w:r w:rsidR="00CE2513">
              <w:t xml:space="preserve">u. </w:t>
            </w:r>
          </w:p>
          <w:p w14:paraId="43895ACB" w14:textId="08A20BC6" w:rsidR="00DC4D0A" w:rsidRPr="008C0EDC" w:rsidRDefault="00DC4D0A" w:rsidP="002A53D1">
            <w:pPr>
              <w:spacing w:after="0"/>
              <w:jc w:val="both"/>
              <w:rPr>
                <w:rFonts w:eastAsia="Times New Roman"/>
                <w:lang w:eastAsia="lv-LV"/>
              </w:rPr>
            </w:pPr>
          </w:p>
        </w:tc>
      </w:tr>
    </w:tbl>
    <w:p w14:paraId="79AB0F70"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8C0EDC" w14:paraId="624934A0"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7C36A5"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I. Tiesību akta projekta izstrādes nepieciešamība</w:t>
            </w:r>
          </w:p>
        </w:tc>
      </w:tr>
      <w:tr w:rsidR="008C0EDC" w:rsidRPr="008C0EDC" w14:paraId="29FD6327"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74D26A"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B902BF" w14:textId="77777777" w:rsidR="008C0EDC" w:rsidRPr="008C0EDC" w:rsidRDefault="008C0EDC" w:rsidP="008C0EDC">
            <w:pPr>
              <w:spacing w:after="0"/>
              <w:rPr>
                <w:rFonts w:eastAsia="Times New Roman"/>
                <w:lang w:eastAsia="lv-LV"/>
              </w:rPr>
            </w:pPr>
            <w:r w:rsidRPr="008C0EDC">
              <w:rPr>
                <w:rFonts w:eastAsia="Times New Roman"/>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55AB5C36" w14:textId="7DF91634" w:rsidR="008C0EDC" w:rsidRPr="000E78E2" w:rsidRDefault="00CE2513" w:rsidP="00A227FC">
            <w:pPr>
              <w:spacing w:after="0"/>
              <w:jc w:val="both"/>
            </w:pPr>
            <w:r w:rsidRPr="00CE2513">
              <w:t xml:space="preserve">Pamatojoties uz Ministru kabineta </w:t>
            </w:r>
            <w:r w:rsidR="00A227FC" w:rsidRPr="00CE2513">
              <w:t xml:space="preserve">2019.gada 13.augusta </w:t>
            </w:r>
            <w:r w:rsidRPr="00CE2513">
              <w:t>sēdes protokol</w:t>
            </w:r>
            <w:r w:rsidR="00A227FC">
              <w:t>lēmuma</w:t>
            </w:r>
            <w:r w:rsidRPr="00CE2513">
              <w:t xml:space="preserve"> </w:t>
            </w:r>
            <w:r w:rsidR="00A227FC">
              <w:t xml:space="preserve">(protokols </w:t>
            </w:r>
            <w:r w:rsidRPr="00CE2513">
              <w:t>Nr.34</w:t>
            </w:r>
            <w:r w:rsidR="00A227FC">
              <w:t xml:space="preserve">, </w:t>
            </w:r>
            <w:r w:rsidRPr="00CE2513">
              <w:t xml:space="preserve"> 27</w:t>
            </w:r>
            <w:r w:rsidR="00A227FC">
              <w:t>§)</w:t>
            </w:r>
            <w:r w:rsidRPr="00CE2513">
              <w:t xml:space="preserve"> 2.punktu Satiksmes ministrijai uzdots izstrādāt grozījumus likumā "Par aviāciju"</w:t>
            </w:r>
            <w:r w:rsidR="00CA173F">
              <w:t xml:space="preserve"> (turpmāk-likums)</w:t>
            </w:r>
            <w:r w:rsidRPr="00CE2513">
              <w:t xml:space="preserve"> un noteiktā kārtībā iesniegt izskatīšanai Ministru kabinetā, paredzot tiesību normas, kas nepieciešamas Eiropas Savienības līmeņa tiesību aktu par bezpilota gaisa kuģiem piemērošanai, kā arī tiesību normas par administratīvo atbildību par pārkāpumiem, kas izdarīti ar bezpilota gaisa kuģi.</w:t>
            </w:r>
          </w:p>
        </w:tc>
      </w:tr>
      <w:tr w:rsidR="008C0EDC" w:rsidRPr="008C0EDC" w14:paraId="1A655C01"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D19958" w14:textId="77777777" w:rsidR="00B43D39"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p w14:paraId="1BF4BE6E" w14:textId="77777777" w:rsidR="00B43D39" w:rsidRPr="00B43D39" w:rsidRDefault="00B43D39" w:rsidP="00B43D39">
            <w:pPr>
              <w:rPr>
                <w:rFonts w:eastAsia="Times New Roman"/>
                <w:lang w:eastAsia="lv-LV"/>
              </w:rPr>
            </w:pPr>
          </w:p>
          <w:p w14:paraId="173A4660" w14:textId="77777777" w:rsidR="00B43D39" w:rsidRPr="00B43D39" w:rsidRDefault="00B43D39" w:rsidP="00B43D39">
            <w:pPr>
              <w:rPr>
                <w:rFonts w:eastAsia="Times New Roman"/>
                <w:lang w:eastAsia="lv-LV"/>
              </w:rPr>
            </w:pPr>
          </w:p>
          <w:p w14:paraId="31AA7E22" w14:textId="77777777" w:rsidR="00B43D39" w:rsidRPr="00B43D39" w:rsidRDefault="00B43D39" w:rsidP="00B43D39">
            <w:pPr>
              <w:rPr>
                <w:rFonts w:eastAsia="Times New Roman"/>
                <w:lang w:eastAsia="lv-LV"/>
              </w:rPr>
            </w:pPr>
          </w:p>
          <w:p w14:paraId="74B5AD19" w14:textId="77777777" w:rsidR="00B43D39" w:rsidRPr="00B43D39" w:rsidRDefault="00B43D39" w:rsidP="00B43D39">
            <w:pPr>
              <w:rPr>
                <w:rFonts w:eastAsia="Times New Roman"/>
                <w:lang w:eastAsia="lv-LV"/>
              </w:rPr>
            </w:pPr>
          </w:p>
          <w:p w14:paraId="78BE949C" w14:textId="77777777" w:rsidR="00B43D39" w:rsidRPr="00B43D39" w:rsidRDefault="00B43D39" w:rsidP="00B43D39">
            <w:pPr>
              <w:rPr>
                <w:rFonts w:eastAsia="Times New Roman"/>
                <w:lang w:eastAsia="lv-LV"/>
              </w:rPr>
            </w:pPr>
          </w:p>
          <w:p w14:paraId="425820AE" w14:textId="77777777" w:rsidR="00B43D39" w:rsidRPr="00B43D39" w:rsidRDefault="00B43D39" w:rsidP="00B43D39">
            <w:pPr>
              <w:rPr>
                <w:rFonts w:eastAsia="Times New Roman"/>
                <w:lang w:eastAsia="lv-LV"/>
              </w:rPr>
            </w:pPr>
          </w:p>
          <w:p w14:paraId="49EA7E5D" w14:textId="77777777" w:rsidR="00B43D39" w:rsidRPr="00B43D39" w:rsidRDefault="00B43D39" w:rsidP="00B43D39">
            <w:pPr>
              <w:rPr>
                <w:rFonts w:eastAsia="Times New Roman"/>
                <w:lang w:eastAsia="lv-LV"/>
              </w:rPr>
            </w:pPr>
          </w:p>
          <w:p w14:paraId="43FE96BE" w14:textId="77777777" w:rsidR="00B43D39" w:rsidRPr="00B43D39" w:rsidRDefault="00B43D39" w:rsidP="00B43D39">
            <w:pPr>
              <w:rPr>
                <w:rFonts w:eastAsia="Times New Roman"/>
                <w:lang w:eastAsia="lv-LV"/>
              </w:rPr>
            </w:pPr>
          </w:p>
          <w:p w14:paraId="18E9D283" w14:textId="77777777" w:rsidR="00B43D39" w:rsidRPr="00B43D39" w:rsidRDefault="00B43D39" w:rsidP="00B43D39">
            <w:pPr>
              <w:rPr>
                <w:rFonts w:eastAsia="Times New Roman"/>
                <w:lang w:eastAsia="lv-LV"/>
              </w:rPr>
            </w:pPr>
          </w:p>
          <w:p w14:paraId="5D3DBD1C" w14:textId="77777777" w:rsidR="00B43D39" w:rsidRPr="00B43D39" w:rsidRDefault="00B43D39" w:rsidP="00B43D39">
            <w:pPr>
              <w:rPr>
                <w:rFonts w:eastAsia="Times New Roman"/>
                <w:lang w:eastAsia="lv-LV"/>
              </w:rPr>
            </w:pPr>
          </w:p>
          <w:p w14:paraId="248CCCFD" w14:textId="77777777" w:rsidR="00B43D39" w:rsidRPr="00B43D39" w:rsidRDefault="00B43D39" w:rsidP="00B43D39">
            <w:pPr>
              <w:rPr>
                <w:rFonts w:eastAsia="Times New Roman"/>
                <w:lang w:eastAsia="lv-LV"/>
              </w:rPr>
            </w:pPr>
          </w:p>
          <w:p w14:paraId="48A0DC61" w14:textId="77777777" w:rsidR="00B43D39" w:rsidRPr="00B43D39" w:rsidRDefault="00B43D39" w:rsidP="00B43D39">
            <w:pPr>
              <w:rPr>
                <w:rFonts w:eastAsia="Times New Roman"/>
                <w:lang w:eastAsia="lv-LV"/>
              </w:rPr>
            </w:pPr>
          </w:p>
          <w:p w14:paraId="5E33403D" w14:textId="77777777" w:rsidR="00B43D39" w:rsidRPr="00B43D39" w:rsidRDefault="00B43D39" w:rsidP="00B43D39">
            <w:pPr>
              <w:rPr>
                <w:rFonts w:eastAsia="Times New Roman"/>
                <w:lang w:eastAsia="lv-LV"/>
              </w:rPr>
            </w:pPr>
          </w:p>
          <w:p w14:paraId="6F345D8B" w14:textId="77777777" w:rsidR="00B43D39" w:rsidRDefault="00B43D39" w:rsidP="00B43D39">
            <w:pPr>
              <w:rPr>
                <w:rFonts w:eastAsia="Times New Roman"/>
                <w:lang w:eastAsia="lv-LV"/>
              </w:rPr>
            </w:pPr>
          </w:p>
          <w:p w14:paraId="46F5813A" w14:textId="77777777" w:rsidR="008C0EDC" w:rsidRPr="00B43D39" w:rsidRDefault="008C0EDC" w:rsidP="00B43D39">
            <w:pPr>
              <w:rPr>
                <w:rFonts w:eastAsia="Times New Roman"/>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36B5EEB" w14:textId="77777777" w:rsidR="00EA3C7C" w:rsidRDefault="008C0EDC" w:rsidP="008C0EDC">
            <w:pPr>
              <w:spacing w:after="0"/>
              <w:rPr>
                <w:rFonts w:eastAsia="Times New Roman"/>
                <w:lang w:eastAsia="lv-LV"/>
              </w:rPr>
            </w:pPr>
            <w:r w:rsidRPr="008C0EDC">
              <w:rPr>
                <w:rFonts w:eastAsia="Times New Roman"/>
                <w:lang w:eastAsia="lv-LV"/>
              </w:rPr>
              <w:t>Pašreizējā situācija un problēmas, kuru risināšanai tiesību akta projekts izstrādāts, tiesiskā regulējuma mērķis un būtība</w:t>
            </w:r>
          </w:p>
          <w:p w14:paraId="592536D6" w14:textId="77777777" w:rsidR="00EA3C7C" w:rsidRPr="00EA3C7C" w:rsidRDefault="00EA3C7C" w:rsidP="00EA3C7C">
            <w:pPr>
              <w:rPr>
                <w:rFonts w:eastAsia="Times New Roman"/>
                <w:lang w:eastAsia="lv-LV"/>
              </w:rPr>
            </w:pPr>
          </w:p>
          <w:p w14:paraId="03B584F1" w14:textId="77777777" w:rsidR="00EA3C7C" w:rsidRPr="00EA3C7C" w:rsidRDefault="00EA3C7C" w:rsidP="00EA3C7C">
            <w:pPr>
              <w:rPr>
                <w:rFonts w:eastAsia="Times New Roman"/>
                <w:lang w:eastAsia="lv-LV"/>
              </w:rPr>
            </w:pPr>
          </w:p>
          <w:p w14:paraId="65B9B2D1" w14:textId="77777777" w:rsidR="00EA3C7C" w:rsidRPr="00EA3C7C" w:rsidRDefault="00EA3C7C" w:rsidP="00EA3C7C">
            <w:pPr>
              <w:rPr>
                <w:rFonts w:eastAsia="Times New Roman"/>
                <w:lang w:eastAsia="lv-LV"/>
              </w:rPr>
            </w:pPr>
          </w:p>
          <w:p w14:paraId="200DEEA5" w14:textId="77777777" w:rsidR="00EA3C7C" w:rsidRPr="00EA3C7C" w:rsidRDefault="00EA3C7C" w:rsidP="00EA3C7C">
            <w:pPr>
              <w:rPr>
                <w:rFonts w:eastAsia="Times New Roman"/>
                <w:lang w:eastAsia="lv-LV"/>
              </w:rPr>
            </w:pPr>
          </w:p>
          <w:p w14:paraId="5188E6F0" w14:textId="77777777" w:rsidR="00EA3C7C" w:rsidRPr="00EA3C7C" w:rsidRDefault="00EA3C7C" w:rsidP="00EA3C7C">
            <w:pPr>
              <w:rPr>
                <w:rFonts w:eastAsia="Times New Roman"/>
                <w:lang w:eastAsia="lv-LV"/>
              </w:rPr>
            </w:pPr>
          </w:p>
          <w:p w14:paraId="0C106B78" w14:textId="77777777" w:rsidR="00EA3C7C" w:rsidRPr="00EA3C7C" w:rsidRDefault="00EA3C7C" w:rsidP="00EA3C7C">
            <w:pPr>
              <w:rPr>
                <w:rFonts w:eastAsia="Times New Roman"/>
                <w:lang w:eastAsia="lv-LV"/>
              </w:rPr>
            </w:pPr>
          </w:p>
          <w:p w14:paraId="6CF78BBF" w14:textId="77777777" w:rsidR="00EA3C7C" w:rsidRPr="00EA3C7C" w:rsidRDefault="00EA3C7C" w:rsidP="00EA3C7C">
            <w:pPr>
              <w:rPr>
                <w:rFonts w:eastAsia="Times New Roman"/>
                <w:lang w:eastAsia="lv-LV"/>
              </w:rPr>
            </w:pPr>
          </w:p>
          <w:p w14:paraId="6FB8FE38" w14:textId="77777777" w:rsidR="00EA3C7C" w:rsidRPr="00EA3C7C" w:rsidRDefault="00EA3C7C" w:rsidP="00EA3C7C">
            <w:pPr>
              <w:rPr>
                <w:rFonts w:eastAsia="Times New Roman"/>
                <w:lang w:eastAsia="lv-LV"/>
              </w:rPr>
            </w:pPr>
          </w:p>
          <w:p w14:paraId="26FD9079" w14:textId="77777777" w:rsidR="00EA3C7C" w:rsidRPr="00EA3C7C" w:rsidRDefault="00EA3C7C" w:rsidP="00EA3C7C">
            <w:pPr>
              <w:rPr>
                <w:rFonts w:eastAsia="Times New Roman"/>
                <w:lang w:eastAsia="lv-LV"/>
              </w:rPr>
            </w:pPr>
          </w:p>
          <w:p w14:paraId="689C3B9C" w14:textId="77777777" w:rsidR="00EA3C7C" w:rsidRPr="00EA3C7C" w:rsidRDefault="00EA3C7C" w:rsidP="00EA3C7C">
            <w:pPr>
              <w:rPr>
                <w:rFonts w:eastAsia="Times New Roman"/>
                <w:lang w:eastAsia="lv-LV"/>
              </w:rPr>
            </w:pPr>
          </w:p>
          <w:p w14:paraId="4CA7BEB7" w14:textId="77777777" w:rsidR="00EA3C7C" w:rsidRPr="00EA3C7C" w:rsidRDefault="00EA3C7C" w:rsidP="00EA3C7C">
            <w:pPr>
              <w:rPr>
                <w:rFonts w:eastAsia="Times New Roman"/>
                <w:lang w:eastAsia="lv-LV"/>
              </w:rPr>
            </w:pPr>
          </w:p>
          <w:p w14:paraId="5A4C53A9" w14:textId="77777777" w:rsidR="00EA3C7C" w:rsidRDefault="00EA3C7C" w:rsidP="00EA3C7C">
            <w:pPr>
              <w:rPr>
                <w:rFonts w:eastAsia="Times New Roman"/>
                <w:lang w:eastAsia="lv-LV"/>
              </w:rPr>
            </w:pPr>
          </w:p>
          <w:p w14:paraId="3D326ACA" w14:textId="77777777" w:rsidR="00B55DBD" w:rsidRDefault="00B55DBD" w:rsidP="00EA3C7C">
            <w:pPr>
              <w:rPr>
                <w:rFonts w:eastAsia="Times New Roman"/>
                <w:lang w:eastAsia="lv-LV"/>
              </w:rPr>
            </w:pPr>
          </w:p>
          <w:p w14:paraId="52378C8A" w14:textId="77777777" w:rsidR="00B55DBD" w:rsidRPr="00B55DBD" w:rsidRDefault="00B55DBD" w:rsidP="00B55DBD">
            <w:pPr>
              <w:rPr>
                <w:rFonts w:eastAsia="Times New Roman"/>
                <w:lang w:eastAsia="lv-LV"/>
              </w:rPr>
            </w:pPr>
          </w:p>
          <w:p w14:paraId="38177D13" w14:textId="77777777" w:rsidR="008C0EDC" w:rsidRDefault="008C0EDC" w:rsidP="00B55DBD">
            <w:pPr>
              <w:rPr>
                <w:rFonts w:eastAsia="Times New Roman"/>
                <w:lang w:eastAsia="lv-LV"/>
              </w:rPr>
            </w:pPr>
          </w:p>
          <w:p w14:paraId="78260DCD" w14:textId="77777777" w:rsidR="00B419DD" w:rsidRDefault="00B419DD" w:rsidP="00251708">
            <w:pPr>
              <w:rPr>
                <w:rFonts w:eastAsia="Times New Roman"/>
                <w:lang w:eastAsia="lv-LV"/>
              </w:rPr>
            </w:pPr>
          </w:p>
          <w:p w14:paraId="66EC71BF" w14:textId="77777777" w:rsidR="00B419DD" w:rsidRPr="00B419DD" w:rsidRDefault="00B419DD" w:rsidP="00B419DD">
            <w:pPr>
              <w:rPr>
                <w:rFonts w:eastAsia="Times New Roman"/>
                <w:lang w:eastAsia="lv-LV"/>
              </w:rPr>
            </w:pPr>
          </w:p>
          <w:p w14:paraId="17D4AB65" w14:textId="77777777" w:rsidR="00B419DD" w:rsidRPr="001D4304" w:rsidRDefault="00B419DD" w:rsidP="001D4304">
            <w:pPr>
              <w:rPr>
                <w:rFonts w:eastAsia="Times New Roman"/>
                <w:lang w:eastAsia="lv-LV"/>
              </w:rPr>
            </w:pPr>
          </w:p>
          <w:p w14:paraId="54BFF098" w14:textId="77777777" w:rsidR="00B419DD" w:rsidRPr="001D4304" w:rsidRDefault="00B419DD" w:rsidP="001D4304">
            <w:pPr>
              <w:rPr>
                <w:rFonts w:eastAsia="Times New Roman"/>
                <w:lang w:eastAsia="lv-LV"/>
              </w:rPr>
            </w:pPr>
          </w:p>
          <w:p w14:paraId="627DEC2E" w14:textId="77777777" w:rsidR="00B419DD" w:rsidRPr="00B419DD" w:rsidRDefault="00B419DD">
            <w:pPr>
              <w:rPr>
                <w:rFonts w:eastAsia="Times New Roman"/>
                <w:lang w:eastAsia="lv-LV"/>
              </w:rPr>
            </w:pPr>
          </w:p>
          <w:p w14:paraId="13DA8F4F" w14:textId="77777777" w:rsidR="00B419DD" w:rsidRPr="00B419DD" w:rsidRDefault="00B419DD">
            <w:pPr>
              <w:rPr>
                <w:rFonts w:eastAsia="Times New Roman"/>
                <w:lang w:eastAsia="lv-LV"/>
              </w:rPr>
            </w:pPr>
          </w:p>
          <w:p w14:paraId="42B88112" w14:textId="77777777" w:rsidR="00B419DD" w:rsidRPr="00B419DD" w:rsidRDefault="00B419DD">
            <w:pPr>
              <w:rPr>
                <w:rFonts w:eastAsia="Times New Roman"/>
                <w:lang w:eastAsia="lv-LV"/>
              </w:rPr>
            </w:pPr>
          </w:p>
          <w:p w14:paraId="3B3C724C" w14:textId="77777777" w:rsidR="00B419DD" w:rsidRPr="00B419DD" w:rsidRDefault="00B419DD">
            <w:pPr>
              <w:rPr>
                <w:rFonts w:eastAsia="Times New Roman"/>
                <w:lang w:eastAsia="lv-LV"/>
              </w:rPr>
            </w:pPr>
          </w:p>
          <w:p w14:paraId="18F99086" w14:textId="77777777" w:rsidR="00B419DD" w:rsidRPr="00B419DD" w:rsidRDefault="00B419DD">
            <w:pPr>
              <w:rPr>
                <w:rFonts w:eastAsia="Times New Roman"/>
                <w:lang w:eastAsia="lv-LV"/>
              </w:rPr>
            </w:pPr>
          </w:p>
          <w:p w14:paraId="392A2006" w14:textId="77777777" w:rsidR="00B419DD" w:rsidRPr="00B419DD" w:rsidRDefault="00B419DD">
            <w:pPr>
              <w:rPr>
                <w:rFonts w:eastAsia="Times New Roman"/>
                <w:lang w:eastAsia="lv-LV"/>
              </w:rPr>
            </w:pPr>
          </w:p>
          <w:p w14:paraId="201B5AA0" w14:textId="77777777" w:rsidR="00B419DD" w:rsidRPr="00B419DD" w:rsidRDefault="00B419DD">
            <w:pPr>
              <w:rPr>
                <w:rFonts w:eastAsia="Times New Roman"/>
                <w:lang w:eastAsia="lv-LV"/>
              </w:rPr>
            </w:pPr>
          </w:p>
          <w:p w14:paraId="54707ACC" w14:textId="77777777" w:rsidR="00B419DD" w:rsidRPr="00B419DD" w:rsidRDefault="00B419DD">
            <w:pPr>
              <w:rPr>
                <w:rFonts w:eastAsia="Times New Roman"/>
                <w:lang w:eastAsia="lv-LV"/>
              </w:rPr>
            </w:pPr>
          </w:p>
          <w:p w14:paraId="7A23D9AB" w14:textId="77777777" w:rsidR="00B419DD" w:rsidRPr="00B419DD" w:rsidRDefault="00B419DD">
            <w:pPr>
              <w:rPr>
                <w:rFonts w:eastAsia="Times New Roman"/>
                <w:lang w:eastAsia="lv-LV"/>
              </w:rPr>
            </w:pPr>
          </w:p>
          <w:p w14:paraId="4C627519" w14:textId="77777777" w:rsidR="00B419DD" w:rsidRPr="00B419DD" w:rsidRDefault="00B419DD">
            <w:pPr>
              <w:rPr>
                <w:rFonts w:eastAsia="Times New Roman"/>
                <w:lang w:eastAsia="lv-LV"/>
              </w:rPr>
            </w:pPr>
          </w:p>
          <w:p w14:paraId="78332336" w14:textId="77777777" w:rsidR="00B419DD" w:rsidRPr="00B419DD" w:rsidRDefault="00B419DD">
            <w:pPr>
              <w:rPr>
                <w:rFonts w:eastAsia="Times New Roman"/>
                <w:lang w:eastAsia="lv-LV"/>
              </w:rPr>
            </w:pPr>
          </w:p>
          <w:p w14:paraId="5CDAB45E" w14:textId="77777777" w:rsidR="00B419DD" w:rsidRPr="00B419DD" w:rsidRDefault="00B419DD">
            <w:pPr>
              <w:rPr>
                <w:rFonts w:eastAsia="Times New Roman"/>
                <w:lang w:eastAsia="lv-LV"/>
              </w:rPr>
            </w:pPr>
          </w:p>
          <w:p w14:paraId="4D466DC3" w14:textId="77777777" w:rsidR="00B419DD" w:rsidRPr="00B419DD" w:rsidRDefault="00B419DD">
            <w:pPr>
              <w:rPr>
                <w:rFonts w:eastAsia="Times New Roman"/>
                <w:lang w:eastAsia="lv-LV"/>
              </w:rPr>
            </w:pPr>
          </w:p>
          <w:p w14:paraId="21EDB619" w14:textId="77777777" w:rsidR="00B419DD" w:rsidRPr="00B419DD" w:rsidRDefault="00B419DD">
            <w:pPr>
              <w:rPr>
                <w:rFonts w:eastAsia="Times New Roman"/>
                <w:lang w:eastAsia="lv-LV"/>
              </w:rPr>
            </w:pPr>
          </w:p>
          <w:p w14:paraId="376F91E8" w14:textId="77777777" w:rsidR="00B419DD" w:rsidRPr="00B419DD" w:rsidRDefault="00B419DD">
            <w:pPr>
              <w:rPr>
                <w:rFonts w:eastAsia="Times New Roman"/>
                <w:lang w:eastAsia="lv-LV"/>
              </w:rPr>
            </w:pPr>
          </w:p>
          <w:p w14:paraId="4E3D4D4B" w14:textId="77777777" w:rsidR="00B419DD" w:rsidRPr="00B419DD" w:rsidRDefault="00B419DD">
            <w:pPr>
              <w:rPr>
                <w:rFonts w:eastAsia="Times New Roman"/>
                <w:lang w:eastAsia="lv-LV"/>
              </w:rPr>
            </w:pPr>
          </w:p>
          <w:p w14:paraId="20CB122F" w14:textId="77777777" w:rsidR="00B419DD" w:rsidRPr="00B419DD" w:rsidRDefault="00B419DD">
            <w:pPr>
              <w:rPr>
                <w:rFonts w:eastAsia="Times New Roman"/>
                <w:lang w:eastAsia="lv-LV"/>
              </w:rPr>
            </w:pPr>
          </w:p>
          <w:p w14:paraId="29856A0B" w14:textId="77777777" w:rsidR="00B419DD" w:rsidRPr="00B419DD" w:rsidRDefault="00B419DD">
            <w:pPr>
              <w:rPr>
                <w:rFonts w:eastAsia="Times New Roman"/>
                <w:lang w:eastAsia="lv-LV"/>
              </w:rPr>
            </w:pPr>
          </w:p>
          <w:p w14:paraId="7E420115" w14:textId="77777777" w:rsidR="00B419DD" w:rsidRPr="00B419DD" w:rsidRDefault="00B419DD">
            <w:pPr>
              <w:rPr>
                <w:rFonts w:eastAsia="Times New Roman"/>
                <w:lang w:eastAsia="lv-LV"/>
              </w:rPr>
            </w:pPr>
          </w:p>
          <w:p w14:paraId="453081B5" w14:textId="77777777" w:rsidR="00B419DD" w:rsidRPr="00B419DD" w:rsidRDefault="00B419DD">
            <w:pPr>
              <w:rPr>
                <w:rFonts w:eastAsia="Times New Roman"/>
                <w:lang w:eastAsia="lv-LV"/>
              </w:rPr>
            </w:pPr>
          </w:p>
          <w:p w14:paraId="70ECD8FD" w14:textId="77777777" w:rsidR="00B419DD" w:rsidRPr="00B419DD" w:rsidRDefault="00B419DD">
            <w:pPr>
              <w:rPr>
                <w:rFonts w:eastAsia="Times New Roman"/>
                <w:lang w:eastAsia="lv-LV"/>
              </w:rPr>
            </w:pPr>
          </w:p>
          <w:p w14:paraId="494D52C0" w14:textId="77777777" w:rsidR="00B419DD" w:rsidRPr="00B419DD" w:rsidRDefault="00B419DD">
            <w:pPr>
              <w:rPr>
                <w:rFonts w:eastAsia="Times New Roman"/>
                <w:lang w:eastAsia="lv-LV"/>
              </w:rPr>
            </w:pPr>
          </w:p>
          <w:p w14:paraId="366C7EDF" w14:textId="77777777" w:rsidR="00B419DD" w:rsidRPr="00B419DD" w:rsidRDefault="00B419DD">
            <w:pPr>
              <w:rPr>
                <w:rFonts w:eastAsia="Times New Roman"/>
                <w:lang w:eastAsia="lv-LV"/>
              </w:rPr>
            </w:pPr>
          </w:p>
          <w:p w14:paraId="7B4BF2CC" w14:textId="77777777" w:rsidR="00B419DD" w:rsidRPr="00B419DD" w:rsidRDefault="00B419DD">
            <w:pPr>
              <w:rPr>
                <w:rFonts w:eastAsia="Times New Roman"/>
                <w:lang w:eastAsia="lv-LV"/>
              </w:rPr>
            </w:pPr>
          </w:p>
          <w:p w14:paraId="2BAE6862" w14:textId="77777777" w:rsidR="00B419DD" w:rsidRDefault="00B419DD" w:rsidP="00B419DD">
            <w:pPr>
              <w:rPr>
                <w:rFonts w:eastAsia="Times New Roman"/>
                <w:lang w:eastAsia="lv-LV"/>
              </w:rPr>
            </w:pPr>
          </w:p>
          <w:p w14:paraId="5CE73D35" w14:textId="77777777" w:rsidR="00B419DD" w:rsidRPr="00B419DD" w:rsidRDefault="00B419DD" w:rsidP="00B419DD">
            <w:pPr>
              <w:rPr>
                <w:rFonts w:eastAsia="Times New Roman"/>
                <w:lang w:eastAsia="lv-LV"/>
              </w:rPr>
            </w:pPr>
          </w:p>
          <w:p w14:paraId="2E2410A4" w14:textId="77777777" w:rsidR="00251708" w:rsidRPr="00B419DD" w:rsidRDefault="00251708" w:rsidP="001D4304">
            <w:pPr>
              <w:ind w:firstLine="720"/>
              <w:rPr>
                <w:rFonts w:eastAsia="Times New Roman"/>
                <w:lang w:eastAsia="lv-LV"/>
              </w:rPr>
            </w:pPr>
          </w:p>
        </w:tc>
        <w:tc>
          <w:tcPr>
            <w:tcW w:w="3000" w:type="pct"/>
            <w:tcBorders>
              <w:top w:val="outset" w:sz="6" w:space="0" w:color="auto"/>
              <w:left w:val="outset" w:sz="6" w:space="0" w:color="auto"/>
              <w:bottom w:val="outset" w:sz="6" w:space="0" w:color="auto"/>
              <w:right w:val="outset" w:sz="6" w:space="0" w:color="auto"/>
            </w:tcBorders>
          </w:tcPr>
          <w:p w14:paraId="389F3D1E" w14:textId="2D64E701" w:rsidR="00CE2513" w:rsidRDefault="00CE2513" w:rsidP="00CE2513">
            <w:pPr>
              <w:spacing w:after="0"/>
              <w:jc w:val="both"/>
            </w:pPr>
            <w:r>
              <w:lastRenderedPageBreak/>
              <w:t>Eiropas Parlamenta un Padomes 2018.gada 4.jūlija Regula (ES) 2018/1139 par kopīgiem noteikumiem civilās aviācijas jomā un ar ko izveido Eiropas Savienības Aviācijas drošības aģentūru, un ar ko groza Eiropas Parlamenta un Padomes Regulas (EK) Nr.2111/2005, (EK) Nr.1008/2008, (ES) Nr.996/2010, (ES) Nr.376/2014 un Direktīvas 2014/30/ES un 2014/53/ES un atceļ Eiropas Parlamenta un Padomes Regulas (EK) Nr.552/2004 un (EK) Nr.216/2008 un Padomes Regulu (EEK) Nr.3922/91</w:t>
            </w:r>
            <w:r w:rsidR="00CA173F">
              <w:t>,</w:t>
            </w:r>
            <w:r w:rsidR="00A227FC">
              <w:t xml:space="preserve"> (turpmāk - Regula (ES) 2018/1139)</w:t>
            </w:r>
            <w:r>
              <w:t xml:space="preserve"> ietver vairākus pantus pamattekstā (55. – 58.pants) un IX. pielikumu, kas pirmo reizi Eiropas Savienības līmenī reglamentē ar bezpilota gaisa kuģiem saistītus jautājumus. </w:t>
            </w:r>
          </w:p>
          <w:p w14:paraId="4FF8840F" w14:textId="77777777" w:rsidR="00CE2513" w:rsidRDefault="00CE2513" w:rsidP="00CE2513">
            <w:pPr>
              <w:spacing w:after="0"/>
              <w:jc w:val="both"/>
            </w:pPr>
            <w:r>
              <w:t>Uz Regulas (ES) 2018/1139 pamata izdota:</w:t>
            </w:r>
          </w:p>
          <w:p w14:paraId="0BEF1D54" w14:textId="77777777" w:rsidR="00CE2513" w:rsidRDefault="00CE2513" w:rsidP="00CE2513">
            <w:pPr>
              <w:spacing w:after="0"/>
              <w:jc w:val="both"/>
            </w:pPr>
            <w:r>
              <w:t>1)</w:t>
            </w:r>
            <w:r>
              <w:tab/>
              <w:t>Komisijas 2019. gada 24. maija Īstenošanas regula (ES) 2019/947 par bezpilota gaisa kuģu ekspluatācijas noteikumiem un procedūrām (turpmāk - Īstenošanas regula (ES) 2019/947);</w:t>
            </w:r>
          </w:p>
          <w:p w14:paraId="6F44C5E0" w14:textId="77777777" w:rsidR="00CE2513" w:rsidRDefault="00CE2513" w:rsidP="00CE2513">
            <w:pPr>
              <w:spacing w:after="0"/>
              <w:jc w:val="both"/>
            </w:pPr>
            <w:r>
              <w:t>2)</w:t>
            </w:r>
            <w:r>
              <w:tab/>
              <w:t xml:space="preserve">Komisijas 2019.gada 12.marta Deleģētā regula (ES) 2019/945 par bezpilota gaisa kuģu </w:t>
            </w:r>
            <w:r w:rsidRPr="00CE2513">
              <w:t>sistēmām un trešo valstu bezpilota gaisa kuģu sistēmu operatoriem (turpmāk - Deleģētā regula (ES) 2019/945).</w:t>
            </w:r>
          </w:p>
          <w:p w14:paraId="3C682294" w14:textId="77777777" w:rsidR="00CE2513" w:rsidRDefault="00CE2513" w:rsidP="004D5597">
            <w:pPr>
              <w:spacing w:after="0"/>
              <w:jc w:val="both"/>
            </w:pPr>
          </w:p>
          <w:p w14:paraId="02035984" w14:textId="77777777" w:rsidR="00A30A9A" w:rsidRPr="008C3EA1" w:rsidRDefault="00A30A9A" w:rsidP="004D5597">
            <w:pPr>
              <w:spacing w:after="0"/>
              <w:jc w:val="both"/>
            </w:pPr>
            <w:r w:rsidRPr="008C3EA1">
              <w:lastRenderedPageBreak/>
              <w:t>Šobrīd kārtību, kādā veic</w:t>
            </w:r>
            <w:r w:rsidR="00CA03B9" w:rsidRPr="008C3EA1">
              <w:t xml:space="preserve"> bezpilota gaisa kuģu lidojumus, </w:t>
            </w:r>
            <w:r w:rsidRPr="008C3EA1">
              <w:t xml:space="preserve">regulē likuma </w:t>
            </w:r>
            <w:r w:rsidR="00CA03B9" w:rsidRPr="008C3EA1">
              <w:t>47.</w:t>
            </w:r>
            <w:r w:rsidRPr="008C3EA1">
              <w:t>pants un Ministru kabineta 201</w:t>
            </w:r>
            <w:r w:rsidR="00CA03B9" w:rsidRPr="008C3EA1">
              <w:t>9</w:t>
            </w:r>
            <w:r w:rsidRPr="008C3EA1">
              <w:t xml:space="preserve">.gada </w:t>
            </w:r>
            <w:r w:rsidR="00CA03B9" w:rsidRPr="008C3EA1">
              <w:t xml:space="preserve">13.augusta </w:t>
            </w:r>
            <w:r w:rsidRPr="008C3EA1">
              <w:t>noteikum</w:t>
            </w:r>
            <w:r w:rsidR="00F4014B" w:rsidRPr="008C3EA1">
              <w:t>i</w:t>
            </w:r>
            <w:r w:rsidRPr="008C3EA1">
              <w:t xml:space="preserve"> Nr.</w:t>
            </w:r>
            <w:r w:rsidR="00CA03B9" w:rsidRPr="008C3EA1">
              <w:t>368</w:t>
            </w:r>
            <w:r w:rsidRPr="008C3EA1">
              <w:t xml:space="preserve"> “</w:t>
            </w:r>
            <w:r w:rsidR="00CA03B9" w:rsidRPr="008C3EA1">
              <w:t>Kārtība, kādā veicami bezpilota gaisa kuģu un cita veida lidaparātu lidojumi</w:t>
            </w:r>
            <w:r w:rsidRPr="008C3EA1">
              <w:t>” (turpmāk – noteikumi Nr.</w:t>
            </w:r>
            <w:r w:rsidR="00CA03B9" w:rsidRPr="008C3EA1">
              <w:t>368</w:t>
            </w:r>
            <w:r w:rsidRPr="008C3EA1">
              <w:t>)</w:t>
            </w:r>
            <w:r w:rsidR="00F13934">
              <w:t xml:space="preserve">, kā arī </w:t>
            </w:r>
            <w:r w:rsidR="00F13934" w:rsidRPr="008C3EA1">
              <w:t>Īstenošanas</w:t>
            </w:r>
            <w:r w:rsidR="00F13934" w:rsidRPr="000E78E2">
              <w:rPr>
                <w:rStyle w:val="Emphasis"/>
                <w:i w:val="0"/>
                <w:iCs w:val="0"/>
                <w:color w:val="000000"/>
              </w:rPr>
              <w:t xml:space="preserve"> regula (ES) 2019/947</w:t>
            </w:r>
            <w:r w:rsidR="00F13934" w:rsidRPr="008C3EA1">
              <w:t xml:space="preserve"> un Deleģētā </w:t>
            </w:r>
            <w:r w:rsidR="00F13934" w:rsidRPr="00965786">
              <w:t>regula (ES) 2019/945</w:t>
            </w:r>
            <w:r w:rsidRPr="008C3EA1">
              <w:t>.</w:t>
            </w:r>
          </w:p>
          <w:p w14:paraId="558DD6F2" w14:textId="557E5EFF" w:rsidR="008C3EA1" w:rsidRDefault="008C3EA1" w:rsidP="008C3EA1">
            <w:pPr>
              <w:spacing w:after="0"/>
              <w:jc w:val="both"/>
            </w:pPr>
            <w:r w:rsidRPr="008C3EA1">
              <w:t>Īstenošanas</w:t>
            </w:r>
            <w:r w:rsidRPr="000E78E2">
              <w:rPr>
                <w:rStyle w:val="Emphasis"/>
                <w:i w:val="0"/>
                <w:iCs w:val="0"/>
                <w:color w:val="000000"/>
              </w:rPr>
              <w:t xml:space="preserve"> regula (ES) 2019/947</w:t>
            </w:r>
            <w:r w:rsidRPr="008C3EA1">
              <w:t xml:space="preserve"> un Deleģētā </w:t>
            </w:r>
            <w:r w:rsidRPr="00965786">
              <w:t>regula (ES) 2019/945</w:t>
            </w:r>
            <w:r w:rsidRPr="008C3EA1">
              <w:t xml:space="preserve"> stājās spēkā 2019.gada 1.jūlijā, bet tiks piemērotas gadu pēc t</w:t>
            </w:r>
            <w:r w:rsidR="00A227FC">
              <w:t>ās</w:t>
            </w:r>
            <w:r w:rsidRPr="008C3EA1">
              <w:t xml:space="preserve"> stāšanās spēkā (</w:t>
            </w:r>
            <w:r>
              <w:t xml:space="preserve">no </w:t>
            </w:r>
            <w:r w:rsidRPr="008C3EA1">
              <w:t>2020.gada 1.jūlij</w:t>
            </w:r>
            <w:r>
              <w:t>a</w:t>
            </w:r>
            <w:r w:rsidRPr="008C3EA1">
              <w:t>), kā arī virknei tiesību normu,</w:t>
            </w:r>
            <w:r w:rsidRPr="008C3EA1" w:rsidDel="007A19AC">
              <w:t xml:space="preserve"> </w:t>
            </w:r>
            <w:r w:rsidRPr="008C3EA1">
              <w:t xml:space="preserve">kuru ieviešana ir laikietilpīga un pakļauta konkrētām procedūrām, ir noteikts pārejas periods līdz diviem gadiem, ņemot vērā konkrētās prasības būtību. </w:t>
            </w:r>
            <w:r>
              <w:t>L</w:t>
            </w:r>
            <w:r w:rsidRPr="008C3EA1">
              <w:t xml:space="preserve">īdz 2023.gada 12.septembrim tiks pieņemta virkne jaunu Eiropas Savienības līmeņa tiesību aktu par bezpilota gaisa kuģiem, </w:t>
            </w:r>
            <w:r w:rsidR="00A227FC">
              <w:t>tostarp</w:t>
            </w:r>
            <w:r w:rsidRPr="008C3EA1">
              <w:t xml:space="preserve"> – tehniskie standarti.</w:t>
            </w:r>
          </w:p>
          <w:p w14:paraId="3D7BF262" w14:textId="77777777" w:rsidR="008C3EA1" w:rsidRDefault="008C3EA1" w:rsidP="008C3EA1">
            <w:pPr>
              <w:spacing w:after="0"/>
              <w:jc w:val="both"/>
            </w:pPr>
            <w:r w:rsidRPr="00965786">
              <w:t>Regula (ES) 2018/1139</w:t>
            </w:r>
            <w:r>
              <w:t xml:space="preserve">, </w:t>
            </w:r>
            <w:r w:rsidRPr="008C3EA1">
              <w:t>Īstenošanas</w:t>
            </w:r>
            <w:r w:rsidRPr="000E78E2">
              <w:rPr>
                <w:rStyle w:val="Emphasis"/>
                <w:i w:val="0"/>
                <w:iCs w:val="0"/>
                <w:color w:val="000000"/>
              </w:rPr>
              <w:t xml:space="preserve"> regula (ES) 2019/947</w:t>
            </w:r>
            <w:r w:rsidRPr="008C3EA1">
              <w:t xml:space="preserve"> un Deleģētā </w:t>
            </w:r>
            <w:r w:rsidRPr="00965786">
              <w:t>regula (ES) 2019/945</w:t>
            </w:r>
            <w:r>
              <w:t xml:space="preserve"> paredz virkni jautājumu, kam jārod risinājums nacionālajā līmenī</w:t>
            </w:r>
            <w:r w:rsidR="00FC4571">
              <w:t>, kā arī projekts aptver vairākus aktuālus nacionālās kompetences jautājumus</w:t>
            </w:r>
            <w:r>
              <w:t>:</w:t>
            </w:r>
          </w:p>
          <w:p w14:paraId="570E7CBB" w14:textId="1764C6BB" w:rsidR="00690722" w:rsidRDefault="00D25F82" w:rsidP="00D25F82">
            <w:pPr>
              <w:pStyle w:val="ListParagraph"/>
              <w:numPr>
                <w:ilvl w:val="0"/>
                <w:numId w:val="4"/>
              </w:numPr>
              <w:spacing w:after="0"/>
              <w:jc w:val="both"/>
            </w:pPr>
            <w:r>
              <w:t>Jānozīmē kompetentā(s) iestāde(s) bezpilota gaisa kuģu jomā (likuma 3.panta pirmās daļas 4.punkts; 6.panta otrās daļas 20</w:t>
            </w:r>
            <w:r w:rsidR="00A227FC">
              <w:t>.</w:t>
            </w:r>
            <w:r>
              <w:t>punkts, 6.panta septītās daļas 1</w:t>
            </w:r>
            <w:r w:rsidR="00A227FC">
              <w:t>.</w:t>
            </w:r>
            <w:r>
              <w:rPr>
                <w:vertAlign w:val="superscript"/>
              </w:rPr>
              <w:t xml:space="preserve">1 </w:t>
            </w:r>
            <w:r>
              <w:t>punkts,</w:t>
            </w:r>
            <w:r>
              <w:rPr>
                <w:vertAlign w:val="superscript"/>
              </w:rPr>
              <w:t xml:space="preserve"> </w:t>
            </w:r>
            <w:r w:rsidR="00A227FC" w:rsidRPr="00703C87">
              <w:t>(7)</w:t>
            </w:r>
            <w:r>
              <w:rPr>
                <w:vertAlign w:val="superscript"/>
              </w:rPr>
              <w:t xml:space="preserve"> 1 </w:t>
            </w:r>
            <w:r>
              <w:t xml:space="preserve">daļa, </w:t>
            </w:r>
            <w:r w:rsidR="00A227FC">
              <w:t>(7)</w:t>
            </w:r>
            <w:r>
              <w:t> </w:t>
            </w:r>
            <w:r>
              <w:rPr>
                <w:vertAlign w:val="superscript"/>
              </w:rPr>
              <w:t xml:space="preserve">2  </w:t>
            </w:r>
            <w:r>
              <w:t xml:space="preserve">daļa, </w:t>
            </w:r>
            <w:r w:rsidR="00A227FC">
              <w:t>(7)</w:t>
            </w:r>
            <w:r>
              <w:rPr>
                <w:vertAlign w:val="superscript"/>
              </w:rPr>
              <w:t>3</w:t>
            </w:r>
            <w:r>
              <w:t xml:space="preserve"> daļa,</w:t>
            </w:r>
            <w:r>
              <w:rPr>
                <w:vertAlign w:val="superscript"/>
              </w:rPr>
              <w:t xml:space="preserve"> </w:t>
            </w:r>
            <w:r w:rsidR="00A227FC">
              <w:t>(7)</w:t>
            </w:r>
            <w:r>
              <w:rPr>
                <w:vertAlign w:val="superscript"/>
              </w:rPr>
              <w:t>4</w:t>
            </w:r>
            <w:r>
              <w:t xml:space="preserve"> daļa, </w:t>
            </w:r>
            <w:r w:rsidR="00A227FC">
              <w:t>(7)</w:t>
            </w:r>
            <w:r>
              <w:rPr>
                <w:vertAlign w:val="superscript"/>
              </w:rPr>
              <w:t>5</w:t>
            </w:r>
            <w:r>
              <w:t> daļa, vienpadsmitā</w:t>
            </w:r>
            <w:r w:rsidR="004A0BC5">
              <w:rPr>
                <w:vertAlign w:val="superscript"/>
              </w:rPr>
              <w:t xml:space="preserve"> </w:t>
            </w:r>
            <w:r w:rsidR="004A0BC5" w:rsidRPr="00703C87">
              <w:t>prim</w:t>
            </w:r>
            <w:r>
              <w:rPr>
                <w:vertAlign w:val="superscript"/>
              </w:rPr>
              <w:t xml:space="preserve"> </w:t>
            </w:r>
            <w:r>
              <w:t xml:space="preserve"> nodaļa).</w:t>
            </w:r>
          </w:p>
          <w:p w14:paraId="1BD1E80B" w14:textId="3D238046" w:rsidR="009D4BEC" w:rsidRDefault="00124EE0" w:rsidP="008B1576">
            <w:pPr>
              <w:spacing w:after="0"/>
              <w:jc w:val="both"/>
            </w:pPr>
            <w:r>
              <w:t>Ņemot vērā līdzšinējo pieredzi, kā arī to, ka bezpilota gaisa kuģu joma ir integrēta civilās aviācijas sistēmas sastāvdaļa, likumprojektā</w:t>
            </w:r>
            <w:r w:rsidR="00F2754A">
              <w:t>,</w:t>
            </w:r>
            <w:r>
              <w:t xml:space="preserve"> kā kompetentā iestāde par bezpilota gaisa kuģu lidojumu drošuma un drošības aspektiem tiek nozīmēta valsta aģentūra “Civilās aviācijas aģentūra” (turpmāk – Civilās aviācijas aģentūra).</w:t>
            </w:r>
            <w:r w:rsidR="00066577">
              <w:t xml:space="preserve"> </w:t>
            </w:r>
            <w:r>
              <w:t>Tas aptver</w:t>
            </w:r>
            <w:r w:rsidR="002C615C">
              <w:t xml:space="preserve"> jautājumus, kas saistīti</w:t>
            </w:r>
            <w:r>
              <w:t xml:space="preserve"> ar bezpilota gaisa kuģu sistēmas ekspluatāciju</w:t>
            </w:r>
            <w:r w:rsidR="009222B2">
              <w:t xml:space="preserve"> un</w:t>
            </w:r>
            <w:r>
              <w:t xml:space="preserve"> personāla kvalifikāciju</w:t>
            </w:r>
            <w:r w:rsidR="002C615C">
              <w:t>;</w:t>
            </w:r>
            <w:r>
              <w:t xml:space="preserve"> bezpi</w:t>
            </w:r>
            <w:r w:rsidR="009222B2">
              <w:t>lota gaisa kuģu un bezpilota gaisa kuģu sistēm</w:t>
            </w:r>
            <w:r w:rsidR="002C615C">
              <w:t>as ekspluatantu</w:t>
            </w:r>
            <w:r w:rsidR="009222B2">
              <w:t xml:space="preserve"> reģistru</w:t>
            </w:r>
            <w:r w:rsidR="002C615C">
              <w:t>;</w:t>
            </w:r>
            <w:r w:rsidR="00FC4571">
              <w:t xml:space="preserve"> </w:t>
            </w:r>
            <w:r w:rsidR="002C615C">
              <w:t xml:space="preserve"> </w:t>
            </w:r>
            <w:r w:rsidR="002C615C" w:rsidRPr="00B4176C">
              <w:t>bezpilota gaisa kuģu lidojumiem gaisa kuģu modeļu klubu vai apvienību ietvaros;</w:t>
            </w:r>
            <w:r w:rsidR="002C615C">
              <w:t xml:space="preserve"> Latvijas Republikas gaisa telpas izmantošanu bezpilota gaisa kuģu lidojumiem, kā arī bezpilota gaisa kuģu lidojumu drošuma uzraudzības aspektus. </w:t>
            </w:r>
            <w:r w:rsidR="0040751B">
              <w:t>Vairākas</w:t>
            </w:r>
            <w:r w:rsidR="000C5D57">
              <w:t xml:space="preserve"> projektā paredzētās normas </w:t>
            </w:r>
            <w:r w:rsidR="008D750F">
              <w:t xml:space="preserve"> jau ir</w:t>
            </w:r>
            <w:r w:rsidR="004B5982">
              <w:t xml:space="preserve"> </w:t>
            </w:r>
            <w:r w:rsidR="0040751B">
              <w:t xml:space="preserve">spēkā esošas un </w:t>
            </w:r>
            <w:r w:rsidR="004B5982">
              <w:t>ietvertas</w:t>
            </w:r>
            <w:r w:rsidR="008D750F">
              <w:t xml:space="preserve"> </w:t>
            </w:r>
            <w:r w:rsidR="004B5982" w:rsidRPr="008C3EA1">
              <w:t>noteikum</w:t>
            </w:r>
            <w:r w:rsidR="004B5982">
              <w:t>os</w:t>
            </w:r>
            <w:r w:rsidR="004B5982" w:rsidRPr="008C3EA1">
              <w:t xml:space="preserve"> Nr.368</w:t>
            </w:r>
            <w:r w:rsidR="0040751B">
              <w:t>.</w:t>
            </w:r>
            <w:r w:rsidR="004B5982">
              <w:t xml:space="preserve"> </w:t>
            </w:r>
            <w:r w:rsidR="0040751B">
              <w:t>Projektā noteikumiem Nr.368</w:t>
            </w:r>
            <w:r w:rsidR="004B5982">
              <w:t xml:space="preserve"> ir </w:t>
            </w:r>
            <w:r w:rsidR="0040751B">
              <w:t xml:space="preserve">noteikts </w:t>
            </w:r>
            <w:r w:rsidR="004B5982" w:rsidRPr="00F2754A">
              <w:t xml:space="preserve">pārejas regulējuma statuss līdz </w:t>
            </w:r>
            <w:r w:rsidR="0040751B" w:rsidRPr="00F2754A">
              <w:t>2021.gada 1.jūlijam.</w:t>
            </w:r>
            <w:r w:rsidR="00F2754A">
              <w:t xml:space="preserve"> </w:t>
            </w:r>
            <w:r w:rsidR="000C5D57" w:rsidRPr="00F01A31">
              <w:t>G</w:t>
            </w:r>
            <w:r w:rsidR="009D4BEC" w:rsidRPr="00F01A31">
              <w:t>aisa kuģu modeļi</w:t>
            </w:r>
            <w:r w:rsidR="000C5D57" w:rsidRPr="00F01A31">
              <w:t xml:space="preserve"> atbilstoši </w:t>
            </w:r>
            <w:r w:rsidR="00756043" w:rsidRPr="00F2754A">
              <w:t>Īstenošanas regulai (ES) 2019/947</w:t>
            </w:r>
            <w:r w:rsidR="009D4BEC" w:rsidRPr="00F01A31">
              <w:t xml:space="preserve"> ir uzskatāmi par bezpilota gaisa kuģiem</w:t>
            </w:r>
            <w:r w:rsidR="005861C2" w:rsidRPr="00F01A31">
              <w:t xml:space="preserve">, kas </w:t>
            </w:r>
            <w:r w:rsidR="009D4BEC" w:rsidRPr="00F01A31">
              <w:t>galvenokārt tiek izmantoti sporta un vaļasprieka nolūkos</w:t>
            </w:r>
            <w:r w:rsidR="002773F4" w:rsidRPr="00F01A31">
              <w:t>,</w:t>
            </w:r>
            <w:r w:rsidR="000C5D57" w:rsidRPr="00F01A31">
              <w:t xml:space="preserve"> </w:t>
            </w:r>
            <w:r w:rsidR="002773F4" w:rsidRPr="00F01A31">
              <w:t>t</w:t>
            </w:r>
            <w:r w:rsidR="00756043" w:rsidRPr="00F01A31">
              <w:t>ādēļ</w:t>
            </w:r>
            <w:r w:rsidR="000C5D57" w:rsidRPr="00F01A31">
              <w:t xml:space="preserve"> bezpilota gaisa kuģu lidojumiem gaisa kuģu modeļu un apvienību ietvaros tiek piemērotas </w:t>
            </w:r>
            <w:r w:rsidR="005861C2" w:rsidRPr="00F01A31">
              <w:lastRenderedPageBreak/>
              <w:t>atšķirīgas prasības, kas tiks</w:t>
            </w:r>
            <w:r w:rsidR="00756043" w:rsidRPr="00F01A31">
              <w:t xml:space="preserve"> </w:t>
            </w:r>
            <w:r w:rsidR="005861C2" w:rsidRPr="00F01A31">
              <w:t>ie</w:t>
            </w:r>
            <w:r w:rsidR="00756043" w:rsidRPr="00F01A31">
              <w:t>t</w:t>
            </w:r>
            <w:r w:rsidR="005861C2" w:rsidRPr="00F01A31">
              <w:t>vertas pro</w:t>
            </w:r>
            <w:r w:rsidR="00756043" w:rsidRPr="00F01A31">
              <w:t xml:space="preserve">jekta </w:t>
            </w:r>
            <w:r w:rsidR="005861C2" w:rsidRPr="00F01A31">
              <w:t xml:space="preserve"> </w:t>
            </w:r>
            <w:r w:rsidR="00756043" w:rsidRPr="00F2754A">
              <w:t xml:space="preserve"> 117.</w:t>
            </w:r>
            <w:r w:rsidR="00756043" w:rsidRPr="00F2754A">
              <w:rPr>
                <w:vertAlign w:val="superscript"/>
              </w:rPr>
              <w:t>4</w:t>
            </w:r>
            <w:r w:rsidR="00756043" w:rsidRPr="00F2754A">
              <w:t> </w:t>
            </w:r>
            <w:r w:rsidR="005861C2" w:rsidRPr="00F01A31">
              <w:t xml:space="preserve"> pant</w:t>
            </w:r>
            <w:r w:rsidR="002773F4" w:rsidRPr="00F01A31">
              <w:t>ā</w:t>
            </w:r>
            <w:r w:rsidR="005861C2" w:rsidRPr="00F01A31">
              <w:t xml:space="preserve"> min</w:t>
            </w:r>
            <w:r w:rsidR="00756043" w:rsidRPr="00F01A31">
              <w:t>ē</w:t>
            </w:r>
            <w:r w:rsidR="005861C2" w:rsidRPr="00F01A31">
              <w:t>tajos noteikumos</w:t>
            </w:r>
            <w:r w:rsidR="002773F4" w:rsidRPr="00F01A31">
              <w:t xml:space="preserve">. </w:t>
            </w:r>
            <w:r w:rsidR="000C5D57" w:rsidRPr="00F01A31">
              <w:t>G</w:t>
            </w:r>
            <w:r w:rsidR="008B1576" w:rsidRPr="00F01A31">
              <w:t>aisa kuģu modeļu klubiem un apvienībām</w:t>
            </w:r>
            <w:r w:rsidR="002773F4" w:rsidRPr="00F01A31">
              <w:t xml:space="preserve"> </w:t>
            </w:r>
            <w:r w:rsidR="000C5D57" w:rsidRPr="00F01A31">
              <w:t>ir pienākums nodrošināt</w:t>
            </w:r>
            <w:r w:rsidR="002773F4" w:rsidRPr="00F01A31">
              <w:t xml:space="preserve"> atbilstošu</w:t>
            </w:r>
            <w:r w:rsidR="005861C2" w:rsidRPr="00F01A31">
              <w:t xml:space="preserve"> </w:t>
            </w:r>
            <w:r w:rsidR="002773F4" w:rsidRPr="00F01A31">
              <w:t>lidojumu</w:t>
            </w:r>
            <w:r w:rsidR="005861C2" w:rsidRPr="00F01A31">
              <w:t xml:space="preserve"> </w:t>
            </w:r>
            <w:r w:rsidR="002773F4" w:rsidRPr="00F01A31">
              <w:t>drošumu. Gaisa kuģu modeļu klubiem un apvienībām tiks izsniegtas atļaujas un uzraudzīta t</w:t>
            </w:r>
            <w:r w:rsidR="00F2754A">
              <w:t>o</w:t>
            </w:r>
            <w:r w:rsidR="002773F4" w:rsidRPr="00F2754A">
              <w:t xml:space="preserve"> darbība.</w:t>
            </w:r>
          </w:p>
          <w:p w14:paraId="5EBF9DF3" w14:textId="6B14B111" w:rsidR="00D32AFF" w:rsidRDefault="00CF4C15" w:rsidP="00F13934">
            <w:pPr>
              <w:spacing w:after="0"/>
              <w:jc w:val="both"/>
            </w:pPr>
            <w:bookmarkStart w:id="1" w:name="_Hlk34986574"/>
            <w:bookmarkStart w:id="2" w:name="_Hlk34985135"/>
            <w:r>
              <w:t>Kā tirgus uzraudzības iestāde</w:t>
            </w:r>
            <w:r w:rsidR="00CC6660">
              <w:t>, kas</w:t>
            </w:r>
            <w:r>
              <w:t xml:space="preserve"> </w:t>
            </w:r>
            <w:r w:rsidR="00CC6660" w:rsidRPr="00CC6660">
              <w:t xml:space="preserve">organizē un veic Eiropas Savienības tirgū laisto </w:t>
            </w:r>
            <w:r w:rsidR="0040751B">
              <w:t xml:space="preserve">un ienākošo </w:t>
            </w:r>
            <w:r w:rsidR="00CC6660" w:rsidRPr="00CC6660">
              <w:t>bezpilota gaisa kuģu sistēmu un to attālās identifikācijas papildierīču uzraudzību saskaņā ar regulas Nr. 2019/945 35. pantu</w:t>
            </w:r>
            <w:r w:rsidR="00CC6660">
              <w:t xml:space="preserve"> </w:t>
            </w:r>
            <w:r>
              <w:t>tiek nozīmēts Patērētāju tiesību aizsardzības centrs</w:t>
            </w:r>
            <w:bookmarkEnd w:id="1"/>
            <w:r>
              <w:t xml:space="preserve">, savukārt paziņojošās (pilnvarojošās) iestādes funkciju pildīs Ekonomikas ministrija saskaņā ar jau pastāvošo nacionālo regulējumu. </w:t>
            </w:r>
            <w:bookmarkEnd w:id="2"/>
            <w:r w:rsidR="00046FC1">
              <w:t>Projekts</w:t>
            </w:r>
            <w:r w:rsidR="00D32AFF">
              <w:t xml:space="preserve"> paredz kompetenci Valsts policijai veikt bezpilota gaisa kuģu lidojumu </w:t>
            </w:r>
            <w:r w:rsidR="000D2F83">
              <w:t>kontroli</w:t>
            </w:r>
            <w:r w:rsidR="00D32AFF">
              <w:t xml:space="preserve"> saistībā ar sabiedriskās kārtības un drošības ievērošanu</w:t>
            </w:r>
            <w:r w:rsidR="00AF00E9">
              <w:t xml:space="preserve">; Valsts robežsardzei – veikt bezpilota gaisa kuģu lidojumu </w:t>
            </w:r>
            <w:r w:rsidR="000D2F83">
              <w:t>kontroli</w:t>
            </w:r>
            <w:r w:rsidR="00AF00E9">
              <w:t xml:space="preserve"> infrastruktūras objektos, kas saistīti ar valsts robežas drošību, un gaisa telpas struktūras elementos, kuri piešķirti izmantošanai Valsts robežsardzei; Nacionālo bruņoto spēku Militārai policijai – veikt bezpilota gaisa kuģu lidojumu </w:t>
            </w:r>
            <w:r w:rsidR="000D2F83">
              <w:t>kontroli</w:t>
            </w:r>
            <w:r w:rsidR="00AF00E9">
              <w:t xml:space="preserve"> militārās infrastruktūras objektos, kuri tiek izmantoti </w:t>
            </w:r>
            <w:r w:rsidR="003768F6">
              <w:t xml:space="preserve">Nacionālo bruņoto spēku vajadzībām, </w:t>
            </w:r>
            <w:r w:rsidR="001B1632">
              <w:t>un gaisa telpas struktūras elementos, kuri piešķirti Nacionālajiem bruņotajiem spēkiem, to aktīvās darbības laikā.</w:t>
            </w:r>
            <w:r w:rsidR="00877CCB">
              <w:t xml:space="preserve"> Valsts robežsardzes, Nacionālo bruņoto spēku Militārās policijas un Valsts policijas  </w:t>
            </w:r>
            <w:r w:rsidR="000D2F83">
              <w:t>kontroles</w:t>
            </w:r>
            <w:r w:rsidR="00877CCB">
              <w:t xml:space="preserve"> funkcija</w:t>
            </w:r>
            <w:r w:rsidR="004A0BC5">
              <w:t>s</w:t>
            </w:r>
            <w:r w:rsidR="00877CCB">
              <w:t xml:space="preserve"> aptver administratīvo pārkāpumu, kas izdarīti ar bezpilota gaisa kuģa sistēmu, </w:t>
            </w:r>
            <w:r w:rsidR="00072E1D">
              <w:t>kon</w:t>
            </w:r>
            <w:r w:rsidR="00877CCB">
              <w:t xml:space="preserve">statēšanu, administratīvā </w:t>
            </w:r>
            <w:r w:rsidR="000D2F83">
              <w:t xml:space="preserve">pārkāpuma </w:t>
            </w:r>
            <w:r w:rsidR="00877CCB">
              <w:t xml:space="preserve">procesa veikšanu un </w:t>
            </w:r>
            <w:r w:rsidR="00877CCB">
              <w:rPr>
                <w:rFonts w:eastAsia="Times New Roman"/>
                <w:lang w:eastAsia="lv-LV"/>
              </w:rPr>
              <w:t>lēmum</w:t>
            </w:r>
            <w:r w:rsidR="00072E1D">
              <w:rPr>
                <w:rFonts w:eastAsia="Times New Roman"/>
                <w:lang w:eastAsia="lv-LV"/>
              </w:rPr>
              <w:t>a pieņemšanu</w:t>
            </w:r>
            <w:r w:rsidR="00877CCB">
              <w:rPr>
                <w:rFonts w:eastAsia="Times New Roman"/>
                <w:lang w:eastAsia="lv-LV"/>
              </w:rPr>
              <w:t xml:space="preserve"> par </w:t>
            </w:r>
            <w:r w:rsidR="000D2F83">
              <w:rPr>
                <w:rFonts w:eastAsia="Times New Roman"/>
                <w:lang w:eastAsia="lv-LV"/>
              </w:rPr>
              <w:t>soda</w:t>
            </w:r>
            <w:r w:rsidR="00877CCB">
              <w:rPr>
                <w:rFonts w:eastAsia="Times New Roman"/>
                <w:lang w:eastAsia="lv-LV"/>
              </w:rPr>
              <w:t xml:space="preserve"> </w:t>
            </w:r>
            <w:r w:rsidR="004A0BC5">
              <w:rPr>
                <w:rFonts w:eastAsia="Times New Roman"/>
                <w:lang w:eastAsia="lv-LV"/>
              </w:rPr>
              <w:t>piemērošanu</w:t>
            </w:r>
            <w:r w:rsidR="00072E1D">
              <w:rPr>
                <w:rFonts w:eastAsia="Times New Roman"/>
                <w:lang w:eastAsia="lv-LV"/>
              </w:rPr>
              <w:t>.</w:t>
            </w:r>
          </w:p>
          <w:p w14:paraId="781B56B4" w14:textId="77777777" w:rsidR="00FC4571" w:rsidRPr="00FC4571" w:rsidRDefault="00FC4571" w:rsidP="00690722">
            <w:pPr>
              <w:pStyle w:val="ListParagraph"/>
              <w:numPr>
                <w:ilvl w:val="0"/>
                <w:numId w:val="4"/>
              </w:numPr>
              <w:spacing w:after="0"/>
              <w:jc w:val="both"/>
            </w:pPr>
            <w:r>
              <w:rPr>
                <w:color w:val="2A2A2A"/>
              </w:rPr>
              <w:t xml:space="preserve">Jāizstrādā </w:t>
            </w:r>
            <w:r w:rsidRPr="002A53D1">
              <w:rPr>
                <w:color w:val="2A2A2A"/>
              </w:rPr>
              <w:t>tiesību normas par administratīvo atbildību par pārkāpumiem, kas izdarīti ar bezpilota gaisa kuģi</w:t>
            </w:r>
            <w:r w:rsidR="00877CCB">
              <w:rPr>
                <w:color w:val="2A2A2A"/>
              </w:rPr>
              <w:t xml:space="preserve"> un tā sistēmu</w:t>
            </w:r>
            <w:r w:rsidR="00D1054F">
              <w:rPr>
                <w:color w:val="2A2A2A"/>
              </w:rPr>
              <w:t xml:space="preserve"> (</w:t>
            </w:r>
            <w:r w:rsidR="00CA173F">
              <w:rPr>
                <w:color w:val="2A2A2A"/>
              </w:rPr>
              <w:t>projektā iekļautais</w:t>
            </w:r>
            <w:r w:rsidR="00D1054F">
              <w:rPr>
                <w:color w:val="2A2A2A"/>
              </w:rPr>
              <w:t xml:space="preserve"> 124</w:t>
            </w:r>
            <w:r w:rsidR="000D2F83">
              <w:rPr>
                <w:color w:val="2A2A2A"/>
              </w:rPr>
              <w:t>.</w:t>
            </w:r>
            <w:r w:rsidR="00D1054F">
              <w:rPr>
                <w:color w:val="2A2A2A"/>
                <w:vertAlign w:val="superscript"/>
              </w:rPr>
              <w:t>1</w:t>
            </w:r>
            <w:r w:rsidR="00D1054F">
              <w:rPr>
                <w:color w:val="2A2A2A"/>
              </w:rPr>
              <w:t xml:space="preserve"> un 125</w:t>
            </w:r>
            <w:r w:rsidR="000D2F83">
              <w:rPr>
                <w:color w:val="2A2A2A"/>
              </w:rPr>
              <w:t>.</w:t>
            </w:r>
            <w:r w:rsidR="00D1054F">
              <w:rPr>
                <w:color w:val="2A2A2A"/>
              </w:rPr>
              <w:t xml:space="preserve"> pants).</w:t>
            </w:r>
          </w:p>
          <w:p w14:paraId="4BDA3904" w14:textId="1F54A974" w:rsidR="00231016" w:rsidRDefault="00CA173F" w:rsidP="00FC4571">
            <w:pPr>
              <w:spacing w:after="0"/>
              <w:jc w:val="both"/>
              <w:rPr>
                <w:rFonts w:eastAsia="Times New Roman"/>
                <w:lang w:eastAsia="lv-LV"/>
              </w:rPr>
            </w:pPr>
            <w:r>
              <w:rPr>
                <w:rFonts w:eastAsia="Times New Roman"/>
                <w:lang w:eastAsia="lv-LV"/>
              </w:rPr>
              <w:t>P</w:t>
            </w:r>
            <w:r w:rsidR="00D87FA4" w:rsidRPr="00834E28">
              <w:rPr>
                <w:rFonts w:eastAsia="Times New Roman"/>
                <w:lang w:eastAsia="lv-LV"/>
              </w:rPr>
              <w:t>rojek</w:t>
            </w:r>
            <w:r w:rsidR="00D87FA4">
              <w:rPr>
                <w:rFonts w:eastAsia="Times New Roman"/>
                <w:lang w:eastAsia="lv-LV"/>
              </w:rPr>
              <w:t>ts nosaka</w:t>
            </w:r>
            <w:r w:rsidR="00D87FA4" w:rsidRPr="00834E28">
              <w:rPr>
                <w:rFonts w:eastAsia="Times New Roman"/>
                <w:lang w:eastAsia="lv-LV"/>
              </w:rPr>
              <w:t xml:space="preserve"> administratīv</w:t>
            </w:r>
            <w:r w:rsidR="004A0BC5">
              <w:rPr>
                <w:rFonts w:eastAsia="Times New Roman"/>
                <w:lang w:eastAsia="lv-LV"/>
              </w:rPr>
              <w:t>o</w:t>
            </w:r>
            <w:r w:rsidR="00D87FA4" w:rsidRPr="00834E28">
              <w:rPr>
                <w:rFonts w:eastAsia="Times New Roman"/>
                <w:lang w:eastAsia="lv-LV"/>
              </w:rPr>
              <w:t xml:space="preserve"> atbildību par</w:t>
            </w:r>
            <w:r w:rsidR="00D87FA4">
              <w:rPr>
                <w:rFonts w:eastAsia="Times New Roman"/>
                <w:lang w:eastAsia="lv-LV"/>
              </w:rPr>
              <w:t xml:space="preserve"> ekspluatācijas,</w:t>
            </w:r>
            <w:r w:rsidR="00D87FA4" w:rsidRPr="00834E28">
              <w:rPr>
                <w:rFonts w:eastAsia="Times New Roman"/>
                <w:lang w:eastAsia="lv-LV"/>
              </w:rPr>
              <w:t xml:space="preserve"> </w:t>
            </w:r>
            <w:r w:rsidR="00D87FA4">
              <w:rPr>
                <w:rFonts w:eastAsia="Times New Roman"/>
                <w:lang w:eastAsia="lv-LV"/>
              </w:rPr>
              <w:t>l</w:t>
            </w:r>
            <w:r w:rsidR="00D87FA4" w:rsidRPr="00834E28">
              <w:rPr>
                <w:rFonts w:eastAsia="Times New Roman"/>
                <w:lang w:eastAsia="lv-LV"/>
              </w:rPr>
              <w:t xml:space="preserve">idojumu </w:t>
            </w:r>
            <w:r w:rsidR="00D87FA4">
              <w:rPr>
                <w:rFonts w:eastAsia="Times New Roman"/>
                <w:lang w:eastAsia="lv-LV"/>
              </w:rPr>
              <w:t>veikšanas un g</w:t>
            </w:r>
            <w:r w:rsidR="00D87FA4" w:rsidRPr="00445CA2">
              <w:rPr>
                <w:rFonts w:eastAsia="Times New Roman"/>
                <w:lang w:eastAsia="lv-LV"/>
              </w:rPr>
              <w:t xml:space="preserve">aisa telpas izmantošanas </w:t>
            </w:r>
            <w:r w:rsidR="00D87FA4" w:rsidRPr="00834E28">
              <w:rPr>
                <w:rFonts w:eastAsia="Times New Roman"/>
                <w:lang w:eastAsia="lv-LV"/>
              </w:rPr>
              <w:t>noteikumu pārkāpšan</w:t>
            </w:r>
            <w:r w:rsidR="00D87FA4">
              <w:rPr>
                <w:rFonts w:eastAsia="Times New Roman"/>
                <w:lang w:eastAsia="lv-LV"/>
              </w:rPr>
              <w:t xml:space="preserve">u </w:t>
            </w:r>
            <w:r w:rsidR="00D87FA4" w:rsidRPr="00834E28">
              <w:rPr>
                <w:rFonts w:eastAsia="Times New Roman"/>
                <w:lang w:eastAsia="lv-LV"/>
              </w:rPr>
              <w:t xml:space="preserve">ar </w:t>
            </w:r>
            <w:r w:rsidR="00D87FA4" w:rsidRPr="00730AF7">
              <w:rPr>
                <w:rFonts w:eastAsia="Times New Roman"/>
                <w:lang w:eastAsia="lv-LV"/>
              </w:rPr>
              <w:t>bezpilota gaisa kuģ</w:t>
            </w:r>
            <w:r w:rsidR="00D87FA4">
              <w:rPr>
                <w:rFonts w:eastAsia="Times New Roman"/>
                <w:lang w:eastAsia="lv-LV"/>
              </w:rPr>
              <w:t>a sistēmu</w:t>
            </w:r>
            <w:r w:rsidR="00D87FA4" w:rsidRPr="00834E28">
              <w:rPr>
                <w:rFonts w:eastAsia="Times New Roman"/>
                <w:lang w:eastAsia="lv-LV"/>
              </w:rPr>
              <w:t>,</w:t>
            </w:r>
            <w:r w:rsidR="00231016">
              <w:rPr>
                <w:rFonts w:eastAsia="Times New Roman"/>
                <w:lang w:eastAsia="lv-LV"/>
              </w:rPr>
              <w:t xml:space="preserve"> kā arī par prasību neievērošanu attiecībā uz to </w:t>
            </w:r>
            <w:r w:rsidR="00231016" w:rsidRPr="00283650">
              <w:rPr>
                <w:rFonts w:eastAsia="Times New Roman"/>
                <w:lang w:eastAsia="lv-LV"/>
              </w:rPr>
              <w:t>drošumu un atbilstības novērtēšanu</w:t>
            </w:r>
            <w:r w:rsidR="00231016" w:rsidRPr="00834E28">
              <w:rPr>
                <w:rFonts w:eastAsia="Times New Roman"/>
                <w:lang w:eastAsia="lv-LV"/>
              </w:rPr>
              <w:t>,</w:t>
            </w:r>
            <w:r w:rsidR="00231016">
              <w:rPr>
                <w:rFonts w:eastAsia="Times New Roman"/>
                <w:lang w:eastAsia="lv-LV"/>
              </w:rPr>
              <w:t xml:space="preserve"> </w:t>
            </w:r>
            <w:r w:rsidR="00D87FA4" w:rsidRPr="00834E28">
              <w:rPr>
                <w:rFonts w:eastAsia="Times New Roman"/>
                <w:lang w:eastAsia="lv-LV"/>
              </w:rPr>
              <w:t>nosak</w:t>
            </w:r>
            <w:r w:rsidR="00D87FA4">
              <w:rPr>
                <w:rFonts w:eastAsia="Times New Roman"/>
                <w:lang w:eastAsia="lv-LV"/>
              </w:rPr>
              <w:t xml:space="preserve">a </w:t>
            </w:r>
            <w:r w:rsidR="00D87FA4" w:rsidRPr="00834E28">
              <w:rPr>
                <w:rFonts w:eastAsia="Times New Roman"/>
                <w:lang w:eastAsia="lv-LV"/>
              </w:rPr>
              <w:t>piemērojam</w:t>
            </w:r>
            <w:r w:rsidR="004A0BC5">
              <w:rPr>
                <w:rFonts w:eastAsia="Times New Roman"/>
                <w:lang w:eastAsia="lv-LV"/>
              </w:rPr>
              <w:t>ā</w:t>
            </w:r>
            <w:r w:rsidR="00D87FA4" w:rsidRPr="00834E28">
              <w:rPr>
                <w:rFonts w:eastAsia="Times New Roman"/>
                <w:lang w:eastAsia="lv-LV"/>
              </w:rPr>
              <w:t xml:space="preserve"> sod</w:t>
            </w:r>
            <w:r w:rsidR="004A0BC5">
              <w:rPr>
                <w:rFonts w:eastAsia="Times New Roman"/>
                <w:lang w:eastAsia="lv-LV"/>
              </w:rPr>
              <w:t>a</w:t>
            </w:r>
            <w:r w:rsidR="00D87FA4" w:rsidRPr="00834E28">
              <w:rPr>
                <w:rFonts w:eastAsia="Times New Roman"/>
                <w:lang w:eastAsia="lv-LV"/>
              </w:rPr>
              <w:t xml:space="preserve"> apmēr</w:t>
            </w:r>
            <w:r w:rsidR="004A0BC5">
              <w:rPr>
                <w:rFonts w:eastAsia="Times New Roman"/>
                <w:lang w:eastAsia="lv-LV"/>
              </w:rPr>
              <w:t>a</w:t>
            </w:r>
            <w:r w:rsidR="00D87FA4" w:rsidRPr="00834E28">
              <w:rPr>
                <w:rFonts w:eastAsia="Times New Roman"/>
                <w:lang w:eastAsia="lv-LV"/>
              </w:rPr>
              <w:t xml:space="preserve"> minimālās un maksimālās robežas, kā arī no</w:t>
            </w:r>
            <w:r w:rsidR="00D87FA4">
              <w:rPr>
                <w:rFonts w:eastAsia="Times New Roman"/>
                <w:lang w:eastAsia="lv-LV"/>
              </w:rPr>
              <w:t>saka</w:t>
            </w:r>
            <w:r w:rsidR="00D87FA4" w:rsidRPr="00834E28">
              <w:rPr>
                <w:rFonts w:eastAsia="Times New Roman"/>
                <w:lang w:eastAsia="lv-LV"/>
              </w:rPr>
              <w:t xml:space="preserve"> institūcijas, kuru kompetencē ir </w:t>
            </w:r>
            <w:r w:rsidR="00D87FA4">
              <w:rPr>
                <w:rFonts w:eastAsia="Times New Roman"/>
                <w:lang w:eastAsia="lv-LV"/>
              </w:rPr>
              <w:t xml:space="preserve">veikt </w:t>
            </w:r>
            <w:r w:rsidR="00D87FA4" w:rsidRPr="00287B9F">
              <w:rPr>
                <w:rFonts w:eastAsia="Times New Roman"/>
                <w:lang w:eastAsia="lv-LV"/>
              </w:rPr>
              <w:t xml:space="preserve">administratīvo pārkāpumu </w:t>
            </w:r>
            <w:r w:rsidR="00D87FA4">
              <w:rPr>
                <w:rFonts w:eastAsia="Times New Roman"/>
                <w:lang w:eastAsia="lv-LV"/>
              </w:rPr>
              <w:t xml:space="preserve">procesu un pieņemt lēmumu par </w:t>
            </w:r>
            <w:r w:rsidR="000D2F83">
              <w:rPr>
                <w:rFonts w:eastAsia="Times New Roman"/>
                <w:lang w:eastAsia="lv-LV"/>
              </w:rPr>
              <w:t>soda</w:t>
            </w:r>
            <w:r w:rsidR="00D87FA4">
              <w:rPr>
                <w:rFonts w:eastAsia="Times New Roman"/>
                <w:lang w:eastAsia="lv-LV"/>
              </w:rPr>
              <w:t xml:space="preserve"> </w:t>
            </w:r>
            <w:r w:rsidR="004A0BC5">
              <w:rPr>
                <w:rFonts w:eastAsia="Times New Roman"/>
                <w:lang w:eastAsia="lv-LV"/>
              </w:rPr>
              <w:t>apmēru</w:t>
            </w:r>
            <w:r w:rsidR="00231016">
              <w:rPr>
                <w:rFonts w:eastAsia="Times New Roman"/>
                <w:lang w:eastAsia="lv-LV"/>
              </w:rPr>
              <w:t xml:space="preserve">, </w:t>
            </w:r>
            <w:r w:rsidR="004A0BC5">
              <w:rPr>
                <w:rFonts w:eastAsia="Times New Roman"/>
                <w:lang w:eastAsia="lv-LV"/>
              </w:rPr>
              <w:t>tostarp</w:t>
            </w:r>
            <w:r w:rsidR="00231016" w:rsidRPr="00231016">
              <w:rPr>
                <w:rFonts w:eastAsia="Times New Roman"/>
                <w:lang w:eastAsia="lv-LV"/>
              </w:rPr>
              <w:t xml:space="preserve"> par pārkāpumiem, par ko atbildība paredzēta saskaņā ar likuma “Par atbilstības novērtēšanu” 19. panta pirmo, otro, trešo daļu un Preču un pakalpojumu drošuma likuma 17. panta pirmo, otro un piekto daļu.</w:t>
            </w:r>
            <w:r w:rsidR="00046FC1">
              <w:t xml:space="preserve"> </w:t>
            </w:r>
          </w:p>
          <w:p w14:paraId="0DCA3196" w14:textId="7479C93D" w:rsidR="00E117CF" w:rsidRDefault="00CC01B9" w:rsidP="00FC4571">
            <w:pPr>
              <w:spacing w:after="0"/>
              <w:jc w:val="both"/>
            </w:pPr>
            <w:r>
              <w:lastRenderedPageBreak/>
              <w:t>P</w:t>
            </w:r>
            <w:r w:rsidR="00E117CF">
              <w:t>rojektā ietvertas detalizētas tiesību normas</w:t>
            </w:r>
            <w:r w:rsidR="008370D4">
              <w:t xml:space="preserve"> atbilstoši, katras iestādes kompetencei, </w:t>
            </w:r>
            <w:r w:rsidR="00E117CF">
              <w:t>lai vienkāršotu kompetences sadalījumu, kā arī atvieglotu tiesību normu piemērošanu</w:t>
            </w:r>
            <w:r w:rsidR="00F2754A">
              <w:t>.</w:t>
            </w:r>
          </w:p>
          <w:p w14:paraId="20DD06E2" w14:textId="2A3875A0" w:rsidR="001125E4" w:rsidRDefault="00072E1D" w:rsidP="00072E1D">
            <w:pPr>
              <w:spacing w:after="0"/>
              <w:jc w:val="both"/>
              <w:rPr>
                <w:rFonts w:eastAsia="Times New Roman"/>
                <w:lang w:eastAsia="lv-LV"/>
              </w:rPr>
            </w:pPr>
            <w:r>
              <w:rPr>
                <w:rFonts w:eastAsia="Times New Roman"/>
                <w:lang w:eastAsia="lv-LV"/>
              </w:rPr>
              <w:t>Projektā ietvertās normas tika veidotas, ņemot vērā to, ka bezpilota gaisa kuģu lidojumi notiek visā Latvijas teritorijā un pastāv atšķirīgas un specifiskas situācijas</w:t>
            </w:r>
            <w:r w:rsidR="00F2754A">
              <w:rPr>
                <w:rFonts w:eastAsia="Times New Roman"/>
                <w:lang w:eastAsia="lv-LV"/>
              </w:rPr>
              <w:t>,</w:t>
            </w:r>
            <w:r>
              <w:rPr>
                <w:rFonts w:eastAsia="Times New Roman"/>
                <w:lang w:eastAsia="lv-LV"/>
              </w:rPr>
              <w:t xml:space="preserve"> un apdraudējuma risk</w:t>
            </w:r>
            <w:r w:rsidR="00917536">
              <w:rPr>
                <w:rFonts w:eastAsia="Times New Roman"/>
                <w:lang w:eastAsia="lv-LV"/>
              </w:rPr>
              <w:t>a</w:t>
            </w:r>
            <w:r>
              <w:rPr>
                <w:rFonts w:eastAsia="Times New Roman"/>
                <w:lang w:eastAsia="lv-LV"/>
              </w:rPr>
              <w:t xml:space="preserve"> pakāpes. Tādēļ Valsts robežsardzes, Valsts policijas un Nacionālo bruņoto spēku Militārās policijas kompetencē ir </w:t>
            </w:r>
            <w:r w:rsidR="003D621A">
              <w:rPr>
                <w:rFonts w:eastAsia="Times New Roman"/>
                <w:lang w:eastAsia="lv-LV"/>
              </w:rPr>
              <w:t>paredzēti</w:t>
            </w:r>
            <w:r>
              <w:rPr>
                <w:rFonts w:eastAsia="Times New Roman"/>
                <w:lang w:eastAsia="lv-LV"/>
              </w:rPr>
              <w:t xml:space="preserve"> jautājumi, kas neprasa specifiskas civilās aviācijas eksperta zināšanas. </w:t>
            </w:r>
            <w:r w:rsidR="00917536">
              <w:rPr>
                <w:rFonts w:eastAsia="Times New Roman"/>
                <w:lang w:eastAsia="lv-LV"/>
              </w:rPr>
              <w:t>Vienlaikus</w:t>
            </w:r>
            <w:r>
              <w:rPr>
                <w:rFonts w:eastAsia="Times New Roman"/>
                <w:lang w:eastAsia="lv-LV"/>
              </w:rPr>
              <w:t xml:space="preserve"> </w:t>
            </w:r>
            <w:r w:rsidR="00315DF8">
              <w:rPr>
                <w:rFonts w:eastAsia="Times New Roman"/>
                <w:lang w:eastAsia="lv-LV"/>
              </w:rPr>
              <w:t>minēt</w:t>
            </w:r>
            <w:r w:rsidR="000D2F83">
              <w:rPr>
                <w:rFonts w:eastAsia="Times New Roman"/>
                <w:lang w:eastAsia="lv-LV"/>
              </w:rPr>
              <w:t>ajām</w:t>
            </w:r>
            <w:r w:rsidR="00315DF8">
              <w:rPr>
                <w:rFonts w:eastAsia="Times New Roman"/>
                <w:lang w:eastAsia="lv-LV"/>
              </w:rPr>
              <w:t xml:space="preserve"> iestād</w:t>
            </w:r>
            <w:r w:rsidR="000D2F83">
              <w:rPr>
                <w:rFonts w:eastAsia="Times New Roman"/>
                <w:lang w:eastAsia="lv-LV"/>
              </w:rPr>
              <w:t>ēm</w:t>
            </w:r>
            <w:r w:rsidR="00315DF8">
              <w:rPr>
                <w:rFonts w:eastAsia="Times New Roman"/>
                <w:lang w:eastAsia="lv-LV"/>
              </w:rPr>
              <w:t xml:space="preserve"> ir specifisk</w:t>
            </w:r>
            <w:r w:rsidR="000D2F83">
              <w:rPr>
                <w:rFonts w:eastAsia="Times New Roman"/>
                <w:lang w:eastAsia="lv-LV"/>
              </w:rPr>
              <w:t>as</w:t>
            </w:r>
            <w:r w:rsidR="00315DF8">
              <w:rPr>
                <w:rFonts w:eastAsia="Times New Roman"/>
                <w:lang w:eastAsia="lv-LV"/>
              </w:rPr>
              <w:t xml:space="preserve"> zināšan</w:t>
            </w:r>
            <w:r w:rsidR="000D2F83">
              <w:rPr>
                <w:rFonts w:eastAsia="Times New Roman"/>
                <w:lang w:eastAsia="lv-LV"/>
              </w:rPr>
              <w:t>as</w:t>
            </w:r>
            <w:r w:rsidR="00315DF8">
              <w:rPr>
                <w:rFonts w:eastAsia="Times New Roman"/>
                <w:lang w:eastAsia="lv-LV"/>
              </w:rPr>
              <w:t xml:space="preserve"> par administratīvā pārkāpuma apdraudējuma līmeni, piemēram, valsts robežas tuvumā vai militāro objektu teritorijā vai </w:t>
            </w:r>
            <w:r w:rsidR="00515E75">
              <w:rPr>
                <w:rFonts w:eastAsia="Times New Roman"/>
                <w:lang w:eastAsia="lv-LV"/>
              </w:rPr>
              <w:t xml:space="preserve">to </w:t>
            </w:r>
            <w:r w:rsidR="00315DF8">
              <w:rPr>
                <w:rFonts w:eastAsia="Times New Roman"/>
                <w:lang w:eastAsia="lv-LV"/>
              </w:rPr>
              <w:t>tuvumā.</w:t>
            </w:r>
          </w:p>
          <w:p w14:paraId="5A5DD934" w14:textId="31767335" w:rsidR="004B2BDC" w:rsidRDefault="003D621A" w:rsidP="004B2BDC">
            <w:pPr>
              <w:spacing w:after="0"/>
              <w:jc w:val="both"/>
            </w:pPr>
            <w:r>
              <w:rPr>
                <w:rFonts w:eastAsia="Times New Roman"/>
                <w:lang w:eastAsia="lv-LV"/>
              </w:rPr>
              <w:t>Atsaucoties uz informācijas apmaiņu dažādos Eiropas Savienības līmeņa pasākumos (piemēram, Eiropas aviācijas drošības aģentūras (EASA) Komiteja</w:t>
            </w:r>
            <w:r w:rsidR="00C337AD">
              <w:rPr>
                <w:rFonts w:eastAsia="Times New Roman"/>
                <w:lang w:eastAsia="lv-LV"/>
              </w:rPr>
              <w:t>s</w:t>
            </w:r>
            <w:r>
              <w:rPr>
                <w:rFonts w:eastAsia="Times New Roman"/>
                <w:lang w:eastAsia="lv-LV"/>
              </w:rPr>
              <w:t>, Eiropas Komisijas un EASA organizētas ekspertu darba grupas), kuru ietvaros tiek izskatīti ar bezpilota gaisa kuģu sistēmām saistīti jautājumi, secināts, ka bezpilota gaisa kuģu lidojumu tiesiskuma kontroli nodrošina vai nākotnē nodrošinās policijas iestādes, līdzīgi kā tas ir paredzēts šajā likumprojektā. Vairākas Eiropas Savienības dalībvalstis ir norādījušas, ka</w:t>
            </w:r>
            <w:r w:rsidR="004B2BDC">
              <w:rPr>
                <w:rFonts w:eastAsia="Times New Roman"/>
                <w:lang w:eastAsia="lv-LV"/>
              </w:rPr>
              <w:t xml:space="preserve"> policijas iestāde nodrošinās </w:t>
            </w:r>
            <w:r w:rsidR="004B2BDC">
              <w:t xml:space="preserve">administratīvā pārkāpuma procesa veikšanu un </w:t>
            </w:r>
            <w:r w:rsidR="004B2BDC">
              <w:rPr>
                <w:rFonts w:eastAsia="Times New Roman"/>
                <w:lang w:eastAsia="lv-LV"/>
              </w:rPr>
              <w:t xml:space="preserve">lēmuma pieņemšanu par soda uzlikšanu par visiem </w:t>
            </w:r>
            <w:r w:rsidR="004B2BDC">
              <w:t>administratīvajiem pārkāpumiem, kas izdarīti ar bezpilota gaisa kuģa sistēmu, neatkarīgi no pārkāpuma būtības</w:t>
            </w:r>
            <w:r w:rsidR="004B2BDC">
              <w:rPr>
                <w:rFonts w:eastAsia="Times New Roman"/>
                <w:lang w:eastAsia="lv-LV"/>
              </w:rPr>
              <w:t xml:space="preserve">. </w:t>
            </w:r>
          </w:p>
          <w:p w14:paraId="5D627635" w14:textId="7670AB0F" w:rsidR="00315DF8" w:rsidRDefault="00315DF8" w:rsidP="00072E1D">
            <w:pPr>
              <w:spacing w:after="0"/>
              <w:jc w:val="both"/>
            </w:pPr>
            <w:r>
              <w:rPr>
                <w:rFonts w:eastAsia="Times New Roman"/>
                <w:lang w:eastAsia="lv-LV"/>
              </w:rPr>
              <w:t>Civilās aviācijas aģentū</w:t>
            </w:r>
            <w:r w:rsidR="00515E75">
              <w:rPr>
                <w:rFonts w:eastAsia="Times New Roman"/>
                <w:lang w:eastAsia="lv-LV"/>
              </w:rPr>
              <w:t xml:space="preserve">ra veiks </w:t>
            </w:r>
            <w:r w:rsidR="00515E75" w:rsidRPr="00287B9F">
              <w:rPr>
                <w:rFonts w:eastAsia="Times New Roman"/>
                <w:lang w:eastAsia="lv-LV"/>
              </w:rPr>
              <w:t xml:space="preserve">administratīvo pārkāpumu </w:t>
            </w:r>
            <w:r w:rsidR="00515E75">
              <w:rPr>
                <w:rFonts w:eastAsia="Times New Roman"/>
                <w:lang w:eastAsia="lv-LV"/>
              </w:rPr>
              <w:t xml:space="preserve">procesu un pieņems lēmumu par </w:t>
            </w:r>
            <w:r w:rsidR="005F4AEB">
              <w:rPr>
                <w:rFonts w:eastAsia="Times New Roman"/>
                <w:lang w:eastAsia="lv-LV"/>
              </w:rPr>
              <w:t>soda</w:t>
            </w:r>
            <w:r w:rsidR="00515E75">
              <w:rPr>
                <w:rFonts w:eastAsia="Times New Roman"/>
                <w:lang w:eastAsia="lv-LV"/>
              </w:rPr>
              <w:t xml:space="preserve"> </w:t>
            </w:r>
            <w:r w:rsidR="00C337AD">
              <w:rPr>
                <w:rFonts w:eastAsia="Times New Roman"/>
                <w:lang w:eastAsia="lv-LV"/>
              </w:rPr>
              <w:t xml:space="preserve">piemērošanu </w:t>
            </w:r>
            <w:r w:rsidR="00515E75">
              <w:rPr>
                <w:rFonts w:eastAsia="Times New Roman"/>
                <w:lang w:eastAsia="lv-LV"/>
              </w:rPr>
              <w:t>gadījumos, k</w:t>
            </w:r>
            <w:r w:rsidR="00CA173F">
              <w:rPr>
                <w:rFonts w:eastAsia="Times New Roman"/>
                <w:lang w:eastAsia="lv-LV"/>
              </w:rPr>
              <w:t>ad</w:t>
            </w:r>
            <w:r w:rsidR="00515E75">
              <w:rPr>
                <w:rFonts w:eastAsia="Times New Roman"/>
                <w:lang w:eastAsia="lv-LV"/>
              </w:rPr>
              <w:t xml:space="preserve"> nepieciešamas civilās aviācijas eksperta zināšanas</w:t>
            </w:r>
            <w:r w:rsidR="00CD4E34">
              <w:rPr>
                <w:rFonts w:eastAsia="Times New Roman"/>
                <w:lang w:eastAsia="lv-LV"/>
              </w:rPr>
              <w:t>, piemēram, p</w:t>
            </w:r>
            <w:r w:rsidR="00CD4E34" w:rsidRPr="007E34AA">
              <w:t>ar lidojuma veikšanu ar bezpilota gaisa kuģi</w:t>
            </w:r>
            <w:r w:rsidR="00CD4E34">
              <w:t xml:space="preserve"> gaisa telpas struktūras elementā bez </w:t>
            </w:r>
            <w:r w:rsidR="00CD4E34" w:rsidRPr="007E34AA">
              <w:t>normatīvajos aktos noteikt</w:t>
            </w:r>
            <w:r w:rsidR="00CD4E34">
              <w:t xml:space="preserve">ās atļaujas </w:t>
            </w:r>
            <w:r w:rsidR="00CD4E34" w:rsidRPr="00CD4E34">
              <w:t>vai saskaņojuma</w:t>
            </w:r>
            <w:r w:rsidR="00CD4E34">
              <w:t xml:space="preserve"> vai pārkāpjot gaisa telpas struktūras elementam noteikto izmantošanas kārtību vai lidojumu noteikumus (</w:t>
            </w:r>
            <w:r w:rsidR="00C337AD">
              <w:t>tostarp</w:t>
            </w:r>
            <w:r w:rsidR="00046FC1" w:rsidRPr="007E34AA">
              <w:t xml:space="preserve"> lidojum</w:t>
            </w:r>
            <w:r w:rsidR="00046FC1">
              <w:t>a</w:t>
            </w:r>
            <w:r w:rsidR="00CD4E34" w:rsidRPr="007E34AA">
              <w:t xml:space="preserve"> veikšanu ar bezpilota gaisa kuģi</w:t>
            </w:r>
            <w:r w:rsidR="00CD4E34">
              <w:t xml:space="preserve"> sertificētu lidlauku tuvumā, </w:t>
            </w:r>
            <w:r w:rsidR="00CD4E34" w:rsidRPr="007E34AA">
              <w:t xml:space="preserve">neievērojot normatīvajos aktos noteikto lidojuma </w:t>
            </w:r>
            <w:r w:rsidR="00CD4E34" w:rsidRPr="00872466">
              <w:t>attālumu no</w:t>
            </w:r>
            <w:r w:rsidR="00CD4E34">
              <w:t xml:space="preserve"> </w:t>
            </w:r>
            <w:r w:rsidR="00CD4E34" w:rsidRPr="007E34AA">
              <w:t>lidlauka vai pieļaujamo lidojuma augstumu</w:t>
            </w:r>
            <w:r w:rsidR="00CD4E34">
              <w:t>), kā arī</w:t>
            </w:r>
            <w:r w:rsidR="00CD4E34" w:rsidRPr="001133C8">
              <w:t xml:space="preserve"> </w:t>
            </w:r>
            <w:r w:rsidR="00CD4E34">
              <w:t>p</w:t>
            </w:r>
            <w:r w:rsidR="00CD4E34" w:rsidRPr="007E34AA">
              <w:t>ar lidojuma veikšanu ar bezpilota gaisa kuģi</w:t>
            </w:r>
            <w:r w:rsidR="00CD4E34">
              <w:t xml:space="preserve"> Latvijas Republikas gaisa telpā, </w:t>
            </w:r>
            <w:r w:rsidR="00CD4E34" w:rsidRPr="007E34AA">
              <w:t>neievērojot normatīvajos aktos noteikto pieļaujamo lidojuma augstumu</w:t>
            </w:r>
            <w:r w:rsidR="00CD4E34">
              <w:t>.</w:t>
            </w:r>
          </w:p>
          <w:p w14:paraId="255DB2B0" w14:textId="44AE55AD" w:rsidR="00D1054F" w:rsidRDefault="00D1054F" w:rsidP="00072E1D">
            <w:pPr>
              <w:spacing w:after="0"/>
              <w:jc w:val="both"/>
            </w:pPr>
            <w:r>
              <w:t xml:space="preserve">Civilās aviācijas aģentūra atsevišķos gadījumos uzraudzības ietvaros var piemērot administratīvo sodu arī par </w:t>
            </w:r>
            <w:r w:rsidR="00C337AD">
              <w:t xml:space="preserve">likuma </w:t>
            </w:r>
            <w:r>
              <w:t>124</w:t>
            </w:r>
            <w:r w:rsidR="005F4AEB">
              <w:t>.</w:t>
            </w:r>
            <w:r>
              <w:rPr>
                <w:vertAlign w:val="superscript"/>
              </w:rPr>
              <w:t>1</w:t>
            </w:r>
            <w:r>
              <w:t xml:space="preserve"> panta </w:t>
            </w:r>
            <w:r w:rsidR="00FB3C05">
              <w:t>septītajā daļā paredzēto pārkāpumu.</w:t>
            </w:r>
          </w:p>
          <w:p w14:paraId="6F199913" w14:textId="1C35F3A2" w:rsidR="00502872" w:rsidRPr="00D1054F" w:rsidRDefault="00502872" w:rsidP="00072E1D">
            <w:pPr>
              <w:spacing w:after="0"/>
              <w:jc w:val="both"/>
            </w:pPr>
            <w:r>
              <w:t>Brīdinājumu paredzēts piemērot pārkāpumiem, kas pieļauti pirmo reizi un nav radīju</w:t>
            </w:r>
            <w:r w:rsidR="00F2754A">
              <w:t>š</w:t>
            </w:r>
            <w:r>
              <w:t xml:space="preserve">i sekas un persona ir </w:t>
            </w:r>
            <w:r>
              <w:lastRenderedPageBreak/>
              <w:t>atzinusi savu vainu, kā arī tad ja gadījums ir bijis mazsvarīgs, nav nodarījuma sekas. Pārējos gadījumos tiek piemērots naudas sods izvērtējot konkrēto nodarījuma apdraudējum</w:t>
            </w:r>
            <w:r w:rsidR="00F2754A">
              <w:t>u</w:t>
            </w:r>
            <w:r>
              <w:t xml:space="preserve"> personai, mantai, veselībai, sabiedrībai, valstij un lidojuma drošumam.  </w:t>
            </w:r>
          </w:p>
          <w:p w14:paraId="169CBED7" w14:textId="5B5F610C" w:rsidR="00852E67" w:rsidRDefault="00852E67" w:rsidP="00072E1D">
            <w:pPr>
              <w:spacing w:after="0"/>
              <w:jc w:val="both"/>
            </w:pPr>
            <w:r>
              <w:t>Vienlaikus Civilās aviācijas aģentūra ir gatava sniegt eksperta atbalstu</w:t>
            </w:r>
            <w:r w:rsidR="00C337AD">
              <w:t xml:space="preserve"> </w:t>
            </w:r>
            <w:r w:rsidR="00016A41">
              <w:t xml:space="preserve">valsts </w:t>
            </w:r>
            <w:r w:rsidR="00C337AD">
              <w:t>institūcijām</w:t>
            </w:r>
            <w:r>
              <w:t xml:space="preserve"> par specifiskiem bezpilota gaisa kuģu jomas jautājumiem, ja to uzskata par nepieciešamu Valsts policija, Valsts robežsardze vai Nacionālo bruņoto spēku Militārā policija, </w:t>
            </w:r>
            <w:r w:rsidR="00C337AD">
              <w:t>tostarp</w:t>
            </w:r>
            <w:r>
              <w:t xml:space="preserve"> noslēdzot sadarbības līgumu, organizējot apmācības u</w:t>
            </w:r>
            <w:r w:rsidR="00CA173F">
              <w:t>.</w:t>
            </w:r>
            <w:r>
              <w:t>tml.</w:t>
            </w:r>
          </w:p>
          <w:p w14:paraId="1651FABA" w14:textId="77777777" w:rsidR="00EF4384" w:rsidRDefault="00EF4384" w:rsidP="00EF4384">
            <w:pPr>
              <w:pStyle w:val="ListParagraph"/>
              <w:numPr>
                <w:ilvl w:val="0"/>
                <w:numId w:val="4"/>
              </w:numPr>
              <w:spacing w:after="0"/>
              <w:jc w:val="both"/>
              <w:rPr>
                <w:rFonts w:eastAsia="Times New Roman"/>
                <w:lang w:eastAsia="lv-LV"/>
              </w:rPr>
            </w:pPr>
            <w:r>
              <w:rPr>
                <w:rFonts w:eastAsia="Times New Roman"/>
                <w:lang w:eastAsia="lv-LV"/>
              </w:rPr>
              <w:t>Jāparedz tiesību normas par civilās aviācijas aizsardzību pret nesankcionētiem bezpilota gaisa kuģu lidojumiem</w:t>
            </w:r>
            <w:r w:rsidR="002B1A00">
              <w:rPr>
                <w:rFonts w:eastAsia="Times New Roman"/>
                <w:lang w:eastAsia="lv-LV"/>
              </w:rPr>
              <w:t xml:space="preserve"> (likuma 60</w:t>
            </w:r>
            <w:r w:rsidR="00CA173F">
              <w:rPr>
                <w:rFonts w:eastAsia="Times New Roman"/>
                <w:lang w:eastAsia="lv-LV"/>
              </w:rPr>
              <w:t>.</w:t>
            </w:r>
            <w:r w:rsidR="002B1A00">
              <w:rPr>
                <w:rFonts w:eastAsia="Times New Roman"/>
                <w:vertAlign w:val="superscript"/>
                <w:lang w:eastAsia="lv-LV"/>
              </w:rPr>
              <w:t xml:space="preserve">1 </w:t>
            </w:r>
            <w:r w:rsidR="002B1A00">
              <w:rPr>
                <w:rFonts w:eastAsia="Times New Roman"/>
                <w:lang w:eastAsia="lv-LV"/>
              </w:rPr>
              <w:t>pants).</w:t>
            </w:r>
          </w:p>
          <w:p w14:paraId="620C6305" w14:textId="77777777" w:rsidR="008836A4" w:rsidRDefault="001717E7" w:rsidP="00EF4384">
            <w:pPr>
              <w:spacing w:after="0"/>
              <w:jc w:val="both"/>
              <w:rPr>
                <w:lang w:eastAsia="lv-LV"/>
              </w:rPr>
            </w:pPr>
            <w:r>
              <w:rPr>
                <w:rFonts w:eastAsia="Times New Roman"/>
                <w:lang w:eastAsia="lv-LV"/>
              </w:rPr>
              <w:t>Projektā ietverta tiesību norma, kas paredz,</w:t>
            </w:r>
            <w:r w:rsidR="008836A4">
              <w:rPr>
                <w:rFonts w:eastAsia="Times New Roman"/>
                <w:lang w:eastAsia="lv-LV"/>
              </w:rPr>
              <w:t xml:space="preserve"> ka c</w:t>
            </w:r>
            <w:r w:rsidR="008836A4">
              <w:rPr>
                <w:lang w:eastAsia="lv-LV"/>
              </w:rPr>
              <w:t xml:space="preserve">ivilās aviācijas lidlauki, gaisa pārvadātāji, aeronavigācijas pakalpojumu sniedzēji un Valsts Civilās aviācijas drošības programmā noteiktie tiesību subjekti nodrošina samērīgu pasākumu īstenošanu civilās aviācijas objektu un gaisa kuģu aizsardzībai pret nesankcionētiem bezpilota gaisa kuģu lidojumiem, kas var radīt draudus civilās aviācijas drošībai. </w:t>
            </w:r>
          </w:p>
          <w:p w14:paraId="103FB287" w14:textId="2700455E" w:rsidR="00EF4384" w:rsidRDefault="008836A4" w:rsidP="00EF4384">
            <w:pPr>
              <w:spacing w:after="0"/>
              <w:jc w:val="both"/>
              <w:rPr>
                <w:lang w:eastAsia="lv-LV"/>
              </w:rPr>
            </w:pPr>
            <w:r>
              <w:rPr>
                <w:lang w:eastAsia="lv-LV"/>
              </w:rPr>
              <w:t xml:space="preserve">Tas </w:t>
            </w:r>
            <w:r w:rsidR="00C337AD">
              <w:rPr>
                <w:lang w:eastAsia="lv-LV"/>
              </w:rPr>
              <w:t>noteiks</w:t>
            </w:r>
            <w:r>
              <w:rPr>
                <w:lang w:eastAsia="lv-LV"/>
              </w:rPr>
              <w:t xml:space="preserve"> pienākumu un vienlaikus ļaus katram subjektam izvēlieties un īstenot piemērotāko pasākumu,  kas neapdraud civilās aviācijas drošumu un drošību.</w:t>
            </w:r>
            <w:r w:rsidR="00A17BB7">
              <w:rPr>
                <w:lang w:eastAsia="lv-LV"/>
              </w:rPr>
              <w:t xml:space="preserve"> Ņemot vērā to, ka minētie </w:t>
            </w:r>
            <w:r w:rsidR="00016A41">
              <w:rPr>
                <w:lang w:eastAsia="lv-LV"/>
              </w:rPr>
              <w:t xml:space="preserve">civilās aviācijas </w:t>
            </w:r>
            <w:r w:rsidR="00A17BB7">
              <w:rPr>
                <w:lang w:eastAsia="lv-LV"/>
              </w:rPr>
              <w:t>objekti ir atšķirīgi, katrā gadījumā jārod individuāls risinājums, kas sasniedz mērķi. Tādēļ nav iespējams noteikt precīzākus kritērijus, kas būtu piemēroti visiem subjektiem. Satiksmes ministrija un Civilās aviācijas aģentūra nepieciešamības gadījumā, var uzņemties koordinējošo lomu, lai sekmētu</w:t>
            </w:r>
            <w:r w:rsidR="00A17BB7">
              <w:rPr>
                <w:rFonts w:eastAsia="Times New Roman"/>
                <w:lang w:eastAsia="lv-LV"/>
              </w:rPr>
              <w:t xml:space="preserve"> c</w:t>
            </w:r>
            <w:r w:rsidR="00A17BB7">
              <w:rPr>
                <w:lang w:eastAsia="lv-LV"/>
              </w:rPr>
              <w:t>ivilās aviācijas lidlauku, gaisa pārvadātāju, aeronavigācijas pakalpojumu sniedzēja un Valsts Civilās aviācijas drošības programmā noteikto tiesību subjektu sadarbību, ciktāl tas iespējams.</w:t>
            </w:r>
          </w:p>
          <w:p w14:paraId="76B0943F" w14:textId="5CD04DC4" w:rsidR="00690722" w:rsidRPr="003E036D" w:rsidRDefault="003E036D" w:rsidP="003E036D">
            <w:pPr>
              <w:spacing w:after="0"/>
              <w:ind w:left="360"/>
              <w:jc w:val="both"/>
              <w:rPr>
                <w:rFonts w:eastAsia="Times New Roman"/>
                <w:lang w:eastAsia="lv-LV"/>
              </w:rPr>
            </w:pPr>
            <w:r>
              <w:t xml:space="preserve">4) </w:t>
            </w:r>
            <w:r w:rsidR="00F2754A">
              <w:rPr>
                <w:rFonts w:eastAsia="Times New Roman"/>
                <w:lang w:eastAsia="lv-LV"/>
              </w:rPr>
              <w:t>P</w:t>
            </w:r>
            <w:r w:rsidR="00066577" w:rsidRPr="003E036D">
              <w:rPr>
                <w:rFonts w:eastAsia="Times New Roman"/>
                <w:lang w:eastAsia="lv-LV"/>
              </w:rPr>
              <w:t>rojekta 1.</w:t>
            </w:r>
            <w:r w:rsidR="0005023E">
              <w:rPr>
                <w:rFonts w:eastAsia="Times New Roman"/>
                <w:lang w:eastAsia="lv-LV"/>
              </w:rPr>
              <w:t>, 4. un 10.</w:t>
            </w:r>
            <w:r w:rsidR="00C337AD">
              <w:rPr>
                <w:rFonts w:eastAsia="Times New Roman"/>
                <w:lang w:eastAsia="lv-LV"/>
              </w:rPr>
              <w:t>pants</w:t>
            </w:r>
            <w:r w:rsidR="00066577" w:rsidRPr="003E036D">
              <w:rPr>
                <w:rFonts w:eastAsia="Times New Roman"/>
                <w:lang w:eastAsia="lv-LV"/>
              </w:rPr>
              <w:t>, likuma 117</w:t>
            </w:r>
            <w:r w:rsidR="00B73EC6">
              <w:rPr>
                <w:rFonts w:eastAsia="Times New Roman"/>
                <w:lang w:eastAsia="lv-LV"/>
              </w:rPr>
              <w:t>.</w:t>
            </w:r>
            <w:r w:rsidR="00066577" w:rsidRPr="003E036D">
              <w:rPr>
                <w:rFonts w:eastAsia="Times New Roman"/>
                <w:vertAlign w:val="superscript"/>
                <w:lang w:eastAsia="lv-LV"/>
              </w:rPr>
              <w:t>9</w:t>
            </w:r>
            <w:r w:rsidR="00066577" w:rsidRPr="003E036D">
              <w:rPr>
                <w:rFonts w:eastAsia="Times New Roman"/>
                <w:lang w:eastAsia="lv-LV"/>
              </w:rPr>
              <w:t>, 117.</w:t>
            </w:r>
            <w:r w:rsidR="00066577" w:rsidRPr="003E036D">
              <w:rPr>
                <w:rFonts w:eastAsia="Times New Roman"/>
                <w:vertAlign w:val="superscript"/>
                <w:lang w:eastAsia="lv-LV"/>
              </w:rPr>
              <w:t>10</w:t>
            </w:r>
            <w:r w:rsidR="00066577" w:rsidRPr="003E036D">
              <w:rPr>
                <w:rFonts w:eastAsia="Times New Roman"/>
                <w:lang w:eastAsia="lv-LV"/>
              </w:rPr>
              <w:t xml:space="preserve"> pants,</w:t>
            </w:r>
            <w:r w:rsidR="00066577">
              <w:t xml:space="preserve"> vienpadsmitā</w:t>
            </w:r>
            <w:r w:rsidR="00C337AD" w:rsidRPr="00703C87">
              <w:t xml:space="preserve"> prim</w:t>
            </w:r>
            <w:r w:rsidR="00066577">
              <w:t xml:space="preserve"> un vienpadsmitā</w:t>
            </w:r>
            <w:r w:rsidR="00C337AD">
              <w:t xml:space="preserve"> divi prim</w:t>
            </w:r>
            <w:r w:rsidR="00066577" w:rsidRPr="003E036D">
              <w:rPr>
                <w:vertAlign w:val="superscript"/>
              </w:rPr>
              <w:t xml:space="preserve"> </w:t>
            </w:r>
            <w:r w:rsidR="00066577">
              <w:t>nodaļa</w:t>
            </w:r>
            <w:r w:rsidR="0005023E">
              <w:t>).</w:t>
            </w:r>
          </w:p>
          <w:p w14:paraId="6F341F5B" w14:textId="3E442FB8" w:rsidR="008836A4" w:rsidRDefault="008836A4" w:rsidP="008836A4">
            <w:pPr>
              <w:spacing w:after="0"/>
              <w:jc w:val="both"/>
            </w:pPr>
            <w:r>
              <w:rPr>
                <w:rFonts w:eastAsia="Times New Roman"/>
                <w:lang w:eastAsia="lv-LV"/>
              </w:rPr>
              <w:t>Projektā ir ietverta virkne</w:t>
            </w:r>
            <w:r w:rsidR="003B5F9D">
              <w:rPr>
                <w:rFonts w:eastAsia="Times New Roman"/>
                <w:lang w:eastAsia="lv-LV"/>
              </w:rPr>
              <w:t xml:space="preserve"> aktualizētu</w:t>
            </w:r>
            <w:r>
              <w:rPr>
                <w:rFonts w:eastAsia="Times New Roman"/>
                <w:lang w:eastAsia="lv-LV"/>
              </w:rPr>
              <w:t xml:space="preserve"> tiesību normu, kas ir </w:t>
            </w:r>
            <w:r w:rsidR="00CA173F">
              <w:rPr>
                <w:rFonts w:eastAsia="Times New Roman"/>
                <w:lang w:eastAsia="lv-LV"/>
              </w:rPr>
              <w:t>ietverta</w:t>
            </w:r>
            <w:r w:rsidR="001D2AB1">
              <w:rPr>
                <w:rFonts w:eastAsia="Times New Roman"/>
                <w:lang w:eastAsia="lv-LV"/>
              </w:rPr>
              <w:t>s</w:t>
            </w:r>
            <w:r w:rsidR="00CA173F">
              <w:rPr>
                <w:rFonts w:eastAsia="Times New Roman"/>
                <w:lang w:eastAsia="lv-LV"/>
              </w:rPr>
              <w:t xml:space="preserve"> </w:t>
            </w:r>
            <w:r w:rsidRPr="008C3EA1">
              <w:t>noteikum</w:t>
            </w:r>
            <w:r>
              <w:t>os</w:t>
            </w:r>
            <w:r w:rsidRPr="008C3EA1">
              <w:t xml:space="preserve"> Nr.368</w:t>
            </w:r>
            <w:r>
              <w:t>, bet pēc būtības ir likuma līmeņa tiesiskais regulējums</w:t>
            </w:r>
            <w:r w:rsidR="003B5F9D">
              <w:t xml:space="preserve"> (piemēram, </w:t>
            </w:r>
            <w:r w:rsidR="000B4310">
              <w:t xml:space="preserve">termini: tiesiskais regulējums par </w:t>
            </w:r>
            <w:r w:rsidR="003B5F9D">
              <w:t xml:space="preserve">valsts bezpilota gaisa kuģi, militārais </w:t>
            </w:r>
            <w:r w:rsidR="00C43C28">
              <w:t xml:space="preserve">bezpilota </w:t>
            </w:r>
            <w:r w:rsidR="003B5F9D">
              <w:t>gaisa kuģi</w:t>
            </w:r>
            <w:r w:rsidR="00C43C28">
              <w:t>s</w:t>
            </w:r>
            <w:r w:rsidR="003B5F9D">
              <w:t>)</w:t>
            </w:r>
            <w:r>
              <w:t xml:space="preserve">. </w:t>
            </w:r>
          </w:p>
          <w:p w14:paraId="3DA3EA9B" w14:textId="58E785AD" w:rsidR="008836A4" w:rsidRDefault="00C337AD" w:rsidP="008836A4">
            <w:pPr>
              <w:spacing w:after="0"/>
              <w:jc w:val="both"/>
            </w:pPr>
            <w:r>
              <w:t xml:space="preserve">Vienlaikus </w:t>
            </w:r>
            <w:r w:rsidR="008836A4">
              <w:t>projektā ir ietvert</w:t>
            </w:r>
            <w:r>
              <w:t>s</w:t>
            </w:r>
            <w:r w:rsidR="008836A4">
              <w:t xml:space="preserve"> </w:t>
            </w:r>
            <w:r w:rsidR="001D2AB1">
              <w:t>deleģējums Ministru kabinetam izdot</w:t>
            </w:r>
            <w:r w:rsidR="008836A4">
              <w:t xml:space="preserve"> jaun</w:t>
            </w:r>
            <w:r w:rsidR="001D2AB1">
              <w:t>us</w:t>
            </w:r>
            <w:r w:rsidR="008836A4">
              <w:t xml:space="preserve"> </w:t>
            </w:r>
            <w:r w:rsidR="003B5F9D">
              <w:t>Ministru kabineta noteikum</w:t>
            </w:r>
            <w:r w:rsidR="001D2AB1">
              <w:t>us</w:t>
            </w:r>
            <w:r w:rsidR="003B5F9D">
              <w:t xml:space="preserve">, kas līdz 2021.gada 1.jūlijam pilnībā aizstās </w:t>
            </w:r>
            <w:r w:rsidR="003B5F9D" w:rsidRPr="008C3EA1">
              <w:t>noteikum</w:t>
            </w:r>
            <w:r w:rsidR="003B5F9D">
              <w:t>us</w:t>
            </w:r>
            <w:r w:rsidR="003B5F9D" w:rsidRPr="008C3EA1">
              <w:t xml:space="preserve"> Nr.368</w:t>
            </w:r>
            <w:r w:rsidR="003B5F9D">
              <w:t xml:space="preserve"> (piemēram, par bezpilota gaisa kuģu sistēmu apdrošināšanu</w:t>
            </w:r>
            <w:r w:rsidR="002B1A00">
              <w:t>, a</w:t>
            </w:r>
            <w:r w:rsidR="002B1A00" w:rsidRPr="002B1A00">
              <w:t>tsaitē piestiprināti</w:t>
            </w:r>
            <w:r w:rsidR="002B1A00">
              <w:t>em</w:t>
            </w:r>
            <w:r w:rsidR="002B1A00" w:rsidRPr="002B1A00">
              <w:t xml:space="preserve"> gaisa baloni</w:t>
            </w:r>
            <w:r w:rsidR="002B1A00">
              <w:t>em</w:t>
            </w:r>
            <w:r w:rsidR="002B1A00" w:rsidRPr="002B1A00">
              <w:t>, gaisa pūķi</w:t>
            </w:r>
            <w:r w:rsidR="002B1A00">
              <w:t>em</w:t>
            </w:r>
            <w:r w:rsidR="002B1A00" w:rsidRPr="002B1A00">
              <w:t>, bezpilota raķet</w:t>
            </w:r>
            <w:r w:rsidR="002B1A00">
              <w:t>ēm</w:t>
            </w:r>
            <w:r w:rsidR="002B1A00" w:rsidRPr="002B1A00">
              <w:t xml:space="preserve"> un raķešu modeļi</w:t>
            </w:r>
            <w:r w:rsidR="002B1A00">
              <w:t>em</w:t>
            </w:r>
            <w:r w:rsidR="003B5F9D">
              <w:t xml:space="preserve">), </w:t>
            </w:r>
            <w:r w:rsidR="003B5F9D">
              <w:lastRenderedPageBreak/>
              <w:t xml:space="preserve">kā arī </w:t>
            </w:r>
            <w:r w:rsidR="001D2AB1">
              <w:t xml:space="preserve">projektā </w:t>
            </w:r>
            <w:r w:rsidR="003B5F9D">
              <w:t>paredz</w:t>
            </w:r>
            <w:r w:rsidR="00EF7F0C">
              <w:t>ēt</w:t>
            </w:r>
            <w:r w:rsidR="001D2AB1">
              <w:t>s deleģējums izdot</w:t>
            </w:r>
            <w:r w:rsidR="003B5F9D">
              <w:t xml:space="preserve"> jaun</w:t>
            </w:r>
            <w:r w:rsidR="001D2AB1">
              <w:t>us</w:t>
            </w:r>
            <w:r w:rsidR="003B5F9D">
              <w:t xml:space="preserve"> </w:t>
            </w:r>
            <w:r>
              <w:t>Ministru kabineta noteikum</w:t>
            </w:r>
            <w:r w:rsidR="001D2AB1">
              <w:t>us</w:t>
            </w:r>
            <w:r w:rsidR="003B5F9D">
              <w:t>, lai piemērotu Eiropas Savienības līmeņa tiesisko regulējumu</w:t>
            </w:r>
            <w:r w:rsidR="00F96B44">
              <w:t>.</w:t>
            </w:r>
          </w:p>
          <w:p w14:paraId="546C2296" w14:textId="6C61AF11" w:rsidR="003B5F9D" w:rsidRDefault="00F96B44" w:rsidP="00F96B44">
            <w:pPr>
              <w:spacing w:after="0"/>
              <w:jc w:val="both"/>
            </w:pPr>
            <w:r>
              <w:t>Projekt</w:t>
            </w:r>
            <w:r w:rsidR="00C337AD">
              <w:t>ā ietvertie</w:t>
            </w:r>
            <w:r>
              <w:t xml:space="preserve"> Pārejas noteikum</w:t>
            </w:r>
            <w:r w:rsidR="00C337AD">
              <w:t xml:space="preserve">u grozījumi </w:t>
            </w:r>
            <w:r w:rsidR="00F6055D">
              <w:t>paredz</w:t>
            </w:r>
            <w:r>
              <w:t>, ka likuma 47.pants (</w:t>
            </w:r>
            <w:r w:rsidR="001D2AB1">
              <w:t xml:space="preserve">deleģējums </w:t>
            </w:r>
            <w:r>
              <w:t>noteikumiem Nr.368) zaudē spēku 2021.gada 1.jūlijā, vienlaikus paredzot līdz norādītajam datumam izstrādāt jaunus Ministru kabineta noteikumus</w:t>
            </w:r>
            <w:r w:rsidR="001D2AB1">
              <w:t>.</w:t>
            </w:r>
          </w:p>
          <w:p w14:paraId="310EA890" w14:textId="450023E6" w:rsidR="00CE2513" w:rsidRPr="008836A4" w:rsidRDefault="00CE2513" w:rsidP="00F96B44">
            <w:pPr>
              <w:spacing w:after="0"/>
              <w:jc w:val="both"/>
              <w:rPr>
                <w:rFonts w:eastAsia="Times New Roman"/>
                <w:lang w:eastAsia="lv-LV"/>
              </w:rPr>
            </w:pPr>
            <w:r>
              <w:rPr>
                <w:rFonts w:eastAsia="Times New Roman"/>
                <w:lang w:eastAsia="lv-LV"/>
              </w:rPr>
              <w:t>Papildus projekt</w:t>
            </w:r>
            <w:r w:rsidR="001D2AB1">
              <w:rPr>
                <w:rFonts w:eastAsia="Times New Roman"/>
                <w:lang w:eastAsia="lv-LV"/>
              </w:rPr>
              <w:t xml:space="preserve">a 4.punktā </w:t>
            </w:r>
            <w:r>
              <w:rPr>
                <w:rFonts w:eastAsia="Times New Roman"/>
                <w:lang w:eastAsia="lv-LV"/>
              </w:rPr>
              <w:t>ir iekļauta norma (</w:t>
            </w:r>
            <w:r w:rsidR="00F6055D">
              <w:rPr>
                <w:rFonts w:eastAsia="Times New Roman"/>
                <w:lang w:eastAsia="lv-LV"/>
              </w:rPr>
              <w:t xml:space="preserve">likuma </w:t>
            </w:r>
            <w:r w:rsidRPr="00CE2513">
              <w:rPr>
                <w:rFonts w:eastAsia="Times New Roman"/>
                <w:lang w:eastAsia="lv-LV"/>
              </w:rPr>
              <w:t>6.</w:t>
            </w:r>
            <w:r w:rsidRPr="00CE2513">
              <w:rPr>
                <w:rFonts w:eastAsia="Times New Roman"/>
                <w:vertAlign w:val="superscript"/>
                <w:lang w:eastAsia="lv-LV"/>
              </w:rPr>
              <w:t>3</w:t>
            </w:r>
            <w:r w:rsidRPr="00CE2513">
              <w:rPr>
                <w:rFonts w:eastAsia="Times New Roman"/>
                <w:lang w:eastAsia="lv-LV"/>
              </w:rPr>
              <w:t xml:space="preserve"> pant</w:t>
            </w:r>
            <w:r>
              <w:rPr>
                <w:rFonts w:eastAsia="Times New Roman"/>
                <w:lang w:eastAsia="lv-LV"/>
              </w:rPr>
              <w:t>s), kas regulē c</w:t>
            </w:r>
            <w:r w:rsidRPr="00CE2513">
              <w:rPr>
                <w:rFonts w:eastAsia="Times New Roman"/>
                <w:lang w:eastAsia="lv-LV"/>
              </w:rPr>
              <w:t>ivilās aviācijas gaisa kuģu lidojumu drošuma uzraudzīb</w:t>
            </w:r>
            <w:r>
              <w:rPr>
                <w:rFonts w:eastAsia="Times New Roman"/>
                <w:lang w:eastAsia="lv-LV"/>
              </w:rPr>
              <w:t xml:space="preserve">u. </w:t>
            </w:r>
            <w:r w:rsidR="00A009CA" w:rsidRPr="00A009CA">
              <w:rPr>
                <w:rFonts w:eastAsia="Times New Roman"/>
                <w:lang w:eastAsia="lv-LV"/>
              </w:rPr>
              <w:t>Regulas (ES) Nr.2018/1139</w:t>
            </w:r>
            <w:r w:rsidR="00A009CA">
              <w:rPr>
                <w:rFonts w:eastAsia="Times New Roman"/>
                <w:lang w:eastAsia="lv-LV"/>
              </w:rPr>
              <w:t xml:space="preserve"> </w:t>
            </w:r>
            <w:r w:rsidR="00A009CA" w:rsidRPr="00A009CA">
              <w:rPr>
                <w:rFonts w:eastAsia="Times New Roman"/>
                <w:lang w:eastAsia="lv-LV"/>
              </w:rPr>
              <w:t xml:space="preserve">7.pants nosaka nepieciešamību dalībvalstīm izstrādāt valsts drošuma programmu civilās aviācijas drošuma pārvaldībai. Prasība izstrādāt šādu programmu iekļauta arī Konvencijas par </w:t>
            </w:r>
            <w:r w:rsidR="00EF7F0C">
              <w:rPr>
                <w:rFonts w:eastAsia="Times New Roman"/>
                <w:lang w:eastAsia="lv-LV"/>
              </w:rPr>
              <w:t>s</w:t>
            </w:r>
            <w:r w:rsidR="00A009CA" w:rsidRPr="00A009CA">
              <w:rPr>
                <w:rFonts w:eastAsia="Times New Roman"/>
                <w:lang w:eastAsia="lv-LV"/>
              </w:rPr>
              <w:t xml:space="preserve">tarptautisko civilo aviāciju 19.pielikumā. Ņemot vērā to, ka šādas programmas izstrādē un ieviešanā jāpiedalās visām ar gaisa kuģu lidojumu drošuma jautājumiem saistītajām iestādēm, ir nepieciešams </w:t>
            </w:r>
            <w:r w:rsidR="00690722">
              <w:rPr>
                <w:rFonts w:eastAsia="Times New Roman"/>
                <w:lang w:eastAsia="lv-LV"/>
              </w:rPr>
              <w:t xml:space="preserve">pilnvarojums </w:t>
            </w:r>
            <w:r w:rsidR="00A009CA" w:rsidRPr="00A009CA">
              <w:rPr>
                <w:rFonts w:eastAsia="Times New Roman"/>
                <w:lang w:eastAsia="lv-LV"/>
              </w:rPr>
              <w:t xml:space="preserve">Ministru kabinetam, lai noteiktu kārtību, kādā minētās iestādes iesaistās drošuma programmas izstrādē un saskaņošanā. </w:t>
            </w:r>
            <w:r w:rsidR="00C3662B">
              <w:rPr>
                <w:rFonts w:eastAsia="Times New Roman"/>
                <w:lang w:eastAsia="lv-LV"/>
              </w:rPr>
              <w:t xml:space="preserve">Tā kā minētā drošuma programma var tikt grozīta un precizēta neparedzami bieži atkarībā no notikumiem civilās aviācijas jomā, ir paredzēts, ka likumdevējs nosaka minētās programmas pamatelementus, nevis apstiprina pašu programmu. </w:t>
            </w:r>
          </w:p>
        </w:tc>
      </w:tr>
      <w:tr w:rsidR="008C0EDC" w:rsidRPr="008C0EDC" w14:paraId="76CDD9C1"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54FA"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BD3C0A8" w14:textId="77777777" w:rsidR="008C0EDC" w:rsidRPr="008C0EDC" w:rsidRDefault="008C0EDC" w:rsidP="008C0EDC">
            <w:pPr>
              <w:spacing w:after="0"/>
              <w:rPr>
                <w:rFonts w:eastAsia="Times New Roman"/>
                <w:lang w:eastAsia="lv-LV"/>
              </w:rPr>
            </w:pPr>
            <w:r w:rsidRPr="008C0EDC">
              <w:rPr>
                <w:rFonts w:eastAsia="Times New Roman"/>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5592AB98" w14:textId="77777777" w:rsidR="008C0EDC" w:rsidRPr="008C0EDC" w:rsidRDefault="00C97E54" w:rsidP="00B5062F">
            <w:pPr>
              <w:spacing w:after="0"/>
              <w:jc w:val="both"/>
              <w:rPr>
                <w:rFonts w:eastAsia="Times New Roman"/>
                <w:lang w:eastAsia="lv-LV"/>
              </w:rPr>
            </w:pPr>
            <w:r>
              <w:rPr>
                <w:rFonts w:eastAsia="Times New Roman"/>
                <w:lang w:eastAsia="lv-LV"/>
              </w:rPr>
              <w:t>Satiksmes ministrija</w:t>
            </w:r>
            <w:r w:rsidR="00A0718D">
              <w:rPr>
                <w:rFonts w:eastAsia="Times New Roman"/>
                <w:lang w:eastAsia="lv-LV"/>
              </w:rPr>
              <w:t>,</w:t>
            </w:r>
            <w:r w:rsidR="00B5062F">
              <w:rPr>
                <w:rFonts w:eastAsia="Times New Roman"/>
                <w:lang w:eastAsia="lv-LV"/>
              </w:rPr>
              <w:t xml:space="preserve"> valsts aģentūra “Civilās aviācijas aģentūra</w:t>
            </w:r>
            <w:r w:rsidR="00D675FB">
              <w:rPr>
                <w:rFonts w:eastAsia="Times New Roman"/>
                <w:lang w:eastAsia="lv-LV"/>
              </w:rPr>
              <w:t>, Ekonomikas ministrija, Patērētāju tiesību aizsardzības centrs</w:t>
            </w:r>
            <w:r w:rsidR="00A0718D" w:rsidRPr="00A0718D">
              <w:rPr>
                <w:rFonts w:eastAsia="Times New Roman"/>
                <w:lang w:eastAsia="lv-LV"/>
              </w:rPr>
              <w:t xml:space="preserve">. </w:t>
            </w:r>
          </w:p>
        </w:tc>
      </w:tr>
      <w:tr w:rsidR="008C0EDC" w:rsidRPr="008C0EDC" w14:paraId="27BB1D67"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27C4C3"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AB44C39"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1DD0950" w14:textId="0335A308" w:rsidR="008836A4" w:rsidRPr="004848A6" w:rsidRDefault="00FF6E8A" w:rsidP="00E36282">
            <w:pPr>
              <w:spacing w:after="0"/>
              <w:jc w:val="both"/>
              <w:rPr>
                <w:color w:val="2A2A2A"/>
              </w:rPr>
            </w:pPr>
            <w:r>
              <w:rPr>
                <w:color w:val="2A2A2A"/>
              </w:rPr>
              <w:t>P</w:t>
            </w:r>
            <w:r w:rsidR="00CB0012">
              <w:rPr>
                <w:color w:val="2A2A2A"/>
              </w:rPr>
              <w:t>rojektā lietotā terminoloģija attiecībā uz bezpilota gaisa kuģu sistēmas atvērto un specifisko kategoriju ir atšķirīga no Eiropas Savienības tiesiskajā regulējumā minētās. Patlaban notiek sadarbība, lai terminoloģiju Eiropas Savienības tiesiskajā regulējumā precizētu, par ko ir saņemta pozitīva atgriezeniskā saite. Šis jautājums tiks uzraudzīts projekta virzības gaitā, lai, likumu pieņemot, terminoloģija neatšķirtos.</w:t>
            </w:r>
          </w:p>
        </w:tc>
      </w:tr>
    </w:tbl>
    <w:p w14:paraId="5063BC01"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8C0EDC" w14:paraId="5FFC832A"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304610"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II. Tiesību akta projekta ietekme uz sabiedrību, tautsaimniecības attīstību un administratīvo slogu</w:t>
            </w:r>
          </w:p>
        </w:tc>
      </w:tr>
      <w:tr w:rsidR="008C0EDC" w:rsidRPr="008C0EDC" w14:paraId="0FFDB663"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40DAAA"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411A7FD" w14:textId="77777777" w:rsidR="008C0EDC" w:rsidRPr="008C0EDC" w:rsidRDefault="008C0EDC" w:rsidP="008C0EDC">
            <w:pPr>
              <w:spacing w:after="0"/>
              <w:rPr>
                <w:rFonts w:eastAsia="Times New Roman"/>
                <w:lang w:eastAsia="lv-LV"/>
              </w:rPr>
            </w:pPr>
            <w:r w:rsidRPr="008C0EDC">
              <w:rPr>
                <w:rFonts w:eastAsia="Times New Roman"/>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4466750B" w14:textId="77777777" w:rsidR="00393311" w:rsidRPr="00393311" w:rsidRDefault="00393311" w:rsidP="00393311">
            <w:pPr>
              <w:jc w:val="both"/>
              <w:rPr>
                <w:rFonts w:eastAsia="Calibri"/>
              </w:rPr>
            </w:pPr>
            <w:r w:rsidRPr="00393311">
              <w:rPr>
                <w:rFonts w:eastAsia="Calibri"/>
              </w:rPr>
              <w:t>Normatīvais akts attiecas uz:</w:t>
            </w:r>
          </w:p>
          <w:p w14:paraId="29A5028F" w14:textId="77777777" w:rsidR="00393311" w:rsidRPr="00393311" w:rsidRDefault="00393311" w:rsidP="00393311">
            <w:pPr>
              <w:jc w:val="both"/>
              <w:rPr>
                <w:rFonts w:eastAsia="Calibri"/>
              </w:rPr>
            </w:pPr>
            <w:r w:rsidRPr="00393311">
              <w:rPr>
                <w:rFonts w:eastAsia="Calibri"/>
              </w:rPr>
              <w:t>1) jebkuru personu, kuras īpašumā vai valdījumā ir bezpilota gaisa kuģis vai kura vēlas veikt bezpilota gaisa kuģa lidojumus;</w:t>
            </w:r>
          </w:p>
          <w:p w14:paraId="3A600071" w14:textId="77777777" w:rsidR="008C0EDC" w:rsidRPr="008C0EDC" w:rsidRDefault="00393311" w:rsidP="00393311">
            <w:pPr>
              <w:spacing w:after="0"/>
              <w:jc w:val="both"/>
              <w:rPr>
                <w:rFonts w:eastAsia="Times New Roman"/>
                <w:lang w:eastAsia="lv-LV"/>
              </w:rPr>
            </w:pPr>
            <w:r w:rsidRPr="00393311">
              <w:rPr>
                <w:rFonts w:eastAsia="Calibri"/>
              </w:rPr>
              <w:t>2) komersantiem un biedrībām, kas organizē bezpilota gaisa kuģu lidojumus.</w:t>
            </w:r>
          </w:p>
        </w:tc>
      </w:tr>
      <w:tr w:rsidR="008C0EDC" w:rsidRPr="008C0EDC" w14:paraId="06C81347"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4AA472"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19370E6" w14:textId="77777777" w:rsidR="008C0EDC" w:rsidRPr="008C0EDC" w:rsidRDefault="008C0EDC" w:rsidP="008C0EDC">
            <w:pPr>
              <w:spacing w:after="0"/>
              <w:rPr>
                <w:rFonts w:eastAsia="Times New Roman"/>
                <w:lang w:eastAsia="lv-LV"/>
              </w:rPr>
            </w:pPr>
            <w:r w:rsidRPr="008C0EDC">
              <w:rPr>
                <w:rFonts w:eastAsia="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005EE5F9" w14:textId="77777777" w:rsidR="00393311" w:rsidRPr="00393311" w:rsidRDefault="00393311" w:rsidP="00393311">
            <w:pPr>
              <w:spacing w:after="0"/>
              <w:jc w:val="both"/>
              <w:rPr>
                <w:rFonts w:eastAsia="Times New Roman"/>
                <w:lang w:eastAsia="lv-LV"/>
              </w:rPr>
            </w:pPr>
            <w:r w:rsidRPr="00393311">
              <w:rPr>
                <w:rFonts w:eastAsia="Times New Roman"/>
                <w:lang w:eastAsia="lv-LV"/>
              </w:rPr>
              <w:t xml:space="preserve">Jaunais tiesiskais regulējums pilnveido vienotos pamatprincipus lidojumu veikšanai ar bezpilota gaisa kuģi, </w:t>
            </w:r>
            <w:r w:rsidR="008A014E">
              <w:rPr>
                <w:rFonts w:eastAsia="Times New Roman"/>
                <w:lang w:eastAsia="lv-LV"/>
              </w:rPr>
              <w:t xml:space="preserve">ņemot vērā arī Eiropas Savienības līmeņa tiesību aktus, </w:t>
            </w:r>
            <w:r w:rsidRPr="00393311">
              <w:rPr>
                <w:rFonts w:eastAsia="Times New Roman"/>
                <w:lang w:eastAsia="lv-LV"/>
              </w:rPr>
              <w:t xml:space="preserve">kas, savukārt, sekmēs bezpilota gaisa kuģu </w:t>
            </w:r>
            <w:r w:rsidR="00EF7F0C">
              <w:rPr>
                <w:rFonts w:eastAsia="Times New Roman"/>
                <w:lang w:eastAsia="lv-LV"/>
              </w:rPr>
              <w:t xml:space="preserve">izmantošanas </w:t>
            </w:r>
            <w:r w:rsidRPr="00393311">
              <w:rPr>
                <w:rFonts w:eastAsia="Times New Roman"/>
                <w:lang w:eastAsia="lv-LV"/>
              </w:rPr>
              <w:t>pārskatāmu un leģitīmu izmantošanu.</w:t>
            </w:r>
          </w:p>
          <w:p w14:paraId="53A940B2" w14:textId="1B2C5411" w:rsidR="00393311" w:rsidRPr="00393311" w:rsidRDefault="00393311" w:rsidP="00393311">
            <w:pPr>
              <w:spacing w:after="0"/>
              <w:jc w:val="both"/>
              <w:rPr>
                <w:rFonts w:eastAsia="Times New Roman"/>
                <w:lang w:eastAsia="lv-LV"/>
              </w:rPr>
            </w:pPr>
            <w:r w:rsidRPr="00393311">
              <w:rPr>
                <w:rFonts w:eastAsia="Times New Roman"/>
                <w:lang w:eastAsia="lv-LV"/>
              </w:rPr>
              <w:t>Administratīvais slogs attiecībā uz anotācijas II sadaļas 1.punktā minētajām sabiedrības mērķgrupām būtiski nemainās. Vienotam regulējumam un nosacījumiem tiek pakļauti visi bezpilota gaisa kuģu īpašnieki, valdītāji un lietotāji neatkarīgi no bezpilota gaisa kuģa masas, veiktspējas un tā izmantošanas mērķa. Stingrākas prasības attieksies uz lidojumiem paaugstināta riska apstākļos, kas var nopietni apdraudēt lidojumu drošumu, kā arī personas un objektus uz zemes</w:t>
            </w:r>
            <w:r w:rsidR="00FF6E8A">
              <w:rPr>
                <w:rFonts w:eastAsia="Times New Roman"/>
                <w:lang w:eastAsia="lv-LV"/>
              </w:rPr>
              <w:t>,</w:t>
            </w:r>
            <w:r w:rsidR="00EF7F0C">
              <w:rPr>
                <w:rFonts w:eastAsia="Times New Roman"/>
                <w:lang w:eastAsia="lv-LV"/>
              </w:rPr>
              <w:t xml:space="preserve"> un</w:t>
            </w:r>
            <w:r w:rsidRPr="00393311">
              <w:rPr>
                <w:rFonts w:eastAsia="Times New Roman"/>
                <w:lang w:eastAsia="lv-LV"/>
              </w:rPr>
              <w:t xml:space="preserve"> kas tādējādi ir</w:t>
            </w:r>
            <w:r w:rsidR="00EF7F0C">
              <w:rPr>
                <w:rFonts w:eastAsia="Times New Roman"/>
                <w:lang w:eastAsia="lv-LV"/>
              </w:rPr>
              <w:t xml:space="preserve"> visas</w:t>
            </w:r>
            <w:r w:rsidRPr="00393311">
              <w:rPr>
                <w:rFonts w:eastAsia="Times New Roman"/>
                <w:lang w:eastAsia="lv-LV"/>
              </w:rPr>
              <w:t xml:space="preserve"> sabiedrības interesēs. </w:t>
            </w:r>
          </w:p>
          <w:p w14:paraId="1F23D232" w14:textId="77777777" w:rsidR="008A014E" w:rsidRDefault="00393311" w:rsidP="00393311">
            <w:pPr>
              <w:spacing w:after="0"/>
              <w:jc w:val="both"/>
              <w:rPr>
                <w:rFonts w:eastAsia="Times New Roman"/>
                <w:lang w:eastAsia="lv-LV"/>
              </w:rPr>
            </w:pPr>
            <w:r w:rsidRPr="00393311">
              <w:rPr>
                <w:rFonts w:eastAsia="Times New Roman"/>
                <w:lang w:eastAsia="lv-LV"/>
              </w:rPr>
              <w:t xml:space="preserve">Projektā ietvertais tiesiskais regulējums mazina administratīvo slogu, paredzot iespēju un nosacījumus, lai saņemtu </w:t>
            </w:r>
            <w:r w:rsidR="008A014E">
              <w:rPr>
                <w:rFonts w:eastAsia="Times New Roman"/>
                <w:lang w:eastAsia="lv-LV"/>
              </w:rPr>
              <w:t xml:space="preserve">bezpilota gaisa kuģu sistēmas ekspluatanta </w:t>
            </w:r>
            <w:r w:rsidRPr="00393311">
              <w:rPr>
                <w:rFonts w:eastAsia="Times New Roman"/>
                <w:lang w:eastAsia="lv-LV"/>
              </w:rPr>
              <w:t>atļauju lidojumu veikšanai ar bezpilota gaisa kuģi</w:t>
            </w:r>
            <w:r w:rsidR="008A014E">
              <w:rPr>
                <w:rFonts w:eastAsia="Times New Roman"/>
                <w:lang w:eastAsia="lv-LV"/>
              </w:rPr>
              <w:t xml:space="preserve">, kā arī paredz ekspluatantu deklarēšanās iespēju. </w:t>
            </w:r>
          </w:p>
          <w:p w14:paraId="3C438EBF" w14:textId="77777777" w:rsidR="008C169C" w:rsidRPr="008C0EDC" w:rsidRDefault="008A014E" w:rsidP="00393311">
            <w:pPr>
              <w:spacing w:after="0"/>
              <w:jc w:val="both"/>
              <w:rPr>
                <w:rFonts w:eastAsia="Times New Roman"/>
                <w:lang w:eastAsia="lv-LV"/>
              </w:rPr>
            </w:pPr>
            <w:r>
              <w:rPr>
                <w:rFonts w:eastAsia="Times New Roman"/>
                <w:lang w:eastAsia="lv-LV"/>
              </w:rPr>
              <w:t>Projekts paredz turpināt noteikumos Nr. 368</w:t>
            </w:r>
            <w:r w:rsidR="005D7C3E">
              <w:rPr>
                <w:rFonts w:eastAsia="Times New Roman"/>
                <w:lang w:eastAsia="lv-LV"/>
              </w:rPr>
              <w:t xml:space="preserve"> jau ietverto prasību </w:t>
            </w:r>
            <w:r w:rsidR="005D7C3E" w:rsidRPr="005D7C3E">
              <w:rPr>
                <w:rFonts w:eastAsia="Times New Roman"/>
                <w:lang w:eastAsia="lv-LV"/>
              </w:rPr>
              <w:t>apdrošin</w:t>
            </w:r>
            <w:r w:rsidR="005D7C3E">
              <w:rPr>
                <w:rFonts w:eastAsia="Times New Roman"/>
                <w:lang w:eastAsia="lv-LV"/>
              </w:rPr>
              <w:t>āt</w:t>
            </w:r>
            <w:r w:rsidR="005D7C3E" w:rsidRPr="005D7C3E">
              <w:rPr>
                <w:rFonts w:eastAsia="Times New Roman"/>
                <w:lang w:eastAsia="lv-LV"/>
              </w:rPr>
              <w:t xml:space="preserve"> savu vispārējo civiltiesisko atbildību pret zaudējumiem, kurus bezpilota gaisa kuģis varētu radīt trešās personas veselībai, dzīvībai vai mantai, kā arī videi.</w:t>
            </w:r>
            <w:r>
              <w:rPr>
                <w:rFonts w:eastAsia="Times New Roman"/>
                <w:lang w:eastAsia="lv-LV"/>
              </w:rPr>
              <w:t xml:space="preserve"> </w:t>
            </w:r>
          </w:p>
        </w:tc>
      </w:tr>
      <w:tr w:rsidR="00393311" w:rsidRPr="008C0EDC" w14:paraId="793E2D40"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982EC2" w14:textId="77777777" w:rsidR="00393311" w:rsidRPr="008C0EDC" w:rsidRDefault="00393311" w:rsidP="00393311">
            <w:pPr>
              <w:spacing w:before="100" w:beforeAutospacing="1" w:after="100" w:afterAutospacing="1"/>
              <w:jc w:val="center"/>
              <w:rPr>
                <w:rFonts w:eastAsia="Times New Roman"/>
                <w:lang w:eastAsia="lv-LV"/>
              </w:rPr>
            </w:pPr>
            <w:r w:rsidRPr="008C0EDC">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D46A983" w14:textId="77777777" w:rsidR="00393311" w:rsidRPr="008C0EDC" w:rsidRDefault="00393311" w:rsidP="00393311">
            <w:pPr>
              <w:spacing w:after="0"/>
              <w:rPr>
                <w:rFonts w:eastAsia="Times New Roman"/>
                <w:lang w:eastAsia="lv-LV"/>
              </w:rPr>
            </w:pPr>
            <w:r w:rsidRPr="008C0EDC">
              <w:rPr>
                <w:rFonts w:eastAsia="Times New Roman"/>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3AE1C2AF" w14:textId="3BBC167D" w:rsidR="00393311" w:rsidRDefault="001C7EFC" w:rsidP="00393311">
            <w:pPr>
              <w:spacing w:after="0"/>
              <w:jc w:val="both"/>
              <w:rPr>
                <w:rFonts w:eastAsia="Times New Roman"/>
              </w:rPr>
            </w:pPr>
            <w:r>
              <w:rPr>
                <w:rFonts w:eastAsia="Times New Roman"/>
              </w:rPr>
              <w:t>Projekta</w:t>
            </w:r>
            <w:r w:rsidR="00393311" w:rsidRPr="00044189">
              <w:rPr>
                <w:rFonts w:eastAsia="Times New Roman"/>
              </w:rPr>
              <w:t xml:space="preserve"> noteikumu ietvaros Civilās aviācijas aģentūra </w:t>
            </w:r>
            <w:r w:rsidR="00EF7F0C">
              <w:rPr>
                <w:rFonts w:eastAsia="Times New Roman"/>
              </w:rPr>
              <w:t xml:space="preserve">tai </w:t>
            </w:r>
            <w:r w:rsidR="00393311" w:rsidRPr="00044189">
              <w:rPr>
                <w:rFonts w:eastAsia="Times New Roman"/>
              </w:rPr>
              <w:t xml:space="preserve"> piekritīgās funkcijas un uzdevumus veiks esošo finanšu resursu ietvaros. </w:t>
            </w:r>
          </w:p>
          <w:p w14:paraId="01F680FB" w14:textId="77777777" w:rsidR="006733BE" w:rsidRDefault="006733BE" w:rsidP="00393311">
            <w:pPr>
              <w:spacing w:after="0"/>
              <w:jc w:val="both"/>
              <w:rPr>
                <w:rFonts w:eastAsia="Times New Roman"/>
                <w:lang w:eastAsia="lv-LV"/>
              </w:rPr>
            </w:pPr>
          </w:p>
          <w:p w14:paraId="68BEC2A5" w14:textId="114F5E86" w:rsidR="006733BE" w:rsidRPr="008C0EDC" w:rsidRDefault="006733BE" w:rsidP="00393311">
            <w:pPr>
              <w:spacing w:after="0"/>
              <w:jc w:val="both"/>
              <w:rPr>
                <w:rFonts w:eastAsia="Times New Roman"/>
                <w:lang w:eastAsia="lv-LV"/>
              </w:rPr>
            </w:pPr>
            <w:r>
              <w:rPr>
                <w:rFonts w:eastAsia="Times New Roman"/>
                <w:lang w:eastAsia="lv-LV"/>
              </w:rPr>
              <w:t xml:space="preserve">Ekonomikas ministrija norāda, ka </w:t>
            </w:r>
            <w:r w:rsidR="00D243D4">
              <w:rPr>
                <w:rFonts w:eastAsia="Times New Roman"/>
                <w:lang w:eastAsia="lv-LV"/>
              </w:rPr>
              <w:t xml:space="preserve">Deleģētajā </w:t>
            </w:r>
            <w:r w:rsidRPr="006733BE">
              <w:rPr>
                <w:rFonts w:eastAsia="Times New Roman"/>
                <w:lang w:eastAsia="lv-LV"/>
              </w:rPr>
              <w:t>regulā (ES) 2019/945 noteiktā joma ir papildu kompetence Patērētāju tiesību aizsardzības centra</w:t>
            </w:r>
            <w:r>
              <w:rPr>
                <w:rFonts w:eastAsia="Times New Roman"/>
                <w:lang w:eastAsia="lv-LV"/>
              </w:rPr>
              <w:t>m</w:t>
            </w:r>
            <w:r w:rsidRPr="006733BE">
              <w:rPr>
                <w:rFonts w:eastAsia="Times New Roman"/>
                <w:lang w:eastAsia="lv-LV"/>
              </w:rPr>
              <w:t xml:space="preserve"> un tās īstenošana esošo resursu ietvaros nav paredzēta un nebūtu iespējama</w:t>
            </w:r>
            <w:r>
              <w:rPr>
                <w:rFonts w:eastAsia="Times New Roman"/>
                <w:lang w:eastAsia="lv-LV"/>
              </w:rPr>
              <w:t>. La</w:t>
            </w:r>
            <w:r w:rsidRPr="006733BE">
              <w:rPr>
                <w:rFonts w:eastAsia="Times New Roman"/>
                <w:lang w:eastAsia="lv-LV"/>
              </w:rPr>
              <w:t xml:space="preserve">i varētu efektīvi veikt </w:t>
            </w:r>
            <w:r w:rsidR="00D243D4">
              <w:rPr>
                <w:rFonts w:eastAsia="Times New Roman"/>
                <w:lang w:eastAsia="lv-LV"/>
              </w:rPr>
              <w:t xml:space="preserve">Deleģētajā </w:t>
            </w:r>
            <w:r w:rsidRPr="006733BE">
              <w:rPr>
                <w:rFonts w:eastAsia="Times New Roman"/>
                <w:lang w:eastAsia="lv-LV"/>
              </w:rPr>
              <w:t>regulā (ES) 2019/945 noteiktos uzraudzības un kontroles pienākumus</w:t>
            </w:r>
            <w:r w:rsidR="00F9305D">
              <w:rPr>
                <w:rFonts w:eastAsia="Times New Roman"/>
                <w:lang w:eastAsia="lv-LV"/>
              </w:rPr>
              <w:t>, to</w:t>
            </w:r>
            <w:r w:rsidRPr="006733BE">
              <w:rPr>
                <w:rFonts w:eastAsia="Times New Roman"/>
                <w:lang w:eastAsia="lv-LV"/>
              </w:rPr>
              <w:t xml:space="preserve"> izpildei nepieciešams finansējums</w:t>
            </w:r>
            <w:r>
              <w:rPr>
                <w:rFonts w:eastAsia="Times New Roman"/>
                <w:lang w:eastAsia="lv-LV"/>
              </w:rPr>
              <w:t>.</w:t>
            </w:r>
          </w:p>
        </w:tc>
      </w:tr>
      <w:tr w:rsidR="00393311" w:rsidRPr="008C0EDC" w14:paraId="3334F619"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5AE403" w14:textId="77777777" w:rsidR="00393311" w:rsidRPr="008C0EDC" w:rsidRDefault="00393311" w:rsidP="00393311">
            <w:pPr>
              <w:spacing w:before="100" w:beforeAutospacing="1" w:after="100" w:afterAutospacing="1"/>
              <w:jc w:val="center"/>
              <w:rPr>
                <w:rFonts w:eastAsia="Times New Roman"/>
                <w:lang w:eastAsia="lv-LV"/>
              </w:rPr>
            </w:pPr>
            <w:r w:rsidRPr="008C0EDC">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6EA395A" w14:textId="77777777" w:rsidR="00393311" w:rsidRPr="008C0EDC" w:rsidRDefault="00393311" w:rsidP="00393311">
            <w:pPr>
              <w:spacing w:after="0"/>
              <w:rPr>
                <w:rFonts w:eastAsia="Times New Roman"/>
                <w:lang w:eastAsia="lv-LV"/>
              </w:rPr>
            </w:pPr>
            <w:r w:rsidRPr="008C0EDC">
              <w:rPr>
                <w:rFonts w:eastAsia="Times New Roman"/>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12A731FA" w14:textId="77777777" w:rsidR="00393311" w:rsidRPr="008C0EDC" w:rsidRDefault="00393311" w:rsidP="00393311">
            <w:pPr>
              <w:spacing w:after="0"/>
              <w:rPr>
                <w:rFonts w:eastAsia="Times New Roman"/>
                <w:lang w:eastAsia="lv-LV"/>
              </w:rPr>
            </w:pPr>
            <w:r w:rsidRPr="003978B0">
              <w:t>Projekts šo jomu neskar.</w:t>
            </w:r>
          </w:p>
        </w:tc>
      </w:tr>
      <w:tr w:rsidR="00393311" w:rsidRPr="008C0EDC" w14:paraId="038451D8"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D1F25B" w14:textId="77777777" w:rsidR="00393311" w:rsidRPr="008C0EDC" w:rsidRDefault="00393311" w:rsidP="00393311">
            <w:pPr>
              <w:spacing w:before="100" w:beforeAutospacing="1" w:after="100" w:afterAutospacing="1"/>
              <w:jc w:val="center"/>
              <w:rPr>
                <w:rFonts w:eastAsia="Times New Roman"/>
                <w:lang w:eastAsia="lv-LV"/>
              </w:rPr>
            </w:pPr>
            <w:r w:rsidRPr="008C0EDC">
              <w:rPr>
                <w:rFonts w:eastAsia="Times New Roman"/>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E4B354C" w14:textId="77777777" w:rsidR="00393311" w:rsidRPr="008C0EDC" w:rsidRDefault="00393311" w:rsidP="00393311">
            <w:pPr>
              <w:spacing w:after="0"/>
              <w:rPr>
                <w:rFonts w:eastAsia="Times New Roman"/>
                <w:lang w:eastAsia="lv-LV"/>
              </w:rPr>
            </w:pPr>
            <w:r w:rsidRPr="008C0EDC">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66486CD7" w14:textId="77777777" w:rsidR="00393311" w:rsidRPr="008C0EDC" w:rsidRDefault="00393311" w:rsidP="00393311">
            <w:pPr>
              <w:spacing w:after="0"/>
              <w:rPr>
                <w:rFonts w:eastAsia="Times New Roman"/>
                <w:lang w:eastAsia="lv-LV"/>
              </w:rPr>
            </w:pPr>
            <w:r w:rsidRPr="002E611F">
              <w:rPr>
                <w:rFonts w:eastAsia="Times New Roman"/>
                <w:lang w:eastAsia="lv-LV"/>
              </w:rPr>
              <w:t>Nav.</w:t>
            </w:r>
          </w:p>
        </w:tc>
      </w:tr>
    </w:tbl>
    <w:p w14:paraId="064487DD" w14:textId="77777777" w:rsidR="00AA1548" w:rsidRDefault="00AA1548"/>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1187"/>
        <w:gridCol w:w="1484"/>
        <w:gridCol w:w="1482"/>
        <w:gridCol w:w="1482"/>
        <w:gridCol w:w="2126"/>
      </w:tblGrid>
      <w:tr w:rsidR="005923C4" w:rsidRPr="005923C4" w14:paraId="069E1BE0" w14:textId="77777777" w:rsidTr="005923C4">
        <w:trPr>
          <w:trHeight w:val="286"/>
          <w:jc w:val="center"/>
        </w:trPr>
        <w:tc>
          <w:tcPr>
            <w:tcW w:w="9056" w:type="dxa"/>
            <w:gridSpan w:val="6"/>
          </w:tcPr>
          <w:p w14:paraId="0E1CEC33" w14:textId="77777777" w:rsidR="005923C4" w:rsidRPr="005923C4" w:rsidRDefault="005923C4" w:rsidP="005923C4">
            <w:pPr>
              <w:spacing w:after="0"/>
              <w:jc w:val="center"/>
              <w:rPr>
                <w:rFonts w:eastAsia="Calibri"/>
                <w:b/>
                <w:bCs/>
                <w:i/>
                <w:lang w:eastAsia="lv-LV"/>
              </w:rPr>
            </w:pPr>
            <w:r w:rsidRPr="005923C4">
              <w:rPr>
                <w:rFonts w:eastAsia="Calibri"/>
                <w:b/>
                <w:bCs/>
                <w:lang w:eastAsia="lv-LV"/>
              </w:rPr>
              <w:br w:type="page"/>
              <w:t>III. Tiesību akta projekta ietekme uz valsts budžetu un pašvaldību budžetiem</w:t>
            </w:r>
          </w:p>
        </w:tc>
      </w:tr>
      <w:tr w:rsidR="005923C4" w:rsidRPr="005923C4" w14:paraId="720D1FFF" w14:textId="77777777" w:rsidTr="005923C4">
        <w:trPr>
          <w:jc w:val="center"/>
        </w:trPr>
        <w:tc>
          <w:tcPr>
            <w:tcW w:w="1295" w:type="dxa"/>
            <w:vMerge w:val="restart"/>
            <w:vAlign w:val="center"/>
          </w:tcPr>
          <w:p w14:paraId="7AA00E74" w14:textId="77777777" w:rsidR="005923C4" w:rsidRPr="005923C4" w:rsidRDefault="005923C4" w:rsidP="005923C4">
            <w:pPr>
              <w:spacing w:after="0"/>
              <w:jc w:val="center"/>
              <w:rPr>
                <w:rFonts w:eastAsia="Calibri"/>
                <w:b/>
                <w:lang w:eastAsia="lv-LV"/>
              </w:rPr>
            </w:pPr>
            <w:r w:rsidRPr="005923C4">
              <w:rPr>
                <w:rFonts w:eastAsia="Calibri"/>
                <w:b/>
                <w:lang w:eastAsia="lv-LV"/>
              </w:rPr>
              <w:t>Rādītāji</w:t>
            </w:r>
          </w:p>
        </w:tc>
        <w:tc>
          <w:tcPr>
            <w:tcW w:w="2671" w:type="dxa"/>
            <w:gridSpan w:val="2"/>
            <w:vMerge w:val="restart"/>
            <w:vAlign w:val="center"/>
          </w:tcPr>
          <w:p w14:paraId="69576D2D" w14:textId="39B7962D" w:rsidR="005923C4" w:rsidRPr="005923C4" w:rsidRDefault="005923C4" w:rsidP="005923C4">
            <w:pPr>
              <w:spacing w:after="0"/>
              <w:jc w:val="center"/>
              <w:rPr>
                <w:rFonts w:eastAsia="Calibri"/>
                <w:b/>
                <w:lang w:eastAsia="lv-LV"/>
              </w:rPr>
            </w:pPr>
            <w:r w:rsidRPr="005923C4">
              <w:rPr>
                <w:rFonts w:eastAsia="Calibri"/>
                <w:b/>
                <w:lang w:eastAsia="lv-LV"/>
              </w:rPr>
              <w:t>20</w:t>
            </w:r>
            <w:r w:rsidR="00876184">
              <w:rPr>
                <w:rFonts w:eastAsia="Calibri"/>
                <w:b/>
                <w:lang w:eastAsia="lv-LV"/>
              </w:rPr>
              <w:t>20</w:t>
            </w:r>
            <w:r w:rsidRPr="005923C4">
              <w:rPr>
                <w:rFonts w:eastAsia="Calibri"/>
                <w:b/>
                <w:lang w:eastAsia="lv-LV"/>
              </w:rPr>
              <w:t>.gads</w:t>
            </w:r>
          </w:p>
        </w:tc>
        <w:tc>
          <w:tcPr>
            <w:tcW w:w="5090" w:type="dxa"/>
            <w:gridSpan w:val="3"/>
            <w:vAlign w:val="center"/>
          </w:tcPr>
          <w:p w14:paraId="5A044D0F" w14:textId="77777777" w:rsidR="005923C4" w:rsidRPr="005923C4" w:rsidRDefault="005923C4" w:rsidP="005923C4">
            <w:pPr>
              <w:spacing w:after="0"/>
              <w:jc w:val="center"/>
              <w:rPr>
                <w:rFonts w:eastAsia="Calibri"/>
                <w:b/>
                <w:i/>
                <w:lang w:eastAsia="lv-LV"/>
              </w:rPr>
            </w:pPr>
            <w:r w:rsidRPr="005923C4">
              <w:rPr>
                <w:rFonts w:eastAsia="Calibri"/>
                <w:lang w:eastAsia="lv-LV"/>
              </w:rPr>
              <w:t>Turpmākie trīs gadi (</w:t>
            </w:r>
            <w:r w:rsidRPr="005923C4">
              <w:rPr>
                <w:rFonts w:eastAsia="Calibri"/>
                <w:i/>
                <w:lang w:eastAsia="lv-LV"/>
              </w:rPr>
              <w:t>euro</w:t>
            </w:r>
            <w:r w:rsidRPr="005923C4">
              <w:rPr>
                <w:rFonts w:eastAsia="Calibri"/>
                <w:lang w:eastAsia="lv-LV"/>
              </w:rPr>
              <w:t>)</w:t>
            </w:r>
          </w:p>
        </w:tc>
      </w:tr>
      <w:tr w:rsidR="005923C4" w:rsidRPr="005923C4" w14:paraId="5A70DF33" w14:textId="77777777" w:rsidTr="005923C4">
        <w:trPr>
          <w:jc w:val="center"/>
        </w:trPr>
        <w:tc>
          <w:tcPr>
            <w:tcW w:w="1295" w:type="dxa"/>
            <w:vMerge/>
            <w:vAlign w:val="center"/>
          </w:tcPr>
          <w:p w14:paraId="7C917AE2" w14:textId="77777777" w:rsidR="005923C4" w:rsidRPr="005923C4" w:rsidRDefault="005923C4" w:rsidP="005923C4">
            <w:pPr>
              <w:spacing w:after="0"/>
              <w:jc w:val="center"/>
              <w:rPr>
                <w:rFonts w:eastAsia="Calibri"/>
                <w:b/>
                <w:i/>
                <w:lang w:eastAsia="lv-LV"/>
              </w:rPr>
            </w:pPr>
          </w:p>
        </w:tc>
        <w:tc>
          <w:tcPr>
            <w:tcW w:w="2671" w:type="dxa"/>
            <w:gridSpan w:val="2"/>
            <w:vMerge/>
            <w:vAlign w:val="center"/>
          </w:tcPr>
          <w:p w14:paraId="74243D0A" w14:textId="77777777" w:rsidR="005923C4" w:rsidRPr="005923C4" w:rsidRDefault="005923C4" w:rsidP="005923C4">
            <w:pPr>
              <w:spacing w:after="0"/>
              <w:jc w:val="center"/>
              <w:rPr>
                <w:rFonts w:eastAsia="Calibri"/>
                <w:b/>
                <w:i/>
                <w:lang w:eastAsia="lv-LV"/>
              </w:rPr>
            </w:pPr>
          </w:p>
        </w:tc>
        <w:tc>
          <w:tcPr>
            <w:tcW w:w="1482" w:type="dxa"/>
            <w:vAlign w:val="center"/>
          </w:tcPr>
          <w:p w14:paraId="2D469C19" w14:textId="530901E1" w:rsidR="005923C4" w:rsidRPr="005923C4" w:rsidRDefault="005923C4" w:rsidP="005923C4">
            <w:pPr>
              <w:spacing w:after="0"/>
              <w:jc w:val="center"/>
              <w:rPr>
                <w:rFonts w:eastAsia="Calibri"/>
                <w:b/>
                <w:i/>
                <w:lang w:eastAsia="lv-LV"/>
              </w:rPr>
            </w:pPr>
            <w:r w:rsidRPr="005923C4">
              <w:rPr>
                <w:rFonts w:eastAsia="Calibri"/>
                <w:b/>
                <w:bCs/>
                <w:lang w:eastAsia="lv-LV"/>
              </w:rPr>
              <w:t>202</w:t>
            </w:r>
            <w:r w:rsidR="00876184">
              <w:rPr>
                <w:rFonts w:eastAsia="Calibri"/>
                <w:b/>
                <w:bCs/>
                <w:lang w:eastAsia="lv-LV"/>
              </w:rPr>
              <w:t>1</w:t>
            </w:r>
          </w:p>
        </w:tc>
        <w:tc>
          <w:tcPr>
            <w:tcW w:w="1482" w:type="dxa"/>
            <w:vAlign w:val="center"/>
          </w:tcPr>
          <w:p w14:paraId="08DF417A" w14:textId="1B9A0429" w:rsidR="005923C4" w:rsidRPr="005923C4" w:rsidRDefault="005923C4" w:rsidP="005923C4">
            <w:pPr>
              <w:spacing w:after="0"/>
              <w:jc w:val="center"/>
              <w:rPr>
                <w:rFonts w:eastAsia="Calibri"/>
                <w:b/>
                <w:i/>
                <w:lang w:eastAsia="lv-LV"/>
              </w:rPr>
            </w:pPr>
            <w:r w:rsidRPr="005923C4">
              <w:rPr>
                <w:rFonts w:eastAsia="Calibri"/>
                <w:b/>
                <w:bCs/>
                <w:lang w:eastAsia="lv-LV"/>
              </w:rPr>
              <w:t>202</w:t>
            </w:r>
            <w:r w:rsidR="00876184">
              <w:rPr>
                <w:rFonts w:eastAsia="Calibri"/>
                <w:b/>
                <w:bCs/>
                <w:lang w:eastAsia="lv-LV"/>
              </w:rPr>
              <w:t>2</w:t>
            </w:r>
          </w:p>
        </w:tc>
        <w:tc>
          <w:tcPr>
            <w:tcW w:w="2126" w:type="dxa"/>
            <w:vAlign w:val="center"/>
          </w:tcPr>
          <w:p w14:paraId="77DFA95A" w14:textId="7E9E5030" w:rsidR="005923C4" w:rsidRPr="005923C4" w:rsidRDefault="005923C4" w:rsidP="005923C4">
            <w:pPr>
              <w:spacing w:after="0"/>
              <w:jc w:val="center"/>
              <w:rPr>
                <w:rFonts w:eastAsia="Calibri"/>
                <w:b/>
                <w:i/>
                <w:lang w:eastAsia="lv-LV"/>
              </w:rPr>
            </w:pPr>
            <w:r w:rsidRPr="005923C4">
              <w:rPr>
                <w:rFonts w:eastAsia="Calibri"/>
                <w:b/>
                <w:bCs/>
                <w:lang w:eastAsia="lv-LV"/>
              </w:rPr>
              <w:t>202</w:t>
            </w:r>
            <w:r w:rsidR="00876184">
              <w:rPr>
                <w:rFonts w:eastAsia="Calibri"/>
                <w:b/>
                <w:bCs/>
                <w:lang w:eastAsia="lv-LV"/>
              </w:rPr>
              <w:t>3</w:t>
            </w:r>
          </w:p>
        </w:tc>
      </w:tr>
      <w:tr w:rsidR="005923C4" w:rsidRPr="005923C4" w14:paraId="46908C6D" w14:textId="77777777" w:rsidTr="005923C4">
        <w:trPr>
          <w:jc w:val="center"/>
        </w:trPr>
        <w:tc>
          <w:tcPr>
            <w:tcW w:w="1295" w:type="dxa"/>
            <w:vMerge/>
            <w:vAlign w:val="center"/>
          </w:tcPr>
          <w:p w14:paraId="372F8AF5" w14:textId="77777777" w:rsidR="005923C4" w:rsidRPr="005923C4" w:rsidRDefault="005923C4" w:rsidP="005923C4">
            <w:pPr>
              <w:spacing w:after="0"/>
              <w:jc w:val="center"/>
              <w:rPr>
                <w:rFonts w:eastAsia="Calibri"/>
                <w:b/>
                <w:i/>
                <w:lang w:eastAsia="lv-LV"/>
              </w:rPr>
            </w:pPr>
          </w:p>
        </w:tc>
        <w:tc>
          <w:tcPr>
            <w:tcW w:w="1187" w:type="dxa"/>
            <w:vAlign w:val="center"/>
          </w:tcPr>
          <w:p w14:paraId="35F2B444" w14:textId="77777777" w:rsidR="005923C4" w:rsidRPr="005923C4" w:rsidRDefault="005923C4" w:rsidP="005923C4">
            <w:pPr>
              <w:spacing w:after="0"/>
              <w:jc w:val="center"/>
              <w:rPr>
                <w:rFonts w:eastAsia="Calibri"/>
                <w:b/>
                <w:i/>
                <w:lang w:eastAsia="lv-LV"/>
              </w:rPr>
            </w:pPr>
            <w:r w:rsidRPr="005923C4">
              <w:rPr>
                <w:rFonts w:eastAsia="Calibri"/>
                <w:lang w:eastAsia="lv-LV"/>
              </w:rPr>
              <w:t>Saskaņā ar valsts budžetu kārtējam gadam</w:t>
            </w:r>
          </w:p>
        </w:tc>
        <w:tc>
          <w:tcPr>
            <w:tcW w:w="1484" w:type="dxa"/>
            <w:vAlign w:val="center"/>
          </w:tcPr>
          <w:p w14:paraId="3AFA77AF" w14:textId="77777777" w:rsidR="005923C4" w:rsidRPr="005923C4" w:rsidRDefault="005923C4" w:rsidP="005923C4">
            <w:pPr>
              <w:spacing w:after="0"/>
              <w:jc w:val="center"/>
              <w:rPr>
                <w:rFonts w:eastAsia="Calibri"/>
                <w:b/>
                <w:i/>
                <w:lang w:eastAsia="lv-LV"/>
              </w:rPr>
            </w:pPr>
            <w:r w:rsidRPr="005923C4">
              <w:rPr>
                <w:rFonts w:eastAsia="Calibri"/>
                <w:lang w:eastAsia="lv-LV"/>
              </w:rPr>
              <w:t xml:space="preserve">Izmaiņas kārtējā gadā, salīdzinot ar budžetu </w:t>
            </w:r>
            <w:r w:rsidRPr="005923C4">
              <w:rPr>
                <w:rFonts w:eastAsia="Calibri"/>
                <w:lang w:eastAsia="lv-LV"/>
              </w:rPr>
              <w:lastRenderedPageBreak/>
              <w:t>kārtējam gadam</w:t>
            </w:r>
          </w:p>
        </w:tc>
        <w:tc>
          <w:tcPr>
            <w:tcW w:w="1482" w:type="dxa"/>
            <w:vAlign w:val="center"/>
          </w:tcPr>
          <w:p w14:paraId="35CE4C64" w14:textId="77777777" w:rsidR="005923C4" w:rsidRPr="005923C4" w:rsidRDefault="005923C4" w:rsidP="005923C4">
            <w:pPr>
              <w:spacing w:after="0"/>
              <w:jc w:val="center"/>
              <w:rPr>
                <w:rFonts w:eastAsia="Calibri"/>
                <w:lang w:eastAsia="lv-LV"/>
              </w:rPr>
            </w:pPr>
            <w:r w:rsidRPr="005923C4">
              <w:rPr>
                <w:rFonts w:eastAsia="Calibri"/>
                <w:lang w:eastAsia="lv-LV"/>
              </w:rPr>
              <w:lastRenderedPageBreak/>
              <w:t>Izmaiņas, salīdzinot ar kārtējo (n)</w:t>
            </w:r>
          </w:p>
          <w:p w14:paraId="46556DAC" w14:textId="77777777" w:rsidR="005923C4" w:rsidRPr="005923C4" w:rsidRDefault="005923C4" w:rsidP="005923C4">
            <w:pPr>
              <w:spacing w:after="0"/>
              <w:jc w:val="center"/>
              <w:rPr>
                <w:rFonts w:eastAsia="Calibri"/>
                <w:b/>
                <w:i/>
                <w:lang w:eastAsia="lv-LV"/>
              </w:rPr>
            </w:pPr>
            <w:r w:rsidRPr="005923C4">
              <w:rPr>
                <w:rFonts w:eastAsia="Calibri"/>
                <w:lang w:eastAsia="lv-LV"/>
              </w:rPr>
              <w:t>gadu</w:t>
            </w:r>
          </w:p>
        </w:tc>
        <w:tc>
          <w:tcPr>
            <w:tcW w:w="1482" w:type="dxa"/>
            <w:vAlign w:val="center"/>
          </w:tcPr>
          <w:p w14:paraId="565D350D" w14:textId="77777777" w:rsidR="005923C4" w:rsidRPr="005923C4" w:rsidRDefault="005923C4" w:rsidP="005923C4">
            <w:pPr>
              <w:spacing w:after="0"/>
              <w:jc w:val="center"/>
              <w:rPr>
                <w:rFonts w:eastAsia="Calibri"/>
                <w:lang w:eastAsia="lv-LV"/>
              </w:rPr>
            </w:pPr>
            <w:r w:rsidRPr="005923C4">
              <w:rPr>
                <w:rFonts w:eastAsia="Calibri"/>
                <w:lang w:eastAsia="lv-LV"/>
              </w:rPr>
              <w:t>Izmaiņas, salīdzinot ar kārtējo (n)</w:t>
            </w:r>
          </w:p>
          <w:p w14:paraId="50C91E32" w14:textId="77777777" w:rsidR="005923C4" w:rsidRPr="005923C4" w:rsidRDefault="005923C4" w:rsidP="005923C4">
            <w:pPr>
              <w:spacing w:after="0"/>
              <w:jc w:val="center"/>
              <w:rPr>
                <w:rFonts w:eastAsia="Calibri"/>
                <w:b/>
                <w:i/>
                <w:lang w:eastAsia="lv-LV"/>
              </w:rPr>
            </w:pPr>
            <w:r w:rsidRPr="005923C4">
              <w:rPr>
                <w:rFonts w:eastAsia="Calibri"/>
                <w:lang w:eastAsia="lv-LV"/>
              </w:rPr>
              <w:t>gadu</w:t>
            </w:r>
          </w:p>
        </w:tc>
        <w:tc>
          <w:tcPr>
            <w:tcW w:w="2126" w:type="dxa"/>
            <w:vAlign w:val="center"/>
          </w:tcPr>
          <w:p w14:paraId="4E984246" w14:textId="77777777" w:rsidR="005923C4" w:rsidRPr="005923C4" w:rsidRDefault="005923C4" w:rsidP="005923C4">
            <w:pPr>
              <w:spacing w:after="0"/>
              <w:jc w:val="center"/>
              <w:rPr>
                <w:rFonts w:eastAsia="Calibri"/>
                <w:lang w:eastAsia="lv-LV"/>
              </w:rPr>
            </w:pPr>
            <w:r w:rsidRPr="005923C4">
              <w:rPr>
                <w:rFonts w:eastAsia="Calibri"/>
                <w:lang w:eastAsia="lv-LV"/>
              </w:rPr>
              <w:t>Izmaiņas, salīdzinot ar kārtējo (n)</w:t>
            </w:r>
          </w:p>
          <w:p w14:paraId="423356AA" w14:textId="77777777" w:rsidR="005923C4" w:rsidRPr="005923C4" w:rsidRDefault="005923C4" w:rsidP="005923C4">
            <w:pPr>
              <w:spacing w:after="0"/>
              <w:jc w:val="center"/>
              <w:rPr>
                <w:rFonts w:eastAsia="Calibri"/>
                <w:b/>
                <w:i/>
                <w:lang w:eastAsia="lv-LV"/>
              </w:rPr>
            </w:pPr>
            <w:r w:rsidRPr="005923C4">
              <w:rPr>
                <w:rFonts w:eastAsia="Calibri"/>
                <w:lang w:eastAsia="lv-LV"/>
              </w:rPr>
              <w:t>gadu</w:t>
            </w:r>
          </w:p>
        </w:tc>
      </w:tr>
      <w:tr w:rsidR="005923C4" w:rsidRPr="005923C4" w14:paraId="2F906DEA" w14:textId="77777777" w:rsidTr="005923C4">
        <w:trPr>
          <w:jc w:val="center"/>
        </w:trPr>
        <w:tc>
          <w:tcPr>
            <w:tcW w:w="1295" w:type="dxa"/>
            <w:vAlign w:val="center"/>
          </w:tcPr>
          <w:p w14:paraId="3268152E" w14:textId="77777777" w:rsidR="005923C4" w:rsidRPr="005923C4" w:rsidRDefault="005923C4" w:rsidP="005923C4">
            <w:pPr>
              <w:spacing w:after="0"/>
              <w:jc w:val="center"/>
              <w:rPr>
                <w:rFonts w:eastAsia="Calibri"/>
                <w:bCs/>
                <w:lang w:eastAsia="lv-LV"/>
              </w:rPr>
            </w:pPr>
            <w:r w:rsidRPr="005923C4">
              <w:rPr>
                <w:rFonts w:eastAsia="Calibri"/>
                <w:bCs/>
                <w:lang w:eastAsia="lv-LV"/>
              </w:rPr>
              <w:t>1</w:t>
            </w:r>
          </w:p>
        </w:tc>
        <w:tc>
          <w:tcPr>
            <w:tcW w:w="1187" w:type="dxa"/>
            <w:vAlign w:val="center"/>
          </w:tcPr>
          <w:p w14:paraId="5E01488C" w14:textId="77777777" w:rsidR="005923C4" w:rsidRPr="005923C4" w:rsidRDefault="005923C4" w:rsidP="005923C4">
            <w:pPr>
              <w:spacing w:after="0"/>
              <w:jc w:val="center"/>
              <w:rPr>
                <w:rFonts w:eastAsia="Calibri"/>
                <w:bCs/>
                <w:lang w:eastAsia="lv-LV"/>
              </w:rPr>
            </w:pPr>
            <w:r w:rsidRPr="005923C4">
              <w:rPr>
                <w:rFonts w:eastAsia="Calibri"/>
                <w:bCs/>
                <w:lang w:eastAsia="lv-LV"/>
              </w:rPr>
              <w:t>2</w:t>
            </w:r>
          </w:p>
        </w:tc>
        <w:tc>
          <w:tcPr>
            <w:tcW w:w="1484" w:type="dxa"/>
            <w:vAlign w:val="center"/>
          </w:tcPr>
          <w:p w14:paraId="7248FD98" w14:textId="77777777" w:rsidR="005923C4" w:rsidRPr="005923C4" w:rsidRDefault="005923C4" w:rsidP="005923C4">
            <w:pPr>
              <w:spacing w:after="0"/>
              <w:jc w:val="center"/>
              <w:rPr>
                <w:rFonts w:eastAsia="Calibri"/>
                <w:bCs/>
                <w:lang w:eastAsia="lv-LV"/>
              </w:rPr>
            </w:pPr>
            <w:r w:rsidRPr="005923C4">
              <w:rPr>
                <w:rFonts w:eastAsia="Calibri"/>
                <w:bCs/>
                <w:lang w:eastAsia="lv-LV"/>
              </w:rPr>
              <w:t>3</w:t>
            </w:r>
          </w:p>
        </w:tc>
        <w:tc>
          <w:tcPr>
            <w:tcW w:w="1482" w:type="dxa"/>
            <w:vAlign w:val="center"/>
          </w:tcPr>
          <w:p w14:paraId="7535AF25" w14:textId="77777777" w:rsidR="005923C4" w:rsidRPr="005923C4" w:rsidRDefault="005923C4" w:rsidP="005923C4">
            <w:pPr>
              <w:spacing w:after="0"/>
              <w:jc w:val="center"/>
              <w:rPr>
                <w:rFonts w:eastAsia="Calibri"/>
                <w:bCs/>
                <w:lang w:eastAsia="lv-LV"/>
              </w:rPr>
            </w:pPr>
            <w:r w:rsidRPr="005923C4">
              <w:rPr>
                <w:rFonts w:eastAsia="Calibri"/>
                <w:bCs/>
                <w:lang w:eastAsia="lv-LV"/>
              </w:rPr>
              <w:t>4</w:t>
            </w:r>
          </w:p>
        </w:tc>
        <w:tc>
          <w:tcPr>
            <w:tcW w:w="1482" w:type="dxa"/>
            <w:vAlign w:val="center"/>
          </w:tcPr>
          <w:p w14:paraId="278D1342" w14:textId="77777777" w:rsidR="005923C4" w:rsidRPr="005923C4" w:rsidRDefault="005923C4" w:rsidP="005923C4">
            <w:pPr>
              <w:spacing w:after="0"/>
              <w:jc w:val="center"/>
              <w:rPr>
                <w:rFonts w:eastAsia="Calibri"/>
                <w:bCs/>
                <w:lang w:eastAsia="lv-LV"/>
              </w:rPr>
            </w:pPr>
            <w:r w:rsidRPr="005923C4">
              <w:rPr>
                <w:rFonts w:eastAsia="Calibri"/>
                <w:bCs/>
                <w:lang w:eastAsia="lv-LV"/>
              </w:rPr>
              <w:t>5</w:t>
            </w:r>
          </w:p>
        </w:tc>
        <w:tc>
          <w:tcPr>
            <w:tcW w:w="2126" w:type="dxa"/>
            <w:vAlign w:val="center"/>
          </w:tcPr>
          <w:p w14:paraId="6A288558" w14:textId="77777777" w:rsidR="005923C4" w:rsidRPr="005923C4" w:rsidRDefault="005923C4" w:rsidP="005923C4">
            <w:pPr>
              <w:spacing w:after="0"/>
              <w:jc w:val="center"/>
              <w:rPr>
                <w:rFonts w:eastAsia="Calibri"/>
                <w:bCs/>
                <w:lang w:eastAsia="lv-LV"/>
              </w:rPr>
            </w:pPr>
            <w:r w:rsidRPr="005923C4">
              <w:rPr>
                <w:rFonts w:eastAsia="Calibri"/>
                <w:bCs/>
                <w:lang w:eastAsia="lv-LV"/>
              </w:rPr>
              <w:t>6</w:t>
            </w:r>
          </w:p>
        </w:tc>
      </w:tr>
      <w:tr w:rsidR="005923C4" w:rsidRPr="005923C4" w14:paraId="1FEAC0C8" w14:textId="77777777" w:rsidTr="005923C4">
        <w:trPr>
          <w:jc w:val="center"/>
        </w:trPr>
        <w:tc>
          <w:tcPr>
            <w:tcW w:w="1295" w:type="dxa"/>
          </w:tcPr>
          <w:p w14:paraId="52D587E4" w14:textId="77777777" w:rsidR="005923C4" w:rsidRPr="005923C4" w:rsidRDefault="005923C4" w:rsidP="005923C4">
            <w:pPr>
              <w:spacing w:after="0"/>
              <w:jc w:val="both"/>
              <w:rPr>
                <w:rFonts w:eastAsia="Calibri"/>
                <w:i/>
                <w:lang w:eastAsia="lv-LV"/>
              </w:rPr>
            </w:pPr>
            <w:r w:rsidRPr="005923C4">
              <w:rPr>
                <w:rFonts w:eastAsia="Calibri"/>
                <w:lang w:eastAsia="lv-LV"/>
              </w:rPr>
              <w:t>1. Budžeta ieņēmumi:</w:t>
            </w:r>
          </w:p>
        </w:tc>
        <w:tc>
          <w:tcPr>
            <w:tcW w:w="1187" w:type="dxa"/>
          </w:tcPr>
          <w:p w14:paraId="64CB2685" w14:textId="77777777" w:rsidR="005923C4" w:rsidRPr="005923C4" w:rsidRDefault="005923C4" w:rsidP="005923C4">
            <w:pPr>
              <w:spacing w:after="0"/>
              <w:jc w:val="center"/>
              <w:rPr>
                <w:rFonts w:eastAsia="Calibri"/>
                <w:b/>
                <w:lang w:eastAsia="lv-LV"/>
              </w:rPr>
            </w:pPr>
            <w:r w:rsidRPr="005923C4">
              <w:rPr>
                <w:rFonts w:eastAsia="Calibri"/>
                <w:b/>
                <w:lang w:eastAsia="lv-LV"/>
              </w:rPr>
              <w:t>0</w:t>
            </w:r>
          </w:p>
        </w:tc>
        <w:tc>
          <w:tcPr>
            <w:tcW w:w="1484" w:type="dxa"/>
          </w:tcPr>
          <w:p w14:paraId="60919D59" w14:textId="77777777" w:rsidR="005923C4" w:rsidRPr="005923C4" w:rsidRDefault="005923C4" w:rsidP="005923C4">
            <w:pPr>
              <w:spacing w:after="0"/>
              <w:jc w:val="center"/>
              <w:rPr>
                <w:rFonts w:eastAsia="Calibri"/>
                <w:b/>
                <w:lang w:eastAsia="lv-LV"/>
              </w:rPr>
            </w:pPr>
            <w:r w:rsidRPr="005923C4">
              <w:rPr>
                <w:rFonts w:eastAsia="Calibri"/>
                <w:b/>
                <w:lang w:eastAsia="lv-LV"/>
              </w:rPr>
              <w:t>0</w:t>
            </w:r>
          </w:p>
        </w:tc>
        <w:tc>
          <w:tcPr>
            <w:tcW w:w="1482" w:type="dxa"/>
          </w:tcPr>
          <w:p w14:paraId="4D4E41CA" w14:textId="77777777" w:rsidR="005923C4" w:rsidRPr="005923C4" w:rsidRDefault="005923C4" w:rsidP="005923C4">
            <w:pPr>
              <w:spacing w:after="0"/>
              <w:jc w:val="center"/>
              <w:rPr>
                <w:rFonts w:eastAsia="Calibri"/>
                <w:b/>
                <w:i/>
                <w:lang w:eastAsia="lv-LV"/>
              </w:rPr>
            </w:pPr>
            <w:r w:rsidRPr="005923C4">
              <w:rPr>
                <w:rFonts w:eastAsia="Calibri"/>
                <w:b/>
                <w:lang w:eastAsia="lv-LV"/>
              </w:rPr>
              <w:t>0</w:t>
            </w:r>
          </w:p>
        </w:tc>
        <w:tc>
          <w:tcPr>
            <w:tcW w:w="1482" w:type="dxa"/>
          </w:tcPr>
          <w:p w14:paraId="4E3EAFC8" w14:textId="77777777" w:rsidR="005923C4" w:rsidRPr="005923C4" w:rsidRDefault="005923C4" w:rsidP="005923C4">
            <w:pPr>
              <w:spacing w:after="0"/>
              <w:jc w:val="center"/>
              <w:rPr>
                <w:rFonts w:eastAsia="Calibri"/>
                <w:b/>
                <w:i/>
                <w:lang w:eastAsia="lv-LV"/>
              </w:rPr>
            </w:pPr>
            <w:r w:rsidRPr="005923C4">
              <w:rPr>
                <w:rFonts w:eastAsia="Calibri"/>
                <w:b/>
                <w:lang w:eastAsia="lv-LV"/>
              </w:rPr>
              <w:t>0</w:t>
            </w:r>
          </w:p>
        </w:tc>
        <w:tc>
          <w:tcPr>
            <w:tcW w:w="2126" w:type="dxa"/>
          </w:tcPr>
          <w:p w14:paraId="55EA7DD9" w14:textId="77777777" w:rsidR="005923C4" w:rsidRPr="005923C4" w:rsidRDefault="005923C4" w:rsidP="005923C4">
            <w:pPr>
              <w:spacing w:after="0"/>
              <w:jc w:val="center"/>
              <w:rPr>
                <w:rFonts w:eastAsia="Calibri"/>
                <w:b/>
                <w:i/>
                <w:lang w:eastAsia="lv-LV"/>
              </w:rPr>
            </w:pPr>
            <w:r w:rsidRPr="005923C4">
              <w:rPr>
                <w:rFonts w:eastAsia="Calibri"/>
                <w:b/>
                <w:lang w:eastAsia="lv-LV"/>
              </w:rPr>
              <w:t>0</w:t>
            </w:r>
          </w:p>
        </w:tc>
      </w:tr>
      <w:tr w:rsidR="005923C4" w:rsidRPr="005923C4" w14:paraId="0595D97E" w14:textId="77777777" w:rsidTr="005923C4">
        <w:trPr>
          <w:trHeight w:val="1403"/>
          <w:jc w:val="center"/>
        </w:trPr>
        <w:tc>
          <w:tcPr>
            <w:tcW w:w="1295" w:type="dxa"/>
          </w:tcPr>
          <w:p w14:paraId="0BF26F0F" w14:textId="77777777" w:rsidR="005923C4" w:rsidRPr="005923C4" w:rsidRDefault="005923C4" w:rsidP="005923C4">
            <w:pPr>
              <w:spacing w:after="0"/>
              <w:jc w:val="both"/>
              <w:rPr>
                <w:rFonts w:eastAsia="Calibri"/>
                <w:i/>
                <w:lang w:eastAsia="lv-LV"/>
              </w:rPr>
            </w:pPr>
            <w:r w:rsidRPr="005923C4">
              <w:rPr>
                <w:rFonts w:eastAsia="Calibri"/>
                <w:lang w:eastAsia="lv-LV"/>
              </w:rPr>
              <w:t>1.1. valsts pamatbudžets, tai skaitā ieņēmumi no maksas pakalpojumiem un citi pašu ieņēmumi</w:t>
            </w:r>
          </w:p>
        </w:tc>
        <w:tc>
          <w:tcPr>
            <w:tcW w:w="1187" w:type="dxa"/>
          </w:tcPr>
          <w:p w14:paraId="6E9B40FA" w14:textId="77777777" w:rsidR="005923C4" w:rsidRPr="005923C4" w:rsidRDefault="005923C4" w:rsidP="005923C4">
            <w:pPr>
              <w:spacing w:after="0"/>
              <w:jc w:val="center"/>
              <w:rPr>
                <w:rFonts w:eastAsia="Calibri"/>
                <w:i/>
                <w:lang w:eastAsia="lv-LV"/>
              </w:rPr>
            </w:pPr>
          </w:p>
          <w:p w14:paraId="5518AF4E" w14:textId="77777777" w:rsidR="005923C4" w:rsidRPr="005923C4" w:rsidRDefault="005923C4" w:rsidP="005923C4">
            <w:pPr>
              <w:spacing w:after="0"/>
              <w:jc w:val="center"/>
              <w:rPr>
                <w:rFonts w:eastAsia="Calibri"/>
                <w:i/>
                <w:lang w:eastAsia="lv-LV"/>
              </w:rPr>
            </w:pPr>
          </w:p>
          <w:p w14:paraId="2F0A202C" w14:textId="77777777" w:rsidR="005923C4" w:rsidRPr="005923C4" w:rsidRDefault="005923C4" w:rsidP="005923C4">
            <w:pPr>
              <w:spacing w:after="0"/>
              <w:jc w:val="center"/>
              <w:rPr>
                <w:rFonts w:eastAsia="Calibri"/>
                <w:lang w:eastAsia="lv-LV"/>
              </w:rPr>
            </w:pPr>
            <w:r w:rsidRPr="005923C4">
              <w:rPr>
                <w:rFonts w:eastAsia="Calibri"/>
                <w:lang w:eastAsia="lv-LV"/>
              </w:rPr>
              <w:t>0</w:t>
            </w:r>
          </w:p>
        </w:tc>
        <w:tc>
          <w:tcPr>
            <w:tcW w:w="1484" w:type="dxa"/>
          </w:tcPr>
          <w:p w14:paraId="328113D9" w14:textId="77777777" w:rsidR="005923C4" w:rsidRPr="005923C4" w:rsidRDefault="005923C4" w:rsidP="005923C4">
            <w:pPr>
              <w:spacing w:after="0"/>
              <w:jc w:val="center"/>
              <w:rPr>
                <w:rFonts w:eastAsia="Times New Roman"/>
                <w:i/>
                <w:lang w:eastAsia="lv-LV"/>
              </w:rPr>
            </w:pPr>
          </w:p>
          <w:p w14:paraId="1CE339D6" w14:textId="77777777" w:rsidR="005923C4" w:rsidRPr="005923C4" w:rsidRDefault="005923C4" w:rsidP="005923C4">
            <w:pPr>
              <w:spacing w:after="0"/>
              <w:jc w:val="center"/>
              <w:rPr>
                <w:rFonts w:eastAsia="Times New Roman"/>
                <w:i/>
                <w:lang w:eastAsia="lv-LV"/>
              </w:rPr>
            </w:pPr>
          </w:p>
          <w:p w14:paraId="542E7D97"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tcPr>
          <w:p w14:paraId="1694E233" w14:textId="77777777" w:rsidR="005923C4" w:rsidRPr="005923C4" w:rsidRDefault="005923C4" w:rsidP="005923C4">
            <w:pPr>
              <w:spacing w:after="0"/>
              <w:jc w:val="center"/>
              <w:rPr>
                <w:rFonts w:eastAsia="Times New Roman"/>
                <w:i/>
                <w:lang w:eastAsia="lv-LV"/>
              </w:rPr>
            </w:pPr>
          </w:p>
          <w:p w14:paraId="68B677EC" w14:textId="77777777" w:rsidR="005923C4" w:rsidRPr="005923C4" w:rsidRDefault="005923C4" w:rsidP="005923C4">
            <w:pPr>
              <w:spacing w:after="0"/>
              <w:jc w:val="center"/>
              <w:rPr>
                <w:rFonts w:eastAsia="Times New Roman"/>
                <w:lang w:eastAsia="lv-LV"/>
              </w:rPr>
            </w:pPr>
          </w:p>
          <w:p w14:paraId="3B2377D2"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tcPr>
          <w:p w14:paraId="5AB87A05" w14:textId="77777777" w:rsidR="005923C4" w:rsidRPr="005923C4" w:rsidRDefault="005923C4" w:rsidP="005923C4">
            <w:pPr>
              <w:spacing w:after="0"/>
              <w:jc w:val="center"/>
              <w:rPr>
                <w:rFonts w:eastAsia="Times New Roman"/>
                <w:lang w:eastAsia="lv-LV"/>
              </w:rPr>
            </w:pPr>
          </w:p>
          <w:p w14:paraId="722DFDA3" w14:textId="77777777" w:rsidR="005923C4" w:rsidRPr="005923C4" w:rsidRDefault="005923C4" w:rsidP="005923C4">
            <w:pPr>
              <w:spacing w:after="0"/>
              <w:jc w:val="center"/>
              <w:rPr>
                <w:rFonts w:eastAsia="Times New Roman"/>
                <w:lang w:eastAsia="lv-LV"/>
              </w:rPr>
            </w:pPr>
          </w:p>
          <w:p w14:paraId="69683EAA"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2126" w:type="dxa"/>
          </w:tcPr>
          <w:p w14:paraId="5F38E1B0" w14:textId="77777777" w:rsidR="005923C4" w:rsidRPr="005923C4" w:rsidRDefault="005923C4" w:rsidP="005923C4">
            <w:pPr>
              <w:spacing w:after="0"/>
              <w:jc w:val="center"/>
              <w:rPr>
                <w:rFonts w:eastAsia="Times New Roman"/>
                <w:lang w:eastAsia="lv-LV"/>
              </w:rPr>
            </w:pPr>
          </w:p>
          <w:p w14:paraId="2437064A" w14:textId="77777777" w:rsidR="005923C4" w:rsidRPr="005923C4" w:rsidRDefault="005923C4" w:rsidP="005923C4">
            <w:pPr>
              <w:spacing w:after="0"/>
              <w:jc w:val="center"/>
              <w:rPr>
                <w:rFonts w:eastAsia="Times New Roman"/>
                <w:lang w:eastAsia="lv-LV"/>
              </w:rPr>
            </w:pPr>
          </w:p>
          <w:p w14:paraId="6DF90731"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r>
      <w:tr w:rsidR="005923C4" w:rsidRPr="005923C4" w14:paraId="7D025240" w14:textId="77777777" w:rsidTr="005923C4">
        <w:trPr>
          <w:jc w:val="center"/>
        </w:trPr>
        <w:tc>
          <w:tcPr>
            <w:tcW w:w="1295" w:type="dxa"/>
          </w:tcPr>
          <w:p w14:paraId="60C55F75" w14:textId="77777777" w:rsidR="005923C4" w:rsidRPr="005923C4" w:rsidRDefault="005923C4" w:rsidP="005923C4">
            <w:pPr>
              <w:spacing w:after="0"/>
              <w:jc w:val="both"/>
              <w:rPr>
                <w:rFonts w:eastAsia="Calibri"/>
                <w:i/>
                <w:lang w:eastAsia="lv-LV"/>
              </w:rPr>
            </w:pPr>
            <w:r w:rsidRPr="005923C4">
              <w:rPr>
                <w:rFonts w:eastAsia="Calibri"/>
                <w:lang w:eastAsia="lv-LV"/>
              </w:rPr>
              <w:t>1.2. valsts speciālais budžets</w:t>
            </w:r>
          </w:p>
        </w:tc>
        <w:tc>
          <w:tcPr>
            <w:tcW w:w="1187" w:type="dxa"/>
            <w:vAlign w:val="center"/>
          </w:tcPr>
          <w:p w14:paraId="0EEBFD8C"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4" w:type="dxa"/>
            <w:vAlign w:val="center"/>
          </w:tcPr>
          <w:p w14:paraId="0E6AA8DF"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2CDD31A7"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3CC6A7D0"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2126" w:type="dxa"/>
            <w:vAlign w:val="center"/>
          </w:tcPr>
          <w:p w14:paraId="2C20AFBB"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r>
      <w:tr w:rsidR="005923C4" w:rsidRPr="005923C4" w14:paraId="2341F2EA" w14:textId="77777777" w:rsidTr="005923C4">
        <w:trPr>
          <w:jc w:val="center"/>
        </w:trPr>
        <w:tc>
          <w:tcPr>
            <w:tcW w:w="1295" w:type="dxa"/>
          </w:tcPr>
          <w:p w14:paraId="5D1A5FBA" w14:textId="77777777" w:rsidR="005923C4" w:rsidRPr="005923C4" w:rsidRDefault="005923C4" w:rsidP="005923C4">
            <w:pPr>
              <w:spacing w:after="0"/>
              <w:jc w:val="both"/>
              <w:rPr>
                <w:rFonts w:eastAsia="Calibri"/>
                <w:i/>
                <w:lang w:eastAsia="lv-LV"/>
              </w:rPr>
            </w:pPr>
            <w:r w:rsidRPr="005923C4">
              <w:rPr>
                <w:rFonts w:eastAsia="Calibri"/>
                <w:lang w:eastAsia="lv-LV"/>
              </w:rPr>
              <w:t>1.3. pašvaldību budžets</w:t>
            </w:r>
          </w:p>
        </w:tc>
        <w:tc>
          <w:tcPr>
            <w:tcW w:w="1187" w:type="dxa"/>
            <w:vAlign w:val="center"/>
          </w:tcPr>
          <w:p w14:paraId="57D753C9"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4" w:type="dxa"/>
            <w:vAlign w:val="center"/>
          </w:tcPr>
          <w:p w14:paraId="7AB63177"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3A948E34"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702030FD"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2126" w:type="dxa"/>
            <w:vAlign w:val="center"/>
          </w:tcPr>
          <w:p w14:paraId="1E043A6C"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r>
      <w:tr w:rsidR="005923C4" w:rsidRPr="005923C4" w14:paraId="5507513C" w14:textId="77777777" w:rsidTr="005923C4">
        <w:trPr>
          <w:jc w:val="center"/>
        </w:trPr>
        <w:tc>
          <w:tcPr>
            <w:tcW w:w="1295" w:type="dxa"/>
          </w:tcPr>
          <w:p w14:paraId="3410BEE5" w14:textId="77777777" w:rsidR="005923C4" w:rsidRPr="005923C4" w:rsidRDefault="005923C4" w:rsidP="005923C4">
            <w:pPr>
              <w:spacing w:after="0"/>
              <w:rPr>
                <w:rFonts w:eastAsia="Times New Roman"/>
                <w:lang w:eastAsia="lv-LV"/>
              </w:rPr>
            </w:pPr>
            <w:r w:rsidRPr="005923C4">
              <w:rPr>
                <w:rFonts w:eastAsia="Times New Roman"/>
                <w:lang w:eastAsia="lv-LV"/>
              </w:rPr>
              <w:t>2. Budžeta izdevumi:</w:t>
            </w:r>
          </w:p>
        </w:tc>
        <w:tc>
          <w:tcPr>
            <w:tcW w:w="1187" w:type="dxa"/>
          </w:tcPr>
          <w:p w14:paraId="01782067" w14:textId="77777777" w:rsidR="005923C4" w:rsidRPr="005923C4" w:rsidRDefault="005923C4" w:rsidP="005923C4">
            <w:pPr>
              <w:spacing w:after="0"/>
              <w:jc w:val="center"/>
              <w:rPr>
                <w:rFonts w:eastAsia="Calibri"/>
                <w:b/>
                <w:lang w:eastAsia="lv-LV"/>
              </w:rPr>
            </w:pPr>
            <w:r w:rsidRPr="005923C4">
              <w:rPr>
                <w:rFonts w:eastAsia="Calibri"/>
                <w:b/>
                <w:lang w:eastAsia="lv-LV"/>
              </w:rPr>
              <w:t>0</w:t>
            </w:r>
          </w:p>
        </w:tc>
        <w:tc>
          <w:tcPr>
            <w:tcW w:w="1484" w:type="dxa"/>
          </w:tcPr>
          <w:p w14:paraId="787FAE49" w14:textId="77777777" w:rsidR="005923C4" w:rsidRPr="005923C4" w:rsidRDefault="005923C4" w:rsidP="005923C4">
            <w:pPr>
              <w:spacing w:after="0"/>
              <w:jc w:val="center"/>
              <w:rPr>
                <w:rFonts w:eastAsia="Calibri"/>
                <w:b/>
                <w:lang w:eastAsia="lv-LV"/>
              </w:rPr>
            </w:pPr>
            <w:r w:rsidRPr="005923C4">
              <w:rPr>
                <w:rFonts w:eastAsia="Calibri"/>
                <w:b/>
                <w:lang w:eastAsia="lv-LV"/>
              </w:rPr>
              <w:t>0</w:t>
            </w:r>
          </w:p>
        </w:tc>
        <w:tc>
          <w:tcPr>
            <w:tcW w:w="1482" w:type="dxa"/>
          </w:tcPr>
          <w:p w14:paraId="554E206E" w14:textId="77777777" w:rsidR="005923C4" w:rsidRPr="005923C4" w:rsidRDefault="005923C4" w:rsidP="005923C4">
            <w:pPr>
              <w:spacing w:after="0"/>
              <w:jc w:val="center"/>
              <w:rPr>
                <w:rFonts w:eastAsia="Calibri"/>
                <w:b/>
                <w:i/>
                <w:lang w:eastAsia="lv-LV"/>
              </w:rPr>
            </w:pPr>
            <w:r w:rsidRPr="005923C4">
              <w:rPr>
                <w:rFonts w:eastAsia="Calibri"/>
                <w:b/>
                <w:lang w:eastAsia="lv-LV"/>
              </w:rPr>
              <w:t>85 945,2</w:t>
            </w:r>
          </w:p>
        </w:tc>
        <w:tc>
          <w:tcPr>
            <w:tcW w:w="1482" w:type="dxa"/>
          </w:tcPr>
          <w:p w14:paraId="313EEF5B" w14:textId="77777777" w:rsidR="005923C4" w:rsidRPr="005923C4" w:rsidRDefault="005923C4" w:rsidP="005923C4">
            <w:pPr>
              <w:spacing w:after="0"/>
              <w:jc w:val="center"/>
              <w:rPr>
                <w:rFonts w:eastAsia="Calibri"/>
                <w:b/>
                <w:i/>
                <w:lang w:eastAsia="lv-LV"/>
              </w:rPr>
            </w:pPr>
            <w:r w:rsidRPr="005923C4">
              <w:rPr>
                <w:rFonts w:eastAsia="Calibri"/>
                <w:b/>
                <w:lang w:eastAsia="lv-LV"/>
              </w:rPr>
              <w:t>79 865,2</w:t>
            </w:r>
          </w:p>
        </w:tc>
        <w:tc>
          <w:tcPr>
            <w:tcW w:w="2126" w:type="dxa"/>
          </w:tcPr>
          <w:p w14:paraId="56715644" w14:textId="77777777" w:rsidR="005923C4" w:rsidRPr="005923C4" w:rsidRDefault="005923C4" w:rsidP="005923C4">
            <w:pPr>
              <w:spacing w:after="0"/>
              <w:jc w:val="center"/>
              <w:rPr>
                <w:rFonts w:eastAsia="Calibri"/>
                <w:b/>
                <w:i/>
                <w:lang w:eastAsia="lv-LV"/>
              </w:rPr>
            </w:pPr>
            <w:r w:rsidRPr="005923C4">
              <w:rPr>
                <w:rFonts w:eastAsia="Calibri"/>
                <w:b/>
                <w:lang w:eastAsia="lv-LV"/>
              </w:rPr>
              <w:t>79 865,2</w:t>
            </w:r>
          </w:p>
        </w:tc>
      </w:tr>
      <w:tr w:rsidR="005923C4" w:rsidRPr="005923C4" w14:paraId="0CCCCAC8" w14:textId="77777777" w:rsidTr="005923C4">
        <w:trPr>
          <w:jc w:val="center"/>
        </w:trPr>
        <w:tc>
          <w:tcPr>
            <w:tcW w:w="1295" w:type="dxa"/>
          </w:tcPr>
          <w:p w14:paraId="14C43F2B" w14:textId="77777777" w:rsidR="005923C4" w:rsidRPr="005923C4" w:rsidRDefault="005923C4" w:rsidP="005923C4">
            <w:pPr>
              <w:spacing w:after="0"/>
              <w:rPr>
                <w:rFonts w:eastAsia="Times New Roman"/>
                <w:lang w:eastAsia="lv-LV"/>
              </w:rPr>
            </w:pPr>
            <w:r w:rsidRPr="005923C4">
              <w:rPr>
                <w:rFonts w:eastAsia="Times New Roman"/>
                <w:lang w:eastAsia="lv-LV"/>
              </w:rPr>
              <w:t>2.1. valsts pamatbudžets</w:t>
            </w:r>
          </w:p>
        </w:tc>
        <w:tc>
          <w:tcPr>
            <w:tcW w:w="1187" w:type="dxa"/>
          </w:tcPr>
          <w:p w14:paraId="47B81C54" w14:textId="77777777" w:rsidR="005923C4" w:rsidRPr="005923C4" w:rsidRDefault="005923C4" w:rsidP="005923C4">
            <w:pPr>
              <w:spacing w:after="0"/>
              <w:jc w:val="center"/>
              <w:rPr>
                <w:rFonts w:eastAsia="Calibri"/>
                <w:lang w:eastAsia="lv-LV"/>
              </w:rPr>
            </w:pPr>
            <w:r w:rsidRPr="005923C4">
              <w:rPr>
                <w:rFonts w:eastAsia="Calibri"/>
                <w:lang w:eastAsia="lv-LV"/>
              </w:rPr>
              <w:t>0</w:t>
            </w:r>
          </w:p>
        </w:tc>
        <w:tc>
          <w:tcPr>
            <w:tcW w:w="1484" w:type="dxa"/>
          </w:tcPr>
          <w:p w14:paraId="7D2395D5" w14:textId="77777777" w:rsidR="005923C4" w:rsidRPr="005923C4" w:rsidRDefault="005923C4" w:rsidP="005923C4">
            <w:pPr>
              <w:spacing w:after="0"/>
              <w:jc w:val="center"/>
              <w:rPr>
                <w:rFonts w:eastAsia="Calibri"/>
                <w:lang w:eastAsia="lv-LV"/>
              </w:rPr>
            </w:pPr>
            <w:r w:rsidRPr="005923C4">
              <w:rPr>
                <w:rFonts w:eastAsia="Calibri"/>
                <w:lang w:eastAsia="lv-LV"/>
              </w:rPr>
              <w:t>0</w:t>
            </w:r>
          </w:p>
        </w:tc>
        <w:tc>
          <w:tcPr>
            <w:tcW w:w="1482" w:type="dxa"/>
            <w:vAlign w:val="center"/>
          </w:tcPr>
          <w:p w14:paraId="59380BFB" w14:textId="77777777" w:rsidR="005923C4" w:rsidRPr="005923C4" w:rsidRDefault="005923C4" w:rsidP="005923C4">
            <w:pPr>
              <w:spacing w:after="0"/>
              <w:jc w:val="center"/>
              <w:rPr>
                <w:rFonts w:eastAsia="Calibri"/>
                <w:lang w:eastAsia="lv-LV"/>
              </w:rPr>
            </w:pPr>
            <w:r w:rsidRPr="005923C4">
              <w:rPr>
                <w:rFonts w:eastAsia="Calibri"/>
                <w:lang w:eastAsia="lv-LV"/>
              </w:rPr>
              <w:t>85 945,2</w:t>
            </w:r>
          </w:p>
        </w:tc>
        <w:tc>
          <w:tcPr>
            <w:tcW w:w="1482" w:type="dxa"/>
            <w:vAlign w:val="center"/>
          </w:tcPr>
          <w:p w14:paraId="563082E9" w14:textId="77777777" w:rsidR="005923C4" w:rsidRPr="005923C4" w:rsidRDefault="005923C4" w:rsidP="005923C4">
            <w:pPr>
              <w:spacing w:after="0"/>
              <w:jc w:val="center"/>
              <w:rPr>
                <w:rFonts w:eastAsia="Times New Roman"/>
                <w:lang w:eastAsia="lv-LV"/>
              </w:rPr>
            </w:pPr>
            <w:r w:rsidRPr="005923C4">
              <w:rPr>
                <w:rFonts w:eastAsia="Calibri"/>
                <w:lang w:eastAsia="lv-LV"/>
              </w:rPr>
              <w:t>79 865,2</w:t>
            </w:r>
          </w:p>
        </w:tc>
        <w:tc>
          <w:tcPr>
            <w:tcW w:w="2126" w:type="dxa"/>
            <w:vAlign w:val="center"/>
          </w:tcPr>
          <w:p w14:paraId="1E1AFF9C" w14:textId="77777777" w:rsidR="005923C4" w:rsidRPr="005923C4" w:rsidRDefault="005923C4" w:rsidP="005923C4">
            <w:pPr>
              <w:spacing w:after="0"/>
              <w:jc w:val="center"/>
              <w:rPr>
                <w:rFonts w:eastAsia="Times New Roman"/>
                <w:lang w:eastAsia="lv-LV"/>
              </w:rPr>
            </w:pPr>
            <w:r w:rsidRPr="005923C4">
              <w:rPr>
                <w:rFonts w:eastAsia="Calibri"/>
                <w:lang w:eastAsia="lv-LV"/>
              </w:rPr>
              <w:t>79 865,2</w:t>
            </w:r>
          </w:p>
        </w:tc>
      </w:tr>
      <w:tr w:rsidR="005923C4" w:rsidRPr="005923C4" w14:paraId="0E4AE761" w14:textId="77777777" w:rsidTr="005923C4">
        <w:trPr>
          <w:jc w:val="center"/>
        </w:trPr>
        <w:tc>
          <w:tcPr>
            <w:tcW w:w="1295" w:type="dxa"/>
          </w:tcPr>
          <w:p w14:paraId="278C1C98" w14:textId="77777777" w:rsidR="005923C4" w:rsidRPr="005923C4" w:rsidRDefault="005923C4" w:rsidP="005923C4">
            <w:pPr>
              <w:spacing w:after="0"/>
              <w:rPr>
                <w:rFonts w:eastAsia="Times New Roman"/>
                <w:lang w:eastAsia="lv-LV"/>
              </w:rPr>
            </w:pPr>
            <w:r w:rsidRPr="005923C4">
              <w:rPr>
                <w:rFonts w:eastAsia="Times New Roman"/>
                <w:lang w:eastAsia="lv-LV"/>
              </w:rPr>
              <w:t>2.2. valsts speciālais budžets</w:t>
            </w:r>
          </w:p>
        </w:tc>
        <w:tc>
          <w:tcPr>
            <w:tcW w:w="1187" w:type="dxa"/>
            <w:vAlign w:val="center"/>
          </w:tcPr>
          <w:p w14:paraId="4531C710"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4" w:type="dxa"/>
            <w:vAlign w:val="center"/>
          </w:tcPr>
          <w:p w14:paraId="21AE9478"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41828966"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47DDE4AC"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2126" w:type="dxa"/>
            <w:vAlign w:val="center"/>
          </w:tcPr>
          <w:p w14:paraId="269A736D"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r>
      <w:tr w:rsidR="005923C4" w:rsidRPr="005923C4" w14:paraId="3D6102D5" w14:textId="77777777" w:rsidTr="005923C4">
        <w:trPr>
          <w:jc w:val="center"/>
        </w:trPr>
        <w:tc>
          <w:tcPr>
            <w:tcW w:w="1295" w:type="dxa"/>
          </w:tcPr>
          <w:p w14:paraId="6A9B325A" w14:textId="77777777" w:rsidR="005923C4" w:rsidRPr="005923C4" w:rsidRDefault="005923C4" w:rsidP="005923C4">
            <w:pPr>
              <w:spacing w:after="0"/>
              <w:rPr>
                <w:rFonts w:eastAsia="Times New Roman"/>
                <w:lang w:eastAsia="lv-LV"/>
              </w:rPr>
            </w:pPr>
            <w:r w:rsidRPr="005923C4">
              <w:rPr>
                <w:rFonts w:eastAsia="Times New Roman"/>
                <w:lang w:eastAsia="lv-LV"/>
              </w:rPr>
              <w:t xml:space="preserve">2.3. pašvaldību budžets </w:t>
            </w:r>
          </w:p>
        </w:tc>
        <w:tc>
          <w:tcPr>
            <w:tcW w:w="1187" w:type="dxa"/>
            <w:vAlign w:val="center"/>
          </w:tcPr>
          <w:p w14:paraId="5EE796C9"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4" w:type="dxa"/>
            <w:vAlign w:val="center"/>
          </w:tcPr>
          <w:p w14:paraId="75909307"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466576F8"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3D91D2A6"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2126" w:type="dxa"/>
            <w:vAlign w:val="center"/>
          </w:tcPr>
          <w:p w14:paraId="1E4AF9E2"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r>
      <w:tr w:rsidR="005923C4" w:rsidRPr="005923C4" w14:paraId="2F7BFD8A" w14:textId="77777777" w:rsidTr="005923C4">
        <w:trPr>
          <w:jc w:val="center"/>
        </w:trPr>
        <w:tc>
          <w:tcPr>
            <w:tcW w:w="1295" w:type="dxa"/>
          </w:tcPr>
          <w:p w14:paraId="4DB673E7" w14:textId="77777777" w:rsidR="005923C4" w:rsidRPr="005923C4" w:rsidRDefault="005923C4" w:rsidP="005923C4">
            <w:pPr>
              <w:spacing w:after="0"/>
              <w:rPr>
                <w:rFonts w:eastAsia="Times New Roman"/>
                <w:lang w:eastAsia="lv-LV"/>
              </w:rPr>
            </w:pPr>
            <w:r w:rsidRPr="005923C4">
              <w:rPr>
                <w:rFonts w:eastAsia="Times New Roman"/>
                <w:lang w:eastAsia="lv-LV"/>
              </w:rPr>
              <w:t>3. Finansiālā ietekme:</w:t>
            </w:r>
          </w:p>
        </w:tc>
        <w:tc>
          <w:tcPr>
            <w:tcW w:w="1187" w:type="dxa"/>
            <w:shd w:val="clear" w:color="auto" w:fill="auto"/>
            <w:vAlign w:val="center"/>
          </w:tcPr>
          <w:p w14:paraId="6B894C8B" w14:textId="77777777" w:rsidR="005923C4" w:rsidRPr="005923C4" w:rsidRDefault="005923C4" w:rsidP="005923C4">
            <w:pPr>
              <w:spacing w:after="0"/>
              <w:jc w:val="center"/>
              <w:rPr>
                <w:rFonts w:eastAsia="Times New Roman"/>
                <w:b/>
                <w:lang w:eastAsia="lv-LV"/>
              </w:rPr>
            </w:pPr>
            <w:r w:rsidRPr="005923C4">
              <w:rPr>
                <w:rFonts w:eastAsia="Times New Roman"/>
                <w:b/>
                <w:lang w:eastAsia="lv-LV"/>
              </w:rPr>
              <w:t>0</w:t>
            </w:r>
          </w:p>
        </w:tc>
        <w:tc>
          <w:tcPr>
            <w:tcW w:w="1484" w:type="dxa"/>
            <w:vAlign w:val="center"/>
          </w:tcPr>
          <w:p w14:paraId="0D4A525B" w14:textId="77777777" w:rsidR="005923C4" w:rsidRPr="005923C4" w:rsidRDefault="005923C4" w:rsidP="005923C4">
            <w:pPr>
              <w:spacing w:after="0"/>
              <w:jc w:val="center"/>
              <w:rPr>
                <w:rFonts w:eastAsia="Times New Roman"/>
                <w:b/>
                <w:lang w:eastAsia="lv-LV"/>
              </w:rPr>
            </w:pPr>
            <w:r w:rsidRPr="005923C4">
              <w:rPr>
                <w:rFonts w:eastAsia="Times New Roman"/>
                <w:b/>
                <w:lang w:eastAsia="lv-LV"/>
              </w:rPr>
              <w:t>0</w:t>
            </w:r>
          </w:p>
        </w:tc>
        <w:tc>
          <w:tcPr>
            <w:tcW w:w="1482" w:type="dxa"/>
          </w:tcPr>
          <w:p w14:paraId="77462939" w14:textId="77777777" w:rsidR="005923C4" w:rsidRPr="005923C4" w:rsidRDefault="005923C4" w:rsidP="005923C4">
            <w:pPr>
              <w:spacing w:after="0"/>
              <w:jc w:val="center"/>
              <w:rPr>
                <w:rFonts w:eastAsia="Times New Roman"/>
                <w:b/>
                <w:lang w:eastAsia="lv-LV"/>
              </w:rPr>
            </w:pPr>
            <w:r w:rsidRPr="005923C4">
              <w:rPr>
                <w:rFonts w:eastAsia="Calibri"/>
                <w:b/>
                <w:lang w:eastAsia="lv-LV"/>
              </w:rPr>
              <w:t>- 85 945,2</w:t>
            </w:r>
          </w:p>
        </w:tc>
        <w:tc>
          <w:tcPr>
            <w:tcW w:w="1482" w:type="dxa"/>
          </w:tcPr>
          <w:p w14:paraId="59A86A70" w14:textId="77777777" w:rsidR="005923C4" w:rsidRPr="005923C4" w:rsidRDefault="005923C4" w:rsidP="005923C4">
            <w:pPr>
              <w:spacing w:after="0"/>
              <w:jc w:val="center"/>
              <w:rPr>
                <w:rFonts w:eastAsia="Times New Roman"/>
                <w:b/>
                <w:lang w:eastAsia="lv-LV"/>
              </w:rPr>
            </w:pPr>
            <w:r w:rsidRPr="005923C4">
              <w:rPr>
                <w:rFonts w:eastAsia="Calibri"/>
                <w:b/>
                <w:lang w:eastAsia="lv-LV"/>
              </w:rPr>
              <w:t>- 79 865,2</w:t>
            </w:r>
          </w:p>
        </w:tc>
        <w:tc>
          <w:tcPr>
            <w:tcW w:w="2126" w:type="dxa"/>
          </w:tcPr>
          <w:p w14:paraId="2D0838E9" w14:textId="77777777" w:rsidR="005923C4" w:rsidRPr="005923C4" w:rsidRDefault="005923C4" w:rsidP="005923C4">
            <w:pPr>
              <w:spacing w:after="0"/>
              <w:jc w:val="center"/>
              <w:rPr>
                <w:rFonts w:eastAsia="Times New Roman"/>
                <w:b/>
                <w:lang w:eastAsia="lv-LV"/>
              </w:rPr>
            </w:pPr>
            <w:r w:rsidRPr="005923C4">
              <w:rPr>
                <w:rFonts w:eastAsia="Calibri"/>
                <w:b/>
                <w:lang w:eastAsia="lv-LV"/>
              </w:rPr>
              <w:t>- 79 865,2</w:t>
            </w:r>
          </w:p>
        </w:tc>
      </w:tr>
      <w:tr w:rsidR="005923C4" w:rsidRPr="005923C4" w14:paraId="0D9ECE57" w14:textId="77777777" w:rsidTr="005923C4">
        <w:trPr>
          <w:jc w:val="center"/>
        </w:trPr>
        <w:tc>
          <w:tcPr>
            <w:tcW w:w="1295" w:type="dxa"/>
          </w:tcPr>
          <w:p w14:paraId="42BA6821" w14:textId="77777777" w:rsidR="005923C4" w:rsidRPr="005923C4" w:rsidRDefault="005923C4" w:rsidP="005923C4">
            <w:pPr>
              <w:spacing w:after="0"/>
              <w:rPr>
                <w:rFonts w:eastAsia="Times New Roman"/>
                <w:lang w:eastAsia="lv-LV"/>
              </w:rPr>
            </w:pPr>
            <w:r w:rsidRPr="005923C4">
              <w:rPr>
                <w:rFonts w:eastAsia="Times New Roman"/>
                <w:lang w:eastAsia="lv-LV"/>
              </w:rPr>
              <w:t>3.1. valsts pamatbudžets</w:t>
            </w:r>
          </w:p>
        </w:tc>
        <w:tc>
          <w:tcPr>
            <w:tcW w:w="1187" w:type="dxa"/>
            <w:shd w:val="clear" w:color="auto" w:fill="auto"/>
            <w:vAlign w:val="center"/>
          </w:tcPr>
          <w:p w14:paraId="0439A165"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4" w:type="dxa"/>
            <w:vAlign w:val="center"/>
          </w:tcPr>
          <w:p w14:paraId="31F14648"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1022008A" w14:textId="77777777" w:rsidR="005923C4" w:rsidRPr="005923C4" w:rsidRDefault="005923C4" w:rsidP="005923C4">
            <w:pPr>
              <w:spacing w:after="0"/>
              <w:jc w:val="center"/>
              <w:rPr>
                <w:rFonts w:eastAsia="Times New Roman"/>
                <w:lang w:eastAsia="lv-LV"/>
              </w:rPr>
            </w:pPr>
            <w:r w:rsidRPr="005923C4">
              <w:rPr>
                <w:rFonts w:eastAsia="Calibri"/>
                <w:lang w:eastAsia="lv-LV"/>
              </w:rPr>
              <w:t>- 85 945,2</w:t>
            </w:r>
          </w:p>
        </w:tc>
        <w:tc>
          <w:tcPr>
            <w:tcW w:w="1482" w:type="dxa"/>
            <w:vAlign w:val="center"/>
          </w:tcPr>
          <w:p w14:paraId="037B7372" w14:textId="77777777" w:rsidR="005923C4" w:rsidRPr="005923C4" w:rsidRDefault="005923C4" w:rsidP="005923C4">
            <w:pPr>
              <w:spacing w:after="0"/>
              <w:jc w:val="center"/>
              <w:rPr>
                <w:rFonts w:eastAsia="Times New Roman"/>
                <w:lang w:eastAsia="lv-LV"/>
              </w:rPr>
            </w:pPr>
            <w:r w:rsidRPr="005923C4">
              <w:rPr>
                <w:rFonts w:eastAsia="Calibri"/>
                <w:lang w:eastAsia="lv-LV"/>
              </w:rPr>
              <w:t>- 79 865,2</w:t>
            </w:r>
          </w:p>
        </w:tc>
        <w:tc>
          <w:tcPr>
            <w:tcW w:w="2126" w:type="dxa"/>
            <w:vAlign w:val="center"/>
          </w:tcPr>
          <w:p w14:paraId="32089091" w14:textId="77777777" w:rsidR="005923C4" w:rsidRPr="005923C4" w:rsidRDefault="005923C4" w:rsidP="005923C4">
            <w:pPr>
              <w:spacing w:after="0"/>
              <w:jc w:val="center"/>
              <w:rPr>
                <w:rFonts w:eastAsia="Times New Roman"/>
                <w:lang w:eastAsia="lv-LV"/>
              </w:rPr>
            </w:pPr>
            <w:r w:rsidRPr="005923C4">
              <w:rPr>
                <w:rFonts w:eastAsia="Calibri"/>
                <w:lang w:eastAsia="lv-LV"/>
              </w:rPr>
              <w:t>- 79 865,2</w:t>
            </w:r>
          </w:p>
        </w:tc>
      </w:tr>
      <w:tr w:rsidR="005923C4" w:rsidRPr="005923C4" w14:paraId="0AA420E4" w14:textId="77777777" w:rsidTr="005923C4">
        <w:trPr>
          <w:jc w:val="center"/>
        </w:trPr>
        <w:tc>
          <w:tcPr>
            <w:tcW w:w="1295" w:type="dxa"/>
          </w:tcPr>
          <w:p w14:paraId="205E93E8" w14:textId="77777777" w:rsidR="005923C4" w:rsidRPr="005923C4" w:rsidRDefault="005923C4" w:rsidP="005923C4">
            <w:pPr>
              <w:spacing w:after="0"/>
              <w:rPr>
                <w:rFonts w:eastAsia="Times New Roman"/>
                <w:lang w:eastAsia="lv-LV"/>
              </w:rPr>
            </w:pPr>
            <w:r w:rsidRPr="005923C4">
              <w:rPr>
                <w:rFonts w:eastAsia="Times New Roman"/>
                <w:lang w:eastAsia="lv-LV"/>
              </w:rPr>
              <w:t>3.2. speciālais budžets</w:t>
            </w:r>
          </w:p>
        </w:tc>
        <w:tc>
          <w:tcPr>
            <w:tcW w:w="1187" w:type="dxa"/>
            <w:shd w:val="clear" w:color="auto" w:fill="auto"/>
            <w:vAlign w:val="center"/>
          </w:tcPr>
          <w:p w14:paraId="675CFCE0"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4" w:type="dxa"/>
            <w:vAlign w:val="center"/>
          </w:tcPr>
          <w:p w14:paraId="755E1628"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3584F53E"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48C116FA"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2126" w:type="dxa"/>
            <w:vAlign w:val="center"/>
          </w:tcPr>
          <w:p w14:paraId="329B4B4A"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r>
      <w:tr w:rsidR="005923C4" w:rsidRPr="005923C4" w14:paraId="53826FCE" w14:textId="77777777" w:rsidTr="005923C4">
        <w:trPr>
          <w:jc w:val="center"/>
        </w:trPr>
        <w:tc>
          <w:tcPr>
            <w:tcW w:w="1295" w:type="dxa"/>
          </w:tcPr>
          <w:p w14:paraId="558E777C" w14:textId="77777777" w:rsidR="005923C4" w:rsidRPr="005923C4" w:rsidRDefault="005923C4" w:rsidP="005923C4">
            <w:pPr>
              <w:spacing w:after="0"/>
              <w:rPr>
                <w:rFonts w:eastAsia="Times New Roman"/>
                <w:lang w:eastAsia="lv-LV"/>
              </w:rPr>
            </w:pPr>
            <w:r w:rsidRPr="005923C4">
              <w:rPr>
                <w:rFonts w:eastAsia="Times New Roman"/>
                <w:lang w:eastAsia="lv-LV"/>
              </w:rPr>
              <w:t xml:space="preserve">3.3. pašvaldību budžets </w:t>
            </w:r>
          </w:p>
        </w:tc>
        <w:tc>
          <w:tcPr>
            <w:tcW w:w="1187" w:type="dxa"/>
            <w:shd w:val="clear" w:color="auto" w:fill="auto"/>
            <w:vAlign w:val="center"/>
          </w:tcPr>
          <w:p w14:paraId="558AB3C7"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4" w:type="dxa"/>
            <w:vAlign w:val="center"/>
          </w:tcPr>
          <w:p w14:paraId="451FAA11"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6ACC20AB"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340E3FCD"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2126" w:type="dxa"/>
            <w:vAlign w:val="center"/>
          </w:tcPr>
          <w:p w14:paraId="21B262BB"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r>
      <w:tr w:rsidR="005923C4" w:rsidRPr="005923C4" w14:paraId="11136DE1" w14:textId="77777777" w:rsidTr="005923C4">
        <w:trPr>
          <w:jc w:val="center"/>
        </w:trPr>
        <w:tc>
          <w:tcPr>
            <w:tcW w:w="1295" w:type="dxa"/>
            <w:vMerge w:val="restart"/>
          </w:tcPr>
          <w:p w14:paraId="4E0823CD" w14:textId="77777777" w:rsidR="005923C4" w:rsidRPr="005923C4" w:rsidRDefault="005923C4" w:rsidP="005923C4">
            <w:pPr>
              <w:spacing w:after="0"/>
              <w:rPr>
                <w:rFonts w:eastAsia="Times New Roman"/>
                <w:lang w:eastAsia="lv-LV"/>
              </w:rPr>
            </w:pPr>
            <w:r w:rsidRPr="005923C4">
              <w:rPr>
                <w:rFonts w:eastAsia="Times New Roman"/>
                <w:lang w:eastAsia="lv-LV"/>
              </w:rPr>
              <w:t>4. Finanšu līdzekļi papildu izde</w:t>
            </w:r>
            <w:r w:rsidRPr="005923C4">
              <w:rPr>
                <w:rFonts w:eastAsia="Times New Roman"/>
                <w:lang w:eastAsia="lv-LV"/>
              </w:rPr>
              <w:softHyphen/>
              <w:t>vumu finansēšanai (kompensē</w:t>
            </w:r>
            <w:r w:rsidRPr="005923C4">
              <w:rPr>
                <w:rFonts w:eastAsia="Times New Roman"/>
                <w:lang w:eastAsia="lv-LV"/>
              </w:rPr>
              <w:lastRenderedPageBreak/>
              <w:t>jošu izdevumu samazinājumu norāda ar "+" zīmi)</w:t>
            </w:r>
          </w:p>
        </w:tc>
        <w:tc>
          <w:tcPr>
            <w:tcW w:w="1187" w:type="dxa"/>
            <w:vMerge w:val="restart"/>
          </w:tcPr>
          <w:p w14:paraId="295253E1" w14:textId="77777777" w:rsidR="005923C4" w:rsidRPr="005923C4" w:rsidRDefault="005923C4" w:rsidP="005923C4">
            <w:pPr>
              <w:spacing w:after="0"/>
              <w:jc w:val="center"/>
              <w:rPr>
                <w:rFonts w:eastAsia="Calibri"/>
                <w:i/>
                <w:lang w:eastAsia="lv-LV"/>
              </w:rPr>
            </w:pPr>
            <w:r w:rsidRPr="005923C4">
              <w:rPr>
                <w:rFonts w:eastAsia="Calibri"/>
                <w:lang w:eastAsia="lv-LV"/>
              </w:rPr>
              <w:lastRenderedPageBreak/>
              <w:t>X</w:t>
            </w:r>
          </w:p>
        </w:tc>
        <w:tc>
          <w:tcPr>
            <w:tcW w:w="1484" w:type="dxa"/>
            <w:vAlign w:val="center"/>
          </w:tcPr>
          <w:p w14:paraId="5668A180" w14:textId="77777777" w:rsidR="005923C4" w:rsidRPr="005923C4" w:rsidRDefault="005923C4" w:rsidP="005923C4">
            <w:pPr>
              <w:spacing w:after="0"/>
              <w:jc w:val="center"/>
              <w:rPr>
                <w:rFonts w:eastAsia="Times New Roman"/>
                <w:b/>
                <w:lang w:eastAsia="lv-LV"/>
              </w:rPr>
            </w:pPr>
            <w:r w:rsidRPr="005923C4">
              <w:rPr>
                <w:rFonts w:eastAsia="Times New Roman"/>
                <w:b/>
                <w:lang w:eastAsia="lv-LV"/>
              </w:rPr>
              <w:t>0</w:t>
            </w:r>
          </w:p>
        </w:tc>
        <w:tc>
          <w:tcPr>
            <w:tcW w:w="1482" w:type="dxa"/>
            <w:vAlign w:val="center"/>
          </w:tcPr>
          <w:p w14:paraId="07087F46" w14:textId="77777777" w:rsidR="005923C4" w:rsidRPr="005923C4" w:rsidRDefault="005923C4" w:rsidP="005923C4">
            <w:pPr>
              <w:spacing w:after="0"/>
              <w:jc w:val="center"/>
              <w:rPr>
                <w:rFonts w:eastAsia="Times New Roman"/>
                <w:b/>
                <w:lang w:eastAsia="lv-LV"/>
              </w:rPr>
            </w:pPr>
            <w:r w:rsidRPr="005923C4">
              <w:rPr>
                <w:rFonts w:eastAsia="Times New Roman"/>
                <w:b/>
                <w:lang w:eastAsia="lv-LV"/>
              </w:rPr>
              <w:t>0</w:t>
            </w:r>
          </w:p>
        </w:tc>
        <w:tc>
          <w:tcPr>
            <w:tcW w:w="1482" w:type="dxa"/>
            <w:vAlign w:val="center"/>
          </w:tcPr>
          <w:p w14:paraId="6C0756C0" w14:textId="77777777" w:rsidR="005923C4" w:rsidRPr="005923C4" w:rsidRDefault="005923C4" w:rsidP="005923C4">
            <w:pPr>
              <w:spacing w:after="0"/>
              <w:jc w:val="center"/>
              <w:rPr>
                <w:rFonts w:eastAsia="Times New Roman"/>
                <w:b/>
                <w:lang w:eastAsia="lv-LV"/>
              </w:rPr>
            </w:pPr>
            <w:r w:rsidRPr="005923C4">
              <w:rPr>
                <w:rFonts w:eastAsia="Times New Roman"/>
                <w:b/>
                <w:lang w:eastAsia="lv-LV"/>
              </w:rPr>
              <w:t>0</w:t>
            </w:r>
          </w:p>
        </w:tc>
        <w:tc>
          <w:tcPr>
            <w:tcW w:w="2126" w:type="dxa"/>
            <w:vAlign w:val="center"/>
          </w:tcPr>
          <w:p w14:paraId="7097F809" w14:textId="77777777" w:rsidR="005923C4" w:rsidRPr="005923C4" w:rsidRDefault="005923C4" w:rsidP="005923C4">
            <w:pPr>
              <w:spacing w:after="0"/>
              <w:jc w:val="center"/>
              <w:rPr>
                <w:rFonts w:eastAsia="Times New Roman"/>
                <w:b/>
                <w:lang w:eastAsia="lv-LV"/>
              </w:rPr>
            </w:pPr>
            <w:r w:rsidRPr="005923C4">
              <w:rPr>
                <w:rFonts w:eastAsia="Times New Roman"/>
                <w:b/>
                <w:lang w:eastAsia="lv-LV"/>
              </w:rPr>
              <w:t>0</w:t>
            </w:r>
          </w:p>
        </w:tc>
      </w:tr>
      <w:tr w:rsidR="005923C4" w:rsidRPr="005923C4" w14:paraId="497D7761" w14:textId="77777777" w:rsidTr="005923C4">
        <w:trPr>
          <w:jc w:val="center"/>
        </w:trPr>
        <w:tc>
          <w:tcPr>
            <w:tcW w:w="1295" w:type="dxa"/>
            <w:vMerge/>
          </w:tcPr>
          <w:p w14:paraId="316B06EA" w14:textId="77777777" w:rsidR="005923C4" w:rsidRPr="005923C4" w:rsidRDefault="005923C4" w:rsidP="005923C4">
            <w:pPr>
              <w:spacing w:after="0"/>
              <w:rPr>
                <w:rFonts w:eastAsia="Times New Roman"/>
                <w:lang w:eastAsia="lv-LV"/>
              </w:rPr>
            </w:pPr>
          </w:p>
        </w:tc>
        <w:tc>
          <w:tcPr>
            <w:tcW w:w="1187" w:type="dxa"/>
            <w:vMerge/>
          </w:tcPr>
          <w:p w14:paraId="71F4FEFE" w14:textId="77777777" w:rsidR="005923C4" w:rsidRPr="005923C4" w:rsidRDefault="005923C4" w:rsidP="005923C4">
            <w:pPr>
              <w:spacing w:after="0"/>
              <w:jc w:val="center"/>
              <w:rPr>
                <w:rFonts w:eastAsia="Calibri"/>
                <w:i/>
                <w:lang w:eastAsia="lv-LV"/>
              </w:rPr>
            </w:pPr>
          </w:p>
        </w:tc>
        <w:tc>
          <w:tcPr>
            <w:tcW w:w="1484" w:type="dxa"/>
            <w:vAlign w:val="center"/>
          </w:tcPr>
          <w:p w14:paraId="5EE75B1F"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6C9F900C"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406609C1"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2126" w:type="dxa"/>
            <w:vAlign w:val="center"/>
          </w:tcPr>
          <w:p w14:paraId="25911272"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r>
      <w:tr w:rsidR="005923C4" w:rsidRPr="005923C4" w14:paraId="2B2B1F71" w14:textId="77777777" w:rsidTr="005923C4">
        <w:trPr>
          <w:trHeight w:val="735"/>
          <w:jc w:val="center"/>
        </w:trPr>
        <w:tc>
          <w:tcPr>
            <w:tcW w:w="1295" w:type="dxa"/>
            <w:vMerge/>
          </w:tcPr>
          <w:p w14:paraId="6D59A784" w14:textId="77777777" w:rsidR="005923C4" w:rsidRPr="005923C4" w:rsidRDefault="005923C4" w:rsidP="005923C4">
            <w:pPr>
              <w:spacing w:after="0"/>
              <w:rPr>
                <w:rFonts w:eastAsia="Times New Roman"/>
                <w:lang w:eastAsia="lv-LV"/>
              </w:rPr>
            </w:pPr>
          </w:p>
        </w:tc>
        <w:tc>
          <w:tcPr>
            <w:tcW w:w="1187" w:type="dxa"/>
            <w:vMerge/>
          </w:tcPr>
          <w:p w14:paraId="237C66A5" w14:textId="77777777" w:rsidR="005923C4" w:rsidRPr="005923C4" w:rsidRDefault="005923C4" w:rsidP="005923C4">
            <w:pPr>
              <w:spacing w:after="0"/>
              <w:jc w:val="center"/>
              <w:rPr>
                <w:rFonts w:eastAsia="Calibri"/>
                <w:i/>
                <w:lang w:eastAsia="lv-LV"/>
              </w:rPr>
            </w:pPr>
          </w:p>
        </w:tc>
        <w:tc>
          <w:tcPr>
            <w:tcW w:w="1484" w:type="dxa"/>
            <w:vAlign w:val="center"/>
          </w:tcPr>
          <w:p w14:paraId="767A8CCC"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56786B8A"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64C269AB"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2126" w:type="dxa"/>
            <w:vAlign w:val="center"/>
          </w:tcPr>
          <w:p w14:paraId="115CAB7A"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r>
      <w:tr w:rsidR="005923C4" w:rsidRPr="005923C4" w14:paraId="718A355F" w14:textId="77777777" w:rsidTr="005923C4">
        <w:trPr>
          <w:jc w:val="center"/>
        </w:trPr>
        <w:tc>
          <w:tcPr>
            <w:tcW w:w="1295" w:type="dxa"/>
          </w:tcPr>
          <w:p w14:paraId="30620DC4" w14:textId="77777777" w:rsidR="005923C4" w:rsidRPr="005923C4" w:rsidRDefault="005923C4" w:rsidP="005923C4">
            <w:pPr>
              <w:spacing w:after="0"/>
              <w:rPr>
                <w:rFonts w:eastAsia="Times New Roman"/>
                <w:lang w:eastAsia="lv-LV"/>
              </w:rPr>
            </w:pPr>
            <w:r w:rsidRPr="005923C4">
              <w:rPr>
                <w:rFonts w:eastAsia="Times New Roman"/>
                <w:lang w:eastAsia="lv-LV"/>
              </w:rPr>
              <w:t>5. Precizēta finansiālā ietekme:</w:t>
            </w:r>
          </w:p>
        </w:tc>
        <w:tc>
          <w:tcPr>
            <w:tcW w:w="1187" w:type="dxa"/>
            <w:vMerge w:val="restart"/>
          </w:tcPr>
          <w:p w14:paraId="3CB6D844" w14:textId="77777777" w:rsidR="005923C4" w:rsidRPr="005923C4" w:rsidRDefault="005923C4" w:rsidP="005923C4">
            <w:pPr>
              <w:spacing w:after="0"/>
              <w:jc w:val="center"/>
              <w:rPr>
                <w:rFonts w:eastAsia="Calibri"/>
                <w:i/>
                <w:lang w:eastAsia="lv-LV"/>
              </w:rPr>
            </w:pPr>
            <w:r w:rsidRPr="005923C4">
              <w:rPr>
                <w:rFonts w:eastAsia="Calibri"/>
                <w:lang w:eastAsia="lv-LV"/>
              </w:rPr>
              <w:t>X</w:t>
            </w:r>
          </w:p>
        </w:tc>
        <w:tc>
          <w:tcPr>
            <w:tcW w:w="1484" w:type="dxa"/>
            <w:vAlign w:val="center"/>
          </w:tcPr>
          <w:p w14:paraId="4D938E28" w14:textId="77777777" w:rsidR="005923C4" w:rsidRPr="005923C4" w:rsidRDefault="005923C4" w:rsidP="005923C4">
            <w:pPr>
              <w:spacing w:after="0"/>
              <w:jc w:val="center"/>
              <w:rPr>
                <w:rFonts w:eastAsia="Times New Roman"/>
                <w:b/>
                <w:lang w:eastAsia="lv-LV"/>
              </w:rPr>
            </w:pPr>
            <w:r w:rsidRPr="005923C4">
              <w:rPr>
                <w:rFonts w:eastAsia="Times New Roman"/>
                <w:b/>
                <w:lang w:eastAsia="lv-LV"/>
              </w:rPr>
              <w:t>0</w:t>
            </w:r>
          </w:p>
        </w:tc>
        <w:tc>
          <w:tcPr>
            <w:tcW w:w="1482" w:type="dxa"/>
            <w:vAlign w:val="center"/>
          </w:tcPr>
          <w:p w14:paraId="30C16C20" w14:textId="77777777" w:rsidR="005923C4" w:rsidRPr="005923C4" w:rsidRDefault="005923C4" w:rsidP="005923C4">
            <w:pPr>
              <w:spacing w:after="0"/>
              <w:jc w:val="center"/>
              <w:rPr>
                <w:rFonts w:eastAsia="Times New Roman"/>
                <w:b/>
                <w:lang w:eastAsia="lv-LV"/>
              </w:rPr>
            </w:pPr>
            <w:r w:rsidRPr="005923C4">
              <w:rPr>
                <w:rFonts w:eastAsia="Times New Roman"/>
                <w:b/>
                <w:lang w:eastAsia="lv-LV"/>
              </w:rPr>
              <w:t>0</w:t>
            </w:r>
          </w:p>
        </w:tc>
        <w:tc>
          <w:tcPr>
            <w:tcW w:w="1482" w:type="dxa"/>
            <w:vAlign w:val="center"/>
          </w:tcPr>
          <w:p w14:paraId="075DC811" w14:textId="77777777" w:rsidR="005923C4" w:rsidRPr="005923C4" w:rsidRDefault="005923C4" w:rsidP="005923C4">
            <w:pPr>
              <w:spacing w:after="0"/>
              <w:jc w:val="center"/>
              <w:rPr>
                <w:rFonts w:eastAsia="Times New Roman"/>
                <w:b/>
                <w:lang w:eastAsia="lv-LV"/>
              </w:rPr>
            </w:pPr>
            <w:r w:rsidRPr="005923C4">
              <w:rPr>
                <w:rFonts w:eastAsia="Times New Roman"/>
                <w:b/>
                <w:lang w:eastAsia="lv-LV"/>
              </w:rPr>
              <w:t>0</w:t>
            </w:r>
          </w:p>
        </w:tc>
        <w:tc>
          <w:tcPr>
            <w:tcW w:w="2126" w:type="dxa"/>
            <w:vAlign w:val="center"/>
          </w:tcPr>
          <w:p w14:paraId="33D0EFBF" w14:textId="77777777" w:rsidR="005923C4" w:rsidRPr="005923C4" w:rsidRDefault="005923C4" w:rsidP="005923C4">
            <w:pPr>
              <w:spacing w:after="0"/>
              <w:jc w:val="center"/>
              <w:rPr>
                <w:rFonts w:eastAsia="Times New Roman"/>
                <w:b/>
                <w:lang w:eastAsia="lv-LV"/>
              </w:rPr>
            </w:pPr>
            <w:r w:rsidRPr="005923C4">
              <w:rPr>
                <w:rFonts w:eastAsia="Times New Roman"/>
                <w:b/>
                <w:lang w:eastAsia="lv-LV"/>
              </w:rPr>
              <w:t>0</w:t>
            </w:r>
          </w:p>
        </w:tc>
      </w:tr>
      <w:tr w:rsidR="005923C4" w:rsidRPr="005923C4" w14:paraId="19879187" w14:textId="77777777" w:rsidTr="005923C4">
        <w:trPr>
          <w:jc w:val="center"/>
        </w:trPr>
        <w:tc>
          <w:tcPr>
            <w:tcW w:w="1295" w:type="dxa"/>
          </w:tcPr>
          <w:p w14:paraId="5E2E662F" w14:textId="77777777" w:rsidR="005923C4" w:rsidRPr="005923C4" w:rsidRDefault="005923C4" w:rsidP="005923C4">
            <w:pPr>
              <w:spacing w:after="0"/>
              <w:rPr>
                <w:rFonts w:eastAsia="Times New Roman"/>
                <w:lang w:eastAsia="lv-LV"/>
              </w:rPr>
            </w:pPr>
            <w:r w:rsidRPr="005923C4">
              <w:rPr>
                <w:rFonts w:eastAsia="Times New Roman"/>
                <w:lang w:eastAsia="lv-LV"/>
              </w:rPr>
              <w:t>5.1. valsts pamatbudžets</w:t>
            </w:r>
          </w:p>
        </w:tc>
        <w:tc>
          <w:tcPr>
            <w:tcW w:w="1187" w:type="dxa"/>
            <w:vMerge/>
            <w:vAlign w:val="center"/>
          </w:tcPr>
          <w:p w14:paraId="35130FD6" w14:textId="77777777" w:rsidR="005923C4" w:rsidRPr="005923C4" w:rsidRDefault="005923C4" w:rsidP="005923C4">
            <w:pPr>
              <w:spacing w:after="0"/>
              <w:jc w:val="center"/>
              <w:rPr>
                <w:rFonts w:eastAsia="Calibri"/>
                <w:i/>
                <w:lang w:eastAsia="lv-LV"/>
              </w:rPr>
            </w:pPr>
          </w:p>
        </w:tc>
        <w:tc>
          <w:tcPr>
            <w:tcW w:w="1484" w:type="dxa"/>
            <w:vAlign w:val="center"/>
          </w:tcPr>
          <w:p w14:paraId="37535AC3"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13CDB266"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5541B870"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2126" w:type="dxa"/>
            <w:vAlign w:val="center"/>
          </w:tcPr>
          <w:p w14:paraId="554D822B"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r>
      <w:tr w:rsidR="005923C4" w:rsidRPr="005923C4" w14:paraId="1D382CE3" w14:textId="77777777" w:rsidTr="005923C4">
        <w:trPr>
          <w:jc w:val="center"/>
        </w:trPr>
        <w:tc>
          <w:tcPr>
            <w:tcW w:w="1295" w:type="dxa"/>
          </w:tcPr>
          <w:p w14:paraId="00E69CB9" w14:textId="77777777" w:rsidR="005923C4" w:rsidRPr="005923C4" w:rsidRDefault="005923C4" w:rsidP="005923C4">
            <w:pPr>
              <w:spacing w:after="0"/>
              <w:rPr>
                <w:rFonts w:eastAsia="Times New Roman"/>
                <w:lang w:eastAsia="lv-LV"/>
              </w:rPr>
            </w:pPr>
            <w:r w:rsidRPr="005923C4">
              <w:rPr>
                <w:rFonts w:eastAsia="Times New Roman"/>
                <w:lang w:eastAsia="lv-LV"/>
              </w:rPr>
              <w:t>5.2. speciālais budžets</w:t>
            </w:r>
          </w:p>
        </w:tc>
        <w:tc>
          <w:tcPr>
            <w:tcW w:w="1187" w:type="dxa"/>
            <w:vMerge/>
            <w:vAlign w:val="center"/>
          </w:tcPr>
          <w:p w14:paraId="2A170CEC" w14:textId="77777777" w:rsidR="005923C4" w:rsidRPr="005923C4" w:rsidRDefault="005923C4" w:rsidP="005923C4">
            <w:pPr>
              <w:spacing w:after="0"/>
              <w:jc w:val="center"/>
              <w:rPr>
                <w:rFonts w:eastAsia="Calibri"/>
                <w:i/>
                <w:lang w:eastAsia="lv-LV"/>
              </w:rPr>
            </w:pPr>
          </w:p>
        </w:tc>
        <w:tc>
          <w:tcPr>
            <w:tcW w:w="1484" w:type="dxa"/>
            <w:vAlign w:val="center"/>
          </w:tcPr>
          <w:p w14:paraId="5157778D"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23923BF2"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3C127B4C"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2126" w:type="dxa"/>
            <w:vAlign w:val="center"/>
          </w:tcPr>
          <w:p w14:paraId="2C10D7EB"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r>
      <w:tr w:rsidR="005923C4" w:rsidRPr="005923C4" w14:paraId="79BDA338" w14:textId="77777777" w:rsidTr="005923C4">
        <w:trPr>
          <w:jc w:val="center"/>
        </w:trPr>
        <w:tc>
          <w:tcPr>
            <w:tcW w:w="1295" w:type="dxa"/>
          </w:tcPr>
          <w:p w14:paraId="0F1EC421" w14:textId="77777777" w:rsidR="005923C4" w:rsidRPr="005923C4" w:rsidRDefault="005923C4" w:rsidP="005923C4">
            <w:pPr>
              <w:spacing w:after="0"/>
              <w:rPr>
                <w:rFonts w:eastAsia="Times New Roman"/>
                <w:lang w:eastAsia="lv-LV"/>
              </w:rPr>
            </w:pPr>
            <w:r w:rsidRPr="005923C4">
              <w:rPr>
                <w:rFonts w:eastAsia="Times New Roman"/>
                <w:lang w:eastAsia="lv-LV"/>
              </w:rPr>
              <w:t xml:space="preserve">5.3. pašvaldību budžets </w:t>
            </w:r>
          </w:p>
        </w:tc>
        <w:tc>
          <w:tcPr>
            <w:tcW w:w="1187" w:type="dxa"/>
            <w:vMerge/>
            <w:vAlign w:val="center"/>
          </w:tcPr>
          <w:p w14:paraId="2A56DA4A" w14:textId="77777777" w:rsidR="005923C4" w:rsidRPr="005923C4" w:rsidRDefault="005923C4" w:rsidP="005923C4">
            <w:pPr>
              <w:spacing w:after="0"/>
              <w:jc w:val="center"/>
              <w:rPr>
                <w:rFonts w:eastAsia="Calibri"/>
                <w:i/>
                <w:lang w:eastAsia="lv-LV"/>
              </w:rPr>
            </w:pPr>
          </w:p>
        </w:tc>
        <w:tc>
          <w:tcPr>
            <w:tcW w:w="1484" w:type="dxa"/>
            <w:vAlign w:val="center"/>
          </w:tcPr>
          <w:p w14:paraId="61011A7A"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0261B31C"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1482" w:type="dxa"/>
            <w:vAlign w:val="center"/>
          </w:tcPr>
          <w:p w14:paraId="7920E527"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c>
          <w:tcPr>
            <w:tcW w:w="2126" w:type="dxa"/>
            <w:vAlign w:val="center"/>
          </w:tcPr>
          <w:p w14:paraId="7E03FAE8" w14:textId="77777777" w:rsidR="005923C4" w:rsidRPr="005923C4" w:rsidRDefault="005923C4" w:rsidP="005923C4">
            <w:pPr>
              <w:spacing w:after="0"/>
              <w:jc w:val="center"/>
              <w:rPr>
                <w:rFonts w:eastAsia="Times New Roman"/>
                <w:lang w:eastAsia="lv-LV"/>
              </w:rPr>
            </w:pPr>
            <w:r w:rsidRPr="005923C4">
              <w:rPr>
                <w:rFonts w:eastAsia="Times New Roman"/>
                <w:lang w:eastAsia="lv-LV"/>
              </w:rPr>
              <w:t>0</w:t>
            </w:r>
          </w:p>
        </w:tc>
      </w:tr>
      <w:tr w:rsidR="005923C4" w:rsidRPr="005923C4" w14:paraId="0E265053" w14:textId="77777777" w:rsidTr="005923C4">
        <w:trPr>
          <w:jc w:val="center"/>
        </w:trPr>
        <w:tc>
          <w:tcPr>
            <w:tcW w:w="1295" w:type="dxa"/>
          </w:tcPr>
          <w:p w14:paraId="7B2B8ECE" w14:textId="77777777" w:rsidR="005923C4" w:rsidRPr="005923C4" w:rsidRDefault="005923C4" w:rsidP="005923C4">
            <w:pPr>
              <w:spacing w:after="0"/>
              <w:rPr>
                <w:rFonts w:eastAsia="Times New Roman"/>
                <w:lang w:eastAsia="lv-LV"/>
              </w:rPr>
            </w:pPr>
            <w:r w:rsidRPr="005923C4">
              <w:rPr>
                <w:rFonts w:eastAsia="Times New Roman"/>
                <w:lang w:eastAsia="lv-LV"/>
              </w:rPr>
              <w:t>6. Detalizēts ieņēmumu un izdevu</w:t>
            </w:r>
            <w:r w:rsidRPr="005923C4">
              <w:rPr>
                <w:rFonts w:eastAsia="Times New Roman"/>
                <w:lang w:eastAsia="lv-LV"/>
              </w:rPr>
              <w:softHyphen/>
              <w:t>mu aprēķins (ja nepieciešams, detalizētu ieņēmumu un izdevumu aprēķinu var pievienot anotācijas pielikumā):</w:t>
            </w:r>
          </w:p>
        </w:tc>
        <w:tc>
          <w:tcPr>
            <w:tcW w:w="7761" w:type="dxa"/>
            <w:gridSpan w:val="5"/>
            <w:vMerge w:val="restart"/>
          </w:tcPr>
          <w:p w14:paraId="51127197" w14:textId="77777777" w:rsidR="005923C4" w:rsidRPr="005923C4" w:rsidRDefault="005923C4" w:rsidP="00F01A31">
            <w:pPr>
              <w:spacing w:after="0"/>
              <w:jc w:val="both"/>
              <w:rPr>
                <w:rFonts w:eastAsia="Times New Roman"/>
                <w:b/>
                <w:lang w:eastAsia="lv-LV"/>
              </w:rPr>
            </w:pPr>
          </w:p>
          <w:p w14:paraId="4B9C9854" w14:textId="58118BAE" w:rsidR="00EF7F0C" w:rsidRPr="005923C4" w:rsidRDefault="00EF7F0C" w:rsidP="00430E7C">
            <w:pPr>
              <w:spacing w:after="0"/>
              <w:ind w:right="127"/>
              <w:jc w:val="both"/>
              <w:rPr>
                <w:rFonts w:eastAsia="Calibri"/>
                <w:b/>
                <w:bCs/>
              </w:rPr>
            </w:pPr>
            <w:r w:rsidRPr="005923C4">
              <w:rPr>
                <w:rFonts w:eastAsia="Calibri"/>
                <w:b/>
                <w:bCs/>
              </w:rPr>
              <w:t xml:space="preserve">Ņemot vērā, ka Deleģētajā regulā (ES) 2019/945 noteiktā joma ir </w:t>
            </w:r>
            <w:r>
              <w:rPr>
                <w:rFonts w:eastAsia="Calibri"/>
                <w:b/>
                <w:bCs/>
              </w:rPr>
              <w:t xml:space="preserve"> </w:t>
            </w:r>
            <w:r w:rsidRPr="005923C4">
              <w:rPr>
                <w:rFonts w:eastAsia="Calibri"/>
                <w:b/>
                <w:bCs/>
              </w:rPr>
              <w:t>Patērētāju tiesību aizsardzības centra papildu kompetence un tās īstenošana esošo resursu ietvaros nav paredzēta un nebūtu iespējama, lai varētu efektīvi veikt Deleģētajā regulā (ES) 2019/945 noteiktos uzraudzības un kontroles pienākumus</w:t>
            </w:r>
            <w:r>
              <w:rPr>
                <w:rFonts w:eastAsia="Calibri"/>
                <w:b/>
                <w:bCs/>
              </w:rPr>
              <w:t>,</w:t>
            </w:r>
            <w:r w:rsidRPr="005923C4">
              <w:rPr>
                <w:rFonts w:eastAsia="Calibri"/>
                <w:b/>
                <w:bCs/>
              </w:rPr>
              <w:t xml:space="preserve"> </w:t>
            </w:r>
            <w:r>
              <w:rPr>
                <w:rFonts w:eastAsia="Calibri"/>
                <w:b/>
                <w:bCs/>
              </w:rPr>
              <w:t>tās īstenošanai</w:t>
            </w:r>
            <w:r w:rsidRPr="005923C4">
              <w:rPr>
                <w:rFonts w:eastAsia="Calibri"/>
                <w:b/>
                <w:bCs/>
              </w:rPr>
              <w:t xml:space="preserve"> nepieciešams finansējums šādām pozīcijām</w:t>
            </w:r>
            <w:r w:rsidRPr="005923C4">
              <w:rPr>
                <w:rFonts w:eastAsia="Calibri"/>
                <w:bCs/>
              </w:rPr>
              <w:t>:</w:t>
            </w:r>
          </w:p>
          <w:p w14:paraId="518CACA0" w14:textId="77777777" w:rsidR="005923C4" w:rsidRPr="005923C4" w:rsidRDefault="005923C4" w:rsidP="0060690B">
            <w:pPr>
              <w:spacing w:after="0"/>
              <w:ind w:right="127"/>
              <w:jc w:val="both"/>
              <w:rPr>
                <w:rFonts w:eastAsia="Calibri"/>
                <w:b/>
                <w:bCs/>
              </w:rPr>
            </w:pPr>
          </w:p>
          <w:p w14:paraId="1CC7555D" w14:textId="77777777" w:rsidR="005923C4" w:rsidRPr="005923C4" w:rsidRDefault="005923C4" w:rsidP="00F01A31">
            <w:pPr>
              <w:suppressAutoHyphens/>
              <w:autoSpaceDN w:val="0"/>
              <w:spacing w:before="120" w:after="0"/>
              <w:jc w:val="both"/>
              <w:textAlignment w:val="baseline"/>
              <w:rPr>
                <w:rFonts w:eastAsia="Times New Roman"/>
                <w:b/>
                <w:lang w:eastAsia="lv-LV"/>
              </w:rPr>
            </w:pPr>
            <w:r w:rsidRPr="005923C4">
              <w:rPr>
                <w:rFonts w:eastAsia="Times New Roman"/>
                <w:b/>
                <w:lang w:eastAsia="lv-LV"/>
              </w:rPr>
              <w:t>I Atlīdzība 2 darbiniekiem –</w:t>
            </w:r>
            <w:r w:rsidRPr="005923C4">
              <w:rPr>
                <w:rFonts w:eastAsia="Times New Roman"/>
                <w:lang w:eastAsia="lv-LV"/>
              </w:rPr>
              <w:t xml:space="preserve"> </w:t>
            </w:r>
            <w:r w:rsidRPr="005923C4">
              <w:rPr>
                <w:rFonts w:eastAsia="Times New Roman"/>
                <w:b/>
                <w:lang w:eastAsia="lv-LV"/>
              </w:rPr>
              <w:t xml:space="preserve">EUR 51048,20 </w:t>
            </w:r>
          </w:p>
          <w:p w14:paraId="26227F18" w14:textId="77777777" w:rsidR="005923C4" w:rsidRPr="005923C4" w:rsidRDefault="005923C4" w:rsidP="00F01A31">
            <w:pPr>
              <w:suppressAutoHyphens/>
              <w:autoSpaceDN w:val="0"/>
              <w:spacing w:before="120" w:after="0"/>
              <w:jc w:val="both"/>
              <w:textAlignment w:val="baseline"/>
              <w:rPr>
                <w:rFonts w:eastAsia="Times New Roman"/>
                <w:bCs/>
                <w:lang w:eastAsia="lv-LV"/>
              </w:rPr>
            </w:pPr>
            <w:r w:rsidRPr="005923C4">
              <w:rPr>
                <w:rFonts w:eastAsia="Times New Roman"/>
                <w:bCs/>
                <w:lang w:eastAsia="lv-LV"/>
              </w:rPr>
              <w:t>Atlīdzības aprēķins vienam darbiniekam (EUR 25 524,10):</w:t>
            </w:r>
          </w:p>
          <w:p w14:paraId="147278F0" w14:textId="77777777" w:rsidR="005923C4" w:rsidRPr="005923C4" w:rsidRDefault="005923C4" w:rsidP="00F01A31">
            <w:pPr>
              <w:suppressAutoHyphens/>
              <w:autoSpaceDN w:val="0"/>
              <w:spacing w:before="120" w:after="0"/>
              <w:jc w:val="both"/>
              <w:textAlignment w:val="baseline"/>
              <w:rPr>
                <w:rFonts w:eastAsia="Times New Roman"/>
                <w:lang w:eastAsia="lv-LV"/>
              </w:rPr>
            </w:pPr>
            <w:r w:rsidRPr="005923C4">
              <w:rPr>
                <w:rFonts w:eastAsia="Times New Roman"/>
                <w:lang w:eastAsia="lv-LV"/>
              </w:rPr>
              <w:t>Atalgojums (1 amata vieta, 26.3 saime, IV līmenis, 11.mēnešalgu grupa): EUR 1 382 x 12 mēn</w:t>
            </w:r>
            <w:r w:rsidR="0016373A">
              <w:rPr>
                <w:rFonts w:eastAsia="Times New Roman"/>
                <w:lang w:eastAsia="lv-LV"/>
              </w:rPr>
              <w:t>eši</w:t>
            </w:r>
            <w:r w:rsidRPr="005923C4">
              <w:rPr>
                <w:rFonts w:eastAsia="Times New Roman"/>
                <w:lang w:eastAsia="lv-LV"/>
              </w:rPr>
              <w:t xml:space="preserve"> = EUR 16 584 </w:t>
            </w:r>
          </w:p>
          <w:p w14:paraId="06965207" w14:textId="77777777" w:rsidR="005923C4" w:rsidRPr="005923C4" w:rsidRDefault="005923C4" w:rsidP="00F01A31">
            <w:pPr>
              <w:suppressAutoHyphens/>
              <w:autoSpaceDN w:val="0"/>
              <w:spacing w:after="0"/>
              <w:jc w:val="both"/>
              <w:textAlignment w:val="baseline"/>
              <w:rPr>
                <w:rFonts w:eastAsia="Calibri"/>
                <w:lang w:eastAsia="lv-LV"/>
              </w:rPr>
            </w:pPr>
            <w:r w:rsidRPr="005923C4">
              <w:rPr>
                <w:rFonts w:eastAsia="Calibri"/>
                <w:lang w:eastAsia="lv-LV"/>
              </w:rPr>
              <w:t>-10% piemaksa par papildu darbu, augstu darba kvalitāti u.c. (EUR 1658,40)</w:t>
            </w:r>
          </w:p>
          <w:p w14:paraId="4FD58AEB" w14:textId="77777777" w:rsidR="005923C4" w:rsidRPr="005923C4" w:rsidRDefault="005923C4" w:rsidP="00F01A31">
            <w:pPr>
              <w:suppressAutoHyphens/>
              <w:autoSpaceDN w:val="0"/>
              <w:spacing w:after="0"/>
              <w:jc w:val="both"/>
              <w:textAlignment w:val="baseline"/>
              <w:rPr>
                <w:rFonts w:eastAsia="Calibri"/>
                <w:lang w:eastAsia="lv-LV"/>
              </w:rPr>
            </w:pPr>
            <w:r w:rsidRPr="005923C4">
              <w:rPr>
                <w:rFonts w:eastAsia="Calibri"/>
                <w:lang w:eastAsia="lv-LV"/>
              </w:rPr>
              <w:t>-10% vid</w:t>
            </w:r>
            <w:r w:rsidR="0016373A">
              <w:rPr>
                <w:rFonts w:eastAsia="Calibri"/>
                <w:lang w:eastAsia="lv-LV"/>
              </w:rPr>
              <w:t xml:space="preserve">ējā </w:t>
            </w:r>
            <w:r w:rsidRPr="005923C4">
              <w:rPr>
                <w:rFonts w:eastAsia="Calibri"/>
                <w:lang w:eastAsia="lv-LV"/>
              </w:rPr>
              <w:t xml:space="preserve">gada novērtēšanas prēmija un atvaļinājuma pabalsts (EUR 1658,40) </w:t>
            </w:r>
          </w:p>
          <w:p w14:paraId="4E3F31F0" w14:textId="77777777" w:rsidR="005923C4" w:rsidRPr="005923C4" w:rsidRDefault="005923C4" w:rsidP="00F01A31">
            <w:pPr>
              <w:suppressAutoHyphens/>
              <w:autoSpaceDN w:val="0"/>
              <w:spacing w:after="0"/>
              <w:jc w:val="both"/>
              <w:textAlignment w:val="baseline"/>
              <w:rPr>
                <w:rFonts w:eastAsia="Calibri"/>
                <w:lang w:eastAsia="lv-LV"/>
              </w:rPr>
            </w:pPr>
            <w:r w:rsidRPr="005923C4">
              <w:rPr>
                <w:rFonts w:eastAsia="Calibri"/>
                <w:lang w:eastAsia="lv-LV"/>
              </w:rPr>
              <w:t>-valsts sociālās apdrošināšanas iemaksas: 24,09% x (EUR 16 584+ EUR 1658,40 + EUR 1658,40) = EUR 4794,10</w:t>
            </w:r>
          </w:p>
          <w:p w14:paraId="696B927C" w14:textId="77777777" w:rsidR="005923C4" w:rsidRPr="005923C4" w:rsidRDefault="005923C4" w:rsidP="00F01A31">
            <w:pPr>
              <w:suppressAutoHyphens/>
              <w:autoSpaceDN w:val="0"/>
              <w:spacing w:after="0"/>
              <w:jc w:val="both"/>
              <w:textAlignment w:val="baseline"/>
              <w:rPr>
                <w:rFonts w:eastAsia="Calibri"/>
                <w:lang w:eastAsia="lv-LV"/>
              </w:rPr>
            </w:pPr>
            <w:r w:rsidRPr="005923C4">
              <w:rPr>
                <w:rFonts w:eastAsia="Calibri"/>
                <w:lang w:eastAsia="lv-LV"/>
              </w:rPr>
              <w:t>- 5% sociālo garantiju izmaksas (EUR 829,2);</w:t>
            </w:r>
          </w:p>
          <w:p w14:paraId="5EDF9821" w14:textId="77777777" w:rsidR="005923C4" w:rsidRPr="005923C4" w:rsidRDefault="005923C4" w:rsidP="00F01A31">
            <w:pPr>
              <w:suppressAutoHyphens/>
              <w:autoSpaceDN w:val="0"/>
              <w:spacing w:after="0"/>
              <w:jc w:val="both"/>
              <w:textAlignment w:val="baseline"/>
              <w:rPr>
                <w:rFonts w:eastAsia="Calibri"/>
                <w:lang w:eastAsia="lv-LV"/>
              </w:rPr>
            </w:pPr>
          </w:p>
          <w:p w14:paraId="42DC1835" w14:textId="77777777" w:rsidR="005923C4" w:rsidRPr="005923C4" w:rsidRDefault="005923C4" w:rsidP="00F01A31">
            <w:pPr>
              <w:suppressAutoHyphens/>
              <w:autoSpaceDN w:val="0"/>
              <w:spacing w:before="120" w:after="0"/>
              <w:jc w:val="both"/>
              <w:textAlignment w:val="baseline"/>
              <w:rPr>
                <w:rFonts w:eastAsia="Times New Roman"/>
                <w:lang w:eastAsia="lv-LV"/>
              </w:rPr>
            </w:pPr>
            <w:r w:rsidRPr="005923C4">
              <w:rPr>
                <w:rFonts w:eastAsia="Times New Roman"/>
                <w:b/>
                <w:lang w:eastAsia="lv-LV"/>
              </w:rPr>
              <w:t>II Pakalpojumu apmaksa 2 darbiniekiem –</w:t>
            </w:r>
            <w:r w:rsidRPr="005923C4">
              <w:rPr>
                <w:rFonts w:eastAsia="Times New Roman"/>
                <w:lang w:eastAsia="lv-LV"/>
              </w:rPr>
              <w:t xml:space="preserve"> </w:t>
            </w:r>
            <w:r w:rsidRPr="005923C4">
              <w:rPr>
                <w:rFonts w:eastAsia="Times New Roman"/>
                <w:b/>
                <w:lang w:eastAsia="lv-LV"/>
              </w:rPr>
              <w:t>3598</w:t>
            </w:r>
            <w:r w:rsidRPr="005923C4">
              <w:rPr>
                <w:rFonts w:eastAsia="Times New Roman"/>
                <w:lang w:eastAsia="lv-LV"/>
              </w:rPr>
              <w:t xml:space="preserve"> </w:t>
            </w:r>
            <w:r w:rsidRPr="005923C4">
              <w:rPr>
                <w:rFonts w:eastAsia="Times New Roman"/>
                <w:b/>
                <w:lang w:eastAsia="lv-LV"/>
              </w:rPr>
              <w:t>EUR</w:t>
            </w:r>
            <w:r w:rsidRPr="005923C4">
              <w:rPr>
                <w:rFonts w:eastAsia="Times New Roman"/>
                <w:b/>
                <w:bCs/>
                <w:lang w:eastAsia="lv-LV"/>
              </w:rPr>
              <w:t xml:space="preserve"> </w:t>
            </w:r>
          </w:p>
          <w:p w14:paraId="10998A84" w14:textId="77777777" w:rsidR="005923C4" w:rsidRPr="005923C4" w:rsidRDefault="005923C4" w:rsidP="00F01A31">
            <w:pPr>
              <w:suppressAutoHyphens/>
              <w:autoSpaceDN w:val="0"/>
              <w:spacing w:after="0"/>
              <w:jc w:val="both"/>
              <w:textAlignment w:val="baseline"/>
              <w:rPr>
                <w:rFonts w:eastAsia="Times New Roman"/>
                <w:lang w:eastAsia="lv-LV"/>
              </w:rPr>
            </w:pPr>
            <w:r w:rsidRPr="005923C4">
              <w:rPr>
                <w:rFonts w:eastAsia="Times New Roman"/>
                <w:lang w:eastAsia="lv-LV"/>
              </w:rPr>
              <w:t>- telpu noma (ieskaitot komunālos maksājumus) – EUR 150 x 12 mēn</w:t>
            </w:r>
            <w:r w:rsidR="0016373A">
              <w:rPr>
                <w:rFonts w:eastAsia="Times New Roman"/>
                <w:lang w:eastAsia="lv-LV"/>
              </w:rPr>
              <w:t>eši</w:t>
            </w:r>
            <w:r w:rsidRPr="005923C4">
              <w:rPr>
                <w:rFonts w:eastAsia="Times New Roman"/>
                <w:lang w:eastAsia="lv-LV"/>
              </w:rPr>
              <w:t xml:space="preserve"> = EUR 1800; </w:t>
            </w:r>
          </w:p>
          <w:p w14:paraId="6D639496" w14:textId="77777777" w:rsidR="005923C4" w:rsidRPr="005923C4" w:rsidRDefault="005923C4" w:rsidP="00F01A31">
            <w:pPr>
              <w:suppressAutoHyphens/>
              <w:autoSpaceDN w:val="0"/>
              <w:spacing w:after="0"/>
              <w:jc w:val="both"/>
              <w:textAlignment w:val="baseline"/>
              <w:rPr>
                <w:rFonts w:eastAsia="Times New Roman"/>
                <w:lang w:eastAsia="lv-LV"/>
              </w:rPr>
            </w:pPr>
            <w:r w:rsidRPr="005923C4">
              <w:rPr>
                <w:rFonts w:eastAsia="Times New Roman"/>
                <w:lang w:eastAsia="lv-LV"/>
              </w:rPr>
              <w:t>- telekomunikāciju pakalpojumi (EUR 57 x 12 mēn</w:t>
            </w:r>
            <w:r w:rsidR="0016373A">
              <w:rPr>
                <w:rFonts w:eastAsia="Times New Roman"/>
                <w:lang w:eastAsia="lv-LV"/>
              </w:rPr>
              <w:t>eši</w:t>
            </w:r>
            <w:r w:rsidRPr="005923C4">
              <w:rPr>
                <w:rFonts w:eastAsia="Times New Roman"/>
                <w:lang w:eastAsia="lv-LV"/>
              </w:rPr>
              <w:t>). = EUR 684</w:t>
            </w:r>
          </w:p>
          <w:p w14:paraId="204825E5" w14:textId="77777777" w:rsidR="005923C4" w:rsidRPr="005923C4" w:rsidRDefault="005923C4" w:rsidP="00F01A31">
            <w:pPr>
              <w:suppressAutoHyphens/>
              <w:autoSpaceDN w:val="0"/>
              <w:spacing w:after="0"/>
              <w:jc w:val="both"/>
              <w:textAlignment w:val="baseline"/>
              <w:rPr>
                <w:rFonts w:eastAsia="Times New Roman"/>
                <w:lang w:eastAsia="lv-LV"/>
              </w:rPr>
            </w:pPr>
            <w:r w:rsidRPr="005923C4">
              <w:rPr>
                <w:rFonts w:eastAsia="Times New Roman"/>
                <w:lang w:eastAsia="lv-LV"/>
              </w:rPr>
              <w:t>- internets, Komercreģistrs un citi sakari (EUR 14 x 12 mē</w:t>
            </w:r>
            <w:r w:rsidR="0016373A">
              <w:rPr>
                <w:rFonts w:eastAsia="Times New Roman"/>
                <w:lang w:eastAsia="lv-LV"/>
              </w:rPr>
              <w:t>neši</w:t>
            </w:r>
            <w:r w:rsidRPr="005923C4">
              <w:rPr>
                <w:rFonts w:eastAsia="Times New Roman"/>
                <w:lang w:eastAsia="lv-LV"/>
              </w:rPr>
              <w:t>) = EUR 168</w:t>
            </w:r>
          </w:p>
          <w:p w14:paraId="0AE28F25" w14:textId="77777777" w:rsidR="005923C4" w:rsidRPr="005923C4" w:rsidRDefault="005923C4" w:rsidP="00F01A31">
            <w:pPr>
              <w:suppressAutoHyphens/>
              <w:autoSpaceDN w:val="0"/>
              <w:spacing w:after="0"/>
              <w:jc w:val="both"/>
              <w:textAlignment w:val="baseline"/>
              <w:rPr>
                <w:rFonts w:eastAsia="Times New Roman"/>
                <w:lang w:eastAsia="lv-LV"/>
              </w:rPr>
            </w:pPr>
            <w:r w:rsidRPr="005923C4">
              <w:rPr>
                <w:rFonts w:eastAsia="Times New Roman"/>
                <w:lang w:eastAsia="lv-LV"/>
              </w:rPr>
              <w:t xml:space="preserve">- pasta pakalpojumi = EUR 142 </w:t>
            </w:r>
          </w:p>
          <w:p w14:paraId="309A46D3" w14:textId="77777777" w:rsidR="005923C4" w:rsidRPr="005923C4" w:rsidRDefault="005923C4" w:rsidP="00F01A31">
            <w:pPr>
              <w:suppressAutoHyphens/>
              <w:autoSpaceDN w:val="0"/>
              <w:spacing w:after="0"/>
              <w:jc w:val="both"/>
              <w:textAlignment w:val="baseline"/>
              <w:rPr>
                <w:rFonts w:eastAsia="Times New Roman"/>
                <w:lang w:eastAsia="lv-LV"/>
              </w:rPr>
            </w:pPr>
            <w:r w:rsidRPr="005923C4">
              <w:rPr>
                <w:rFonts w:eastAsia="Times New Roman"/>
                <w:lang w:eastAsia="lv-LV"/>
              </w:rPr>
              <w:t xml:space="preserve">- darbinieku apmācība = EUR 426 </w:t>
            </w:r>
          </w:p>
          <w:p w14:paraId="299BD1F6" w14:textId="77777777" w:rsidR="005923C4" w:rsidRPr="005923C4" w:rsidRDefault="005923C4" w:rsidP="00F01A31">
            <w:pPr>
              <w:suppressAutoHyphens/>
              <w:autoSpaceDN w:val="0"/>
              <w:spacing w:after="0"/>
              <w:jc w:val="both"/>
              <w:textAlignment w:val="baseline"/>
              <w:rPr>
                <w:rFonts w:eastAsia="Times New Roman"/>
                <w:lang w:eastAsia="lv-LV"/>
              </w:rPr>
            </w:pPr>
            <w:r w:rsidRPr="005923C4">
              <w:rPr>
                <w:rFonts w:eastAsia="Times New Roman"/>
                <w:lang w:eastAsia="lv-LV"/>
              </w:rPr>
              <w:t>- komandējumi pa Latviju 3 reizes gadā x 63 EUR (dienas nauda EUR 6 + viesnīca EUR 43 + transports EUR 14) x 2 darb</w:t>
            </w:r>
            <w:r w:rsidR="0016373A">
              <w:rPr>
                <w:rFonts w:eastAsia="Times New Roman"/>
                <w:lang w:eastAsia="lv-LV"/>
              </w:rPr>
              <w:t xml:space="preserve">inieki </w:t>
            </w:r>
            <w:r w:rsidRPr="005923C4">
              <w:rPr>
                <w:rFonts w:eastAsia="Times New Roman"/>
                <w:lang w:eastAsia="lv-LV"/>
              </w:rPr>
              <w:t>= EUR 378</w:t>
            </w:r>
          </w:p>
          <w:p w14:paraId="59D2A4E1" w14:textId="77777777" w:rsidR="005923C4" w:rsidRPr="005923C4" w:rsidRDefault="005923C4" w:rsidP="00430E7C">
            <w:pPr>
              <w:suppressAutoHyphens/>
              <w:autoSpaceDN w:val="0"/>
              <w:spacing w:before="120" w:after="100"/>
              <w:jc w:val="both"/>
              <w:textAlignment w:val="baseline"/>
              <w:rPr>
                <w:rFonts w:eastAsia="Times New Roman"/>
                <w:lang w:eastAsia="lv-LV"/>
              </w:rPr>
            </w:pPr>
            <w:r w:rsidRPr="005923C4">
              <w:rPr>
                <w:rFonts w:eastAsia="Times New Roman"/>
                <w:b/>
                <w:lang w:eastAsia="lv-LV"/>
              </w:rPr>
              <w:t>III Materiālais nodrošinājums 2 darbiniekiem – EUR</w:t>
            </w:r>
            <w:r w:rsidRPr="005923C4">
              <w:rPr>
                <w:rFonts w:eastAsia="Times New Roman"/>
                <w:lang w:eastAsia="lv-LV"/>
              </w:rPr>
              <w:t xml:space="preserve"> </w:t>
            </w:r>
            <w:r w:rsidRPr="005923C4">
              <w:rPr>
                <w:rFonts w:eastAsia="Times New Roman"/>
                <w:b/>
                <w:lang w:eastAsia="lv-LV"/>
              </w:rPr>
              <w:t>219</w:t>
            </w:r>
          </w:p>
          <w:p w14:paraId="010C35C4" w14:textId="77777777" w:rsidR="005923C4" w:rsidRPr="005923C4" w:rsidRDefault="005923C4" w:rsidP="00F01A31">
            <w:pPr>
              <w:suppressAutoHyphens/>
              <w:autoSpaceDN w:val="0"/>
              <w:spacing w:after="0"/>
              <w:jc w:val="both"/>
              <w:textAlignment w:val="baseline"/>
              <w:rPr>
                <w:rFonts w:eastAsia="Times New Roman"/>
                <w:lang w:eastAsia="lv-LV"/>
              </w:rPr>
            </w:pPr>
            <w:r w:rsidRPr="005923C4">
              <w:rPr>
                <w:rFonts w:eastAsia="Times New Roman"/>
                <w:lang w:eastAsia="lv-LV"/>
              </w:rPr>
              <w:lastRenderedPageBreak/>
              <w:t>- biroja tehnikas uzturēšana – kopētāju kasete EUR 43, lāzerprinteru kasete EUR 68 = kopā EUR 111;</w:t>
            </w:r>
          </w:p>
          <w:p w14:paraId="4C775481" w14:textId="77777777" w:rsidR="005923C4" w:rsidRPr="005923C4" w:rsidRDefault="005923C4" w:rsidP="00F01A31">
            <w:pPr>
              <w:suppressAutoHyphens/>
              <w:autoSpaceDN w:val="0"/>
              <w:spacing w:after="0"/>
              <w:jc w:val="both"/>
              <w:textAlignment w:val="baseline"/>
              <w:rPr>
                <w:rFonts w:eastAsia="Times New Roman"/>
                <w:lang w:eastAsia="lv-LV"/>
              </w:rPr>
            </w:pPr>
            <w:r w:rsidRPr="005923C4">
              <w:rPr>
                <w:rFonts w:eastAsia="Times New Roman"/>
                <w:lang w:eastAsia="lv-LV"/>
              </w:rPr>
              <w:t>- kancelejas piederumi – (EUR 4,5 x 2 darb. x 12 mēn</w:t>
            </w:r>
            <w:r w:rsidR="0016373A">
              <w:rPr>
                <w:rFonts w:eastAsia="Times New Roman"/>
                <w:lang w:eastAsia="lv-LV"/>
              </w:rPr>
              <w:t>eši</w:t>
            </w:r>
            <w:r w:rsidRPr="005923C4">
              <w:rPr>
                <w:rFonts w:eastAsia="Times New Roman"/>
                <w:lang w:eastAsia="lv-LV"/>
              </w:rPr>
              <w:t xml:space="preserve">) = EUR 108; </w:t>
            </w:r>
          </w:p>
          <w:p w14:paraId="18F1AA77" w14:textId="77777777" w:rsidR="005923C4" w:rsidRPr="005923C4" w:rsidRDefault="005923C4" w:rsidP="00430E7C">
            <w:pPr>
              <w:suppressAutoHyphens/>
              <w:autoSpaceDN w:val="0"/>
              <w:spacing w:before="120" w:after="0"/>
              <w:jc w:val="both"/>
              <w:textAlignment w:val="baseline"/>
              <w:rPr>
                <w:rFonts w:eastAsia="Times New Roman"/>
                <w:lang w:eastAsia="lv-LV"/>
              </w:rPr>
            </w:pPr>
            <w:r w:rsidRPr="005923C4">
              <w:rPr>
                <w:rFonts w:eastAsia="Times New Roman"/>
                <w:b/>
                <w:lang w:eastAsia="lv-LV"/>
              </w:rPr>
              <w:t>IV Kapitālās izmaksas  2 darbiniekiem –</w:t>
            </w:r>
            <w:r w:rsidRPr="005923C4">
              <w:rPr>
                <w:rFonts w:eastAsia="Times New Roman"/>
                <w:lang w:eastAsia="lv-LV"/>
              </w:rPr>
              <w:t xml:space="preserve"> </w:t>
            </w:r>
            <w:r w:rsidRPr="005923C4">
              <w:rPr>
                <w:rFonts w:eastAsia="Times New Roman"/>
                <w:b/>
                <w:bCs/>
                <w:lang w:eastAsia="lv-LV"/>
              </w:rPr>
              <w:t>EUR 6080</w:t>
            </w:r>
            <w:r w:rsidRPr="005923C4">
              <w:rPr>
                <w:rFonts w:eastAsia="Times New Roman"/>
                <w:bCs/>
                <w:lang w:eastAsia="lv-LV"/>
              </w:rPr>
              <w:t>:</w:t>
            </w:r>
          </w:p>
          <w:p w14:paraId="0A254EC2" w14:textId="77777777" w:rsidR="005923C4" w:rsidRPr="005923C4" w:rsidRDefault="005923C4" w:rsidP="0060690B">
            <w:pPr>
              <w:suppressAutoHyphens/>
              <w:autoSpaceDN w:val="0"/>
              <w:spacing w:after="0"/>
              <w:jc w:val="both"/>
              <w:textAlignment w:val="baseline"/>
              <w:rPr>
                <w:rFonts w:eastAsia="Times New Roman"/>
                <w:lang w:eastAsia="lv-LV"/>
              </w:rPr>
            </w:pPr>
            <w:r w:rsidRPr="005923C4">
              <w:rPr>
                <w:rFonts w:eastAsia="Times New Roman"/>
                <w:lang w:eastAsia="lv-LV"/>
              </w:rPr>
              <w:t>- portatīvais dators un portatīvais printeris  EUR 3400 (EUR 1700 x 2darb</w:t>
            </w:r>
            <w:r w:rsidR="0016373A">
              <w:rPr>
                <w:rFonts w:eastAsia="Times New Roman"/>
                <w:lang w:eastAsia="lv-LV"/>
              </w:rPr>
              <w:t>inieki</w:t>
            </w:r>
            <w:r w:rsidRPr="005923C4">
              <w:rPr>
                <w:rFonts w:eastAsia="Times New Roman"/>
                <w:lang w:eastAsia="lv-LV"/>
              </w:rPr>
              <w:t>)</w:t>
            </w:r>
          </w:p>
          <w:p w14:paraId="544B0C71" w14:textId="77777777" w:rsidR="005923C4" w:rsidRPr="005923C4" w:rsidRDefault="005923C4" w:rsidP="00F01A31">
            <w:pPr>
              <w:suppressAutoHyphens/>
              <w:autoSpaceDN w:val="0"/>
              <w:spacing w:after="0"/>
              <w:jc w:val="both"/>
              <w:textAlignment w:val="baseline"/>
              <w:rPr>
                <w:rFonts w:eastAsia="Times New Roman"/>
                <w:lang w:eastAsia="lv-LV"/>
              </w:rPr>
            </w:pPr>
            <w:r w:rsidRPr="005923C4">
              <w:rPr>
                <w:rFonts w:eastAsia="Times New Roman"/>
                <w:lang w:eastAsia="lv-LV"/>
              </w:rPr>
              <w:t>- darba galds EUR 854 (EUR 427 x 2darb</w:t>
            </w:r>
            <w:r w:rsidR="0016373A">
              <w:rPr>
                <w:rFonts w:eastAsia="Times New Roman"/>
                <w:lang w:eastAsia="lv-LV"/>
              </w:rPr>
              <w:t>inieki</w:t>
            </w:r>
            <w:r w:rsidRPr="005923C4">
              <w:rPr>
                <w:rFonts w:eastAsia="Times New Roman"/>
                <w:lang w:eastAsia="lv-LV"/>
              </w:rPr>
              <w:t>)</w:t>
            </w:r>
          </w:p>
          <w:p w14:paraId="5E292C15" w14:textId="77777777" w:rsidR="005923C4" w:rsidRPr="005923C4" w:rsidRDefault="005923C4" w:rsidP="00F01A31">
            <w:pPr>
              <w:suppressAutoHyphens/>
              <w:autoSpaceDN w:val="0"/>
              <w:spacing w:after="0"/>
              <w:ind w:left="422" w:hanging="422"/>
              <w:jc w:val="both"/>
              <w:textAlignment w:val="baseline"/>
              <w:rPr>
                <w:rFonts w:eastAsia="Times New Roman"/>
                <w:lang w:eastAsia="lv-LV"/>
              </w:rPr>
            </w:pPr>
            <w:r w:rsidRPr="005923C4">
              <w:rPr>
                <w:rFonts w:eastAsia="Times New Roman"/>
                <w:lang w:eastAsia="lv-LV"/>
              </w:rPr>
              <w:t>- krāsainais tīkla printeris EUR 570;</w:t>
            </w:r>
          </w:p>
          <w:p w14:paraId="6C8D0415" w14:textId="77777777" w:rsidR="005923C4" w:rsidRPr="005923C4" w:rsidRDefault="005923C4" w:rsidP="00F01A31">
            <w:pPr>
              <w:suppressAutoHyphens/>
              <w:autoSpaceDN w:val="0"/>
              <w:spacing w:after="0"/>
              <w:jc w:val="both"/>
              <w:textAlignment w:val="baseline"/>
              <w:rPr>
                <w:rFonts w:eastAsia="Times New Roman"/>
                <w:lang w:eastAsia="lv-LV"/>
              </w:rPr>
            </w:pPr>
            <w:r w:rsidRPr="005923C4">
              <w:rPr>
                <w:rFonts w:eastAsia="Times New Roman"/>
                <w:lang w:eastAsia="lv-LV"/>
              </w:rPr>
              <w:t xml:space="preserve">- dokumentu skapis EUR 356; </w:t>
            </w:r>
          </w:p>
          <w:p w14:paraId="78E28D64" w14:textId="77777777" w:rsidR="005923C4" w:rsidRPr="005923C4" w:rsidRDefault="005923C4" w:rsidP="00F01A31">
            <w:pPr>
              <w:suppressAutoHyphens/>
              <w:autoSpaceDN w:val="0"/>
              <w:spacing w:after="0"/>
              <w:jc w:val="both"/>
              <w:textAlignment w:val="baseline"/>
              <w:rPr>
                <w:rFonts w:eastAsia="Times New Roman"/>
                <w:lang w:eastAsia="lv-LV"/>
              </w:rPr>
            </w:pPr>
            <w:r w:rsidRPr="005923C4">
              <w:rPr>
                <w:rFonts w:eastAsia="Times New Roman"/>
                <w:lang w:eastAsia="lv-LV"/>
              </w:rPr>
              <w:t>- drēbju pakaramais EUR 70;</w:t>
            </w:r>
          </w:p>
          <w:p w14:paraId="26572798" w14:textId="77777777" w:rsidR="005923C4" w:rsidRPr="005923C4" w:rsidRDefault="005923C4" w:rsidP="00F01A31">
            <w:pPr>
              <w:suppressAutoHyphens/>
              <w:autoSpaceDN w:val="0"/>
              <w:spacing w:after="0"/>
              <w:jc w:val="both"/>
              <w:textAlignment w:val="baseline"/>
              <w:rPr>
                <w:rFonts w:eastAsia="Times New Roman"/>
                <w:lang w:eastAsia="lv-LV"/>
              </w:rPr>
            </w:pPr>
            <w:r w:rsidRPr="005923C4">
              <w:rPr>
                <w:rFonts w:eastAsia="Times New Roman"/>
                <w:lang w:eastAsia="lv-LV"/>
              </w:rPr>
              <w:t>- darba krēsls  EUR 260 (EUR 130 x 2darb</w:t>
            </w:r>
            <w:r w:rsidR="0016373A">
              <w:rPr>
                <w:rFonts w:eastAsia="Times New Roman"/>
                <w:lang w:eastAsia="lv-LV"/>
              </w:rPr>
              <w:t>inieki</w:t>
            </w:r>
            <w:r w:rsidRPr="005923C4">
              <w:rPr>
                <w:rFonts w:eastAsia="Times New Roman"/>
                <w:lang w:eastAsia="lv-LV"/>
              </w:rPr>
              <w:t>);</w:t>
            </w:r>
          </w:p>
          <w:p w14:paraId="7896CC34" w14:textId="77777777" w:rsidR="005923C4" w:rsidRPr="005923C4" w:rsidRDefault="005923C4" w:rsidP="00F01A31">
            <w:pPr>
              <w:suppressAutoHyphens/>
              <w:autoSpaceDN w:val="0"/>
              <w:spacing w:after="0"/>
              <w:jc w:val="both"/>
              <w:textAlignment w:val="baseline"/>
              <w:rPr>
                <w:rFonts w:eastAsia="Times New Roman"/>
                <w:lang w:eastAsia="lv-LV"/>
              </w:rPr>
            </w:pPr>
            <w:r w:rsidRPr="005923C4">
              <w:rPr>
                <w:rFonts w:eastAsia="Times New Roman"/>
                <w:lang w:eastAsia="lv-LV"/>
              </w:rPr>
              <w:t>- zems dokumentu skapis EUR 570 (EUR 285 x 2darb</w:t>
            </w:r>
            <w:r w:rsidR="0016373A">
              <w:rPr>
                <w:rFonts w:eastAsia="Times New Roman"/>
                <w:lang w:eastAsia="lv-LV"/>
              </w:rPr>
              <w:t>inieki</w:t>
            </w:r>
            <w:r w:rsidRPr="005923C4">
              <w:rPr>
                <w:rFonts w:eastAsia="Times New Roman"/>
                <w:lang w:eastAsia="lv-LV"/>
              </w:rPr>
              <w:t>).</w:t>
            </w:r>
          </w:p>
          <w:p w14:paraId="4C24ECDD" w14:textId="77777777" w:rsidR="005923C4" w:rsidRPr="005923C4" w:rsidRDefault="005923C4" w:rsidP="00F01A31">
            <w:pPr>
              <w:suppressAutoHyphens/>
              <w:autoSpaceDN w:val="0"/>
              <w:spacing w:after="0"/>
              <w:jc w:val="both"/>
              <w:textAlignment w:val="baseline"/>
              <w:rPr>
                <w:rFonts w:eastAsia="Times New Roman"/>
                <w:lang w:eastAsia="lv-LV"/>
              </w:rPr>
            </w:pPr>
          </w:p>
          <w:p w14:paraId="3F9FAB6F" w14:textId="77777777" w:rsidR="005923C4" w:rsidRPr="005923C4" w:rsidRDefault="005923C4" w:rsidP="00F01A31">
            <w:pPr>
              <w:suppressAutoHyphens/>
              <w:autoSpaceDN w:val="0"/>
              <w:spacing w:after="0"/>
              <w:jc w:val="both"/>
              <w:textAlignment w:val="baseline"/>
              <w:rPr>
                <w:rFonts w:eastAsia="Times New Roman"/>
                <w:b/>
                <w:bCs/>
                <w:lang w:eastAsia="lv-LV"/>
              </w:rPr>
            </w:pPr>
            <w:r w:rsidRPr="005923C4">
              <w:rPr>
                <w:rFonts w:eastAsia="Times New Roman"/>
                <w:b/>
                <w:bCs/>
                <w:lang w:eastAsia="lv-LV"/>
              </w:rPr>
              <w:t>V Paraugu ekspertīzes</w:t>
            </w:r>
          </w:p>
          <w:p w14:paraId="6B80904C" w14:textId="77777777" w:rsidR="005923C4" w:rsidRPr="005923C4" w:rsidRDefault="005923C4" w:rsidP="00F01A31">
            <w:pPr>
              <w:numPr>
                <w:ilvl w:val="0"/>
                <w:numId w:val="5"/>
              </w:numPr>
              <w:suppressAutoHyphens/>
              <w:autoSpaceDN w:val="0"/>
              <w:spacing w:after="0"/>
              <w:contextualSpacing/>
              <w:jc w:val="both"/>
              <w:textAlignment w:val="baseline"/>
              <w:rPr>
                <w:rFonts w:eastAsia="Times New Roman"/>
                <w:lang w:eastAsia="lv-LV"/>
              </w:rPr>
            </w:pPr>
            <w:r w:rsidRPr="005923C4">
              <w:rPr>
                <w:rFonts w:eastAsia="Times New Roman"/>
                <w:lang w:eastAsia="lv-LV"/>
              </w:rPr>
              <w:t>Vidēji 5 paraugi gadā, kur viena parauga ekspertīze varētu maksāt 5000 EUR, kopā 25 000 EUR gadā.</w:t>
            </w:r>
          </w:p>
          <w:p w14:paraId="3E2C9EAF" w14:textId="77777777" w:rsidR="005923C4" w:rsidRPr="005923C4" w:rsidRDefault="005923C4" w:rsidP="00F01A31">
            <w:pPr>
              <w:suppressAutoHyphens/>
              <w:autoSpaceDN w:val="0"/>
              <w:spacing w:after="0"/>
              <w:jc w:val="both"/>
              <w:textAlignment w:val="baseline"/>
              <w:rPr>
                <w:rFonts w:eastAsia="Times New Roman"/>
                <w:lang w:eastAsia="lv-LV"/>
              </w:rPr>
            </w:pPr>
          </w:p>
          <w:p w14:paraId="50D068C7" w14:textId="77777777" w:rsidR="005923C4" w:rsidRPr="005923C4" w:rsidRDefault="005923C4" w:rsidP="00F01A31">
            <w:pPr>
              <w:suppressAutoHyphens/>
              <w:autoSpaceDN w:val="0"/>
              <w:spacing w:after="0"/>
              <w:jc w:val="both"/>
              <w:textAlignment w:val="baseline"/>
              <w:rPr>
                <w:rFonts w:eastAsia="Times New Roman"/>
                <w:lang w:eastAsia="lv-LV"/>
              </w:rPr>
            </w:pPr>
            <w:r w:rsidRPr="005923C4">
              <w:rPr>
                <w:rFonts w:eastAsia="Times New Roman"/>
                <w:b/>
                <w:lang w:eastAsia="lv-LV"/>
              </w:rPr>
              <w:t>2020. gadā un nākamajos gados</w:t>
            </w:r>
            <w:r w:rsidRPr="005923C4">
              <w:rPr>
                <w:rFonts w:eastAsia="Times New Roman"/>
                <w:lang w:eastAsia="lv-LV"/>
              </w:rPr>
              <w:t xml:space="preserve"> budžeta izdevumi kapitālo izmaksu pozīcijā samazināsies un veidos </w:t>
            </w:r>
            <w:r w:rsidRPr="005923C4">
              <w:rPr>
                <w:rFonts w:eastAsia="Times New Roman"/>
                <w:b/>
                <w:lang w:eastAsia="lv-LV"/>
              </w:rPr>
              <w:t>EUR</w:t>
            </w:r>
            <w:r w:rsidRPr="005923C4">
              <w:rPr>
                <w:rFonts w:eastAsia="Times New Roman"/>
                <w:lang w:eastAsia="lv-LV"/>
              </w:rPr>
              <w:t xml:space="preserve"> </w:t>
            </w:r>
            <w:r w:rsidRPr="005923C4">
              <w:rPr>
                <w:rFonts w:eastAsia="Calibri"/>
                <w:b/>
                <w:lang w:eastAsia="lv-LV"/>
              </w:rPr>
              <w:t>54865,20</w:t>
            </w:r>
            <w:r w:rsidRPr="005923C4">
              <w:rPr>
                <w:rFonts w:eastAsia="Times New Roman"/>
                <w:b/>
                <w:bCs/>
                <w:lang w:eastAsia="lv-LV"/>
              </w:rPr>
              <w:t xml:space="preserve"> </w:t>
            </w:r>
            <w:r w:rsidRPr="005923C4">
              <w:rPr>
                <w:rFonts w:eastAsia="Times New Roman"/>
                <w:lang w:eastAsia="lv-LV"/>
              </w:rPr>
              <w:t>gadā (EUR 27432,60 uz vienu darbinieku).</w:t>
            </w:r>
          </w:p>
          <w:p w14:paraId="665085E3" w14:textId="77777777" w:rsidR="005923C4" w:rsidRPr="005923C4" w:rsidRDefault="005923C4" w:rsidP="00F01A31">
            <w:pPr>
              <w:suppressAutoHyphens/>
              <w:autoSpaceDN w:val="0"/>
              <w:spacing w:after="0"/>
              <w:jc w:val="both"/>
              <w:textAlignment w:val="baseline"/>
              <w:rPr>
                <w:rFonts w:eastAsia="Times New Roman"/>
                <w:lang w:eastAsia="lv-LV"/>
              </w:rPr>
            </w:pPr>
          </w:p>
          <w:p w14:paraId="3A2D4F60" w14:textId="77777777" w:rsidR="005923C4" w:rsidRPr="005923C4" w:rsidRDefault="005923C4" w:rsidP="00F01A31">
            <w:pPr>
              <w:suppressAutoHyphens/>
              <w:autoSpaceDN w:val="0"/>
              <w:spacing w:after="0"/>
              <w:jc w:val="both"/>
              <w:textAlignment w:val="baseline"/>
              <w:rPr>
                <w:rFonts w:eastAsia="Calibri"/>
                <w:color w:val="FF0000"/>
              </w:rPr>
            </w:pPr>
            <w:r w:rsidRPr="005923C4">
              <w:rPr>
                <w:rFonts w:eastAsia="Times New Roman"/>
                <w:lang w:eastAsia="lv-LV"/>
              </w:rPr>
              <w:t xml:space="preserve">2020.gadā un turpmāk katram otrajam gadam samazināsies materiālā nodrošinājuma pozīcijā ietvertās izmaksas </w:t>
            </w:r>
            <w:r w:rsidR="0016373A">
              <w:rPr>
                <w:rFonts w:eastAsia="Times New Roman"/>
                <w:lang w:eastAsia="lv-LV"/>
              </w:rPr>
              <w:t xml:space="preserve">par </w:t>
            </w:r>
            <w:r w:rsidRPr="005923C4">
              <w:rPr>
                <w:rFonts w:eastAsia="Times New Roman"/>
                <w:lang w:eastAsia="lv-LV"/>
              </w:rPr>
              <w:t>darba krēsliem un drēbju pakaramajiem (-EUR 200).</w:t>
            </w:r>
          </w:p>
          <w:p w14:paraId="774ADDA7" w14:textId="77777777" w:rsidR="005923C4" w:rsidRPr="005923C4" w:rsidRDefault="005923C4" w:rsidP="00430E7C">
            <w:pPr>
              <w:spacing w:after="0"/>
              <w:ind w:right="127"/>
              <w:jc w:val="both"/>
              <w:rPr>
                <w:rFonts w:eastAsia="Calibri"/>
                <w:color w:val="FF0000"/>
              </w:rPr>
            </w:pPr>
          </w:p>
        </w:tc>
      </w:tr>
      <w:tr w:rsidR="005923C4" w:rsidRPr="005923C4" w14:paraId="56304E10" w14:textId="77777777" w:rsidTr="005923C4">
        <w:trPr>
          <w:jc w:val="center"/>
        </w:trPr>
        <w:tc>
          <w:tcPr>
            <w:tcW w:w="1295" w:type="dxa"/>
          </w:tcPr>
          <w:p w14:paraId="6EE42EFB" w14:textId="77777777" w:rsidR="005923C4" w:rsidRPr="005923C4" w:rsidRDefault="005923C4" w:rsidP="005923C4">
            <w:pPr>
              <w:spacing w:after="0"/>
              <w:rPr>
                <w:rFonts w:eastAsia="Times New Roman"/>
                <w:lang w:eastAsia="lv-LV"/>
              </w:rPr>
            </w:pPr>
            <w:r w:rsidRPr="005923C4">
              <w:rPr>
                <w:rFonts w:eastAsia="Times New Roman"/>
                <w:lang w:eastAsia="lv-LV"/>
              </w:rPr>
              <w:t>6.1. detalizēts ieņēmumu aprēķins</w:t>
            </w:r>
          </w:p>
        </w:tc>
        <w:tc>
          <w:tcPr>
            <w:tcW w:w="7761" w:type="dxa"/>
            <w:gridSpan w:val="5"/>
            <w:vMerge/>
          </w:tcPr>
          <w:p w14:paraId="42EB412E" w14:textId="77777777" w:rsidR="005923C4" w:rsidRPr="005923C4" w:rsidRDefault="005923C4" w:rsidP="005923C4">
            <w:pPr>
              <w:spacing w:after="0"/>
              <w:jc w:val="both"/>
              <w:rPr>
                <w:rFonts w:eastAsia="Calibri"/>
                <w:b/>
                <w:i/>
                <w:lang w:eastAsia="lv-LV"/>
              </w:rPr>
            </w:pPr>
          </w:p>
        </w:tc>
      </w:tr>
      <w:tr w:rsidR="005923C4" w:rsidRPr="005923C4" w14:paraId="0C33C8DC" w14:textId="77777777" w:rsidTr="005923C4">
        <w:trPr>
          <w:trHeight w:val="498"/>
          <w:jc w:val="center"/>
        </w:trPr>
        <w:tc>
          <w:tcPr>
            <w:tcW w:w="1295" w:type="dxa"/>
          </w:tcPr>
          <w:p w14:paraId="162F992D" w14:textId="77777777" w:rsidR="005923C4" w:rsidRPr="005923C4" w:rsidRDefault="005923C4" w:rsidP="005923C4">
            <w:pPr>
              <w:spacing w:after="0"/>
              <w:rPr>
                <w:rFonts w:eastAsia="Times New Roman"/>
                <w:lang w:eastAsia="lv-LV"/>
              </w:rPr>
            </w:pPr>
            <w:r w:rsidRPr="005923C4">
              <w:rPr>
                <w:rFonts w:eastAsia="Times New Roman"/>
                <w:lang w:eastAsia="lv-LV"/>
              </w:rPr>
              <w:t>6.2. detalizēts izdevumu aprēķins</w:t>
            </w:r>
          </w:p>
        </w:tc>
        <w:tc>
          <w:tcPr>
            <w:tcW w:w="7761" w:type="dxa"/>
            <w:gridSpan w:val="5"/>
            <w:vMerge/>
          </w:tcPr>
          <w:p w14:paraId="3B141343" w14:textId="77777777" w:rsidR="005923C4" w:rsidRPr="005923C4" w:rsidRDefault="005923C4" w:rsidP="005923C4">
            <w:pPr>
              <w:spacing w:after="0"/>
              <w:jc w:val="both"/>
              <w:rPr>
                <w:rFonts w:eastAsia="Calibri"/>
                <w:b/>
                <w:i/>
                <w:lang w:eastAsia="lv-LV"/>
              </w:rPr>
            </w:pPr>
          </w:p>
        </w:tc>
      </w:tr>
      <w:tr w:rsidR="005923C4" w:rsidRPr="005923C4" w14:paraId="42986D37" w14:textId="77777777" w:rsidTr="005923C4">
        <w:trPr>
          <w:jc w:val="center"/>
        </w:trPr>
        <w:tc>
          <w:tcPr>
            <w:tcW w:w="1295" w:type="dxa"/>
          </w:tcPr>
          <w:p w14:paraId="39AD5965" w14:textId="77777777" w:rsidR="005923C4" w:rsidRPr="005923C4" w:rsidRDefault="005923C4" w:rsidP="005923C4">
            <w:pPr>
              <w:spacing w:after="0"/>
              <w:rPr>
                <w:rFonts w:eastAsia="Times New Roman"/>
                <w:lang w:eastAsia="lv-LV"/>
              </w:rPr>
            </w:pPr>
            <w:r w:rsidRPr="005923C4">
              <w:rPr>
                <w:rFonts w:eastAsia="Times New Roman"/>
                <w:lang w:eastAsia="lv-LV"/>
              </w:rPr>
              <w:t>7. Cita informācija</w:t>
            </w:r>
          </w:p>
        </w:tc>
        <w:tc>
          <w:tcPr>
            <w:tcW w:w="7761" w:type="dxa"/>
            <w:gridSpan w:val="5"/>
          </w:tcPr>
          <w:p w14:paraId="4A4B3761" w14:textId="4BAA5AA9" w:rsidR="005923C4" w:rsidRPr="005923C4" w:rsidRDefault="00794045" w:rsidP="005923C4">
            <w:pPr>
              <w:spacing w:after="0"/>
              <w:ind w:left="94" w:right="127"/>
              <w:jc w:val="both"/>
              <w:rPr>
                <w:rFonts w:eastAsia="Calibri"/>
              </w:rPr>
            </w:pPr>
            <w:r>
              <w:rPr>
                <w:rFonts w:eastAsia="Calibri"/>
              </w:rPr>
              <w:t>Nav attiecināms.</w:t>
            </w:r>
          </w:p>
        </w:tc>
      </w:tr>
    </w:tbl>
    <w:p w14:paraId="6CA29CD0" w14:textId="77777777" w:rsidR="005923C4" w:rsidRDefault="005923C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16211" w:rsidRPr="00516211" w14:paraId="4159FB06" w14:textId="77777777" w:rsidTr="0051621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66BC7E" w14:textId="77777777" w:rsidR="00516211" w:rsidRPr="00516211" w:rsidRDefault="00AA1548" w:rsidP="00516211">
            <w:pPr>
              <w:spacing w:before="100" w:beforeAutospacing="1" w:after="100" w:afterAutospacing="1"/>
              <w:jc w:val="center"/>
              <w:rPr>
                <w:rFonts w:eastAsia="Times New Roman"/>
                <w:b/>
                <w:bCs/>
                <w:lang w:eastAsia="lv-LV"/>
              </w:rPr>
            </w:pPr>
            <w:r>
              <w:br w:type="page"/>
            </w:r>
            <w:r w:rsidR="00516211" w:rsidRPr="00516211">
              <w:rPr>
                <w:rFonts w:eastAsia="Times New Roman"/>
                <w:b/>
                <w:bCs/>
                <w:lang w:eastAsia="lv-LV"/>
              </w:rPr>
              <w:t>IV. Tiesību akta projekta ietekme uz spēkā esošo tiesību normu sistēmu</w:t>
            </w:r>
          </w:p>
        </w:tc>
      </w:tr>
      <w:tr w:rsidR="00516211" w:rsidRPr="00516211" w14:paraId="54775AE2"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FFF96F" w14:textId="77777777" w:rsidR="00516211" w:rsidRPr="00516211" w:rsidRDefault="00516211" w:rsidP="00516211">
            <w:pPr>
              <w:spacing w:before="100" w:beforeAutospacing="1" w:after="100" w:afterAutospacing="1"/>
              <w:jc w:val="center"/>
              <w:rPr>
                <w:rFonts w:eastAsia="Times New Roman"/>
                <w:lang w:eastAsia="lv-LV"/>
              </w:rPr>
            </w:pPr>
            <w:r w:rsidRPr="00516211">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E10F282" w14:textId="77777777" w:rsidR="00516211" w:rsidRPr="00516211" w:rsidRDefault="00516211" w:rsidP="00516211">
            <w:pPr>
              <w:spacing w:after="0"/>
              <w:rPr>
                <w:rFonts w:eastAsia="Times New Roman"/>
                <w:lang w:eastAsia="lv-LV"/>
              </w:rPr>
            </w:pPr>
            <w:r w:rsidRPr="00516211">
              <w:rPr>
                <w:rFonts w:eastAsia="Times New Roman"/>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6B346799" w14:textId="45ABA0FA" w:rsidR="00516211" w:rsidRPr="00B2607B" w:rsidRDefault="00690722" w:rsidP="008C169C">
            <w:pPr>
              <w:spacing w:after="0"/>
              <w:jc w:val="both"/>
              <w:rPr>
                <w:rFonts w:eastAsia="Times New Roman"/>
                <w:lang w:eastAsia="lv-LV"/>
              </w:rPr>
            </w:pPr>
            <w:r>
              <w:rPr>
                <w:rFonts w:eastAsia="Times New Roman"/>
                <w:lang w:eastAsia="lv-LV"/>
              </w:rPr>
              <w:t xml:space="preserve">Tiek izstrādāti  Ministru kabineta noteikumu projekti, kam </w:t>
            </w:r>
            <w:r w:rsidR="00D243D4">
              <w:rPr>
                <w:rFonts w:eastAsia="Times New Roman"/>
                <w:lang w:eastAsia="lv-LV"/>
              </w:rPr>
              <w:t xml:space="preserve">izdošanas </w:t>
            </w:r>
            <w:r>
              <w:rPr>
                <w:rFonts w:eastAsia="Times New Roman"/>
                <w:lang w:eastAsia="lv-LV"/>
              </w:rPr>
              <w:t xml:space="preserve">deleģējums paredzēts </w:t>
            </w:r>
            <w:r w:rsidR="00234A44">
              <w:rPr>
                <w:rFonts w:eastAsia="Times New Roman"/>
                <w:lang w:eastAsia="lv-LV"/>
              </w:rPr>
              <w:t xml:space="preserve">projektā iekļautā </w:t>
            </w:r>
            <w:r>
              <w:t>117</w:t>
            </w:r>
            <w:r w:rsidR="00620F85">
              <w:t>.</w:t>
            </w:r>
            <w:r>
              <w:rPr>
                <w:vertAlign w:val="superscript"/>
              </w:rPr>
              <w:t>2</w:t>
            </w:r>
            <w:r>
              <w:t>panta trešajā, ceturtajā, piektajā un sestajā daļā, 117</w:t>
            </w:r>
            <w:r w:rsidR="00620F85">
              <w:t>.</w:t>
            </w:r>
            <w:r>
              <w:rPr>
                <w:vertAlign w:val="superscript"/>
              </w:rPr>
              <w:t>3</w:t>
            </w:r>
            <w:r>
              <w:t>panta trešajā daļā, 117</w:t>
            </w:r>
            <w:r w:rsidR="00620F85">
              <w:t>.</w:t>
            </w:r>
            <w:r>
              <w:rPr>
                <w:vertAlign w:val="superscript"/>
              </w:rPr>
              <w:t>4</w:t>
            </w:r>
            <w:r>
              <w:t>pantā, 117</w:t>
            </w:r>
            <w:r w:rsidR="00620F85">
              <w:t>.</w:t>
            </w:r>
            <w:r>
              <w:rPr>
                <w:vertAlign w:val="superscript"/>
              </w:rPr>
              <w:t>5</w:t>
            </w:r>
            <w:r>
              <w:t>panta trešajā daļā, 117</w:t>
            </w:r>
            <w:r w:rsidR="00620F85">
              <w:t>.</w:t>
            </w:r>
            <w:r>
              <w:rPr>
                <w:vertAlign w:val="superscript"/>
              </w:rPr>
              <w:t>6</w:t>
            </w:r>
            <w:r>
              <w:t>panta otrajā daļā, 117</w:t>
            </w:r>
            <w:r w:rsidR="00620F85">
              <w:t>.</w:t>
            </w:r>
            <w:r>
              <w:rPr>
                <w:vertAlign w:val="superscript"/>
              </w:rPr>
              <w:t>7</w:t>
            </w:r>
            <w:r>
              <w:t>pantā, 117</w:t>
            </w:r>
            <w:r w:rsidR="00620F85">
              <w:t>.</w:t>
            </w:r>
            <w:r>
              <w:rPr>
                <w:vertAlign w:val="superscript"/>
              </w:rPr>
              <w:t>10</w:t>
            </w:r>
            <w:r>
              <w:t>panta otrajā daļā un 117</w:t>
            </w:r>
            <w:r w:rsidR="00620F85">
              <w:t>.</w:t>
            </w:r>
            <w:r>
              <w:rPr>
                <w:vertAlign w:val="superscript"/>
              </w:rPr>
              <w:t>13</w:t>
            </w:r>
            <w:r>
              <w:t xml:space="preserve">pantā. Tiks vērtēta nepieciešamība veikt grozījumus spēkā esošajos Ministru kabineta noteikumos, kuri paredz Latvijas gaisa telpas izmantošanas noteikumus, </w:t>
            </w:r>
            <w:r w:rsidR="00234A44">
              <w:t xml:space="preserve">lai </w:t>
            </w:r>
            <w:r>
              <w:t>tos pielāgot</w:t>
            </w:r>
            <w:r w:rsidR="00234A44">
              <w:t>u</w:t>
            </w:r>
            <w:r>
              <w:t xml:space="preserve"> bezpilota gaisa kuģu jomai.  </w:t>
            </w:r>
          </w:p>
        </w:tc>
      </w:tr>
      <w:tr w:rsidR="00516211" w:rsidRPr="00516211" w14:paraId="0BED6423"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E66526" w14:textId="77777777" w:rsidR="00516211" w:rsidRPr="00516211" w:rsidRDefault="00516211" w:rsidP="00516211">
            <w:pPr>
              <w:spacing w:before="100" w:beforeAutospacing="1" w:after="100" w:afterAutospacing="1"/>
              <w:jc w:val="center"/>
              <w:rPr>
                <w:rFonts w:eastAsia="Times New Roman"/>
                <w:lang w:eastAsia="lv-LV"/>
              </w:rPr>
            </w:pPr>
            <w:r w:rsidRPr="00516211">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EC31C7F" w14:textId="77777777" w:rsidR="00516211" w:rsidRPr="00516211" w:rsidRDefault="00516211" w:rsidP="00516211">
            <w:pPr>
              <w:spacing w:after="0"/>
              <w:rPr>
                <w:rFonts w:eastAsia="Times New Roman"/>
                <w:lang w:eastAsia="lv-LV"/>
              </w:rPr>
            </w:pPr>
            <w:r w:rsidRPr="00516211">
              <w:rPr>
                <w:rFonts w:eastAsia="Times New Roman"/>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1E292F19" w14:textId="77777777" w:rsidR="00516211" w:rsidRDefault="00411269" w:rsidP="00516211">
            <w:pPr>
              <w:spacing w:after="0"/>
              <w:rPr>
                <w:rFonts w:eastAsia="Times New Roman"/>
                <w:lang w:eastAsia="lv-LV"/>
              </w:rPr>
            </w:pPr>
            <w:r>
              <w:rPr>
                <w:rFonts w:eastAsia="Times New Roman"/>
                <w:lang w:eastAsia="lv-LV"/>
              </w:rPr>
              <w:t>Satiksmes ministrija</w:t>
            </w:r>
          </w:p>
          <w:p w14:paraId="2D009F56" w14:textId="77777777" w:rsidR="00516211" w:rsidRPr="00516211" w:rsidRDefault="00516211" w:rsidP="00516211">
            <w:pPr>
              <w:spacing w:after="0"/>
              <w:rPr>
                <w:rFonts w:eastAsia="Times New Roman"/>
                <w:lang w:eastAsia="lv-LV"/>
              </w:rPr>
            </w:pPr>
          </w:p>
        </w:tc>
      </w:tr>
      <w:tr w:rsidR="00516211" w:rsidRPr="00516211" w14:paraId="38917858"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27478A" w14:textId="77777777" w:rsidR="00516211" w:rsidRPr="00516211" w:rsidRDefault="00516211" w:rsidP="00516211">
            <w:pPr>
              <w:spacing w:before="100" w:beforeAutospacing="1" w:after="100" w:afterAutospacing="1"/>
              <w:jc w:val="center"/>
              <w:rPr>
                <w:rFonts w:eastAsia="Times New Roman"/>
                <w:lang w:eastAsia="lv-LV"/>
              </w:rPr>
            </w:pPr>
            <w:r w:rsidRPr="00516211">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6F05525" w14:textId="77777777" w:rsidR="00516211" w:rsidRPr="00516211" w:rsidRDefault="00516211" w:rsidP="00516211">
            <w:pPr>
              <w:spacing w:after="0"/>
              <w:rPr>
                <w:rFonts w:eastAsia="Times New Roman"/>
                <w:lang w:eastAsia="lv-LV"/>
              </w:rPr>
            </w:pPr>
            <w:r w:rsidRPr="00516211">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CFF4861" w14:textId="77777777" w:rsidR="00516211" w:rsidRPr="00B2607B" w:rsidRDefault="00CF694B" w:rsidP="009315D3">
            <w:pPr>
              <w:spacing w:after="0"/>
              <w:jc w:val="both"/>
              <w:rPr>
                <w:rFonts w:eastAsia="Times New Roman"/>
                <w:lang w:eastAsia="lv-LV"/>
              </w:rPr>
            </w:pPr>
            <w:r w:rsidRPr="00B2607B">
              <w:rPr>
                <w:rFonts w:eastAsia="Times New Roman"/>
                <w:lang w:eastAsia="lv-LV"/>
              </w:rPr>
              <w:t>Ministru kabineta noteikumu projekt</w:t>
            </w:r>
            <w:r w:rsidR="00B2607B" w:rsidRPr="00B2607B">
              <w:rPr>
                <w:rFonts w:eastAsia="Times New Roman"/>
                <w:lang w:eastAsia="lv-LV"/>
              </w:rPr>
              <w:t>i</w:t>
            </w:r>
            <w:r w:rsidR="007E2F3D" w:rsidRPr="00B2607B">
              <w:rPr>
                <w:rFonts w:eastAsia="Times New Roman"/>
                <w:lang w:eastAsia="lv-LV"/>
              </w:rPr>
              <w:t xml:space="preserve"> </w:t>
            </w:r>
            <w:r w:rsidR="00A168AF" w:rsidRPr="00B2607B">
              <w:rPr>
                <w:rFonts w:eastAsia="Times New Roman"/>
                <w:lang w:eastAsia="lv-LV"/>
              </w:rPr>
              <w:t>uz Ministru kabinetu tiks virzīt</w:t>
            </w:r>
            <w:r w:rsidR="00B2607B" w:rsidRPr="00B2607B">
              <w:rPr>
                <w:rFonts w:eastAsia="Times New Roman"/>
                <w:lang w:eastAsia="lv-LV"/>
              </w:rPr>
              <w:t>i</w:t>
            </w:r>
            <w:r w:rsidR="00A168AF" w:rsidRPr="00B2607B">
              <w:rPr>
                <w:rFonts w:eastAsia="Times New Roman"/>
                <w:lang w:eastAsia="lv-LV"/>
              </w:rPr>
              <w:t xml:space="preserve"> tikai tad, kad </w:t>
            </w:r>
            <w:r w:rsidR="00DE042D" w:rsidRPr="00B2607B">
              <w:rPr>
                <w:rFonts w:eastAsia="Times New Roman"/>
                <w:lang w:eastAsia="lv-LV"/>
              </w:rPr>
              <w:t>p</w:t>
            </w:r>
            <w:r w:rsidR="00A168AF" w:rsidRPr="00B2607B">
              <w:rPr>
                <w:rFonts w:eastAsia="Times New Roman"/>
                <w:lang w:eastAsia="lv-LV"/>
              </w:rPr>
              <w:t>rojekts Saeimā tiks pieņemts vismaz 2.lasījumā.</w:t>
            </w:r>
          </w:p>
          <w:p w14:paraId="48888635" w14:textId="77777777" w:rsidR="00516211" w:rsidRPr="00516211" w:rsidRDefault="00516211" w:rsidP="00B2607B">
            <w:pPr>
              <w:spacing w:after="0"/>
              <w:jc w:val="both"/>
              <w:rPr>
                <w:rFonts w:eastAsia="Times New Roman"/>
                <w:lang w:eastAsia="lv-LV"/>
              </w:rPr>
            </w:pPr>
          </w:p>
        </w:tc>
      </w:tr>
    </w:tbl>
    <w:p w14:paraId="3FC2A0AF" w14:textId="77777777" w:rsidR="008C0EDC" w:rsidRPr="008C0EDC" w:rsidRDefault="00516211" w:rsidP="008C0EDC">
      <w:pPr>
        <w:spacing w:after="0"/>
        <w:rPr>
          <w:rFonts w:eastAsia="Times New Roman"/>
          <w:lang w:eastAsia="lv-LV"/>
        </w:rPr>
      </w:pPr>
      <w:r w:rsidRPr="00516211">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8C0EDC" w14:paraId="656C370A"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9B35D0"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V. Tiesību akta projekta atbilstība Latvijas Republikas starptautiskajām saistībām</w:t>
            </w:r>
          </w:p>
        </w:tc>
      </w:tr>
      <w:tr w:rsidR="008C0EDC" w:rsidRPr="008C0EDC" w14:paraId="2C7E439F"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88699B"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3481329" w14:textId="77777777" w:rsidR="008C0EDC" w:rsidRPr="008C0EDC" w:rsidRDefault="008C0EDC" w:rsidP="008C0EDC">
            <w:pPr>
              <w:spacing w:after="0"/>
              <w:rPr>
                <w:rFonts w:eastAsia="Times New Roman"/>
                <w:lang w:eastAsia="lv-LV"/>
              </w:rPr>
            </w:pPr>
            <w:r w:rsidRPr="008C0EDC">
              <w:rPr>
                <w:rFonts w:eastAsia="Times New Roman"/>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1F13DA0C" w14:textId="77777777" w:rsidR="00E00EE9" w:rsidRDefault="00E00EE9" w:rsidP="00E00EE9">
            <w:pPr>
              <w:spacing w:before="120" w:after="0"/>
              <w:jc w:val="both"/>
              <w:rPr>
                <w:rFonts w:eastAsia="Calibri"/>
              </w:rPr>
            </w:pPr>
            <w:r w:rsidRPr="006A3C13">
              <w:rPr>
                <w:rFonts w:eastAsia="Calibri"/>
              </w:rPr>
              <w:t xml:space="preserve">Eiropas Parlamenta un Padomes </w:t>
            </w:r>
            <w:r>
              <w:rPr>
                <w:rFonts w:eastAsia="Calibri"/>
              </w:rPr>
              <w:t xml:space="preserve">2018. gada 4. jūlija </w:t>
            </w:r>
            <w:r w:rsidRPr="006A3C13">
              <w:rPr>
                <w:rFonts w:eastAsia="Calibri"/>
              </w:rPr>
              <w:t xml:space="preserve">Regula (ES) 2018/1139 par kopīgiem noteikumiem </w:t>
            </w:r>
            <w:r w:rsidR="0016373A" w:rsidRPr="006A3C13">
              <w:rPr>
                <w:rFonts w:eastAsia="Calibri"/>
              </w:rPr>
              <w:t xml:space="preserve"> civilās aviācijas jomā un ar ko izveido Eiropas Savienības Aviācijas drošības aģentūru, un ar ko groza Eiropas Parlamenta un Padomes Regulas (EK) Nr.2111/2005, (EK) Nr. 1008/2008, (ES) Nr.</w:t>
            </w:r>
            <w:r w:rsidR="0016373A">
              <w:rPr>
                <w:rFonts w:eastAsia="Calibri"/>
              </w:rPr>
              <w:t xml:space="preserve"> </w:t>
            </w:r>
            <w:r w:rsidR="0016373A" w:rsidRPr="006A3C13">
              <w:rPr>
                <w:rFonts w:eastAsia="Calibri"/>
              </w:rPr>
              <w:t>996/2010, (ES) Nr. 376/2014 un Direktīvas 2014/30/ES un 2014/53/ES un atceļ Eiropas Parlamenta un Padomes Regulas (EK) Nr. 552/2004 un (EK) Nr. 216/2008 un Padomes Regulu (EEK) Nr.</w:t>
            </w:r>
            <w:r w:rsidR="0016373A">
              <w:rPr>
                <w:rFonts w:eastAsia="Calibri"/>
              </w:rPr>
              <w:t> </w:t>
            </w:r>
            <w:r w:rsidR="0016373A" w:rsidRPr="006A3C13">
              <w:rPr>
                <w:rFonts w:eastAsia="Calibri"/>
              </w:rPr>
              <w:t>3922/91 (</w:t>
            </w:r>
            <w:r w:rsidR="0075490C">
              <w:rPr>
                <w:rFonts w:eastAsia="Calibri"/>
              </w:rPr>
              <w:t xml:space="preserve"> </w:t>
            </w:r>
            <w:r w:rsidR="0016373A" w:rsidRPr="006A3C13">
              <w:rPr>
                <w:rFonts w:eastAsia="Calibri"/>
              </w:rPr>
              <w:t>1</w:t>
            </w:r>
            <w:r w:rsidR="0075490C">
              <w:rPr>
                <w:rFonts w:eastAsia="Calibri"/>
              </w:rPr>
              <w:t xml:space="preserve"> </w:t>
            </w:r>
            <w:r w:rsidR="0016373A" w:rsidRPr="006A3C13">
              <w:rPr>
                <w:rFonts w:eastAsia="Calibri"/>
              </w:rPr>
              <w:t>)</w:t>
            </w:r>
            <w:r w:rsidR="0016373A">
              <w:rPr>
                <w:rFonts w:eastAsia="Calibri"/>
              </w:rPr>
              <w:t xml:space="preserve"> (</w:t>
            </w:r>
            <w:r w:rsidR="0016373A" w:rsidRPr="00821822">
              <w:rPr>
                <w:rFonts w:eastAsia="Times New Roman"/>
                <w:lang w:eastAsia="lv-LV"/>
              </w:rPr>
              <w:t>publicēta “Eiropas Savienības Oficiālajā Vēstnesī”</w:t>
            </w:r>
            <w:r w:rsidR="0075490C">
              <w:rPr>
                <w:rFonts w:eastAsia="Times New Roman"/>
                <w:lang w:eastAsia="lv-LV"/>
              </w:rPr>
              <w:t xml:space="preserve"> </w:t>
            </w:r>
            <w:r w:rsidR="0016373A">
              <w:rPr>
                <w:rFonts w:eastAsia="Calibri"/>
              </w:rPr>
              <w:t>L 212 22.08.2018)</w:t>
            </w:r>
          </w:p>
          <w:p w14:paraId="57A0C324" w14:textId="77777777" w:rsidR="00E00EE9" w:rsidRPr="00821822" w:rsidRDefault="00E00EE9" w:rsidP="00E00EE9">
            <w:pPr>
              <w:spacing w:before="120" w:after="0"/>
              <w:jc w:val="both"/>
              <w:rPr>
                <w:rFonts w:eastAsia="Times New Roman"/>
                <w:lang w:eastAsia="lv-LV"/>
              </w:rPr>
            </w:pPr>
            <w:r w:rsidRPr="00821822">
              <w:rPr>
                <w:rFonts w:eastAsia="Calibri"/>
              </w:rPr>
              <w:t xml:space="preserve">Komisijas 2019. gada  24. maija  Īstenošanas Regula (ES) 2019/947 par bezpilota gaisa kuģu ekspluatācijas noteikumiem un procedūrām </w:t>
            </w:r>
            <w:r w:rsidRPr="00821822">
              <w:rPr>
                <w:rFonts w:eastAsia="Times New Roman"/>
                <w:lang w:eastAsia="lv-LV"/>
              </w:rPr>
              <w:t xml:space="preserve">(publicēta “Eiropas Savienības Oficiālajā Vēstnesī” </w:t>
            </w:r>
            <w:r>
              <w:rPr>
                <w:rFonts w:eastAsia="Times New Roman"/>
                <w:lang w:eastAsia="lv-LV"/>
              </w:rPr>
              <w:t xml:space="preserve">L 152 </w:t>
            </w:r>
            <w:r w:rsidRPr="00821822">
              <w:rPr>
                <w:rFonts w:eastAsia="Times New Roman"/>
                <w:lang w:eastAsia="lv-LV"/>
              </w:rPr>
              <w:t xml:space="preserve">24.05.2019) </w:t>
            </w:r>
          </w:p>
          <w:p w14:paraId="4D6B328A" w14:textId="77777777" w:rsidR="00E00EE9" w:rsidRPr="00821822" w:rsidRDefault="00E00EE9" w:rsidP="00E00EE9">
            <w:pPr>
              <w:spacing w:before="120" w:after="0"/>
              <w:jc w:val="both"/>
              <w:rPr>
                <w:rFonts w:eastAsia="Times New Roman"/>
                <w:lang w:eastAsia="lv-LV"/>
              </w:rPr>
            </w:pPr>
          </w:p>
          <w:p w14:paraId="247EB8A4" w14:textId="77777777" w:rsidR="000270AD" w:rsidRPr="008C0EDC" w:rsidRDefault="00E00EE9" w:rsidP="00E00EE9">
            <w:pPr>
              <w:spacing w:before="120" w:after="0"/>
              <w:jc w:val="both"/>
              <w:rPr>
                <w:rFonts w:eastAsia="Times New Roman"/>
                <w:lang w:eastAsia="lv-LV"/>
              </w:rPr>
            </w:pPr>
            <w:r w:rsidRPr="00821822">
              <w:rPr>
                <w:rFonts w:eastAsia="Times New Roman"/>
                <w:lang w:eastAsia="lv-LV"/>
              </w:rPr>
              <w:t>Komisijas 2019. gada 12. marta Deleģēt</w:t>
            </w:r>
            <w:r w:rsidR="0016373A">
              <w:rPr>
                <w:rFonts w:eastAsia="Times New Roman"/>
                <w:lang w:eastAsia="lv-LV"/>
              </w:rPr>
              <w:t>ā</w:t>
            </w:r>
            <w:r w:rsidRPr="00821822">
              <w:rPr>
                <w:rFonts w:eastAsia="Times New Roman"/>
                <w:lang w:eastAsia="lv-LV"/>
              </w:rPr>
              <w:t xml:space="preserve"> regul</w:t>
            </w:r>
            <w:r w:rsidR="0016373A">
              <w:rPr>
                <w:rFonts w:eastAsia="Times New Roman"/>
                <w:lang w:eastAsia="lv-LV"/>
              </w:rPr>
              <w:t>a</w:t>
            </w:r>
            <w:r w:rsidRPr="00821822">
              <w:rPr>
                <w:rFonts w:eastAsia="Times New Roman"/>
                <w:lang w:eastAsia="lv-LV"/>
              </w:rPr>
              <w:t xml:space="preserve"> (ES) 2019/945 par bezpilota gaisa kuģu sistēmām un trešo valstu bezpilota gaisa kuģu sistēmu ekspluatantiem (publicēta “Eiropas Savienības Oficiālajā Vēstnes</w:t>
            </w:r>
            <w:r>
              <w:rPr>
                <w:rFonts w:eastAsia="Times New Roman"/>
                <w:lang w:eastAsia="lv-LV"/>
              </w:rPr>
              <w:t>ī L 152</w:t>
            </w:r>
            <w:r w:rsidRPr="00821822">
              <w:rPr>
                <w:rFonts w:eastAsia="Times New Roman"/>
                <w:lang w:eastAsia="lv-LV"/>
              </w:rPr>
              <w:t xml:space="preserve"> 12.03.2019)</w:t>
            </w:r>
          </w:p>
        </w:tc>
      </w:tr>
      <w:tr w:rsidR="008C0EDC" w:rsidRPr="008C0EDC" w14:paraId="5CD2A398"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F4EEA7"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741F83" w14:textId="77777777" w:rsidR="008C0EDC" w:rsidRPr="008C0EDC" w:rsidRDefault="008C0EDC" w:rsidP="008C0EDC">
            <w:pPr>
              <w:spacing w:after="0"/>
              <w:rPr>
                <w:rFonts w:eastAsia="Times New Roman"/>
                <w:lang w:eastAsia="lv-LV"/>
              </w:rPr>
            </w:pPr>
            <w:r w:rsidRPr="008C0EDC">
              <w:rPr>
                <w:rFonts w:eastAsia="Times New Roman"/>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46E9A9D3" w14:textId="77777777" w:rsidR="00DE6F38" w:rsidRPr="00DE6F38" w:rsidRDefault="00DE6F38" w:rsidP="00DE6F38">
            <w:pPr>
              <w:jc w:val="both"/>
              <w:rPr>
                <w:rFonts w:eastAsia="Calibri"/>
              </w:rPr>
            </w:pPr>
            <w:r w:rsidRPr="00DE6F38">
              <w:rPr>
                <w:rFonts w:eastAsia="Calibri"/>
                <w:bCs/>
              </w:rPr>
              <w:t xml:space="preserve">1944.gada 7.decembra Konvencijas par starptautisko civilo aviāciju </w:t>
            </w:r>
            <w:r w:rsidRPr="00DE6F38">
              <w:rPr>
                <w:rFonts w:eastAsia="Calibri"/>
              </w:rPr>
              <w:t xml:space="preserve">3. bis panta b) un c) punktā, 8.pantā, 12.pantā, 15.pantā, 29.pantā, 31.pantā, 32.pantā, 33.pantā un 2.pielikuma 4.papildinājumā ir paredzētas tiesības un pienākumi, par ko dalībvalstis, tajā skaitā  Latvija, ir vienojušās un kuras principiāli tiek piemērotas arī bezpilota gaisa kuģiem. </w:t>
            </w:r>
          </w:p>
          <w:p w14:paraId="0D24EE32" w14:textId="77777777" w:rsidR="00FA1AC8" w:rsidRPr="00061295" w:rsidRDefault="00DE6F38" w:rsidP="00DE6F38">
            <w:pPr>
              <w:spacing w:after="0"/>
              <w:jc w:val="both"/>
              <w:rPr>
                <w:rFonts w:eastAsia="Times New Roman"/>
                <w:highlight w:val="yellow"/>
                <w:lang w:eastAsia="lv-LV"/>
              </w:rPr>
            </w:pPr>
            <w:r w:rsidRPr="00DE6F38">
              <w:rPr>
                <w:rFonts w:eastAsia="Calibri"/>
              </w:rPr>
              <w:t>ICAO Ģenerālsekretārs 2015. gadā ir apstiprinājis dokumentu “Rokasgrāmata par tālvadības gaisa kuģu sistēmām” (Doc 10019). Šā ICAO dokumenta mērķis ir sniegt darbības vadlīnijas, kas saistītas ar tālvadības gaisa kuģu integrēšanu gaisa telpā un lidlauku izmantošanu.</w:t>
            </w:r>
          </w:p>
        </w:tc>
      </w:tr>
      <w:tr w:rsidR="008C0EDC" w:rsidRPr="008C0EDC" w14:paraId="6A54B9A9"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DAD73D"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17FEA8B"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355B6DA" w14:textId="77777777" w:rsidR="008C0EDC" w:rsidRPr="0045152E" w:rsidRDefault="00652F9B" w:rsidP="0045152E">
            <w:pPr>
              <w:spacing w:after="0"/>
              <w:jc w:val="both"/>
            </w:pPr>
            <w:r w:rsidRPr="00061295">
              <w:t>Nav.</w:t>
            </w:r>
            <w:r w:rsidR="001F2184">
              <w:t xml:space="preserve"> </w:t>
            </w:r>
          </w:p>
        </w:tc>
      </w:tr>
    </w:tbl>
    <w:p w14:paraId="4F637AE2" w14:textId="77777777" w:rsidR="00E00EE9" w:rsidRDefault="00E00EE9" w:rsidP="008C0EDC">
      <w:pPr>
        <w:spacing w:after="0"/>
        <w:rPr>
          <w:rFonts w:eastAsia="Times New Roman"/>
          <w:lang w:eastAsia="lv-LV"/>
        </w:rPr>
      </w:pPr>
    </w:p>
    <w:p w14:paraId="366E1EEC" w14:textId="77777777" w:rsidR="00E00EE9" w:rsidRPr="008C0EDC" w:rsidRDefault="00E00EE9"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4"/>
        <w:gridCol w:w="2045"/>
        <w:gridCol w:w="2165"/>
        <w:gridCol w:w="3121"/>
      </w:tblGrid>
      <w:tr w:rsidR="00821822" w:rsidRPr="008C0EDC" w14:paraId="0C64197C" w14:textId="77777777" w:rsidTr="006733B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9A51003" w14:textId="77777777" w:rsidR="00821822" w:rsidRPr="008C0EDC" w:rsidRDefault="00821822" w:rsidP="006733BE">
            <w:pPr>
              <w:spacing w:before="100" w:beforeAutospacing="1" w:after="100" w:afterAutospacing="1"/>
              <w:jc w:val="center"/>
              <w:rPr>
                <w:rFonts w:eastAsia="Times New Roman"/>
                <w:b/>
                <w:bCs/>
                <w:lang w:eastAsia="lv-LV"/>
              </w:rPr>
            </w:pPr>
            <w:r w:rsidRPr="008C0EDC">
              <w:rPr>
                <w:rFonts w:eastAsia="Times New Roman"/>
                <w:b/>
                <w:bCs/>
                <w:lang w:eastAsia="lv-LV"/>
              </w:rPr>
              <w:t>1. tabula</w:t>
            </w:r>
            <w:r w:rsidRPr="008C0EDC">
              <w:rPr>
                <w:rFonts w:eastAsia="Times New Roman"/>
                <w:b/>
                <w:bCs/>
                <w:lang w:eastAsia="lv-LV"/>
              </w:rPr>
              <w:br/>
              <w:t>Tiesību akta projekta atbilstība ES tiesību aktiem</w:t>
            </w:r>
          </w:p>
        </w:tc>
      </w:tr>
      <w:tr w:rsidR="00821822" w:rsidRPr="008C0EDC" w14:paraId="61E3C3D5"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hideMark/>
          </w:tcPr>
          <w:p w14:paraId="77326E14" w14:textId="77777777" w:rsidR="00821822" w:rsidRPr="008C0EDC" w:rsidRDefault="00821822" w:rsidP="006733BE">
            <w:pPr>
              <w:spacing w:after="0"/>
              <w:rPr>
                <w:rFonts w:eastAsia="Times New Roman"/>
                <w:lang w:eastAsia="lv-LV"/>
              </w:rPr>
            </w:pPr>
            <w:r w:rsidRPr="008C0EDC">
              <w:rPr>
                <w:rFonts w:eastAsia="Times New Roman"/>
                <w:lang w:eastAsia="lv-LV"/>
              </w:rPr>
              <w:t>Attiecīgā ES tiesību akta datums, numurs un nosaukums</w:t>
            </w:r>
          </w:p>
        </w:tc>
        <w:tc>
          <w:tcPr>
            <w:tcW w:w="4014" w:type="pct"/>
            <w:gridSpan w:val="3"/>
            <w:tcBorders>
              <w:top w:val="outset" w:sz="6" w:space="0" w:color="auto"/>
              <w:left w:val="outset" w:sz="6" w:space="0" w:color="auto"/>
              <w:bottom w:val="outset" w:sz="6" w:space="0" w:color="auto"/>
              <w:right w:val="outset" w:sz="6" w:space="0" w:color="auto"/>
            </w:tcBorders>
            <w:hideMark/>
          </w:tcPr>
          <w:p w14:paraId="64B5F2C5" w14:textId="77777777" w:rsidR="00251D86" w:rsidRDefault="00251D86" w:rsidP="00251D86">
            <w:pPr>
              <w:spacing w:before="120" w:after="0"/>
              <w:jc w:val="both"/>
              <w:rPr>
                <w:rFonts w:eastAsia="Calibri"/>
              </w:rPr>
            </w:pPr>
            <w:r w:rsidRPr="006A3C13">
              <w:rPr>
                <w:rFonts w:eastAsia="Calibri"/>
              </w:rPr>
              <w:t xml:space="preserve"> Eiropas Parlamenta un Padomes </w:t>
            </w:r>
            <w:r>
              <w:rPr>
                <w:rFonts w:eastAsia="Calibri"/>
              </w:rPr>
              <w:t xml:space="preserve">2018. gada 4. jūlija </w:t>
            </w:r>
            <w:r w:rsidRPr="006A3C13">
              <w:rPr>
                <w:rFonts w:eastAsia="Calibri"/>
              </w:rPr>
              <w:t>Regula (ES) 2018/1139 par kopīgiem noteikumiem civilās aviācijas jomā un ar ko izveido Eiropas Savienības Aviācijas drošības aģentūru, un ar ko groza Eiropas Parlamenta un Padomes Regulas (EK) Nr. 2111/2005, (EK) Nr. 1008/2008, (ES) Nr.</w:t>
            </w:r>
            <w:r>
              <w:rPr>
                <w:rFonts w:eastAsia="Calibri"/>
              </w:rPr>
              <w:t> </w:t>
            </w:r>
            <w:r w:rsidRPr="006A3C13">
              <w:rPr>
                <w:rFonts w:eastAsia="Calibri"/>
              </w:rPr>
              <w:t xml:space="preserve">996/2010, (ES) Nr. 376/2014 un Direktīvas 2014/30/ES un 2014/53/ES un atceļ Eiropas Parlamenta un Padomes Regulas (EK) Nr. 552/2004 un (EK) Nr. 216/2008 un Padomes Regulu </w:t>
            </w:r>
            <w:r w:rsidRPr="006A3C13">
              <w:rPr>
                <w:rFonts w:eastAsia="Calibri"/>
              </w:rPr>
              <w:lastRenderedPageBreak/>
              <w:t>(EEK) Nr. 3922/91 (1)</w:t>
            </w:r>
            <w:r>
              <w:rPr>
                <w:rFonts w:eastAsia="Calibri"/>
              </w:rPr>
              <w:t xml:space="preserve"> (</w:t>
            </w:r>
            <w:r w:rsidRPr="00821822">
              <w:rPr>
                <w:rFonts w:eastAsia="Times New Roman"/>
                <w:lang w:eastAsia="lv-LV"/>
              </w:rPr>
              <w:t xml:space="preserve">publicēta “Eiropas Savienības Oficiālajā Vēstnesī” </w:t>
            </w:r>
            <w:r>
              <w:rPr>
                <w:rFonts w:eastAsia="Calibri"/>
              </w:rPr>
              <w:t xml:space="preserve"> L 212 22.08.2018)</w:t>
            </w:r>
          </w:p>
          <w:p w14:paraId="332F52FF" w14:textId="77777777" w:rsidR="00B6790A" w:rsidRDefault="00B6790A" w:rsidP="006733BE">
            <w:pPr>
              <w:spacing w:before="120" w:after="0"/>
              <w:jc w:val="both"/>
              <w:rPr>
                <w:rFonts w:eastAsia="Calibri"/>
              </w:rPr>
            </w:pPr>
          </w:p>
          <w:p w14:paraId="398FDBE6" w14:textId="77777777" w:rsidR="00821822" w:rsidRDefault="00821822" w:rsidP="006733BE">
            <w:pPr>
              <w:spacing w:before="120" w:after="0"/>
              <w:jc w:val="both"/>
              <w:rPr>
                <w:rFonts w:eastAsia="Times New Roman"/>
                <w:lang w:eastAsia="lv-LV"/>
              </w:rPr>
            </w:pPr>
            <w:r w:rsidRPr="00821822">
              <w:rPr>
                <w:rFonts w:eastAsia="Calibri"/>
              </w:rPr>
              <w:t xml:space="preserve">Komisijas 2019. gada  24. maija  Īstenošanas Regula (ES) 2019/947 par bezpilota gaisa kuģu ekspluatācijas noteikumiem un procedūrām </w:t>
            </w:r>
            <w:r w:rsidRPr="00821822">
              <w:rPr>
                <w:rFonts w:eastAsia="Times New Roman"/>
                <w:lang w:eastAsia="lv-LV"/>
              </w:rPr>
              <w:t xml:space="preserve">(publicēta “Eiropas Savienības Oficiālajā Vēstnesī” </w:t>
            </w:r>
            <w:r w:rsidR="00FA35B9">
              <w:rPr>
                <w:rFonts w:eastAsia="Times New Roman"/>
                <w:lang w:eastAsia="lv-LV"/>
              </w:rPr>
              <w:t xml:space="preserve">L 152 </w:t>
            </w:r>
            <w:r w:rsidRPr="00821822">
              <w:rPr>
                <w:rFonts w:eastAsia="Times New Roman"/>
                <w:lang w:eastAsia="lv-LV"/>
              </w:rPr>
              <w:t xml:space="preserve">24.05.2019) </w:t>
            </w:r>
          </w:p>
          <w:p w14:paraId="5EF3E989" w14:textId="77777777" w:rsidR="0059758D" w:rsidRPr="00821822" w:rsidRDefault="0059758D" w:rsidP="006733BE">
            <w:pPr>
              <w:spacing w:before="120" w:after="0"/>
              <w:jc w:val="both"/>
              <w:rPr>
                <w:rFonts w:eastAsia="Times New Roman"/>
                <w:lang w:eastAsia="lv-LV"/>
              </w:rPr>
            </w:pPr>
          </w:p>
          <w:p w14:paraId="4E530496" w14:textId="77777777" w:rsidR="00821822" w:rsidRPr="008C0EDC" w:rsidRDefault="00251D86" w:rsidP="006733BE">
            <w:pPr>
              <w:spacing w:before="120" w:after="0"/>
              <w:jc w:val="both"/>
              <w:rPr>
                <w:rFonts w:eastAsia="Times New Roman"/>
                <w:lang w:eastAsia="lv-LV"/>
              </w:rPr>
            </w:pPr>
            <w:r>
              <w:t xml:space="preserve"> </w:t>
            </w:r>
            <w:r w:rsidRPr="00251D86">
              <w:rPr>
                <w:rFonts w:eastAsia="Times New Roman"/>
                <w:lang w:eastAsia="lv-LV"/>
              </w:rPr>
              <w:t>Komisijas 2019. gada 12. marta Deleģētā regula (ES) 2019/945 par bezpilota gaisa kuģu sistēmām un trešo valstu bezpilota gaisa kuģu sistēmu ekspluatantiem (publicēta “Eiropas Savienības Oficiālajā Vēstnesī L 152 12.03.2019)</w:t>
            </w:r>
          </w:p>
        </w:tc>
      </w:tr>
      <w:tr w:rsidR="00821822" w:rsidRPr="008C0EDC" w14:paraId="796F9332"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vAlign w:val="center"/>
            <w:hideMark/>
          </w:tcPr>
          <w:p w14:paraId="79DCBE4F" w14:textId="77777777" w:rsidR="00821822" w:rsidRPr="008C0EDC" w:rsidRDefault="00821822" w:rsidP="006733BE">
            <w:pPr>
              <w:spacing w:before="100" w:beforeAutospacing="1" w:after="100" w:afterAutospacing="1"/>
              <w:jc w:val="center"/>
              <w:rPr>
                <w:rFonts w:eastAsia="Times New Roman"/>
                <w:lang w:eastAsia="lv-LV"/>
              </w:rPr>
            </w:pPr>
            <w:r w:rsidRPr="008C0EDC">
              <w:rPr>
                <w:rFonts w:eastAsia="Times New Roman"/>
                <w:lang w:eastAsia="lv-LV"/>
              </w:rPr>
              <w:lastRenderedPageBreak/>
              <w:t>A</w:t>
            </w:r>
          </w:p>
        </w:tc>
        <w:tc>
          <w:tcPr>
            <w:tcW w:w="1108" w:type="pct"/>
            <w:tcBorders>
              <w:top w:val="outset" w:sz="6" w:space="0" w:color="auto"/>
              <w:left w:val="outset" w:sz="6" w:space="0" w:color="auto"/>
              <w:bottom w:val="outset" w:sz="6" w:space="0" w:color="auto"/>
              <w:right w:val="outset" w:sz="6" w:space="0" w:color="auto"/>
            </w:tcBorders>
            <w:vAlign w:val="center"/>
            <w:hideMark/>
          </w:tcPr>
          <w:p w14:paraId="247DC72D" w14:textId="77777777" w:rsidR="00821822" w:rsidRPr="008C0EDC" w:rsidRDefault="00821822" w:rsidP="006733BE">
            <w:pPr>
              <w:spacing w:before="100" w:beforeAutospacing="1" w:after="100" w:afterAutospacing="1"/>
              <w:jc w:val="center"/>
              <w:rPr>
                <w:rFonts w:eastAsia="Times New Roman"/>
                <w:lang w:eastAsia="lv-LV"/>
              </w:rPr>
            </w:pPr>
            <w:r w:rsidRPr="008C0EDC">
              <w:rPr>
                <w:rFonts w:eastAsia="Times New Roman"/>
                <w:lang w:eastAsia="lv-LV"/>
              </w:rPr>
              <w:t>B</w:t>
            </w:r>
          </w:p>
        </w:tc>
        <w:tc>
          <w:tcPr>
            <w:tcW w:w="1191" w:type="pct"/>
            <w:tcBorders>
              <w:top w:val="outset" w:sz="6" w:space="0" w:color="auto"/>
              <w:left w:val="outset" w:sz="6" w:space="0" w:color="auto"/>
              <w:bottom w:val="outset" w:sz="6" w:space="0" w:color="auto"/>
              <w:right w:val="outset" w:sz="6" w:space="0" w:color="auto"/>
            </w:tcBorders>
            <w:vAlign w:val="center"/>
            <w:hideMark/>
          </w:tcPr>
          <w:p w14:paraId="084EC12C" w14:textId="77777777" w:rsidR="00821822" w:rsidRPr="008C0EDC" w:rsidRDefault="00821822" w:rsidP="006733BE">
            <w:pPr>
              <w:spacing w:before="100" w:beforeAutospacing="1" w:after="100" w:afterAutospacing="1"/>
              <w:jc w:val="center"/>
              <w:rPr>
                <w:rFonts w:eastAsia="Times New Roman"/>
                <w:lang w:eastAsia="lv-LV"/>
              </w:rPr>
            </w:pPr>
            <w:r w:rsidRPr="008C0EDC">
              <w:rPr>
                <w:rFonts w:eastAsia="Times New Roman"/>
                <w:lang w:eastAsia="lv-LV"/>
              </w:rPr>
              <w:t>C</w:t>
            </w:r>
          </w:p>
        </w:tc>
        <w:tc>
          <w:tcPr>
            <w:tcW w:w="1682" w:type="pct"/>
            <w:tcBorders>
              <w:top w:val="outset" w:sz="6" w:space="0" w:color="auto"/>
              <w:left w:val="outset" w:sz="6" w:space="0" w:color="auto"/>
              <w:bottom w:val="outset" w:sz="6" w:space="0" w:color="auto"/>
              <w:right w:val="outset" w:sz="6" w:space="0" w:color="auto"/>
            </w:tcBorders>
            <w:vAlign w:val="center"/>
            <w:hideMark/>
          </w:tcPr>
          <w:p w14:paraId="505574D3" w14:textId="77777777" w:rsidR="00821822" w:rsidRPr="008C0EDC" w:rsidRDefault="00821822" w:rsidP="006733BE">
            <w:pPr>
              <w:spacing w:before="100" w:beforeAutospacing="1" w:after="100" w:afterAutospacing="1"/>
              <w:jc w:val="center"/>
              <w:rPr>
                <w:rFonts w:eastAsia="Times New Roman"/>
                <w:lang w:eastAsia="lv-LV"/>
              </w:rPr>
            </w:pPr>
            <w:r w:rsidRPr="008C0EDC">
              <w:rPr>
                <w:rFonts w:eastAsia="Times New Roman"/>
                <w:lang w:eastAsia="lv-LV"/>
              </w:rPr>
              <w:t>D</w:t>
            </w:r>
          </w:p>
        </w:tc>
      </w:tr>
      <w:tr w:rsidR="00821822" w:rsidRPr="008C0EDC" w14:paraId="115095AA"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hideMark/>
          </w:tcPr>
          <w:p w14:paraId="486EEF7B" w14:textId="77777777" w:rsidR="00821822" w:rsidRPr="008C0EDC" w:rsidRDefault="00821822" w:rsidP="006733BE">
            <w:pPr>
              <w:spacing w:after="0"/>
              <w:rPr>
                <w:rFonts w:eastAsia="Times New Roman"/>
                <w:lang w:eastAsia="lv-LV"/>
              </w:rPr>
            </w:pPr>
            <w:r w:rsidRPr="008C0EDC">
              <w:rPr>
                <w:rFonts w:eastAsia="Times New Roman"/>
                <w:lang w:eastAsia="lv-LV"/>
              </w:rPr>
              <w:t>Attiecīgā ES tiesību akta panta numurs (uzskaitot katru tiesību akta vienību - pantu, daļu, punktu, apakšpunktu)</w:t>
            </w:r>
          </w:p>
        </w:tc>
        <w:tc>
          <w:tcPr>
            <w:tcW w:w="1108" w:type="pct"/>
            <w:tcBorders>
              <w:top w:val="outset" w:sz="6" w:space="0" w:color="auto"/>
              <w:left w:val="outset" w:sz="6" w:space="0" w:color="auto"/>
              <w:bottom w:val="outset" w:sz="6" w:space="0" w:color="auto"/>
              <w:right w:val="outset" w:sz="6" w:space="0" w:color="auto"/>
            </w:tcBorders>
            <w:hideMark/>
          </w:tcPr>
          <w:p w14:paraId="62E62782" w14:textId="77777777" w:rsidR="00821822" w:rsidRPr="008C0EDC" w:rsidRDefault="00821822" w:rsidP="006733BE">
            <w:pPr>
              <w:spacing w:after="0"/>
              <w:rPr>
                <w:rFonts w:eastAsia="Times New Roman"/>
                <w:lang w:eastAsia="lv-LV"/>
              </w:rPr>
            </w:pPr>
            <w:r w:rsidRPr="008C0EDC">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1191" w:type="pct"/>
            <w:tcBorders>
              <w:top w:val="outset" w:sz="6" w:space="0" w:color="auto"/>
              <w:left w:val="outset" w:sz="6" w:space="0" w:color="auto"/>
              <w:bottom w:val="outset" w:sz="6" w:space="0" w:color="auto"/>
              <w:right w:val="outset" w:sz="6" w:space="0" w:color="auto"/>
            </w:tcBorders>
            <w:hideMark/>
          </w:tcPr>
          <w:p w14:paraId="3286A0A9" w14:textId="77777777" w:rsidR="00821822" w:rsidRPr="008C0EDC" w:rsidRDefault="00821822" w:rsidP="006733BE">
            <w:pPr>
              <w:spacing w:after="0"/>
              <w:rPr>
                <w:rFonts w:eastAsia="Times New Roman"/>
                <w:lang w:eastAsia="lv-LV"/>
              </w:rPr>
            </w:pPr>
            <w:r w:rsidRPr="008C0EDC">
              <w:rPr>
                <w:rFonts w:eastAsia="Times New Roman"/>
                <w:lang w:eastAsia="lv-LV"/>
              </w:rPr>
              <w:t>Informācija par to, vai šīs tabulas A ailē minētās ES tiesību akta vienības tiek pārņemtas vai ieviestas pilnībā vai daļēji.</w:t>
            </w:r>
            <w:r w:rsidRPr="008C0EDC">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8C0EDC">
              <w:rPr>
                <w:rFonts w:eastAsia="Times New Roman"/>
                <w:lang w:eastAsia="lv-LV"/>
              </w:rPr>
              <w:br/>
              <w:t>Norāda institūciju, kas ir atbildīga par šo saistību izpildi pilnībā</w:t>
            </w:r>
          </w:p>
        </w:tc>
        <w:tc>
          <w:tcPr>
            <w:tcW w:w="1682" w:type="pct"/>
            <w:tcBorders>
              <w:top w:val="outset" w:sz="6" w:space="0" w:color="auto"/>
              <w:left w:val="outset" w:sz="6" w:space="0" w:color="auto"/>
              <w:bottom w:val="outset" w:sz="6" w:space="0" w:color="auto"/>
              <w:right w:val="outset" w:sz="6" w:space="0" w:color="auto"/>
            </w:tcBorders>
            <w:hideMark/>
          </w:tcPr>
          <w:p w14:paraId="71CE4597" w14:textId="77777777" w:rsidR="00821822" w:rsidRPr="008C0EDC" w:rsidRDefault="00821822" w:rsidP="006733BE">
            <w:pPr>
              <w:spacing w:after="0"/>
              <w:rPr>
                <w:rFonts w:eastAsia="Times New Roman"/>
                <w:lang w:eastAsia="lv-LV"/>
              </w:rPr>
            </w:pPr>
            <w:r w:rsidRPr="008C0EDC">
              <w:rPr>
                <w:rFonts w:eastAsia="Times New Roman"/>
                <w:lang w:eastAsia="lv-LV"/>
              </w:rPr>
              <w:t>Informācija par to, vai šīs tabulas B ailē minētās projekta vienības paredz stingrākas prasības nekā šīs tabulas A ailē minētās ES tiesību akta vienības.</w:t>
            </w:r>
            <w:r w:rsidRPr="008C0EDC">
              <w:rPr>
                <w:rFonts w:eastAsia="Times New Roman"/>
                <w:lang w:eastAsia="lv-LV"/>
              </w:rPr>
              <w:br/>
              <w:t>Ja projekts satur stingrākas prasības nekā attiecīgais ES tiesību akts, norāda pamatojumu un samērīgumu.</w:t>
            </w:r>
            <w:r w:rsidRPr="008C0EDC">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2701F" w:rsidRPr="008C0EDC" w14:paraId="7ACC67C7"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tcPr>
          <w:p w14:paraId="5B8A4C22" w14:textId="77777777" w:rsidR="00F2701F" w:rsidRPr="0075371F" w:rsidRDefault="00F2701F" w:rsidP="006733BE">
            <w:pPr>
              <w:spacing w:after="0"/>
              <w:rPr>
                <w:rFonts w:eastAsia="Times New Roman"/>
                <w:lang w:eastAsia="lv-LV"/>
              </w:rPr>
            </w:pPr>
            <w:r w:rsidRPr="0075371F">
              <w:rPr>
                <w:rFonts w:eastAsia="Times New Roman"/>
                <w:lang w:eastAsia="lv-LV"/>
              </w:rPr>
              <w:t xml:space="preserve">Regulas Nr.2018/1139 </w:t>
            </w:r>
            <w:r w:rsidR="0075371F" w:rsidRPr="0075371F">
              <w:rPr>
                <w:rFonts w:eastAsia="Times New Roman"/>
                <w:lang w:eastAsia="lv-LV"/>
              </w:rPr>
              <w:t>13</w:t>
            </w:r>
            <w:r w:rsidR="00A97963">
              <w:rPr>
                <w:rFonts w:eastAsia="Times New Roman"/>
                <w:lang w:eastAsia="lv-LV"/>
              </w:rPr>
              <w:t>1</w:t>
            </w:r>
            <w:r w:rsidR="0075371F" w:rsidRPr="0075371F">
              <w:rPr>
                <w:rFonts w:eastAsia="Times New Roman"/>
                <w:lang w:eastAsia="lv-LV"/>
              </w:rPr>
              <w:t>.pants</w:t>
            </w:r>
          </w:p>
        </w:tc>
        <w:tc>
          <w:tcPr>
            <w:tcW w:w="1108" w:type="pct"/>
            <w:tcBorders>
              <w:top w:val="outset" w:sz="6" w:space="0" w:color="auto"/>
              <w:left w:val="outset" w:sz="6" w:space="0" w:color="auto"/>
              <w:bottom w:val="outset" w:sz="6" w:space="0" w:color="auto"/>
              <w:right w:val="outset" w:sz="6" w:space="0" w:color="auto"/>
            </w:tcBorders>
          </w:tcPr>
          <w:p w14:paraId="6397A917" w14:textId="77777777" w:rsidR="0075371F" w:rsidRPr="00F2701F" w:rsidRDefault="0075371F" w:rsidP="0075371F">
            <w:pPr>
              <w:spacing w:after="0"/>
              <w:rPr>
                <w:rFonts w:eastAsia="Times New Roman"/>
                <w:lang w:eastAsia="lv-LV"/>
              </w:rPr>
            </w:pPr>
            <w:r w:rsidRPr="00F2701F">
              <w:rPr>
                <w:rFonts w:eastAsia="Times New Roman"/>
                <w:lang w:eastAsia="lv-LV"/>
              </w:rPr>
              <w:t>Projekt</w:t>
            </w:r>
            <w:r w:rsidR="004854BA">
              <w:rPr>
                <w:rFonts w:eastAsia="Times New Roman"/>
                <w:lang w:eastAsia="lv-LV"/>
              </w:rPr>
              <w:t>a 8. un 9.pants</w:t>
            </w:r>
          </w:p>
          <w:p w14:paraId="4C3EB10B" w14:textId="77777777" w:rsidR="00F2701F" w:rsidRPr="0075371F" w:rsidRDefault="00F2701F" w:rsidP="0075371F">
            <w:pPr>
              <w:spacing w:after="0"/>
              <w:rPr>
                <w:rFonts w:eastAsia="Times New Roman"/>
                <w:lang w:eastAsia="lv-LV"/>
              </w:rPr>
            </w:pPr>
          </w:p>
        </w:tc>
        <w:tc>
          <w:tcPr>
            <w:tcW w:w="1191" w:type="pct"/>
            <w:tcBorders>
              <w:top w:val="outset" w:sz="6" w:space="0" w:color="auto"/>
              <w:left w:val="outset" w:sz="6" w:space="0" w:color="auto"/>
              <w:bottom w:val="outset" w:sz="6" w:space="0" w:color="auto"/>
              <w:right w:val="outset" w:sz="6" w:space="0" w:color="auto"/>
            </w:tcBorders>
          </w:tcPr>
          <w:p w14:paraId="1C1ADD19" w14:textId="77777777" w:rsidR="00F2701F" w:rsidRPr="0075371F" w:rsidRDefault="00F2701F" w:rsidP="00F2701F">
            <w:r w:rsidRPr="0075371F">
              <w:t xml:space="preserve">Tiesību norma ieviesta pilnībā. </w:t>
            </w:r>
          </w:p>
          <w:p w14:paraId="4DA0C35A" w14:textId="77777777" w:rsidR="00F2701F" w:rsidRPr="0075371F" w:rsidRDefault="00F2701F" w:rsidP="00F2701F">
            <w:r w:rsidRPr="0075371F">
              <w:tab/>
            </w:r>
          </w:p>
        </w:tc>
        <w:tc>
          <w:tcPr>
            <w:tcW w:w="1682" w:type="pct"/>
            <w:tcBorders>
              <w:top w:val="outset" w:sz="6" w:space="0" w:color="auto"/>
              <w:left w:val="outset" w:sz="6" w:space="0" w:color="auto"/>
              <w:bottom w:val="outset" w:sz="6" w:space="0" w:color="auto"/>
              <w:right w:val="outset" w:sz="6" w:space="0" w:color="auto"/>
            </w:tcBorders>
          </w:tcPr>
          <w:p w14:paraId="2B73212C" w14:textId="77777777" w:rsidR="00F2701F" w:rsidRPr="0075371F" w:rsidRDefault="00F2701F" w:rsidP="006733BE">
            <w:r w:rsidRPr="0075371F">
              <w:t>Projekts stingrākas prasības neparedz</w:t>
            </w:r>
          </w:p>
        </w:tc>
      </w:tr>
      <w:tr w:rsidR="00821822" w:rsidRPr="008C0EDC" w14:paraId="26656FFC"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tcPr>
          <w:p w14:paraId="0EB6327C" w14:textId="77777777" w:rsidR="00821822" w:rsidRPr="00F2701F" w:rsidRDefault="00B63AAC" w:rsidP="006733BE">
            <w:pPr>
              <w:spacing w:after="0"/>
              <w:rPr>
                <w:rFonts w:eastAsia="Times New Roman"/>
                <w:lang w:eastAsia="lv-LV"/>
              </w:rPr>
            </w:pPr>
            <w:r w:rsidRPr="00B63AAC">
              <w:rPr>
                <w:rFonts w:eastAsia="Times New Roman"/>
                <w:lang w:eastAsia="lv-LV"/>
              </w:rPr>
              <w:t xml:space="preserve">Regulas Nr.2018/1139 </w:t>
            </w:r>
            <w:r>
              <w:rPr>
                <w:rFonts w:eastAsia="Times New Roman"/>
                <w:lang w:eastAsia="lv-LV"/>
              </w:rPr>
              <w:t>7</w:t>
            </w:r>
            <w:r w:rsidRPr="00B63AAC">
              <w:rPr>
                <w:rFonts w:eastAsia="Times New Roman"/>
                <w:lang w:eastAsia="lv-LV"/>
              </w:rPr>
              <w:t>.pants</w:t>
            </w:r>
          </w:p>
        </w:tc>
        <w:tc>
          <w:tcPr>
            <w:tcW w:w="1108" w:type="pct"/>
            <w:tcBorders>
              <w:top w:val="outset" w:sz="6" w:space="0" w:color="auto"/>
              <w:left w:val="outset" w:sz="6" w:space="0" w:color="auto"/>
              <w:bottom w:val="outset" w:sz="6" w:space="0" w:color="auto"/>
              <w:right w:val="outset" w:sz="6" w:space="0" w:color="auto"/>
            </w:tcBorders>
          </w:tcPr>
          <w:p w14:paraId="7EBB75D1" w14:textId="77777777" w:rsidR="00821822" w:rsidRPr="00F2701F" w:rsidRDefault="00FC416C" w:rsidP="006733BE">
            <w:pPr>
              <w:spacing w:after="0"/>
              <w:rPr>
                <w:rFonts w:eastAsia="Times New Roman"/>
                <w:lang w:eastAsia="lv-LV"/>
              </w:rPr>
            </w:pPr>
            <w:r w:rsidRPr="00FC416C">
              <w:rPr>
                <w:rFonts w:eastAsia="Times New Roman"/>
                <w:lang w:eastAsia="lv-LV"/>
              </w:rPr>
              <w:t xml:space="preserve">Projekta  </w:t>
            </w:r>
            <w:r>
              <w:rPr>
                <w:rFonts w:eastAsia="Times New Roman"/>
                <w:lang w:eastAsia="lv-LV"/>
              </w:rPr>
              <w:t>4</w:t>
            </w:r>
            <w:r w:rsidRPr="00FC416C">
              <w:rPr>
                <w:rFonts w:eastAsia="Times New Roman"/>
                <w:lang w:eastAsia="lv-LV"/>
              </w:rPr>
              <w:t>.pants</w:t>
            </w:r>
          </w:p>
        </w:tc>
        <w:tc>
          <w:tcPr>
            <w:tcW w:w="1191" w:type="pct"/>
            <w:tcBorders>
              <w:top w:val="outset" w:sz="6" w:space="0" w:color="auto"/>
              <w:left w:val="outset" w:sz="6" w:space="0" w:color="auto"/>
              <w:bottom w:val="outset" w:sz="6" w:space="0" w:color="auto"/>
              <w:right w:val="outset" w:sz="6" w:space="0" w:color="auto"/>
            </w:tcBorders>
          </w:tcPr>
          <w:p w14:paraId="78A3CAA8" w14:textId="77777777" w:rsidR="00821822" w:rsidRPr="00F2701F" w:rsidRDefault="00821822" w:rsidP="006733BE">
            <w:r w:rsidRPr="00F2701F">
              <w:t xml:space="preserve">Tiesību norma ieviesta pilnībā. </w:t>
            </w:r>
          </w:p>
          <w:p w14:paraId="3EA2996D" w14:textId="77777777" w:rsidR="00821822" w:rsidRPr="00F2701F" w:rsidRDefault="00821822" w:rsidP="006733BE"/>
        </w:tc>
        <w:tc>
          <w:tcPr>
            <w:tcW w:w="1682" w:type="pct"/>
            <w:tcBorders>
              <w:top w:val="outset" w:sz="6" w:space="0" w:color="auto"/>
              <w:left w:val="outset" w:sz="6" w:space="0" w:color="auto"/>
              <w:bottom w:val="outset" w:sz="6" w:space="0" w:color="auto"/>
              <w:right w:val="outset" w:sz="6" w:space="0" w:color="auto"/>
            </w:tcBorders>
          </w:tcPr>
          <w:p w14:paraId="7EE4B0F4" w14:textId="77777777" w:rsidR="00821822" w:rsidRPr="00F2701F" w:rsidRDefault="00821822" w:rsidP="006733BE">
            <w:r w:rsidRPr="00F2701F">
              <w:t>Projekts stingrākas prasības neparedz</w:t>
            </w:r>
            <w:r w:rsidR="00C277D7">
              <w:t>.</w:t>
            </w:r>
          </w:p>
        </w:tc>
      </w:tr>
      <w:tr w:rsidR="00FC416C" w:rsidRPr="008C0EDC" w14:paraId="58286D9A"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tcPr>
          <w:p w14:paraId="1C85ED64" w14:textId="77777777" w:rsidR="00FC416C" w:rsidRPr="00402E5F" w:rsidRDefault="00FC416C" w:rsidP="00FC416C">
            <w:pPr>
              <w:spacing w:after="0"/>
              <w:rPr>
                <w:bCs/>
              </w:rPr>
            </w:pPr>
            <w:r w:rsidRPr="00402E5F">
              <w:rPr>
                <w:bCs/>
              </w:rPr>
              <w:t>Regulas Nr.</w:t>
            </w:r>
            <w:r w:rsidRPr="00402E5F">
              <w:rPr>
                <w:rFonts w:eastAsia="Times New Roman"/>
                <w:bCs/>
                <w:lang w:eastAsia="lv-LV"/>
              </w:rPr>
              <w:t xml:space="preserve"> 2019/945 19. panta 1.punkts</w:t>
            </w:r>
          </w:p>
        </w:tc>
        <w:tc>
          <w:tcPr>
            <w:tcW w:w="1108" w:type="pct"/>
            <w:tcBorders>
              <w:top w:val="outset" w:sz="6" w:space="0" w:color="auto"/>
              <w:left w:val="outset" w:sz="6" w:space="0" w:color="auto"/>
              <w:bottom w:val="outset" w:sz="6" w:space="0" w:color="auto"/>
              <w:right w:val="outset" w:sz="6" w:space="0" w:color="auto"/>
            </w:tcBorders>
          </w:tcPr>
          <w:p w14:paraId="58F0DCCF" w14:textId="77777777" w:rsidR="00FC416C" w:rsidRDefault="00FC416C" w:rsidP="00FC416C">
            <w:pPr>
              <w:spacing w:after="0"/>
              <w:rPr>
                <w:rFonts w:eastAsia="Times New Roman"/>
                <w:lang w:eastAsia="lv-LV"/>
              </w:rPr>
            </w:pPr>
            <w:r w:rsidRPr="004854BA">
              <w:rPr>
                <w:rFonts w:eastAsia="Times New Roman"/>
                <w:lang w:eastAsia="lv-LV"/>
              </w:rPr>
              <w:t xml:space="preserve">Projekta </w:t>
            </w:r>
            <w:r w:rsidR="0087429F">
              <w:rPr>
                <w:rFonts w:eastAsia="Times New Roman"/>
                <w:lang w:eastAsia="lv-LV"/>
              </w:rPr>
              <w:t>7</w:t>
            </w:r>
            <w:r w:rsidRPr="004854BA">
              <w:rPr>
                <w:rFonts w:eastAsia="Times New Roman"/>
                <w:lang w:eastAsia="lv-LV"/>
              </w:rPr>
              <w:t>.pants</w:t>
            </w:r>
          </w:p>
          <w:p w14:paraId="2B53D5FB" w14:textId="77777777" w:rsidR="0087429F" w:rsidRPr="00402E5F" w:rsidRDefault="0087429F" w:rsidP="0087429F">
            <w:pPr>
              <w:spacing w:after="0"/>
              <w:rPr>
                <w:rFonts w:eastAsia="Times New Roman"/>
                <w:lang w:eastAsia="lv-LV"/>
              </w:rPr>
            </w:pPr>
            <w:r>
              <w:rPr>
                <w:rFonts w:eastAsia="Times New Roman"/>
                <w:lang w:eastAsia="lv-LV"/>
              </w:rPr>
              <w:t>(</w:t>
            </w:r>
            <w:r w:rsidRPr="00F86364">
              <w:rPr>
                <w:rFonts w:eastAsia="Times New Roman"/>
                <w:lang w:eastAsia="lv-LV"/>
              </w:rPr>
              <w:t>117</w:t>
            </w:r>
            <w:r w:rsidRPr="0087429F">
              <w:rPr>
                <w:rFonts w:eastAsia="Times New Roman"/>
                <w:vertAlign w:val="superscript"/>
                <w:lang w:eastAsia="lv-LV"/>
              </w:rPr>
              <w:t>11</w:t>
            </w:r>
            <w:r w:rsidRPr="00F86364">
              <w:rPr>
                <w:rFonts w:eastAsia="Times New Roman"/>
                <w:lang w:eastAsia="lv-LV"/>
              </w:rPr>
              <w:t>. pant</w:t>
            </w:r>
            <w:r>
              <w:rPr>
                <w:rFonts w:eastAsia="Times New Roman"/>
                <w:lang w:eastAsia="lv-LV"/>
              </w:rPr>
              <w:t>s)</w:t>
            </w:r>
          </w:p>
          <w:p w14:paraId="4A44BD6C" w14:textId="77777777" w:rsidR="0087429F" w:rsidRPr="00402E5F" w:rsidRDefault="0087429F" w:rsidP="00FC416C">
            <w:pPr>
              <w:spacing w:after="0"/>
              <w:rPr>
                <w:rFonts w:eastAsia="Times New Roman"/>
                <w:lang w:eastAsia="lv-LV"/>
              </w:rPr>
            </w:pPr>
          </w:p>
        </w:tc>
        <w:tc>
          <w:tcPr>
            <w:tcW w:w="1191" w:type="pct"/>
            <w:tcBorders>
              <w:top w:val="outset" w:sz="6" w:space="0" w:color="auto"/>
              <w:left w:val="outset" w:sz="6" w:space="0" w:color="auto"/>
              <w:bottom w:val="outset" w:sz="6" w:space="0" w:color="auto"/>
              <w:right w:val="outset" w:sz="6" w:space="0" w:color="auto"/>
            </w:tcBorders>
          </w:tcPr>
          <w:p w14:paraId="4A23BDC3" w14:textId="77777777" w:rsidR="00FC416C" w:rsidRPr="00F2701F" w:rsidRDefault="00FC416C" w:rsidP="00FC416C">
            <w:r w:rsidRPr="00F2701F">
              <w:t xml:space="preserve">Tiesību norma ieviesta pilnībā. </w:t>
            </w:r>
          </w:p>
          <w:p w14:paraId="5833C066" w14:textId="77777777" w:rsidR="00FC416C" w:rsidRPr="00F2701F" w:rsidRDefault="00FC416C" w:rsidP="00FC416C"/>
        </w:tc>
        <w:tc>
          <w:tcPr>
            <w:tcW w:w="1682" w:type="pct"/>
            <w:tcBorders>
              <w:top w:val="outset" w:sz="6" w:space="0" w:color="auto"/>
              <w:left w:val="outset" w:sz="6" w:space="0" w:color="auto"/>
              <w:bottom w:val="outset" w:sz="6" w:space="0" w:color="auto"/>
              <w:right w:val="outset" w:sz="6" w:space="0" w:color="auto"/>
            </w:tcBorders>
          </w:tcPr>
          <w:p w14:paraId="5468EBBC" w14:textId="77777777" w:rsidR="00FC416C" w:rsidRPr="00F2701F" w:rsidRDefault="00FC416C" w:rsidP="00FC416C">
            <w:r w:rsidRPr="00F2701F">
              <w:t>Projekts stingrākas prasības neparedz</w:t>
            </w:r>
            <w:r>
              <w:t>.</w:t>
            </w:r>
          </w:p>
        </w:tc>
      </w:tr>
      <w:tr w:rsidR="00FC416C" w:rsidRPr="008C0EDC" w14:paraId="07AAC07E"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tcPr>
          <w:p w14:paraId="220192C6" w14:textId="77777777" w:rsidR="00FC416C" w:rsidRPr="00402E5F" w:rsidRDefault="00FC416C" w:rsidP="00FC416C">
            <w:pPr>
              <w:spacing w:after="0"/>
              <w:rPr>
                <w:rFonts w:eastAsia="Times New Roman"/>
                <w:lang w:eastAsia="lv-LV"/>
              </w:rPr>
            </w:pPr>
            <w:r w:rsidRPr="00402E5F">
              <w:rPr>
                <w:bCs/>
              </w:rPr>
              <w:lastRenderedPageBreak/>
              <w:t>Regulas Nr.</w:t>
            </w:r>
            <w:r w:rsidRPr="00402E5F">
              <w:rPr>
                <w:rFonts w:eastAsia="Times New Roman"/>
                <w:bCs/>
                <w:lang w:eastAsia="lv-LV"/>
              </w:rPr>
              <w:t xml:space="preserve"> 2019/945 19. panta 2.punkts</w:t>
            </w:r>
          </w:p>
        </w:tc>
        <w:tc>
          <w:tcPr>
            <w:tcW w:w="1108" w:type="pct"/>
            <w:tcBorders>
              <w:top w:val="outset" w:sz="6" w:space="0" w:color="auto"/>
              <w:left w:val="outset" w:sz="6" w:space="0" w:color="auto"/>
              <w:bottom w:val="outset" w:sz="6" w:space="0" w:color="auto"/>
              <w:right w:val="outset" w:sz="6" w:space="0" w:color="auto"/>
            </w:tcBorders>
          </w:tcPr>
          <w:p w14:paraId="31688A00" w14:textId="77777777" w:rsidR="00FC416C" w:rsidRDefault="00FC416C" w:rsidP="00FC416C">
            <w:pPr>
              <w:spacing w:after="0"/>
              <w:rPr>
                <w:rFonts w:eastAsia="Times New Roman"/>
                <w:lang w:eastAsia="lv-LV"/>
              </w:rPr>
            </w:pPr>
            <w:r w:rsidRPr="00402E5F">
              <w:rPr>
                <w:rFonts w:eastAsia="Times New Roman"/>
                <w:lang w:eastAsia="lv-LV"/>
              </w:rPr>
              <w:t>Projekt</w:t>
            </w:r>
            <w:r>
              <w:rPr>
                <w:rFonts w:eastAsia="Times New Roman"/>
                <w:lang w:eastAsia="lv-LV"/>
              </w:rPr>
              <w:t xml:space="preserve">a </w:t>
            </w:r>
            <w:r w:rsidR="0087429F">
              <w:rPr>
                <w:rFonts w:eastAsia="Times New Roman"/>
                <w:lang w:eastAsia="lv-LV"/>
              </w:rPr>
              <w:t>7</w:t>
            </w:r>
            <w:r>
              <w:rPr>
                <w:rFonts w:eastAsia="Times New Roman"/>
                <w:lang w:eastAsia="lv-LV"/>
              </w:rPr>
              <w:t>.pants</w:t>
            </w:r>
          </w:p>
          <w:p w14:paraId="1282F433" w14:textId="77777777" w:rsidR="0087429F" w:rsidRPr="00402E5F" w:rsidRDefault="0087429F" w:rsidP="0087429F">
            <w:pPr>
              <w:spacing w:after="0"/>
              <w:rPr>
                <w:rFonts w:eastAsia="Times New Roman"/>
                <w:lang w:eastAsia="lv-LV"/>
              </w:rPr>
            </w:pPr>
            <w:r>
              <w:rPr>
                <w:rFonts w:eastAsia="Times New Roman"/>
                <w:lang w:eastAsia="lv-LV"/>
              </w:rPr>
              <w:t>(</w:t>
            </w:r>
            <w:r w:rsidRPr="00F86364">
              <w:rPr>
                <w:rFonts w:eastAsia="Times New Roman"/>
                <w:lang w:eastAsia="lv-LV"/>
              </w:rPr>
              <w:t>117</w:t>
            </w:r>
            <w:r w:rsidRPr="0087429F">
              <w:rPr>
                <w:rFonts w:eastAsia="Times New Roman"/>
                <w:vertAlign w:val="superscript"/>
                <w:lang w:eastAsia="lv-LV"/>
              </w:rPr>
              <w:t>11</w:t>
            </w:r>
            <w:r w:rsidRPr="00F86364">
              <w:rPr>
                <w:rFonts w:eastAsia="Times New Roman"/>
                <w:lang w:eastAsia="lv-LV"/>
              </w:rPr>
              <w:t>. pant</w:t>
            </w:r>
            <w:r>
              <w:rPr>
                <w:rFonts w:eastAsia="Times New Roman"/>
                <w:lang w:eastAsia="lv-LV"/>
              </w:rPr>
              <w:t>s)</w:t>
            </w:r>
          </w:p>
          <w:p w14:paraId="44DF05F8" w14:textId="77777777" w:rsidR="0087429F" w:rsidRPr="00402E5F" w:rsidRDefault="0087429F" w:rsidP="00FC416C">
            <w:pPr>
              <w:spacing w:after="0"/>
              <w:rPr>
                <w:rFonts w:eastAsia="Times New Roman"/>
                <w:lang w:eastAsia="lv-LV"/>
              </w:rPr>
            </w:pPr>
          </w:p>
          <w:p w14:paraId="3AF4D2D6" w14:textId="77777777" w:rsidR="00FC416C" w:rsidRPr="00402E5F" w:rsidRDefault="00FC416C" w:rsidP="00FC416C">
            <w:pPr>
              <w:spacing w:after="0"/>
              <w:rPr>
                <w:rFonts w:eastAsia="Times New Roman"/>
                <w:lang w:eastAsia="lv-LV"/>
              </w:rPr>
            </w:pPr>
          </w:p>
        </w:tc>
        <w:tc>
          <w:tcPr>
            <w:tcW w:w="1191" w:type="pct"/>
            <w:tcBorders>
              <w:top w:val="outset" w:sz="6" w:space="0" w:color="auto"/>
              <w:left w:val="outset" w:sz="6" w:space="0" w:color="auto"/>
              <w:bottom w:val="outset" w:sz="6" w:space="0" w:color="auto"/>
              <w:right w:val="outset" w:sz="6" w:space="0" w:color="auto"/>
            </w:tcBorders>
          </w:tcPr>
          <w:p w14:paraId="5D492A1E" w14:textId="77777777" w:rsidR="00FC416C" w:rsidRPr="00F2701F" w:rsidRDefault="00FC416C" w:rsidP="00FC416C">
            <w:r w:rsidRPr="00F2701F">
              <w:t xml:space="preserve">Tiesību norma ieviesta pilnībā. </w:t>
            </w:r>
          </w:p>
          <w:p w14:paraId="5AE19A96" w14:textId="77777777" w:rsidR="00FC416C" w:rsidRPr="00F2701F" w:rsidRDefault="00FC416C" w:rsidP="00FC416C"/>
        </w:tc>
        <w:tc>
          <w:tcPr>
            <w:tcW w:w="1682" w:type="pct"/>
            <w:tcBorders>
              <w:top w:val="outset" w:sz="6" w:space="0" w:color="auto"/>
              <w:left w:val="outset" w:sz="6" w:space="0" w:color="auto"/>
              <w:bottom w:val="outset" w:sz="6" w:space="0" w:color="auto"/>
              <w:right w:val="outset" w:sz="6" w:space="0" w:color="auto"/>
            </w:tcBorders>
          </w:tcPr>
          <w:p w14:paraId="1BF45698" w14:textId="77777777" w:rsidR="00FC416C" w:rsidRPr="00F2701F" w:rsidRDefault="00FC416C" w:rsidP="00FC416C">
            <w:r w:rsidRPr="00F2701F">
              <w:t>Projekts stingrākas prasības neparedz</w:t>
            </w:r>
            <w:r>
              <w:t>.</w:t>
            </w:r>
          </w:p>
        </w:tc>
      </w:tr>
      <w:tr w:rsidR="00FC416C" w:rsidRPr="008C0EDC" w14:paraId="034E8217"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tcPr>
          <w:p w14:paraId="3CA748E3" w14:textId="77777777" w:rsidR="00FC416C" w:rsidRPr="00402E5F" w:rsidRDefault="00FC416C" w:rsidP="00FC416C">
            <w:pPr>
              <w:spacing w:after="0"/>
              <w:rPr>
                <w:bCs/>
              </w:rPr>
            </w:pPr>
            <w:r w:rsidRPr="00402E5F">
              <w:rPr>
                <w:bCs/>
              </w:rPr>
              <w:t xml:space="preserve">Regulas Nr.2019/945 </w:t>
            </w:r>
            <w:r w:rsidRPr="00402E5F">
              <w:t>3.panta 23.punkts</w:t>
            </w:r>
            <w:r>
              <w:t xml:space="preserve"> un </w:t>
            </w:r>
            <w:r w:rsidRPr="00F23815">
              <w:rPr>
                <w:rFonts w:eastAsia="Times New Roman"/>
                <w:bCs/>
                <w:lang w:eastAsia="lv-LV"/>
              </w:rPr>
              <w:t>35.</w:t>
            </w:r>
            <w:r>
              <w:rPr>
                <w:rFonts w:eastAsia="Times New Roman"/>
                <w:bCs/>
                <w:lang w:eastAsia="lv-LV"/>
              </w:rPr>
              <w:t> </w:t>
            </w:r>
            <w:r w:rsidRPr="00F23815">
              <w:rPr>
                <w:rFonts w:eastAsia="Times New Roman"/>
                <w:bCs/>
                <w:lang w:eastAsia="lv-LV"/>
              </w:rPr>
              <w:t>panta 1.</w:t>
            </w:r>
            <w:r>
              <w:rPr>
                <w:rFonts w:eastAsia="Times New Roman"/>
                <w:bCs/>
                <w:lang w:eastAsia="lv-LV"/>
              </w:rPr>
              <w:t>, </w:t>
            </w:r>
            <w:r w:rsidRPr="00F23815">
              <w:rPr>
                <w:rFonts w:eastAsia="Times New Roman"/>
                <w:bCs/>
                <w:lang w:eastAsia="lv-LV"/>
              </w:rPr>
              <w:t>2.</w:t>
            </w:r>
            <w:r>
              <w:rPr>
                <w:rFonts w:eastAsia="Times New Roman"/>
                <w:bCs/>
                <w:lang w:eastAsia="lv-LV"/>
              </w:rPr>
              <w:t>,</w:t>
            </w:r>
            <w:r w:rsidRPr="00F23815">
              <w:rPr>
                <w:rFonts w:eastAsia="Times New Roman"/>
                <w:bCs/>
                <w:lang w:eastAsia="lv-LV"/>
              </w:rPr>
              <w:t xml:space="preserve"> un 3.</w:t>
            </w:r>
            <w:r>
              <w:rPr>
                <w:rFonts w:eastAsia="Times New Roman"/>
                <w:bCs/>
                <w:lang w:eastAsia="lv-LV"/>
              </w:rPr>
              <w:t> </w:t>
            </w:r>
            <w:r w:rsidRPr="00F23815">
              <w:rPr>
                <w:rFonts w:eastAsia="Times New Roman"/>
                <w:bCs/>
                <w:lang w:eastAsia="lv-LV"/>
              </w:rPr>
              <w:t>punkt</w:t>
            </w:r>
            <w:r>
              <w:rPr>
                <w:rFonts w:eastAsia="Times New Roman"/>
                <w:bCs/>
                <w:lang w:eastAsia="lv-LV"/>
              </w:rPr>
              <w:t>s</w:t>
            </w:r>
          </w:p>
        </w:tc>
        <w:tc>
          <w:tcPr>
            <w:tcW w:w="1108" w:type="pct"/>
            <w:tcBorders>
              <w:top w:val="outset" w:sz="6" w:space="0" w:color="auto"/>
              <w:left w:val="outset" w:sz="6" w:space="0" w:color="auto"/>
              <w:bottom w:val="outset" w:sz="6" w:space="0" w:color="auto"/>
              <w:right w:val="outset" w:sz="6" w:space="0" w:color="auto"/>
            </w:tcBorders>
          </w:tcPr>
          <w:p w14:paraId="78A3FF42" w14:textId="77777777" w:rsidR="00FC416C" w:rsidRPr="00402E5F" w:rsidRDefault="00FC416C" w:rsidP="00FC416C">
            <w:pPr>
              <w:spacing w:after="0"/>
              <w:rPr>
                <w:rFonts w:eastAsia="Times New Roman"/>
                <w:lang w:eastAsia="lv-LV"/>
              </w:rPr>
            </w:pPr>
            <w:r w:rsidRPr="00402E5F">
              <w:rPr>
                <w:rFonts w:eastAsia="Times New Roman"/>
                <w:lang w:eastAsia="lv-LV"/>
              </w:rPr>
              <w:t>Projekt</w:t>
            </w:r>
            <w:r>
              <w:rPr>
                <w:rFonts w:eastAsia="Times New Roman"/>
                <w:lang w:eastAsia="lv-LV"/>
              </w:rPr>
              <w:t xml:space="preserve">a </w:t>
            </w:r>
            <w:r w:rsidR="0087429F">
              <w:rPr>
                <w:rFonts w:eastAsia="Times New Roman"/>
                <w:lang w:eastAsia="lv-LV"/>
              </w:rPr>
              <w:t>7</w:t>
            </w:r>
            <w:r>
              <w:rPr>
                <w:rFonts w:eastAsia="Times New Roman"/>
                <w:lang w:eastAsia="lv-LV"/>
              </w:rPr>
              <w:t>.pants</w:t>
            </w:r>
            <w:r w:rsidR="0087429F">
              <w:rPr>
                <w:rFonts w:eastAsia="Times New Roman"/>
                <w:lang w:eastAsia="lv-LV"/>
              </w:rPr>
              <w:t xml:space="preserve"> (</w:t>
            </w:r>
            <w:r w:rsidR="0087429F" w:rsidRPr="00F86364">
              <w:rPr>
                <w:rFonts w:eastAsia="Times New Roman"/>
                <w:lang w:eastAsia="lv-LV"/>
              </w:rPr>
              <w:t>117</w:t>
            </w:r>
            <w:r w:rsidR="0087429F" w:rsidRPr="0087429F">
              <w:rPr>
                <w:rFonts w:eastAsia="Times New Roman"/>
                <w:vertAlign w:val="superscript"/>
                <w:lang w:eastAsia="lv-LV"/>
              </w:rPr>
              <w:t>11</w:t>
            </w:r>
            <w:r w:rsidR="0087429F" w:rsidRPr="00F86364">
              <w:rPr>
                <w:rFonts w:eastAsia="Times New Roman"/>
                <w:lang w:eastAsia="lv-LV"/>
              </w:rPr>
              <w:t>. pant</w:t>
            </w:r>
            <w:r w:rsidR="0087429F">
              <w:rPr>
                <w:rFonts w:eastAsia="Times New Roman"/>
                <w:lang w:eastAsia="lv-LV"/>
              </w:rPr>
              <w:t>s)</w:t>
            </w:r>
          </w:p>
          <w:p w14:paraId="46847C2A" w14:textId="77777777" w:rsidR="00FC416C" w:rsidRPr="00402E5F" w:rsidRDefault="00FC416C" w:rsidP="00FC416C">
            <w:pPr>
              <w:spacing w:after="0"/>
              <w:rPr>
                <w:rFonts w:eastAsia="Times New Roman"/>
                <w:lang w:eastAsia="lv-LV"/>
              </w:rPr>
            </w:pPr>
          </w:p>
        </w:tc>
        <w:tc>
          <w:tcPr>
            <w:tcW w:w="1191" w:type="pct"/>
            <w:tcBorders>
              <w:top w:val="outset" w:sz="6" w:space="0" w:color="auto"/>
              <w:left w:val="outset" w:sz="6" w:space="0" w:color="auto"/>
              <w:bottom w:val="outset" w:sz="6" w:space="0" w:color="auto"/>
              <w:right w:val="outset" w:sz="6" w:space="0" w:color="auto"/>
            </w:tcBorders>
          </w:tcPr>
          <w:p w14:paraId="639C3464" w14:textId="77777777" w:rsidR="00FC416C" w:rsidRPr="00F2701F" w:rsidRDefault="00FC416C" w:rsidP="00FC416C">
            <w:r w:rsidRPr="00F2701F">
              <w:t xml:space="preserve">Tiesību norma ieviesta pilnībā. </w:t>
            </w:r>
          </w:p>
          <w:p w14:paraId="7A92D80F" w14:textId="77777777" w:rsidR="00FC416C" w:rsidRPr="006F4184" w:rsidRDefault="00FC416C" w:rsidP="00FC416C"/>
        </w:tc>
        <w:tc>
          <w:tcPr>
            <w:tcW w:w="1682" w:type="pct"/>
            <w:tcBorders>
              <w:top w:val="outset" w:sz="6" w:space="0" w:color="auto"/>
              <w:left w:val="outset" w:sz="6" w:space="0" w:color="auto"/>
              <w:bottom w:val="outset" w:sz="6" w:space="0" w:color="auto"/>
              <w:right w:val="outset" w:sz="6" w:space="0" w:color="auto"/>
            </w:tcBorders>
          </w:tcPr>
          <w:p w14:paraId="6E77C1B0" w14:textId="77777777" w:rsidR="00FC416C" w:rsidRPr="006F4184" w:rsidRDefault="00FC416C" w:rsidP="00FC416C">
            <w:r w:rsidRPr="00F2701F">
              <w:t>Projekts stingrākas prasības neparedz</w:t>
            </w:r>
            <w:r>
              <w:t>.</w:t>
            </w:r>
          </w:p>
        </w:tc>
      </w:tr>
      <w:tr w:rsidR="00FC416C" w:rsidRPr="008C0EDC" w14:paraId="478D42E7"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tcPr>
          <w:p w14:paraId="75E15749" w14:textId="77777777" w:rsidR="00FC416C" w:rsidRDefault="00FC416C" w:rsidP="00FC416C">
            <w:pPr>
              <w:spacing w:after="0"/>
            </w:pPr>
            <w:r w:rsidRPr="00C277D7">
              <w:rPr>
                <w:rFonts w:eastAsia="Times New Roman"/>
                <w:lang w:eastAsia="lv-LV"/>
              </w:rPr>
              <w:t>Regula Nr.</w:t>
            </w:r>
            <w:r w:rsidRPr="00C277D7">
              <w:t xml:space="preserve"> 2019/947 </w:t>
            </w:r>
            <w:r>
              <w:t xml:space="preserve"> </w:t>
            </w:r>
          </w:p>
          <w:p w14:paraId="60DE8ECB" w14:textId="77777777" w:rsidR="00FC416C" w:rsidRPr="00C277D7" w:rsidRDefault="00FC416C" w:rsidP="00FC416C">
            <w:pPr>
              <w:spacing w:after="0"/>
              <w:rPr>
                <w:rFonts w:eastAsia="Times New Roman"/>
                <w:lang w:eastAsia="lv-LV"/>
              </w:rPr>
            </w:pPr>
            <w:r>
              <w:t>(</w:t>
            </w:r>
            <w:r w:rsidRPr="00C277D7">
              <w:t>18</w:t>
            </w:r>
            <w:r>
              <w:t>.</w:t>
            </w:r>
            <w:r w:rsidRPr="00C277D7">
              <w:t xml:space="preserve"> panta </w:t>
            </w:r>
            <w:r w:rsidRPr="00B421CB">
              <w:t xml:space="preserve">a),b),c),d),e),g) </w:t>
            </w:r>
            <w:r w:rsidRPr="00C277D7">
              <w:t>h)punkta i) un ii) apakšpunkti un i),j) un k) punkti</w:t>
            </w:r>
            <w:r>
              <w:t>)</w:t>
            </w:r>
            <w:r w:rsidRPr="00C277D7">
              <w:t xml:space="preserve"> </w:t>
            </w:r>
          </w:p>
        </w:tc>
        <w:tc>
          <w:tcPr>
            <w:tcW w:w="1108" w:type="pct"/>
            <w:tcBorders>
              <w:top w:val="outset" w:sz="6" w:space="0" w:color="auto"/>
              <w:left w:val="outset" w:sz="6" w:space="0" w:color="auto"/>
              <w:bottom w:val="outset" w:sz="6" w:space="0" w:color="auto"/>
              <w:right w:val="outset" w:sz="6" w:space="0" w:color="auto"/>
            </w:tcBorders>
          </w:tcPr>
          <w:p w14:paraId="5518FBA7" w14:textId="77777777" w:rsidR="00FC416C" w:rsidRDefault="00FC416C" w:rsidP="00FC416C">
            <w:pPr>
              <w:spacing w:after="0"/>
              <w:rPr>
                <w:rFonts w:eastAsia="Times New Roman"/>
                <w:lang w:eastAsia="lv-LV"/>
              </w:rPr>
            </w:pPr>
            <w:r w:rsidRPr="00F2701F">
              <w:rPr>
                <w:rFonts w:eastAsia="Times New Roman"/>
                <w:lang w:eastAsia="lv-LV"/>
              </w:rPr>
              <w:t>Projekt</w:t>
            </w:r>
            <w:r>
              <w:rPr>
                <w:rFonts w:eastAsia="Times New Roman"/>
                <w:lang w:eastAsia="lv-LV"/>
              </w:rPr>
              <w:t>a 7.pants</w:t>
            </w:r>
            <w:r w:rsidR="00F86364">
              <w:rPr>
                <w:rFonts w:eastAsia="Times New Roman"/>
                <w:lang w:eastAsia="lv-LV"/>
              </w:rPr>
              <w:t xml:space="preserve"> (</w:t>
            </w:r>
            <w:r w:rsidR="00F86364" w:rsidRPr="00F86364">
              <w:rPr>
                <w:rFonts w:eastAsia="Times New Roman"/>
                <w:lang w:eastAsia="lv-LV"/>
              </w:rPr>
              <w:t>117</w:t>
            </w:r>
            <w:r w:rsidR="00F86364" w:rsidRPr="00F86364">
              <w:rPr>
                <w:rFonts w:eastAsia="Times New Roman"/>
                <w:vertAlign w:val="superscript"/>
                <w:lang w:eastAsia="lv-LV"/>
              </w:rPr>
              <w:t>2</w:t>
            </w:r>
            <w:r w:rsidR="00F86364" w:rsidRPr="00F86364">
              <w:rPr>
                <w:rFonts w:eastAsia="Times New Roman"/>
                <w:lang w:eastAsia="lv-LV"/>
              </w:rPr>
              <w:t>. pant</w:t>
            </w:r>
            <w:r w:rsidR="00F86364">
              <w:rPr>
                <w:rFonts w:eastAsia="Times New Roman"/>
                <w:lang w:eastAsia="lv-LV"/>
              </w:rPr>
              <w:t xml:space="preserve">s, </w:t>
            </w:r>
            <w:r w:rsidR="00F86364" w:rsidRPr="00F86364">
              <w:rPr>
                <w:rFonts w:eastAsia="Times New Roman"/>
                <w:lang w:eastAsia="lv-LV"/>
              </w:rPr>
              <w:t>117</w:t>
            </w:r>
            <w:r w:rsidR="00F86364" w:rsidRPr="00F86364">
              <w:rPr>
                <w:rFonts w:eastAsia="Times New Roman"/>
                <w:vertAlign w:val="superscript"/>
                <w:lang w:eastAsia="lv-LV"/>
              </w:rPr>
              <w:t>3</w:t>
            </w:r>
            <w:r w:rsidR="00F86364" w:rsidRPr="00F86364">
              <w:rPr>
                <w:rFonts w:eastAsia="Times New Roman"/>
                <w:lang w:eastAsia="lv-LV"/>
              </w:rPr>
              <w:t>. pant</w:t>
            </w:r>
            <w:r w:rsidR="00F86364">
              <w:rPr>
                <w:rFonts w:eastAsia="Times New Roman"/>
                <w:lang w:eastAsia="lv-LV"/>
              </w:rPr>
              <w:t xml:space="preserve">s, </w:t>
            </w:r>
            <w:r w:rsidR="00F86364" w:rsidRPr="00F86364">
              <w:rPr>
                <w:rFonts w:eastAsia="Times New Roman"/>
                <w:lang w:eastAsia="lv-LV"/>
              </w:rPr>
              <w:t>117</w:t>
            </w:r>
            <w:r w:rsidR="00F86364" w:rsidRPr="00F86364">
              <w:rPr>
                <w:rFonts w:eastAsia="Times New Roman"/>
                <w:vertAlign w:val="superscript"/>
                <w:lang w:eastAsia="lv-LV"/>
              </w:rPr>
              <w:t>5</w:t>
            </w:r>
            <w:r w:rsidR="00F86364" w:rsidRPr="00F86364">
              <w:rPr>
                <w:rFonts w:eastAsia="Times New Roman"/>
                <w:lang w:eastAsia="lv-LV"/>
              </w:rPr>
              <w:t>. pant</w:t>
            </w:r>
            <w:r w:rsidR="00F86364">
              <w:rPr>
                <w:rFonts w:eastAsia="Times New Roman"/>
                <w:lang w:eastAsia="lv-LV"/>
              </w:rPr>
              <w:t xml:space="preserve">s, </w:t>
            </w:r>
            <w:r w:rsidR="00F86364" w:rsidRPr="00F86364">
              <w:rPr>
                <w:rFonts w:eastAsia="Times New Roman"/>
                <w:lang w:eastAsia="lv-LV"/>
              </w:rPr>
              <w:t>117</w:t>
            </w:r>
            <w:r w:rsidR="00F86364" w:rsidRPr="00F86364">
              <w:rPr>
                <w:rFonts w:eastAsia="Times New Roman"/>
                <w:vertAlign w:val="superscript"/>
                <w:lang w:eastAsia="lv-LV"/>
              </w:rPr>
              <w:t>7</w:t>
            </w:r>
            <w:r w:rsidR="00F86364" w:rsidRPr="00F86364">
              <w:rPr>
                <w:rFonts w:eastAsia="Times New Roman"/>
                <w:lang w:eastAsia="lv-LV"/>
              </w:rPr>
              <w:t>. pant</w:t>
            </w:r>
            <w:r w:rsidR="00F86364">
              <w:rPr>
                <w:rFonts w:eastAsia="Times New Roman"/>
                <w:lang w:eastAsia="lv-LV"/>
              </w:rPr>
              <w:t>s)</w:t>
            </w:r>
          </w:p>
          <w:p w14:paraId="3A7B23D0" w14:textId="77777777" w:rsidR="00FC416C" w:rsidRDefault="00FC416C" w:rsidP="00FC416C">
            <w:pPr>
              <w:spacing w:after="0"/>
              <w:rPr>
                <w:rFonts w:eastAsia="Times New Roman"/>
                <w:lang w:eastAsia="lv-LV"/>
              </w:rPr>
            </w:pPr>
          </w:p>
        </w:tc>
        <w:tc>
          <w:tcPr>
            <w:tcW w:w="1191" w:type="pct"/>
            <w:tcBorders>
              <w:top w:val="outset" w:sz="6" w:space="0" w:color="auto"/>
              <w:left w:val="outset" w:sz="6" w:space="0" w:color="auto"/>
              <w:bottom w:val="outset" w:sz="6" w:space="0" w:color="auto"/>
              <w:right w:val="outset" w:sz="6" w:space="0" w:color="auto"/>
            </w:tcBorders>
          </w:tcPr>
          <w:p w14:paraId="2119BCDA" w14:textId="77777777" w:rsidR="00FC416C" w:rsidRPr="00F2701F" w:rsidRDefault="00FC416C" w:rsidP="00FC416C">
            <w:r w:rsidRPr="00F2701F">
              <w:t xml:space="preserve">Tiesību norma ieviesta pilnībā. </w:t>
            </w:r>
          </w:p>
          <w:p w14:paraId="736ECC50" w14:textId="77777777" w:rsidR="00FC416C" w:rsidRPr="006F4184" w:rsidRDefault="00FC416C" w:rsidP="00FC416C"/>
        </w:tc>
        <w:tc>
          <w:tcPr>
            <w:tcW w:w="1682" w:type="pct"/>
            <w:tcBorders>
              <w:top w:val="outset" w:sz="6" w:space="0" w:color="auto"/>
              <w:left w:val="outset" w:sz="6" w:space="0" w:color="auto"/>
              <w:bottom w:val="outset" w:sz="6" w:space="0" w:color="auto"/>
              <w:right w:val="outset" w:sz="6" w:space="0" w:color="auto"/>
            </w:tcBorders>
          </w:tcPr>
          <w:p w14:paraId="7CA10016" w14:textId="77777777" w:rsidR="00FC416C" w:rsidRPr="006F4184" w:rsidRDefault="00FC416C" w:rsidP="00FC416C">
            <w:r w:rsidRPr="00F2701F">
              <w:t>Projekts stingrākas prasības neparedz</w:t>
            </w:r>
            <w:r>
              <w:t>.</w:t>
            </w:r>
          </w:p>
        </w:tc>
      </w:tr>
      <w:tr w:rsidR="00FC416C" w:rsidRPr="008C0EDC" w14:paraId="0D87E4AA" w14:textId="77777777" w:rsidTr="00F86364">
        <w:trPr>
          <w:tblCellSpacing w:w="15" w:type="dxa"/>
        </w:trPr>
        <w:tc>
          <w:tcPr>
            <w:tcW w:w="936" w:type="pct"/>
            <w:tcBorders>
              <w:top w:val="outset" w:sz="6" w:space="0" w:color="auto"/>
              <w:left w:val="outset" w:sz="6" w:space="0" w:color="auto"/>
              <w:bottom w:val="outset" w:sz="6" w:space="0" w:color="auto"/>
              <w:right w:val="outset" w:sz="6" w:space="0" w:color="auto"/>
            </w:tcBorders>
          </w:tcPr>
          <w:p w14:paraId="114C7BF3" w14:textId="77777777" w:rsidR="00FC416C" w:rsidRPr="00F2701F" w:rsidRDefault="00FC416C" w:rsidP="00FC416C">
            <w:pPr>
              <w:spacing w:after="0"/>
              <w:rPr>
                <w:rFonts w:eastAsia="Times New Roman"/>
                <w:lang w:eastAsia="lv-LV"/>
              </w:rPr>
            </w:pPr>
            <w:r w:rsidRPr="00F2701F">
              <w:rPr>
                <w:rFonts w:eastAsia="Times New Roman"/>
                <w:lang w:eastAsia="lv-LV"/>
              </w:rPr>
              <w:t>Regulas Nr.</w:t>
            </w:r>
            <w:r w:rsidRPr="00F2701F">
              <w:t xml:space="preserve"> 2019/947 14. pant</w:t>
            </w:r>
            <w:r>
              <w:t>s.</w:t>
            </w:r>
          </w:p>
        </w:tc>
        <w:tc>
          <w:tcPr>
            <w:tcW w:w="1108" w:type="pct"/>
            <w:tcBorders>
              <w:top w:val="outset" w:sz="6" w:space="0" w:color="auto"/>
              <w:left w:val="outset" w:sz="6" w:space="0" w:color="auto"/>
              <w:bottom w:val="outset" w:sz="6" w:space="0" w:color="auto"/>
              <w:right w:val="outset" w:sz="6" w:space="0" w:color="auto"/>
            </w:tcBorders>
          </w:tcPr>
          <w:p w14:paraId="3E3BDF8F" w14:textId="77777777" w:rsidR="00FC416C" w:rsidRPr="00F2701F" w:rsidRDefault="00FC416C" w:rsidP="00FC416C">
            <w:pPr>
              <w:spacing w:after="0"/>
              <w:rPr>
                <w:rFonts w:eastAsia="Times New Roman"/>
                <w:lang w:eastAsia="lv-LV"/>
              </w:rPr>
            </w:pPr>
            <w:r w:rsidRPr="00F2701F">
              <w:rPr>
                <w:rFonts w:eastAsia="Times New Roman"/>
                <w:lang w:eastAsia="lv-LV"/>
              </w:rPr>
              <w:t>Projekt</w:t>
            </w:r>
            <w:r>
              <w:rPr>
                <w:rFonts w:eastAsia="Times New Roman"/>
                <w:lang w:eastAsia="lv-LV"/>
              </w:rPr>
              <w:t>a 7.pants</w:t>
            </w:r>
            <w:r w:rsidR="00927E5A">
              <w:rPr>
                <w:rFonts w:eastAsia="Times New Roman"/>
                <w:lang w:eastAsia="lv-LV"/>
              </w:rPr>
              <w:t xml:space="preserve"> (</w:t>
            </w:r>
            <w:r w:rsidR="00927E5A" w:rsidRPr="00927E5A">
              <w:rPr>
                <w:rFonts w:eastAsia="Times New Roman"/>
                <w:lang w:eastAsia="lv-LV"/>
              </w:rPr>
              <w:t>117</w:t>
            </w:r>
            <w:r w:rsidR="00927E5A" w:rsidRPr="00927E5A">
              <w:rPr>
                <w:rFonts w:eastAsia="Times New Roman"/>
                <w:vertAlign w:val="superscript"/>
                <w:lang w:eastAsia="lv-LV"/>
              </w:rPr>
              <w:t>5</w:t>
            </w:r>
            <w:r w:rsidR="00927E5A" w:rsidRPr="00927E5A">
              <w:rPr>
                <w:rFonts w:eastAsia="Times New Roman"/>
                <w:lang w:eastAsia="lv-LV"/>
              </w:rPr>
              <w:t>. pant</w:t>
            </w:r>
            <w:r w:rsidR="00927E5A">
              <w:rPr>
                <w:rFonts w:eastAsia="Times New Roman"/>
                <w:lang w:eastAsia="lv-LV"/>
              </w:rPr>
              <w:t xml:space="preserve">a </w:t>
            </w:r>
            <w:r w:rsidR="00F86364">
              <w:rPr>
                <w:rFonts w:eastAsia="Times New Roman"/>
                <w:lang w:eastAsia="lv-LV"/>
              </w:rPr>
              <w:t>1), 2) un 3) punkts</w:t>
            </w:r>
          </w:p>
          <w:p w14:paraId="19FC5954" w14:textId="77777777" w:rsidR="00FC416C" w:rsidRPr="00F2701F" w:rsidRDefault="00FC416C" w:rsidP="00FC416C">
            <w:pPr>
              <w:spacing w:after="0"/>
              <w:rPr>
                <w:rFonts w:eastAsia="Times New Roman"/>
                <w:lang w:eastAsia="lv-LV"/>
              </w:rPr>
            </w:pPr>
          </w:p>
        </w:tc>
        <w:tc>
          <w:tcPr>
            <w:tcW w:w="1191" w:type="pct"/>
            <w:tcBorders>
              <w:top w:val="outset" w:sz="6" w:space="0" w:color="auto"/>
              <w:left w:val="outset" w:sz="6" w:space="0" w:color="auto"/>
              <w:bottom w:val="outset" w:sz="6" w:space="0" w:color="auto"/>
              <w:right w:val="outset" w:sz="6" w:space="0" w:color="auto"/>
            </w:tcBorders>
          </w:tcPr>
          <w:p w14:paraId="00FB9FF8" w14:textId="77777777" w:rsidR="00FC416C" w:rsidRPr="00402E5F" w:rsidRDefault="00FC416C" w:rsidP="00FC416C">
            <w:r w:rsidRPr="00402E5F">
              <w:t xml:space="preserve">Tiesību norma ieviesta pilnībā. </w:t>
            </w:r>
          </w:p>
          <w:p w14:paraId="5034A643" w14:textId="77777777" w:rsidR="00FC416C" w:rsidRPr="00402E5F" w:rsidRDefault="00FC416C" w:rsidP="00FC416C"/>
        </w:tc>
        <w:tc>
          <w:tcPr>
            <w:tcW w:w="1682" w:type="pct"/>
            <w:tcBorders>
              <w:top w:val="outset" w:sz="6" w:space="0" w:color="auto"/>
              <w:left w:val="outset" w:sz="6" w:space="0" w:color="auto"/>
              <w:bottom w:val="outset" w:sz="6" w:space="0" w:color="auto"/>
              <w:right w:val="outset" w:sz="6" w:space="0" w:color="auto"/>
            </w:tcBorders>
          </w:tcPr>
          <w:p w14:paraId="0EDB48E3" w14:textId="77777777" w:rsidR="00FC416C" w:rsidRPr="00402E5F" w:rsidRDefault="00FC416C" w:rsidP="00FC416C">
            <w:r w:rsidRPr="00402E5F">
              <w:t>Projekts stingrākas prasības neparedz.</w:t>
            </w:r>
          </w:p>
        </w:tc>
      </w:tr>
      <w:tr w:rsidR="00FC416C" w:rsidRPr="008C0EDC" w14:paraId="7033A014" w14:textId="77777777" w:rsidTr="00F86364">
        <w:trPr>
          <w:tblCellSpacing w:w="15" w:type="dxa"/>
        </w:trPr>
        <w:tc>
          <w:tcPr>
            <w:tcW w:w="2060" w:type="pct"/>
            <w:gridSpan w:val="2"/>
            <w:tcBorders>
              <w:top w:val="outset" w:sz="6" w:space="0" w:color="auto"/>
              <w:left w:val="outset" w:sz="6" w:space="0" w:color="auto"/>
              <w:bottom w:val="outset" w:sz="6" w:space="0" w:color="auto"/>
              <w:right w:val="outset" w:sz="6" w:space="0" w:color="auto"/>
            </w:tcBorders>
            <w:hideMark/>
          </w:tcPr>
          <w:p w14:paraId="315C0A14" w14:textId="77777777" w:rsidR="00FC416C" w:rsidRPr="008C0EDC" w:rsidRDefault="00FC416C" w:rsidP="00FC416C">
            <w:pPr>
              <w:spacing w:after="0"/>
              <w:rPr>
                <w:rFonts w:eastAsia="Times New Roman"/>
                <w:lang w:eastAsia="lv-LV"/>
              </w:rPr>
            </w:pPr>
            <w:r w:rsidRPr="008C0EDC">
              <w:rPr>
                <w:rFonts w:eastAsia="Times New Roman"/>
                <w:lang w:eastAsia="lv-LV"/>
              </w:rPr>
              <w:t>Kā ir izmantota ES tiesību aktā paredzētā rīcības brīvība dalībvalstij pārņemt vai ieviest noteiktas ES tiesību akta normas? Kādēļ?</w:t>
            </w:r>
          </w:p>
        </w:tc>
        <w:tc>
          <w:tcPr>
            <w:tcW w:w="2890" w:type="pct"/>
            <w:gridSpan w:val="2"/>
            <w:tcBorders>
              <w:top w:val="outset" w:sz="6" w:space="0" w:color="auto"/>
              <w:left w:val="outset" w:sz="6" w:space="0" w:color="auto"/>
              <w:bottom w:val="outset" w:sz="6" w:space="0" w:color="auto"/>
              <w:right w:val="outset" w:sz="6" w:space="0" w:color="auto"/>
            </w:tcBorders>
          </w:tcPr>
          <w:p w14:paraId="32FB5D36" w14:textId="77777777" w:rsidR="00FC416C" w:rsidRPr="008C0EDC" w:rsidRDefault="00FC416C" w:rsidP="00FC416C">
            <w:pPr>
              <w:spacing w:after="0"/>
              <w:rPr>
                <w:rFonts w:eastAsia="Times New Roman"/>
                <w:lang w:eastAsia="lv-LV"/>
              </w:rPr>
            </w:pPr>
            <w:r>
              <w:rPr>
                <w:rFonts w:eastAsia="Times New Roman"/>
                <w:lang w:eastAsia="lv-LV"/>
              </w:rPr>
              <w:t>Projekts šo jomu neskar.</w:t>
            </w:r>
          </w:p>
        </w:tc>
      </w:tr>
      <w:tr w:rsidR="00FC416C" w:rsidRPr="008C0EDC" w14:paraId="1261C042" w14:textId="77777777" w:rsidTr="00F86364">
        <w:trPr>
          <w:tblCellSpacing w:w="15" w:type="dxa"/>
        </w:trPr>
        <w:tc>
          <w:tcPr>
            <w:tcW w:w="2060" w:type="pct"/>
            <w:gridSpan w:val="2"/>
            <w:tcBorders>
              <w:top w:val="outset" w:sz="6" w:space="0" w:color="auto"/>
              <w:left w:val="outset" w:sz="6" w:space="0" w:color="auto"/>
              <w:bottom w:val="outset" w:sz="6" w:space="0" w:color="auto"/>
              <w:right w:val="outset" w:sz="6" w:space="0" w:color="auto"/>
            </w:tcBorders>
            <w:hideMark/>
          </w:tcPr>
          <w:p w14:paraId="079119B4" w14:textId="77777777" w:rsidR="00FC416C" w:rsidRPr="008C0EDC" w:rsidRDefault="00FC416C" w:rsidP="00FC416C">
            <w:pPr>
              <w:spacing w:after="0"/>
              <w:rPr>
                <w:rFonts w:eastAsia="Times New Roman"/>
                <w:lang w:eastAsia="lv-LV"/>
              </w:rPr>
            </w:pPr>
            <w:r w:rsidRPr="008C0EDC">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90" w:type="pct"/>
            <w:gridSpan w:val="2"/>
            <w:tcBorders>
              <w:top w:val="outset" w:sz="6" w:space="0" w:color="auto"/>
              <w:left w:val="outset" w:sz="6" w:space="0" w:color="auto"/>
              <w:bottom w:val="outset" w:sz="6" w:space="0" w:color="auto"/>
              <w:right w:val="outset" w:sz="6" w:space="0" w:color="auto"/>
            </w:tcBorders>
          </w:tcPr>
          <w:p w14:paraId="6493BA5F" w14:textId="77777777" w:rsidR="00FC416C" w:rsidRPr="008C0EDC" w:rsidRDefault="00FC416C" w:rsidP="00FC416C">
            <w:pPr>
              <w:spacing w:after="0"/>
              <w:rPr>
                <w:rFonts w:eastAsia="Times New Roman"/>
                <w:lang w:eastAsia="lv-LV"/>
              </w:rPr>
            </w:pPr>
            <w:r>
              <w:rPr>
                <w:rFonts w:eastAsia="Times New Roman"/>
                <w:lang w:eastAsia="lv-LV"/>
              </w:rPr>
              <w:t>Projekts šo jomu neskar.</w:t>
            </w:r>
          </w:p>
        </w:tc>
      </w:tr>
      <w:tr w:rsidR="00FC416C" w:rsidRPr="008C0EDC" w14:paraId="13E1C60B" w14:textId="77777777" w:rsidTr="00F86364">
        <w:trPr>
          <w:tblCellSpacing w:w="15" w:type="dxa"/>
        </w:trPr>
        <w:tc>
          <w:tcPr>
            <w:tcW w:w="2060" w:type="pct"/>
            <w:gridSpan w:val="2"/>
            <w:tcBorders>
              <w:top w:val="outset" w:sz="6" w:space="0" w:color="auto"/>
              <w:left w:val="outset" w:sz="6" w:space="0" w:color="auto"/>
              <w:bottom w:val="outset" w:sz="6" w:space="0" w:color="auto"/>
              <w:right w:val="outset" w:sz="6" w:space="0" w:color="auto"/>
            </w:tcBorders>
            <w:hideMark/>
          </w:tcPr>
          <w:p w14:paraId="4B194D1D" w14:textId="77777777" w:rsidR="00FC416C" w:rsidRPr="008C0EDC" w:rsidRDefault="00FC416C" w:rsidP="00FC416C">
            <w:pPr>
              <w:spacing w:after="0"/>
              <w:rPr>
                <w:rFonts w:eastAsia="Times New Roman"/>
                <w:lang w:eastAsia="lv-LV"/>
              </w:rPr>
            </w:pPr>
            <w:r w:rsidRPr="008C0EDC">
              <w:rPr>
                <w:rFonts w:eastAsia="Times New Roman"/>
                <w:lang w:eastAsia="lv-LV"/>
              </w:rPr>
              <w:t>Cita informācija</w:t>
            </w:r>
          </w:p>
        </w:tc>
        <w:tc>
          <w:tcPr>
            <w:tcW w:w="2890" w:type="pct"/>
            <w:gridSpan w:val="2"/>
            <w:tcBorders>
              <w:top w:val="outset" w:sz="6" w:space="0" w:color="auto"/>
              <w:left w:val="outset" w:sz="6" w:space="0" w:color="auto"/>
              <w:bottom w:val="outset" w:sz="6" w:space="0" w:color="auto"/>
              <w:right w:val="outset" w:sz="6" w:space="0" w:color="auto"/>
            </w:tcBorders>
            <w:hideMark/>
          </w:tcPr>
          <w:p w14:paraId="24B020A9" w14:textId="77777777" w:rsidR="00FC416C" w:rsidRPr="008C0EDC" w:rsidRDefault="00FC416C" w:rsidP="00FC416C">
            <w:pPr>
              <w:spacing w:after="0"/>
              <w:rPr>
                <w:rFonts w:eastAsia="Times New Roman"/>
                <w:lang w:eastAsia="lv-LV"/>
              </w:rPr>
            </w:pPr>
            <w:r>
              <w:rPr>
                <w:rFonts w:eastAsia="Times New Roman"/>
                <w:lang w:eastAsia="lv-LV"/>
              </w:rPr>
              <w:t>Nav.</w:t>
            </w:r>
          </w:p>
        </w:tc>
      </w:tr>
      <w:tr w:rsidR="00FC416C" w:rsidRPr="008C0EDC" w14:paraId="1800477B" w14:textId="77777777" w:rsidTr="006733B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77754E2" w14:textId="77777777" w:rsidR="00FC416C" w:rsidRPr="008C0EDC" w:rsidRDefault="00FC416C" w:rsidP="00FC416C">
            <w:pPr>
              <w:spacing w:before="100" w:beforeAutospacing="1" w:after="100" w:afterAutospacing="1"/>
              <w:jc w:val="center"/>
              <w:rPr>
                <w:rFonts w:eastAsia="Times New Roman"/>
                <w:b/>
                <w:bCs/>
                <w:lang w:eastAsia="lv-LV"/>
              </w:rPr>
            </w:pPr>
            <w:r w:rsidRPr="008C0EDC">
              <w:rPr>
                <w:rFonts w:eastAsia="Times New Roman"/>
                <w:b/>
                <w:bCs/>
                <w:lang w:eastAsia="lv-LV"/>
              </w:rPr>
              <w:t>2. tabula</w:t>
            </w:r>
            <w:r w:rsidRPr="008C0EDC">
              <w:rPr>
                <w:rFonts w:eastAsia="Times New Roman"/>
                <w:b/>
                <w:bCs/>
                <w:lang w:eastAsia="lv-LV"/>
              </w:rPr>
              <w:br/>
              <w:t>Ar tiesību akta projektu izpildītās vai uzņemtās saistības, kas izriet no starptautiskajiem tiesību aktiem vai starptautiskas institūcijas vai organizācijas dokumentiem.</w:t>
            </w:r>
            <w:r w:rsidRPr="008C0EDC">
              <w:rPr>
                <w:rFonts w:eastAsia="Times New Roman"/>
                <w:b/>
                <w:bCs/>
                <w:lang w:eastAsia="lv-LV"/>
              </w:rPr>
              <w:br/>
              <w:t>Pasākumi šo saistību izpildei</w:t>
            </w:r>
          </w:p>
        </w:tc>
      </w:tr>
      <w:tr w:rsidR="00FC416C" w:rsidRPr="008C0EDC" w14:paraId="2C8DEE89" w14:textId="77777777" w:rsidTr="006733B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5DC30A4E" w14:textId="77777777" w:rsidR="00FC416C" w:rsidRPr="008C0EDC" w:rsidRDefault="00FC416C" w:rsidP="00FC416C">
            <w:pPr>
              <w:spacing w:after="0"/>
              <w:rPr>
                <w:rFonts w:eastAsia="Times New Roman"/>
                <w:lang w:eastAsia="lv-LV"/>
              </w:rPr>
            </w:pPr>
          </w:p>
          <w:p w14:paraId="1E6F3D43" w14:textId="77777777" w:rsidR="00FC416C" w:rsidRPr="008C0EDC" w:rsidRDefault="00FC416C" w:rsidP="00FC416C">
            <w:pPr>
              <w:spacing w:after="0"/>
              <w:jc w:val="both"/>
              <w:rPr>
                <w:rFonts w:eastAsia="Times New Roman"/>
                <w:lang w:eastAsia="lv-LV"/>
              </w:rPr>
            </w:pPr>
            <w:r>
              <w:rPr>
                <w:rFonts w:eastAsia="Times New Roman"/>
                <w:lang w:eastAsia="lv-LV"/>
              </w:rPr>
              <w:t xml:space="preserve"> Projekts šo jomu neskar.</w:t>
            </w:r>
          </w:p>
        </w:tc>
      </w:tr>
    </w:tbl>
    <w:p w14:paraId="5C04C447" w14:textId="77777777" w:rsidR="000D4240" w:rsidRDefault="000D4240" w:rsidP="008C0EDC">
      <w:pPr>
        <w:spacing w:after="0"/>
        <w:rPr>
          <w:rFonts w:eastAsia="Times New Roman"/>
          <w:lang w:eastAsia="lv-LV"/>
        </w:rPr>
      </w:pPr>
    </w:p>
    <w:p w14:paraId="3DEAAEB6" w14:textId="77777777" w:rsidR="000D4240" w:rsidRPr="008C0EDC" w:rsidRDefault="000D4240"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8C0EDC" w14:paraId="1D627D56"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3D4A91"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VI. Sabiedrības līdzdalība un komunikācijas aktivitātes</w:t>
            </w:r>
          </w:p>
        </w:tc>
      </w:tr>
      <w:tr w:rsidR="008C0EDC" w:rsidRPr="008C0EDC" w14:paraId="3BE0146F"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6F0C01"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D2C724E" w14:textId="77777777" w:rsidR="008C0EDC" w:rsidRPr="008C0EDC" w:rsidRDefault="008C0EDC" w:rsidP="008C0EDC">
            <w:pPr>
              <w:spacing w:after="0"/>
              <w:rPr>
                <w:rFonts w:eastAsia="Times New Roman"/>
                <w:lang w:eastAsia="lv-LV"/>
              </w:rPr>
            </w:pPr>
            <w:r w:rsidRPr="008C0EDC">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3319FFEC" w14:textId="77777777" w:rsidR="00EE47A1" w:rsidRDefault="00F01236" w:rsidP="00F01236">
            <w:pPr>
              <w:spacing w:after="0"/>
              <w:jc w:val="both"/>
              <w:rPr>
                <w:rFonts w:eastAsia="Calibri"/>
              </w:rPr>
            </w:pPr>
            <w:r w:rsidRPr="00FC09F3">
              <w:rPr>
                <w:rFonts w:eastAsia="Calibri"/>
              </w:rPr>
              <w:t>Paziņojums par līdzdalības iespējām noteikumu projekta izstrādes procesā ievietots Satiksmes ministrijas tīmekļa vietnē www.sam.gov.lv 20</w:t>
            </w:r>
            <w:r w:rsidR="00FC09F3">
              <w:rPr>
                <w:rFonts w:eastAsia="Calibri"/>
              </w:rPr>
              <w:t>20</w:t>
            </w:r>
            <w:r w:rsidRPr="00FC09F3">
              <w:rPr>
                <w:rFonts w:eastAsia="Calibri"/>
              </w:rPr>
              <w:t>.gada</w:t>
            </w:r>
            <w:r w:rsidR="00A51D87">
              <w:rPr>
                <w:rFonts w:eastAsia="Calibri"/>
              </w:rPr>
              <w:t xml:space="preserve"> 2.martā.</w:t>
            </w:r>
            <w:r w:rsidR="00FC09F3">
              <w:rPr>
                <w:rFonts w:eastAsia="Calibri"/>
              </w:rPr>
              <w:t xml:space="preserve"> </w:t>
            </w:r>
          </w:p>
          <w:p w14:paraId="3D2A0269" w14:textId="1A774397" w:rsidR="008C0EDC" w:rsidRDefault="00CF22A5" w:rsidP="00F01236">
            <w:pPr>
              <w:spacing w:after="0"/>
              <w:jc w:val="both"/>
              <w:rPr>
                <w:rFonts w:eastAsia="Calibri"/>
              </w:rPr>
            </w:pPr>
            <w:r w:rsidRPr="00FC09F3">
              <w:rPr>
                <w:rFonts w:eastAsia="Calibri"/>
              </w:rPr>
              <w:t xml:space="preserve">Papildus elektroniski projekts tika nosūtīts </w:t>
            </w:r>
            <w:r w:rsidR="00FC09F3">
              <w:rPr>
                <w:rFonts w:eastAsia="Calibri"/>
              </w:rPr>
              <w:t xml:space="preserve">VAS “Latvijas gaisa satiksme” </w:t>
            </w:r>
            <w:r w:rsidRPr="00FC09F3">
              <w:rPr>
                <w:rFonts w:eastAsia="Calibri"/>
              </w:rPr>
              <w:t>viedokļ</w:t>
            </w:r>
            <w:r w:rsidR="00EE47A1">
              <w:rPr>
                <w:rFonts w:eastAsia="Calibri"/>
              </w:rPr>
              <w:t>a</w:t>
            </w:r>
            <w:r w:rsidRPr="00FC09F3">
              <w:rPr>
                <w:rFonts w:eastAsia="Calibri"/>
              </w:rPr>
              <w:t xml:space="preserve"> izteikšanai.</w:t>
            </w:r>
          </w:p>
          <w:p w14:paraId="0FAB5B73" w14:textId="13FC32F8" w:rsidR="00E04C7B" w:rsidRPr="005B321B" w:rsidRDefault="001340A1" w:rsidP="00EE47A1">
            <w:pPr>
              <w:spacing w:after="0"/>
              <w:jc w:val="both"/>
              <w:rPr>
                <w:rFonts w:eastAsia="Times New Roman"/>
                <w:highlight w:val="yellow"/>
                <w:lang w:eastAsia="lv-LV"/>
              </w:rPr>
            </w:pPr>
            <w:r>
              <w:rPr>
                <w:rFonts w:eastAsia="Times New Roman"/>
                <w:lang w:eastAsia="lv-LV"/>
              </w:rPr>
              <w:t>2019.gada 20.novembrī Civilās aviācijas aģentūra organizēja p</w:t>
            </w:r>
            <w:r w:rsidRPr="001340A1">
              <w:rPr>
                <w:rFonts w:eastAsia="Times New Roman"/>
                <w:lang w:eastAsia="lv-LV"/>
              </w:rPr>
              <w:t>rezentācij</w:t>
            </w:r>
            <w:r>
              <w:rPr>
                <w:rFonts w:eastAsia="Times New Roman"/>
                <w:lang w:eastAsia="lv-LV"/>
              </w:rPr>
              <w:t>u</w:t>
            </w:r>
            <w:r w:rsidRPr="001340A1">
              <w:rPr>
                <w:rFonts w:eastAsia="Times New Roman"/>
                <w:lang w:eastAsia="lv-LV"/>
              </w:rPr>
              <w:t xml:space="preserve"> un diskusij</w:t>
            </w:r>
            <w:r>
              <w:rPr>
                <w:rFonts w:eastAsia="Times New Roman"/>
                <w:lang w:eastAsia="lv-LV"/>
              </w:rPr>
              <w:t>u</w:t>
            </w:r>
            <w:r w:rsidRPr="001340A1">
              <w:rPr>
                <w:rFonts w:eastAsia="Times New Roman"/>
                <w:lang w:eastAsia="lv-LV"/>
              </w:rPr>
              <w:t xml:space="preserve"> par iecerētajiem grozījumiem likumā “Par aviāciju” saistībā ar bezpilota gaisa kuģiem</w:t>
            </w:r>
            <w:r>
              <w:rPr>
                <w:rFonts w:eastAsia="Times New Roman"/>
                <w:lang w:eastAsia="lv-LV"/>
              </w:rPr>
              <w:t xml:space="preserve">, </w:t>
            </w:r>
            <w:r w:rsidRPr="00656474">
              <w:rPr>
                <w:rFonts w:eastAsia="Times New Roman"/>
                <w:lang w:eastAsia="lv-LV"/>
              </w:rPr>
              <w:t xml:space="preserve">kurā piedalījās eksperti no </w:t>
            </w:r>
            <w:r w:rsidR="0005775E" w:rsidRPr="00656474">
              <w:rPr>
                <w:rFonts w:eastAsia="Times New Roman"/>
                <w:lang w:eastAsia="lv-LV"/>
              </w:rPr>
              <w:t>Ekonomikas ministrijas,</w:t>
            </w:r>
            <w:r w:rsidR="002E30E5" w:rsidRPr="00656474">
              <w:t xml:space="preserve"> </w:t>
            </w:r>
            <w:r w:rsidR="002E30E5" w:rsidRPr="00656474">
              <w:rPr>
                <w:rFonts w:eastAsia="Times New Roman"/>
                <w:lang w:eastAsia="lv-LV"/>
              </w:rPr>
              <w:t>Patērētāju tiesību aizsardzības centr</w:t>
            </w:r>
            <w:r w:rsidR="002E6143" w:rsidRPr="00656474">
              <w:rPr>
                <w:rFonts w:eastAsia="Times New Roman"/>
                <w:lang w:eastAsia="lv-LV"/>
              </w:rPr>
              <w:t>a,</w:t>
            </w:r>
            <w:r w:rsidR="002E30E5" w:rsidRPr="00656474">
              <w:rPr>
                <w:rFonts w:eastAsia="Times New Roman"/>
                <w:lang w:eastAsia="lv-LV"/>
              </w:rPr>
              <w:t xml:space="preserve"> </w:t>
            </w:r>
            <w:r w:rsidR="0005775E" w:rsidRPr="00656474">
              <w:rPr>
                <w:rFonts w:eastAsia="Times New Roman"/>
                <w:lang w:eastAsia="lv-LV"/>
              </w:rPr>
              <w:t xml:space="preserve"> Valsts policijas, </w:t>
            </w:r>
            <w:r w:rsidR="00E16F39" w:rsidRPr="00656474">
              <w:rPr>
                <w:rFonts w:eastAsia="Times New Roman"/>
                <w:lang w:eastAsia="lv-LV"/>
              </w:rPr>
              <w:t>Valsts r</w:t>
            </w:r>
            <w:r w:rsidR="0005775E" w:rsidRPr="00656474">
              <w:rPr>
                <w:rFonts w:eastAsia="Times New Roman"/>
                <w:lang w:eastAsia="lv-LV"/>
              </w:rPr>
              <w:t>obežsardzes</w:t>
            </w:r>
            <w:r w:rsidR="005B473B" w:rsidRPr="00656474">
              <w:rPr>
                <w:rFonts w:eastAsia="Times New Roman"/>
                <w:lang w:eastAsia="lv-LV"/>
              </w:rPr>
              <w:t>, Nacionāl</w:t>
            </w:r>
            <w:r w:rsidR="00EE47A1">
              <w:rPr>
                <w:rFonts w:eastAsia="Times New Roman"/>
                <w:lang w:eastAsia="lv-LV"/>
              </w:rPr>
              <w:t>aj</w:t>
            </w:r>
            <w:r w:rsidR="005B473B" w:rsidRPr="00656474">
              <w:rPr>
                <w:rFonts w:eastAsia="Times New Roman"/>
                <w:lang w:eastAsia="lv-LV"/>
              </w:rPr>
              <w:t>ie</w:t>
            </w:r>
            <w:r w:rsidR="00656474">
              <w:rPr>
                <w:rFonts w:eastAsia="Times New Roman"/>
                <w:lang w:eastAsia="lv-LV"/>
              </w:rPr>
              <w:t>m</w:t>
            </w:r>
            <w:r w:rsidR="005B473B" w:rsidRPr="00656474">
              <w:rPr>
                <w:rFonts w:eastAsia="Times New Roman"/>
                <w:lang w:eastAsia="lv-LV"/>
              </w:rPr>
              <w:t xml:space="preserve"> bruņot</w:t>
            </w:r>
            <w:r w:rsidR="00EE47A1">
              <w:rPr>
                <w:rFonts w:eastAsia="Times New Roman"/>
                <w:lang w:eastAsia="lv-LV"/>
              </w:rPr>
              <w:t>aj</w:t>
            </w:r>
            <w:r w:rsidR="005B473B" w:rsidRPr="00656474">
              <w:rPr>
                <w:rFonts w:eastAsia="Times New Roman"/>
                <w:lang w:eastAsia="lv-LV"/>
              </w:rPr>
              <w:t>ie</w:t>
            </w:r>
            <w:r w:rsidR="00656474">
              <w:rPr>
                <w:rFonts w:eastAsia="Times New Roman"/>
                <w:lang w:eastAsia="lv-LV"/>
              </w:rPr>
              <w:t>m</w:t>
            </w:r>
            <w:r w:rsidR="005B473B" w:rsidRPr="00656474">
              <w:rPr>
                <w:rFonts w:eastAsia="Times New Roman"/>
                <w:lang w:eastAsia="lv-LV"/>
              </w:rPr>
              <w:t xml:space="preserve"> spēki</w:t>
            </w:r>
            <w:r w:rsidR="00656474">
              <w:rPr>
                <w:rFonts w:eastAsia="Times New Roman"/>
                <w:lang w:eastAsia="lv-LV"/>
              </w:rPr>
              <w:t>em</w:t>
            </w:r>
            <w:r w:rsidR="005B473B" w:rsidRPr="00656474">
              <w:rPr>
                <w:rFonts w:eastAsia="Times New Roman"/>
                <w:lang w:eastAsia="lv-LV"/>
              </w:rPr>
              <w:t xml:space="preserve">, </w:t>
            </w:r>
            <w:r w:rsidR="00E16F39" w:rsidRPr="00656474">
              <w:rPr>
                <w:rFonts w:eastAsia="Times New Roman"/>
                <w:lang w:eastAsia="lv-LV"/>
              </w:rPr>
              <w:t>M</w:t>
            </w:r>
            <w:r w:rsidR="0005775E" w:rsidRPr="00656474">
              <w:rPr>
                <w:rFonts w:eastAsia="Times New Roman"/>
                <w:lang w:eastAsia="lv-LV"/>
              </w:rPr>
              <w:t>ilitārās</w:t>
            </w:r>
            <w:r w:rsidR="005B473B" w:rsidRPr="00656474">
              <w:rPr>
                <w:rFonts w:eastAsia="Times New Roman"/>
                <w:lang w:eastAsia="lv-LV"/>
              </w:rPr>
              <w:t xml:space="preserve"> </w:t>
            </w:r>
            <w:r w:rsidR="0005775E" w:rsidRPr="00656474">
              <w:rPr>
                <w:rFonts w:eastAsia="Times New Roman"/>
                <w:lang w:eastAsia="lv-LV"/>
              </w:rPr>
              <w:t>policijas,</w:t>
            </w:r>
            <w:r w:rsidR="005B473B" w:rsidRPr="00656474">
              <w:rPr>
                <w:rFonts w:eastAsia="Times New Roman"/>
                <w:lang w:eastAsia="lv-LV"/>
              </w:rPr>
              <w:t xml:space="preserve"> </w:t>
            </w:r>
            <w:r w:rsidR="00E16F39" w:rsidRPr="00656474">
              <w:rPr>
                <w:rFonts w:eastAsia="Times New Roman"/>
                <w:lang w:eastAsia="lv-LV"/>
              </w:rPr>
              <w:t>V</w:t>
            </w:r>
            <w:r w:rsidR="0005775E" w:rsidRPr="00656474">
              <w:rPr>
                <w:rFonts w:eastAsia="Times New Roman"/>
                <w:lang w:eastAsia="lv-LV"/>
              </w:rPr>
              <w:t xml:space="preserve">alsts ugunsdzēsības un glābšanas dienesta, </w:t>
            </w:r>
            <w:r w:rsidR="00F53C27">
              <w:rPr>
                <w:rFonts w:eastAsia="Calibri"/>
              </w:rPr>
              <w:t xml:space="preserve"> VAS “Latvijas gaisa satiksme”</w:t>
            </w:r>
            <w:r w:rsidR="00F53C27" w:rsidRPr="00656474">
              <w:rPr>
                <w:rFonts w:eastAsia="Times New Roman"/>
                <w:lang w:eastAsia="lv-LV"/>
              </w:rPr>
              <w:t>, Ieslodzījum</w:t>
            </w:r>
            <w:r w:rsidR="00F53C27">
              <w:rPr>
                <w:rFonts w:eastAsia="Times New Roman"/>
                <w:lang w:eastAsia="lv-LV"/>
              </w:rPr>
              <w:t>u</w:t>
            </w:r>
            <w:r w:rsidR="00F53C27" w:rsidRPr="00656474">
              <w:rPr>
                <w:rFonts w:eastAsia="Times New Roman"/>
                <w:lang w:eastAsia="lv-LV"/>
              </w:rPr>
              <w:t xml:space="preserve"> vietu pārvaldes, </w:t>
            </w:r>
            <w:r w:rsidR="002C0ED8" w:rsidRPr="00126BCA">
              <w:rPr>
                <w:rFonts w:eastAsia="Times New Roman"/>
                <w:lang w:eastAsia="lv-LV"/>
              </w:rPr>
              <w:t>P</w:t>
            </w:r>
            <w:r w:rsidR="00F53C27" w:rsidRPr="00126BCA">
              <w:rPr>
                <w:rFonts w:eastAsia="Times New Roman"/>
                <w:lang w:eastAsia="lv-LV"/>
              </w:rPr>
              <w:t>ašvaldības pol</w:t>
            </w:r>
            <w:r w:rsidR="00F53C27" w:rsidRPr="00703C87">
              <w:rPr>
                <w:rFonts w:eastAsia="Times New Roman"/>
                <w:lang w:eastAsia="lv-LV"/>
              </w:rPr>
              <w:t>icijas,</w:t>
            </w:r>
            <w:r w:rsidR="00F53C27" w:rsidRPr="00656474">
              <w:rPr>
                <w:rFonts w:eastAsia="Times New Roman"/>
                <w:lang w:eastAsia="lv-LV"/>
              </w:rPr>
              <w:t xml:space="preserve"> Latvijas lielo pilsētu asociācijas, Latvijas pašvaldību savienības un Latvijas </w:t>
            </w:r>
            <w:r w:rsidR="00EE47A1">
              <w:rPr>
                <w:rFonts w:eastAsia="Times New Roman"/>
                <w:lang w:eastAsia="lv-LV"/>
              </w:rPr>
              <w:t>B</w:t>
            </w:r>
            <w:r w:rsidR="00F53C27" w:rsidRPr="00656474">
              <w:rPr>
                <w:rFonts w:eastAsia="Times New Roman"/>
                <w:lang w:eastAsia="lv-LV"/>
              </w:rPr>
              <w:t>ankas</w:t>
            </w:r>
            <w:r w:rsidR="00F53C27">
              <w:rPr>
                <w:rFonts w:eastAsia="Times New Roman"/>
                <w:lang w:eastAsia="lv-LV"/>
              </w:rPr>
              <w:t>.</w:t>
            </w:r>
            <w:r w:rsidR="00F53C27" w:rsidRPr="00656474">
              <w:rPr>
                <w:rFonts w:eastAsia="Times New Roman"/>
                <w:lang w:eastAsia="lv-LV"/>
              </w:rPr>
              <w:t xml:space="preserve"> Projekta izstrādes gaitā tika uzklausīti un pēc iespējas ņemti vērā </w:t>
            </w:r>
            <w:r w:rsidR="00EE47A1">
              <w:rPr>
                <w:rFonts w:eastAsia="Times New Roman"/>
                <w:lang w:eastAsia="lv-LV"/>
              </w:rPr>
              <w:t>izteiktie</w:t>
            </w:r>
            <w:r w:rsidR="00EE47A1" w:rsidRPr="00656474">
              <w:rPr>
                <w:rFonts w:eastAsia="Times New Roman"/>
                <w:lang w:eastAsia="lv-LV"/>
              </w:rPr>
              <w:t xml:space="preserve"> </w:t>
            </w:r>
            <w:r w:rsidR="00F53C27" w:rsidRPr="00656474">
              <w:rPr>
                <w:rFonts w:eastAsia="Times New Roman"/>
                <w:lang w:eastAsia="lv-LV"/>
              </w:rPr>
              <w:t>priekšlikumi</w:t>
            </w:r>
            <w:r w:rsidR="00F53C27" w:rsidRPr="001340A1">
              <w:rPr>
                <w:rFonts w:eastAsia="Times New Roman"/>
                <w:lang w:eastAsia="lv-LV"/>
              </w:rPr>
              <w:t xml:space="preserve"> </w:t>
            </w:r>
            <w:r w:rsidR="00F53C27">
              <w:rPr>
                <w:rFonts w:eastAsia="Times New Roman"/>
                <w:lang w:eastAsia="lv-LV"/>
              </w:rPr>
              <w:t>.</w:t>
            </w:r>
            <w:r w:rsidR="00E04C7B" w:rsidRPr="00BE2D8F">
              <w:rPr>
                <w:rFonts w:eastAsia="Times New Roman"/>
                <w:lang w:eastAsia="lv-LV"/>
              </w:rPr>
              <w:t xml:space="preserve">Projektu paredzēts virzīt izskatīšanai </w:t>
            </w:r>
            <w:r w:rsidR="00A67D55">
              <w:t>Nacionālās civilās aviācijas drošības komisijas sēdē, kas tiek plānota marta beigās vai aprīļa sākumā.</w:t>
            </w:r>
          </w:p>
        </w:tc>
      </w:tr>
      <w:tr w:rsidR="008C0EDC" w:rsidRPr="008C0EDC" w14:paraId="4C180DFD"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7CAF02"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529A8C" w14:textId="77777777" w:rsidR="008C0EDC" w:rsidRPr="008C0EDC" w:rsidRDefault="008C0EDC" w:rsidP="008C0EDC">
            <w:pPr>
              <w:spacing w:after="0"/>
              <w:rPr>
                <w:rFonts w:eastAsia="Times New Roman"/>
                <w:lang w:eastAsia="lv-LV"/>
              </w:rPr>
            </w:pPr>
            <w:r w:rsidRPr="008C0EDC">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6BFFB6E3" w14:textId="77777777" w:rsidR="008C0EDC" w:rsidRPr="005B321B" w:rsidRDefault="00F01236" w:rsidP="00F01236">
            <w:pPr>
              <w:spacing w:after="0"/>
              <w:jc w:val="both"/>
              <w:rPr>
                <w:rFonts w:eastAsia="Times New Roman"/>
                <w:highlight w:val="yellow"/>
                <w:lang w:eastAsia="lv-LV"/>
              </w:rPr>
            </w:pPr>
            <w:r w:rsidRPr="00FC09F3">
              <w:rPr>
                <w:rFonts w:eastAsia="Times New Roman"/>
                <w:lang w:eastAsia="lv-LV"/>
              </w:rPr>
              <w:t>Atbilstoši Ministru kabineta 2009.gada 25.augusta noteikum</w:t>
            </w:r>
            <w:r w:rsidR="00332361" w:rsidRPr="00FC09F3">
              <w:rPr>
                <w:rFonts w:eastAsia="Times New Roman"/>
                <w:lang w:eastAsia="lv-LV"/>
              </w:rPr>
              <w:t>u</w:t>
            </w:r>
            <w:r w:rsidRPr="00FC09F3">
              <w:rPr>
                <w:rFonts w:eastAsia="Times New Roman"/>
                <w:lang w:eastAsia="lv-LV"/>
              </w:rPr>
              <w:t xml:space="preserve"> Nr.970 „Sabiedrības līdzdalības kārtība attīstības plānošanas procesā” 7.4.1 apakšpunkt</w:t>
            </w:r>
            <w:r w:rsidR="00332361" w:rsidRPr="00FC09F3">
              <w:rPr>
                <w:rFonts w:eastAsia="Times New Roman"/>
                <w:lang w:eastAsia="lv-LV"/>
              </w:rPr>
              <w:t>am</w:t>
            </w:r>
            <w:r w:rsidRPr="00FC09F3">
              <w:rPr>
                <w:rFonts w:eastAsia="Times New Roman"/>
                <w:lang w:eastAsia="lv-LV"/>
              </w:rPr>
              <w:t xml:space="preserve"> sabiedrībai tika dota iespēja rakstiski sniegt viedokli par </w:t>
            </w:r>
            <w:r w:rsidR="002519B2" w:rsidRPr="00FC09F3">
              <w:rPr>
                <w:rFonts w:eastAsia="Times New Roman"/>
                <w:lang w:eastAsia="lv-LV"/>
              </w:rPr>
              <w:t>likum</w:t>
            </w:r>
            <w:r w:rsidRPr="00FC09F3">
              <w:rPr>
                <w:rFonts w:eastAsia="Times New Roman"/>
                <w:lang w:eastAsia="lv-LV"/>
              </w:rPr>
              <w:t>projektu tā izstrādes stadijā.</w:t>
            </w:r>
          </w:p>
        </w:tc>
      </w:tr>
      <w:tr w:rsidR="008C0EDC" w:rsidRPr="008C0EDC" w14:paraId="06BF87AB"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DD6F90"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70DBA2F" w14:textId="77777777" w:rsidR="008C0EDC" w:rsidRPr="008C0EDC" w:rsidRDefault="008C0EDC" w:rsidP="008C0EDC">
            <w:pPr>
              <w:spacing w:after="0"/>
              <w:rPr>
                <w:rFonts w:eastAsia="Times New Roman"/>
                <w:lang w:eastAsia="lv-LV"/>
              </w:rPr>
            </w:pPr>
            <w:r w:rsidRPr="008C0EDC">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24AC72DE" w14:textId="77777777" w:rsidR="008C0EDC" w:rsidRPr="00F75024" w:rsidRDefault="00F01236" w:rsidP="008C0EDC">
            <w:pPr>
              <w:spacing w:after="0"/>
              <w:rPr>
                <w:rFonts w:eastAsia="Times New Roman"/>
                <w:lang w:eastAsia="lv-LV"/>
              </w:rPr>
            </w:pPr>
            <w:r w:rsidRPr="00F75024">
              <w:t>Priekšlikumi netika sniegti.</w:t>
            </w:r>
          </w:p>
        </w:tc>
      </w:tr>
      <w:tr w:rsidR="008C0EDC" w:rsidRPr="008C0EDC" w14:paraId="6FD9866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C45680"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377339"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14C1BF6" w14:textId="77777777" w:rsidR="008C0EDC" w:rsidRPr="00F75024" w:rsidRDefault="00F01236" w:rsidP="008C0EDC">
            <w:pPr>
              <w:spacing w:after="0"/>
              <w:rPr>
                <w:rFonts w:eastAsia="Times New Roman"/>
                <w:lang w:eastAsia="lv-LV"/>
              </w:rPr>
            </w:pPr>
            <w:r w:rsidRPr="00F75024">
              <w:rPr>
                <w:rFonts w:eastAsia="Times New Roman"/>
                <w:lang w:eastAsia="lv-LV"/>
              </w:rPr>
              <w:t>Nav.</w:t>
            </w:r>
          </w:p>
        </w:tc>
      </w:tr>
    </w:tbl>
    <w:p w14:paraId="0707108B"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8C0EDC" w14:paraId="19DD131E"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124B3C"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VII. Tiesību akta projekta izpildes nodrošināšana un tās ietekme uz institūcijām</w:t>
            </w:r>
          </w:p>
        </w:tc>
      </w:tr>
      <w:tr w:rsidR="008C0EDC" w:rsidRPr="008C0EDC" w14:paraId="6847D46D"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3322F7"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1D138FF" w14:textId="77777777" w:rsidR="008C0EDC" w:rsidRPr="008C0EDC" w:rsidRDefault="008C0EDC" w:rsidP="008C0EDC">
            <w:pPr>
              <w:spacing w:after="0"/>
              <w:rPr>
                <w:rFonts w:eastAsia="Times New Roman"/>
                <w:lang w:eastAsia="lv-LV"/>
              </w:rPr>
            </w:pPr>
            <w:r w:rsidRPr="008C0EDC">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42844B41" w14:textId="6164D3EB" w:rsidR="008C0EDC" w:rsidRPr="005B321B" w:rsidRDefault="00241364" w:rsidP="00057C6A">
            <w:pPr>
              <w:spacing w:after="0"/>
              <w:jc w:val="both"/>
              <w:rPr>
                <w:rFonts w:eastAsia="Times New Roman"/>
                <w:highlight w:val="yellow"/>
                <w:lang w:eastAsia="lv-LV"/>
              </w:rPr>
            </w:pPr>
            <w:r w:rsidRPr="00FC09F3">
              <w:rPr>
                <w:rFonts w:eastAsia="Times New Roman"/>
                <w:lang w:eastAsia="lv-LV"/>
              </w:rPr>
              <w:t>Civilās aviācijas aģentūra</w:t>
            </w:r>
            <w:r w:rsidR="00FC09F3" w:rsidRPr="00FC09F3">
              <w:rPr>
                <w:rFonts w:eastAsia="Times New Roman"/>
                <w:lang w:eastAsia="lv-LV"/>
              </w:rPr>
              <w:t xml:space="preserve">, Patērētāju tiesību aizsardzības </w:t>
            </w:r>
            <w:r w:rsidR="00F53C27">
              <w:rPr>
                <w:rFonts w:eastAsia="Times New Roman"/>
                <w:lang w:eastAsia="lv-LV"/>
              </w:rPr>
              <w:t>centrs</w:t>
            </w:r>
            <w:r w:rsidR="00FC09F3" w:rsidRPr="00FC09F3">
              <w:rPr>
                <w:rFonts w:eastAsia="Times New Roman"/>
                <w:lang w:eastAsia="lv-LV"/>
              </w:rPr>
              <w:t>, Valsts policija, Valsts robežsardze un Nacionālo bruņoto spēku Militārā policija</w:t>
            </w:r>
            <w:r w:rsidRPr="00FC09F3">
              <w:rPr>
                <w:rFonts w:eastAsia="Times New Roman"/>
                <w:lang w:eastAsia="lv-LV"/>
              </w:rPr>
              <w:t xml:space="preserve">. </w:t>
            </w:r>
          </w:p>
        </w:tc>
      </w:tr>
      <w:tr w:rsidR="008C0EDC" w:rsidRPr="008C0EDC" w14:paraId="5FCC5870"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AD554E" w14:textId="77777777" w:rsidR="008C0EDC" w:rsidRPr="008C0EDC" w:rsidRDefault="008C0EDC" w:rsidP="008C0EDC">
            <w:pPr>
              <w:spacing w:before="100" w:beforeAutospacing="1" w:after="100" w:afterAutospacing="1"/>
              <w:jc w:val="center"/>
              <w:rPr>
                <w:rFonts w:eastAsia="Times New Roman"/>
                <w:lang w:eastAsia="lv-LV"/>
              </w:rPr>
            </w:pPr>
            <w:bookmarkStart w:id="3" w:name="_Hlk36807206"/>
            <w:r w:rsidRPr="008C0EDC">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2AE66E7" w14:textId="77777777" w:rsidR="008C0EDC" w:rsidRPr="008C0EDC" w:rsidRDefault="008C0EDC" w:rsidP="008C0EDC">
            <w:pPr>
              <w:spacing w:after="0"/>
              <w:rPr>
                <w:rFonts w:eastAsia="Times New Roman"/>
                <w:lang w:eastAsia="lv-LV"/>
              </w:rPr>
            </w:pPr>
            <w:r w:rsidRPr="008C0EDC">
              <w:rPr>
                <w:rFonts w:eastAsia="Times New Roman"/>
                <w:lang w:eastAsia="lv-LV"/>
              </w:rPr>
              <w:t>Projekta izpildes ietekme uz pārvaldes funkcijām un institucionālo struktūru.</w:t>
            </w:r>
            <w:r w:rsidRPr="008C0EDC">
              <w:rPr>
                <w:rFonts w:eastAsia="Times New Roman"/>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085598E1" w14:textId="36DE2D0E" w:rsidR="00127A59" w:rsidRDefault="00127A59" w:rsidP="00D935AC">
            <w:pPr>
              <w:spacing w:after="0"/>
              <w:jc w:val="both"/>
            </w:pPr>
            <w:r>
              <w:t xml:space="preserve">Projekta </w:t>
            </w:r>
            <w:r w:rsidRPr="00127A59">
              <w:t xml:space="preserve">izpilde </w:t>
            </w:r>
            <w:r>
              <w:t>ne</w:t>
            </w:r>
            <w:r w:rsidRPr="00127A59">
              <w:t>ietekmē projekta izstrādē iesaistīt</w:t>
            </w:r>
            <w:r>
              <w:t>o</w:t>
            </w:r>
            <w:r w:rsidRPr="00127A59">
              <w:t xml:space="preserve"> institūcij</w:t>
            </w:r>
            <w:r>
              <w:t>u</w:t>
            </w:r>
            <w:r w:rsidRPr="00127A59">
              <w:t xml:space="preserve"> funkcijas un uzdevumus. </w:t>
            </w:r>
          </w:p>
          <w:p w14:paraId="3BC06A2A" w14:textId="77777777" w:rsidR="00127A59" w:rsidRDefault="00127A59" w:rsidP="00D935AC">
            <w:pPr>
              <w:spacing w:after="0"/>
              <w:jc w:val="both"/>
            </w:pPr>
          </w:p>
          <w:p w14:paraId="439D5609" w14:textId="1E7C367B" w:rsidR="00430E7C" w:rsidRDefault="00430E7C" w:rsidP="00D935AC">
            <w:pPr>
              <w:spacing w:after="0"/>
              <w:jc w:val="both"/>
              <w:rPr>
                <w:rFonts w:eastAsia="Times New Roman"/>
                <w:lang w:eastAsia="lv-LV"/>
              </w:rPr>
            </w:pPr>
            <w:r w:rsidRPr="00430E7C">
              <w:t>Ņemot vērā, ka Deleģētajā regulā (ES) 2019/945 noteiktā joma ir  Patērētāju tiesību aizsardzības centra papildu kompetence un tās īstenošana esošo resursu ietvaros nav paredzēta un nebūtu iespējama, lai varētu efektīvi veikt Deleģētajā regulā (ES) 2019/945 noteiktos uzraudzības un kontroles pienākumus,</w:t>
            </w:r>
            <w:r>
              <w:t xml:space="preserve"> p</w:t>
            </w:r>
            <w:r w:rsidRPr="00430E7C">
              <w:t>rojektā ietvert</w:t>
            </w:r>
            <w:r w:rsidR="00992A38">
              <w:t>ā</w:t>
            </w:r>
            <w:r w:rsidRPr="00430E7C">
              <w:t xml:space="preserve"> regulējum</w:t>
            </w:r>
            <w:r w:rsidR="00746ADB">
              <w:t>a īstenošanai</w:t>
            </w:r>
            <w:r w:rsidRPr="00430E7C">
              <w:t xml:space="preserve"> Patērētāju tiesību aizsardzības centra</w:t>
            </w:r>
            <w:r w:rsidR="00746ADB">
              <w:t>m</w:t>
            </w:r>
            <w:r w:rsidRPr="00430E7C">
              <w:t xml:space="preserve"> </w:t>
            </w:r>
            <w:r w:rsidR="00746ADB">
              <w:t>ir nepieciešams papildu</w:t>
            </w:r>
            <w:r w:rsidR="00992A38">
              <w:t>s</w:t>
            </w:r>
            <w:r w:rsidR="00746ADB">
              <w:t xml:space="preserve"> </w:t>
            </w:r>
            <w:r>
              <w:t>cilvēkresurs</w:t>
            </w:r>
            <w:r w:rsidR="004B1663">
              <w:t>, papildus kompetences izpildei ir nepieciešami</w:t>
            </w:r>
            <w:r>
              <w:t xml:space="preserve"> 2 papildus darbinieki</w:t>
            </w:r>
            <w:r w:rsidRPr="00430E7C">
              <w:rPr>
                <w:rFonts w:eastAsia="Times New Roman"/>
                <w:lang w:eastAsia="lv-LV"/>
              </w:rPr>
              <w:t xml:space="preserve">. </w:t>
            </w:r>
          </w:p>
          <w:p w14:paraId="3F4EBA39" w14:textId="4A4AFEDD" w:rsidR="0060690B" w:rsidRDefault="0060690B" w:rsidP="00D935AC">
            <w:pPr>
              <w:spacing w:after="0"/>
              <w:jc w:val="both"/>
              <w:rPr>
                <w:rFonts w:eastAsia="Times New Roman"/>
                <w:lang w:eastAsia="lv-LV"/>
              </w:rPr>
            </w:pPr>
          </w:p>
          <w:p w14:paraId="3A203C2D" w14:textId="170FF527" w:rsidR="0060690B" w:rsidRDefault="0060690B" w:rsidP="00D935AC">
            <w:pPr>
              <w:spacing w:after="0"/>
              <w:jc w:val="both"/>
              <w:rPr>
                <w:rFonts w:eastAsia="Times New Roman"/>
                <w:lang w:eastAsia="lv-LV"/>
              </w:rPr>
            </w:pPr>
            <w:r>
              <w:rPr>
                <w:rFonts w:eastAsia="Times New Roman"/>
                <w:lang w:eastAsia="lv-LV"/>
              </w:rPr>
              <w:t xml:space="preserve">Attiecībā uz pārējām </w:t>
            </w:r>
            <w:r w:rsidRPr="0060690B">
              <w:rPr>
                <w:rFonts w:eastAsia="Times New Roman"/>
                <w:lang w:eastAsia="lv-LV"/>
              </w:rPr>
              <w:t>iesaistītā</w:t>
            </w:r>
            <w:r>
              <w:rPr>
                <w:rFonts w:eastAsia="Times New Roman"/>
                <w:lang w:eastAsia="lv-LV"/>
              </w:rPr>
              <w:t>m</w:t>
            </w:r>
            <w:r w:rsidRPr="0060690B">
              <w:rPr>
                <w:rFonts w:eastAsia="Times New Roman"/>
                <w:lang w:eastAsia="lv-LV"/>
              </w:rPr>
              <w:t xml:space="preserve"> institūcij</w:t>
            </w:r>
            <w:r>
              <w:rPr>
                <w:rFonts w:eastAsia="Times New Roman"/>
                <w:lang w:eastAsia="lv-LV"/>
              </w:rPr>
              <w:t>ām</w:t>
            </w:r>
            <w:r w:rsidRPr="0060690B">
              <w:rPr>
                <w:rFonts w:eastAsia="Times New Roman"/>
                <w:lang w:eastAsia="lv-LV"/>
              </w:rPr>
              <w:t xml:space="preserve"> </w:t>
            </w:r>
            <w:r>
              <w:rPr>
                <w:rFonts w:eastAsia="Times New Roman"/>
                <w:lang w:eastAsia="lv-LV"/>
              </w:rPr>
              <w:t>pr</w:t>
            </w:r>
            <w:r w:rsidRPr="0060690B">
              <w:rPr>
                <w:rFonts w:eastAsia="Times New Roman"/>
                <w:lang w:eastAsia="lv-LV"/>
              </w:rPr>
              <w:t>ojekta izpild</w:t>
            </w:r>
            <w:r>
              <w:rPr>
                <w:rFonts w:eastAsia="Times New Roman"/>
                <w:lang w:eastAsia="lv-LV"/>
              </w:rPr>
              <w:t>e</w:t>
            </w:r>
            <w:r w:rsidRPr="0060690B">
              <w:rPr>
                <w:rFonts w:eastAsia="Times New Roman"/>
                <w:lang w:eastAsia="lv-LV"/>
              </w:rPr>
              <w:t xml:space="preserve"> neietekmēs pārvaldes funkcijas vai institucionālo struktūru, jo tā izpilde tiks nodrošināta jau esošās valsts pārvaldes institucionālās uzbūves ietvaros.</w:t>
            </w:r>
          </w:p>
          <w:p w14:paraId="666F63CD" w14:textId="77777777" w:rsidR="004B1663" w:rsidRDefault="004B1663" w:rsidP="00D935AC">
            <w:pPr>
              <w:spacing w:after="0"/>
              <w:jc w:val="both"/>
              <w:rPr>
                <w:rFonts w:eastAsia="Times New Roman"/>
                <w:lang w:eastAsia="lv-LV"/>
              </w:rPr>
            </w:pPr>
          </w:p>
          <w:p w14:paraId="57AE9664" w14:textId="5A3C8F57" w:rsidR="008C0EDC" w:rsidRPr="005B321B" w:rsidRDefault="008C0EDC" w:rsidP="00D935AC">
            <w:pPr>
              <w:spacing w:after="0"/>
              <w:jc w:val="both"/>
              <w:rPr>
                <w:rFonts w:eastAsia="Times New Roman"/>
                <w:highlight w:val="yellow"/>
                <w:lang w:eastAsia="lv-LV"/>
              </w:rPr>
            </w:pPr>
          </w:p>
        </w:tc>
      </w:tr>
      <w:bookmarkEnd w:id="3"/>
      <w:tr w:rsidR="008C0EDC" w:rsidRPr="008C0EDC" w14:paraId="28B246D6"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699FEC"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828F568"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765B53FF" w14:textId="77777777" w:rsidR="008C0EDC" w:rsidRPr="008C0EDC" w:rsidRDefault="00366604" w:rsidP="008C0EDC">
            <w:pPr>
              <w:spacing w:after="0"/>
              <w:rPr>
                <w:rFonts w:eastAsia="Times New Roman"/>
                <w:lang w:eastAsia="lv-LV"/>
              </w:rPr>
            </w:pPr>
            <w:r>
              <w:rPr>
                <w:rFonts w:eastAsia="Times New Roman"/>
                <w:lang w:eastAsia="lv-LV"/>
              </w:rPr>
              <w:t>Nav</w:t>
            </w:r>
          </w:p>
        </w:tc>
      </w:tr>
    </w:tbl>
    <w:p w14:paraId="5A545A7B" w14:textId="77777777" w:rsidR="000B6C51" w:rsidRDefault="000B6C51" w:rsidP="000B6C51">
      <w:pPr>
        <w:tabs>
          <w:tab w:val="left" w:pos="6237"/>
        </w:tabs>
        <w:spacing w:after="0"/>
        <w:ind w:firstLine="720"/>
        <w:rPr>
          <w:sz w:val="28"/>
          <w:szCs w:val="28"/>
        </w:rPr>
      </w:pPr>
    </w:p>
    <w:p w14:paraId="711FF93F" w14:textId="77777777" w:rsidR="000B6C51" w:rsidRDefault="000B6C51" w:rsidP="000B6C51">
      <w:pPr>
        <w:tabs>
          <w:tab w:val="left" w:pos="6237"/>
        </w:tabs>
        <w:spacing w:after="0"/>
        <w:ind w:firstLine="720"/>
        <w:rPr>
          <w:sz w:val="28"/>
          <w:szCs w:val="28"/>
        </w:rPr>
      </w:pPr>
    </w:p>
    <w:p w14:paraId="72A9DA8C" w14:textId="77777777" w:rsidR="000B6C51" w:rsidRPr="00F01236" w:rsidRDefault="000B6C51" w:rsidP="000B6C51">
      <w:pPr>
        <w:tabs>
          <w:tab w:val="left" w:pos="6237"/>
        </w:tabs>
        <w:spacing w:after="0"/>
        <w:ind w:firstLine="720"/>
      </w:pPr>
      <w:r w:rsidRPr="00F01236">
        <w:t>Satiksmes ministrs</w:t>
      </w:r>
      <w:r w:rsidRPr="00F01236">
        <w:tab/>
      </w:r>
      <w:r w:rsidR="00E44620" w:rsidRPr="00E44620">
        <w:t>T.Linkaits</w:t>
      </w:r>
    </w:p>
    <w:p w14:paraId="79322604" w14:textId="77777777" w:rsidR="000B6C51" w:rsidRPr="00F01236" w:rsidRDefault="000B6C51" w:rsidP="000B6C51">
      <w:pPr>
        <w:tabs>
          <w:tab w:val="left" w:pos="6237"/>
        </w:tabs>
        <w:spacing w:after="0"/>
        <w:ind w:firstLine="720"/>
      </w:pPr>
    </w:p>
    <w:p w14:paraId="13E95CB8" w14:textId="77777777" w:rsidR="000B6C51" w:rsidRPr="00F01236" w:rsidRDefault="000B6C51" w:rsidP="000B6C51">
      <w:pPr>
        <w:tabs>
          <w:tab w:val="left" w:pos="6237"/>
        </w:tabs>
        <w:spacing w:after="0"/>
        <w:ind w:firstLine="720"/>
      </w:pPr>
      <w:r w:rsidRPr="00F01236">
        <w:t>Vīza:</w:t>
      </w:r>
    </w:p>
    <w:p w14:paraId="7A96BCA8" w14:textId="77777777" w:rsidR="000B6C51" w:rsidRPr="00F01236" w:rsidRDefault="000B6C51" w:rsidP="000B6C51">
      <w:pPr>
        <w:tabs>
          <w:tab w:val="left" w:pos="6237"/>
        </w:tabs>
        <w:spacing w:after="0"/>
        <w:ind w:firstLine="720"/>
      </w:pPr>
      <w:r w:rsidRPr="00F01236">
        <w:t xml:space="preserve">Valsts </w:t>
      </w:r>
      <w:r w:rsidRPr="00241364">
        <w:t>sekretār</w:t>
      </w:r>
      <w:r w:rsidR="005B321B">
        <w:t>e</w:t>
      </w:r>
      <w:r w:rsidRPr="00F01236">
        <w:tab/>
      </w:r>
      <w:r w:rsidR="005B321B" w:rsidRPr="00B00555">
        <w:t>I</w:t>
      </w:r>
      <w:r w:rsidR="00F1042C" w:rsidRPr="00B00555">
        <w:t>.</w:t>
      </w:r>
      <w:r w:rsidR="005B321B" w:rsidRPr="00B00555">
        <w:t>Stepanova</w:t>
      </w:r>
    </w:p>
    <w:p w14:paraId="03D0739E" w14:textId="77777777" w:rsidR="000B6C51" w:rsidRPr="00F01236" w:rsidRDefault="000B6C51" w:rsidP="000B6C51">
      <w:pPr>
        <w:tabs>
          <w:tab w:val="left" w:pos="6237"/>
        </w:tabs>
        <w:spacing w:after="0"/>
        <w:ind w:firstLine="720"/>
      </w:pPr>
    </w:p>
    <w:p w14:paraId="6EF02E2A" w14:textId="77777777" w:rsidR="00AE7DAA" w:rsidRDefault="00AE7DAA" w:rsidP="000B6C51">
      <w:pPr>
        <w:tabs>
          <w:tab w:val="left" w:pos="6237"/>
        </w:tabs>
        <w:spacing w:after="0"/>
        <w:ind w:firstLine="720"/>
        <w:rPr>
          <w:sz w:val="28"/>
          <w:szCs w:val="28"/>
        </w:rPr>
      </w:pPr>
    </w:p>
    <w:p w14:paraId="0F280330" w14:textId="77777777" w:rsidR="00AE7DAA" w:rsidRPr="003A4796" w:rsidRDefault="00AE7DAA" w:rsidP="000B6C51">
      <w:pPr>
        <w:tabs>
          <w:tab w:val="left" w:pos="6237"/>
        </w:tabs>
        <w:spacing w:after="0"/>
        <w:ind w:firstLine="720"/>
        <w:rPr>
          <w:sz w:val="28"/>
          <w:szCs w:val="28"/>
        </w:rPr>
      </w:pPr>
    </w:p>
    <w:sectPr w:rsidR="00AE7DAA" w:rsidRPr="003A4796" w:rsidSect="000E1810">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3CADC" w14:textId="77777777" w:rsidR="0049482C" w:rsidRDefault="0049482C" w:rsidP="0055695F">
      <w:pPr>
        <w:spacing w:after="0"/>
      </w:pPr>
      <w:r>
        <w:separator/>
      </w:r>
    </w:p>
  </w:endnote>
  <w:endnote w:type="continuationSeparator" w:id="0">
    <w:p w14:paraId="5CBAF721" w14:textId="77777777" w:rsidR="0049482C" w:rsidRDefault="0049482C"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FE9D" w14:textId="77777777" w:rsidR="00326A06" w:rsidRDefault="00326A06">
    <w:pPr>
      <w:pStyle w:val="Footer"/>
    </w:pPr>
    <w:r>
      <w:t>SManot_240320_UAS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A32C" w14:textId="77777777" w:rsidR="00326A06" w:rsidRDefault="00326A06">
    <w:pPr>
      <w:pStyle w:val="Footer"/>
    </w:pPr>
    <w:r w:rsidRPr="00570CED">
      <w:t>SManot_</w:t>
    </w:r>
    <w:r>
      <w:t>2403</w:t>
    </w:r>
    <w:r w:rsidRPr="00570CED">
      <w:t>20_UAS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F4061" w14:textId="77777777" w:rsidR="0049482C" w:rsidRDefault="0049482C" w:rsidP="0055695F">
      <w:pPr>
        <w:spacing w:after="0"/>
      </w:pPr>
      <w:r>
        <w:separator/>
      </w:r>
    </w:p>
  </w:footnote>
  <w:footnote w:type="continuationSeparator" w:id="0">
    <w:p w14:paraId="5DC86F74" w14:textId="77777777" w:rsidR="0049482C" w:rsidRDefault="0049482C"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377376"/>
      <w:docPartObj>
        <w:docPartGallery w:val="Page Numbers (Top of Page)"/>
        <w:docPartUnique/>
      </w:docPartObj>
    </w:sdtPr>
    <w:sdtEndPr>
      <w:rPr>
        <w:noProof/>
      </w:rPr>
    </w:sdtEndPr>
    <w:sdtContent>
      <w:p w14:paraId="56A22BB7" w14:textId="77777777" w:rsidR="00326A06" w:rsidRDefault="00326A06">
        <w:pPr>
          <w:pStyle w:val="Header"/>
          <w:jc w:val="center"/>
        </w:pPr>
        <w:r>
          <w:fldChar w:fldCharType="begin"/>
        </w:r>
        <w:r>
          <w:instrText xml:space="preserve"> PAGE   \* MERGEFORMAT </w:instrText>
        </w:r>
        <w:r>
          <w:fldChar w:fldCharType="separate"/>
        </w:r>
        <w:r w:rsidR="001B1342">
          <w:rPr>
            <w:noProof/>
          </w:rPr>
          <w:t>9</w:t>
        </w:r>
        <w:r>
          <w:rPr>
            <w:noProof/>
          </w:rPr>
          <w:fldChar w:fldCharType="end"/>
        </w:r>
      </w:p>
    </w:sdtContent>
  </w:sdt>
  <w:p w14:paraId="2673E519" w14:textId="77777777" w:rsidR="00326A06" w:rsidRDefault="00326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CF2"/>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1869C1"/>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B24AC5"/>
    <w:multiLevelType w:val="hybridMultilevel"/>
    <w:tmpl w:val="886E84A2"/>
    <w:lvl w:ilvl="0" w:tplc="201893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AF814D8"/>
    <w:multiLevelType w:val="hybridMultilevel"/>
    <w:tmpl w:val="C0AACC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9E3519"/>
    <w:multiLevelType w:val="hybridMultilevel"/>
    <w:tmpl w:val="1B96C4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524466"/>
    <w:multiLevelType w:val="hybridMultilevel"/>
    <w:tmpl w:val="D9B2F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FF107AC"/>
    <w:multiLevelType w:val="hybridMultilevel"/>
    <w:tmpl w:val="6E2AAAA8"/>
    <w:lvl w:ilvl="0" w:tplc="870669E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30"/>
    <w:rsid w:val="00011137"/>
    <w:rsid w:val="0001405A"/>
    <w:rsid w:val="00016A41"/>
    <w:rsid w:val="00017DB6"/>
    <w:rsid w:val="000240DA"/>
    <w:rsid w:val="00025AD6"/>
    <w:rsid w:val="000270AD"/>
    <w:rsid w:val="000424C2"/>
    <w:rsid w:val="00044D9F"/>
    <w:rsid w:val="00046FC1"/>
    <w:rsid w:val="0005023E"/>
    <w:rsid w:val="00055528"/>
    <w:rsid w:val="0005775E"/>
    <w:rsid w:val="00057C6A"/>
    <w:rsid w:val="00061295"/>
    <w:rsid w:val="00065D74"/>
    <w:rsid w:val="00066577"/>
    <w:rsid w:val="00066B3B"/>
    <w:rsid w:val="00072E1D"/>
    <w:rsid w:val="00074352"/>
    <w:rsid w:val="00074570"/>
    <w:rsid w:val="000747B2"/>
    <w:rsid w:val="00085B87"/>
    <w:rsid w:val="0008665E"/>
    <w:rsid w:val="0009417D"/>
    <w:rsid w:val="000A774F"/>
    <w:rsid w:val="000B4310"/>
    <w:rsid w:val="000B66C5"/>
    <w:rsid w:val="000B6C51"/>
    <w:rsid w:val="000C52BA"/>
    <w:rsid w:val="000C5D57"/>
    <w:rsid w:val="000D2111"/>
    <w:rsid w:val="000D2F83"/>
    <w:rsid w:val="000D399F"/>
    <w:rsid w:val="000D4058"/>
    <w:rsid w:val="000D4240"/>
    <w:rsid w:val="000D7989"/>
    <w:rsid w:val="000E03F6"/>
    <w:rsid w:val="000E06A8"/>
    <w:rsid w:val="000E1810"/>
    <w:rsid w:val="000E2A15"/>
    <w:rsid w:val="000E397E"/>
    <w:rsid w:val="000E51A4"/>
    <w:rsid w:val="000E60B4"/>
    <w:rsid w:val="000E78E2"/>
    <w:rsid w:val="001045B9"/>
    <w:rsid w:val="001125E4"/>
    <w:rsid w:val="00121F9E"/>
    <w:rsid w:val="00123412"/>
    <w:rsid w:val="0012362E"/>
    <w:rsid w:val="00124EE0"/>
    <w:rsid w:val="0012667B"/>
    <w:rsid w:val="00126BCA"/>
    <w:rsid w:val="00127A59"/>
    <w:rsid w:val="00131A2B"/>
    <w:rsid w:val="0013311F"/>
    <w:rsid w:val="001340A1"/>
    <w:rsid w:val="00141FEA"/>
    <w:rsid w:val="0014200E"/>
    <w:rsid w:val="001476EE"/>
    <w:rsid w:val="00147E2E"/>
    <w:rsid w:val="0015190F"/>
    <w:rsid w:val="0016373A"/>
    <w:rsid w:val="001717E7"/>
    <w:rsid w:val="001801D2"/>
    <w:rsid w:val="00182411"/>
    <w:rsid w:val="00184114"/>
    <w:rsid w:val="00185E17"/>
    <w:rsid w:val="0018726D"/>
    <w:rsid w:val="00195E85"/>
    <w:rsid w:val="001A07F5"/>
    <w:rsid w:val="001A298B"/>
    <w:rsid w:val="001A45C3"/>
    <w:rsid w:val="001A503E"/>
    <w:rsid w:val="001B1342"/>
    <w:rsid w:val="001B1632"/>
    <w:rsid w:val="001B7FE2"/>
    <w:rsid w:val="001C044F"/>
    <w:rsid w:val="001C7550"/>
    <w:rsid w:val="001C7EFC"/>
    <w:rsid w:val="001D1B8F"/>
    <w:rsid w:val="001D2AB1"/>
    <w:rsid w:val="001D4304"/>
    <w:rsid w:val="001D4736"/>
    <w:rsid w:val="001E3AC2"/>
    <w:rsid w:val="001F1326"/>
    <w:rsid w:val="001F1FFA"/>
    <w:rsid w:val="001F2184"/>
    <w:rsid w:val="001F3B18"/>
    <w:rsid w:val="001F4808"/>
    <w:rsid w:val="002015CB"/>
    <w:rsid w:val="002064B0"/>
    <w:rsid w:val="00227F27"/>
    <w:rsid w:val="00230B14"/>
    <w:rsid w:val="00230CEE"/>
    <w:rsid w:val="00231016"/>
    <w:rsid w:val="00234A44"/>
    <w:rsid w:val="00234BCC"/>
    <w:rsid w:val="00235DE4"/>
    <w:rsid w:val="00237A81"/>
    <w:rsid w:val="00237EEB"/>
    <w:rsid w:val="00241364"/>
    <w:rsid w:val="0024686E"/>
    <w:rsid w:val="00251708"/>
    <w:rsid w:val="002519B2"/>
    <w:rsid w:val="00251D86"/>
    <w:rsid w:val="00257D77"/>
    <w:rsid w:val="0026249E"/>
    <w:rsid w:val="00276EE4"/>
    <w:rsid w:val="002773F4"/>
    <w:rsid w:val="00282BB4"/>
    <w:rsid w:val="0028796B"/>
    <w:rsid w:val="00295AD1"/>
    <w:rsid w:val="002A0479"/>
    <w:rsid w:val="002A53D1"/>
    <w:rsid w:val="002B0612"/>
    <w:rsid w:val="002B1A00"/>
    <w:rsid w:val="002B1E3D"/>
    <w:rsid w:val="002C0ED8"/>
    <w:rsid w:val="002C3588"/>
    <w:rsid w:val="002C615C"/>
    <w:rsid w:val="002E02D5"/>
    <w:rsid w:val="002E0698"/>
    <w:rsid w:val="002E30E5"/>
    <w:rsid w:val="002E611F"/>
    <w:rsid w:val="002E6143"/>
    <w:rsid w:val="002E68E9"/>
    <w:rsid w:val="002F0B2C"/>
    <w:rsid w:val="002F297C"/>
    <w:rsid w:val="002F60EE"/>
    <w:rsid w:val="003019BB"/>
    <w:rsid w:val="003025FF"/>
    <w:rsid w:val="003031F9"/>
    <w:rsid w:val="00305CA5"/>
    <w:rsid w:val="00306057"/>
    <w:rsid w:val="00307D30"/>
    <w:rsid w:val="00315DF8"/>
    <w:rsid w:val="00323560"/>
    <w:rsid w:val="00323A5A"/>
    <w:rsid w:val="00324101"/>
    <w:rsid w:val="00326473"/>
    <w:rsid w:val="00326816"/>
    <w:rsid w:val="00326A06"/>
    <w:rsid w:val="0033190B"/>
    <w:rsid w:val="0033234C"/>
    <w:rsid w:val="00332361"/>
    <w:rsid w:val="003439A7"/>
    <w:rsid w:val="00356C69"/>
    <w:rsid w:val="00366604"/>
    <w:rsid w:val="00370E4D"/>
    <w:rsid w:val="003768F6"/>
    <w:rsid w:val="00393311"/>
    <w:rsid w:val="00393B1F"/>
    <w:rsid w:val="003957E3"/>
    <w:rsid w:val="00395F1F"/>
    <w:rsid w:val="003A2B43"/>
    <w:rsid w:val="003A3E3D"/>
    <w:rsid w:val="003A5044"/>
    <w:rsid w:val="003A638E"/>
    <w:rsid w:val="003B0E19"/>
    <w:rsid w:val="003B2991"/>
    <w:rsid w:val="003B2E02"/>
    <w:rsid w:val="003B5F9D"/>
    <w:rsid w:val="003D0104"/>
    <w:rsid w:val="003D621A"/>
    <w:rsid w:val="003D6BA8"/>
    <w:rsid w:val="003E036D"/>
    <w:rsid w:val="003E476D"/>
    <w:rsid w:val="003E6577"/>
    <w:rsid w:val="003F0CB4"/>
    <w:rsid w:val="003F2B57"/>
    <w:rsid w:val="00402D24"/>
    <w:rsid w:val="00402E5F"/>
    <w:rsid w:val="0040340A"/>
    <w:rsid w:val="0040751B"/>
    <w:rsid w:val="00411269"/>
    <w:rsid w:val="00412B1F"/>
    <w:rsid w:val="004202ED"/>
    <w:rsid w:val="00423429"/>
    <w:rsid w:val="00430E7C"/>
    <w:rsid w:val="00433E8D"/>
    <w:rsid w:val="0043643A"/>
    <w:rsid w:val="00445DEC"/>
    <w:rsid w:val="0045152E"/>
    <w:rsid w:val="00482E34"/>
    <w:rsid w:val="004848A6"/>
    <w:rsid w:val="004854BA"/>
    <w:rsid w:val="0048578E"/>
    <w:rsid w:val="004857D0"/>
    <w:rsid w:val="0049482C"/>
    <w:rsid w:val="0049720F"/>
    <w:rsid w:val="004A0BC5"/>
    <w:rsid w:val="004A20A8"/>
    <w:rsid w:val="004A4CE3"/>
    <w:rsid w:val="004B05B8"/>
    <w:rsid w:val="004B0F55"/>
    <w:rsid w:val="004B1663"/>
    <w:rsid w:val="004B2BDC"/>
    <w:rsid w:val="004B5982"/>
    <w:rsid w:val="004C4940"/>
    <w:rsid w:val="004C6DEE"/>
    <w:rsid w:val="004D4026"/>
    <w:rsid w:val="004D5109"/>
    <w:rsid w:val="004D5597"/>
    <w:rsid w:val="004E0DA9"/>
    <w:rsid w:val="004E2785"/>
    <w:rsid w:val="004E2FC5"/>
    <w:rsid w:val="004E3DDA"/>
    <w:rsid w:val="004E5E3B"/>
    <w:rsid w:val="00502818"/>
    <w:rsid w:val="00502872"/>
    <w:rsid w:val="005114A6"/>
    <w:rsid w:val="0051412F"/>
    <w:rsid w:val="00515E75"/>
    <w:rsid w:val="00516211"/>
    <w:rsid w:val="00526B9C"/>
    <w:rsid w:val="00537D2C"/>
    <w:rsid w:val="005431A9"/>
    <w:rsid w:val="00550B64"/>
    <w:rsid w:val="00553ABF"/>
    <w:rsid w:val="0055695F"/>
    <w:rsid w:val="005578A9"/>
    <w:rsid w:val="00567D68"/>
    <w:rsid w:val="00570CED"/>
    <w:rsid w:val="00571265"/>
    <w:rsid w:val="00573271"/>
    <w:rsid w:val="00576166"/>
    <w:rsid w:val="005764CA"/>
    <w:rsid w:val="005779F3"/>
    <w:rsid w:val="00581CCB"/>
    <w:rsid w:val="00585D61"/>
    <w:rsid w:val="00585E51"/>
    <w:rsid w:val="005861C2"/>
    <w:rsid w:val="005923C4"/>
    <w:rsid w:val="00592C89"/>
    <w:rsid w:val="0059535E"/>
    <w:rsid w:val="005956F4"/>
    <w:rsid w:val="0059758D"/>
    <w:rsid w:val="005A3975"/>
    <w:rsid w:val="005A700F"/>
    <w:rsid w:val="005B076C"/>
    <w:rsid w:val="005B0D13"/>
    <w:rsid w:val="005B2637"/>
    <w:rsid w:val="005B321B"/>
    <w:rsid w:val="005B473B"/>
    <w:rsid w:val="005B547B"/>
    <w:rsid w:val="005B5B54"/>
    <w:rsid w:val="005B711E"/>
    <w:rsid w:val="005C0527"/>
    <w:rsid w:val="005C245C"/>
    <w:rsid w:val="005C247F"/>
    <w:rsid w:val="005D008C"/>
    <w:rsid w:val="005D7C3E"/>
    <w:rsid w:val="005F2726"/>
    <w:rsid w:val="005F4AEB"/>
    <w:rsid w:val="00604F05"/>
    <w:rsid w:val="0060690B"/>
    <w:rsid w:val="00613D9A"/>
    <w:rsid w:val="00620F85"/>
    <w:rsid w:val="006319AC"/>
    <w:rsid w:val="00640824"/>
    <w:rsid w:val="00641A77"/>
    <w:rsid w:val="0064375B"/>
    <w:rsid w:val="00652F9B"/>
    <w:rsid w:val="00656474"/>
    <w:rsid w:val="00660C43"/>
    <w:rsid w:val="00661007"/>
    <w:rsid w:val="00661A4A"/>
    <w:rsid w:val="006733BE"/>
    <w:rsid w:val="00682F3A"/>
    <w:rsid w:val="00683D3D"/>
    <w:rsid w:val="00684A21"/>
    <w:rsid w:val="00690722"/>
    <w:rsid w:val="00693D83"/>
    <w:rsid w:val="0069432F"/>
    <w:rsid w:val="0069769F"/>
    <w:rsid w:val="006A3C13"/>
    <w:rsid w:val="006B0AFB"/>
    <w:rsid w:val="006B286D"/>
    <w:rsid w:val="006B52D5"/>
    <w:rsid w:val="006B74C0"/>
    <w:rsid w:val="006B7B23"/>
    <w:rsid w:val="006C3148"/>
    <w:rsid w:val="006D2BD0"/>
    <w:rsid w:val="006D387F"/>
    <w:rsid w:val="006D3C52"/>
    <w:rsid w:val="006D4EB0"/>
    <w:rsid w:val="006D7129"/>
    <w:rsid w:val="006E34FB"/>
    <w:rsid w:val="006E5E7E"/>
    <w:rsid w:val="006F1590"/>
    <w:rsid w:val="006F2A2A"/>
    <w:rsid w:val="006F3586"/>
    <w:rsid w:val="007014E0"/>
    <w:rsid w:val="00703C87"/>
    <w:rsid w:val="007069B7"/>
    <w:rsid w:val="007104D6"/>
    <w:rsid w:val="00717644"/>
    <w:rsid w:val="00721AF4"/>
    <w:rsid w:val="007259A5"/>
    <w:rsid w:val="00727CDA"/>
    <w:rsid w:val="00745504"/>
    <w:rsid w:val="00746ADB"/>
    <w:rsid w:val="007505C2"/>
    <w:rsid w:val="00750E39"/>
    <w:rsid w:val="0075371F"/>
    <w:rsid w:val="0075490C"/>
    <w:rsid w:val="007552C2"/>
    <w:rsid w:val="00756043"/>
    <w:rsid w:val="0075710C"/>
    <w:rsid w:val="007644ED"/>
    <w:rsid w:val="00770A3A"/>
    <w:rsid w:val="007736AC"/>
    <w:rsid w:val="0078175A"/>
    <w:rsid w:val="00794045"/>
    <w:rsid w:val="007B10F2"/>
    <w:rsid w:val="007B2F9E"/>
    <w:rsid w:val="007C4562"/>
    <w:rsid w:val="007C5CC5"/>
    <w:rsid w:val="007C7BA9"/>
    <w:rsid w:val="007D06AA"/>
    <w:rsid w:val="007D1027"/>
    <w:rsid w:val="007D1168"/>
    <w:rsid w:val="007D4357"/>
    <w:rsid w:val="007E2B16"/>
    <w:rsid w:val="007E2F3D"/>
    <w:rsid w:val="007E7736"/>
    <w:rsid w:val="007F2770"/>
    <w:rsid w:val="007F2F01"/>
    <w:rsid w:val="007F426D"/>
    <w:rsid w:val="007F60F7"/>
    <w:rsid w:val="007F6ED5"/>
    <w:rsid w:val="00805357"/>
    <w:rsid w:val="00807997"/>
    <w:rsid w:val="008142D1"/>
    <w:rsid w:val="00821822"/>
    <w:rsid w:val="00832EDD"/>
    <w:rsid w:val="008341DC"/>
    <w:rsid w:val="008370D4"/>
    <w:rsid w:val="008374B6"/>
    <w:rsid w:val="0084116D"/>
    <w:rsid w:val="00847F14"/>
    <w:rsid w:val="00850AB4"/>
    <w:rsid w:val="00851EE2"/>
    <w:rsid w:val="00852337"/>
    <w:rsid w:val="00852E67"/>
    <w:rsid w:val="008547B4"/>
    <w:rsid w:val="00857898"/>
    <w:rsid w:val="00863C42"/>
    <w:rsid w:val="00871D25"/>
    <w:rsid w:val="0087429F"/>
    <w:rsid w:val="00876184"/>
    <w:rsid w:val="00877CCB"/>
    <w:rsid w:val="008836A4"/>
    <w:rsid w:val="008907A5"/>
    <w:rsid w:val="008917C8"/>
    <w:rsid w:val="0089218B"/>
    <w:rsid w:val="00892CFD"/>
    <w:rsid w:val="008A014E"/>
    <w:rsid w:val="008A2A02"/>
    <w:rsid w:val="008B0236"/>
    <w:rsid w:val="008B1367"/>
    <w:rsid w:val="008B1576"/>
    <w:rsid w:val="008B2F73"/>
    <w:rsid w:val="008B5200"/>
    <w:rsid w:val="008B552D"/>
    <w:rsid w:val="008C0EDC"/>
    <w:rsid w:val="008C169C"/>
    <w:rsid w:val="008C3EA1"/>
    <w:rsid w:val="008D3300"/>
    <w:rsid w:val="008D5829"/>
    <w:rsid w:val="008D750F"/>
    <w:rsid w:val="008E2ED1"/>
    <w:rsid w:val="008E7C20"/>
    <w:rsid w:val="008F4E1A"/>
    <w:rsid w:val="008F7A8F"/>
    <w:rsid w:val="00906EFB"/>
    <w:rsid w:val="00915AC5"/>
    <w:rsid w:val="0091709C"/>
    <w:rsid w:val="00917536"/>
    <w:rsid w:val="009222B2"/>
    <w:rsid w:val="0092644A"/>
    <w:rsid w:val="00927E5A"/>
    <w:rsid w:val="009315D3"/>
    <w:rsid w:val="009365E8"/>
    <w:rsid w:val="00941330"/>
    <w:rsid w:val="009570D6"/>
    <w:rsid w:val="0096005F"/>
    <w:rsid w:val="00960248"/>
    <w:rsid w:val="00965786"/>
    <w:rsid w:val="00967A17"/>
    <w:rsid w:val="00971B3F"/>
    <w:rsid w:val="009816EC"/>
    <w:rsid w:val="00992A38"/>
    <w:rsid w:val="009A4A58"/>
    <w:rsid w:val="009A76B4"/>
    <w:rsid w:val="009A77B7"/>
    <w:rsid w:val="009B1935"/>
    <w:rsid w:val="009B264E"/>
    <w:rsid w:val="009B27FF"/>
    <w:rsid w:val="009B719E"/>
    <w:rsid w:val="009C2F51"/>
    <w:rsid w:val="009C49D2"/>
    <w:rsid w:val="009D4BEC"/>
    <w:rsid w:val="009D662E"/>
    <w:rsid w:val="009E0034"/>
    <w:rsid w:val="009E49EF"/>
    <w:rsid w:val="009F2B18"/>
    <w:rsid w:val="009F3FF0"/>
    <w:rsid w:val="00A009CA"/>
    <w:rsid w:val="00A01C0A"/>
    <w:rsid w:val="00A046F2"/>
    <w:rsid w:val="00A0718D"/>
    <w:rsid w:val="00A07DB5"/>
    <w:rsid w:val="00A12477"/>
    <w:rsid w:val="00A168AF"/>
    <w:rsid w:val="00A17BB7"/>
    <w:rsid w:val="00A20E84"/>
    <w:rsid w:val="00A22009"/>
    <w:rsid w:val="00A227FC"/>
    <w:rsid w:val="00A23443"/>
    <w:rsid w:val="00A30A9A"/>
    <w:rsid w:val="00A30DFC"/>
    <w:rsid w:val="00A33D25"/>
    <w:rsid w:val="00A34055"/>
    <w:rsid w:val="00A42768"/>
    <w:rsid w:val="00A51D87"/>
    <w:rsid w:val="00A54704"/>
    <w:rsid w:val="00A5480B"/>
    <w:rsid w:val="00A57D7C"/>
    <w:rsid w:val="00A60425"/>
    <w:rsid w:val="00A63421"/>
    <w:rsid w:val="00A66A4B"/>
    <w:rsid w:val="00A67428"/>
    <w:rsid w:val="00A67D55"/>
    <w:rsid w:val="00A7541F"/>
    <w:rsid w:val="00A8121D"/>
    <w:rsid w:val="00A85E28"/>
    <w:rsid w:val="00A9181C"/>
    <w:rsid w:val="00A94E7D"/>
    <w:rsid w:val="00A97963"/>
    <w:rsid w:val="00AA1548"/>
    <w:rsid w:val="00AA1CFA"/>
    <w:rsid w:val="00AA4426"/>
    <w:rsid w:val="00AC3F7F"/>
    <w:rsid w:val="00AD0AD1"/>
    <w:rsid w:val="00AD39D9"/>
    <w:rsid w:val="00AD4A1D"/>
    <w:rsid w:val="00AD520C"/>
    <w:rsid w:val="00AE1865"/>
    <w:rsid w:val="00AE30DB"/>
    <w:rsid w:val="00AE5C9E"/>
    <w:rsid w:val="00AE7DAA"/>
    <w:rsid w:val="00AF00E9"/>
    <w:rsid w:val="00AF13B3"/>
    <w:rsid w:val="00AF645B"/>
    <w:rsid w:val="00B00555"/>
    <w:rsid w:val="00B008D8"/>
    <w:rsid w:val="00B211C1"/>
    <w:rsid w:val="00B22C39"/>
    <w:rsid w:val="00B23DFF"/>
    <w:rsid w:val="00B2607B"/>
    <w:rsid w:val="00B30B71"/>
    <w:rsid w:val="00B4176C"/>
    <w:rsid w:val="00B419DD"/>
    <w:rsid w:val="00B421CB"/>
    <w:rsid w:val="00B43D39"/>
    <w:rsid w:val="00B445F3"/>
    <w:rsid w:val="00B5062F"/>
    <w:rsid w:val="00B55DBD"/>
    <w:rsid w:val="00B63AAC"/>
    <w:rsid w:val="00B6790A"/>
    <w:rsid w:val="00B70C85"/>
    <w:rsid w:val="00B7393C"/>
    <w:rsid w:val="00B73EC6"/>
    <w:rsid w:val="00B77913"/>
    <w:rsid w:val="00B82204"/>
    <w:rsid w:val="00B85BA2"/>
    <w:rsid w:val="00B85C86"/>
    <w:rsid w:val="00B9211A"/>
    <w:rsid w:val="00B926C1"/>
    <w:rsid w:val="00BA0797"/>
    <w:rsid w:val="00BA306A"/>
    <w:rsid w:val="00BA3252"/>
    <w:rsid w:val="00BA7DD1"/>
    <w:rsid w:val="00BB5D7A"/>
    <w:rsid w:val="00BC0B27"/>
    <w:rsid w:val="00BD256C"/>
    <w:rsid w:val="00BD26E9"/>
    <w:rsid w:val="00BD7411"/>
    <w:rsid w:val="00BE0BDE"/>
    <w:rsid w:val="00BE2D8F"/>
    <w:rsid w:val="00BE2F05"/>
    <w:rsid w:val="00BE78DC"/>
    <w:rsid w:val="00BF50DB"/>
    <w:rsid w:val="00BF6B07"/>
    <w:rsid w:val="00C04DDE"/>
    <w:rsid w:val="00C05F77"/>
    <w:rsid w:val="00C175A5"/>
    <w:rsid w:val="00C17995"/>
    <w:rsid w:val="00C2265B"/>
    <w:rsid w:val="00C277D7"/>
    <w:rsid w:val="00C317C4"/>
    <w:rsid w:val="00C337AD"/>
    <w:rsid w:val="00C3662B"/>
    <w:rsid w:val="00C36AE5"/>
    <w:rsid w:val="00C41BD5"/>
    <w:rsid w:val="00C41E24"/>
    <w:rsid w:val="00C42307"/>
    <w:rsid w:val="00C43C28"/>
    <w:rsid w:val="00C4757E"/>
    <w:rsid w:val="00C521AC"/>
    <w:rsid w:val="00C53FB7"/>
    <w:rsid w:val="00C574D5"/>
    <w:rsid w:val="00C66AB0"/>
    <w:rsid w:val="00C7283D"/>
    <w:rsid w:val="00C72D28"/>
    <w:rsid w:val="00C87580"/>
    <w:rsid w:val="00C92BA2"/>
    <w:rsid w:val="00C97E54"/>
    <w:rsid w:val="00CA03B9"/>
    <w:rsid w:val="00CA1666"/>
    <w:rsid w:val="00CA173F"/>
    <w:rsid w:val="00CA4ED6"/>
    <w:rsid w:val="00CB0012"/>
    <w:rsid w:val="00CB1D72"/>
    <w:rsid w:val="00CB3758"/>
    <w:rsid w:val="00CB591A"/>
    <w:rsid w:val="00CC01B9"/>
    <w:rsid w:val="00CC1C91"/>
    <w:rsid w:val="00CC4953"/>
    <w:rsid w:val="00CC6660"/>
    <w:rsid w:val="00CD0E48"/>
    <w:rsid w:val="00CD1E8E"/>
    <w:rsid w:val="00CD4E34"/>
    <w:rsid w:val="00CE2513"/>
    <w:rsid w:val="00CF142E"/>
    <w:rsid w:val="00CF22A5"/>
    <w:rsid w:val="00CF4C15"/>
    <w:rsid w:val="00CF568F"/>
    <w:rsid w:val="00CF694B"/>
    <w:rsid w:val="00D059C6"/>
    <w:rsid w:val="00D1054F"/>
    <w:rsid w:val="00D12846"/>
    <w:rsid w:val="00D1582A"/>
    <w:rsid w:val="00D21798"/>
    <w:rsid w:val="00D243D4"/>
    <w:rsid w:val="00D24A04"/>
    <w:rsid w:val="00D25F82"/>
    <w:rsid w:val="00D279A3"/>
    <w:rsid w:val="00D32AFF"/>
    <w:rsid w:val="00D37DFC"/>
    <w:rsid w:val="00D37E51"/>
    <w:rsid w:val="00D47830"/>
    <w:rsid w:val="00D47EFD"/>
    <w:rsid w:val="00D515B7"/>
    <w:rsid w:val="00D66A6D"/>
    <w:rsid w:val="00D675FB"/>
    <w:rsid w:val="00D87FA4"/>
    <w:rsid w:val="00D935AC"/>
    <w:rsid w:val="00DB4106"/>
    <w:rsid w:val="00DC43DE"/>
    <w:rsid w:val="00DC4D0A"/>
    <w:rsid w:val="00DC7CD9"/>
    <w:rsid w:val="00DD10F6"/>
    <w:rsid w:val="00DD237A"/>
    <w:rsid w:val="00DD440F"/>
    <w:rsid w:val="00DE042D"/>
    <w:rsid w:val="00DE1484"/>
    <w:rsid w:val="00DE2CDD"/>
    <w:rsid w:val="00DE396E"/>
    <w:rsid w:val="00DE4A34"/>
    <w:rsid w:val="00DE637D"/>
    <w:rsid w:val="00DE6F38"/>
    <w:rsid w:val="00DE7677"/>
    <w:rsid w:val="00DF20C4"/>
    <w:rsid w:val="00DF2AF0"/>
    <w:rsid w:val="00DF7F5F"/>
    <w:rsid w:val="00E00EE9"/>
    <w:rsid w:val="00E04A22"/>
    <w:rsid w:val="00E04C7B"/>
    <w:rsid w:val="00E117CF"/>
    <w:rsid w:val="00E12274"/>
    <w:rsid w:val="00E127B4"/>
    <w:rsid w:val="00E12F4A"/>
    <w:rsid w:val="00E16F39"/>
    <w:rsid w:val="00E205F5"/>
    <w:rsid w:val="00E21C6D"/>
    <w:rsid w:val="00E3116A"/>
    <w:rsid w:val="00E36282"/>
    <w:rsid w:val="00E44620"/>
    <w:rsid w:val="00E452D0"/>
    <w:rsid w:val="00E47C0C"/>
    <w:rsid w:val="00E50555"/>
    <w:rsid w:val="00E52A05"/>
    <w:rsid w:val="00E52C94"/>
    <w:rsid w:val="00E83853"/>
    <w:rsid w:val="00E84D3E"/>
    <w:rsid w:val="00E85558"/>
    <w:rsid w:val="00E90BF3"/>
    <w:rsid w:val="00E90E0A"/>
    <w:rsid w:val="00E93B98"/>
    <w:rsid w:val="00EA10EB"/>
    <w:rsid w:val="00EA3C7C"/>
    <w:rsid w:val="00EA716D"/>
    <w:rsid w:val="00EB1F01"/>
    <w:rsid w:val="00EB3BDF"/>
    <w:rsid w:val="00EB41F2"/>
    <w:rsid w:val="00EB610F"/>
    <w:rsid w:val="00EB6C39"/>
    <w:rsid w:val="00EC1DF5"/>
    <w:rsid w:val="00EC3B44"/>
    <w:rsid w:val="00EC4243"/>
    <w:rsid w:val="00ED2EFB"/>
    <w:rsid w:val="00EE16A0"/>
    <w:rsid w:val="00EE2070"/>
    <w:rsid w:val="00EE358A"/>
    <w:rsid w:val="00EE47A1"/>
    <w:rsid w:val="00EF267F"/>
    <w:rsid w:val="00EF271D"/>
    <w:rsid w:val="00EF4384"/>
    <w:rsid w:val="00EF7430"/>
    <w:rsid w:val="00EF7F0C"/>
    <w:rsid w:val="00F01236"/>
    <w:rsid w:val="00F01A31"/>
    <w:rsid w:val="00F1042C"/>
    <w:rsid w:val="00F13934"/>
    <w:rsid w:val="00F22DE1"/>
    <w:rsid w:val="00F248AE"/>
    <w:rsid w:val="00F26D0D"/>
    <w:rsid w:val="00F2701F"/>
    <w:rsid w:val="00F2754A"/>
    <w:rsid w:val="00F276BD"/>
    <w:rsid w:val="00F355DA"/>
    <w:rsid w:val="00F3594D"/>
    <w:rsid w:val="00F36A95"/>
    <w:rsid w:val="00F37142"/>
    <w:rsid w:val="00F379FB"/>
    <w:rsid w:val="00F4014B"/>
    <w:rsid w:val="00F455D3"/>
    <w:rsid w:val="00F53C27"/>
    <w:rsid w:val="00F54D4B"/>
    <w:rsid w:val="00F566E3"/>
    <w:rsid w:val="00F6055D"/>
    <w:rsid w:val="00F61CB9"/>
    <w:rsid w:val="00F66B8A"/>
    <w:rsid w:val="00F70132"/>
    <w:rsid w:val="00F70851"/>
    <w:rsid w:val="00F73462"/>
    <w:rsid w:val="00F75024"/>
    <w:rsid w:val="00F8050F"/>
    <w:rsid w:val="00F86364"/>
    <w:rsid w:val="00F90983"/>
    <w:rsid w:val="00F927BC"/>
    <w:rsid w:val="00F92ED4"/>
    <w:rsid w:val="00F9305D"/>
    <w:rsid w:val="00F96B44"/>
    <w:rsid w:val="00FA1AC8"/>
    <w:rsid w:val="00FA1ECB"/>
    <w:rsid w:val="00FA35B9"/>
    <w:rsid w:val="00FB0240"/>
    <w:rsid w:val="00FB1018"/>
    <w:rsid w:val="00FB15BB"/>
    <w:rsid w:val="00FB3C05"/>
    <w:rsid w:val="00FB6BF8"/>
    <w:rsid w:val="00FC09F3"/>
    <w:rsid w:val="00FC0FE1"/>
    <w:rsid w:val="00FC416C"/>
    <w:rsid w:val="00FC4571"/>
    <w:rsid w:val="00FC7002"/>
    <w:rsid w:val="00FC7A28"/>
    <w:rsid w:val="00FD58E8"/>
    <w:rsid w:val="00FD7AD2"/>
    <w:rsid w:val="00FE0A61"/>
    <w:rsid w:val="00FE4BED"/>
    <w:rsid w:val="00FF4DD6"/>
    <w:rsid w:val="00FF6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21A14"/>
  <w15:docId w15:val="{C7B2D996-11A6-42BD-A8DA-819349EF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8726D"/>
    <w:rPr>
      <w:sz w:val="16"/>
      <w:szCs w:val="16"/>
    </w:rPr>
  </w:style>
  <w:style w:type="paragraph" w:styleId="CommentText">
    <w:name w:val="annotation text"/>
    <w:basedOn w:val="Normal"/>
    <w:link w:val="CommentTextChar"/>
    <w:uiPriority w:val="99"/>
    <w:semiHidden/>
    <w:unhideWhenUsed/>
    <w:rsid w:val="0018726D"/>
    <w:rPr>
      <w:sz w:val="20"/>
      <w:szCs w:val="20"/>
    </w:rPr>
  </w:style>
  <w:style w:type="character" w:customStyle="1" w:styleId="CommentTextChar">
    <w:name w:val="Comment Text Char"/>
    <w:basedOn w:val="DefaultParagraphFont"/>
    <w:link w:val="CommentText"/>
    <w:uiPriority w:val="99"/>
    <w:semiHidden/>
    <w:rsid w:val="0018726D"/>
    <w:rPr>
      <w:sz w:val="20"/>
      <w:szCs w:val="20"/>
    </w:rPr>
  </w:style>
  <w:style w:type="paragraph" w:styleId="CommentSubject">
    <w:name w:val="annotation subject"/>
    <w:basedOn w:val="CommentText"/>
    <w:next w:val="CommentText"/>
    <w:link w:val="CommentSubjectChar"/>
    <w:uiPriority w:val="99"/>
    <w:semiHidden/>
    <w:unhideWhenUsed/>
    <w:rsid w:val="0018726D"/>
    <w:rPr>
      <w:b/>
      <w:bCs/>
    </w:rPr>
  </w:style>
  <w:style w:type="character" w:customStyle="1" w:styleId="CommentSubjectChar">
    <w:name w:val="Comment Subject Char"/>
    <w:basedOn w:val="CommentTextChar"/>
    <w:link w:val="CommentSubject"/>
    <w:uiPriority w:val="99"/>
    <w:semiHidden/>
    <w:rsid w:val="0018726D"/>
    <w:rPr>
      <w:b/>
      <w:bCs/>
      <w:sz w:val="20"/>
      <w:szCs w:val="20"/>
    </w:rPr>
  </w:style>
  <w:style w:type="character" w:customStyle="1" w:styleId="UnresolvedMention1">
    <w:name w:val="Unresolved Mention1"/>
    <w:basedOn w:val="DefaultParagraphFont"/>
    <w:uiPriority w:val="99"/>
    <w:semiHidden/>
    <w:unhideWhenUsed/>
    <w:rsid w:val="007E2B16"/>
    <w:rPr>
      <w:color w:val="605E5C"/>
      <w:shd w:val="clear" w:color="auto" w:fill="E1DFDD"/>
    </w:rPr>
  </w:style>
  <w:style w:type="character" w:styleId="Emphasis">
    <w:name w:val="Emphasis"/>
    <w:uiPriority w:val="20"/>
    <w:qFormat/>
    <w:rsid w:val="00965786"/>
    <w:rPr>
      <w:i/>
      <w:iCs/>
    </w:rPr>
  </w:style>
  <w:style w:type="paragraph" w:customStyle="1" w:styleId="naisf">
    <w:name w:val="naisf"/>
    <w:basedOn w:val="Normal"/>
    <w:rsid w:val="00370E4D"/>
    <w:pPr>
      <w:spacing w:before="75" w:after="75"/>
      <w:ind w:firstLine="375"/>
      <w:jc w:val="both"/>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4425">
      <w:bodyDiv w:val="1"/>
      <w:marLeft w:val="0"/>
      <w:marRight w:val="0"/>
      <w:marTop w:val="0"/>
      <w:marBottom w:val="0"/>
      <w:divBdr>
        <w:top w:val="none" w:sz="0" w:space="0" w:color="auto"/>
        <w:left w:val="none" w:sz="0" w:space="0" w:color="auto"/>
        <w:bottom w:val="none" w:sz="0" w:space="0" w:color="auto"/>
        <w:right w:val="none" w:sz="0" w:space="0" w:color="auto"/>
      </w:divBdr>
    </w:div>
    <w:div w:id="302925425">
      <w:bodyDiv w:val="1"/>
      <w:marLeft w:val="0"/>
      <w:marRight w:val="0"/>
      <w:marTop w:val="0"/>
      <w:marBottom w:val="0"/>
      <w:divBdr>
        <w:top w:val="none" w:sz="0" w:space="0" w:color="auto"/>
        <w:left w:val="none" w:sz="0" w:space="0" w:color="auto"/>
        <w:bottom w:val="none" w:sz="0" w:space="0" w:color="auto"/>
        <w:right w:val="none" w:sz="0" w:space="0" w:color="auto"/>
      </w:divBdr>
    </w:div>
    <w:div w:id="771164200">
      <w:bodyDiv w:val="1"/>
      <w:marLeft w:val="0"/>
      <w:marRight w:val="0"/>
      <w:marTop w:val="0"/>
      <w:marBottom w:val="0"/>
      <w:divBdr>
        <w:top w:val="none" w:sz="0" w:space="0" w:color="auto"/>
        <w:left w:val="none" w:sz="0" w:space="0" w:color="auto"/>
        <w:bottom w:val="none" w:sz="0" w:space="0" w:color="auto"/>
        <w:right w:val="none" w:sz="0" w:space="0" w:color="auto"/>
      </w:divBdr>
    </w:div>
    <w:div w:id="1180967037">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25623524">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1735159166">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96EC1-1E5E-4763-B49F-28691E48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19324</Words>
  <Characters>11015</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Likumprojekta „Grozījums likumā „Par aviāciju”” sākotnējās ietekmes novērtējuma ziņojums (anotācija)</vt:lpstr>
    </vt:vector>
  </TitlesOfParts>
  <Company/>
  <LinksUpToDate>false</LinksUpToDate>
  <CharactersWithSpaces>30279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aviāciju”” sākotnējās ietekmes novērtējuma ziņojums (anotācija)</dc:title>
  <dc:creator>Viesturs.Gertners@caa.gov.lv</dc:creator>
  <dc:description>67830961, Viesturs.Gertners@caa.gov.lv</dc:description>
  <cp:lastModifiedBy>Baiba Jirgena</cp:lastModifiedBy>
  <cp:revision>3</cp:revision>
  <cp:lastPrinted>2020-03-26T14:32:00Z</cp:lastPrinted>
  <dcterms:created xsi:type="dcterms:W3CDTF">2020-04-06T08:08:00Z</dcterms:created>
  <dcterms:modified xsi:type="dcterms:W3CDTF">2020-04-06T08:08:00Z</dcterms:modified>
</cp:coreProperties>
</file>